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F17A66" w:rsidRDefault="009D51B6" w:rsidP="000036E2">
      <w:pPr>
        <w:pStyle w:val="Heading1"/>
        <w:jc w:val="left"/>
        <w:rPr>
          <w:sz w:val="28"/>
        </w:rPr>
      </w:pPr>
      <w:bookmarkStart w:id="0" w:name="_Toc458759476"/>
      <w:bookmarkStart w:id="1" w:name="_Toc461614075"/>
      <w:r>
        <w:rPr>
          <w:sz w:val="28"/>
        </w:rPr>
        <w:t>6.04</w:t>
      </w:r>
      <w:r w:rsidR="00B60939" w:rsidRPr="00F17A66">
        <w:rPr>
          <w:sz w:val="28"/>
        </w:rPr>
        <w:tab/>
      </w:r>
      <w:r w:rsidR="00440517" w:rsidRPr="00F17A66">
        <w:rPr>
          <w:sz w:val="28"/>
        </w:rPr>
        <w:t>O</w:t>
      </w:r>
      <w:r w:rsidR="005A61A2" w:rsidRPr="00F17A66">
        <w:rPr>
          <w:sz w:val="28"/>
        </w:rPr>
        <w:t>BI</w:t>
      </w:r>
      <w:r w:rsidR="00440517" w:rsidRPr="00F17A66">
        <w:rPr>
          <w:sz w:val="28"/>
        </w:rPr>
        <w:t>NUTUZUMAB</w:t>
      </w:r>
      <w:r w:rsidR="00B60939" w:rsidRPr="00F17A66">
        <w:rPr>
          <w:sz w:val="28"/>
        </w:rPr>
        <w:t xml:space="preserve">, </w:t>
      </w:r>
      <w:r w:rsidR="000036E2">
        <w:rPr>
          <w:sz w:val="28"/>
        </w:rPr>
        <w:br/>
      </w:r>
      <w:r w:rsidR="000036E2">
        <w:rPr>
          <w:caps w:val="0"/>
          <w:sz w:val="28"/>
        </w:rPr>
        <w:t>s</w:t>
      </w:r>
      <w:r w:rsidR="000036E2" w:rsidRPr="000036E2">
        <w:rPr>
          <w:caps w:val="0"/>
          <w:sz w:val="28"/>
        </w:rPr>
        <w:t>olution for I.V. infusion 1000 mg in 40 mL</w:t>
      </w:r>
      <w:r w:rsidR="00330B60">
        <w:rPr>
          <w:sz w:val="28"/>
        </w:rPr>
        <w:t>,</w:t>
      </w:r>
      <w:r w:rsidR="000036E2">
        <w:rPr>
          <w:sz w:val="28"/>
        </w:rPr>
        <w:br/>
      </w:r>
      <w:proofErr w:type="spellStart"/>
      <w:r w:rsidR="00440517" w:rsidRPr="00F17A66">
        <w:rPr>
          <w:caps w:val="0"/>
          <w:sz w:val="28"/>
        </w:rPr>
        <w:t>Gazyva</w:t>
      </w:r>
      <w:proofErr w:type="spellEnd"/>
      <w:r w:rsidR="00B60939" w:rsidRPr="00F17A66">
        <w:rPr>
          <w:sz w:val="28"/>
          <w:vertAlign w:val="superscript"/>
        </w:rPr>
        <w:t>®</w:t>
      </w:r>
      <w:r w:rsidR="00330B60">
        <w:rPr>
          <w:sz w:val="28"/>
        </w:rPr>
        <w:t>,</w:t>
      </w:r>
      <w:r w:rsidR="000036E2">
        <w:rPr>
          <w:sz w:val="28"/>
        </w:rPr>
        <w:br/>
      </w:r>
      <w:r w:rsidR="00440517" w:rsidRPr="00F17A66">
        <w:rPr>
          <w:caps w:val="0"/>
          <w:sz w:val="28"/>
        </w:rPr>
        <w:t>Roche Pty Ltd</w:t>
      </w:r>
      <w:r w:rsidR="00B60939" w:rsidRPr="00F17A66">
        <w:rPr>
          <w:sz w:val="28"/>
        </w:rPr>
        <w:t>.</w:t>
      </w:r>
      <w:bookmarkEnd w:id="0"/>
      <w:bookmarkEnd w:id="1"/>
    </w:p>
    <w:p w:rsidR="00433044" w:rsidRPr="00F17A66" w:rsidRDefault="00433044" w:rsidP="00433044"/>
    <w:p w:rsidR="00B60939" w:rsidRPr="00F17A66" w:rsidRDefault="00B60939" w:rsidP="00207D00"/>
    <w:p w:rsidR="00B50DB8" w:rsidRPr="00F17A66" w:rsidRDefault="00B50DB8" w:rsidP="00BD6CF3">
      <w:pPr>
        <w:pStyle w:val="PBACHeading1"/>
      </w:pPr>
      <w:bookmarkStart w:id="2" w:name="_Toc458759478"/>
      <w:bookmarkStart w:id="3" w:name="_Toc461614077"/>
      <w:r w:rsidRPr="00F17A66">
        <w:t>Purpose of Application</w:t>
      </w:r>
      <w:bookmarkEnd w:id="2"/>
      <w:bookmarkEnd w:id="3"/>
    </w:p>
    <w:p w:rsidR="00B60939" w:rsidRPr="00F17A66" w:rsidRDefault="00B60939" w:rsidP="00B60939">
      <w:pPr>
        <w:rPr>
          <w:szCs w:val="22"/>
        </w:rPr>
      </w:pPr>
    </w:p>
    <w:p w:rsidR="002C2775" w:rsidRPr="00F17A66" w:rsidRDefault="001E238E" w:rsidP="005D5FF8">
      <w:pPr>
        <w:pStyle w:val="ListParagraph"/>
        <w:widowControl/>
        <w:numPr>
          <w:ilvl w:val="1"/>
          <w:numId w:val="1"/>
        </w:numPr>
        <w:rPr>
          <w:szCs w:val="22"/>
        </w:rPr>
      </w:pPr>
      <w:r w:rsidRPr="00F17A66">
        <w:t>S</w:t>
      </w:r>
      <w:r w:rsidR="00FC5B8C">
        <w:t>ection 100 (</w:t>
      </w:r>
      <w:r w:rsidR="00FC5B8C">
        <w:rPr>
          <w:snapToGrid/>
        </w:rPr>
        <w:t xml:space="preserve">Efficient Funding of Chemotherapy – Public and Private Hospital) </w:t>
      </w:r>
      <w:r w:rsidR="00FC5B8C">
        <w:t>Authority Required</w:t>
      </w:r>
      <w:r w:rsidR="000E54FF" w:rsidRPr="00F17A66">
        <w:t xml:space="preserve"> </w:t>
      </w:r>
      <w:r w:rsidR="00FC5B8C">
        <w:t xml:space="preserve">(STREAMLINED) </w:t>
      </w:r>
      <w:r w:rsidR="000E54FF" w:rsidRPr="00F17A66">
        <w:t xml:space="preserve">listing for </w:t>
      </w:r>
      <w:proofErr w:type="spellStart"/>
      <w:r w:rsidR="000E54FF" w:rsidRPr="00F17A66">
        <w:t>obinutuzumab</w:t>
      </w:r>
      <w:proofErr w:type="spellEnd"/>
      <w:r w:rsidRPr="00F17A66">
        <w:t xml:space="preserve"> for t</w:t>
      </w:r>
      <w:r w:rsidR="0028628C" w:rsidRPr="00F17A66">
        <w:t>he t</w:t>
      </w:r>
      <w:r w:rsidRPr="00F17A66">
        <w:t xml:space="preserve">reatment of </w:t>
      </w:r>
      <w:r w:rsidR="000E54FF" w:rsidRPr="00F17A66">
        <w:t>rituximab-refractory follicular lymphoma.</w:t>
      </w:r>
    </w:p>
    <w:p w:rsidR="004E43B2" w:rsidRDefault="004E43B2" w:rsidP="004B1CB4"/>
    <w:p w:rsidR="004724D9" w:rsidRPr="00F17A66" w:rsidRDefault="004724D9" w:rsidP="004B1CB4"/>
    <w:p w:rsidR="00B50DB8" w:rsidRPr="00F17A66" w:rsidRDefault="00B50DB8" w:rsidP="00BD6CF3">
      <w:pPr>
        <w:pStyle w:val="PBACHeading1"/>
      </w:pPr>
      <w:bookmarkStart w:id="4" w:name="_Toc458759479"/>
      <w:bookmarkStart w:id="5" w:name="_Toc461614078"/>
      <w:r w:rsidRPr="00F17A66">
        <w:t>Requested listing</w:t>
      </w:r>
      <w:bookmarkEnd w:id="4"/>
      <w:bookmarkEnd w:id="5"/>
    </w:p>
    <w:p w:rsidR="00B60939" w:rsidRPr="00F17A66" w:rsidRDefault="00B60939" w:rsidP="004B1CB4"/>
    <w:p w:rsidR="00C44BF2" w:rsidRPr="00390FD9" w:rsidRDefault="008E4F29" w:rsidP="005D5FF8">
      <w:pPr>
        <w:pStyle w:val="ListParagraph"/>
        <w:widowControl/>
        <w:numPr>
          <w:ilvl w:val="1"/>
          <w:numId w:val="1"/>
        </w:numPr>
        <w:rPr>
          <w:i/>
        </w:rPr>
      </w:pPr>
      <w:r w:rsidRPr="00A7709B">
        <w:t>T</w:t>
      </w:r>
      <w:r w:rsidR="00FC5B8C" w:rsidRPr="00A7709B">
        <w:t>he requested restriction is provided below,</w:t>
      </w:r>
      <w:r w:rsidR="000E54FF" w:rsidRPr="00A7709B">
        <w:t xml:space="preserve"> </w:t>
      </w:r>
      <w:r w:rsidR="00FC5B8C" w:rsidRPr="00A7709B">
        <w:t xml:space="preserve">including </w:t>
      </w:r>
      <w:r w:rsidR="000E54FF" w:rsidRPr="00A7709B">
        <w:t xml:space="preserve">for use in combination with </w:t>
      </w:r>
      <w:proofErr w:type="spellStart"/>
      <w:r w:rsidR="000E54FF" w:rsidRPr="00A7709B">
        <w:t>bendamustine</w:t>
      </w:r>
      <w:proofErr w:type="spellEnd"/>
      <w:r w:rsidR="000E54FF" w:rsidRPr="00A7709B">
        <w:t xml:space="preserve"> for induction therapy, followed by </w:t>
      </w:r>
      <w:proofErr w:type="spellStart"/>
      <w:r w:rsidRPr="00A7709B">
        <w:t>obinutuzumab</w:t>
      </w:r>
      <w:proofErr w:type="spellEnd"/>
      <w:r w:rsidRPr="00A7709B">
        <w:t xml:space="preserve"> monotherapy as </w:t>
      </w:r>
      <w:r w:rsidR="000E54FF" w:rsidRPr="00A7709B">
        <w:t>maintenance.</w:t>
      </w:r>
      <w:r w:rsidR="00A7709B" w:rsidRPr="00A7709B">
        <w:t xml:space="preserve"> </w:t>
      </w:r>
      <w:r w:rsidR="00C44BF2" w:rsidRPr="005678D0">
        <w:t>Suggestions and additions proposed by the Secretariat to the requested listing are added in italics and suggested deletions are crossed out with strikethrough</w:t>
      </w:r>
      <w:r w:rsidR="00390FD9" w:rsidRPr="005678D0">
        <w:t>.</w:t>
      </w:r>
    </w:p>
    <w:p w:rsidR="00C44BF2" w:rsidRPr="00552722" w:rsidRDefault="00C44BF2" w:rsidP="00C44BF2">
      <w:pPr>
        <w:rPr>
          <w:szCs w:val="22"/>
        </w:rPr>
      </w:pPr>
    </w:p>
    <w:tbl>
      <w:tblPr>
        <w:tblW w:w="8363" w:type="dxa"/>
        <w:tblInd w:w="817" w:type="dxa"/>
        <w:tblLayout w:type="fixed"/>
        <w:tblLook w:val="0000" w:firstRow="0" w:lastRow="0" w:firstColumn="0" w:lastColumn="0" w:noHBand="0" w:noVBand="0"/>
      </w:tblPr>
      <w:tblGrid>
        <w:gridCol w:w="1985"/>
        <w:gridCol w:w="1559"/>
        <w:gridCol w:w="567"/>
        <w:gridCol w:w="2268"/>
        <w:gridCol w:w="851"/>
        <w:gridCol w:w="1133"/>
      </w:tblGrid>
      <w:tr w:rsidR="00C44BF2" w:rsidRPr="00260CE3" w:rsidTr="005E727C">
        <w:trPr>
          <w:cantSplit/>
          <w:trHeight w:val="471"/>
        </w:trPr>
        <w:tc>
          <w:tcPr>
            <w:tcW w:w="1985" w:type="dxa"/>
            <w:tcBorders>
              <w:bottom w:val="single" w:sz="4" w:space="0" w:color="auto"/>
            </w:tcBorders>
          </w:tcPr>
          <w:p w:rsidR="00C44BF2" w:rsidRPr="00260CE3" w:rsidRDefault="00C44BF2" w:rsidP="004465B8">
            <w:pPr>
              <w:keepNext/>
              <w:ind w:left="-108"/>
              <w:rPr>
                <w:rFonts w:ascii="Arial Narrow" w:hAnsi="Arial Narrow"/>
                <w:sz w:val="20"/>
              </w:rPr>
            </w:pPr>
            <w:r w:rsidRPr="00260CE3">
              <w:rPr>
                <w:rFonts w:ascii="Arial Narrow" w:hAnsi="Arial Narrow"/>
                <w:sz w:val="20"/>
              </w:rPr>
              <w:t>Name, Restriction,</w:t>
            </w:r>
          </w:p>
          <w:p w:rsidR="00C44BF2" w:rsidRPr="00260CE3" w:rsidRDefault="00C44BF2" w:rsidP="004465B8">
            <w:pPr>
              <w:keepNext/>
              <w:ind w:left="-108"/>
              <w:rPr>
                <w:rFonts w:ascii="Arial Narrow" w:hAnsi="Arial Narrow"/>
                <w:sz w:val="20"/>
              </w:rPr>
            </w:pPr>
            <w:r w:rsidRPr="00260CE3">
              <w:rPr>
                <w:rFonts w:ascii="Arial Narrow" w:hAnsi="Arial Narrow"/>
                <w:sz w:val="20"/>
              </w:rPr>
              <w:t>Manner of administration and form</w:t>
            </w:r>
          </w:p>
        </w:tc>
        <w:tc>
          <w:tcPr>
            <w:tcW w:w="1559" w:type="dxa"/>
            <w:tcBorders>
              <w:bottom w:val="single" w:sz="4" w:space="0" w:color="auto"/>
            </w:tcBorders>
          </w:tcPr>
          <w:p w:rsidR="00C44BF2" w:rsidRPr="00260CE3" w:rsidRDefault="00C44BF2" w:rsidP="004465B8">
            <w:pPr>
              <w:keepNext/>
              <w:ind w:left="-108"/>
              <w:rPr>
                <w:rFonts w:ascii="Arial Narrow" w:hAnsi="Arial Narrow"/>
                <w:sz w:val="20"/>
              </w:rPr>
            </w:pPr>
            <w:r w:rsidRPr="00260CE3">
              <w:rPr>
                <w:rFonts w:ascii="Arial Narrow" w:hAnsi="Arial Narrow"/>
                <w:sz w:val="20"/>
              </w:rPr>
              <w:t>Max.</w:t>
            </w:r>
          </w:p>
          <w:p w:rsidR="00C44BF2" w:rsidRPr="00260CE3" w:rsidRDefault="00C44BF2" w:rsidP="004465B8">
            <w:pPr>
              <w:keepNext/>
              <w:ind w:left="-108"/>
              <w:rPr>
                <w:rFonts w:ascii="Arial Narrow" w:hAnsi="Arial Narrow"/>
                <w:sz w:val="20"/>
              </w:rPr>
            </w:pPr>
            <w:r>
              <w:rPr>
                <w:rFonts w:ascii="Arial Narrow" w:hAnsi="Arial Narrow"/>
                <w:sz w:val="20"/>
              </w:rPr>
              <w:t>Amount</w:t>
            </w:r>
          </w:p>
        </w:tc>
        <w:tc>
          <w:tcPr>
            <w:tcW w:w="567" w:type="dxa"/>
            <w:tcBorders>
              <w:bottom w:val="single" w:sz="4" w:space="0" w:color="auto"/>
            </w:tcBorders>
          </w:tcPr>
          <w:p w:rsidR="00C44BF2" w:rsidRPr="00260CE3" w:rsidRDefault="00C44BF2" w:rsidP="004465B8">
            <w:pPr>
              <w:keepNext/>
              <w:ind w:left="-108"/>
              <w:rPr>
                <w:rFonts w:ascii="Arial Narrow" w:hAnsi="Arial Narrow"/>
                <w:sz w:val="20"/>
              </w:rPr>
            </w:pPr>
            <w:r w:rsidRPr="00260CE3">
              <w:rPr>
                <w:rFonts w:ascii="Arial Narrow" w:hAnsi="Arial Narrow"/>
                <w:sz w:val="20"/>
              </w:rPr>
              <w:t>№.of</w:t>
            </w:r>
          </w:p>
          <w:p w:rsidR="00C44BF2" w:rsidRPr="00260CE3" w:rsidRDefault="00C44BF2" w:rsidP="004465B8">
            <w:pPr>
              <w:keepNext/>
              <w:ind w:left="-108"/>
              <w:rPr>
                <w:rFonts w:ascii="Arial Narrow" w:hAnsi="Arial Narrow"/>
                <w:sz w:val="20"/>
              </w:rPr>
            </w:pPr>
            <w:proofErr w:type="spellStart"/>
            <w:r w:rsidRPr="00260CE3">
              <w:rPr>
                <w:rFonts w:ascii="Arial Narrow" w:hAnsi="Arial Narrow"/>
                <w:sz w:val="20"/>
              </w:rPr>
              <w:t>Rpts</w:t>
            </w:r>
            <w:proofErr w:type="spellEnd"/>
          </w:p>
        </w:tc>
        <w:tc>
          <w:tcPr>
            <w:tcW w:w="2268" w:type="dxa"/>
            <w:tcBorders>
              <w:bottom w:val="single" w:sz="4" w:space="0" w:color="auto"/>
            </w:tcBorders>
          </w:tcPr>
          <w:p w:rsidR="00C44BF2" w:rsidRDefault="00C44BF2" w:rsidP="000801CB">
            <w:pPr>
              <w:keepNext/>
              <w:ind w:left="-108"/>
              <w:rPr>
                <w:rFonts w:ascii="Arial Narrow" w:hAnsi="Arial Narrow"/>
                <w:sz w:val="20"/>
              </w:rPr>
            </w:pPr>
            <w:r w:rsidRPr="00260CE3">
              <w:rPr>
                <w:rFonts w:ascii="Arial Narrow" w:hAnsi="Arial Narrow"/>
                <w:sz w:val="20"/>
              </w:rPr>
              <w:t>Dispensed Price</w:t>
            </w:r>
          </w:p>
          <w:p w:rsidR="00C44BF2" w:rsidRPr="00260CE3" w:rsidRDefault="00C44BF2" w:rsidP="000801CB">
            <w:pPr>
              <w:keepNext/>
              <w:ind w:left="-108"/>
              <w:rPr>
                <w:rFonts w:ascii="Arial Narrow" w:hAnsi="Arial Narrow"/>
                <w:sz w:val="20"/>
              </w:rPr>
            </w:pPr>
            <w:proofErr w:type="gramStart"/>
            <w:r w:rsidRPr="00260CE3">
              <w:rPr>
                <w:rFonts w:ascii="Arial Narrow" w:hAnsi="Arial Narrow"/>
                <w:sz w:val="20"/>
              </w:rPr>
              <w:t>for</w:t>
            </w:r>
            <w:proofErr w:type="gramEnd"/>
            <w:r w:rsidRPr="00260CE3">
              <w:rPr>
                <w:rFonts w:ascii="Arial Narrow" w:hAnsi="Arial Narrow"/>
                <w:sz w:val="20"/>
              </w:rPr>
              <w:t xml:space="preserve"> Max. </w:t>
            </w:r>
            <w:r>
              <w:rPr>
                <w:rFonts w:ascii="Arial Narrow" w:hAnsi="Arial Narrow"/>
                <w:sz w:val="20"/>
              </w:rPr>
              <w:t>Amount</w:t>
            </w:r>
          </w:p>
        </w:tc>
        <w:tc>
          <w:tcPr>
            <w:tcW w:w="1984" w:type="dxa"/>
            <w:gridSpan w:val="2"/>
            <w:tcBorders>
              <w:bottom w:val="single" w:sz="4" w:space="0" w:color="auto"/>
            </w:tcBorders>
          </w:tcPr>
          <w:p w:rsidR="00C44BF2" w:rsidRPr="00260CE3" w:rsidRDefault="00C44BF2" w:rsidP="004465B8">
            <w:pPr>
              <w:keepNext/>
              <w:jc w:val="center"/>
              <w:rPr>
                <w:rFonts w:ascii="Arial Narrow" w:hAnsi="Arial Narrow"/>
                <w:sz w:val="20"/>
                <w:lang w:val="fr-FR"/>
              </w:rPr>
            </w:pPr>
            <w:r w:rsidRPr="00260CE3">
              <w:rPr>
                <w:rFonts w:ascii="Arial Narrow" w:hAnsi="Arial Narrow"/>
                <w:sz w:val="20"/>
              </w:rPr>
              <w:t>Proprietary Name and Manufacturer</w:t>
            </w:r>
          </w:p>
        </w:tc>
      </w:tr>
      <w:tr w:rsidR="00C44BF2" w:rsidRPr="00260CE3" w:rsidTr="005E727C">
        <w:trPr>
          <w:cantSplit/>
          <w:trHeight w:val="577"/>
        </w:trPr>
        <w:tc>
          <w:tcPr>
            <w:tcW w:w="1985" w:type="dxa"/>
            <w:tcBorders>
              <w:top w:val="single" w:sz="4" w:space="0" w:color="auto"/>
              <w:bottom w:val="single" w:sz="4" w:space="0" w:color="auto"/>
            </w:tcBorders>
          </w:tcPr>
          <w:p w:rsidR="00C44BF2" w:rsidRPr="00260CE3" w:rsidRDefault="00C44BF2" w:rsidP="004465B8">
            <w:pPr>
              <w:keepNext/>
              <w:ind w:left="-108"/>
              <w:rPr>
                <w:rFonts w:ascii="Arial Narrow" w:hAnsi="Arial Narrow"/>
                <w:sz w:val="20"/>
              </w:rPr>
            </w:pPr>
            <w:r>
              <w:rPr>
                <w:rFonts w:ascii="Arial Narrow" w:hAnsi="Arial Narrow"/>
                <w:smallCaps/>
                <w:sz w:val="20"/>
              </w:rPr>
              <w:t>OBINUTUZUMAB</w:t>
            </w:r>
            <w:r>
              <w:rPr>
                <w:rFonts w:ascii="Arial Narrow" w:hAnsi="Arial Narrow"/>
                <w:sz w:val="20"/>
              </w:rPr>
              <w:br/>
            </w:r>
            <w:r w:rsidRPr="00021F65">
              <w:rPr>
                <w:rFonts w:ascii="Arial Narrow" w:hAnsi="Arial Narrow"/>
                <w:sz w:val="20"/>
              </w:rPr>
              <w:t xml:space="preserve">solution for </w:t>
            </w:r>
            <w:proofErr w:type="spellStart"/>
            <w:r w:rsidRPr="00021F65">
              <w:rPr>
                <w:rFonts w:ascii="Arial Narrow" w:hAnsi="Arial Narrow"/>
                <w:sz w:val="20"/>
              </w:rPr>
              <w:t>i.v.</w:t>
            </w:r>
            <w:proofErr w:type="spellEnd"/>
            <w:r w:rsidRPr="00021F65">
              <w:rPr>
                <w:rFonts w:ascii="Arial Narrow" w:hAnsi="Arial Narrow"/>
                <w:sz w:val="20"/>
              </w:rPr>
              <w:t xml:space="preserve"> infusion 1000 mg in 40 mL</w:t>
            </w:r>
          </w:p>
        </w:tc>
        <w:tc>
          <w:tcPr>
            <w:tcW w:w="1559" w:type="dxa"/>
            <w:tcBorders>
              <w:top w:val="single" w:sz="4" w:space="0" w:color="auto"/>
              <w:bottom w:val="single" w:sz="4" w:space="0" w:color="auto"/>
            </w:tcBorders>
          </w:tcPr>
          <w:p w:rsidR="00C44BF2" w:rsidRPr="00260CE3" w:rsidRDefault="00C44BF2" w:rsidP="004465B8">
            <w:pPr>
              <w:keepNext/>
              <w:ind w:left="-108"/>
              <w:jc w:val="center"/>
              <w:rPr>
                <w:rFonts w:ascii="Arial Narrow" w:hAnsi="Arial Narrow"/>
                <w:sz w:val="20"/>
              </w:rPr>
            </w:pPr>
          </w:p>
          <w:p w:rsidR="00C44BF2" w:rsidRPr="00260CE3" w:rsidRDefault="00C44BF2" w:rsidP="000801CB">
            <w:pPr>
              <w:keepNext/>
              <w:rPr>
                <w:rFonts w:ascii="Arial Narrow" w:hAnsi="Arial Narrow"/>
                <w:sz w:val="20"/>
              </w:rPr>
            </w:pPr>
            <w:r>
              <w:rPr>
                <w:rFonts w:ascii="Arial Narrow" w:hAnsi="Arial Narrow"/>
                <w:sz w:val="20"/>
              </w:rPr>
              <w:t>1000 mg</w:t>
            </w:r>
          </w:p>
        </w:tc>
        <w:tc>
          <w:tcPr>
            <w:tcW w:w="567" w:type="dxa"/>
            <w:tcBorders>
              <w:top w:val="single" w:sz="4" w:space="0" w:color="auto"/>
              <w:bottom w:val="single" w:sz="4" w:space="0" w:color="auto"/>
            </w:tcBorders>
          </w:tcPr>
          <w:p w:rsidR="00C44BF2" w:rsidRPr="00260CE3" w:rsidRDefault="00C44BF2" w:rsidP="004465B8">
            <w:pPr>
              <w:keepNext/>
              <w:ind w:left="-108"/>
              <w:jc w:val="center"/>
              <w:rPr>
                <w:rFonts w:ascii="Arial Narrow" w:hAnsi="Arial Narrow"/>
                <w:sz w:val="20"/>
              </w:rPr>
            </w:pPr>
          </w:p>
          <w:p w:rsidR="00C44BF2" w:rsidRPr="00260CE3" w:rsidRDefault="00C44BF2" w:rsidP="004465B8">
            <w:pPr>
              <w:keepNext/>
              <w:ind w:left="-108"/>
              <w:jc w:val="center"/>
              <w:rPr>
                <w:rFonts w:ascii="Arial Narrow" w:hAnsi="Arial Narrow"/>
                <w:sz w:val="20"/>
              </w:rPr>
            </w:pPr>
            <w:r w:rsidRPr="00A71FE0">
              <w:rPr>
                <w:rFonts w:ascii="Arial Narrow" w:hAnsi="Arial Narrow"/>
                <w:sz w:val="20"/>
              </w:rPr>
              <w:t>7</w:t>
            </w:r>
          </w:p>
        </w:tc>
        <w:tc>
          <w:tcPr>
            <w:tcW w:w="2268" w:type="dxa"/>
            <w:tcBorders>
              <w:top w:val="single" w:sz="4" w:space="0" w:color="auto"/>
              <w:bottom w:val="single" w:sz="4" w:space="0" w:color="auto"/>
            </w:tcBorders>
          </w:tcPr>
          <w:p w:rsidR="00C44BF2" w:rsidRPr="00AA56DA" w:rsidRDefault="00C44BF2" w:rsidP="004465B8">
            <w:pPr>
              <w:pStyle w:val="TableText0"/>
              <w:jc w:val="both"/>
              <w:rPr>
                <w:rFonts w:cs="Arial"/>
                <w:bCs/>
                <w:lang w:eastAsia="en-AU"/>
              </w:rPr>
            </w:pPr>
            <w:r w:rsidRPr="00AA56DA">
              <w:rPr>
                <w:rFonts w:cs="Arial"/>
                <w:bCs/>
                <w:lang w:eastAsia="en-AU"/>
              </w:rPr>
              <w:t>$</w:t>
            </w:r>
            <w:r w:rsidR="003772B2">
              <w:rPr>
                <w:rFonts w:cs="Arial"/>
                <w:bCs/>
                <w:noProof/>
                <w:color w:val="000000"/>
                <w:highlight w:val="black"/>
                <w:lang w:eastAsia="en-AU"/>
              </w:rPr>
              <w:t>'''''''''''''''''''</w:t>
            </w:r>
            <w:r>
              <w:rPr>
                <w:rFonts w:cs="Arial"/>
                <w:bCs/>
                <w:lang w:eastAsia="en-AU"/>
              </w:rPr>
              <w:t xml:space="preserve"> (published)</w:t>
            </w:r>
          </w:p>
          <w:p w:rsidR="00C44BF2" w:rsidRPr="00315812" w:rsidRDefault="00C44BF2" w:rsidP="004465B8">
            <w:pPr>
              <w:pStyle w:val="TableText0"/>
              <w:spacing w:before="0" w:after="0"/>
              <w:jc w:val="both"/>
              <w:rPr>
                <w:rFonts w:cs="Arial"/>
                <w:bCs/>
                <w:lang w:eastAsia="en-AU"/>
              </w:rPr>
            </w:pPr>
            <w:r w:rsidRPr="00AA56DA">
              <w:rPr>
                <w:rFonts w:cs="Arial"/>
                <w:bCs/>
                <w:lang w:eastAsia="en-AU"/>
              </w:rPr>
              <w:t>$</w:t>
            </w:r>
            <w:r w:rsidR="003772B2">
              <w:rPr>
                <w:rFonts w:cs="Arial"/>
                <w:bCs/>
                <w:noProof/>
                <w:color w:val="000000"/>
                <w:highlight w:val="black"/>
                <w:lang w:eastAsia="en-AU"/>
              </w:rPr>
              <w:t>''''''''''''''''''''</w:t>
            </w:r>
            <w:r>
              <w:rPr>
                <w:rFonts w:cs="Arial"/>
                <w:bCs/>
                <w:lang w:eastAsia="en-AU"/>
              </w:rPr>
              <w:t xml:space="preserve"> (effective)</w:t>
            </w:r>
          </w:p>
        </w:tc>
        <w:tc>
          <w:tcPr>
            <w:tcW w:w="851" w:type="dxa"/>
            <w:tcBorders>
              <w:top w:val="single" w:sz="4" w:space="0" w:color="auto"/>
              <w:bottom w:val="single" w:sz="4" w:space="0" w:color="auto"/>
            </w:tcBorders>
          </w:tcPr>
          <w:p w:rsidR="00C44BF2" w:rsidRPr="004850A1" w:rsidRDefault="00C44BF2" w:rsidP="004465B8">
            <w:pPr>
              <w:keepNext/>
              <w:rPr>
                <w:rFonts w:ascii="Arial Narrow" w:hAnsi="Arial Narrow"/>
                <w:sz w:val="20"/>
              </w:rPr>
            </w:pPr>
            <w:proofErr w:type="spellStart"/>
            <w:r>
              <w:rPr>
                <w:rFonts w:ascii="Arial Narrow" w:hAnsi="Arial Narrow"/>
                <w:sz w:val="20"/>
              </w:rPr>
              <w:t>Gazyva</w:t>
            </w:r>
            <w:proofErr w:type="spellEnd"/>
          </w:p>
        </w:tc>
        <w:tc>
          <w:tcPr>
            <w:tcW w:w="1133" w:type="dxa"/>
            <w:tcBorders>
              <w:top w:val="single" w:sz="4" w:space="0" w:color="auto"/>
              <w:bottom w:val="single" w:sz="4" w:space="0" w:color="auto"/>
            </w:tcBorders>
          </w:tcPr>
          <w:p w:rsidR="00C44BF2" w:rsidRPr="004850A1" w:rsidRDefault="00C44BF2" w:rsidP="004465B8">
            <w:pPr>
              <w:keepNext/>
              <w:rPr>
                <w:rFonts w:ascii="Arial Narrow" w:hAnsi="Arial Narrow"/>
                <w:sz w:val="20"/>
              </w:rPr>
            </w:pPr>
            <w:r>
              <w:rPr>
                <w:rFonts w:ascii="Arial Narrow" w:hAnsi="Arial Narrow"/>
                <w:sz w:val="20"/>
              </w:rPr>
              <w:t>Roche Products Australia Pty Ltd</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0801CB">
            <w:pPr>
              <w:rPr>
                <w:rFonts w:ascii="Arial Narrow" w:hAnsi="Arial Narrow"/>
                <w:b/>
                <w:sz w:val="20"/>
              </w:rPr>
            </w:pPr>
            <w:r w:rsidRPr="00260CE3">
              <w:rPr>
                <w:rFonts w:ascii="Arial Narrow" w:hAnsi="Arial Narrow"/>
                <w:b/>
                <w:sz w:val="20"/>
              </w:rPr>
              <w:t>Category / Program</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sz w:val="20"/>
              </w:rPr>
            </w:pPr>
            <w:r>
              <w:rPr>
                <w:rFonts w:ascii="Arial Narrow" w:hAnsi="Arial Narrow"/>
                <w:sz w:val="20"/>
              </w:rPr>
              <w:t>Section 100 – Efficient Funding of Chemotherapy</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0801C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sidR="000801CB">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3D5052" w:rsidRDefault="002D4218" w:rsidP="004465B8">
            <w:pPr>
              <w:rPr>
                <w:rFonts w:ascii="Arial Narrow" w:hAnsi="Arial Narrow"/>
                <w:i/>
                <w:sz w:val="20"/>
              </w:rPr>
            </w:pPr>
            <w:r>
              <w:rPr>
                <w:rFonts w:ascii="Arial Narrow" w:hAnsi="Arial Narrow"/>
                <w:i/>
                <w:sz w:val="20"/>
              </w:rPr>
              <w:t>Rituximab-</w:t>
            </w:r>
            <w:r w:rsidR="0091062A">
              <w:rPr>
                <w:rFonts w:ascii="Arial Narrow" w:hAnsi="Arial Narrow"/>
                <w:i/>
                <w:sz w:val="20"/>
              </w:rPr>
              <w:t>r</w:t>
            </w:r>
            <w:r w:rsidR="00C44BF2" w:rsidRPr="003D5052">
              <w:rPr>
                <w:rFonts w:ascii="Arial Narrow" w:hAnsi="Arial Narrow"/>
                <w:i/>
                <w:sz w:val="20"/>
              </w:rPr>
              <w:t>efractory</w:t>
            </w:r>
            <w:r w:rsidR="0059141D">
              <w:rPr>
                <w:rStyle w:val="FootnoteReference"/>
                <w:rFonts w:ascii="Arial Narrow" w:hAnsi="Arial Narrow"/>
                <w:i/>
                <w:sz w:val="20"/>
              </w:rPr>
              <w:footnoteReference w:id="2"/>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Severity:</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3D5052" w:rsidRDefault="00C44BF2" w:rsidP="004465B8">
            <w:pPr>
              <w:rPr>
                <w:rFonts w:ascii="Arial Narrow" w:hAnsi="Arial Narrow"/>
                <w:strike/>
                <w:sz w:val="20"/>
              </w:rPr>
            </w:pPr>
            <w:r w:rsidRPr="003D5052">
              <w:rPr>
                <w:rFonts w:ascii="Arial Narrow" w:hAnsi="Arial Narrow"/>
                <w:strike/>
                <w:sz w:val="20"/>
              </w:rPr>
              <w:t>Refractory</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sz w:val="20"/>
              </w:rPr>
            </w:pPr>
            <w:r w:rsidRPr="006613EC">
              <w:rPr>
                <w:rFonts w:ascii="Arial Narrow" w:hAnsi="Arial Narrow"/>
                <w:sz w:val="20"/>
              </w:rPr>
              <w:t>CD20 positive</w:t>
            </w:r>
            <w:r>
              <w:rPr>
                <w:rFonts w:ascii="Arial Narrow" w:hAnsi="Arial Narrow"/>
                <w:sz w:val="20"/>
              </w:rPr>
              <w:t xml:space="preserve"> follicular </w:t>
            </w:r>
            <w:r w:rsidRPr="00A36F8A">
              <w:rPr>
                <w:rFonts w:ascii="Arial Narrow" w:hAnsi="Arial Narrow"/>
                <w:i/>
                <w:sz w:val="20"/>
              </w:rPr>
              <w:t>B-cell non-Hodgkin’s</w:t>
            </w:r>
            <w:r>
              <w:rPr>
                <w:rFonts w:ascii="Arial Narrow" w:hAnsi="Arial Narrow"/>
                <w:sz w:val="20"/>
              </w:rPr>
              <w:t xml:space="preserve"> lymphoma</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AE058A" w:rsidRDefault="00C44BF2" w:rsidP="004465B8">
            <w:pPr>
              <w:rPr>
                <w:rFonts w:ascii="Arial Narrow" w:hAnsi="Arial Narrow"/>
                <w:i/>
                <w:sz w:val="20"/>
              </w:rPr>
            </w:pPr>
            <w:r w:rsidRPr="00260CE3">
              <w:rPr>
                <w:rFonts w:ascii="Arial Narrow" w:hAnsi="Arial Narrow"/>
                <w:b/>
                <w:sz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6613EC" w:rsidRDefault="002D4218" w:rsidP="004465B8">
            <w:pPr>
              <w:rPr>
                <w:rFonts w:ascii="Arial Narrow" w:hAnsi="Arial Narrow"/>
                <w:i/>
                <w:sz w:val="20"/>
              </w:rPr>
            </w:pPr>
            <w:r>
              <w:rPr>
                <w:rFonts w:ascii="Arial Narrow" w:hAnsi="Arial Narrow"/>
                <w:i/>
                <w:sz w:val="20"/>
              </w:rPr>
              <w:t>Rituximab-</w:t>
            </w:r>
            <w:r w:rsidR="0091062A">
              <w:rPr>
                <w:rFonts w:ascii="Arial Narrow" w:hAnsi="Arial Narrow"/>
                <w:i/>
                <w:sz w:val="20"/>
              </w:rPr>
              <w:t>r</w:t>
            </w:r>
            <w:r w:rsidR="00C44BF2" w:rsidRPr="006613EC">
              <w:rPr>
                <w:rFonts w:ascii="Arial Narrow" w:hAnsi="Arial Narrow"/>
                <w:i/>
                <w:sz w:val="20"/>
              </w:rPr>
              <w:t>efractory follicular CD20 positive B-cell non-Hodgkin’s lymphoma</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i/>
                <w:sz w:val="20"/>
              </w:rPr>
            </w:pPr>
            <w:r w:rsidRPr="00260CE3">
              <w:rPr>
                <w:rFonts w:ascii="Arial Narrow" w:hAnsi="Arial Narrow"/>
                <w:b/>
                <w:sz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sz w:val="20"/>
              </w:rPr>
            </w:pPr>
            <w:r>
              <w:rPr>
                <w:rFonts w:ascii="Arial Narrow" w:hAnsi="Arial Narrow"/>
                <w:sz w:val="20"/>
              </w:rPr>
              <w:t>Re-induction treatment</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C44BF2" w:rsidRDefault="00C44BF2" w:rsidP="004465B8">
            <w:pPr>
              <w:rPr>
                <w:rFonts w:ascii="Arial Narrow" w:hAnsi="Arial Narrow"/>
                <w:i/>
                <w:sz w:val="20"/>
                <w:highlight w:val="yellow"/>
              </w:rPr>
            </w:pPr>
          </w:p>
          <w:p w:rsidR="00C44BF2" w:rsidRDefault="00C44BF2" w:rsidP="004465B8">
            <w:pPr>
              <w:rPr>
                <w:rFonts w:ascii="Arial Narrow" w:hAnsi="Arial Narrow"/>
                <w:i/>
                <w:sz w:val="20"/>
              </w:rPr>
            </w:pPr>
          </w:p>
          <w:p w:rsidR="00C44BF2" w:rsidRPr="00CD28F3" w:rsidRDefault="00C44BF2" w:rsidP="004465B8">
            <w:pPr>
              <w:rPr>
                <w:rFonts w:ascii="Arial Narrow" w:hAnsi="Arial Narrow"/>
                <w:i/>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C44BF2" w:rsidRPr="00106BCF" w:rsidRDefault="00C44BF2" w:rsidP="004465B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44BF2" w:rsidRPr="00106BCF" w:rsidRDefault="00C44BF2" w:rsidP="004465B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C44BF2" w:rsidRPr="00106BCF" w:rsidRDefault="00C44BF2" w:rsidP="004465B8">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bookmarkStart w:id="6" w:name="Check3"/>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bookmarkEnd w:id="6"/>
            <w:r w:rsidRPr="00106BCF">
              <w:rPr>
                <w:rFonts w:ascii="Arial Narrow" w:hAnsi="Arial Narrow"/>
                <w:sz w:val="20"/>
              </w:rPr>
              <w:t>Authority Required - Telephone</w:t>
            </w:r>
          </w:p>
          <w:p w:rsidR="00C44BF2" w:rsidRPr="00106BCF" w:rsidRDefault="00C44BF2" w:rsidP="004465B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C44BF2" w:rsidRPr="00106BCF" w:rsidRDefault="00C44BF2" w:rsidP="004465B8">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7" w:name="Check5"/>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bookmarkEnd w:id="7"/>
            <w:r w:rsidRPr="00106BCF">
              <w:rPr>
                <w:rFonts w:ascii="Arial Narrow" w:hAnsi="Arial Narrow"/>
                <w:sz w:val="20"/>
              </w:rPr>
              <w:t>Authority Required - Electronic</w:t>
            </w:r>
          </w:p>
          <w:p w:rsidR="00C44BF2" w:rsidRPr="00260CE3" w:rsidRDefault="00C44BF2" w:rsidP="004465B8">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lastRenderedPageBreak/>
              <w:t>Clinical criteria:</w:t>
            </w:r>
          </w:p>
          <w:p w:rsidR="00C44BF2" w:rsidRPr="00260CE3" w:rsidRDefault="00C44BF2" w:rsidP="004465B8">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C44BF2" w:rsidRDefault="00C44BF2" w:rsidP="004465B8">
            <w:pPr>
              <w:rPr>
                <w:rFonts w:ascii="Arial Narrow" w:hAnsi="Arial Narrow"/>
                <w:sz w:val="20"/>
              </w:rPr>
            </w:pPr>
            <w:r>
              <w:rPr>
                <w:rFonts w:ascii="Arial Narrow" w:hAnsi="Arial Narrow"/>
                <w:sz w:val="20"/>
              </w:rPr>
              <w:t>The treatment must be for re-induction treatment purposes only</w:t>
            </w:r>
          </w:p>
          <w:p w:rsidR="005678D0" w:rsidRDefault="005678D0" w:rsidP="004465B8">
            <w:pPr>
              <w:rPr>
                <w:rFonts w:ascii="Arial Narrow" w:hAnsi="Arial Narrow"/>
                <w:sz w:val="20"/>
              </w:rPr>
            </w:pPr>
          </w:p>
          <w:p w:rsidR="00C44BF2" w:rsidRDefault="00C44BF2" w:rsidP="004465B8">
            <w:pPr>
              <w:rPr>
                <w:rFonts w:ascii="Arial Narrow" w:hAnsi="Arial Narrow"/>
                <w:sz w:val="20"/>
              </w:rPr>
            </w:pPr>
            <w:r>
              <w:rPr>
                <w:rFonts w:ascii="Arial Narrow" w:hAnsi="Arial Narrow"/>
                <w:sz w:val="20"/>
              </w:rPr>
              <w:t>AND</w:t>
            </w:r>
          </w:p>
          <w:p w:rsidR="005678D0" w:rsidRDefault="005678D0" w:rsidP="004465B8">
            <w:pPr>
              <w:rPr>
                <w:rFonts w:ascii="Arial Narrow" w:hAnsi="Arial Narrow"/>
                <w:sz w:val="20"/>
              </w:rPr>
            </w:pPr>
          </w:p>
          <w:p w:rsidR="00C44BF2" w:rsidRDefault="00C44BF2" w:rsidP="004465B8">
            <w:pPr>
              <w:rPr>
                <w:rFonts w:ascii="Arial Narrow" w:hAnsi="Arial Narrow"/>
                <w:sz w:val="20"/>
              </w:rPr>
            </w:pPr>
            <w:r w:rsidRPr="00AA56DA">
              <w:rPr>
                <w:rFonts w:ascii="Arial Narrow" w:hAnsi="Arial Narrow"/>
                <w:sz w:val="20"/>
              </w:rPr>
              <w:t>The condition must be refractory to</w:t>
            </w:r>
            <w:r>
              <w:rPr>
                <w:rFonts w:ascii="Arial Narrow" w:hAnsi="Arial Narrow"/>
                <w:sz w:val="20"/>
              </w:rPr>
              <w:t xml:space="preserve"> treatment with</w:t>
            </w:r>
            <w:r w:rsidRPr="00AA56DA">
              <w:rPr>
                <w:rFonts w:ascii="Arial Narrow" w:hAnsi="Arial Narrow"/>
                <w:sz w:val="20"/>
              </w:rPr>
              <w:t xml:space="preserve"> rituximab</w:t>
            </w:r>
            <w:r>
              <w:rPr>
                <w:rFonts w:ascii="Arial Narrow" w:hAnsi="Arial Narrow"/>
                <w:sz w:val="20"/>
              </w:rPr>
              <w:t xml:space="preserve"> for this condition</w:t>
            </w:r>
          </w:p>
          <w:p w:rsidR="005678D0" w:rsidRDefault="005678D0" w:rsidP="004465B8">
            <w:pPr>
              <w:rPr>
                <w:rFonts w:ascii="Arial Narrow" w:hAnsi="Arial Narrow"/>
                <w:sz w:val="20"/>
              </w:rPr>
            </w:pPr>
          </w:p>
          <w:p w:rsidR="00C44BF2" w:rsidRDefault="00C44BF2" w:rsidP="004465B8">
            <w:pPr>
              <w:rPr>
                <w:rFonts w:ascii="Arial Narrow" w:hAnsi="Arial Narrow"/>
                <w:i/>
                <w:sz w:val="20"/>
              </w:rPr>
            </w:pPr>
            <w:r w:rsidRPr="006613EC">
              <w:rPr>
                <w:rFonts w:ascii="Arial Narrow" w:hAnsi="Arial Narrow"/>
                <w:i/>
                <w:sz w:val="20"/>
              </w:rPr>
              <w:t>AND</w:t>
            </w:r>
          </w:p>
          <w:p w:rsidR="005678D0" w:rsidRPr="006613EC" w:rsidRDefault="005678D0" w:rsidP="004465B8">
            <w:pPr>
              <w:rPr>
                <w:rFonts w:ascii="Arial Narrow" w:hAnsi="Arial Narrow"/>
                <w:i/>
                <w:sz w:val="20"/>
              </w:rPr>
            </w:pPr>
          </w:p>
          <w:p w:rsidR="00C44BF2" w:rsidRPr="00260CE3" w:rsidRDefault="00C44BF2" w:rsidP="004465B8">
            <w:pPr>
              <w:rPr>
                <w:rFonts w:ascii="Arial Narrow" w:hAnsi="Arial Narrow"/>
                <w:sz w:val="20"/>
              </w:rPr>
            </w:pPr>
            <w:r w:rsidRPr="006613EC">
              <w:rPr>
                <w:rFonts w:ascii="Arial Narrow" w:hAnsi="Arial Narrow"/>
                <w:i/>
                <w:sz w:val="20"/>
              </w:rPr>
              <w:t xml:space="preserve">The treatment must be in combination with </w:t>
            </w:r>
            <w:proofErr w:type="spellStart"/>
            <w:r w:rsidRPr="006613EC">
              <w:rPr>
                <w:rFonts w:ascii="Arial Narrow" w:hAnsi="Arial Narrow"/>
                <w:i/>
                <w:sz w:val="20"/>
              </w:rPr>
              <w:t>bendamustine</w:t>
            </w:r>
            <w:proofErr w:type="spellEnd"/>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Prescriber Instructions</w:t>
            </w:r>
          </w:p>
          <w:p w:rsidR="00C44BF2" w:rsidRPr="00260CE3" w:rsidRDefault="00C44BF2" w:rsidP="004465B8">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C44BF2" w:rsidRPr="003D5052" w:rsidRDefault="00C44BF2" w:rsidP="004465B8">
            <w:pPr>
              <w:rPr>
                <w:rFonts w:ascii="Arial Narrow" w:hAnsi="Arial Narrow"/>
                <w:strike/>
                <w:sz w:val="20"/>
              </w:rPr>
            </w:pPr>
            <w:r w:rsidRPr="003D5052">
              <w:rPr>
                <w:rFonts w:ascii="Arial Narrow" w:hAnsi="Arial Narrow"/>
                <w:strike/>
                <w:sz w:val="20"/>
              </w:rPr>
              <w:t>To be considered refractory to rituximab, the patient must have had no complete or partial response to a rituximab-containing treatment</w:t>
            </w:r>
          </w:p>
          <w:p w:rsidR="00C44BF2" w:rsidRPr="003D5052" w:rsidRDefault="00C44BF2" w:rsidP="004465B8">
            <w:pPr>
              <w:rPr>
                <w:rFonts w:ascii="Arial Narrow" w:hAnsi="Arial Narrow"/>
                <w:strike/>
                <w:sz w:val="20"/>
              </w:rPr>
            </w:pPr>
            <w:r w:rsidRPr="003D5052">
              <w:rPr>
                <w:rFonts w:ascii="Arial Narrow" w:hAnsi="Arial Narrow"/>
                <w:strike/>
                <w:sz w:val="20"/>
              </w:rPr>
              <w:t>OR</w:t>
            </w:r>
          </w:p>
          <w:p w:rsidR="00C44BF2" w:rsidRPr="003D5052" w:rsidRDefault="00C44BF2" w:rsidP="004465B8">
            <w:pPr>
              <w:rPr>
                <w:rFonts w:ascii="Arial Narrow" w:hAnsi="Arial Narrow"/>
                <w:strike/>
                <w:sz w:val="20"/>
              </w:rPr>
            </w:pPr>
            <w:r w:rsidRPr="003D5052">
              <w:rPr>
                <w:rFonts w:ascii="Arial Narrow" w:hAnsi="Arial Narrow"/>
                <w:strike/>
                <w:sz w:val="20"/>
              </w:rPr>
              <w:t>The patient must have had progressive disease while receiving a rituximab-containing treatment during either induction or maintenance therapy</w:t>
            </w:r>
          </w:p>
          <w:p w:rsidR="00C44BF2" w:rsidRPr="003D5052" w:rsidRDefault="00C44BF2" w:rsidP="004465B8">
            <w:pPr>
              <w:rPr>
                <w:rFonts w:ascii="Arial Narrow" w:hAnsi="Arial Narrow"/>
                <w:strike/>
                <w:sz w:val="20"/>
              </w:rPr>
            </w:pPr>
            <w:r w:rsidRPr="003D5052">
              <w:rPr>
                <w:rFonts w:ascii="Arial Narrow" w:hAnsi="Arial Narrow"/>
                <w:strike/>
                <w:sz w:val="20"/>
              </w:rPr>
              <w:t xml:space="preserve">OR </w:t>
            </w:r>
          </w:p>
          <w:p w:rsidR="00C44BF2" w:rsidRDefault="00C44BF2" w:rsidP="004465B8">
            <w:pPr>
              <w:rPr>
                <w:rFonts w:ascii="Arial Narrow" w:hAnsi="Arial Narrow"/>
                <w:strike/>
                <w:sz w:val="20"/>
              </w:rPr>
            </w:pPr>
            <w:r w:rsidRPr="003D5052">
              <w:rPr>
                <w:rFonts w:ascii="Arial Narrow" w:hAnsi="Arial Narrow"/>
                <w:strike/>
                <w:sz w:val="20"/>
              </w:rPr>
              <w:t>The patient must have had progressive disease within 6 months of completion of the last dose of a rituximab-containing treatment.</w:t>
            </w:r>
          </w:p>
          <w:p w:rsidR="00C44BF2" w:rsidRDefault="00C44BF2" w:rsidP="004465B8">
            <w:pPr>
              <w:rPr>
                <w:rFonts w:ascii="Arial Narrow" w:hAnsi="Arial Narrow"/>
                <w:strike/>
                <w:sz w:val="20"/>
              </w:rPr>
            </w:pPr>
          </w:p>
          <w:p w:rsidR="00C44BF2" w:rsidRDefault="00C44BF2" w:rsidP="004465B8">
            <w:pPr>
              <w:rPr>
                <w:rFonts w:ascii="Arial Narrow" w:hAnsi="Arial Narrow"/>
                <w:i/>
                <w:sz w:val="20"/>
              </w:rPr>
            </w:pPr>
            <w:r>
              <w:rPr>
                <w:rFonts w:ascii="Arial Narrow" w:hAnsi="Arial Narrow"/>
                <w:i/>
                <w:sz w:val="20"/>
              </w:rPr>
              <w:t>A patient who has progressive disease when treated with this drug for this condition is no longer eligible for PBS-subsidised treatment with this drug for this condition.</w:t>
            </w:r>
          </w:p>
          <w:p w:rsidR="00C44BF2" w:rsidRDefault="00C44BF2" w:rsidP="004465B8">
            <w:pPr>
              <w:rPr>
                <w:rFonts w:ascii="Arial Narrow" w:hAnsi="Arial Narrow"/>
                <w:i/>
                <w:sz w:val="20"/>
              </w:rPr>
            </w:pPr>
          </w:p>
          <w:p w:rsidR="00C44BF2" w:rsidRPr="00260CE3" w:rsidRDefault="00C44BF2" w:rsidP="004465B8">
            <w:pPr>
              <w:rPr>
                <w:rFonts w:ascii="Arial Narrow" w:hAnsi="Arial Narrow"/>
                <w:sz w:val="20"/>
              </w:rPr>
            </w:pPr>
            <w:r>
              <w:rPr>
                <w:rFonts w:ascii="Arial Narrow" w:hAnsi="Arial Narrow"/>
                <w:i/>
                <w:sz w:val="20"/>
              </w:rPr>
              <w:t xml:space="preserve">The condition is considered </w:t>
            </w:r>
            <w:r w:rsidR="002D4218">
              <w:rPr>
                <w:rFonts w:ascii="Arial Narrow" w:hAnsi="Arial Narrow"/>
                <w:i/>
                <w:sz w:val="20"/>
              </w:rPr>
              <w:t>rituximab-</w:t>
            </w:r>
            <w:r>
              <w:rPr>
                <w:rFonts w:ascii="Arial Narrow" w:hAnsi="Arial Narrow"/>
                <w:i/>
                <w:sz w:val="20"/>
              </w:rPr>
              <w:t>refractory if the patient experiences less than a partial response or progression of disease within 6 months after completion of a prior rituximab-containing regimen.</w:t>
            </w:r>
          </w:p>
        </w:tc>
      </w:tr>
      <w:tr w:rsidR="00C44BF2" w:rsidRPr="00260CE3" w:rsidTr="005E727C">
        <w:trPr>
          <w:cantSplit/>
          <w:trHeight w:val="360"/>
        </w:trPr>
        <w:tc>
          <w:tcPr>
            <w:tcW w:w="1985"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Administrative Advice</w:t>
            </w:r>
          </w:p>
          <w:p w:rsidR="00C44BF2" w:rsidRPr="00260CE3" w:rsidRDefault="00C44BF2" w:rsidP="004465B8">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C44BF2" w:rsidRDefault="00C44BF2" w:rsidP="004465B8">
            <w:pPr>
              <w:rPr>
                <w:rFonts w:ascii="Arial Narrow" w:hAnsi="Arial Narrow"/>
                <w:i/>
                <w:sz w:val="20"/>
              </w:rPr>
            </w:pPr>
            <w:r>
              <w:rPr>
                <w:rFonts w:ascii="Arial Narrow" w:hAnsi="Arial Narrow"/>
                <w:i/>
                <w:sz w:val="20"/>
              </w:rPr>
              <w:t>No increase in the maximum number of repeats may be au</w:t>
            </w:r>
            <w:r w:rsidR="00330B60">
              <w:rPr>
                <w:rFonts w:ascii="Arial Narrow" w:hAnsi="Arial Narrow"/>
                <w:i/>
                <w:sz w:val="20"/>
              </w:rPr>
              <w:t>thorised.</w:t>
            </w:r>
          </w:p>
          <w:p w:rsidR="00C44BF2" w:rsidRDefault="00C44BF2" w:rsidP="004465B8">
            <w:pPr>
              <w:rPr>
                <w:rFonts w:ascii="Arial Narrow" w:hAnsi="Arial Narrow"/>
                <w:i/>
                <w:sz w:val="20"/>
              </w:rPr>
            </w:pPr>
          </w:p>
          <w:p w:rsidR="00C44BF2" w:rsidRPr="003D5052" w:rsidRDefault="00C44BF2" w:rsidP="000801CB">
            <w:pPr>
              <w:rPr>
                <w:rFonts w:ascii="Arial Narrow" w:hAnsi="Arial Narrow"/>
                <w:sz w:val="20"/>
              </w:rPr>
            </w:pPr>
            <w:r>
              <w:rPr>
                <w:rFonts w:ascii="Arial Narrow" w:hAnsi="Arial Narrow"/>
                <w:i/>
                <w:sz w:val="20"/>
              </w:rPr>
              <w:t>Special Pricing Arrangements apply.</w:t>
            </w:r>
          </w:p>
        </w:tc>
      </w:tr>
    </w:tbl>
    <w:p w:rsidR="00C44BF2" w:rsidRDefault="00C44BF2" w:rsidP="00C44BF2"/>
    <w:tbl>
      <w:tblPr>
        <w:tblW w:w="0" w:type="auto"/>
        <w:tblInd w:w="817" w:type="dxa"/>
        <w:tblLook w:val="0000" w:firstRow="0" w:lastRow="0" w:firstColumn="0" w:lastColumn="0" w:noHBand="0" w:noVBand="0"/>
      </w:tblPr>
      <w:tblGrid>
        <w:gridCol w:w="1616"/>
        <w:gridCol w:w="747"/>
        <w:gridCol w:w="467"/>
        <w:gridCol w:w="2552"/>
        <w:gridCol w:w="782"/>
        <w:gridCol w:w="2237"/>
      </w:tblGrid>
      <w:tr w:rsidR="00C44BF2" w:rsidRPr="00260CE3" w:rsidTr="00C95D97">
        <w:trPr>
          <w:cantSplit/>
          <w:trHeight w:val="471"/>
        </w:trPr>
        <w:tc>
          <w:tcPr>
            <w:tcW w:w="1616" w:type="dxa"/>
            <w:tcBorders>
              <w:bottom w:val="single" w:sz="4" w:space="0" w:color="auto"/>
            </w:tcBorders>
          </w:tcPr>
          <w:p w:rsidR="00C44BF2" w:rsidRPr="00260CE3" w:rsidRDefault="00C44BF2" w:rsidP="004465B8">
            <w:pPr>
              <w:keepNext/>
              <w:ind w:left="-108"/>
              <w:rPr>
                <w:rFonts w:ascii="Arial Narrow" w:hAnsi="Arial Narrow"/>
                <w:sz w:val="20"/>
              </w:rPr>
            </w:pPr>
            <w:r w:rsidRPr="00260CE3">
              <w:rPr>
                <w:rFonts w:ascii="Arial Narrow" w:hAnsi="Arial Narrow"/>
                <w:sz w:val="20"/>
              </w:rPr>
              <w:t>Name, Restriction,</w:t>
            </w:r>
          </w:p>
          <w:p w:rsidR="00C44BF2" w:rsidRPr="00260CE3" w:rsidRDefault="00C44BF2" w:rsidP="004465B8">
            <w:pPr>
              <w:keepNext/>
              <w:ind w:left="-108"/>
              <w:rPr>
                <w:rFonts w:ascii="Arial Narrow" w:hAnsi="Arial Narrow"/>
                <w:sz w:val="20"/>
              </w:rPr>
            </w:pPr>
            <w:r w:rsidRPr="00260CE3">
              <w:rPr>
                <w:rFonts w:ascii="Arial Narrow" w:hAnsi="Arial Narrow"/>
                <w:sz w:val="20"/>
              </w:rPr>
              <w:t>Manner of administration and form</w:t>
            </w:r>
          </w:p>
        </w:tc>
        <w:tc>
          <w:tcPr>
            <w:tcW w:w="0" w:type="auto"/>
            <w:tcBorders>
              <w:bottom w:val="single" w:sz="4" w:space="0" w:color="auto"/>
            </w:tcBorders>
          </w:tcPr>
          <w:p w:rsidR="00C44BF2" w:rsidRPr="00260CE3" w:rsidRDefault="00C44BF2" w:rsidP="004465B8">
            <w:pPr>
              <w:keepNext/>
              <w:ind w:left="-108"/>
              <w:jc w:val="center"/>
              <w:rPr>
                <w:rFonts w:ascii="Arial Narrow" w:hAnsi="Arial Narrow"/>
                <w:sz w:val="20"/>
              </w:rPr>
            </w:pPr>
            <w:r w:rsidRPr="00260CE3">
              <w:rPr>
                <w:rFonts w:ascii="Arial Narrow" w:hAnsi="Arial Narrow"/>
                <w:sz w:val="20"/>
              </w:rPr>
              <w:t>Max.</w:t>
            </w:r>
          </w:p>
          <w:p w:rsidR="00C44BF2" w:rsidRPr="00260CE3" w:rsidRDefault="00C44BF2" w:rsidP="004465B8">
            <w:pPr>
              <w:keepNext/>
              <w:ind w:left="-108"/>
              <w:jc w:val="center"/>
              <w:rPr>
                <w:rFonts w:ascii="Arial Narrow" w:hAnsi="Arial Narrow"/>
                <w:sz w:val="20"/>
              </w:rPr>
            </w:pPr>
            <w:r>
              <w:rPr>
                <w:rFonts w:ascii="Arial Narrow" w:hAnsi="Arial Narrow"/>
                <w:sz w:val="20"/>
              </w:rPr>
              <w:t>Amount</w:t>
            </w:r>
          </w:p>
        </w:tc>
        <w:tc>
          <w:tcPr>
            <w:tcW w:w="0" w:type="auto"/>
            <w:tcBorders>
              <w:bottom w:val="single" w:sz="4" w:space="0" w:color="auto"/>
            </w:tcBorders>
          </w:tcPr>
          <w:p w:rsidR="00C44BF2" w:rsidRPr="00260CE3" w:rsidRDefault="00C44BF2" w:rsidP="004465B8">
            <w:pPr>
              <w:keepNext/>
              <w:ind w:left="-108"/>
              <w:jc w:val="center"/>
              <w:rPr>
                <w:rFonts w:ascii="Arial Narrow" w:hAnsi="Arial Narrow"/>
                <w:sz w:val="20"/>
              </w:rPr>
            </w:pPr>
            <w:r w:rsidRPr="00260CE3">
              <w:rPr>
                <w:rFonts w:ascii="Arial Narrow" w:hAnsi="Arial Narrow"/>
                <w:sz w:val="20"/>
              </w:rPr>
              <w:t>№.of</w:t>
            </w:r>
          </w:p>
          <w:p w:rsidR="00C44BF2" w:rsidRPr="00260CE3" w:rsidRDefault="00C44BF2" w:rsidP="004465B8">
            <w:pPr>
              <w:keepNext/>
              <w:ind w:left="-108"/>
              <w:jc w:val="center"/>
              <w:rPr>
                <w:rFonts w:ascii="Arial Narrow" w:hAnsi="Arial Narrow"/>
                <w:sz w:val="20"/>
              </w:rPr>
            </w:pPr>
            <w:proofErr w:type="spellStart"/>
            <w:r w:rsidRPr="00260CE3">
              <w:rPr>
                <w:rFonts w:ascii="Arial Narrow" w:hAnsi="Arial Narrow"/>
                <w:sz w:val="20"/>
              </w:rPr>
              <w:t>Rpts</w:t>
            </w:r>
            <w:proofErr w:type="spellEnd"/>
          </w:p>
        </w:tc>
        <w:tc>
          <w:tcPr>
            <w:tcW w:w="0" w:type="auto"/>
            <w:tcBorders>
              <w:bottom w:val="single" w:sz="4" w:space="0" w:color="auto"/>
            </w:tcBorders>
          </w:tcPr>
          <w:p w:rsidR="00C44BF2" w:rsidRPr="00260CE3" w:rsidRDefault="00C44BF2" w:rsidP="004465B8">
            <w:pPr>
              <w:keepNext/>
              <w:ind w:left="-108"/>
              <w:jc w:val="center"/>
              <w:rPr>
                <w:rFonts w:ascii="Arial Narrow" w:hAnsi="Arial Narrow"/>
                <w:sz w:val="20"/>
              </w:rPr>
            </w:pPr>
            <w:r w:rsidRPr="00260CE3">
              <w:rPr>
                <w:rFonts w:ascii="Arial Narrow" w:hAnsi="Arial Narrow"/>
                <w:sz w:val="20"/>
              </w:rPr>
              <w:t xml:space="preserve">Dispensed Price for Max. </w:t>
            </w:r>
            <w:r w:rsidRPr="006613EC">
              <w:rPr>
                <w:rFonts w:ascii="Arial Narrow" w:hAnsi="Arial Narrow"/>
                <w:sz w:val="20"/>
              </w:rPr>
              <w:t>Amount</w:t>
            </w:r>
          </w:p>
        </w:tc>
        <w:tc>
          <w:tcPr>
            <w:tcW w:w="3019" w:type="dxa"/>
            <w:gridSpan w:val="2"/>
            <w:tcBorders>
              <w:bottom w:val="single" w:sz="4" w:space="0" w:color="auto"/>
            </w:tcBorders>
          </w:tcPr>
          <w:p w:rsidR="00C44BF2" w:rsidRPr="00260CE3" w:rsidRDefault="00C44BF2" w:rsidP="004465B8">
            <w:pPr>
              <w:keepNext/>
              <w:jc w:val="center"/>
              <w:rPr>
                <w:rFonts w:ascii="Arial Narrow" w:hAnsi="Arial Narrow"/>
                <w:sz w:val="20"/>
                <w:lang w:val="fr-FR"/>
              </w:rPr>
            </w:pPr>
            <w:r w:rsidRPr="00260CE3">
              <w:rPr>
                <w:rFonts w:ascii="Arial Narrow" w:hAnsi="Arial Narrow"/>
                <w:sz w:val="20"/>
              </w:rPr>
              <w:t>Proprietary Name and Manufacturer</w:t>
            </w:r>
          </w:p>
        </w:tc>
      </w:tr>
      <w:tr w:rsidR="00C44BF2" w:rsidRPr="00260CE3" w:rsidTr="00C95D97">
        <w:trPr>
          <w:cantSplit/>
          <w:trHeight w:val="577"/>
        </w:trPr>
        <w:tc>
          <w:tcPr>
            <w:tcW w:w="1616" w:type="dxa"/>
            <w:tcBorders>
              <w:top w:val="single" w:sz="4" w:space="0" w:color="auto"/>
              <w:bottom w:val="single" w:sz="4" w:space="0" w:color="auto"/>
            </w:tcBorders>
            <w:vAlign w:val="center"/>
          </w:tcPr>
          <w:p w:rsidR="00C44BF2" w:rsidRPr="00260CE3" w:rsidRDefault="00C44BF2" w:rsidP="000801CB">
            <w:pPr>
              <w:keepNext/>
              <w:ind w:left="-108"/>
              <w:jc w:val="left"/>
              <w:rPr>
                <w:rFonts w:ascii="Arial Narrow" w:hAnsi="Arial Narrow"/>
                <w:sz w:val="20"/>
              </w:rPr>
            </w:pPr>
            <w:r>
              <w:rPr>
                <w:rFonts w:ascii="Arial Narrow" w:hAnsi="Arial Narrow"/>
                <w:smallCaps/>
                <w:sz w:val="20"/>
              </w:rPr>
              <w:t>OBINUTUZUMAB</w:t>
            </w:r>
            <w:r>
              <w:rPr>
                <w:rFonts w:ascii="Arial Narrow" w:hAnsi="Arial Narrow"/>
                <w:sz w:val="20"/>
              </w:rPr>
              <w:br/>
            </w:r>
            <w:r w:rsidRPr="00021F65">
              <w:rPr>
                <w:rFonts w:ascii="Arial Narrow" w:hAnsi="Arial Narrow"/>
                <w:sz w:val="20"/>
              </w:rPr>
              <w:t xml:space="preserve">solution for </w:t>
            </w:r>
            <w:proofErr w:type="spellStart"/>
            <w:r w:rsidRPr="00021F65">
              <w:rPr>
                <w:rFonts w:ascii="Arial Narrow" w:hAnsi="Arial Narrow"/>
                <w:sz w:val="20"/>
              </w:rPr>
              <w:t>i.v.</w:t>
            </w:r>
            <w:proofErr w:type="spellEnd"/>
            <w:r w:rsidRPr="00021F65">
              <w:rPr>
                <w:rFonts w:ascii="Arial Narrow" w:hAnsi="Arial Narrow"/>
                <w:sz w:val="20"/>
              </w:rPr>
              <w:t xml:space="preserve"> infusion 1000 mg in 40 mL</w:t>
            </w:r>
          </w:p>
        </w:tc>
        <w:tc>
          <w:tcPr>
            <w:tcW w:w="0" w:type="auto"/>
            <w:tcBorders>
              <w:top w:val="single" w:sz="4" w:space="0" w:color="auto"/>
              <w:bottom w:val="single" w:sz="4" w:space="0" w:color="auto"/>
            </w:tcBorders>
          </w:tcPr>
          <w:p w:rsidR="00C44BF2" w:rsidRPr="00260CE3" w:rsidRDefault="00C44BF2" w:rsidP="004465B8">
            <w:pPr>
              <w:keepNext/>
              <w:ind w:left="-108"/>
              <w:jc w:val="center"/>
              <w:rPr>
                <w:rFonts w:ascii="Arial Narrow" w:hAnsi="Arial Narrow"/>
                <w:sz w:val="20"/>
              </w:rPr>
            </w:pPr>
          </w:p>
          <w:p w:rsidR="00C44BF2" w:rsidRPr="00260CE3" w:rsidRDefault="00C44BF2" w:rsidP="004465B8">
            <w:pPr>
              <w:keepNext/>
              <w:ind w:left="-108"/>
              <w:jc w:val="center"/>
              <w:rPr>
                <w:rFonts w:ascii="Arial Narrow" w:hAnsi="Arial Narrow"/>
                <w:sz w:val="20"/>
              </w:rPr>
            </w:pPr>
            <w:r>
              <w:rPr>
                <w:rFonts w:ascii="Arial Narrow" w:hAnsi="Arial Narrow"/>
                <w:sz w:val="20"/>
              </w:rPr>
              <w:t>1000 mg</w:t>
            </w:r>
          </w:p>
        </w:tc>
        <w:tc>
          <w:tcPr>
            <w:tcW w:w="0" w:type="auto"/>
            <w:tcBorders>
              <w:top w:val="single" w:sz="4" w:space="0" w:color="auto"/>
              <w:bottom w:val="single" w:sz="4" w:space="0" w:color="auto"/>
            </w:tcBorders>
          </w:tcPr>
          <w:p w:rsidR="00C44BF2" w:rsidRPr="00260CE3" w:rsidRDefault="00C44BF2" w:rsidP="004465B8">
            <w:pPr>
              <w:keepNext/>
              <w:ind w:left="-108"/>
              <w:jc w:val="center"/>
              <w:rPr>
                <w:rFonts w:ascii="Arial Narrow" w:hAnsi="Arial Narrow"/>
                <w:sz w:val="20"/>
              </w:rPr>
            </w:pPr>
          </w:p>
          <w:p w:rsidR="00C44BF2" w:rsidRPr="00260CE3" w:rsidRDefault="00C44BF2" w:rsidP="004465B8">
            <w:pPr>
              <w:keepNext/>
              <w:ind w:left="-108"/>
              <w:jc w:val="center"/>
              <w:rPr>
                <w:rFonts w:ascii="Arial Narrow" w:hAnsi="Arial Narrow"/>
                <w:sz w:val="20"/>
              </w:rPr>
            </w:pPr>
            <w:r>
              <w:rPr>
                <w:rFonts w:ascii="Arial Narrow" w:hAnsi="Arial Narrow"/>
                <w:sz w:val="20"/>
              </w:rPr>
              <w:t>5</w:t>
            </w:r>
          </w:p>
        </w:tc>
        <w:tc>
          <w:tcPr>
            <w:tcW w:w="0" w:type="auto"/>
            <w:tcBorders>
              <w:top w:val="single" w:sz="4" w:space="0" w:color="auto"/>
              <w:bottom w:val="single" w:sz="4" w:space="0" w:color="auto"/>
            </w:tcBorders>
          </w:tcPr>
          <w:p w:rsidR="00C44BF2" w:rsidRPr="00AA56DA" w:rsidRDefault="00C44BF2" w:rsidP="004465B8">
            <w:pPr>
              <w:pStyle w:val="TableText0"/>
              <w:jc w:val="center"/>
              <w:rPr>
                <w:rFonts w:cs="Arial"/>
                <w:bCs/>
                <w:lang w:eastAsia="en-AU"/>
              </w:rPr>
            </w:pPr>
            <w:r w:rsidRPr="00AA56DA">
              <w:rPr>
                <w:rFonts w:cs="Arial"/>
                <w:bCs/>
                <w:lang w:eastAsia="en-AU"/>
              </w:rPr>
              <w:t>$</w:t>
            </w:r>
            <w:r w:rsidR="003772B2">
              <w:rPr>
                <w:rFonts w:cs="Arial"/>
                <w:bCs/>
                <w:noProof/>
                <w:color w:val="000000"/>
                <w:highlight w:val="black"/>
                <w:lang w:eastAsia="en-AU"/>
              </w:rPr>
              <w:t>'''''''''''''''''''</w:t>
            </w:r>
            <w:r>
              <w:rPr>
                <w:rFonts w:cs="Arial"/>
                <w:bCs/>
                <w:lang w:eastAsia="en-AU"/>
              </w:rPr>
              <w:t xml:space="preserve"> (Published)</w:t>
            </w:r>
          </w:p>
          <w:p w:rsidR="00C44BF2" w:rsidRPr="00A26780" w:rsidRDefault="00C44BF2" w:rsidP="004465B8">
            <w:pPr>
              <w:pStyle w:val="TableText0"/>
              <w:spacing w:before="0" w:after="0"/>
              <w:jc w:val="center"/>
            </w:pPr>
            <w:r w:rsidRPr="00AA56DA">
              <w:rPr>
                <w:rFonts w:cs="Arial"/>
                <w:bCs/>
                <w:lang w:eastAsia="en-AU"/>
              </w:rPr>
              <w:t>$</w:t>
            </w:r>
            <w:r w:rsidR="003772B2">
              <w:rPr>
                <w:rFonts w:cs="Arial"/>
                <w:bCs/>
                <w:noProof/>
                <w:color w:val="000000"/>
                <w:highlight w:val="black"/>
                <w:lang w:eastAsia="en-AU"/>
              </w:rPr>
              <w:t>'''''''''''''''''''''</w:t>
            </w:r>
            <w:r>
              <w:rPr>
                <w:rFonts w:cs="Arial"/>
                <w:bCs/>
                <w:lang w:eastAsia="en-AU"/>
              </w:rPr>
              <w:t xml:space="preserve"> (Effective)</w:t>
            </w:r>
          </w:p>
        </w:tc>
        <w:tc>
          <w:tcPr>
            <w:tcW w:w="0" w:type="auto"/>
            <w:tcBorders>
              <w:top w:val="single" w:sz="4" w:space="0" w:color="auto"/>
              <w:bottom w:val="single" w:sz="4" w:space="0" w:color="auto"/>
            </w:tcBorders>
          </w:tcPr>
          <w:p w:rsidR="00C44BF2" w:rsidRPr="004850A1" w:rsidRDefault="00C44BF2" w:rsidP="004465B8">
            <w:pPr>
              <w:keepNext/>
              <w:jc w:val="center"/>
              <w:rPr>
                <w:rFonts w:ascii="Arial Narrow" w:hAnsi="Arial Narrow"/>
                <w:sz w:val="20"/>
              </w:rPr>
            </w:pPr>
            <w:proofErr w:type="spellStart"/>
            <w:r>
              <w:rPr>
                <w:rFonts w:ascii="Arial Narrow" w:hAnsi="Arial Narrow"/>
                <w:sz w:val="20"/>
              </w:rPr>
              <w:t>Gazyva</w:t>
            </w:r>
            <w:proofErr w:type="spellEnd"/>
          </w:p>
        </w:tc>
        <w:tc>
          <w:tcPr>
            <w:tcW w:w="2212" w:type="dxa"/>
            <w:tcBorders>
              <w:top w:val="single" w:sz="4" w:space="0" w:color="auto"/>
              <w:bottom w:val="single" w:sz="4" w:space="0" w:color="auto"/>
            </w:tcBorders>
          </w:tcPr>
          <w:p w:rsidR="00C44BF2" w:rsidRPr="004850A1" w:rsidRDefault="00C44BF2" w:rsidP="004465B8">
            <w:pPr>
              <w:keepNext/>
              <w:jc w:val="center"/>
              <w:rPr>
                <w:rFonts w:ascii="Arial Narrow" w:hAnsi="Arial Narrow"/>
                <w:sz w:val="20"/>
              </w:rPr>
            </w:pPr>
            <w:r>
              <w:rPr>
                <w:rFonts w:ascii="Arial Narrow" w:hAnsi="Arial Narrow"/>
                <w:sz w:val="20"/>
              </w:rPr>
              <w:t>Roche Products Australia Pty Ltd</w:t>
            </w:r>
          </w:p>
        </w:tc>
      </w:tr>
      <w:tr w:rsidR="00C44BF2" w:rsidRPr="00260CE3" w:rsidTr="00C95D97">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0801CB">
            <w:pPr>
              <w:rPr>
                <w:rFonts w:ascii="Arial Narrow" w:hAnsi="Arial Narrow"/>
                <w:b/>
                <w:sz w:val="20"/>
              </w:rPr>
            </w:pPr>
            <w:r w:rsidRPr="00260CE3">
              <w:rPr>
                <w:rFonts w:ascii="Arial Narrow" w:hAnsi="Arial Narrow"/>
                <w:b/>
                <w:sz w:val="20"/>
              </w:rPr>
              <w:t>Category / Program</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sz w:val="20"/>
              </w:rPr>
            </w:pPr>
            <w:r>
              <w:rPr>
                <w:rFonts w:ascii="Arial Narrow" w:hAnsi="Arial Narrow"/>
                <w:sz w:val="20"/>
              </w:rPr>
              <w:t>Section 100 – Efficient Funding of Chemotherapy</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Prescriber type:</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0801CB">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sidR="000801CB">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260CE3" w:rsidRDefault="002D4218" w:rsidP="004465B8">
            <w:pPr>
              <w:rPr>
                <w:rFonts w:ascii="Arial Narrow" w:hAnsi="Arial Narrow"/>
                <w:sz w:val="20"/>
              </w:rPr>
            </w:pPr>
            <w:r>
              <w:rPr>
                <w:rFonts w:ascii="Arial Narrow" w:hAnsi="Arial Narrow"/>
                <w:i/>
                <w:sz w:val="20"/>
              </w:rPr>
              <w:t>Rituximab-</w:t>
            </w:r>
            <w:r w:rsidR="007D4F10">
              <w:rPr>
                <w:rFonts w:ascii="Arial Narrow" w:hAnsi="Arial Narrow"/>
                <w:i/>
                <w:sz w:val="20"/>
              </w:rPr>
              <w:t>r</w:t>
            </w:r>
            <w:r w:rsidR="00C44BF2" w:rsidRPr="003D5052">
              <w:rPr>
                <w:rFonts w:ascii="Arial Narrow" w:hAnsi="Arial Narrow"/>
                <w:i/>
                <w:sz w:val="20"/>
              </w:rPr>
              <w:t>efractory</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Condition:</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3D5052" w:rsidRDefault="00C44BF2" w:rsidP="004465B8">
            <w:pPr>
              <w:rPr>
                <w:rFonts w:ascii="Arial Narrow" w:hAnsi="Arial Narrow"/>
                <w:strike/>
                <w:sz w:val="20"/>
              </w:rPr>
            </w:pPr>
            <w:r w:rsidRPr="003D5052">
              <w:rPr>
                <w:rFonts w:ascii="Arial Narrow" w:hAnsi="Arial Narrow"/>
                <w:strike/>
                <w:sz w:val="20"/>
              </w:rPr>
              <w:t>Refractory</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AE058A" w:rsidRDefault="00C44BF2" w:rsidP="004465B8">
            <w:pPr>
              <w:rPr>
                <w:rFonts w:ascii="Arial Narrow" w:hAnsi="Arial Narrow"/>
                <w:i/>
                <w:sz w:val="20"/>
              </w:rPr>
            </w:pPr>
            <w:r w:rsidRPr="00260CE3">
              <w:rPr>
                <w:rFonts w:ascii="Arial Narrow" w:hAnsi="Arial Narrow"/>
                <w:b/>
                <w:sz w:val="20"/>
              </w:rPr>
              <w:t>PBS Indication:</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260CE3" w:rsidRDefault="002D4218" w:rsidP="004465B8">
            <w:pPr>
              <w:rPr>
                <w:rFonts w:ascii="Arial Narrow" w:hAnsi="Arial Narrow"/>
                <w:sz w:val="20"/>
              </w:rPr>
            </w:pPr>
            <w:r>
              <w:rPr>
                <w:rFonts w:ascii="Arial Narrow" w:hAnsi="Arial Narrow"/>
                <w:i/>
                <w:sz w:val="20"/>
              </w:rPr>
              <w:t>Rituximab-</w:t>
            </w:r>
            <w:r w:rsidR="007D4F10">
              <w:rPr>
                <w:rFonts w:ascii="Arial Narrow" w:hAnsi="Arial Narrow"/>
                <w:sz w:val="20"/>
              </w:rPr>
              <w:t>r</w:t>
            </w:r>
            <w:r w:rsidR="00C44BF2" w:rsidRPr="0030236D">
              <w:rPr>
                <w:rFonts w:ascii="Arial Narrow" w:hAnsi="Arial Narrow"/>
                <w:sz w:val="20"/>
              </w:rPr>
              <w:t xml:space="preserve">efractory </w:t>
            </w:r>
            <w:r w:rsidR="00C44BF2" w:rsidRPr="006613EC">
              <w:rPr>
                <w:rFonts w:ascii="Arial Narrow" w:hAnsi="Arial Narrow"/>
                <w:sz w:val="20"/>
              </w:rPr>
              <w:t>CD20 positive</w:t>
            </w:r>
            <w:r w:rsidR="00C44BF2">
              <w:rPr>
                <w:rFonts w:ascii="Arial Narrow" w:hAnsi="Arial Narrow"/>
                <w:sz w:val="20"/>
              </w:rPr>
              <w:t xml:space="preserve"> follicular </w:t>
            </w:r>
            <w:r w:rsidR="00C44BF2" w:rsidRPr="00A36F8A">
              <w:rPr>
                <w:rFonts w:ascii="Arial Narrow" w:hAnsi="Arial Narrow"/>
                <w:i/>
                <w:sz w:val="20"/>
              </w:rPr>
              <w:t>B-cell non-Hodgkin’s</w:t>
            </w:r>
            <w:r w:rsidR="00C44BF2">
              <w:rPr>
                <w:rFonts w:ascii="Arial Narrow" w:hAnsi="Arial Narrow"/>
                <w:sz w:val="20"/>
              </w:rPr>
              <w:t xml:space="preserve"> lymphoma</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i/>
                <w:sz w:val="20"/>
              </w:rPr>
            </w:pPr>
            <w:r w:rsidRPr="00260CE3">
              <w:rPr>
                <w:rFonts w:ascii="Arial Narrow" w:hAnsi="Arial Narrow"/>
                <w:b/>
                <w:sz w:val="20"/>
              </w:rPr>
              <w:t>Treatment phase:</w:t>
            </w:r>
          </w:p>
        </w:tc>
        <w:tc>
          <w:tcPr>
            <w:tcW w:w="6747" w:type="dxa"/>
            <w:gridSpan w:val="5"/>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sz w:val="20"/>
              </w:rPr>
            </w:pPr>
            <w:r>
              <w:rPr>
                <w:rFonts w:ascii="Arial Narrow" w:hAnsi="Arial Narrow"/>
                <w:sz w:val="20"/>
              </w:rPr>
              <w:t>Maintenance therapy</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C44BF2" w:rsidRDefault="00C44BF2" w:rsidP="004465B8">
            <w:pPr>
              <w:rPr>
                <w:rFonts w:ascii="Arial Narrow" w:hAnsi="Arial Narrow"/>
                <w:i/>
                <w:sz w:val="20"/>
                <w:highlight w:val="yellow"/>
              </w:rPr>
            </w:pPr>
          </w:p>
          <w:p w:rsidR="00C44BF2" w:rsidRDefault="00C44BF2" w:rsidP="004465B8">
            <w:pPr>
              <w:rPr>
                <w:rFonts w:ascii="Arial Narrow" w:hAnsi="Arial Narrow"/>
                <w:i/>
                <w:sz w:val="20"/>
              </w:rPr>
            </w:pPr>
          </w:p>
          <w:p w:rsidR="00C44BF2" w:rsidRPr="00CD28F3" w:rsidRDefault="00C44BF2" w:rsidP="004465B8">
            <w:pPr>
              <w:rPr>
                <w:rFonts w:ascii="Arial Narrow" w:hAnsi="Arial Narrow"/>
                <w:i/>
                <w:sz w:val="20"/>
              </w:rPr>
            </w:pPr>
          </w:p>
        </w:tc>
        <w:tc>
          <w:tcPr>
            <w:tcW w:w="6747" w:type="dxa"/>
            <w:gridSpan w:val="5"/>
            <w:tcBorders>
              <w:top w:val="single" w:sz="4" w:space="0" w:color="auto"/>
              <w:left w:val="single" w:sz="4" w:space="0" w:color="auto"/>
              <w:bottom w:val="single" w:sz="4" w:space="0" w:color="auto"/>
              <w:right w:val="single" w:sz="4" w:space="0" w:color="auto"/>
            </w:tcBorders>
          </w:tcPr>
          <w:p w:rsidR="00C44BF2" w:rsidRPr="00106BCF" w:rsidRDefault="00C44BF2" w:rsidP="004465B8">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44BF2" w:rsidRPr="00106BCF" w:rsidRDefault="00C44BF2" w:rsidP="004465B8">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C44BF2" w:rsidRPr="00106BCF" w:rsidRDefault="00C44BF2" w:rsidP="004465B8">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C44BF2" w:rsidRPr="00106BCF" w:rsidRDefault="00C44BF2" w:rsidP="004465B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C44BF2" w:rsidRPr="00106BCF" w:rsidRDefault="00C44BF2" w:rsidP="004465B8">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C44BF2" w:rsidRPr="00260CE3" w:rsidRDefault="00C44BF2" w:rsidP="004465B8">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330B60">
              <w:rPr>
                <w:rFonts w:ascii="Arial Narrow" w:hAnsi="Arial Narrow"/>
                <w:sz w:val="20"/>
              </w:rPr>
            </w:r>
            <w:r w:rsidR="00330B6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lastRenderedPageBreak/>
              <w:t>Clinical criteria:</w:t>
            </w:r>
          </w:p>
          <w:p w:rsidR="00C44BF2" w:rsidRPr="00260CE3" w:rsidRDefault="00C44BF2" w:rsidP="004465B8">
            <w:pPr>
              <w:rPr>
                <w:rFonts w:ascii="Arial Narrow" w:hAnsi="Arial Narrow"/>
                <w:i/>
                <w:sz w:val="20"/>
              </w:rPr>
            </w:pPr>
          </w:p>
          <w:p w:rsidR="00C44BF2" w:rsidRPr="00260CE3" w:rsidRDefault="00C44BF2" w:rsidP="004465B8">
            <w:pPr>
              <w:rPr>
                <w:rFonts w:ascii="Arial Narrow" w:hAnsi="Arial Narrow"/>
                <w:sz w:val="20"/>
              </w:rPr>
            </w:pPr>
          </w:p>
        </w:tc>
        <w:tc>
          <w:tcPr>
            <w:tcW w:w="6747" w:type="dxa"/>
            <w:gridSpan w:val="5"/>
            <w:tcBorders>
              <w:top w:val="single" w:sz="4" w:space="0" w:color="auto"/>
              <w:left w:val="single" w:sz="4" w:space="0" w:color="auto"/>
              <w:bottom w:val="single" w:sz="4" w:space="0" w:color="auto"/>
              <w:right w:val="single" w:sz="4" w:space="0" w:color="auto"/>
            </w:tcBorders>
          </w:tcPr>
          <w:p w:rsidR="00C44BF2" w:rsidRDefault="00C44BF2" w:rsidP="004465B8">
            <w:pPr>
              <w:rPr>
                <w:rFonts w:ascii="Arial Narrow" w:hAnsi="Arial Narrow"/>
                <w:strike/>
                <w:sz w:val="20"/>
              </w:rPr>
            </w:pPr>
            <w:r w:rsidRPr="006613EC">
              <w:rPr>
                <w:rFonts w:ascii="Arial Narrow" w:hAnsi="Arial Narrow"/>
                <w:strike/>
                <w:sz w:val="20"/>
              </w:rPr>
              <w:t xml:space="preserve">Patient must have previously received </w:t>
            </w:r>
            <w:r w:rsidRPr="00B83AB1">
              <w:rPr>
                <w:rFonts w:ascii="Arial Narrow" w:hAnsi="Arial Narrow"/>
                <w:strike/>
                <w:sz w:val="20"/>
              </w:rPr>
              <w:t>PBS-subsidised</w:t>
            </w:r>
            <w:r w:rsidRPr="006613EC">
              <w:rPr>
                <w:rFonts w:ascii="Arial Narrow" w:hAnsi="Arial Narrow"/>
                <w:strike/>
                <w:sz w:val="20"/>
              </w:rPr>
              <w:t xml:space="preserve"> treatment with </w:t>
            </w:r>
            <w:proofErr w:type="spellStart"/>
            <w:r w:rsidRPr="006613EC">
              <w:rPr>
                <w:rFonts w:ascii="Arial Narrow" w:hAnsi="Arial Narrow"/>
                <w:strike/>
                <w:sz w:val="20"/>
              </w:rPr>
              <w:t>obinutuzumab</w:t>
            </w:r>
            <w:proofErr w:type="spellEnd"/>
            <w:r w:rsidRPr="006613EC">
              <w:rPr>
                <w:rFonts w:ascii="Arial Narrow" w:hAnsi="Arial Narrow"/>
                <w:strike/>
                <w:sz w:val="20"/>
              </w:rPr>
              <w:t xml:space="preserve"> for rituximab-refractory follicular lymphoma</w:t>
            </w:r>
          </w:p>
          <w:p w:rsidR="00C44BF2" w:rsidRDefault="00C44BF2" w:rsidP="004465B8">
            <w:pPr>
              <w:rPr>
                <w:rFonts w:ascii="Arial Narrow" w:hAnsi="Arial Narrow"/>
                <w:i/>
                <w:sz w:val="20"/>
              </w:rPr>
            </w:pPr>
            <w:r>
              <w:rPr>
                <w:rFonts w:ascii="Arial Narrow" w:hAnsi="Arial Narrow"/>
                <w:i/>
                <w:sz w:val="20"/>
              </w:rPr>
              <w:t xml:space="preserve">The treatment </w:t>
            </w:r>
            <w:r w:rsidR="002D4218">
              <w:rPr>
                <w:rFonts w:ascii="Arial Narrow" w:hAnsi="Arial Narrow"/>
                <w:i/>
                <w:sz w:val="20"/>
              </w:rPr>
              <w:t xml:space="preserve">must be </w:t>
            </w:r>
            <w:r>
              <w:rPr>
                <w:rFonts w:ascii="Arial Narrow" w:hAnsi="Arial Narrow"/>
                <w:i/>
                <w:sz w:val="20"/>
              </w:rPr>
              <w:t>as monotherapy</w:t>
            </w:r>
          </w:p>
          <w:p w:rsidR="005678D0" w:rsidRDefault="005678D0" w:rsidP="004465B8">
            <w:pPr>
              <w:rPr>
                <w:rFonts w:ascii="Arial Narrow" w:hAnsi="Arial Narrow"/>
                <w:i/>
                <w:sz w:val="20"/>
              </w:rPr>
            </w:pPr>
          </w:p>
          <w:p w:rsidR="00C44BF2" w:rsidRDefault="00C44BF2" w:rsidP="004465B8">
            <w:pPr>
              <w:rPr>
                <w:rFonts w:ascii="Arial Narrow" w:hAnsi="Arial Narrow"/>
                <w:i/>
                <w:sz w:val="20"/>
              </w:rPr>
            </w:pPr>
            <w:r>
              <w:rPr>
                <w:rFonts w:ascii="Arial Narrow" w:hAnsi="Arial Narrow"/>
                <w:i/>
                <w:sz w:val="20"/>
              </w:rPr>
              <w:t>AND</w:t>
            </w:r>
          </w:p>
          <w:p w:rsidR="005678D0" w:rsidRDefault="005678D0" w:rsidP="004465B8">
            <w:pPr>
              <w:rPr>
                <w:rFonts w:ascii="Arial Narrow" w:hAnsi="Arial Narrow"/>
                <w:i/>
                <w:sz w:val="20"/>
              </w:rPr>
            </w:pPr>
          </w:p>
          <w:p w:rsidR="00C44BF2" w:rsidRDefault="00C44BF2" w:rsidP="004465B8">
            <w:pPr>
              <w:rPr>
                <w:rFonts w:ascii="Arial Narrow" w:hAnsi="Arial Narrow"/>
                <w:i/>
                <w:sz w:val="20"/>
              </w:rPr>
            </w:pPr>
            <w:r w:rsidRPr="006613EC">
              <w:rPr>
                <w:rFonts w:ascii="Arial Narrow" w:hAnsi="Arial Narrow"/>
                <w:i/>
                <w:sz w:val="20"/>
              </w:rPr>
              <w:t>The treatment must be</w:t>
            </w:r>
            <w:r>
              <w:rPr>
                <w:rFonts w:ascii="Arial Narrow" w:hAnsi="Arial Narrow"/>
                <w:i/>
                <w:sz w:val="20"/>
              </w:rPr>
              <w:t xml:space="preserve"> for</w:t>
            </w:r>
            <w:r w:rsidRPr="006613EC">
              <w:rPr>
                <w:rFonts w:ascii="Arial Narrow" w:hAnsi="Arial Narrow"/>
                <w:i/>
                <w:sz w:val="20"/>
              </w:rPr>
              <w:t xml:space="preserve"> maintenance therapy</w:t>
            </w:r>
            <w:r>
              <w:rPr>
                <w:rFonts w:ascii="Arial Narrow" w:hAnsi="Arial Narrow"/>
                <w:i/>
                <w:sz w:val="20"/>
              </w:rPr>
              <w:t xml:space="preserve"> only</w:t>
            </w:r>
          </w:p>
          <w:p w:rsidR="005678D0" w:rsidRPr="006613EC" w:rsidRDefault="005678D0" w:rsidP="004465B8">
            <w:pPr>
              <w:rPr>
                <w:rFonts w:ascii="Arial Narrow" w:hAnsi="Arial Narrow"/>
                <w:i/>
                <w:sz w:val="20"/>
              </w:rPr>
            </w:pPr>
          </w:p>
          <w:p w:rsidR="00C44BF2" w:rsidRDefault="00C44BF2" w:rsidP="004465B8">
            <w:pPr>
              <w:rPr>
                <w:rFonts w:ascii="Arial Narrow" w:hAnsi="Arial Narrow"/>
                <w:i/>
                <w:sz w:val="20"/>
              </w:rPr>
            </w:pPr>
            <w:r w:rsidRPr="006613EC">
              <w:rPr>
                <w:rFonts w:ascii="Arial Narrow" w:hAnsi="Arial Narrow"/>
                <w:i/>
                <w:sz w:val="20"/>
              </w:rPr>
              <w:t>AND</w:t>
            </w:r>
          </w:p>
          <w:p w:rsidR="005678D0" w:rsidRDefault="005678D0" w:rsidP="004465B8">
            <w:pPr>
              <w:rPr>
                <w:rFonts w:ascii="Arial Narrow" w:hAnsi="Arial Narrow"/>
                <w:i/>
                <w:sz w:val="20"/>
              </w:rPr>
            </w:pPr>
          </w:p>
          <w:p w:rsidR="005678D0" w:rsidRDefault="00C44BF2" w:rsidP="004465B8">
            <w:pPr>
              <w:rPr>
                <w:rFonts w:ascii="Arial Narrow" w:hAnsi="Arial Narrow"/>
                <w:i/>
                <w:sz w:val="20"/>
              </w:rPr>
            </w:pPr>
            <w:r w:rsidRPr="006613EC">
              <w:rPr>
                <w:rFonts w:ascii="Arial Narrow" w:hAnsi="Arial Narrow"/>
                <w:i/>
                <w:sz w:val="20"/>
              </w:rPr>
              <w:t xml:space="preserve">Patient must have demonstrated a partial or complete response to </w:t>
            </w:r>
            <w:r>
              <w:rPr>
                <w:rFonts w:ascii="Arial Narrow" w:hAnsi="Arial Narrow"/>
                <w:i/>
                <w:sz w:val="20"/>
              </w:rPr>
              <w:t xml:space="preserve">the PBS- subsidised </w:t>
            </w:r>
            <w:r w:rsidR="00330B60">
              <w:rPr>
                <w:rFonts w:ascii="Arial Narrow" w:hAnsi="Arial Narrow"/>
                <w:i/>
                <w:sz w:val="20"/>
              </w:rPr>
              <w:t>re-induction treatment</w:t>
            </w:r>
          </w:p>
          <w:p w:rsidR="005678D0" w:rsidRDefault="005678D0" w:rsidP="004465B8">
            <w:pPr>
              <w:rPr>
                <w:rFonts w:ascii="Arial Narrow" w:hAnsi="Arial Narrow"/>
                <w:i/>
                <w:sz w:val="20"/>
              </w:rPr>
            </w:pPr>
          </w:p>
          <w:p w:rsidR="00C44BF2" w:rsidRDefault="00C44BF2" w:rsidP="004465B8">
            <w:pPr>
              <w:rPr>
                <w:rFonts w:ascii="Arial Narrow" w:hAnsi="Arial Narrow"/>
                <w:sz w:val="20"/>
              </w:rPr>
            </w:pPr>
            <w:r w:rsidRPr="004102CC">
              <w:rPr>
                <w:rFonts w:ascii="Arial Narrow" w:hAnsi="Arial Narrow"/>
                <w:sz w:val="20"/>
              </w:rPr>
              <w:t>AND</w:t>
            </w:r>
          </w:p>
          <w:p w:rsidR="005678D0" w:rsidRDefault="005678D0" w:rsidP="004465B8">
            <w:pPr>
              <w:rPr>
                <w:rFonts w:ascii="Arial Narrow" w:hAnsi="Arial Narrow"/>
                <w:sz w:val="20"/>
              </w:rPr>
            </w:pPr>
          </w:p>
          <w:p w:rsidR="00C44BF2" w:rsidRDefault="00C44BF2" w:rsidP="004465B8">
            <w:pPr>
              <w:rPr>
                <w:rFonts w:ascii="Arial Narrow" w:hAnsi="Arial Narrow"/>
                <w:i/>
                <w:sz w:val="20"/>
              </w:rPr>
            </w:pPr>
            <w:r w:rsidRPr="0044266E">
              <w:rPr>
                <w:rFonts w:ascii="Arial Narrow" w:hAnsi="Arial Narrow"/>
                <w:sz w:val="20"/>
              </w:rPr>
              <w:t>Patient must not have progressive disease</w:t>
            </w:r>
            <w:r>
              <w:rPr>
                <w:rFonts w:ascii="Arial Narrow" w:hAnsi="Arial Narrow"/>
                <w:sz w:val="20"/>
              </w:rPr>
              <w:t xml:space="preserve"> </w:t>
            </w:r>
            <w:r w:rsidRPr="00833DD3">
              <w:rPr>
                <w:rFonts w:ascii="Arial Narrow" w:hAnsi="Arial Narrow"/>
                <w:i/>
                <w:sz w:val="20"/>
              </w:rPr>
              <w:t>while receiving treatment with this drug</w:t>
            </w:r>
          </w:p>
          <w:p w:rsidR="005678D0" w:rsidRDefault="005678D0" w:rsidP="004465B8">
            <w:pPr>
              <w:rPr>
                <w:rFonts w:ascii="Arial Narrow" w:hAnsi="Arial Narrow"/>
                <w:sz w:val="20"/>
              </w:rPr>
            </w:pPr>
          </w:p>
          <w:p w:rsidR="00C44BF2" w:rsidRDefault="00C44BF2" w:rsidP="004465B8">
            <w:pPr>
              <w:rPr>
                <w:rFonts w:ascii="Arial Narrow" w:hAnsi="Arial Narrow"/>
                <w:sz w:val="20"/>
              </w:rPr>
            </w:pPr>
            <w:r>
              <w:rPr>
                <w:rFonts w:ascii="Arial Narrow" w:hAnsi="Arial Narrow"/>
                <w:sz w:val="20"/>
              </w:rPr>
              <w:t>AND</w:t>
            </w:r>
          </w:p>
          <w:p w:rsidR="005678D0" w:rsidRPr="004102CC" w:rsidRDefault="005678D0" w:rsidP="004465B8">
            <w:pPr>
              <w:rPr>
                <w:rFonts w:ascii="Arial Narrow" w:hAnsi="Arial Narrow"/>
                <w:sz w:val="20"/>
              </w:rPr>
            </w:pPr>
          </w:p>
          <w:p w:rsidR="00C44BF2" w:rsidRPr="00260CE3" w:rsidRDefault="00C44BF2" w:rsidP="004465B8">
            <w:pPr>
              <w:rPr>
                <w:rFonts w:ascii="Arial Narrow" w:hAnsi="Arial Narrow"/>
                <w:sz w:val="20"/>
              </w:rPr>
            </w:pPr>
            <w:r w:rsidRPr="004102CC">
              <w:rPr>
                <w:rFonts w:ascii="Arial Narrow" w:hAnsi="Arial Narrow"/>
                <w:sz w:val="20"/>
              </w:rPr>
              <w:t>Patient must not receive more than 12 doses or 2 years duration of treatment, whichever comes first, under this restriction</w:t>
            </w:r>
          </w:p>
        </w:tc>
      </w:tr>
      <w:tr w:rsidR="00C44BF2" w:rsidRPr="00260CE3" w:rsidTr="005E727C">
        <w:trPr>
          <w:cantSplit/>
          <w:trHeight w:val="360"/>
        </w:trPr>
        <w:tc>
          <w:tcPr>
            <w:tcW w:w="1616" w:type="dxa"/>
            <w:tcBorders>
              <w:top w:val="single" w:sz="4" w:space="0" w:color="auto"/>
              <w:left w:val="single" w:sz="4" w:space="0" w:color="auto"/>
              <w:bottom w:val="single" w:sz="4" w:space="0" w:color="auto"/>
              <w:right w:val="single" w:sz="4" w:space="0" w:color="auto"/>
            </w:tcBorders>
          </w:tcPr>
          <w:p w:rsidR="00C44BF2" w:rsidRPr="00260CE3" w:rsidRDefault="00C44BF2" w:rsidP="004465B8">
            <w:pPr>
              <w:rPr>
                <w:rFonts w:ascii="Arial Narrow" w:hAnsi="Arial Narrow"/>
                <w:b/>
                <w:sz w:val="20"/>
              </w:rPr>
            </w:pPr>
            <w:r w:rsidRPr="00260CE3">
              <w:rPr>
                <w:rFonts w:ascii="Arial Narrow" w:hAnsi="Arial Narrow"/>
                <w:b/>
                <w:sz w:val="20"/>
              </w:rPr>
              <w:t>Administrative Advice</w:t>
            </w:r>
          </w:p>
          <w:p w:rsidR="00C44BF2" w:rsidRPr="00260CE3" w:rsidRDefault="00C44BF2" w:rsidP="004465B8">
            <w:pPr>
              <w:rPr>
                <w:rFonts w:ascii="Arial Narrow" w:hAnsi="Arial Narrow"/>
                <w:sz w:val="20"/>
              </w:rPr>
            </w:pPr>
          </w:p>
        </w:tc>
        <w:tc>
          <w:tcPr>
            <w:tcW w:w="6747" w:type="dxa"/>
            <w:gridSpan w:val="5"/>
            <w:tcBorders>
              <w:top w:val="single" w:sz="4" w:space="0" w:color="auto"/>
              <w:left w:val="single" w:sz="4" w:space="0" w:color="auto"/>
              <w:bottom w:val="single" w:sz="4" w:space="0" w:color="auto"/>
              <w:right w:val="single" w:sz="4" w:space="0" w:color="auto"/>
            </w:tcBorders>
          </w:tcPr>
          <w:p w:rsidR="00C44BF2" w:rsidRDefault="00C44BF2" w:rsidP="004465B8">
            <w:pPr>
              <w:rPr>
                <w:rFonts w:ascii="Arial Narrow" w:hAnsi="Arial Narrow"/>
                <w:i/>
                <w:sz w:val="20"/>
              </w:rPr>
            </w:pPr>
            <w:r>
              <w:rPr>
                <w:rFonts w:ascii="Arial Narrow" w:hAnsi="Arial Narrow"/>
                <w:i/>
                <w:sz w:val="20"/>
              </w:rPr>
              <w:t>No increase in the maximum quantity or num</w:t>
            </w:r>
            <w:r w:rsidR="00330B60">
              <w:rPr>
                <w:rFonts w:ascii="Arial Narrow" w:hAnsi="Arial Narrow"/>
                <w:i/>
                <w:sz w:val="20"/>
              </w:rPr>
              <w:t>ber of units may be authorised.</w:t>
            </w:r>
          </w:p>
          <w:p w:rsidR="00C44BF2" w:rsidRDefault="00C44BF2" w:rsidP="004465B8">
            <w:pPr>
              <w:rPr>
                <w:rFonts w:ascii="Arial Narrow" w:hAnsi="Arial Narrow"/>
                <w:i/>
                <w:sz w:val="20"/>
              </w:rPr>
            </w:pPr>
          </w:p>
          <w:p w:rsidR="00C44BF2" w:rsidRDefault="00C44BF2" w:rsidP="004465B8">
            <w:pPr>
              <w:rPr>
                <w:rFonts w:ascii="Arial Narrow" w:hAnsi="Arial Narrow"/>
                <w:i/>
                <w:sz w:val="20"/>
              </w:rPr>
            </w:pPr>
            <w:r>
              <w:rPr>
                <w:rFonts w:ascii="Arial Narrow" w:hAnsi="Arial Narrow"/>
                <w:i/>
                <w:sz w:val="20"/>
              </w:rPr>
              <w:t>No increase in the maximum numbe</w:t>
            </w:r>
            <w:r w:rsidR="00330B60">
              <w:rPr>
                <w:rFonts w:ascii="Arial Narrow" w:hAnsi="Arial Narrow"/>
                <w:i/>
                <w:sz w:val="20"/>
              </w:rPr>
              <w:t>r of repeats may be authorised.</w:t>
            </w:r>
          </w:p>
          <w:p w:rsidR="00C44BF2" w:rsidRDefault="00C44BF2" w:rsidP="004465B8">
            <w:pPr>
              <w:rPr>
                <w:rFonts w:ascii="Arial Narrow" w:hAnsi="Arial Narrow"/>
                <w:i/>
                <w:sz w:val="20"/>
              </w:rPr>
            </w:pPr>
          </w:p>
          <w:p w:rsidR="00C44BF2" w:rsidRPr="00260CE3" w:rsidRDefault="00C44BF2" w:rsidP="004465B8">
            <w:pPr>
              <w:rPr>
                <w:rFonts w:ascii="Arial Narrow" w:hAnsi="Arial Narrow"/>
                <w:sz w:val="20"/>
              </w:rPr>
            </w:pPr>
            <w:r>
              <w:rPr>
                <w:rFonts w:ascii="Arial Narrow" w:hAnsi="Arial Narrow"/>
                <w:i/>
                <w:sz w:val="20"/>
              </w:rPr>
              <w:t>Special Pricing Arrangements apply.</w:t>
            </w:r>
          </w:p>
        </w:tc>
      </w:tr>
    </w:tbl>
    <w:p w:rsidR="00390FD9" w:rsidRPr="00390FD9" w:rsidRDefault="00390FD9" w:rsidP="00390FD9">
      <w:pPr>
        <w:pStyle w:val="ListParagraph"/>
        <w:widowControl/>
        <w:rPr>
          <w:szCs w:val="22"/>
        </w:rPr>
      </w:pPr>
    </w:p>
    <w:p w:rsidR="004734ED" w:rsidRDefault="00390FD9" w:rsidP="004734ED">
      <w:pPr>
        <w:pStyle w:val="ListParagraph"/>
        <w:numPr>
          <w:ilvl w:val="1"/>
          <w:numId w:val="1"/>
        </w:numPr>
      </w:pPr>
      <w:r w:rsidRPr="005D5FF8">
        <w:t xml:space="preserve">The </w:t>
      </w:r>
      <w:r w:rsidR="005D4856" w:rsidRPr="005D5FF8">
        <w:t>Pre-Sub-Committee Response (</w:t>
      </w:r>
      <w:r w:rsidRPr="005D5FF8">
        <w:t>PSCR</w:t>
      </w:r>
      <w:r w:rsidR="005D4856" w:rsidRPr="005D5FF8">
        <w:t>)</w:t>
      </w:r>
      <w:r w:rsidRPr="005D5FF8">
        <w:t xml:space="preserve"> </w:t>
      </w:r>
      <w:r w:rsidR="006A4A8B" w:rsidRPr="005D5FF8">
        <w:t xml:space="preserve">(p5) </w:t>
      </w:r>
      <w:r w:rsidRPr="005D5FF8">
        <w:t xml:space="preserve">claimed that the suggested wording for the maintenance therapy restriction was inconsistent with the GADOLIN trial and the patient population modelled in the economic evaluation, as it excluded patients with stable disease after induction therapy with </w:t>
      </w:r>
      <w:proofErr w:type="spellStart"/>
      <w:r w:rsidRPr="005D5FF8">
        <w:t>obinutuzumab</w:t>
      </w:r>
      <w:proofErr w:type="spellEnd"/>
      <w:r w:rsidRPr="005D5FF8">
        <w:t xml:space="preserve"> plus </w:t>
      </w:r>
      <w:proofErr w:type="spellStart"/>
      <w:r w:rsidRPr="005D5FF8">
        <w:t>bendamustine</w:t>
      </w:r>
      <w:proofErr w:type="spellEnd"/>
      <w:r w:rsidRPr="005D5FF8">
        <w:t xml:space="preserve"> from receiving </w:t>
      </w:r>
      <w:proofErr w:type="spellStart"/>
      <w:r w:rsidRPr="005D5FF8">
        <w:t>obinutuzumab</w:t>
      </w:r>
      <w:proofErr w:type="spellEnd"/>
      <w:r w:rsidRPr="005D5FF8">
        <w:t xml:space="preserve"> maintenance therapy. The ESC considered that patients with stable disease should be allowed access to </w:t>
      </w:r>
      <w:proofErr w:type="spellStart"/>
      <w:r w:rsidRPr="005D5FF8">
        <w:t>obinutuzumab</w:t>
      </w:r>
      <w:proofErr w:type="spellEnd"/>
      <w:r w:rsidRPr="005D5FF8">
        <w:t xml:space="preserve"> maintenance therapy.</w:t>
      </w:r>
    </w:p>
    <w:p w:rsidR="004734ED" w:rsidRDefault="004734ED" w:rsidP="004734ED">
      <w:pPr>
        <w:pStyle w:val="ListParagraph"/>
      </w:pPr>
    </w:p>
    <w:p w:rsidR="00390FD9" w:rsidRPr="000801CB" w:rsidRDefault="004734ED" w:rsidP="000801CB">
      <w:pPr>
        <w:pStyle w:val="ListParagraph"/>
        <w:numPr>
          <w:ilvl w:val="1"/>
          <w:numId w:val="1"/>
        </w:numPr>
        <w:rPr>
          <w:szCs w:val="22"/>
        </w:rPr>
      </w:pPr>
      <w:r w:rsidRPr="004734ED">
        <w:t xml:space="preserve">The PBAC noted that unlike </w:t>
      </w:r>
      <w:r w:rsidR="00F672A7">
        <w:t xml:space="preserve">precedent examples of </w:t>
      </w:r>
      <w:r w:rsidRPr="004734ED">
        <w:t xml:space="preserve">rituximab-based regimens where combination therapy increased response rates, no such incremental response was observed in the GADOLIN trial; rather, the major benefit observed related to the maintenance phase. The PBAC therefore considered that it was reasonable to follow the trial approach and allow access to </w:t>
      </w:r>
      <w:proofErr w:type="spellStart"/>
      <w:r w:rsidRPr="004734ED">
        <w:t>obinutuzumab</w:t>
      </w:r>
      <w:proofErr w:type="spellEnd"/>
      <w:r w:rsidRPr="004734ED">
        <w:t xml:space="preserve"> maintenance therapy for patients with stable, but not progressive, disease.</w:t>
      </w:r>
      <w:r w:rsidR="006332A2">
        <w:t xml:space="preserve"> </w:t>
      </w:r>
      <w:r w:rsidR="00C457E9">
        <w:t>T</w:t>
      </w:r>
      <w:r w:rsidR="00D26CC4">
        <w:t>he PBAC considered that the clinical criterion for maintenance therapy should be changed from “</w:t>
      </w:r>
      <w:r w:rsidR="00D26CC4" w:rsidRPr="00D26CC4">
        <w:t>Patient must have demonstrated a partial or complete response to the PBS- subsidised re-induction treatment</w:t>
      </w:r>
      <w:r w:rsidR="00D26CC4">
        <w:t>”, to “</w:t>
      </w:r>
      <w:r w:rsidR="00D26CC4" w:rsidRPr="00D26CC4">
        <w:t>Patient must have demonstrated a partial or complete response</w:t>
      </w:r>
      <w:r w:rsidR="00D26CC4">
        <w:t>, or stable disease,</w:t>
      </w:r>
      <w:r w:rsidR="00D26CC4" w:rsidRPr="00D26CC4">
        <w:t xml:space="preserve"> to the PBS- subsidised re-induction treatment</w:t>
      </w:r>
      <w:r w:rsidR="00D26CC4">
        <w:t>”</w:t>
      </w:r>
      <w:r w:rsidR="00330B60">
        <w:t>.</w:t>
      </w:r>
    </w:p>
    <w:p w:rsidR="00390FD9" w:rsidRDefault="00390FD9" w:rsidP="00390FD9">
      <w:pPr>
        <w:pStyle w:val="ListParagraph"/>
        <w:widowControl/>
        <w:rPr>
          <w:szCs w:val="22"/>
        </w:rPr>
      </w:pPr>
    </w:p>
    <w:p w:rsidR="00710C6B" w:rsidRDefault="00710C6B" w:rsidP="005D5FF8">
      <w:pPr>
        <w:pStyle w:val="ListParagraph"/>
        <w:widowControl/>
        <w:numPr>
          <w:ilvl w:val="1"/>
          <w:numId w:val="1"/>
        </w:numPr>
        <w:rPr>
          <w:szCs w:val="22"/>
        </w:rPr>
      </w:pPr>
      <w:proofErr w:type="spellStart"/>
      <w:r w:rsidRPr="00F17A66">
        <w:rPr>
          <w:szCs w:val="22"/>
        </w:rPr>
        <w:t>Obinutuzumab</w:t>
      </w:r>
      <w:proofErr w:type="spellEnd"/>
      <w:r w:rsidRPr="00F17A66">
        <w:rPr>
          <w:szCs w:val="22"/>
        </w:rPr>
        <w:t xml:space="preserve"> </w:t>
      </w:r>
      <w:r w:rsidR="006F1EE2">
        <w:rPr>
          <w:szCs w:val="22"/>
        </w:rPr>
        <w:t>maintenance</w:t>
      </w:r>
      <w:r w:rsidR="00C457E9" w:rsidRPr="00F17A66">
        <w:rPr>
          <w:szCs w:val="22"/>
        </w:rPr>
        <w:t xml:space="preserve"> </w:t>
      </w:r>
      <w:r w:rsidRPr="00F17A66">
        <w:rPr>
          <w:szCs w:val="22"/>
        </w:rPr>
        <w:t xml:space="preserve">treatment is for a maximum of two years after an induction treatment of six months in combination with </w:t>
      </w:r>
      <w:proofErr w:type="spellStart"/>
      <w:r w:rsidRPr="00F17A66">
        <w:rPr>
          <w:szCs w:val="22"/>
        </w:rPr>
        <w:t>bendamus</w:t>
      </w:r>
      <w:r w:rsidR="00195805">
        <w:rPr>
          <w:szCs w:val="22"/>
        </w:rPr>
        <w:t>tine</w:t>
      </w:r>
      <w:proofErr w:type="spellEnd"/>
      <w:r w:rsidR="00195805">
        <w:rPr>
          <w:szCs w:val="22"/>
        </w:rPr>
        <w:t>. T</w:t>
      </w:r>
      <w:r w:rsidRPr="00F17A66">
        <w:rPr>
          <w:szCs w:val="22"/>
        </w:rPr>
        <w:t>his</w:t>
      </w:r>
      <w:r w:rsidR="00195805">
        <w:rPr>
          <w:szCs w:val="22"/>
        </w:rPr>
        <w:t xml:space="preserve"> maximum duration of treatment was included in the economic model.</w:t>
      </w:r>
    </w:p>
    <w:p w:rsidR="00716118" w:rsidRPr="00716118" w:rsidRDefault="00716118" w:rsidP="00716118">
      <w:pPr>
        <w:widowControl/>
        <w:rPr>
          <w:szCs w:val="22"/>
        </w:rPr>
      </w:pPr>
    </w:p>
    <w:p w:rsidR="005D5FF8" w:rsidRPr="000801CB" w:rsidRDefault="00716118" w:rsidP="005D5FF8">
      <w:pPr>
        <w:pStyle w:val="ListParagraph"/>
        <w:widowControl/>
        <w:numPr>
          <w:ilvl w:val="1"/>
          <w:numId w:val="1"/>
        </w:numPr>
        <w:rPr>
          <w:szCs w:val="22"/>
        </w:rPr>
      </w:pPr>
      <w:r w:rsidRPr="00F17A66">
        <w:rPr>
          <w:szCs w:val="22"/>
        </w:rPr>
        <w:t xml:space="preserve">The submission presented a cost-effectiveness analysis of </w:t>
      </w:r>
      <w:proofErr w:type="spellStart"/>
      <w:r w:rsidRPr="00F17A66">
        <w:rPr>
          <w:szCs w:val="22"/>
        </w:rPr>
        <w:t>obinutuzumab</w:t>
      </w:r>
      <w:proofErr w:type="spellEnd"/>
      <w:r w:rsidRPr="00F17A66">
        <w:rPr>
          <w:szCs w:val="22"/>
        </w:rPr>
        <w:t xml:space="preserve"> plus </w:t>
      </w:r>
      <w:proofErr w:type="spellStart"/>
      <w:r w:rsidRPr="00F17A66">
        <w:rPr>
          <w:szCs w:val="22"/>
        </w:rPr>
        <w:t>bendamustine</w:t>
      </w:r>
      <w:proofErr w:type="spellEnd"/>
      <w:r w:rsidRPr="00F17A66">
        <w:rPr>
          <w:szCs w:val="22"/>
        </w:rPr>
        <w:t xml:space="preserve"> compared with </w:t>
      </w:r>
      <w:proofErr w:type="spellStart"/>
      <w:r w:rsidRPr="00F17A66">
        <w:rPr>
          <w:szCs w:val="22"/>
        </w:rPr>
        <w:t>bendamustine</w:t>
      </w:r>
      <w:proofErr w:type="spellEnd"/>
      <w:r w:rsidRPr="00F17A66">
        <w:rPr>
          <w:szCs w:val="22"/>
        </w:rPr>
        <w:t xml:space="preserve"> monotherapy. </w:t>
      </w:r>
      <w:proofErr w:type="spellStart"/>
      <w:r w:rsidRPr="00F17A66">
        <w:rPr>
          <w:szCs w:val="22"/>
        </w:rPr>
        <w:t>Bendamustine</w:t>
      </w:r>
      <w:proofErr w:type="spellEnd"/>
      <w:r w:rsidRPr="00F17A66">
        <w:rPr>
          <w:szCs w:val="22"/>
        </w:rPr>
        <w:t xml:space="preserve"> monotherapy was used as a proxy for best supportive care.</w:t>
      </w:r>
    </w:p>
    <w:p w:rsidR="00B50DB8" w:rsidRPr="00F17A66" w:rsidRDefault="00B50DB8" w:rsidP="00BD6CF3">
      <w:pPr>
        <w:pStyle w:val="PBACHeading1"/>
      </w:pPr>
      <w:bookmarkStart w:id="8" w:name="_Toc458759480"/>
      <w:bookmarkStart w:id="9" w:name="_Toc461614079"/>
      <w:r w:rsidRPr="00F17A66">
        <w:lastRenderedPageBreak/>
        <w:t>Background</w:t>
      </w:r>
      <w:bookmarkEnd w:id="8"/>
      <w:bookmarkEnd w:id="9"/>
    </w:p>
    <w:p w:rsidR="00B60939" w:rsidRPr="00F17A66" w:rsidRDefault="00B60939" w:rsidP="00B60939">
      <w:pPr>
        <w:rPr>
          <w:szCs w:val="22"/>
        </w:rPr>
      </w:pPr>
    </w:p>
    <w:p w:rsidR="008E0F5D" w:rsidRPr="00F17A66" w:rsidRDefault="00195805" w:rsidP="005D5FF8">
      <w:pPr>
        <w:numPr>
          <w:ilvl w:val="1"/>
          <w:numId w:val="1"/>
        </w:numPr>
        <w:rPr>
          <w:szCs w:val="22"/>
        </w:rPr>
      </w:pPr>
      <w:r>
        <w:rPr>
          <w:szCs w:val="22"/>
        </w:rPr>
        <w:t xml:space="preserve">TGA status: </w:t>
      </w:r>
      <w:proofErr w:type="spellStart"/>
      <w:r>
        <w:rPr>
          <w:szCs w:val="22"/>
        </w:rPr>
        <w:t>o</w:t>
      </w:r>
      <w:r w:rsidR="008E0F5D" w:rsidRPr="00F17A66">
        <w:rPr>
          <w:szCs w:val="22"/>
        </w:rPr>
        <w:t>binutuzumab</w:t>
      </w:r>
      <w:proofErr w:type="spellEnd"/>
      <w:r w:rsidR="008E0F5D" w:rsidRPr="00F17A66">
        <w:rPr>
          <w:szCs w:val="22"/>
        </w:rPr>
        <w:t xml:space="preserve"> was TGA approved on 26 August 2016</w:t>
      </w:r>
      <w:r w:rsidR="00710C6B" w:rsidRPr="00F17A66">
        <w:rPr>
          <w:szCs w:val="22"/>
        </w:rPr>
        <w:t>. The approved indication is:</w:t>
      </w:r>
      <w:r w:rsidR="008E0F5D" w:rsidRPr="00F17A66">
        <w:rPr>
          <w:szCs w:val="22"/>
        </w:rPr>
        <w:t xml:space="preserve"> ‘(</w:t>
      </w:r>
      <w:proofErr w:type="spellStart"/>
      <w:r w:rsidR="008E0F5D" w:rsidRPr="00F17A66">
        <w:rPr>
          <w:szCs w:val="22"/>
        </w:rPr>
        <w:t>Obinutuzumab</w:t>
      </w:r>
      <w:proofErr w:type="spellEnd"/>
      <w:r w:rsidR="008E0F5D" w:rsidRPr="00F17A66">
        <w:rPr>
          <w:szCs w:val="22"/>
        </w:rPr>
        <w:t xml:space="preserve">) in combination with </w:t>
      </w:r>
      <w:proofErr w:type="spellStart"/>
      <w:r w:rsidR="008E0F5D" w:rsidRPr="00F17A66">
        <w:rPr>
          <w:szCs w:val="22"/>
        </w:rPr>
        <w:t>bendamustine</w:t>
      </w:r>
      <w:proofErr w:type="spellEnd"/>
      <w:r w:rsidR="008E0F5D" w:rsidRPr="00F17A66">
        <w:rPr>
          <w:szCs w:val="22"/>
        </w:rPr>
        <w:t>, followed by (</w:t>
      </w:r>
      <w:proofErr w:type="spellStart"/>
      <w:r w:rsidR="008E0F5D" w:rsidRPr="00F17A66">
        <w:rPr>
          <w:szCs w:val="22"/>
        </w:rPr>
        <w:t>obinutuzumab</w:t>
      </w:r>
      <w:proofErr w:type="spellEnd"/>
      <w:r w:rsidR="008E0F5D" w:rsidRPr="00F17A66">
        <w:rPr>
          <w:szCs w:val="22"/>
        </w:rPr>
        <w:t>) maintenance, is indicated for the treatment of patien</w:t>
      </w:r>
      <w:r w:rsidR="003312D1">
        <w:rPr>
          <w:szCs w:val="22"/>
        </w:rPr>
        <w:t>ts with follicular lymphoma</w:t>
      </w:r>
      <w:r w:rsidR="008E0F5D" w:rsidRPr="00F17A66">
        <w:rPr>
          <w:szCs w:val="22"/>
        </w:rPr>
        <w:t xml:space="preserve"> who did not respond to, or who progressed during or up to 6 months after treatment with rituximab or a rituximab-containing regimen.’</w:t>
      </w:r>
    </w:p>
    <w:p w:rsidR="00B60939" w:rsidRPr="00F17A66" w:rsidRDefault="00B60939" w:rsidP="000B0425">
      <w:pPr>
        <w:rPr>
          <w:szCs w:val="22"/>
        </w:rPr>
      </w:pPr>
    </w:p>
    <w:p w:rsidR="002C2775" w:rsidRPr="00F17A66" w:rsidRDefault="00FF623C" w:rsidP="005D5FF8">
      <w:pPr>
        <w:pStyle w:val="ListParagraph"/>
        <w:widowControl/>
        <w:numPr>
          <w:ilvl w:val="1"/>
          <w:numId w:val="1"/>
        </w:numPr>
        <w:rPr>
          <w:szCs w:val="22"/>
        </w:rPr>
      </w:pPr>
      <w:proofErr w:type="spellStart"/>
      <w:r w:rsidRPr="00F17A66">
        <w:rPr>
          <w:szCs w:val="22"/>
        </w:rPr>
        <w:t>Obinutu</w:t>
      </w:r>
      <w:r w:rsidR="00195805">
        <w:rPr>
          <w:szCs w:val="22"/>
        </w:rPr>
        <w:t>zumab</w:t>
      </w:r>
      <w:proofErr w:type="spellEnd"/>
      <w:r w:rsidR="00195805">
        <w:rPr>
          <w:szCs w:val="22"/>
        </w:rPr>
        <w:t xml:space="preserve"> is currently</w:t>
      </w:r>
      <w:r w:rsidRPr="00F17A66">
        <w:rPr>
          <w:szCs w:val="22"/>
        </w:rPr>
        <w:t xml:space="preserve"> PBS</w:t>
      </w:r>
      <w:r w:rsidR="00195805">
        <w:rPr>
          <w:szCs w:val="22"/>
        </w:rPr>
        <w:t>-listed</w:t>
      </w:r>
      <w:r w:rsidRPr="00F17A66">
        <w:rPr>
          <w:szCs w:val="22"/>
        </w:rPr>
        <w:t xml:space="preserve"> for use in the treatment of </w:t>
      </w:r>
      <w:r w:rsidR="008E0F5D" w:rsidRPr="00F17A66">
        <w:rPr>
          <w:szCs w:val="22"/>
        </w:rPr>
        <w:t xml:space="preserve">previously untreated </w:t>
      </w:r>
      <w:r w:rsidRPr="00F17A66">
        <w:rPr>
          <w:szCs w:val="22"/>
        </w:rPr>
        <w:t xml:space="preserve">chronic lymphocytic leukaemia in combination with </w:t>
      </w:r>
      <w:proofErr w:type="spellStart"/>
      <w:r w:rsidRPr="00F17A66">
        <w:rPr>
          <w:szCs w:val="22"/>
        </w:rPr>
        <w:t>chlorambucil</w:t>
      </w:r>
      <w:proofErr w:type="spellEnd"/>
      <w:r w:rsidRPr="00F17A66">
        <w:rPr>
          <w:szCs w:val="22"/>
        </w:rPr>
        <w:t>.</w:t>
      </w:r>
    </w:p>
    <w:p w:rsidR="006D589D" w:rsidRPr="00F17A66" w:rsidRDefault="006D589D" w:rsidP="00462BD0">
      <w:pPr>
        <w:pStyle w:val="ListParagraph"/>
        <w:widowControl/>
        <w:rPr>
          <w:szCs w:val="22"/>
        </w:rPr>
      </w:pPr>
    </w:p>
    <w:p w:rsidR="006D589D" w:rsidRDefault="006D589D" w:rsidP="005D5FF8">
      <w:pPr>
        <w:pStyle w:val="ListParagraph"/>
        <w:widowControl/>
        <w:numPr>
          <w:ilvl w:val="1"/>
          <w:numId w:val="1"/>
        </w:numPr>
        <w:rPr>
          <w:szCs w:val="22"/>
        </w:rPr>
      </w:pPr>
      <w:proofErr w:type="spellStart"/>
      <w:r w:rsidRPr="005D5FF8">
        <w:rPr>
          <w:szCs w:val="22"/>
        </w:rPr>
        <w:t>Idelalisib</w:t>
      </w:r>
      <w:proofErr w:type="spellEnd"/>
      <w:r w:rsidRPr="005D5FF8">
        <w:rPr>
          <w:szCs w:val="22"/>
        </w:rPr>
        <w:t xml:space="preserve"> was recommended for listing as monotherapy </w:t>
      </w:r>
      <w:r w:rsidR="00575C75" w:rsidRPr="005D5FF8">
        <w:rPr>
          <w:szCs w:val="22"/>
        </w:rPr>
        <w:t xml:space="preserve">at the </w:t>
      </w:r>
      <w:r w:rsidRPr="005D5FF8">
        <w:rPr>
          <w:szCs w:val="22"/>
        </w:rPr>
        <w:t>July 2016</w:t>
      </w:r>
      <w:r w:rsidR="00575C75" w:rsidRPr="005D5FF8">
        <w:rPr>
          <w:szCs w:val="22"/>
        </w:rPr>
        <w:t xml:space="preserve"> PBAC meeting</w:t>
      </w:r>
      <w:r w:rsidRPr="005D5FF8">
        <w:rPr>
          <w:szCs w:val="22"/>
        </w:rPr>
        <w:t xml:space="preserve"> for patients with follicular lymphoma </w:t>
      </w:r>
      <w:proofErr w:type="gramStart"/>
      <w:r w:rsidRPr="005D5FF8">
        <w:rPr>
          <w:szCs w:val="22"/>
        </w:rPr>
        <w:t>who</w:t>
      </w:r>
      <w:proofErr w:type="gramEnd"/>
      <w:r w:rsidRPr="005D5FF8">
        <w:rPr>
          <w:szCs w:val="22"/>
        </w:rPr>
        <w:t xml:space="preserve"> are refractory to rituximab and to an alkylating agent.</w:t>
      </w:r>
    </w:p>
    <w:p w:rsidR="00B60939" w:rsidRPr="005D5FF8" w:rsidRDefault="00B60939" w:rsidP="004B1CB4"/>
    <w:p w:rsidR="00E55BB5" w:rsidRPr="005D5FF8" w:rsidRDefault="00E55BB5" w:rsidP="004B1CB4"/>
    <w:p w:rsidR="00B50DB8" w:rsidRPr="005D5FF8" w:rsidRDefault="00B50DB8" w:rsidP="00BD6CF3">
      <w:pPr>
        <w:pStyle w:val="PBACHeading1"/>
      </w:pPr>
      <w:bookmarkStart w:id="10" w:name="_Toc458759481"/>
      <w:bookmarkStart w:id="11" w:name="_Toc461614080"/>
      <w:r w:rsidRPr="005D5FF8">
        <w:t>Clinical place for the proposed therapy</w:t>
      </w:r>
      <w:bookmarkEnd w:id="10"/>
      <w:bookmarkEnd w:id="11"/>
    </w:p>
    <w:p w:rsidR="00B60939" w:rsidRPr="005D5FF8" w:rsidRDefault="00B60939" w:rsidP="00B60939">
      <w:pPr>
        <w:rPr>
          <w:szCs w:val="22"/>
        </w:rPr>
      </w:pPr>
    </w:p>
    <w:p w:rsidR="00FF623C" w:rsidRPr="005D5FF8" w:rsidRDefault="00FF623C" w:rsidP="005D5FF8">
      <w:pPr>
        <w:pStyle w:val="ListParagraph"/>
        <w:widowControl/>
        <w:numPr>
          <w:ilvl w:val="1"/>
          <w:numId w:val="1"/>
        </w:numPr>
        <w:rPr>
          <w:szCs w:val="22"/>
        </w:rPr>
      </w:pPr>
      <w:r w:rsidRPr="005D5FF8">
        <w:rPr>
          <w:szCs w:val="22"/>
        </w:rPr>
        <w:t xml:space="preserve">Follicular lymphoma is a commonly occurring form of </w:t>
      </w:r>
      <w:r w:rsidR="003312D1" w:rsidRPr="005D5FF8">
        <w:rPr>
          <w:szCs w:val="22"/>
        </w:rPr>
        <w:t xml:space="preserve">non-Hodgkin’s lymphoma </w:t>
      </w:r>
      <w:r w:rsidRPr="005D5FF8">
        <w:rPr>
          <w:szCs w:val="22"/>
        </w:rPr>
        <w:t>characterised by tumour cell proliferation in a circular or follicular pattern within a lymph node.</w:t>
      </w:r>
      <w:r w:rsidR="00D54C6B" w:rsidRPr="005D5FF8">
        <w:rPr>
          <w:szCs w:val="22"/>
        </w:rPr>
        <w:t xml:space="preserve"> </w:t>
      </w:r>
      <w:r w:rsidR="00710C6B" w:rsidRPr="005D5FF8">
        <w:rPr>
          <w:szCs w:val="22"/>
        </w:rPr>
        <w:t xml:space="preserve">First-line treatment for patients is commonly </w:t>
      </w:r>
      <w:r w:rsidR="000B0425" w:rsidRPr="005D5FF8">
        <w:rPr>
          <w:szCs w:val="22"/>
        </w:rPr>
        <w:t>rituximab in combination with cyclophosphamide, doxorubicin, vincristine and prednisone (R</w:t>
      </w:r>
      <w:r w:rsidR="00710C6B" w:rsidRPr="005D5FF8">
        <w:rPr>
          <w:szCs w:val="22"/>
        </w:rPr>
        <w:t>-CHOP</w:t>
      </w:r>
      <w:r w:rsidR="000B0425" w:rsidRPr="005D5FF8">
        <w:rPr>
          <w:szCs w:val="22"/>
        </w:rPr>
        <w:t>) or rituximab in combination with cyclophosphamide, vincristine and prednisone (</w:t>
      </w:r>
      <w:r w:rsidR="00710C6B" w:rsidRPr="005D5FF8">
        <w:rPr>
          <w:szCs w:val="22"/>
        </w:rPr>
        <w:t>R-CVP</w:t>
      </w:r>
      <w:r w:rsidR="000B0425" w:rsidRPr="005D5FF8">
        <w:rPr>
          <w:szCs w:val="22"/>
        </w:rPr>
        <w:t>)</w:t>
      </w:r>
      <w:r w:rsidR="00710C6B" w:rsidRPr="005D5FF8">
        <w:rPr>
          <w:szCs w:val="22"/>
        </w:rPr>
        <w:t xml:space="preserve"> followed by rituximab monotherapy </w:t>
      </w:r>
      <w:r w:rsidR="00563AC9">
        <w:rPr>
          <w:szCs w:val="22"/>
        </w:rPr>
        <w:t xml:space="preserve">as </w:t>
      </w:r>
      <w:r w:rsidR="00710C6B" w:rsidRPr="005D5FF8">
        <w:rPr>
          <w:szCs w:val="22"/>
        </w:rPr>
        <w:t xml:space="preserve">maintenance. </w:t>
      </w:r>
      <w:r w:rsidR="00710C6B" w:rsidRPr="008F7C58">
        <w:rPr>
          <w:szCs w:val="22"/>
        </w:rPr>
        <w:t xml:space="preserve">Rituximab plus </w:t>
      </w:r>
      <w:proofErr w:type="spellStart"/>
      <w:r w:rsidR="00710C6B" w:rsidRPr="008F7C58">
        <w:rPr>
          <w:szCs w:val="22"/>
        </w:rPr>
        <w:t>bendamustine</w:t>
      </w:r>
      <w:proofErr w:type="spellEnd"/>
      <w:r w:rsidR="00710C6B" w:rsidRPr="008F7C58">
        <w:rPr>
          <w:szCs w:val="22"/>
        </w:rPr>
        <w:t xml:space="preserve"> was</w:t>
      </w:r>
      <w:r w:rsidR="008F7C58" w:rsidRPr="008F7C58">
        <w:rPr>
          <w:szCs w:val="22"/>
        </w:rPr>
        <w:t xml:space="preserve"> </w:t>
      </w:r>
      <w:r w:rsidR="003A6266" w:rsidRPr="008F7C58">
        <w:rPr>
          <w:szCs w:val="22"/>
        </w:rPr>
        <w:t xml:space="preserve">listed on the PBS </w:t>
      </w:r>
      <w:r w:rsidR="008F7C58" w:rsidRPr="008F7C58">
        <w:rPr>
          <w:szCs w:val="22"/>
        </w:rPr>
        <w:t xml:space="preserve">on 1 August 2016 </w:t>
      </w:r>
      <w:r w:rsidR="00710C6B" w:rsidRPr="008F7C58">
        <w:rPr>
          <w:szCs w:val="22"/>
        </w:rPr>
        <w:t>for first-line treatment</w:t>
      </w:r>
      <w:r w:rsidR="00AB4BED" w:rsidRPr="008F7C58">
        <w:rPr>
          <w:szCs w:val="22"/>
        </w:rPr>
        <w:t xml:space="preserve"> in patients with indolent non-Hodgkin’s lymphoma</w:t>
      </w:r>
      <w:r w:rsidR="00710C6B" w:rsidRPr="008F7C58">
        <w:rPr>
          <w:szCs w:val="22"/>
        </w:rPr>
        <w:t>.</w:t>
      </w:r>
      <w:r w:rsidR="00710C6B" w:rsidRPr="005D5FF8">
        <w:rPr>
          <w:szCs w:val="22"/>
        </w:rPr>
        <w:t xml:space="preserve"> </w:t>
      </w:r>
      <w:r w:rsidR="00C457E9">
        <w:rPr>
          <w:szCs w:val="22"/>
        </w:rPr>
        <w:t>The</w:t>
      </w:r>
      <w:r w:rsidR="006332A2">
        <w:rPr>
          <w:szCs w:val="22"/>
        </w:rPr>
        <w:t xml:space="preserve"> submission suggested that the</w:t>
      </w:r>
      <w:r w:rsidR="00C457E9">
        <w:rPr>
          <w:szCs w:val="22"/>
        </w:rPr>
        <w:t xml:space="preserve">re are </w:t>
      </w:r>
      <w:r w:rsidR="00AB4BED" w:rsidRPr="005D5FF8">
        <w:rPr>
          <w:szCs w:val="22"/>
        </w:rPr>
        <w:t xml:space="preserve">no options </w:t>
      </w:r>
      <w:r w:rsidR="009A5DD1">
        <w:rPr>
          <w:szCs w:val="22"/>
        </w:rPr>
        <w:t>with</w:t>
      </w:r>
      <w:r w:rsidR="00D75167">
        <w:rPr>
          <w:szCs w:val="22"/>
        </w:rPr>
        <w:t xml:space="preserve"> proven benefit </w:t>
      </w:r>
      <w:r w:rsidR="00AB4BED" w:rsidRPr="005D5FF8">
        <w:rPr>
          <w:szCs w:val="22"/>
        </w:rPr>
        <w:t>available</w:t>
      </w:r>
      <w:r w:rsidR="00C457E9" w:rsidRPr="00C457E9">
        <w:rPr>
          <w:szCs w:val="22"/>
        </w:rPr>
        <w:t xml:space="preserve"> </w:t>
      </w:r>
      <w:r w:rsidR="006F1EE2">
        <w:rPr>
          <w:szCs w:val="22"/>
        </w:rPr>
        <w:t xml:space="preserve">on the PBS </w:t>
      </w:r>
      <w:r w:rsidR="00C457E9">
        <w:rPr>
          <w:szCs w:val="22"/>
        </w:rPr>
        <w:t>for p</w:t>
      </w:r>
      <w:r w:rsidR="00C457E9" w:rsidRPr="005D5FF8">
        <w:rPr>
          <w:szCs w:val="22"/>
        </w:rPr>
        <w:t>atients who become refractory to rituximab-based regimens</w:t>
      </w:r>
      <w:r w:rsidR="00AB4BED" w:rsidRPr="005D5FF8">
        <w:rPr>
          <w:szCs w:val="22"/>
        </w:rPr>
        <w:t>, and that currently these patients woul</w:t>
      </w:r>
      <w:r w:rsidR="00A33A99" w:rsidRPr="005D5FF8">
        <w:rPr>
          <w:szCs w:val="22"/>
        </w:rPr>
        <w:t>d receive best supportive care.</w:t>
      </w:r>
    </w:p>
    <w:p w:rsidR="00894489" w:rsidRPr="005D5FF8" w:rsidRDefault="00894489" w:rsidP="00222D30">
      <w:pPr>
        <w:pStyle w:val="Header"/>
      </w:pPr>
    </w:p>
    <w:p w:rsidR="005D5FF8" w:rsidRPr="000801CB" w:rsidRDefault="00D54C6B" w:rsidP="005D5FF8">
      <w:pPr>
        <w:pStyle w:val="ListParagraph"/>
        <w:widowControl/>
        <w:numPr>
          <w:ilvl w:val="1"/>
          <w:numId w:val="1"/>
        </w:numPr>
        <w:rPr>
          <w:szCs w:val="22"/>
        </w:rPr>
      </w:pPr>
      <w:r w:rsidRPr="005D5FF8">
        <w:rPr>
          <w:szCs w:val="22"/>
        </w:rPr>
        <w:t xml:space="preserve">In the proposed clinical management algorithm, </w:t>
      </w:r>
      <w:proofErr w:type="spellStart"/>
      <w:r w:rsidRPr="005D5FF8">
        <w:rPr>
          <w:szCs w:val="22"/>
        </w:rPr>
        <w:t>obinutuzumab</w:t>
      </w:r>
      <w:proofErr w:type="spellEnd"/>
      <w:r w:rsidRPr="005D5FF8">
        <w:rPr>
          <w:szCs w:val="22"/>
        </w:rPr>
        <w:t xml:space="preserve"> in combination with </w:t>
      </w:r>
      <w:proofErr w:type="spellStart"/>
      <w:r w:rsidRPr="005D5FF8">
        <w:rPr>
          <w:szCs w:val="22"/>
        </w:rPr>
        <w:t>bendamustine</w:t>
      </w:r>
      <w:proofErr w:type="spellEnd"/>
      <w:r w:rsidRPr="005D5FF8">
        <w:rPr>
          <w:szCs w:val="22"/>
        </w:rPr>
        <w:t xml:space="preserve"> is to be used in adult patients with rituximab-refractory follicular lymphoma for re-induction. This is to be followed with </w:t>
      </w:r>
      <w:proofErr w:type="spellStart"/>
      <w:r w:rsidRPr="005D5FF8">
        <w:rPr>
          <w:szCs w:val="22"/>
        </w:rPr>
        <w:t>obinutuzumab</w:t>
      </w:r>
      <w:proofErr w:type="spellEnd"/>
      <w:r w:rsidRPr="00F17A66">
        <w:rPr>
          <w:szCs w:val="22"/>
        </w:rPr>
        <w:t xml:space="preserve"> monotherapy for maintenance</w:t>
      </w:r>
      <w:r w:rsidR="00AB4BED" w:rsidRPr="00F17A66">
        <w:rPr>
          <w:szCs w:val="22"/>
        </w:rPr>
        <w:t xml:space="preserve"> for a maximum of two years</w:t>
      </w:r>
      <w:r w:rsidRPr="00F17A66">
        <w:rPr>
          <w:szCs w:val="22"/>
        </w:rPr>
        <w:t>.</w:t>
      </w:r>
    </w:p>
    <w:p w:rsidR="005D5FF8" w:rsidRDefault="005D5FF8" w:rsidP="005D5FF8">
      <w:pPr>
        <w:pStyle w:val="ListParagraph"/>
        <w:ind w:left="709"/>
        <w:rPr>
          <w:i/>
          <w:szCs w:val="22"/>
        </w:rPr>
      </w:pPr>
    </w:p>
    <w:p w:rsidR="005D5FF8" w:rsidRPr="00F17A66" w:rsidRDefault="005D5FF8" w:rsidP="005D5FF8">
      <w:pPr>
        <w:pStyle w:val="ListParagraph"/>
        <w:widowControl/>
        <w:rPr>
          <w:szCs w:val="22"/>
        </w:rPr>
      </w:pPr>
      <w:r w:rsidRPr="00F40E9A">
        <w:rPr>
          <w:i/>
          <w:szCs w:val="22"/>
        </w:rPr>
        <w:t>For more detail on PBAC’s view, see section 7 “PBAC outcome”</w:t>
      </w:r>
    </w:p>
    <w:p w:rsidR="002C2775" w:rsidRPr="00F17A66" w:rsidRDefault="002C2775" w:rsidP="002C2775">
      <w:pPr>
        <w:widowControl/>
        <w:rPr>
          <w:szCs w:val="22"/>
        </w:rPr>
      </w:pPr>
    </w:p>
    <w:p w:rsidR="00E55BB5" w:rsidRPr="00F17A66" w:rsidRDefault="00E55BB5" w:rsidP="00B60939">
      <w:pPr>
        <w:pStyle w:val="Header"/>
        <w:rPr>
          <w:szCs w:val="22"/>
        </w:rPr>
      </w:pPr>
    </w:p>
    <w:p w:rsidR="00B50DB8" w:rsidRPr="00192788" w:rsidRDefault="00B50DB8" w:rsidP="00192788">
      <w:pPr>
        <w:pStyle w:val="PBACHeading1"/>
      </w:pPr>
      <w:bookmarkStart w:id="12" w:name="_Toc461614081"/>
      <w:r w:rsidRPr="00F17A66">
        <w:t>Comparator</w:t>
      </w:r>
      <w:bookmarkEnd w:id="12"/>
    </w:p>
    <w:p w:rsidR="00B60939" w:rsidRPr="00F17A66" w:rsidRDefault="00B60939" w:rsidP="004B1CB4"/>
    <w:p w:rsidR="006332A2" w:rsidRPr="006332A2" w:rsidRDefault="008E0F5D" w:rsidP="005D5FF8">
      <w:pPr>
        <w:pStyle w:val="ListParagraph"/>
        <w:widowControl/>
        <w:numPr>
          <w:ilvl w:val="1"/>
          <w:numId w:val="1"/>
        </w:numPr>
        <w:rPr>
          <w:szCs w:val="22"/>
        </w:rPr>
      </w:pPr>
      <w:r w:rsidRPr="00F17A66">
        <w:t xml:space="preserve">The submission nominated best supportive care as the comparator, with </w:t>
      </w:r>
      <w:proofErr w:type="spellStart"/>
      <w:r w:rsidRPr="00F17A66">
        <w:t>bendamustine</w:t>
      </w:r>
      <w:proofErr w:type="spellEnd"/>
      <w:r w:rsidRPr="00F17A66">
        <w:t xml:space="preserve"> </w:t>
      </w:r>
      <w:r w:rsidR="00330B60">
        <w:t>monotherapy acting as proxy.</w:t>
      </w:r>
    </w:p>
    <w:p w:rsidR="006332A2" w:rsidRPr="006332A2" w:rsidRDefault="006332A2" w:rsidP="006332A2">
      <w:pPr>
        <w:pStyle w:val="ListParagraph"/>
        <w:widowControl/>
        <w:rPr>
          <w:szCs w:val="22"/>
        </w:rPr>
      </w:pPr>
    </w:p>
    <w:p w:rsidR="008E0F5D" w:rsidRPr="005D5FF8" w:rsidRDefault="00FA7DA3" w:rsidP="005D5FF8">
      <w:pPr>
        <w:pStyle w:val="ListParagraph"/>
        <w:widowControl/>
        <w:numPr>
          <w:ilvl w:val="1"/>
          <w:numId w:val="1"/>
        </w:numPr>
        <w:rPr>
          <w:szCs w:val="22"/>
        </w:rPr>
      </w:pPr>
      <w:r w:rsidRPr="005D5FF8">
        <w:t xml:space="preserve">The ESC considered that it was </w:t>
      </w:r>
      <w:r w:rsidR="00E223E6" w:rsidRPr="005D5FF8">
        <w:t xml:space="preserve">uncertain whether </w:t>
      </w:r>
      <w:r w:rsidR="00271E6E">
        <w:t>best supportive care</w:t>
      </w:r>
      <w:r w:rsidR="00E223E6" w:rsidRPr="005D5FF8">
        <w:t xml:space="preserve"> </w:t>
      </w:r>
      <w:r w:rsidRPr="005D5FF8">
        <w:t>would be</w:t>
      </w:r>
      <w:r w:rsidR="008E0F5D" w:rsidRPr="005D5FF8">
        <w:t xml:space="preserve"> a reasonable comparator</w:t>
      </w:r>
      <w:r w:rsidR="00E223E6" w:rsidRPr="005D5FF8">
        <w:t>,</w:t>
      </w:r>
      <w:r w:rsidR="00330B60">
        <w:t xml:space="preserve"> as:</w:t>
      </w:r>
    </w:p>
    <w:p w:rsidR="00502B68" w:rsidRPr="005D5FF8" w:rsidRDefault="008E0F5D" w:rsidP="006E308F">
      <w:pPr>
        <w:pStyle w:val="ListParagraph"/>
        <w:widowControl/>
        <w:numPr>
          <w:ilvl w:val="0"/>
          <w:numId w:val="8"/>
        </w:numPr>
        <w:ind w:left="1134" w:hanging="283"/>
        <w:rPr>
          <w:szCs w:val="22"/>
        </w:rPr>
      </w:pPr>
      <w:r w:rsidRPr="005D5FF8">
        <w:rPr>
          <w:szCs w:val="22"/>
        </w:rPr>
        <w:t xml:space="preserve">It is difficult to distinguish if patients with refractory follicular lymphoma would be </w:t>
      </w:r>
      <w:r w:rsidR="00A21BF7">
        <w:rPr>
          <w:szCs w:val="22"/>
        </w:rPr>
        <w:t xml:space="preserve">genuinely </w:t>
      </w:r>
      <w:r w:rsidRPr="005D5FF8">
        <w:rPr>
          <w:szCs w:val="22"/>
        </w:rPr>
        <w:t>refractory to rituximab or refractory to another component of rituximab combination therapy.</w:t>
      </w:r>
      <w:r w:rsidR="00BB666A" w:rsidRPr="005D5FF8">
        <w:rPr>
          <w:szCs w:val="22"/>
        </w:rPr>
        <w:t xml:space="preserve"> </w:t>
      </w:r>
      <w:r w:rsidR="00A21BF7">
        <w:rPr>
          <w:szCs w:val="22"/>
        </w:rPr>
        <w:t xml:space="preserve">In clinical practice, patients considered refractory to one rituximab based therapy will likely be switched to another rituximab based therapy. </w:t>
      </w:r>
      <w:r w:rsidR="00F20624" w:rsidRPr="005D5FF8">
        <w:rPr>
          <w:szCs w:val="22"/>
        </w:rPr>
        <w:t>The PSCR</w:t>
      </w:r>
      <w:r w:rsidR="006A4A8B" w:rsidRPr="005D5FF8">
        <w:rPr>
          <w:szCs w:val="22"/>
        </w:rPr>
        <w:t xml:space="preserve"> (p1)</w:t>
      </w:r>
      <w:r w:rsidR="00F20624" w:rsidRPr="005D5FF8">
        <w:rPr>
          <w:szCs w:val="22"/>
        </w:rPr>
        <w:t xml:space="preserve"> </w:t>
      </w:r>
      <w:r w:rsidR="00464062">
        <w:rPr>
          <w:szCs w:val="22"/>
        </w:rPr>
        <w:t xml:space="preserve">and the Pre-PBAC response (p1) </w:t>
      </w:r>
      <w:r w:rsidR="00F20624" w:rsidRPr="005D5FF8">
        <w:rPr>
          <w:szCs w:val="22"/>
        </w:rPr>
        <w:t xml:space="preserve">argued that the requested listing restricted </w:t>
      </w:r>
      <w:proofErr w:type="spellStart"/>
      <w:r w:rsidR="00F20624" w:rsidRPr="005D5FF8">
        <w:rPr>
          <w:szCs w:val="22"/>
        </w:rPr>
        <w:t>obinutuzumab</w:t>
      </w:r>
      <w:proofErr w:type="spellEnd"/>
      <w:r w:rsidR="00F20624" w:rsidRPr="005D5FF8">
        <w:rPr>
          <w:szCs w:val="22"/>
        </w:rPr>
        <w:t xml:space="preserve"> plus </w:t>
      </w:r>
      <w:proofErr w:type="spellStart"/>
      <w:r w:rsidR="00F20624" w:rsidRPr="005D5FF8">
        <w:rPr>
          <w:szCs w:val="22"/>
        </w:rPr>
        <w:t>bendamustine</w:t>
      </w:r>
      <w:proofErr w:type="spellEnd"/>
      <w:r w:rsidR="00F20624" w:rsidRPr="005D5FF8">
        <w:rPr>
          <w:szCs w:val="22"/>
        </w:rPr>
        <w:t xml:space="preserve"> to patients who </w:t>
      </w:r>
      <w:r w:rsidR="00F20624" w:rsidRPr="005D5FF8">
        <w:rPr>
          <w:szCs w:val="22"/>
        </w:rPr>
        <w:lastRenderedPageBreak/>
        <w:t>relapsed within six months of the last treatment with a rituximab-containing regimen</w:t>
      </w:r>
      <w:r w:rsidR="00563AC9">
        <w:rPr>
          <w:szCs w:val="22"/>
        </w:rPr>
        <w:t>, and that s</w:t>
      </w:r>
      <w:r w:rsidR="00F20624" w:rsidRPr="005D5FF8">
        <w:rPr>
          <w:szCs w:val="22"/>
        </w:rPr>
        <w:t xml:space="preserve">uch patients are unlikely to be treated with </w:t>
      </w:r>
      <w:r w:rsidR="00563AC9" w:rsidRPr="005D5FF8">
        <w:rPr>
          <w:szCs w:val="22"/>
        </w:rPr>
        <w:t>additional</w:t>
      </w:r>
      <w:r w:rsidR="00F20624" w:rsidRPr="005D5FF8">
        <w:rPr>
          <w:szCs w:val="22"/>
        </w:rPr>
        <w:t xml:space="preserve"> rituximab-containing therapies</w:t>
      </w:r>
      <w:r w:rsidR="00C457E9">
        <w:rPr>
          <w:szCs w:val="22"/>
        </w:rPr>
        <w:t>.</w:t>
      </w:r>
      <w:r w:rsidR="00F20624" w:rsidRPr="005D5FF8">
        <w:rPr>
          <w:szCs w:val="22"/>
        </w:rPr>
        <w:t xml:space="preserve"> </w:t>
      </w:r>
      <w:r w:rsidR="00C457E9">
        <w:rPr>
          <w:szCs w:val="22"/>
        </w:rPr>
        <w:t>It was stated that</w:t>
      </w:r>
      <w:r w:rsidR="00F20624" w:rsidRPr="005D5FF8">
        <w:rPr>
          <w:szCs w:val="22"/>
        </w:rPr>
        <w:t xml:space="preserve"> further treatment with a rituximab-containing therapy should only be considered in patients who relapse after a remission of at least six months </w:t>
      </w:r>
      <w:r w:rsidR="00E223E6" w:rsidRPr="005D5FF8">
        <w:rPr>
          <w:szCs w:val="22"/>
        </w:rPr>
        <w:t>from</w:t>
      </w:r>
      <w:r w:rsidR="00F20624" w:rsidRPr="005D5FF8">
        <w:rPr>
          <w:szCs w:val="22"/>
        </w:rPr>
        <w:t xml:space="preserve"> the last rituximab-containing therapy.</w:t>
      </w:r>
      <w:r w:rsidR="00F20624" w:rsidRPr="005D5FF8">
        <w:rPr>
          <w:b/>
          <w:szCs w:val="22"/>
        </w:rPr>
        <w:t xml:space="preserve"> </w:t>
      </w:r>
      <w:r w:rsidR="006E308F">
        <w:rPr>
          <w:szCs w:val="22"/>
        </w:rPr>
        <w:t>The PBAC noted</w:t>
      </w:r>
      <w:r w:rsidR="00D75167">
        <w:rPr>
          <w:szCs w:val="22"/>
        </w:rPr>
        <w:t xml:space="preserve"> the</w:t>
      </w:r>
      <w:r w:rsidR="006E308F">
        <w:rPr>
          <w:szCs w:val="22"/>
        </w:rPr>
        <w:t xml:space="preserve"> ESC’s </w:t>
      </w:r>
      <w:r w:rsidR="005C6FBB">
        <w:rPr>
          <w:szCs w:val="22"/>
        </w:rPr>
        <w:t>advice</w:t>
      </w:r>
      <w:r w:rsidR="006E308F">
        <w:rPr>
          <w:szCs w:val="22"/>
        </w:rPr>
        <w:t>,</w:t>
      </w:r>
      <w:r w:rsidR="006E308F" w:rsidRPr="006E308F">
        <w:rPr>
          <w:szCs w:val="22"/>
        </w:rPr>
        <w:t xml:space="preserve"> </w:t>
      </w:r>
      <w:r w:rsidR="005C6FBB">
        <w:rPr>
          <w:szCs w:val="22"/>
        </w:rPr>
        <w:t>however, considered</w:t>
      </w:r>
      <w:r w:rsidR="006E308F" w:rsidRPr="006E308F">
        <w:rPr>
          <w:szCs w:val="22"/>
        </w:rPr>
        <w:t xml:space="preserve"> that </w:t>
      </w:r>
      <w:r w:rsidR="005C6FBB">
        <w:rPr>
          <w:szCs w:val="22"/>
        </w:rPr>
        <w:t xml:space="preserve">the </w:t>
      </w:r>
      <w:r w:rsidR="006E308F" w:rsidRPr="006E308F">
        <w:rPr>
          <w:szCs w:val="22"/>
        </w:rPr>
        <w:t>re-use of rituximab as part of subsequent therapy in the patient population defined in the trial and in the proposed restriction, is undesirable and not recommended by international guidelines</w:t>
      </w:r>
      <w:r w:rsidR="008204E8">
        <w:rPr>
          <w:rStyle w:val="FootnoteReference"/>
          <w:szCs w:val="22"/>
        </w:rPr>
        <w:footnoteReference w:id="3"/>
      </w:r>
      <w:r w:rsidR="006E308F" w:rsidRPr="006E308F">
        <w:rPr>
          <w:szCs w:val="22"/>
        </w:rPr>
        <w:t>.</w:t>
      </w:r>
      <w:r w:rsidR="005C6FBB">
        <w:rPr>
          <w:szCs w:val="22"/>
        </w:rPr>
        <w:t xml:space="preserve"> On this basis, the PBAC considered that </w:t>
      </w:r>
      <w:r w:rsidR="00271E6E">
        <w:rPr>
          <w:szCs w:val="22"/>
        </w:rPr>
        <w:t>best supportive care</w:t>
      </w:r>
      <w:r w:rsidR="005C6FBB">
        <w:rPr>
          <w:szCs w:val="22"/>
        </w:rPr>
        <w:t>, such as non-rituximab containing palliative treatments, including chemotherapy, was the appropriate comparator.</w:t>
      </w:r>
    </w:p>
    <w:p w:rsidR="008E0F5D" w:rsidRPr="005D5FF8" w:rsidRDefault="008E0F5D" w:rsidP="006E308F">
      <w:pPr>
        <w:pStyle w:val="ListParagraph"/>
        <w:numPr>
          <w:ilvl w:val="0"/>
          <w:numId w:val="8"/>
        </w:numPr>
        <w:ind w:left="1134" w:hanging="283"/>
      </w:pPr>
      <w:proofErr w:type="spellStart"/>
      <w:r w:rsidRPr="005D5FF8">
        <w:t>Idelalisib</w:t>
      </w:r>
      <w:proofErr w:type="spellEnd"/>
      <w:r w:rsidRPr="005D5FF8">
        <w:t xml:space="preserve"> was recommended for listing for rituximab-refractory follicular lymphoma </w:t>
      </w:r>
      <w:r w:rsidR="005C6FBB">
        <w:t xml:space="preserve">at the July 2016 </w:t>
      </w:r>
      <w:r w:rsidRPr="005D5FF8">
        <w:t>PBAC meeting</w:t>
      </w:r>
      <w:r w:rsidR="00E223E6" w:rsidRPr="005D5FF8">
        <w:t xml:space="preserve">, and </w:t>
      </w:r>
      <w:r w:rsidRPr="005D5FF8">
        <w:t xml:space="preserve">could also be a potential comparator. </w:t>
      </w:r>
      <w:r w:rsidR="00CA1F0B" w:rsidRPr="005D5FF8">
        <w:t xml:space="preserve">The PSCR </w:t>
      </w:r>
      <w:r w:rsidR="006A4A8B" w:rsidRPr="005D5FF8">
        <w:t xml:space="preserve">(p2) </w:t>
      </w:r>
      <w:r w:rsidR="00CA1F0B" w:rsidRPr="005D5FF8">
        <w:t xml:space="preserve">argued that </w:t>
      </w:r>
      <w:proofErr w:type="spellStart"/>
      <w:r w:rsidR="00CA1F0B" w:rsidRPr="005D5FF8">
        <w:t>idelalisib</w:t>
      </w:r>
      <w:proofErr w:type="spellEnd"/>
      <w:r w:rsidR="00CA1F0B" w:rsidRPr="005D5FF8">
        <w:t xml:space="preserve"> was not </w:t>
      </w:r>
      <w:r w:rsidR="00E223E6" w:rsidRPr="005D5FF8">
        <w:t>a relevant</w:t>
      </w:r>
      <w:r w:rsidR="00CA1F0B" w:rsidRPr="005D5FF8">
        <w:t xml:space="preserve"> comparator, </w:t>
      </w:r>
      <w:r w:rsidR="00FA7DA3" w:rsidRPr="005D5FF8">
        <w:t>on the basis that</w:t>
      </w:r>
      <w:r w:rsidR="00CA1F0B" w:rsidRPr="005D5FF8">
        <w:t xml:space="preserve"> patients in the </w:t>
      </w:r>
      <w:proofErr w:type="spellStart"/>
      <w:r w:rsidR="00FA7DA3" w:rsidRPr="005D5FF8">
        <w:t>idelalisib</w:t>
      </w:r>
      <w:proofErr w:type="spellEnd"/>
      <w:r w:rsidR="00FA7DA3" w:rsidRPr="005D5FF8">
        <w:t xml:space="preserve"> </w:t>
      </w:r>
      <w:r w:rsidR="00CA1F0B" w:rsidRPr="005D5FF8">
        <w:t>trial were refractory to both rituximab and an alkylating agent</w:t>
      </w:r>
      <w:r w:rsidR="00E223E6" w:rsidRPr="005D5FF8">
        <w:t xml:space="preserve"> and thus had more severe disease</w:t>
      </w:r>
      <w:r w:rsidR="00CA1F0B" w:rsidRPr="005D5FF8">
        <w:t>.</w:t>
      </w:r>
      <w:r w:rsidR="00FE5CEA" w:rsidRPr="005D5FF8">
        <w:t xml:space="preserve"> </w:t>
      </w:r>
      <w:r w:rsidR="00CA1F0B" w:rsidRPr="005D5FF8">
        <w:t>The ESC</w:t>
      </w:r>
      <w:r w:rsidR="007813AD">
        <w:t xml:space="preserve"> </w:t>
      </w:r>
      <w:r w:rsidR="003D3B47" w:rsidRPr="005D5FF8">
        <w:t>considered</w:t>
      </w:r>
      <w:r w:rsidR="00CA1F0B" w:rsidRPr="005D5FF8">
        <w:t xml:space="preserve"> that </w:t>
      </w:r>
      <w:proofErr w:type="spellStart"/>
      <w:r w:rsidRPr="005D5FF8">
        <w:t>idelalisib</w:t>
      </w:r>
      <w:proofErr w:type="spellEnd"/>
      <w:r w:rsidRPr="005D5FF8">
        <w:t xml:space="preserve"> </w:t>
      </w:r>
      <w:r w:rsidR="003D3B47" w:rsidRPr="005D5FF8">
        <w:t>may not be</w:t>
      </w:r>
      <w:r w:rsidR="00FE5CEA" w:rsidRPr="005D5FF8">
        <w:t xml:space="preserve"> an appropriate </w:t>
      </w:r>
      <w:r w:rsidR="003D3B47" w:rsidRPr="005D5FF8">
        <w:t xml:space="preserve">main </w:t>
      </w:r>
      <w:r w:rsidR="00FE5CEA" w:rsidRPr="005D5FF8">
        <w:t xml:space="preserve">comparator, </w:t>
      </w:r>
      <w:r w:rsidRPr="005D5FF8">
        <w:t>as patients need to be refractory to</w:t>
      </w:r>
      <w:r w:rsidR="003D3B47" w:rsidRPr="005D5FF8">
        <w:t xml:space="preserve"> both rituximab and</w:t>
      </w:r>
      <w:r w:rsidRPr="005D5FF8">
        <w:t xml:space="preserve"> an alkylating agent</w:t>
      </w:r>
      <w:r w:rsidR="003D3B47" w:rsidRPr="005D5FF8">
        <w:t xml:space="preserve"> to access PBS-subsidised </w:t>
      </w:r>
      <w:proofErr w:type="spellStart"/>
      <w:r w:rsidR="003D3B47" w:rsidRPr="005D5FF8">
        <w:t>idelalisib</w:t>
      </w:r>
      <w:proofErr w:type="spellEnd"/>
      <w:r w:rsidR="003D3B47" w:rsidRPr="005D5FF8">
        <w:t xml:space="preserve">, and may therefore have more severe disease than the potential PBS population using </w:t>
      </w:r>
      <w:proofErr w:type="spellStart"/>
      <w:r w:rsidR="003D3B47" w:rsidRPr="005D5FF8">
        <w:t>obinutuzumab</w:t>
      </w:r>
      <w:proofErr w:type="spellEnd"/>
      <w:r w:rsidR="00FE5CEA" w:rsidRPr="005D5FF8">
        <w:t xml:space="preserve">. </w:t>
      </w:r>
      <w:r w:rsidR="00DC25A6" w:rsidRPr="005D5FF8">
        <w:t xml:space="preserve">The ESC noted the PSCR’s statement (p2) that patients in the </w:t>
      </w:r>
      <w:proofErr w:type="spellStart"/>
      <w:r w:rsidR="00DC25A6" w:rsidRPr="005D5FF8">
        <w:t>idelalisib</w:t>
      </w:r>
      <w:proofErr w:type="spellEnd"/>
      <w:r w:rsidR="00DC25A6" w:rsidRPr="005D5FF8">
        <w:t xml:space="preserve"> trial (Study 101-09) had a median of four lines of prior treatment whereas patients in the GADOLIN trial had a median of two lines of prior treatment. </w:t>
      </w:r>
      <w:r w:rsidR="007813AD">
        <w:t xml:space="preserve">The PBAC </w:t>
      </w:r>
      <w:r w:rsidR="002008D0">
        <w:t>considered</w:t>
      </w:r>
      <w:r w:rsidR="005C6FBB">
        <w:t xml:space="preserve"> that </w:t>
      </w:r>
      <w:proofErr w:type="spellStart"/>
      <w:r w:rsidR="005C6FBB">
        <w:t>idelalisib</w:t>
      </w:r>
      <w:proofErr w:type="spellEnd"/>
      <w:r w:rsidR="005C6FBB">
        <w:t xml:space="preserve"> was </w:t>
      </w:r>
      <w:r w:rsidR="002008D0">
        <w:t>an alternative comparator</w:t>
      </w:r>
      <w:r w:rsidR="006E308F" w:rsidRPr="006E308F">
        <w:t xml:space="preserve"> not</w:t>
      </w:r>
      <w:r w:rsidR="002008D0">
        <w:t>ing</w:t>
      </w:r>
      <w:r w:rsidR="006E308F" w:rsidRPr="006E308F">
        <w:t xml:space="preserve"> that </w:t>
      </w:r>
      <w:r w:rsidR="00ED7D85">
        <w:t>79.4%</w:t>
      </w:r>
      <w:r w:rsidR="006E308F" w:rsidRPr="006E308F">
        <w:t xml:space="preserve"> </w:t>
      </w:r>
      <w:r w:rsidR="00755F47">
        <w:t xml:space="preserve">of participants </w:t>
      </w:r>
      <w:r w:rsidR="00ED7D85">
        <w:t>in</w:t>
      </w:r>
      <w:r w:rsidR="00755F47">
        <w:t xml:space="preserve"> the</w:t>
      </w:r>
      <w:r w:rsidR="006E308F" w:rsidRPr="006E308F">
        <w:t xml:space="preserve"> GADOLIN trial were refractory to</w:t>
      </w:r>
      <w:r w:rsidR="00ED7D85">
        <w:t xml:space="preserve"> both rituximab and an </w:t>
      </w:r>
      <w:r w:rsidR="00563AC9">
        <w:t>alkylating agent (p158,</w:t>
      </w:r>
      <w:r w:rsidR="00ED7D85">
        <w:t xml:space="preserve"> GADOLIN CSR May 2015 update)</w:t>
      </w:r>
      <w:r w:rsidR="006E308F" w:rsidRPr="006E308F">
        <w:t>.</w:t>
      </w:r>
      <w:r w:rsidR="00917CA2">
        <w:t xml:space="preserve"> </w:t>
      </w:r>
      <w:r w:rsidR="00C859BF">
        <w:t>However, t</w:t>
      </w:r>
      <w:r w:rsidR="002008D0">
        <w:t>he</w:t>
      </w:r>
      <w:r w:rsidR="00917CA2">
        <w:t xml:space="preserve"> </w:t>
      </w:r>
      <w:r w:rsidR="00626FF6">
        <w:t xml:space="preserve">PBAC </w:t>
      </w:r>
      <w:r w:rsidR="004B033F">
        <w:t>considered that</w:t>
      </w:r>
      <w:r w:rsidR="002008D0">
        <w:t xml:space="preserve"> consistent with the available clinical evidence</w:t>
      </w:r>
      <w:r w:rsidR="0026307C">
        <w:t>,</w:t>
      </w:r>
      <w:r w:rsidR="004B033F">
        <w:t xml:space="preserve"> </w:t>
      </w:r>
      <w:proofErr w:type="spellStart"/>
      <w:r w:rsidR="00B64B80">
        <w:t>obinutuzumab</w:t>
      </w:r>
      <w:proofErr w:type="spellEnd"/>
      <w:r w:rsidR="00B64B80">
        <w:t xml:space="preserve"> plus </w:t>
      </w:r>
      <w:proofErr w:type="spellStart"/>
      <w:r w:rsidR="004B033F">
        <w:t>bendamustine</w:t>
      </w:r>
      <w:proofErr w:type="spellEnd"/>
      <w:r w:rsidR="002008D0">
        <w:t>, if listed,</w:t>
      </w:r>
      <w:r w:rsidR="004B033F">
        <w:t xml:space="preserve"> would </w:t>
      </w:r>
      <w:r w:rsidR="002008D0">
        <w:t xml:space="preserve">generally </w:t>
      </w:r>
      <w:r w:rsidR="004B033F">
        <w:t xml:space="preserve">be used </w:t>
      </w:r>
      <w:r w:rsidR="002008D0">
        <w:t>earlier in the treatment algorithm than</w:t>
      </w:r>
      <w:r w:rsidR="004B033F">
        <w:t xml:space="preserve"> </w:t>
      </w:r>
      <w:proofErr w:type="spellStart"/>
      <w:r w:rsidR="004B033F">
        <w:t>idelalisib</w:t>
      </w:r>
      <w:proofErr w:type="spellEnd"/>
      <w:r w:rsidR="00BB14D6">
        <w:t>, primarily</w:t>
      </w:r>
      <w:r w:rsidR="004B033F">
        <w:t xml:space="preserve"> in patients with early progression</w:t>
      </w:r>
      <w:r w:rsidR="00917CA2">
        <w:t xml:space="preserve"> or recurrence after regimens such as R-CHOP and R-CVP which are most commonly used in Australia. Hence</w:t>
      </w:r>
      <w:r w:rsidR="00BB14D6">
        <w:t>, the PBAC did not consider</w:t>
      </w:r>
      <w:r w:rsidR="00917CA2">
        <w:t xml:space="preserve"> </w:t>
      </w:r>
      <w:proofErr w:type="spellStart"/>
      <w:r w:rsidR="00917CA2">
        <w:t>idelalisib</w:t>
      </w:r>
      <w:proofErr w:type="spellEnd"/>
      <w:r w:rsidR="00917CA2">
        <w:t xml:space="preserve"> </w:t>
      </w:r>
      <w:r w:rsidR="00BB14D6">
        <w:t>to be the appropriate main</w:t>
      </w:r>
      <w:r w:rsidR="00917CA2">
        <w:t xml:space="preserve"> comparator.</w:t>
      </w:r>
    </w:p>
    <w:p w:rsidR="006332A2" w:rsidRDefault="006332A2" w:rsidP="006332A2"/>
    <w:p w:rsidR="00642F9B" w:rsidRPr="005D5FF8" w:rsidRDefault="006332A2" w:rsidP="007C24F4">
      <w:pPr>
        <w:pStyle w:val="ListParagraph"/>
        <w:widowControl/>
        <w:numPr>
          <w:ilvl w:val="1"/>
          <w:numId w:val="1"/>
        </w:numPr>
      </w:pPr>
      <w:r w:rsidRPr="005D5FF8">
        <w:t xml:space="preserve">The ESC considered that </w:t>
      </w:r>
      <w:proofErr w:type="spellStart"/>
      <w:r w:rsidRPr="005D5FF8">
        <w:t>bendamustine</w:t>
      </w:r>
      <w:proofErr w:type="spellEnd"/>
      <w:r w:rsidRPr="005D5FF8">
        <w:t xml:space="preserve"> was a reasonable proxy comparator, given the lack of available clinical data for </w:t>
      </w:r>
      <w:r>
        <w:t>best supportive care</w:t>
      </w:r>
      <w:r w:rsidRPr="005D5FF8">
        <w:t xml:space="preserve">. </w:t>
      </w:r>
      <w:r w:rsidR="0040718E">
        <w:t>The</w:t>
      </w:r>
      <w:r w:rsidR="00642F9B" w:rsidRPr="00642F9B">
        <w:t xml:space="preserve"> PBAC </w:t>
      </w:r>
      <w:r w:rsidR="00D61295">
        <w:t>considered</w:t>
      </w:r>
      <w:r w:rsidR="00642F9B" w:rsidRPr="00642F9B">
        <w:t xml:space="preserve"> that </w:t>
      </w:r>
      <w:proofErr w:type="spellStart"/>
      <w:r w:rsidR="00642F9B" w:rsidRPr="00642F9B">
        <w:t>bendamustine</w:t>
      </w:r>
      <w:proofErr w:type="spellEnd"/>
      <w:r w:rsidR="00642F9B" w:rsidRPr="00642F9B">
        <w:t xml:space="preserve"> </w:t>
      </w:r>
      <w:r w:rsidR="0016213C">
        <w:t>was a reasonable</w:t>
      </w:r>
      <w:r w:rsidR="00563AC9">
        <w:t xml:space="preserve"> clinical</w:t>
      </w:r>
      <w:r w:rsidR="0016213C">
        <w:t xml:space="preserve"> proxy for best supportive care</w:t>
      </w:r>
      <w:r w:rsidR="00642F9B" w:rsidRPr="00642F9B">
        <w:t>.</w:t>
      </w:r>
      <w:r w:rsidR="00D61295">
        <w:t xml:space="preserve"> However, the PBAC recalled its decision at the March 2015 meeting, that </w:t>
      </w:r>
      <w:proofErr w:type="spellStart"/>
      <w:r w:rsidR="00D61295">
        <w:t>bendamustine</w:t>
      </w:r>
      <w:proofErr w:type="spellEnd"/>
      <w:r w:rsidR="00D61295">
        <w:t xml:space="preserve"> was not cost-effective </w:t>
      </w:r>
      <w:r w:rsidRPr="005D5FF8">
        <w:t>for the treatment of rituximab-refractory indolent non-Hodgkin’s lymphoma</w:t>
      </w:r>
      <w:r w:rsidR="00F733B5">
        <w:t xml:space="preserve"> and is</w:t>
      </w:r>
      <w:r w:rsidR="0012090E">
        <w:t xml:space="preserve"> not PBS-listed</w:t>
      </w:r>
      <w:r w:rsidR="00F733B5">
        <w:t xml:space="preserve"> for this population</w:t>
      </w:r>
      <w:r>
        <w:t xml:space="preserve"> </w:t>
      </w:r>
      <w:r w:rsidRPr="005D5FF8">
        <w:t>(</w:t>
      </w:r>
      <w:proofErr w:type="spellStart"/>
      <w:r w:rsidRPr="005D5FF8">
        <w:t>Bendamustine</w:t>
      </w:r>
      <w:proofErr w:type="spellEnd"/>
      <w:r w:rsidRPr="005D5FF8">
        <w:t xml:space="preserve"> PSD, March 2015</w:t>
      </w:r>
      <w:r>
        <w:t xml:space="preserve"> PBAC meeting</w:t>
      </w:r>
      <w:r w:rsidRPr="005D5FF8">
        <w:t>)</w:t>
      </w:r>
      <w:r w:rsidR="0012090E">
        <w:t xml:space="preserve">. On this basis, the PBAC considered that </w:t>
      </w:r>
      <w:proofErr w:type="spellStart"/>
      <w:r w:rsidR="0012090E">
        <w:t>bendamustine</w:t>
      </w:r>
      <w:proofErr w:type="spellEnd"/>
      <w:r w:rsidR="0012090E">
        <w:t xml:space="preserve"> was not an element of </w:t>
      </w:r>
      <w:r w:rsidR="00271E6E">
        <w:t>best supportive care</w:t>
      </w:r>
      <w:r w:rsidR="0012090E">
        <w:t xml:space="preserve"> in the Australian setting</w:t>
      </w:r>
      <w:r w:rsidR="0012090E" w:rsidRPr="00AF6CE8">
        <w:t>,</w:t>
      </w:r>
      <w:r w:rsidR="00AF6CE8" w:rsidRPr="00AF6CE8">
        <w:t xml:space="preserve"> and its cost should not be incorporated into the economic evaluation</w:t>
      </w:r>
      <w:r w:rsidR="0012090E" w:rsidRPr="00AF6CE8">
        <w:t>.</w:t>
      </w:r>
    </w:p>
    <w:p w:rsidR="005D5FF8" w:rsidRDefault="005D5FF8" w:rsidP="005D5FF8">
      <w:pPr>
        <w:pStyle w:val="ListParagraph"/>
        <w:rPr>
          <w:i/>
          <w:szCs w:val="22"/>
        </w:rPr>
      </w:pPr>
    </w:p>
    <w:p w:rsidR="00D3695F" w:rsidRDefault="005D5FF8" w:rsidP="005D5FF8">
      <w:pPr>
        <w:pStyle w:val="ListParagraph"/>
        <w:rPr>
          <w:i/>
          <w:szCs w:val="22"/>
        </w:rPr>
      </w:pPr>
      <w:r w:rsidRPr="00F40E9A">
        <w:rPr>
          <w:i/>
          <w:szCs w:val="22"/>
        </w:rPr>
        <w:t>For more detail on PBAC’s view, see section 7 “PBAC outcome”</w:t>
      </w:r>
    </w:p>
    <w:p w:rsidR="005D5FF8" w:rsidRPr="00F17A66" w:rsidRDefault="005D5FF8" w:rsidP="000801CB">
      <w:pPr>
        <w:pStyle w:val="BodyText"/>
      </w:pPr>
    </w:p>
    <w:p w:rsidR="00C95D97" w:rsidRDefault="00C95D97">
      <w:pPr>
        <w:widowControl/>
        <w:jc w:val="left"/>
        <w:rPr>
          <w:szCs w:val="22"/>
        </w:rPr>
      </w:pPr>
      <w:r>
        <w:rPr>
          <w:szCs w:val="22"/>
        </w:rPr>
        <w:br w:type="page"/>
      </w:r>
    </w:p>
    <w:p w:rsidR="00B50DB8" w:rsidRPr="00F17A66" w:rsidRDefault="00BD6CF3" w:rsidP="00BD6CF3">
      <w:pPr>
        <w:pStyle w:val="PBACHeading1"/>
      </w:pPr>
      <w:bookmarkStart w:id="13" w:name="_Toc458759482"/>
      <w:bookmarkStart w:id="14" w:name="_Toc461614082"/>
      <w:r w:rsidRPr="00F17A66">
        <w:lastRenderedPageBreak/>
        <w:t>C</w:t>
      </w:r>
      <w:r w:rsidR="00B50DB8" w:rsidRPr="00F17A66">
        <w:t>onsideration of the evidence</w:t>
      </w:r>
      <w:bookmarkEnd w:id="13"/>
      <w:bookmarkEnd w:id="14"/>
    </w:p>
    <w:p w:rsidR="00B60939" w:rsidRDefault="00B60939" w:rsidP="004B1CB4"/>
    <w:p w:rsidR="00EC26D5" w:rsidRDefault="00EC26D5" w:rsidP="005C290A">
      <w:pPr>
        <w:pStyle w:val="Heading2"/>
        <w:rPr>
          <w:i/>
        </w:rPr>
      </w:pPr>
      <w:r w:rsidRPr="005C290A">
        <w:rPr>
          <w:i/>
        </w:rPr>
        <w:t>Sponsor hearing</w:t>
      </w:r>
    </w:p>
    <w:p w:rsidR="005C290A" w:rsidRPr="005C290A" w:rsidRDefault="005C290A" w:rsidP="005C290A"/>
    <w:p w:rsidR="00EC26D5" w:rsidRPr="000801CB" w:rsidRDefault="00D959C5" w:rsidP="00EC26D5">
      <w:pPr>
        <w:numPr>
          <w:ilvl w:val="1"/>
          <w:numId w:val="1"/>
        </w:numPr>
        <w:contextualSpacing/>
        <w:rPr>
          <w:bCs/>
          <w:szCs w:val="22"/>
        </w:rPr>
      </w:pPr>
      <w:r w:rsidRPr="00D959C5">
        <w:rPr>
          <w:bCs/>
          <w:szCs w:val="22"/>
        </w:rPr>
        <w:t>There was no hearing for this item.</w:t>
      </w:r>
    </w:p>
    <w:p w:rsidR="00EC26D5" w:rsidRPr="00D959C5" w:rsidRDefault="00EC26D5" w:rsidP="00EC26D5">
      <w:pPr>
        <w:rPr>
          <w:bCs/>
          <w:szCs w:val="22"/>
        </w:rPr>
      </w:pPr>
    </w:p>
    <w:p w:rsidR="00D959C5" w:rsidRPr="00DB4830" w:rsidRDefault="00EC26D5" w:rsidP="005C290A">
      <w:pPr>
        <w:pStyle w:val="Heading2"/>
        <w:rPr>
          <w:i/>
        </w:rPr>
      </w:pPr>
      <w:r w:rsidRPr="00DB4830">
        <w:rPr>
          <w:i/>
        </w:rPr>
        <w:t>Consumer comments</w:t>
      </w:r>
    </w:p>
    <w:p w:rsidR="005C290A" w:rsidRPr="00DB4830" w:rsidRDefault="005C290A" w:rsidP="005C290A"/>
    <w:p w:rsidR="001F2CBC" w:rsidRPr="00DB4830" w:rsidRDefault="00D959C5" w:rsidP="00D959C5">
      <w:pPr>
        <w:numPr>
          <w:ilvl w:val="1"/>
          <w:numId w:val="1"/>
        </w:numPr>
        <w:contextualSpacing/>
        <w:rPr>
          <w:bCs/>
          <w:szCs w:val="22"/>
        </w:rPr>
      </w:pPr>
      <w:r w:rsidRPr="00DB4830">
        <w:rPr>
          <w:bCs/>
          <w:szCs w:val="22"/>
        </w:rPr>
        <w:t>The PBAC noted and welcomed input from individuals (24) and organisations (2) via the Consumer Comments facility on the PBS website. The comments</w:t>
      </w:r>
      <w:r w:rsidR="001F2CBC" w:rsidRPr="00DB4830">
        <w:rPr>
          <w:bCs/>
          <w:szCs w:val="22"/>
        </w:rPr>
        <w:t xml:space="preserve"> from ind</w:t>
      </w:r>
      <w:r w:rsidR="0091048B">
        <w:rPr>
          <w:bCs/>
          <w:szCs w:val="22"/>
        </w:rPr>
        <w:t>ividuals were from patients who</w:t>
      </w:r>
      <w:r w:rsidR="00563AC9">
        <w:rPr>
          <w:bCs/>
          <w:szCs w:val="22"/>
        </w:rPr>
        <w:t xml:space="preserve"> </w:t>
      </w:r>
      <w:r w:rsidR="001F2CBC" w:rsidRPr="00DB4830">
        <w:rPr>
          <w:bCs/>
          <w:szCs w:val="22"/>
        </w:rPr>
        <w:t xml:space="preserve">had </w:t>
      </w:r>
      <w:r w:rsidR="00563AC9">
        <w:rPr>
          <w:bCs/>
          <w:szCs w:val="22"/>
        </w:rPr>
        <w:t xml:space="preserve">previously </w:t>
      </w:r>
      <w:r w:rsidR="001F2CBC" w:rsidRPr="00DB4830">
        <w:rPr>
          <w:bCs/>
          <w:szCs w:val="22"/>
        </w:rPr>
        <w:t>received</w:t>
      </w:r>
      <w:r w:rsidR="00563AC9">
        <w:rPr>
          <w:bCs/>
          <w:szCs w:val="22"/>
        </w:rPr>
        <w:t xml:space="preserve"> </w:t>
      </w:r>
      <w:proofErr w:type="spellStart"/>
      <w:r w:rsidR="00563AC9">
        <w:rPr>
          <w:bCs/>
          <w:szCs w:val="22"/>
        </w:rPr>
        <w:t>obinutuzumab</w:t>
      </w:r>
      <w:proofErr w:type="spellEnd"/>
      <w:r w:rsidR="00563AC9">
        <w:rPr>
          <w:bCs/>
          <w:szCs w:val="22"/>
        </w:rPr>
        <w:t xml:space="preserve"> and those who had not received </w:t>
      </w:r>
      <w:proofErr w:type="spellStart"/>
      <w:r w:rsidR="00563AC9">
        <w:rPr>
          <w:bCs/>
          <w:szCs w:val="22"/>
        </w:rPr>
        <w:t>obinutuzumab</w:t>
      </w:r>
      <w:proofErr w:type="spellEnd"/>
      <w:r w:rsidR="001F2CBC" w:rsidRPr="00DB4830">
        <w:rPr>
          <w:bCs/>
          <w:szCs w:val="22"/>
        </w:rPr>
        <w:t xml:space="preserve">, but anticipated that they may need treatment </w:t>
      </w:r>
      <w:r w:rsidR="00DB4830">
        <w:rPr>
          <w:bCs/>
          <w:szCs w:val="22"/>
        </w:rPr>
        <w:t>in the future</w:t>
      </w:r>
      <w:r w:rsidR="001F2CBC" w:rsidRPr="00DB4830">
        <w:rPr>
          <w:bCs/>
          <w:szCs w:val="22"/>
        </w:rPr>
        <w:t>. The patients</w:t>
      </w:r>
      <w:r w:rsidRPr="00DB4830">
        <w:rPr>
          <w:bCs/>
          <w:szCs w:val="22"/>
        </w:rPr>
        <w:t xml:space="preserve"> </w:t>
      </w:r>
      <w:r w:rsidR="005D030A" w:rsidRPr="00DB4830">
        <w:rPr>
          <w:bCs/>
          <w:szCs w:val="22"/>
        </w:rPr>
        <w:t>described</w:t>
      </w:r>
      <w:r w:rsidRPr="00DB4830">
        <w:rPr>
          <w:bCs/>
          <w:szCs w:val="22"/>
        </w:rPr>
        <w:t xml:space="preserve"> </w:t>
      </w:r>
      <w:r w:rsidR="001F2CBC" w:rsidRPr="00DB4830">
        <w:rPr>
          <w:bCs/>
          <w:szCs w:val="22"/>
        </w:rPr>
        <w:t xml:space="preserve">the negative impacts of follicular lymphoma and stated that </w:t>
      </w:r>
      <w:proofErr w:type="spellStart"/>
      <w:r w:rsidR="001F2CBC" w:rsidRPr="00DB4830">
        <w:rPr>
          <w:bCs/>
          <w:szCs w:val="22"/>
        </w:rPr>
        <w:t>obinutuzumab</w:t>
      </w:r>
      <w:proofErr w:type="spellEnd"/>
      <w:r w:rsidR="001F2CBC" w:rsidRPr="00DB4830">
        <w:rPr>
          <w:bCs/>
          <w:szCs w:val="22"/>
        </w:rPr>
        <w:t xml:space="preserve"> represented an additional treatment option, which offered </w:t>
      </w:r>
      <w:r w:rsidR="0091048B">
        <w:rPr>
          <w:bCs/>
          <w:szCs w:val="22"/>
        </w:rPr>
        <w:t xml:space="preserve">them </w:t>
      </w:r>
      <w:r w:rsidR="001F2CBC" w:rsidRPr="00DB4830">
        <w:rPr>
          <w:bCs/>
          <w:szCs w:val="22"/>
        </w:rPr>
        <w:t>hope for slowing disease progression and</w:t>
      </w:r>
      <w:r w:rsidR="00330B60">
        <w:rPr>
          <w:bCs/>
          <w:szCs w:val="22"/>
        </w:rPr>
        <w:t>/or preventing disease relapse.</w:t>
      </w:r>
    </w:p>
    <w:p w:rsidR="00D959C5" w:rsidRPr="00DB4830" w:rsidRDefault="00D959C5" w:rsidP="00D959C5">
      <w:pPr>
        <w:contextualSpacing/>
        <w:rPr>
          <w:bCs/>
          <w:szCs w:val="22"/>
        </w:rPr>
      </w:pPr>
    </w:p>
    <w:p w:rsidR="000630C8" w:rsidRPr="00C95D97" w:rsidRDefault="00D959C5" w:rsidP="004B1CB4">
      <w:pPr>
        <w:numPr>
          <w:ilvl w:val="1"/>
          <w:numId w:val="1"/>
        </w:numPr>
        <w:contextualSpacing/>
        <w:rPr>
          <w:bCs/>
          <w:szCs w:val="22"/>
        </w:rPr>
      </w:pPr>
      <w:r w:rsidRPr="00DB4830">
        <w:rPr>
          <w:bCs/>
          <w:szCs w:val="22"/>
        </w:rPr>
        <w:t xml:space="preserve">The PBAC noted </w:t>
      </w:r>
      <w:r w:rsidR="00C55D6C" w:rsidRPr="00DB4830">
        <w:rPr>
          <w:bCs/>
          <w:szCs w:val="22"/>
        </w:rPr>
        <w:t xml:space="preserve">the </w:t>
      </w:r>
      <w:r w:rsidR="005D030A" w:rsidRPr="00DB4830">
        <w:rPr>
          <w:bCs/>
          <w:szCs w:val="22"/>
        </w:rPr>
        <w:t>correspondence</w:t>
      </w:r>
      <w:r w:rsidRPr="00DB4830">
        <w:rPr>
          <w:bCs/>
          <w:szCs w:val="22"/>
        </w:rPr>
        <w:t xml:space="preserve"> from the Leukaemia Foundation</w:t>
      </w:r>
      <w:r w:rsidR="00C55D6C" w:rsidRPr="00DB4830">
        <w:rPr>
          <w:bCs/>
          <w:szCs w:val="22"/>
        </w:rPr>
        <w:t xml:space="preserve">, which </w:t>
      </w:r>
      <w:r w:rsidR="001F2CBC" w:rsidRPr="00DB4830">
        <w:rPr>
          <w:bCs/>
          <w:szCs w:val="22"/>
        </w:rPr>
        <w:t>provided information on t</w:t>
      </w:r>
      <w:r w:rsidR="00DB4830" w:rsidRPr="00DB4830">
        <w:rPr>
          <w:bCs/>
          <w:szCs w:val="22"/>
        </w:rPr>
        <w:t>he impact of disease</w:t>
      </w:r>
      <w:r w:rsidR="001F2CBC" w:rsidRPr="00DB4830">
        <w:rPr>
          <w:bCs/>
          <w:szCs w:val="22"/>
        </w:rPr>
        <w:t xml:space="preserve"> on life and quality of life, </w:t>
      </w:r>
      <w:r w:rsidR="00DB4830" w:rsidRPr="00DB4830">
        <w:rPr>
          <w:bCs/>
          <w:szCs w:val="22"/>
        </w:rPr>
        <w:t xml:space="preserve">and feedback from patients on the benefits and side effects of </w:t>
      </w:r>
      <w:proofErr w:type="spellStart"/>
      <w:r w:rsidR="00DB4830" w:rsidRPr="00DB4830">
        <w:rPr>
          <w:bCs/>
          <w:szCs w:val="22"/>
        </w:rPr>
        <w:t>obinutuzumab</w:t>
      </w:r>
      <w:proofErr w:type="spellEnd"/>
      <w:r w:rsidR="00DB4830" w:rsidRPr="00DB4830">
        <w:rPr>
          <w:bCs/>
          <w:szCs w:val="22"/>
        </w:rPr>
        <w:t xml:space="preserve"> treatment, based on a survey of 123 people living with follicular lymphoma. </w:t>
      </w:r>
      <w:r w:rsidRPr="00DB4830">
        <w:rPr>
          <w:bCs/>
          <w:szCs w:val="22"/>
        </w:rPr>
        <w:t xml:space="preserve">The PBAC also noted </w:t>
      </w:r>
      <w:r w:rsidR="008F2EF9" w:rsidRPr="00DB4830">
        <w:rPr>
          <w:bCs/>
          <w:szCs w:val="22"/>
        </w:rPr>
        <w:t xml:space="preserve">the </w:t>
      </w:r>
      <w:r w:rsidR="00DB4830" w:rsidRPr="00DB4830">
        <w:rPr>
          <w:bCs/>
          <w:szCs w:val="22"/>
        </w:rPr>
        <w:t>correspondence</w:t>
      </w:r>
      <w:r w:rsidR="008F2EF9" w:rsidRPr="00DB4830">
        <w:rPr>
          <w:bCs/>
          <w:szCs w:val="22"/>
        </w:rPr>
        <w:t xml:space="preserve"> </w:t>
      </w:r>
      <w:r w:rsidR="003724CE" w:rsidRPr="00DB4830">
        <w:rPr>
          <w:bCs/>
          <w:szCs w:val="22"/>
        </w:rPr>
        <w:t>from Lymphoma Australia</w:t>
      </w:r>
      <w:r w:rsidR="00DB4830" w:rsidRPr="00DB4830">
        <w:rPr>
          <w:bCs/>
          <w:szCs w:val="22"/>
        </w:rPr>
        <w:t xml:space="preserve">, which stated the clinical need for additional treatment options, particularly for the subset of patients with rituximab-refractory follicular lymphoma. </w:t>
      </w:r>
      <w:r w:rsidR="003724CE" w:rsidRPr="00DB4830">
        <w:rPr>
          <w:bCs/>
          <w:szCs w:val="22"/>
        </w:rPr>
        <w:t xml:space="preserve"> </w:t>
      </w:r>
      <w:r w:rsidRPr="00DB4830">
        <w:rPr>
          <w:bCs/>
          <w:szCs w:val="22"/>
        </w:rPr>
        <w:t xml:space="preserve">The PBAC noted that </w:t>
      </w:r>
      <w:r w:rsidR="00DB4830" w:rsidRPr="00DB4830">
        <w:rPr>
          <w:bCs/>
          <w:szCs w:val="22"/>
        </w:rPr>
        <w:t>the consumer comments</w:t>
      </w:r>
      <w:r w:rsidR="005D030A" w:rsidRPr="00DB4830">
        <w:rPr>
          <w:bCs/>
          <w:szCs w:val="22"/>
        </w:rPr>
        <w:t xml:space="preserve"> were</w:t>
      </w:r>
      <w:r w:rsidR="00991904" w:rsidRPr="00DB4830">
        <w:rPr>
          <w:bCs/>
          <w:szCs w:val="22"/>
        </w:rPr>
        <w:t xml:space="preserve"> supportive</w:t>
      </w:r>
      <w:r w:rsidR="005C290A" w:rsidRPr="00DB4830">
        <w:rPr>
          <w:bCs/>
          <w:szCs w:val="22"/>
        </w:rPr>
        <w:t xml:space="preserve"> </w:t>
      </w:r>
      <w:r w:rsidRPr="00DB4830">
        <w:rPr>
          <w:bCs/>
          <w:szCs w:val="22"/>
        </w:rPr>
        <w:t xml:space="preserve">of </w:t>
      </w:r>
      <w:r w:rsidR="00DB4830" w:rsidRPr="00DB4830">
        <w:rPr>
          <w:bCs/>
          <w:szCs w:val="22"/>
        </w:rPr>
        <w:t xml:space="preserve">the PBS listing of </w:t>
      </w:r>
      <w:proofErr w:type="spellStart"/>
      <w:r w:rsidR="00DB4830" w:rsidRPr="00DB4830">
        <w:rPr>
          <w:bCs/>
          <w:szCs w:val="22"/>
        </w:rPr>
        <w:t>obinutuzumab</w:t>
      </w:r>
      <w:proofErr w:type="spellEnd"/>
      <w:r w:rsidR="00DB4830" w:rsidRPr="00DB4830">
        <w:rPr>
          <w:bCs/>
          <w:szCs w:val="22"/>
        </w:rPr>
        <w:t xml:space="preserve"> as requested by the submission</w:t>
      </w:r>
      <w:r w:rsidRPr="00DB4830">
        <w:rPr>
          <w:bCs/>
          <w:szCs w:val="22"/>
        </w:rPr>
        <w:t>.</w:t>
      </w:r>
    </w:p>
    <w:p w:rsidR="000630C8" w:rsidRPr="00DB4830" w:rsidRDefault="000630C8" w:rsidP="004B1CB4"/>
    <w:p w:rsidR="00B60939" w:rsidRPr="00F17A66" w:rsidRDefault="00B60939" w:rsidP="002C2775">
      <w:pPr>
        <w:pStyle w:val="Heading2"/>
        <w:rPr>
          <w:i/>
        </w:rPr>
      </w:pPr>
      <w:bookmarkStart w:id="15" w:name="_Toc458759483"/>
      <w:bookmarkStart w:id="16" w:name="_Toc461614083"/>
      <w:r w:rsidRPr="00DB4830">
        <w:rPr>
          <w:i/>
        </w:rPr>
        <w:t>Clinical trials</w:t>
      </w:r>
      <w:bookmarkEnd w:id="15"/>
      <w:bookmarkEnd w:id="16"/>
    </w:p>
    <w:p w:rsidR="00B60939" w:rsidRPr="00F17A66" w:rsidRDefault="00B60939" w:rsidP="00B60939">
      <w:pPr>
        <w:rPr>
          <w:szCs w:val="22"/>
        </w:rPr>
      </w:pPr>
    </w:p>
    <w:p w:rsidR="007F1017" w:rsidRPr="00F17A66" w:rsidRDefault="00F17696" w:rsidP="005D5FF8">
      <w:pPr>
        <w:pStyle w:val="ListParagraph"/>
        <w:widowControl/>
        <w:numPr>
          <w:ilvl w:val="1"/>
          <w:numId w:val="1"/>
        </w:numPr>
        <w:rPr>
          <w:szCs w:val="22"/>
        </w:rPr>
      </w:pPr>
      <w:r w:rsidRPr="00F17A66">
        <w:t xml:space="preserve">The submission was based on </w:t>
      </w:r>
      <w:r w:rsidR="000B4424" w:rsidRPr="00F17A66">
        <w:t xml:space="preserve">the GADOLIN trial, </w:t>
      </w:r>
      <w:r w:rsidRPr="00F17A66">
        <w:t>an open-label,</w:t>
      </w:r>
      <w:r w:rsidR="00862502" w:rsidRPr="00F17A66">
        <w:t xml:space="preserve"> head-to-head </w:t>
      </w:r>
      <w:r w:rsidR="000B4424" w:rsidRPr="00F17A66">
        <w:t>multicentre</w:t>
      </w:r>
      <w:r w:rsidR="00D84E40">
        <w:t>,</w:t>
      </w:r>
      <w:r w:rsidR="000B4424" w:rsidRPr="00F17A66">
        <w:t xml:space="preserve"> Phase III randomised controlled </w:t>
      </w:r>
      <w:r w:rsidR="00862502" w:rsidRPr="00F17A66">
        <w:t xml:space="preserve">trial comparing </w:t>
      </w:r>
      <w:proofErr w:type="spellStart"/>
      <w:r w:rsidR="00D54C6B" w:rsidRPr="00F17A66">
        <w:t>obinutuzumab</w:t>
      </w:r>
      <w:proofErr w:type="spellEnd"/>
      <w:r w:rsidR="00862502" w:rsidRPr="00F17A66">
        <w:t xml:space="preserve"> </w:t>
      </w:r>
      <w:r w:rsidR="007D1295" w:rsidRPr="00F17A66">
        <w:t>plus</w:t>
      </w:r>
      <w:r w:rsidR="000B4424" w:rsidRPr="00F17A66">
        <w:t xml:space="preserve"> </w:t>
      </w:r>
      <w:proofErr w:type="spellStart"/>
      <w:r w:rsidR="000B4424" w:rsidRPr="00F17A66">
        <w:t>bendamustine</w:t>
      </w:r>
      <w:proofErr w:type="spellEnd"/>
      <w:r w:rsidR="000B4424" w:rsidRPr="00F17A66">
        <w:t xml:space="preserve"> </w:t>
      </w:r>
      <w:r w:rsidR="00D54C6B" w:rsidRPr="00F17A66">
        <w:t>with</w:t>
      </w:r>
      <w:r w:rsidR="00862502" w:rsidRPr="00F17A66">
        <w:t xml:space="preserve"> </w:t>
      </w:r>
      <w:proofErr w:type="spellStart"/>
      <w:r w:rsidR="00D54C6B" w:rsidRPr="00F17A66">
        <w:t>bendamustine</w:t>
      </w:r>
      <w:proofErr w:type="spellEnd"/>
      <w:r w:rsidR="00D54C6B" w:rsidRPr="00F17A66">
        <w:t xml:space="preserve"> monotherapy</w:t>
      </w:r>
      <w:r w:rsidR="00862502" w:rsidRPr="00F17A66">
        <w:t xml:space="preserve"> (</w:t>
      </w:r>
      <w:r w:rsidRPr="00F17A66">
        <w:t>N=396</w:t>
      </w:r>
      <w:r w:rsidR="000E3DCE" w:rsidRPr="00F17A66">
        <w:t xml:space="preserve"> in September 2014 data cut; N=413 in May 2015 data cut</w:t>
      </w:r>
      <w:r w:rsidR="00862502" w:rsidRPr="00F17A66">
        <w:t>)</w:t>
      </w:r>
      <w:r w:rsidR="004547F5" w:rsidRPr="00F17A66">
        <w:t xml:space="preserve"> for rituximab-refractory non-Hodgkin’s lymphoma</w:t>
      </w:r>
      <w:r w:rsidR="0011789A">
        <w:t xml:space="preserve">, which </w:t>
      </w:r>
      <w:r w:rsidR="0011789A" w:rsidRPr="0011789A">
        <w:t>included a sub-group of patients with follicular lymphoma.</w:t>
      </w:r>
    </w:p>
    <w:p w:rsidR="00862502" w:rsidRPr="00F17A66" w:rsidRDefault="00862502" w:rsidP="00862502">
      <w:pPr>
        <w:widowControl/>
        <w:rPr>
          <w:szCs w:val="22"/>
        </w:rPr>
      </w:pPr>
    </w:p>
    <w:p w:rsidR="00862502" w:rsidRPr="00F17A66" w:rsidRDefault="00862502" w:rsidP="005D5FF8">
      <w:pPr>
        <w:pStyle w:val="ListParagraph"/>
        <w:widowControl/>
        <w:numPr>
          <w:ilvl w:val="1"/>
          <w:numId w:val="1"/>
        </w:numPr>
        <w:rPr>
          <w:szCs w:val="22"/>
        </w:rPr>
      </w:pPr>
      <w:r w:rsidRPr="00F17A66">
        <w:rPr>
          <w:szCs w:val="22"/>
        </w:rPr>
        <w:t>Details of the trial presented in the submission a</w:t>
      </w:r>
      <w:r w:rsidR="00330B60">
        <w:rPr>
          <w:szCs w:val="22"/>
        </w:rPr>
        <w:t>re provided in the table below.</w:t>
      </w:r>
    </w:p>
    <w:p w:rsidR="000801CB" w:rsidRDefault="000801CB" w:rsidP="00FC5B8C">
      <w:pPr>
        <w:keepNext/>
        <w:widowControl/>
        <w:rPr>
          <w:rStyle w:val="CommentReference"/>
        </w:rPr>
      </w:pPr>
    </w:p>
    <w:p w:rsidR="008F120A" w:rsidRPr="00F17A66" w:rsidRDefault="008F120A" w:rsidP="00C95D97">
      <w:pPr>
        <w:keepNext/>
        <w:widowControl/>
        <w:ind w:firstLine="720"/>
        <w:rPr>
          <w:rStyle w:val="CommentReference"/>
        </w:rPr>
      </w:pPr>
      <w:r w:rsidRPr="00F17A66">
        <w:rPr>
          <w:rStyle w:val="CommentReference"/>
        </w:rPr>
        <w:t xml:space="preserve">Table </w:t>
      </w:r>
      <w:r w:rsidR="000E3DCE" w:rsidRPr="00F17A66">
        <w:rPr>
          <w:rStyle w:val="CommentReference"/>
        </w:rPr>
        <w:t>1</w:t>
      </w:r>
      <w:r w:rsidRPr="00F17A66">
        <w:rPr>
          <w:rStyle w:val="CommentReference"/>
        </w:rPr>
        <w:t>: Trial and associated reports presented in the submission</w:t>
      </w:r>
    </w:p>
    <w:tbl>
      <w:tblPr>
        <w:tblW w:w="464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3"/>
        <w:gridCol w:w="6507"/>
        <w:gridCol w:w="1063"/>
      </w:tblGrid>
      <w:tr w:rsidR="007B38A2" w:rsidRPr="00F17A66" w:rsidTr="00C95D97">
        <w:trPr>
          <w:tblHeader/>
        </w:trPr>
        <w:tc>
          <w:tcPr>
            <w:tcW w:w="512" w:type="pct"/>
          </w:tcPr>
          <w:p w:rsidR="007B38A2" w:rsidRPr="00F17A66" w:rsidRDefault="007B38A2" w:rsidP="00462BD0">
            <w:pPr>
              <w:keepNext/>
              <w:widowControl/>
              <w:jc w:val="left"/>
              <w:rPr>
                <w:rFonts w:ascii="Arial Narrow" w:hAnsi="Arial Narrow"/>
                <w:b/>
                <w:sz w:val="20"/>
              </w:rPr>
            </w:pPr>
            <w:r w:rsidRPr="00F17A66">
              <w:rPr>
                <w:rFonts w:ascii="Arial Narrow" w:hAnsi="Arial Narrow"/>
                <w:b/>
                <w:sz w:val="20"/>
              </w:rPr>
              <w:t>Trial ID</w:t>
            </w:r>
          </w:p>
        </w:tc>
        <w:tc>
          <w:tcPr>
            <w:tcW w:w="3858" w:type="pct"/>
          </w:tcPr>
          <w:p w:rsidR="007B38A2" w:rsidRPr="00F17A66" w:rsidRDefault="007B38A2" w:rsidP="00462BD0">
            <w:pPr>
              <w:keepNext/>
              <w:widowControl/>
              <w:jc w:val="center"/>
              <w:rPr>
                <w:rFonts w:ascii="Arial Narrow" w:hAnsi="Arial Narrow"/>
                <w:b/>
                <w:sz w:val="20"/>
              </w:rPr>
            </w:pPr>
            <w:r w:rsidRPr="00F17A66">
              <w:rPr>
                <w:rFonts w:ascii="Arial Narrow" w:hAnsi="Arial Narrow"/>
                <w:b/>
                <w:sz w:val="20"/>
              </w:rPr>
              <w:t>Protocol title/ Publication title</w:t>
            </w:r>
          </w:p>
        </w:tc>
        <w:tc>
          <w:tcPr>
            <w:tcW w:w="630" w:type="pct"/>
          </w:tcPr>
          <w:p w:rsidR="007B38A2" w:rsidRPr="00F17A66" w:rsidRDefault="007B38A2" w:rsidP="00462BD0">
            <w:pPr>
              <w:keepNext/>
              <w:widowControl/>
              <w:jc w:val="center"/>
              <w:rPr>
                <w:rFonts w:ascii="Arial Narrow" w:hAnsi="Arial Narrow"/>
                <w:b/>
                <w:sz w:val="20"/>
              </w:rPr>
            </w:pPr>
            <w:r w:rsidRPr="00F17A66">
              <w:rPr>
                <w:rFonts w:ascii="Arial Narrow" w:hAnsi="Arial Narrow"/>
                <w:b/>
                <w:sz w:val="20"/>
              </w:rPr>
              <w:t>Publication citation</w:t>
            </w:r>
          </w:p>
        </w:tc>
      </w:tr>
      <w:tr w:rsidR="007B38A2" w:rsidRPr="00F17A66" w:rsidTr="00C95D97">
        <w:tc>
          <w:tcPr>
            <w:tcW w:w="5000" w:type="pct"/>
            <w:gridSpan w:val="3"/>
          </w:tcPr>
          <w:p w:rsidR="007B38A2" w:rsidRPr="00F17A66" w:rsidRDefault="007B38A2" w:rsidP="00462BD0">
            <w:pPr>
              <w:keepNext/>
              <w:widowControl/>
              <w:jc w:val="left"/>
              <w:rPr>
                <w:rFonts w:ascii="Arial Narrow" w:hAnsi="Arial Narrow"/>
                <w:b/>
                <w:sz w:val="20"/>
              </w:rPr>
            </w:pPr>
            <w:r w:rsidRPr="00F17A66">
              <w:rPr>
                <w:rFonts w:ascii="Arial Narrow" w:hAnsi="Arial Narrow"/>
                <w:b/>
                <w:sz w:val="20"/>
              </w:rPr>
              <w:t>Direct randomised trial</w:t>
            </w:r>
          </w:p>
        </w:tc>
      </w:tr>
      <w:tr w:rsidR="007B38A2" w:rsidRPr="00F17A66" w:rsidTr="00C95D97">
        <w:tc>
          <w:tcPr>
            <w:tcW w:w="512" w:type="pct"/>
          </w:tcPr>
          <w:p w:rsidR="007B38A2" w:rsidRPr="00F17A66" w:rsidRDefault="007B38A2" w:rsidP="00462BD0">
            <w:pPr>
              <w:keepNext/>
              <w:widowControl/>
              <w:jc w:val="left"/>
              <w:rPr>
                <w:rFonts w:ascii="Arial Narrow" w:hAnsi="Arial Narrow"/>
                <w:sz w:val="20"/>
              </w:rPr>
            </w:pPr>
            <w:r w:rsidRPr="00F17A66">
              <w:rPr>
                <w:rFonts w:ascii="Arial Narrow" w:hAnsi="Arial Narrow"/>
                <w:sz w:val="20"/>
              </w:rPr>
              <w:t>GADOLIN</w:t>
            </w: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tc>
        <w:tc>
          <w:tcPr>
            <w:tcW w:w="3858" w:type="pct"/>
          </w:tcPr>
          <w:p w:rsidR="007B38A2" w:rsidRPr="00F17A66" w:rsidRDefault="007B38A2" w:rsidP="00462BD0">
            <w:pPr>
              <w:keepNext/>
              <w:widowControl/>
              <w:jc w:val="left"/>
              <w:rPr>
                <w:rFonts w:ascii="Arial Narrow" w:hAnsi="Arial Narrow"/>
                <w:sz w:val="20"/>
              </w:rPr>
            </w:pPr>
            <w:r w:rsidRPr="00F17A66">
              <w:rPr>
                <w:rFonts w:ascii="Arial Narrow" w:hAnsi="Arial Narrow"/>
                <w:sz w:val="20"/>
              </w:rPr>
              <w:t xml:space="preserve">Primary Clinical Study Report – GA04753g/GO01297 – An open-label, </w:t>
            </w:r>
            <w:proofErr w:type="spellStart"/>
            <w:r w:rsidRPr="00F17A66">
              <w:rPr>
                <w:rFonts w:ascii="Arial Narrow" w:hAnsi="Arial Narrow"/>
                <w:sz w:val="20"/>
              </w:rPr>
              <w:t>multicenter</w:t>
            </w:r>
            <w:proofErr w:type="spellEnd"/>
            <w:r w:rsidRPr="00F17A66">
              <w:rPr>
                <w:rFonts w:ascii="Arial Narrow" w:hAnsi="Arial Narrow"/>
                <w:sz w:val="20"/>
              </w:rPr>
              <w:t xml:space="preserve">, randomized, Phase III study to investigate the efficacy and safety of </w:t>
            </w:r>
            <w:proofErr w:type="spellStart"/>
            <w:r w:rsidRPr="00F17A66">
              <w:rPr>
                <w:rFonts w:ascii="Arial Narrow" w:hAnsi="Arial Narrow"/>
                <w:sz w:val="20"/>
              </w:rPr>
              <w:t>bendamustine</w:t>
            </w:r>
            <w:proofErr w:type="spellEnd"/>
            <w:r w:rsidRPr="00F17A66">
              <w:rPr>
                <w:rFonts w:ascii="Arial Narrow" w:hAnsi="Arial Narrow"/>
                <w:sz w:val="20"/>
              </w:rPr>
              <w:t xml:space="preserve"> compared with </w:t>
            </w:r>
            <w:proofErr w:type="spellStart"/>
            <w:r w:rsidRPr="00F17A66">
              <w:rPr>
                <w:rFonts w:ascii="Arial Narrow" w:hAnsi="Arial Narrow"/>
                <w:sz w:val="20"/>
              </w:rPr>
              <w:t>bendamustine</w:t>
            </w:r>
            <w:proofErr w:type="spellEnd"/>
            <w:r w:rsidRPr="00F17A66">
              <w:rPr>
                <w:rFonts w:ascii="Arial Narrow" w:hAnsi="Arial Narrow"/>
                <w:sz w:val="20"/>
              </w:rPr>
              <w:t xml:space="preserve"> + RO5072759 (GA101) in patients with rituximab-refractory, indolent non-Hodgkin’s lymphoma. Research Report Number 1051204. </w:t>
            </w: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r w:rsidRPr="00F17A66">
              <w:rPr>
                <w:rFonts w:ascii="Arial Narrow" w:hAnsi="Arial Narrow"/>
                <w:sz w:val="20"/>
              </w:rPr>
              <w:t xml:space="preserve">Update Clinical Study Report – GAO4753g/GO01297 - An open-label, </w:t>
            </w:r>
            <w:proofErr w:type="spellStart"/>
            <w:r w:rsidRPr="00F17A66">
              <w:rPr>
                <w:rFonts w:ascii="Arial Narrow" w:hAnsi="Arial Narrow"/>
                <w:sz w:val="20"/>
              </w:rPr>
              <w:t>multicenter</w:t>
            </w:r>
            <w:proofErr w:type="spellEnd"/>
            <w:r w:rsidRPr="00F17A66">
              <w:rPr>
                <w:rFonts w:ascii="Arial Narrow" w:hAnsi="Arial Narrow"/>
                <w:sz w:val="20"/>
              </w:rPr>
              <w:t xml:space="preserve">, randomized, Phase III study to investigate the efficacy and safety of </w:t>
            </w:r>
            <w:proofErr w:type="spellStart"/>
            <w:r w:rsidRPr="00F17A66">
              <w:rPr>
                <w:rFonts w:ascii="Arial Narrow" w:hAnsi="Arial Narrow"/>
                <w:sz w:val="20"/>
              </w:rPr>
              <w:t>bendamustine</w:t>
            </w:r>
            <w:proofErr w:type="spellEnd"/>
            <w:r w:rsidRPr="00F17A66">
              <w:rPr>
                <w:rFonts w:ascii="Arial Narrow" w:hAnsi="Arial Narrow"/>
                <w:sz w:val="20"/>
              </w:rPr>
              <w:t xml:space="preserve"> compared with </w:t>
            </w:r>
            <w:proofErr w:type="spellStart"/>
            <w:r w:rsidRPr="00F17A66">
              <w:rPr>
                <w:rFonts w:ascii="Arial Narrow" w:hAnsi="Arial Narrow"/>
                <w:sz w:val="20"/>
              </w:rPr>
              <w:t>bendamustine</w:t>
            </w:r>
            <w:proofErr w:type="spellEnd"/>
            <w:r w:rsidRPr="00F17A66">
              <w:rPr>
                <w:rFonts w:ascii="Arial Narrow" w:hAnsi="Arial Narrow"/>
                <w:sz w:val="20"/>
              </w:rPr>
              <w:t xml:space="preserve"> + RO5072759 (GA101) in patients with rituximab-refractory, indolent non-Hodgkin lymphoma. Research Report Number 1067639.</w:t>
            </w:r>
          </w:p>
          <w:p w:rsidR="007D1295" w:rsidRPr="00F17A66" w:rsidRDefault="007D1295" w:rsidP="00462BD0">
            <w:pPr>
              <w:keepNext/>
              <w:widowControl/>
              <w:jc w:val="left"/>
              <w:rPr>
                <w:rFonts w:ascii="Arial Narrow" w:hAnsi="Arial Narrow"/>
                <w:sz w:val="20"/>
              </w:rPr>
            </w:pPr>
          </w:p>
          <w:p w:rsidR="007D1295" w:rsidRPr="00F17A66" w:rsidRDefault="007D1295" w:rsidP="00462BD0">
            <w:pPr>
              <w:keepNext/>
              <w:widowControl/>
              <w:jc w:val="left"/>
              <w:rPr>
                <w:rFonts w:ascii="Arial Narrow" w:hAnsi="Arial Narrow"/>
                <w:sz w:val="20"/>
              </w:rPr>
            </w:pPr>
            <w:proofErr w:type="spellStart"/>
            <w:r w:rsidRPr="00F17A66">
              <w:rPr>
                <w:rFonts w:ascii="Arial Narrow" w:hAnsi="Arial Narrow"/>
                <w:sz w:val="20"/>
              </w:rPr>
              <w:t>Sehn</w:t>
            </w:r>
            <w:proofErr w:type="spellEnd"/>
            <w:r w:rsidRPr="00F17A66">
              <w:rPr>
                <w:rFonts w:ascii="Arial Narrow" w:hAnsi="Arial Narrow"/>
                <w:sz w:val="20"/>
              </w:rPr>
              <w:t xml:space="preserve"> LH, Chua N, Mayer J, </w:t>
            </w:r>
            <w:r w:rsidRPr="00F17A66">
              <w:rPr>
                <w:rFonts w:ascii="Arial Narrow" w:hAnsi="Arial Narrow"/>
                <w:i/>
                <w:sz w:val="20"/>
              </w:rPr>
              <w:t>et al</w:t>
            </w:r>
            <w:r w:rsidRPr="00F17A66">
              <w:rPr>
                <w:rFonts w:ascii="Arial Narrow" w:hAnsi="Arial Narrow"/>
                <w:sz w:val="20"/>
              </w:rPr>
              <w:t xml:space="preserve">. </w:t>
            </w:r>
            <w:proofErr w:type="spellStart"/>
            <w:r w:rsidRPr="00F17A66">
              <w:rPr>
                <w:rFonts w:ascii="Arial Narrow" w:hAnsi="Arial Narrow"/>
                <w:sz w:val="20"/>
              </w:rPr>
              <w:t>Obinutuzumab</w:t>
            </w:r>
            <w:proofErr w:type="spellEnd"/>
            <w:r w:rsidRPr="00F17A66">
              <w:rPr>
                <w:rFonts w:ascii="Arial Narrow" w:hAnsi="Arial Narrow"/>
                <w:sz w:val="20"/>
              </w:rPr>
              <w:t xml:space="preserve"> plus </w:t>
            </w:r>
            <w:proofErr w:type="spellStart"/>
            <w:r w:rsidRPr="00F17A66">
              <w:rPr>
                <w:rFonts w:ascii="Arial Narrow" w:hAnsi="Arial Narrow"/>
                <w:sz w:val="20"/>
              </w:rPr>
              <w:t>bendamustine</w:t>
            </w:r>
            <w:proofErr w:type="spellEnd"/>
            <w:r w:rsidRPr="00F17A66">
              <w:rPr>
                <w:rFonts w:ascii="Arial Narrow" w:hAnsi="Arial Narrow"/>
                <w:sz w:val="20"/>
              </w:rPr>
              <w:t xml:space="preserve"> versus </w:t>
            </w:r>
            <w:proofErr w:type="spellStart"/>
            <w:r w:rsidRPr="00F17A66">
              <w:rPr>
                <w:rFonts w:ascii="Arial Narrow" w:hAnsi="Arial Narrow"/>
                <w:sz w:val="20"/>
              </w:rPr>
              <w:t>bendamustine</w:t>
            </w:r>
            <w:proofErr w:type="spellEnd"/>
            <w:r w:rsidRPr="00F17A66">
              <w:rPr>
                <w:rFonts w:ascii="Arial Narrow" w:hAnsi="Arial Narrow"/>
                <w:sz w:val="20"/>
              </w:rPr>
              <w:t xml:space="preserve"> monotherapy in patients with rituximab-refractory indolent non-Hodgkin lymphoma (GADOLIN): a randomised, controlled, open-label, multicentre, phase 3 trial</w:t>
            </w:r>
          </w:p>
        </w:tc>
        <w:tc>
          <w:tcPr>
            <w:tcW w:w="630" w:type="pct"/>
          </w:tcPr>
          <w:p w:rsidR="007B38A2" w:rsidRPr="00F17A66" w:rsidRDefault="007B38A2" w:rsidP="00462BD0">
            <w:pPr>
              <w:keepNext/>
              <w:widowControl/>
              <w:jc w:val="left"/>
              <w:rPr>
                <w:rFonts w:ascii="Arial Narrow" w:hAnsi="Arial Narrow"/>
                <w:sz w:val="20"/>
              </w:rPr>
            </w:pPr>
            <w:r w:rsidRPr="00F17A66">
              <w:rPr>
                <w:rFonts w:ascii="Arial Narrow" w:hAnsi="Arial Narrow"/>
                <w:sz w:val="20"/>
              </w:rPr>
              <w:t>July 2015</w:t>
            </w: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r w:rsidRPr="00F17A66">
              <w:rPr>
                <w:rFonts w:ascii="Arial Narrow" w:hAnsi="Arial Narrow"/>
                <w:sz w:val="20"/>
              </w:rPr>
              <w:t>December, 2015</w:t>
            </w:r>
          </w:p>
          <w:p w:rsidR="007B38A2" w:rsidRPr="00F17A66" w:rsidRDefault="007B38A2" w:rsidP="00462BD0">
            <w:pPr>
              <w:keepNext/>
              <w:widowControl/>
              <w:jc w:val="left"/>
              <w:rPr>
                <w:rFonts w:ascii="Arial Narrow" w:hAnsi="Arial Narrow"/>
                <w:sz w:val="20"/>
              </w:rPr>
            </w:pPr>
          </w:p>
          <w:p w:rsidR="007B38A2" w:rsidRPr="00F17A66" w:rsidRDefault="007B38A2" w:rsidP="00462BD0">
            <w:pPr>
              <w:keepNext/>
              <w:widowControl/>
              <w:jc w:val="left"/>
              <w:rPr>
                <w:rFonts w:ascii="Arial Narrow" w:hAnsi="Arial Narrow"/>
                <w:sz w:val="20"/>
              </w:rPr>
            </w:pPr>
          </w:p>
          <w:p w:rsidR="007B38A2" w:rsidRPr="00F17A66" w:rsidRDefault="007D1295" w:rsidP="00462BD0">
            <w:pPr>
              <w:keepNext/>
              <w:widowControl/>
              <w:jc w:val="left"/>
              <w:rPr>
                <w:rFonts w:ascii="Arial Narrow" w:hAnsi="Arial Narrow"/>
                <w:b/>
                <w:sz w:val="20"/>
              </w:rPr>
            </w:pPr>
            <w:r w:rsidRPr="00F17A66">
              <w:rPr>
                <w:rFonts w:ascii="Arial Narrow" w:hAnsi="Arial Narrow"/>
                <w:i/>
                <w:sz w:val="20"/>
              </w:rPr>
              <w:t xml:space="preserve">Lancet </w:t>
            </w:r>
            <w:proofErr w:type="spellStart"/>
            <w:r w:rsidRPr="00F17A66">
              <w:rPr>
                <w:rFonts w:ascii="Arial Narrow" w:hAnsi="Arial Narrow"/>
                <w:i/>
                <w:sz w:val="20"/>
              </w:rPr>
              <w:t>Oncol</w:t>
            </w:r>
            <w:proofErr w:type="spellEnd"/>
            <w:r w:rsidRPr="00F17A66">
              <w:rPr>
                <w:rFonts w:ascii="Arial Narrow" w:hAnsi="Arial Narrow"/>
                <w:i/>
                <w:sz w:val="20"/>
              </w:rPr>
              <w:t xml:space="preserve">; </w:t>
            </w:r>
            <w:r w:rsidRPr="00F17A66">
              <w:rPr>
                <w:rFonts w:ascii="Arial Narrow" w:hAnsi="Arial Narrow"/>
                <w:sz w:val="20"/>
              </w:rPr>
              <w:t>2016; 17(8); 1081-1093</w:t>
            </w:r>
          </w:p>
        </w:tc>
      </w:tr>
    </w:tbl>
    <w:p w:rsidR="007B38A2" w:rsidRPr="00F17A66" w:rsidRDefault="007B38A2" w:rsidP="00C95D97">
      <w:pPr>
        <w:keepNext/>
        <w:widowControl/>
        <w:ind w:firstLine="720"/>
      </w:pPr>
      <w:r w:rsidRPr="00F17A66">
        <w:rPr>
          <w:rFonts w:ascii="Arial Narrow" w:hAnsi="Arial Narrow"/>
          <w:sz w:val="18"/>
        </w:rPr>
        <w:t>Source: Table B.2.3, p6 of Section B of the submission</w:t>
      </w:r>
    </w:p>
    <w:p w:rsidR="00862502" w:rsidRPr="00F17A66" w:rsidRDefault="00862502" w:rsidP="008F120A">
      <w:pPr>
        <w:widowControl/>
        <w:rPr>
          <w:szCs w:val="22"/>
        </w:rPr>
      </w:pPr>
    </w:p>
    <w:p w:rsidR="00862502" w:rsidRPr="00F17A66" w:rsidRDefault="008F120A" w:rsidP="005D5FF8">
      <w:pPr>
        <w:pStyle w:val="ListParagraph"/>
        <w:widowControl/>
        <w:numPr>
          <w:ilvl w:val="1"/>
          <w:numId w:val="1"/>
        </w:numPr>
        <w:rPr>
          <w:szCs w:val="22"/>
        </w:rPr>
      </w:pPr>
      <w:r w:rsidRPr="00F17A66">
        <w:rPr>
          <w:szCs w:val="22"/>
        </w:rPr>
        <w:t>The key features o</w:t>
      </w:r>
      <w:r w:rsidR="00926BAE" w:rsidRPr="00F17A66">
        <w:rPr>
          <w:szCs w:val="22"/>
        </w:rPr>
        <w:t>f the direct randomised trial</w:t>
      </w:r>
      <w:r w:rsidRPr="00F17A66">
        <w:rPr>
          <w:szCs w:val="22"/>
        </w:rPr>
        <w:t xml:space="preserve"> are summarised in the table below.</w:t>
      </w:r>
    </w:p>
    <w:p w:rsidR="007F1017" w:rsidRPr="00F17A66" w:rsidRDefault="007F1017" w:rsidP="007F1017">
      <w:pPr>
        <w:widowControl/>
        <w:rPr>
          <w:szCs w:val="22"/>
        </w:rPr>
      </w:pPr>
    </w:p>
    <w:p w:rsidR="007F1017" w:rsidRPr="00F17A66" w:rsidRDefault="007F1017" w:rsidP="00C95D97">
      <w:pPr>
        <w:ind w:firstLine="720"/>
        <w:rPr>
          <w:rStyle w:val="CommentReference"/>
        </w:rPr>
      </w:pPr>
      <w:r w:rsidRPr="00F17A66">
        <w:rPr>
          <w:rStyle w:val="CommentReference"/>
        </w:rPr>
        <w:t xml:space="preserve">Table </w:t>
      </w:r>
      <w:r w:rsidR="000E3DCE" w:rsidRPr="00F17A66">
        <w:rPr>
          <w:rStyle w:val="CommentReference"/>
        </w:rPr>
        <w:t>2</w:t>
      </w:r>
      <w:r w:rsidRPr="00F17A66">
        <w:rPr>
          <w:rStyle w:val="CommentReference"/>
        </w:rPr>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763"/>
        <w:gridCol w:w="1683"/>
        <w:gridCol w:w="1079"/>
        <w:gridCol w:w="1544"/>
        <w:gridCol w:w="1020"/>
        <w:gridCol w:w="1424"/>
      </w:tblGrid>
      <w:tr w:rsidR="007E7E00" w:rsidRPr="00F17A66" w:rsidTr="007E7E00">
        <w:trPr>
          <w:tblHeader/>
        </w:trPr>
        <w:tc>
          <w:tcPr>
            <w:tcW w:w="509" w:type="pct"/>
            <w:shd w:val="clear" w:color="auto" w:fill="auto"/>
            <w:vAlign w:val="center"/>
          </w:tcPr>
          <w:p w:rsidR="007F1017" w:rsidRPr="00F17A66" w:rsidRDefault="007F1017" w:rsidP="007F1017">
            <w:pPr>
              <w:jc w:val="left"/>
              <w:rPr>
                <w:rFonts w:ascii="Arial Narrow" w:hAnsi="Arial Narrow"/>
                <w:b/>
                <w:sz w:val="20"/>
                <w:lang w:val="en-US"/>
              </w:rPr>
            </w:pPr>
            <w:r w:rsidRPr="00F17A66">
              <w:rPr>
                <w:rFonts w:ascii="Arial Narrow" w:hAnsi="Arial Narrow"/>
                <w:b/>
                <w:sz w:val="20"/>
                <w:lang w:val="en-US"/>
              </w:rPr>
              <w:t>Trial</w:t>
            </w:r>
          </w:p>
        </w:tc>
        <w:tc>
          <w:tcPr>
            <w:tcW w:w="456" w:type="pct"/>
            <w:shd w:val="clear" w:color="auto" w:fill="auto"/>
            <w:vAlign w:val="center"/>
          </w:tcPr>
          <w:p w:rsidR="007F1017" w:rsidRPr="00F17A66" w:rsidRDefault="007F1017" w:rsidP="007F1017">
            <w:pPr>
              <w:jc w:val="center"/>
              <w:rPr>
                <w:rFonts w:ascii="Arial Narrow" w:hAnsi="Arial Narrow"/>
                <w:b/>
                <w:sz w:val="20"/>
                <w:lang w:val="en-US"/>
              </w:rPr>
            </w:pPr>
            <w:r w:rsidRPr="00F17A66">
              <w:rPr>
                <w:rFonts w:ascii="Arial Narrow" w:hAnsi="Arial Narrow"/>
                <w:b/>
                <w:sz w:val="20"/>
                <w:lang w:val="en-US"/>
              </w:rPr>
              <w:t>N</w:t>
            </w:r>
          </w:p>
        </w:tc>
        <w:tc>
          <w:tcPr>
            <w:tcW w:w="1006" w:type="pct"/>
            <w:shd w:val="clear" w:color="auto" w:fill="auto"/>
            <w:vAlign w:val="center"/>
          </w:tcPr>
          <w:p w:rsidR="007F1017" w:rsidRPr="00F17A66" w:rsidRDefault="007F1017" w:rsidP="007F1017">
            <w:pPr>
              <w:jc w:val="center"/>
              <w:rPr>
                <w:rFonts w:ascii="Arial Narrow" w:hAnsi="Arial Narrow"/>
                <w:b/>
                <w:sz w:val="20"/>
                <w:lang w:val="en-US"/>
              </w:rPr>
            </w:pPr>
            <w:r w:rsidRPr="00F17A66">
              <w:rPr>
                <w:rFonts w:ascii="Arial Narrow" w:hAnsi="Arial Narrow"/>
                <w:b/>
                <w:sz w:val="20"/>
                <w:lang w:val="en-US"/>
              </w:rPr>
              <w:t>Design/ duration</w:t>
            </w:r>
          </w:p>
        </w:tc>
        <w:tc>
          <w:tcPr>
            <w:tcW w:w="645" w:type="pct"/>
            <w:shd w:val="clear" w:color="auto" w:fill="auto"/>
            <w:vAlign w:val="center"/>
          </w:tcPr>
          <w:p w:rsidR="007F1017" w:rsidRPr="00F17A66" w:rsidRDefault="007F1017" w:rsidP="007F1017">
            <w:pPr>
              <w:jc w:val="center"/>
              <w:rPr>
                <w:rFonts w:ascii="Arial Narrow" w:hAnsi="Arial Narrow"/>
                <w:b/>
                <w:sz w:val="20"/>
                <w:lang w:val="en-US"/>
              </w:rPr>
            </w:pPr>
            <w:r w:rsidRPr="00F17A66">
              <w:rPr>
                <w:rFonts w:ascii="Arial Narrow" w:hAnsi="Arial Narrow"/>
                <w:b/>
                <w:sz w:val="20"/>
                <w:lang w:val="en-US"/>
              </w:rPr>
              <w:t>Risk of bias</w:t>
            </w:r>
          </w:p>
        </w:tc>
        <w:tc>
          <w:tcPr>
            <w:tcW w:w="923" w:type="pct"/>
            <w:shd w:val="clear" w:color="auto" w:fill="auto"/>
            <w:vAlign w:val="center"/>
          </w:tcPr>
          <w:p w:rsidR="007F1017" w:rsidRPr="00F17A66" w:rsidRDefault="007F1017" w:rsidP="007F1017">
            <w:pPr>
              <w:jc w:val="center"/>
              <w:rPr>
                <w:rFonts w:ascii="Arial Narrow" w:hAnsi="Arial Narrow"/>
                <w:b/>
                <w:sz w:val="20"/>
                <w:lang w:val="en-US"/>
              </w:rPr>
            </w:pPr>
            <w:r w:rsidRPr="00F17A66">
              <w:rPr>
                <w:rFonts w:ascii="Arial Narrow" w:hAnsi="Arial Narrow"/>
                <w:b/>
                <w:sz w:val="20"/>
                <w:lang w:val="en-US"/>
              </w:rPr>
              <w:t>Patient population</w:t>
            </w:r>
          </w:p>
        </w:tc>
        <w:tc>
          <w:tcPr>
            <w:tcW w:w="610" w:type="pct"/>
            <w:shd w:val="clear" w:color="auto" w:fill="auto"/>
            <w:vAlign w:val="center"/>
          </w:tcPr>
          <w:p w:rsidR="007F1017" w:rsidRPr="00F17A66" w:rsidRDefault="00926BAE" w:rsidP="00926BAE">
            <w:pPr>
              <w:jc w:val="center"/>
              <w:rPr>
                <w:rFonts w:ascii="Arial Narrow" w:hAnsi="Arial Narrow"/>
                <w:b/>
                <w:sz w:val="20"/>
                <w:lang w:val="en-US"/>
              </w:rPr>
            </w:pPr>
            <w:r w:rsidRPr="00F17A66">
              <w:rPr>
                <w:rFonts w:ascii="Arial Narrow" w:hAnsi="Arial Narrow"/>
                <w:b/>
                <w:sz w:val="20"/>
                <w:lang w:val="en-US"/>
              </w:rPr>
              <w:t>Outcomes</w:t>
            </w:r>
          </w:p>
        </w:tc>
        <w:tc>
          <w:tcPr>
            <w:tcW w:w="853" w:type="pct"/>
            <w:shd w:val="clear" w:color="auto" w:fill="auto"/>
            <w:vAlign w:val="center"/>
          </w:tcPr>
          <w:p w:rsidR="007F1017" w:rsidRPr="00F17A66" w:rsidRDefault="007F1017" w:rsidP="007F1017">
            <w:pPr>
              <w:jc w:val="center"/>
              <w:rPr>
                <w:rFonts w:ascii="Arial Narrow" w:hAnsi="Arial Narrow"/>
                <w:b/>
                <w:sz w:val="20"/>
                <w:lang w:val="en-US"/>
              </w:rPr>
            </w:pPr>
            <w:r w:rsidRPr="00F17A66">
              <w:rPr>
                <w:rFonts w:ascii="Arial Narrow" w:hAnsi="Arial Narrow"/>
                <w:b/>
                <w:sz w:val="20"/>
                <w:lang w:val="en-US"/>
              </w:rPr>
              <w:t>Use in modelled evaluation</w:t>
            </w:r>
          </w:p>
        </w:tc>
      </w:tr>
      <w:tr w:rsidR="007F1017" w:rsidRPr="00F17A66" w:rsidTr="007E7E00">
        <w:tc>
          <w:tcPr>
            <w:tcW w:w="5000" w:type="pct"/>
            <w:gridSpan w:val="7"/>
            <w:shd w:val="clear" w:color="auto" w:fill="auto"/>
            <w:vAlign w:val="center"/>
          </w:tcPr>
          <w:p w:rsidR="007F1017" w:rsidRPr="00F17A66" w:rsidRDefault="00926BAE" w:rsidP="00926BAE">
            <w:pPr>
              <w:jc w:val="left"/>
              <w:rPr>
                <w:rFonts w:ascii="Arial Narrow" w:hAnsi="Arial Narrow"/>
                <w:b/>
                <w:sz w:val="20"/>
                <w:lang w:val="en-US"/>
              </w:rPr>
            </w:pPr>
            <w:r w:rsidRPr="00F17A66">
              <w:rPr>
                <w:rFonts w:ascii="Arial Narrow" w:hAnsi="Arial Narrow"/>
                <w:b/>
                <w:sz w:val="20"/>
                <w:lang w:val="en-US"/>
              </w:rPr>
              <w:t>O-Benda</w:t>
            </w:r>
            <w:r w:rsidR="007F1017" w:rsidRPr="00F17A66">
              <w:rPr>
                <w:rFonts w:ascii="Arial Narrow" w:hAnsi="Arial Narrow"/>
                <w:b/>
                <w:sz w:val="20"/>
                <w:lang w:val="en-US"/>
              </w:rPr>
              <w:t xml:space="preserve"> vs. </w:t>
            </w:r>
            <w:r w:rsidRPr="00F17A66">
              <w:rPr>
                <w:rFonts w:ascii="Arial Narrow" w:hAnsi="Arial Narrow"/>
                <w:b/>
                <w:sz w:val="20"/>
                <w:lang w:val="en-US"/>
              </w:rPr>
              <w:t>Benda</w:t>
            </w:r>
          </w:p>
        </w:tc>
      </w:tr>
      <w:tr w:rsidR="007E7E00" w:rsidRPr="00F17A66" w:rsidTr="007E7E00">
        <w:tc>
          <w:tcPr>
            <w:tcW w:w="509" w:type="pct"/>
            <w:shd w:val="clear" w:color="auto" w:fill="auto"/>
            <w:vAlign w:val="center"/>
          </w:tcPr>
          <w:p w:rsidR="007F1017" w:rsidRPr="00F17A66" w:rsidRDefault="00926BAE" w:rsidP="007F1017">
            <w:pPr>
              <w:jc w:val="left"/>
              <w:rPr>
                <w:rFonts w:ascii="Arial Narrow" w:hAnsi="Arial Narrow"/>
                <w:sz w:val="20"/>
                <w:lang w:val="en-US"/>
              </w:rPr>
            </w:pPr>
            <w:r w:rsidRPr="00F17A66">
              <w:rPr>
                <w:rFonts w:ascii="Arial Narrow" w:hAnsi="Arial Narrow"/>
                <w:sz w:val="20"/>
                <w:lang w:val="en-US"/>
              </w:rPr>
              <w:t>GADOLIN</w:t>
            </w:r>
          </w:p>
        </w:tc>
        <w:tc>
          <w:tcPr>
            <w:tcW w:w="456" w:type="pct"/>
            <w:shd w:val="clear" w:color="auto" w:fill="auto"/>
            <w:vAlign w:val="center"/>
          </w:tcPr>
          <w:p w:rsidR="007F1017" w:rsidRPr="00F17A66" w:rsidRDefault="00926BAE" w:rsidP="007F1017">
            <w:pPr>
              <w:jc w:val="center"/>
              <w:rPr>
                <w:rFonts w:ascii="Arial Narrow" w:hAnsi="Arial Narrow"/>
                <w:sz w:val="20"/>
                <w:lang w:val="en-US"/>
              </w:rPr>
            </w:pPr>
            <w:r w:rsidRPr="00F17A66">
              <w:rPr>
                <w:rFonts w:ascii="Arial Narrow" w:hAnsi="Arial Narrow"/>
                <w:sz w:val="20"/>
                <w:lang w:val="en-US"/>
              </w:rPr>
              <w:t>396</w:t>
            </w:r>
            <w:r w:rsidR="000E3DCE" w:rsidRPr="00F17A66">
              <w:rPr>
                <w:rFonts w:ascii="Arial Narrow" w:hAnsi="Arial Narrow"/>
                <w:sz w:val="20"/>
                <w:lang w:val="en-US"/>
              </w:rPr>
              <w:t xml:space="preserve"> </w:t>
            </w:r>
            <w:r w:rsidR="000E3DCE" w:rsidRPr="00F17A66">
              <w:rPr>
                <w:rFonts w:ascii="Arial Narrow" w:hAnsi="Arial Narrow"/>
                <w:sz w:val="20"/>
                <w:vertAlign w:val="superscript"/>
                <w:lang w:val="en-US"/>
              </w:rPr>
              <w:t>a</w:t>
            </w:r>
          </w:p>
        </w:tc>
        <w:tc>
          <w:tcPr>
            <w:tcW w:w="1006" w:type="pct"/>
            <w:shd w:val="clear" w:color="auto" w:fill="auto"/>
            <w:vAlign w:val="center"/>
          </w:tcPr>
          <w:p w:rsidR="007F1017" w:rsidRPr="00F17A66" w:rsidRDefault="007F1017" w:rsidP="007F1017">
            <w:pPr>
              <w:jc w:val="center"/>
              <w:rPr>
                <w:rFonts w:ascii="Arial Narrow" w:hAnsi="Arial Narrow"/>
                <w:sz w:val="20"/>
                <w:lang w:val="en-US"/>
              </w:rPr>
            </w:pPr>
            <w:r w:rsidRPr="00F17A66">
              <w:rPr>
                <w:rFonts w:ascii="Arial Narrow" w:hAnsi="Arial Narrow"/>
                <w:sz w:val="20"/>
                <w:lang w:val="en-US"/>
              </w:rPr>
              <w:t xml:space="preserve">R, </w:t>
            </w:r>
            <w:r w:rsidR="00926BAE" w:rsidRPr="00F17A66">
              <w:rPr>
                <w:rFonts w:ascii="Arial Narrow" w:hAnsi="Arial Narrow"/>
                <w:sz w:val="20"/>
                <w:lang w:val="en-US"/>
              </w:rPr>
              <w:t>MC, OL</w:t>
            </w:r>
          </w:p>
          <w:p w:rsidR="007F1017" w:rsidRPr="00F17A66" w:rsidRDefault="00610CF7" w:rsidP="007F1017">
            <w:pPr>
              <w:jc w:val="center"/>
              <w:rPr>
                <w:rFonts w:ascii="Arial Narrow" w:hAnsi="Arial Narrow"/>
                <w:sz w:val="20"/>
                <w:lang w:val="en-US"/>
              </w:rPr>
            </w:pPr>
            <w:r w:rsidRPr="00F17A66">
              <w:rPr>
                <w:rFonts w:ascii="Arial Narrow" w:hAnsi="Arial Narrow"/>
                <w:sz w:val="20"/>
                <w:lang w:val="en-US"/>
              </w:rPr>
              <w:t>21.9</w:t>
            </w:r>
            <w:r w:rsidR="007F1017" w:rsidRPr="00F17A66">
              <w:rPr>
                <w:rFonts w:ascii="Arial Narrow" w:hAnsi="Arial Narrow"/>
                <w:sz w:val="20"/>
                <w:lang w:val="en-US"/>
              </w:rPr>
              <w:t xml:space="preserve"> m</w:t>
            </w:r>
            <w:r w:rsidR="00932ABE" w:rsidRPr="00F17A66">
              <w:rPr>
                <w:rFonts w:ascii="Arial Narrow" w:hAnsi="Arial Narrow"/>
                <w:sz w:val="20"/>
                <w:lang w:val="en-US"/>
              </w:rPr>
              <w:t>on</w:t>
            </w:r>
            <w:r w:rsidR="007F1017" w:rsidRPr="00F17A66">
              <w:rPr>
                <w:rFonts w:ascii="Arial Narrow" w:hAnsi="Arial Narrow"/>
                <w:sz w:val="20"/>
                <w:lang w:val="en-US"/>
              </w:rPr>
              <w:t>ths</w:t>
            </w:r>
            <w:r w:rsidR="00932ABE" w:rsidRPr="00F17A66">
              <w:rPr>
                <w:rFonts w:ascii="Arial Narrow" w:hAnsi="Arial Narrow"/>
                <w:sz w:val="20"/>
                <w:lang w:val="en-US"/>
              </w:rPr>
              <w:t xml:space="preserve"> </w:t>
            </w:r>
            <w:r w:rsidR="00932ABE" w:rsidRPr="00F17A66">
              <w:rPr>
                <w:rFonts w:ascii="Arial Narrow" w:hAnsi="Arial Narrow"/>
                <w:sz w:val="20"/>
                <w:vertAlign w:val="superscript"/>
                <w:lang w:val="en-US"/>
              </w:rPr>
              <w:t>b</w:t>
            </w:r>
          </w:p>
        </w:tc>
        <w:tc>
          <w:tcPr>
            <w:tcW w:w="645" w:type="pct"/>
            <w:shd w:val="clear" w:color="auto" w:fill="auto"/>
            <w:vAlign w:val="center"/>
          </w:tcPr>
          <w:p w:rsidR="007F1017" w:rsidRPr="00F17A66" w:rsidRDefault="007F1017" w:rsidP="007F1017">
            <w:pPr>
              <w:jc w:val="center"/>
              <w:rPr>
                <w:rFonts w:ascii="Arial Narrow" w:hAnsi="Arial Narrow"/>
                <w:sz w:val="20"/>
                <w:lang w:val="en-US"/>
              </w:rPr>
            </w:pPr>
            <w:r w:rsidRPr="00F17A66">
              <w:rPr>
                <w:rFonts w:ascii="Arial Narrow" w:hAnsi="Arial Narrow"/>
                <w:sz w:val="20"/>
                <w:lang w:val="en-US"/>
              </w:rPr>
              <w:t>Low</w:t>
            </w:r>
          </w:p>
        </w:tc>
        <w:tc>
          <w:tcPr>
            <w:tcW w:w="923" w:type="pct"/>
            <w:shd w:val="clear" w:color="auto" w:fill="auto"/>
            <w:vAlign w:val="center"/>
          </w:tcPr>
          <w:p w:rsidR="007F1017" w:rsidRPr="00F17A66" w:rsidRDefault="00926BAE" w:rsidP="0011789A">
            <w:pPr>
              <w:jc w:val="center"/>
              <w:rPr>
                <w:rFonts w:ascii="Arial Narrow" w:hAnsi="Arial Narrow"/>
                <w:sz w:val="20"/>
                <w:lang w:val="en-US"/>
              </w:rPr>
            </w:pPr>
            <w:r w:rsidRPr="00F17A66">
              <w:rPr>
                <w:rFonts w:ascii="Arial Narrow" w:hAnsi="Arial Narrow"/>
                <w:sz w:val="20"/>
                <w:lang w:val="en-US"/>
              </w:rPr>
              <w:t xml:space="preserve">Rituximab-refractory </w:t>
            </w:r>
            <w:r w:rsidR="0011789A">
              <w:rPr>
                <w:rFonts w:ascii="Arial Narrow" w:hAnsi="Arial Narrow"/>
                <w:sz w:val="20"/>
                <w:lang w:val="en-US"/>
              </w:rPr>
              <w:t>NHL</w:t>
            </w:r>
          </w:p>
        </w:tc>
        <w:tc>
          <w:tcPr>
            <w:tcW w:w="610" w:type="pct"/>
            <w:shd w:val="clear" w:color="auto" w:fill="auto"/>
            <w:vAlign w:val="center"/>
          </w:tcPr>
          <w:p w:rsidR="007F1017" w:rsidRPr="00F17A66" w:rsidRDefault="00926BAE" w:rsidP="007D1295">
            <w:pPr>
              <w:jc w:val="center"/>
              <w:rPr>
                <w:rFonts w:ascii="Arial Narrow" w:hAnsi="Arial Narrow"/>
                <w:sz w:val="20"/>
                <w:lang w:val="en-US"/>
              </w:rPr>
            </w:pPr>
            <w:r w:rsidRPr="00F17A66">
              <w:rPr>
                <w:rFonts w:ascii="Arial Narrow" w:hAnsi="Arial Narrow"/>
                <w:sz w:val="20"/>
                <w:lang w:val="en-US"/>
              </w:rPr>
              <w:t xml:space="preserve">PFS, OS, safety, </w:t>
            </w:r>
            <w:proofErr w:type="spellStart"/>
            <w:r w:rsidR="007D1295" w:rsidRPr="00F17A66">
              <w:rPr>
                <w:rFonts w:ascii="Arial Narrow" w:hAnsi="Arial Narrow"/>
                <w:sz w:val="20"/>
                <w:lang w:val="en-US"/>
              </w:rPr>
              <w:t>QoL</w:t>
            </w:r>
            <w:proofErr w:type="spellEnd"/>
          </w:p>
        </w:tc>
        <w:tc>
          <w:tcPr>
            <w:tcW w:w="853" w:type="pct"/>
            <w:shd w:val="clear" w:color="auto" w:fill="auto"/>
            <w:vAlign w:val="center"/>
          </w:tcPr>
          <w:p w:rsidR="007F1017" w:rsidRPr="00F17A66" w:rsidRDefault="00926BAE" w:rsidP="007F1017">
            <w:pPr>
              <w:jc w:val="center"/>
              <w:rPr>
                <w:rFonts w:ascii="Arial Narrow" w:hAnsi="Arial Narrow"/>
                <w:sz w:val="20"/>
                <w:lang w:val="en-US"/>
              </w:rPr>
            </w:pPr>
            <w:r w:rsidRPr="00F17A66">
              <w:rPr>
                <w:rFonts w:ascii="Arial Narrow" w:hAnsi="Arial Narrow"/>
                <w:sz w:val="20"/>
                <w:lang w:val="en-US"/>
              </w:rPr>
              <w:t>Yes</w:t>
            </w:r>
            <w:r w:rsidR="0011789A">
              <w:rPr>
                <w:rFonts w:ascii="Arial Narrow" w:hAnsi="Arial Narrow"/>
                <w:sz w:val="20"/>
                <w:lang w:val="en-US"/>
              </w:rPr>
              <w:t xml:space="preserve"> – the FL subgroup</w:t>
            </w:r>
          </w:p>
        </w:tc>
      </w:tr>
    </w:tbl>
    <w:p w:rsidR="007F1017" w:rsidRPr="00F17A66" w:rsidRDefault="00926BAE" w:rsidP="007E7E00">
      <w:pPr>
        <w:pStyle w:val="TableFooter"/>
        <w:ind w:left="720"/>
      </w:pPr>
      <w:r w:rsidRPr="00F17A66">
        <w:t xml:space="preserve">Benda = </w:t>
      </w:r>
      <w:proofErr w:type="spellStart"/>
      <w:r w:rsidRPr="00F17A66">
        <w:t>bendamustine</w:t>
      </w:r>
      <w:proofErr w:type="spellEnd"/>
      <w:r w:rsidRPr="00F17A66">
        <w:t xml:space="preserve">; </w:t>
      </w:r>
      <w:r w:rsidR="007F1017" w:rsidRPr="00F17A66">
        <w:t xml:space="preserve">DB=double blind; </w:t>
      </w:r>
      <w:r w:rsidRPr="00F17A66">
        <w:t xml:space="preserve">FL = follicular lymphoma; </w:t>
      </w:r>
      <w:r w:rsidR="00CF53F8">
        <w:t>NH</w:t>
      </w:r>
      <w:r w:rsidR="00CF53F8" w:rsidRPr="00F17A66">
        <w:t xml:space="preserve">L = </w:t>
      </w:r>
      <w:r w:rsidR="0022391E">
        <w:t>n</w:t>
      </w:r>
      <w:r w:rsidR="00CF53F8">
        <w:t>on-Hodgkin</w:t>
      </w:r>
      <w:r w:rsidR="00CF53F8" w:rsidRPr="00F17A66">
        <w:t xml:space="preserve"> lymphoma; </w:t>
      </w:r>
      <w:r w:rsidR="007F1017" w:rsidRPr="00F17A66">
        <w:t xml:space="preserve">MC=multi-centre; </w:t>
      </w:r>
      <w:r w:rsidRPr="00F17A66">
        <w:t xml:space="preserve">O-Benda = </w:t>
      </w:r>
      <w:proofErr w:type="spellStart"/>
      <w:r w:rsidRPr="00F17A66">
        <w:t>Obinutuzumab-bendamustine</w:t>
      </w:r>
      <w:proofErr w:type="spellEnd"/>
      <w:r w:rsidRPr="00F17A66">
        <w:t xml:space="preserve">; </w:t>
      </w:r>
      <w:r w:rsidR="007F1017" w:rsidRPr="00F17A66">
        <w:t xml:space="preserve">OL=open label; OS=overall survival; </w:t>
      </w:r>
      <w:proofErr w:type="spellStart"/>
      <w:r w:rsidR="007D1295" w:rsidRPr="00F17A66">
        <w:t>QoL</w:t>
      </w:r>
      <w:proofErr w:type="spellEnd"/>
      <w:r w:rsidR="007D1295" w:rsidRPr="00F17A66">
        <w:t xml:space="preserve"> = quality of life; </w:t>
      </w:r>
      <w:r w:rsidR="007F1017" w:rsidRPr="00F17A66">
        <w:t>PFS=progression-free survival; R=randomised.</w:t>
      </w:r>
    </w:p>
    <w:p w:rsidR="007F1017" w:rsidRPr="00F17A66" w:rsidRDefault="007F1017" w:rsidP="007E7E00">
      <w:pPr>
        <w:pStyle w:val="TableFooter"/>
        <w:ind w:left="720"/>
      </w:pPr>
      <w:r w:rsidRPr="00F17A66">
        <w:t>Source: compiled during the evaluation</w:t>
      </w:r>
    </w:p>
    <w:p w:rsidR="000E3DCE" w:rsidRPr="00F17A66" w:rsidRDefault="000E3DCE" w:rsidP="007E7E00">
      <w:pPr>
        <w:pStyle w:val="TableFooter"/>
        <w:ind w:left="720"/>
      </w:pPr>
      <w:proofErr w:type="spellStart"/>
      <w:proofErr w:type="gramStart"/>
      <w:r w:rsidRPr="00F17A66">
        <w:rPr>
          <w:vertAlign w:val="superscript"/>
        </w:rPr>
        <w:t>a</w:t>
      </w:r>
      <w:proofErr w:type="spellEnd"/>
      <w:proofErr w:type="gramEnd"/>
      <w:r w:rsidRPr="00F17A66">
        <w:t xml:space="preserve"> At the time of the first analysis (September 2014) 396 patients were enrolled. At the later data cut (May 2015) an additional 17 patients were enrolled increasing the total number of patients to 413.</w:t>
      </w:r>
    </w:p>
    <w:p w:rsidR="00F75CD5" w:rsidRPr="00F17A66" w:rsidRDefault="00F75CD5" w:rsidP="007E7E00">
      <w:pPr>
        <w:pStyle w:val="TableFooter"/>
        <w:ind w:left="720"/>
      </w:pPr>
      <w:proofErr w:type="gramStart"/>
      <w:r w:rsidRPr="00F17A66">
        <w:rPr>
          <w:vertAlign w:val="superscript"/>
        </w:rPr>
        <w:t>b</w:t>
      </w:r>
      <w:proofErr w:type="gramEnd"/>
      <w:r w:rsidRPr="00F17A66">
        <w:t xml:space="preserve"> At the time of the first analysis (September 2014), median follow-up was 21.9 months for patients treated with </w:t>
      </w:r>
      <w:proofErr w:type="spellStart"/>
      <w:r w:rsidRPr="00F17A66">
        <w:t>obinutuzumab</w:t>
      </w:r>
      <w:proofErr w:type="spellEnd"/>
      <w:r w:rsidRPr="00F17A66">
        <w:t xml:space="preserve"> plus </w:t>
      </w:r>
      <w:proofErr w:type="spellStart"/>
      <w:r w:rsidRPr="00F17A66">
        <w:t>bendamustine</w:t>
      </w:r>
      <w:proofErr w:type="spellEnd"/>
      <w:r w:rsidRPr="00F17A66">
        <w:t>.</w:t>
      </w:r>
      <w:r w:rsidR="00610CF7" w:rsidRPr="00F17A66">
        <w:t xml:space="preserve"> At the later data cut (May 2015), median follow-up for patients treated with </w:t>
      </w:r>
      <w:proofErr w:type="spellStart"/>
      <w:r w:rsidR="00610CF7" w:rsidRPr="00F17A66">
        <w:t>obinutuzumab</w:t>
      </w:r>
      <w:proofErr w:type="spellEnd"/>
      <w:r w:rsidR="00610CF7" w:rsidRPr="00F17A66">
        <w:t xml:space="preserve"> plus </w:t>
      </w:r>
      <w:proofErr w:type="spellStart"/>
      <w:r w:rsidR="00610CF7" w:rsidRPr="00F17A66">
        <w:t>bendamustine</w:t>
      </w:r>
      <w:proofErr w:type="spellEnd"/>
      <w:r w:rsidR="00610CF7" w:rsidRPr="00F17A66">
        <w:t xml:space="preserve"> was 25.3 months.</w:t>
      </w:r>
    </w:p>
    <w:p w:rsidR="007F1017" w:rsidRPr="00F17A66" w:rsidRDefault="007F1017" w:rsidP="007F1017"/>
    <w:p w:rsidR="00D97505" w:rsidRPr="00F17A66" w:rsidRDefault="000979E9" w:rsidP="005D5FF8">
      <w:pPr>
        <w:pStyle w:val="ListParagraph"/>
        <w:widowControl/>
        <w:numPr>
          <w:ilvl w:val="1"/>
          <w:numId w:val="1"/>
        </w:numPr>
        <w:rPr>
          <w:szCs w:val="22"/>
        </w:rPr>
      </w:pPr>
      <w:r w:rsidRPr="00F17A66">
        <w:rPr>
          <w:szCs w:val="22"/>
        </w:rPr>
        <w:t>The results from the follicular lymphoma subgroup were use</w:t>
      </w:r>
      <w:r w:rsidR="00330B60">
        <w:rPr>
          <w:szCs w:val="22"/>
        </w:rPr>
        <w:t>d to inform the economic model.</w:t>
      </w:r>
    </w:p>
    <w:p w:rsidR="00A33A99" w:rsidRPr="00222D30" w:rsidRDefault="00A33A99" w:rsidP="00222D30">
      <w:pPr>
        <w:rPr>
          <w:szCs w:val="22"/>
        </w:rPr>
      </w:pPr>
      <w:bookmarkStart w:id="17" w:name="_Toc458759484"/>
      <w:bookmarkStart w:id="18" w:name="_Toc461614084"/>
    </w:p>
    <w:p w:rsidR="00B60939" w:rsidRDefault="00B60939" w:rsidP="002C2775">
      <w:pPr>
        <w:pStyle w:val="Heading2"/>
        <w:rPr>
          <w:i/>
        </w:rPr>
      </w:pPr>
      <w:r w:rsidRPr="00F17A66">
        <w:rPr>
          <w:i/>
        </w:rPr>
        <w:t>Comparative effectiveness</w:t>
      </w:r>
      <w:bookmarkEnd w:id="17"/>
      <w:bookmarkEnd w:id="18"/>
    </w:p>
    <w:p w:rsidR="009131C3" w:rsidRPr="009131C3" w:rsidRDefault="009131C3" w:rsidP="009131C3"/>
    <w:p w:rsidR="00775F7A" w:rsidRPr="005D5FF8" w:rsidRDefault="00EA4D5D" w:rsidP="005D5FF8">
      <w:pPr>
        <w:pStyle w:val="ListParagraph"/>
        <w:widowControl/>
        <w:numPr>
          <w:ilvl w:val="1"/>
          <w:numId w:val="1"/>
        </w:numPr>
        <w:rPr>
          <w:szCs w:val="22"/>
        </w:rPr>
      </w:pPr>
      <w:r w:rsidRPr="005D5FF8">
        <w:rPr>
          <w:szCs w:val="22"/>
        </w:rPr>
        <w:t xml:space="preserve">The submission provided the results of the intention to treat </w:t>
      </w:r>
      <w:r w:rsidR="00775F7A" w:rsidRPr="005D5FF8">
        <w:rPr>
          <w:szCs w:val="22"/>
        </w:rPr>
        <w:t xml:space="preserve">(ITT) </w:t>
      </w:r>
      <w:r w:rsidRPr="005D5FF8">
        <w:rPr>
          <w:szCs w:val="22"/>
        </w:rPr>
        <w:t xml:space="preserve">population and two subgroups: follicular lymphoma and non-follicular lymphoma. </w:t>
      </w:r>
      <w:r w:rsidR="00D52293" w:rsidRPr="005D5FF8">
        <w:rPr>
          <w:szCs w:val="22"/>
        </w:rPr>
        <w:t xml:space="preserve">The follicular lymphoma subgroup was pre-specified, and baseline characteristics were similar to the </w:t>
      </w:r>
      <w:r w:rsidR="00775F7A" w:rsidRPr="005D5FF8">
        <w:rPr>
          <w:szCs w:val="22"/>
        </w:rPr>
        <w:t>ITT population</w:t>
      </w:r>
      <w:r w:rsidR="00D52293" w:rsidRPr="005D5FF8">
        <w:rPr>
          <w:szCs w:val="22"/>
        </w:rPr>
        <w:t xml:space="preserve">. </w:t>
      </w:r>
      <w:r w:rsidR="00775F7A" w:rsidRPr="005D5FF8">
        <w:rPr>
          <w:szCs w:val="22"/>
        </w:rPr>
        <w:t>B</w:t>
      </w:r>
      <w:r w:rsidR="00D52293" w:rsidRPr="005D5FF8">
        <w:rPr>
          <w:szCs w:val="22"/>
        </w:rPr>
        <w:t>aseline characteristics were</w:t>
      </w:r>
      <w:r w:rsidR="00775F7A" w:rsidRPr="005D5FF8">
        <w:rPr>
          <w:szCs w:val="22"/>
        </w:rPr>
        <w:t xml:space="preserve"> also</w:t>
      </w:r>
      <w:r w:rsidR="00D52293" w:rsidRPr="005D5FF8">
        <w:rPr>
          <w:szCs w:val="22"/>
        </w:rPr>
        <w:t xml:space="preserve"> similar between the </w:t>
      </w:r>
      <w:proofErr w:type="spellStart"/>
      <w:r w:rsidR="00D52293" w:rsidRPr="005D5FF8">
        <w:rPr>
          <w:szCs w:val="22"/>
        </w:rPr>
        <w:t>obinutuzumab</w:t>
      </w:r>
      <w:proofErr w:type="spellEnd"/>
      <w:r w:rsidR="00D52293" w:rsidRPr="005D5FF8">
        <w:rPr>
          <w:szCs w:val="22"/>
        </w:rPr>
        <w:t xml:space="preserve"> plus </w:t>
      </w:r>
      <w:proofErr w:type="spellStart"/>
      <w:r w:rsidR="00D52293" w:rsidRPr="005D5FF8">
        <w:rPr>
          <w:szCs w:val="22"/>
        </w:rPr>
        <w:t>bendamustine</w:t>
      </w:r>
      <w:proofErr w:type="spellEnd"/>
      <w:r w:rsidR="00D52293" w:rsidRPr="005D5FF8">
        <w:rPr>
          <w:szCs w:val="22"/>
        </w:rPr>
        <w:t xml:space="preserve"> treatment arm and the </w:t>
      </w:r>
      <w:proofErr w:type="spellStart"/>
      <w:r w:rsidR="00D52293" w:rsidRPr="005D5FF8">
        <w:rPr>
          <w:szCs w:val="22"/>
        </w:rPr>
        <w:t>bendamustine</w:t>
      </w:r>
      <w:proofErr w:type="spellEnd"/>
      <w:r w:rsidR="00D52293" w:rsidRPr="005D5FF8">
        <w:rPr>
          <w:szCs w:val="22"/>
        </w:rPr>
        <w:t xml:space="preserve"> monotherapy control arm for th</w:t>
      </w:r>
      <w:r w:rsidR="00330B60">
        <w:rPr>
          <w:szCs w:val="22"/>
        </w:rPr>
        <w:t>e follicular lymphoma subgroup.</w:t>
      </w:r>
    </w:p>
    <w:p w:rsidR="000469B2" w:rsidRPr="005D5FF8" w:rsidRDefault="000469B2" w:rsidP="000469B2">
      <w:pPr>
        <w:pStyle w:val="ListParagraph"/>
        <w:widowControl/>
        <w:rPr>
          <w:szCs w:val="22"/>
        </w:rPr>
      </w:pPr>
    </w:p>
    <w:p w:rsidR="000469B2" w:rsidRPr="005D5FF8" w:rsidRDefault="000469B2" w:rsidP="005D5FF8">
      <w:pPr>
        <w:pStyle w:val="ListParagraph"/>
        <w:numPr>
          <w:ilvl w:val="1"/>
          <w:numId w:val="1"/>
        </w:numPr>
        <w:rPr>
          <w:szCs w:val="22"/>
        </w:rPr>
      </w:pPr>
      <w:r w:rsidRPr="005D5FF8">
        <w:rPr>
          <w:szCs w:val="22"/>
        </w:rPr>
        <w:t xml:space="preserve">The </w:t>
      </w:r>
      <w:r w:rsidR="00CF61E6" w:rsidRPr="005D5FF8">
        <w:rPr>
          <w:szCs w:val="22"/>
        </w:rPr>
        <w:t xml:space="preserve">progression free survival (PFS) </w:t>
      </w:r>
      <w:r w:rsidRPr="005D5FF8">
        <w:rPr>
          <w:szCs w:val="22"/>
        </w:rPr>
        <w:t xml:space="preserve">results </w:t>
      </w:r>
      <w:r w:rsidR="00CF61E6" w:rsidRPr="005D5FF8">
        <w:rPr>
          <w:szCs w:val="22"/>
        </w:rPr>
        <w:t>from</w:t>
      </w:r>
      <w:r w:rsidRPr="005D5FF8">
        <w:rPr>
          <w:szCs w:val="22"/>
        </w:rPr>
        <w:t xml:space="preserve"> the GADOLIN trial</w:t>
      </w:r>
      <w:r w:rsidR="005702A0" w:rsidRPr="005D5FF8">
        <w:rPr>
          <w:szCs w:val="22"/>
        </w:rPr>
        <w:t xml:space="preserve"> for both the ITT population and the pre-specified subgroup of patients with follicular lymphoma</w:t>
      </w:r>
      <w:r w:rsidR="00F733B5">
        <w:rPr>
          <w:szCs w:val="22"/>
        </w:rPr>
        <w:t xml:space="preserve"> is presented in Table 3</w:t>
      </w:r>
      <w:r w:rsidR="00EB35CE" w:rsidRPr="005D5FF8">
        <w:rPr>
          <w:szCs w:val="22"/>
        </w:rPr>
        <w:t>.</w:t>
      </w:r>
      <w:r w:rsidRPr="005D5FF8">
        <w:rPr>
          <w:szCs w:val="22"/>
        </w:rPr>
        <w:t xml:space="preserve"> </w:t>
      </w:r>
      <w:r w:rsidR="00F733B5">
        <w:rPr>
          <w:szCs w:val="22"/>
        </w:rPr>
        <w:t>T</w:t>
      </w:r>
      <w:r w:rsidRPr="005D5FF8">
        <w:rPr>
          <w:szCs w:val="22"/>
        </w:rPr>
        <w:t>he Kaplan-Meier curve</w:t>
      </w:r>
      <w:r w:rsidR="00AF6CE8">
        <w:rPr>
          <w:szCs w:val="22"/>
        </w:rPr>
        <w:t>s</w:t>
      </w:r>
      <w:r w:rsidRPr="005D5FF8">
        <w:rPr>
          <w:szCs w:val="22"/>
        </w:rPr>
        <w:t xml:space="preserve"> for</w:t>
      </w:r>
      <w:r w:rsidR="00CF61E6" w:rsidRPr="005D5FF8">
        <w:rPr>
          <w:szCs w:val="22"/>
        </w:rPr>
        <w:t xml:space="preserve"> PFS</w:t>
      </w:r>
      <w:r w:rsidRPr="005D5FF8">
        <w:rPr>
          <w:szCs w:val="22"/>
        </w:rPr>
        <w:t xml:space="preserve"> for the follicular lymphoma subgroup</w:t>
      </w:r>
      <w:r w:rsidR="00F733B5">
        <w:rPr>
          <w:szCs w:val="22"/>
        </w:rPr>
        <w:t xml:space="preserve"> </w:t>
      </w:r>
      <w:r w:rsidR="00AF6CE8">
        <w:rPr>
          <w:szCs w:val="22"/>
        </w:rPr>
        <w:t xml:space="preserve">are </w:t>
      </w:r>
      <w:r w:rsidR="00F733B5">
        <w:rPr>
          <w:szCs w:val="22"/>
        </w:rPr>
        <w:t>presented in Figure 1.</w:t>
      </w:r>
    </w:p>
    <w:p w:rsidR="002C34C6" w:rsidRPr="00F17A66" w:rsidRDefault="002C34C6" w:rsidP="00212306"/>
    <w:p w:rsidR="002C34C6" w:rsidRPr="00F17A66" w:rsidRDefault="002C34C6" w:rsidP="007E7E00">
      <w:pPr>
        <w:keepNext/>
        <w:widowControl/>
        <w:ind w:firstLine="720"/>
        <w:rPr>
          <w:rStyle w:val="CommentReference"/>
        </w:rPr>
      </w:pPr>
      <w:r w:rsidRPr="00F17A66">
        <w:rPr>
          <w:rStyle w:val="CommentReference"/>
        </w:rPr>
        <w:t xml:space="preserve">Table </w:t>
      </w:r>
      <w:r w:rsidR="00345CA2" w:rsidRPr="00F17A66">
        <w:rPr>
          <w:rStyle w:val="CommentReference"/>
        </w:rPr>
        <w:t>3</w:t>
      </w:r>
      <w:r w:rsidRPr="00F17A66">
        <w:rPr>
          <w:rStyle w:val="CommentReference"/>
        </w:rPr>
        <w:t xml:space="preserve">: Results of </w:t>
      </w:r>
      <w:r w:rsidR="0011789A">
        <w:rPr>
          <w:rStyle w:val="CommentReference"/>
        </w:rPr>
        <w:t xml:space="preserve">independently-assessed </w:t>
      </w:r>
      <w:r w:rsidR="00212306" w:rsidRPr="00F17A66">
        <w:rPr>
          <w:rStyle w:val="CommentReference"/>
        </w:rPr>
        <w:t>progression-free survival</w:t>
      </w:r>
      <w:r w:rsidRPr="00F17A66">
        <w:rPr>
          <w:rStyle w:val="CommentReference"/>
        </w:rPr>
        <w:t xml:space="preserve"> </w:t>
      </w:r>
      <w:r w:rsidR="00212306" w:rsidRPr="00F17A66">
        <w:rPr>
          <w:rStyle w:val="CommentReference"/>
        </w:rPr>
        <w:t>in the GADOLIN trial</w:t>
      </w:r>
    </w:p>
    <w:tbl>
      <w:tblPr>
        <w:tblW w:w="457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1555"/>
        <w:gridCol w:w="1423"/>
        <w:gridCol w:w="1390"/>
        <w:gridCol w:w="1678"/>
      </w:tblGrid>
      <w:tr w:rsidR="00345CA2" w:rsidRPr="00F17A66" w:rsidTr="001E2B7B">
        <w:trPr>
          <w:tblHeader/>
        </w:trPr>
        <w:tc>
          <w:tcPr>
            <w:tcW w:w="1364" w:type="pct"/>
            <w:tcBorders>
              <w:bottom w:val="single" w:sz="4" w:space="0" w:color="auto"/>
            </w:tcBorders>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b/>
                <w:sz w:val="20"/>
              </w:rPr>
              <w:t xml:space="preserve">GADOLIN </w:t>
            </w:r>
          </w:p>
        </w:tc>
        <w:tc>
          <w:tcPr>
            <w:tcW w:w="1791" w:type="pct"/>
            <w:gridSpan w:val="2"/>
            <w:tcBorders>
              <w:bottom w:val="single" w:sz="4" w:space="0" w:color="auto"/>
            </w:tcBorders>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b/>
                <w:sz w:val="20"/>
              </w:rPr>
              <w:t>ITT</w:t>
            </w:r>
          </w:p>
        </w:tc>
        <w:tc>
          <w:tcPr>
            <w:tcW w:w="1845" w:type="pct"/>
            <w:gridSpan w:val="2"/>
            <w:tcBorders>
              <w:bottom w:val="single" w:sz="4" w:space="0" w:color="auto"/>
            </w:tcBorders>
            <w:vAlign w:val="center"/>
          </w:tcPr>
          <w:p w:rsidR="00345CA2" w:rsidRPr="00F17A66" w:rsidRDefault="00345CA2" w:rsidP="00840C08">
            <w:pPr>
              <w:keepNext/>
              <w:widowControl/>
              <w:jc w:val="center"/>
              <w:rPr>
                <w:rFonts w:ascii="Arial Narrow" w:hAnsi="Arial Narrow"/>
                <w:b/>
                <w:i/>
                <w:sz w:val="20"/>
                <w:vertAlign w:val="superscript"/>
              </w:rPr>
            </w:pPr>
            <w:r w:rsidRPr="00F17A66">
              <w:rPr>
                <w:rFonts w:ascii="Arial Narrow" w:hAnsi="Arial Narrow"/>
                <w:b/>
                <w:sz w:val="20"/>
              </w:rPr>
              <w:t>FL-subgroup</w:t>
            </w:r>
          </w:p>
        </w:tc>
      </w:tr>
      <w:tr w:rsidR="00345CA2" w:rsidRPr="00F17A66" w:rsidTr="001E2B7B">
        <w:trPr>
          <w:tblHeader/>
        </w:trPr>
        <w:tc>
          <w:tcPr>
            <w:tcW w:w="1364" w:type="pct"/>
            <w:tcBorders>
              <w:bottom w:val="nil"/>
            </w:tcBorders>
            <w:vAlign w:val="center"/>
          </w:tcPr>
          <w:p w:rsidR="00345CA2" w:rsidRPr="00F17A66" w:rsidRDefault="00345CA2" w:rsidP="00F2617F">
            <w:pPr>
              <w:keepNext/>
              <w:widowControl/>
              <w:jc w:val="left"/>
              <w:rPr>
                <w:rFonts w:ascii="Arial Narrow" w:hAnsi="Arial Narrow"/>
                <w:b/>
                <w:sz w:val="20"/>
              </w:rPr>
            </w:pPr>
            <w:r w:rsidRPr="00F17A66">
              <w:rPr>
                <w:rFonts w:ascii="Arial Narrow" w:hAnsi="Arial Narrow"/>
                <w:b/>
                <w:sz w:val="20"/>
              </w:rPr>
              <w:t>Drug</w:t>
            </w:r>
          </w:p>
        </w:tc>
        <w:tc>
          <w:tcPr>
            <w:tcW w:w="935" w:type="pct"/>
            <w:tcBorders>
              <w:bottom w:val="nil"/>
            </w:tcBorders>
            <w:vAlign w:val="center"/>
          </w:tcPr>
          <w:p w:rsidR="00345CA2" w:rsidRPr="00F17A66" w:rsidRDefault="00345CA2" w:rsidP="00F2617F">
            <w:pPr>
              <w:keepNext/>
              <w:widowControl/>
              <w:jc w:val="center"/>
              <w:rPr>
                <w:rFonts w:ascii="Arial Narrow" w:hAnsi="Arial Narrow"/>
                <w:b/>
                <w:sz w:val="20"/>
              </w:rPr>
            </w:pPr>
            <w:r w:rsidRPr="00F17A66">
              <w:rPr>
                <w:rFonts w:ascii="Arial Narrow" w:hAnsi="Arial Narrow"/>
                <w:b/>
                <w:sz w:val="20"/>
              </w:rPr>
              <w:t>O-Benda</w:t>
            </w:r>
          </w:p>
        </w:tc>
        <w:tc>
          <w:tcPr>
            <w:tcW w:w="855" w:type="pct"/>
            <w:tcBorders>
              <w:bottom w:val="nil"/>
            </w:tcBorders>
            <w:vAlign w:val="center"/>
          </w:tcPr>
          <w:p w:rsidR="00345CA2" w:rsidRPr="00F17A66" w:rsidRDefault="00345CA2" w:rsidP="00840C08">
            <w:pPr>
              <w:keepNext/>
              <w:widowControl/>
              <w:jc w:val="center"/>
              <w:rPr>
                <w:rFonts w:ascii="Arial Narrow" w:hAnsi="Arial Narrow"/>
                <w:b/>
                <w:sz w:val="20"/>
              </w:rPr>
            </w:pPr>
            <w:r w:rsidRPr="00F17A66">
              <w:rPr>
                <w:rFonts w:ascii="Arial Narrow" w:hAnsi="Arial Narrow"/>
                <w:b/>
                <w:sz w:val="20"/>
              </w:rPr>
              <w:t>Benda</w:t>
            </w:r>
          </w:p>
        </w:tc>
        <w:tc>
          <w:tcPr>
            <w:tcW w:w="836" w:type="pct"/>
            <w:tcBorders>
              <w:bottom w:val="nil"/>
            </w:tcBorders>
            <w:vAlign w:val="center"/>
          </w:tcPr>
          <w:p w:rsidR="00345CA2" w:rsidRPr="00F17A66" w:rsidRDefault="00345CA2" w:rsidP="00840C08">
            <w:pPr>
              <w:keepNext/>
              <w:widowControl/>
              <w:jc w:val="center"/>
              <w:rPr>
                <w:rFonts w:ascii="Arial Narrow" w:hAnsi="Arial Narrow"/>
                <w:b/>
                <w:sz w:val="20"/>
              </w:rPr>
            </w:pPr>
            <w:r w:rsidRPr="00F17A66">
              <w:rPr>
                <w:rFonts w:ascii="Arial Narrow" w:hAnsi="Arial Narrow"/>
                <w:b/>
                <w:sz w:val="20"/>
              </w:rPr>
              <w:t>O-Benda</w:t>
            </w:r>
          </w:p>
        </w:tc>
        <w:tc>
          <w:tcPr>
            <w:tcW w:w="1009" w:type="pct"/>
            <w:tcBorders>
              <w:bottom w:val="nil"/>
            </w:tcBorders>
            <w:vAlign w:val="center"/>
          </w:tcPr>
          <w:p w:rsidR="00345CA2" w:rsidRPr="00F17A66" w:rsidRDefault="00345CA2" w:rsidP="00035E87">
            <w:pPr>
              <w:keepNext/>
              <w:widowControl/>
              <w:jc w:val="center"/>
              <w:rPr>
                <w:rFonts w:ascii="Arial Narrow" w:hAnsi="Arial Narrow"/>
                <w:b/>
                <w:i/>
                <w:sz w:val="20"/>
              </w:rPr>
            </w:pPr>
            <w:r w:rsidRPr="00F17A66">
              <w:rPr>
                <w:rFonts w:ascii="Arial Narrow" w:hAnsi="Arial Narrow"/>
                <w:b/>
                <w:sz w:val="20"/>
              </w:rPr>
              <w:t>Benda</w:t>
            </w:r>
          </w:p>
        </w:tc>
      </w:tr>
      <w:tr w:rsidR="00345CA2" w:rsidRPr="00F17A66" w:rsidTr="007E7E00">
        <w:tc>
          <w:tcPr>
            <w:tcW w:w="5000" w:type="pct"/>
            <w:gridSpan w:val="5"/>
            <w:vAlign w:val="center"/>
          </w:tcPr>
          <w:p w:rsidR="00345CA2" w:rsidRPr="00F17A66" w:rsidDel="007A1C22" w:rsidRDefault="00345CA2" w:rsidP="00345CA2">
            <w:pPr>
              <w:keepNext/>
              <w:widowControl/>
              <w:jc w:val="left"/>
              <w:rPr>
                <w:rFonts w:ascii="Arial Narrow" w:hAnsi="Arial Narrow"/>
                <w:b/>
                <w:sz w:val="20"/>
              </w:rPr>
            </w:pPr>
            <w:r w:rsidRPr="00F17A66">
              <w:rPr>
                <w:rFonts w:ascii="Arial Narrow" w:hAnsi="Arial Narrow"/>
                <w:b/>
                <w:sz w:val="20"/>
              </w:rPr>
              <w:t xml:space="preserve">1 September 2014 cut-off </w:t>
            </w:r>
          </w:p>
        </w:tc>
      </w:tr>
      <w:tr w:rsidR="00345CA2" w:rsidRPr="00F17A66" w:rsidTr="001E2B7B">
        <w:tc>
          <w:tcPr>
            <w:tcW w:w="1364" w:type="pct"/>
            <w:vAlign w:val="center"/>
          </w:tcPr>
          <w:p w:rsidR="00345CA2" w:rsidRPr="00F17A66" w:rsidRDefault="00345CA2" w:rsidP="00F2617F">
            <w:pPr>
              <w:keepNext/>
              <w:widowControl/>
              <w:jc w:val="left"/>
              <w:rPr>
                <w:rFonts w:ascii="Arial Narrow" w:hAnsi="Arial Narrow"/>
                <w:sz w:val="20"/>
              </w:rPr>
            </w:pPr>
            <w:r w:rsidRPr="00F17A66">
              <w:rPr>
                <w:rFonts w:ascii="Arial Narrow" w:hAnsi="Arial Narrow"/>
                <w:sz w:val="20"/>
              </w:rPr>
              <w:t>N</w:t>
            </w:r>
          </w:p>
        </w:tc>
        <w:tc>
          <w:tcPr>
            <w:tcW w:w="935" w:type="pct"/>
          </w:tcPr>
          <w:p w:rsidR="00345CA2" w:rsidRPr="00F17A66" w:rsidDel="007A1C22" w:rsidRDefault="00345CA2" w:rsidP="00F2617F">
            <w:pPr>
              <w:keepNext/>
              <w:widowControl/>
              <w:jc w:val="center"/>
              <w:rPr>
                <w:rFonts w:ascii="Arial Narrow" w:hAnsi="Arial Narrow"/>
                <w:sz w:val="20"/>
              </w:rPr>
            </w:pPr>
            <w:r w:rsidRPr="00F17A66">
              <w:rPr>
                <w:rFonts w:ascii="Arial Narrow" w:hAnsi="Arial Narrow"/>
                <w:sz w:val="20"/>
              </w:rPr>
              <w:t>194</w:t>
            </w:r>
          </w:p>
        </w:tc>
        <w:tc>
          <w:tcPr>
            <w:tcW w:w="855" w:type="pct"/>
          </w:tcPr>
          <w:p w:rsidR="00345CA2" w:rsidRPr="00F17A66" w:rsidDel="007A1C22" w:rsidRDefault="00345CA2" w:rsidP="00840C08">
            <w:pPr>
              <w:keepNext/>
              <w:widowControl/>
              <w:jc w:val="center"/>
              <w:rPr>
                <w:rFonts w:ascii="Arial Narrow" w:hAnsi="Arial Narrow"/>
                <w:sz w:val="20"/>
              </w:rPr>
            </w:pPr>
            <w:r w:rsidRPr="00F17A66">
              <w:rPr>
                <w:rFonts w:ascii="Arial Narrow" w:hAnsi="Arial Narrow"/>
                <w:sz w:val="20"/>
              </w:rPr>
              <w:t>202</w:t>
            </w:r>
          </w:p>
        </w:tc>
        <w:tc>
          <w:tcPr>
            <w:tcW w:w="836" w:type="pct"/>
          </w:tcPr>
          <w:p w:rsidR="00345CA2" w:rsidRPr="00F17A66" w:rsidDel="007A1C22" w:rsidRDefault="00345CA2" w:rsidP="00840C08">
            <w:pPr>
              <w:keepNext/>
              <w:widowControl/>
              <w:jc w:val="center"/>
              <w:rPr>
                <w:rFonts w:ascii="Arial Narrow" w:hAnsi="Arial Narrow"/>
                <w:sz w:val="20"/>
              </w:rPr>
            </w:pPr>
            <w:r w:rsidRPr="00F17A66">
              <w:rPr>
                <w:rFonts w:ascii="Arial Narrow" w:hAnsi="Arial Narrow"/>
                <w:sz w:val="20"/>
              </w:rPr>
              <w:t>155</w:t>
            </w:r>
          </w:p>
        </w:tc>
        <w:tc>
          <w:tcPr>
            <w:tcW w:w="1009" w:type="pct"/>
          </w:tcPr>
          <w:p w:rsidR="00345CA2" w:rsidRPr="00F17A66" w:rsidDel="007A1C22" w:rsidRDefault="00345CA2" w:rsidP="00035E87">
            <w:pPr>
              <w:keepNext/>
              <w:widowControl/>
              <w:jc w:val="center"/>
              <w:rPr>
                <w:rFonts w:ascii="Arial Narrow" w:hAnsi="Arial Narrow"/>
                <w:i/>
                <w:sz w:val="20"/>
              </w:rPr>
            </w:pPr>
            <w:r w:rsidRPr="00F17A66">
              <w:rPr>
                <w:rFonts w:ascii="Arial Narrow" w:hAnsi="Arial Narrow"/>
                <w:sz w:val="20"/>
              </w:rPr>
              <w:t>166</w:t>
            </w:r>
          </w:p>
        </w:tc>
      </w:tr>
      <w:tr w:rsidR="00345CA2" w:rsidRPr="00F17A66" w:rsidTr="001E2B7B">
        <w:tc>
          <w:tcPr>
            <w:tcW w:w="1364" w:type="pct"/>
            <w:vAlign w:val="center"/>
          </w:tcPr>
          <w:p w:rsidR="00345CA2" w:rsidRPr="00F17A66" w:rsidRDefault="00345CA2" w:rsidP="00F2617F">
            <w:pPr>
              <w:keepNext/>
              <w:widowControl/>
              <w:jc w:val="left"/>
              <w:rPr>
                <w:rFonts w:ascii="Arial Narrow" w:hAnsi="Arial Narrow"/>
                <w:sz w:val="20"/>
              </w:rPr>
            </w:pPr>
            <w:r w:rsidRPr="00F17A66">
              <w:rPr>
                <w:rFonts w:ascii="Arial Narrow" w:hAnsi="Arial Narrow"/>
                <w:sz w:val="20"/>
              </w:rPr>
              <w:t>Median follow-up (months)</w:t>
            </w:r>
          </w:p>
        </w:tc>
        <w:tc>
          <w:tcPr>
            <w:tcW w:w="935" w:type="pct"/>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21.9</w:t>
            </w:r>
          </w:p>
        </w:tc>
        <w:tc>
          <w:tcPr>
            <w:tcW w:w="855" w:type="pct"/>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20.3</w:t>
            </w:r>
          </w:p>
        </w:tc>
        <w:tc>
          <w:tcPr>
            <w:tcW w:w="836" w:type="pct"/>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N/A</w:t>
            </w:r>
          </w:p>
        </w:tc>
        <w:tc>
          <w:tcPr>
            <w:tcW w:w="1009" w:type="pct"/>
            <w:vAlign w:val="center"/>
          </w:tcPr>
          <w:p w:rsidR="00345CA2" w:rsidRPr="00F17A66" w:rsidRDefault="00345CA2" w:rsidP="00F2617F">
            <w:pPr>
              <w:keepNext/>
              <w:widowControl/>
              <w:jc w:val="center"/>
              <w:rPr>
                <w:rFonts w:ascii="Arial Narrow" w:hAnsi="Arial Narrow"/>
                <w:i/>
                <w:sz w:val="20"/>
              </w:rPr>
            </w:pPr>
            <w:r w:rsidRPr="00F17A66">
              <w:rPr>
                <w:rFonts w:ascii="Arial Narrow" w:hAnsi="Arial Narrow"/>
                <w:sz w:val="20"/>
              </w:rPr>
              <w:t>N/A</w:t>
            </w:r>
          </w:p>
        </w:tc>
      </w:tr>
      <w:tr w:rsidR="00345CA2" w:rsidRPr="00F17A66" w:rsidTr="001E2B7B">
        <w:tc>
          <w:tcPr>
            <w:tcW w:w="1364" w:type="pct"/>
            <w:vAlign w:val="center"/>
          </w:tcPr>
          <w:p w:rsidR="00345CA2" w:rsidRDefault="00345CA2" w:rsidP="00B20EF3">
            <w:pPr>
              <w:keepNext/>
              <w:widowControl/>
              <w:ind w:left="109" w:right="-108" w:hanging="109"/>
              <w:jc w:val="left"/>
              <w:rPr>
                <w:rFonts w:ascii="Arial Narrow" w:hAnsi="Arial Narrow"/>
                <w:sz w:val="20"/>
              </w:rPr>
            </w:pPr>
            <w:r w:rsidRPr="00F17A66">
              <w:rPr>
                <w:rFonts w:ascii="Arial Narrow" w:hAnsi="Arial Narrow"/>
                <w:sz w:val="20"/>
              </w:rPr>
              <w:t>Patients with events, n (%)</w:t>
            </w:r>
          </w:p>
          <w:p w:rsidR="00F475BA" w:rsidRPr="00F17A66" w:rsidRDefault="00F475BA" w:rsidP="00F475BA">
            <w:pPr>
              <w:keepNext/>
              <w:widowControl/>
              <w:ind w:left="109" w:right="-108" w:firstLine="33"/>
              <w:jc w:val="left"/>
              <w:rPr>
                <w:rFonts w:ascii="Arial Narrow" w:hAnsi="Arial Narrow"/>
                <w:sz w:val="20"/>
              </w:rPr>
            </w:pPr>
            <w:r w:rsidRPr="00F17A66">
              <w:rPr>
                <w:rFonts w:ascii="Arial Narrow" w:hAnsi="Arial Narrow"/>
                <w:sz w:val="20"/>
              </w:rPr>
              <w:t xml:space="preserve">Disease progression </w:t>
            </w:r>
          </w:p>
          <w:p w:rsidR="00F475BA" w:rsidRPr="00F17A66" w:rsidRDefault="00F475BA" w:rsidP="00F475BA">
            <w:pPr>
              <w:keepNext/>
              <w:widowControl/>
              <w:ind w:left="109" w:right="-108" w:firstLine="33"/>
              <w:jc w:val="left"/>
              <w:rPr>
                <w:rFonts w:ascii="Arial Narrow" w:hAnsi="Arial Narrow"/>
                <w:sz w:val="20"/>
              </w:rPr>
            </w:pPr>
            <w:r w:rsidRPr="00F17A66">
              <w:rPr>
                <w:rFonts w:ascii="Arial Narrow" w:hAnsi="Arial Narrow"/>
                <w:sz w:val="20"/>
              </w:rPr>
              <w:t xml:space="preserve">Deaths </w:t>
            </w:r>
          </w:p>
        </w:tc>
        <w:tc>
          <w:tcPr>
            <w:tcW w:w="935" w:type="pct"/>
          </w:tcPr>
          <w:p w:rsidR="00345CA2" w:rsidRDefault="00345CA2" w:rsidP="00B20EF3">
            <w:pPr>
              <w:keepNext/>
              <w:widowControl/>
              <w:jc w:val="center"/>
              <w:rPr>
                <w:rFonts w:ascii="Arial Narrow" w:hAnsi="Arial Narrow"/>
                <w:sz w:val="20"/>
              </w:rPr>
            </w:pPr>
            <w:r w:rsidRPr="00F17A66">
              <w:rPr>
                <w:rFonts w:ascii="Arial Narrow" w:hAnsi="Arial Narrow"/>
                <w:sz w:val="20"/>
              </w:rPr>
              <w:t>71 (36.6%)</w:t>
            </w:r>
          </w:p>
          <w:p w:rsidR="00F475BA" w:rsidRPr="00F475BA" w:rsidRDefault="00F475BA" w:rsidP="00F475BA">
            <w:pPr>
              <w:keepNext/>
              <w:widowControl/>
              <w:jc w:val="center"/>
              <w:rPr>
                <w:rFonts w:ascii="Arial Narrow" w:hAnsi="Arial Narrow"/>
                <w:sz w:val="20"/>
              </w:rPr>
            </w:pPr>
            <w:r w:rsidRPr="00F475BA">
              <w:rPr>
                <w:rFonts w:ascii="Arial Narrow" w:hAnsi="Arial Narrow"/>
                <w:sz w:val="20"/>
              </w:rPr>
              <w:t>60 (30.9%)</w:t>
            </w:r>
          </w:p>
          <w:p w:rsidR="00F475BA" w:rsidRPr="00F475BA" w:rsidRDefault="00F475BA" w:rsidP="00F475BA">
            <w:pPr>
              <w:keepNext/>
              <w:widowControl/>
              <w:jc w:val="center"/>
              <w:rPr>
                <w:rFonts w:ascii="Arial Narrow" w:hAnsi="Arial Narrow"/>
                <w:i/>
                <w:sz w:val="20"/>
              </w:rPr>
            </w:pPr>
            <w:r w:rsidRPr="00F475BA">
              <w:rPr>
                <w:rFonts w:ascii="Arial Narrow" w:hAnsi="Arial Narrow"/>
                <w:sz w:val="20"/>
              </w:rPr>
              <w:t>11 (5.7%)</w:t>
            </w:r>
          </w:p>
        </w:tc>
        <w:tc>
          <w:tcPr>
            <w:tcW w:w="855" w:type="pct"/>
          </w:tcPr>
          <w:p w:rsidR="00345CA2" w:rsidRDefault="00345CA2" w:rsidP="00B20EF3">
            <w:pPr>
              <w:keepNext/>
              <w:widowControl/>
              <w:jc w:val="center"/>
              <w:rPr>
                <w:rFonts w:ascii="Arial Narrow" w:hAnsi="Arial Narrow"/>
                <w:sz w:val="20"/>
              </w:rPr>
            </w:pPr>
            <w:r w:rsidRPr="00F17A66">
              <w:rPr>
                <w:rFonts w:ascii="Arial Narrow" w:hAnsi="Arial Narrow"/>
                <w:sz w:val="20"/>
              </w:rPr>
              <w:t>104 (51.5%)</w:t>
            </w:r>
          </w:p>
          <w:p w:rsidR="00F475BA" w:rsidRPr="00F475BA" w:rsidRDefault="00F475BA" w:rsidP="00F475BA">
            <w:pPr>
              <w:keepNext/>
              <w:widowControl/>
              <w:jc w:val="center"/>
              <w:rPr>
                <w:rFonts w:ascii="Arial Narrow" w:hAnsi="Arial Narrow"/>
                <w:sz w:val="20"/>
              </w:rPr>
            </w:pPr>
            <w:r w:rsidRPr="00F475BA">
              <w:rPr>
                <w:rFonts w:ascii="Arial Narrow" w:hAnsi="Arial Narrow"/>
                <w:sz w:val="20"/>
              </w:rPr>
              <w:t>95 (47.0%)</w:t>
            </w:r>
          </w:p>
          <w:p w:rsidR="00F475BA" w:rsidRPr="00F17A66" w:rsidRDefault="00F475BA" w:rsidP="00F475BA">
            <w:pPr>
              <w:keepNext/>
              <w:widowControl/>
              <w:jc w:val="center"/>
              <w:rPr>
                <w:rFonts w:ascii="Arial Narrow" w:hAnsi="Arial Narrow"/>
                <w:sz w:val="20"/>
              </w:rPr>
            </w:pPr>
            <w:r w:rsidRPr="00F475BA">
              <w:rPr>
                <w:rFonts w:ascii="Arial Narrow" w:hAnsi="Arial Narrow"/>
                <w:sz w:val="20"/>
              </w:rPr>
              <w:t>9 (4.5%)</w:t>
            </w:r>
          </w:p>
        </w:tc>
        <w:tc>
          <w:tcPr>
            <w:tcW w:w="836" w:type="pct"/>
          </w:tcPr>
          <w:p w:rsidR="00F475BA" w:rsidRDefault="00345CA2" w:rsidP="00B20EF3">
            <w:pPr>
              <w:keepNext/>
              <w:widowControl/>
              <w:jc w:val="center"/>
              <w:rPr>
                <w:rFonts w:ascii="Arial Narrow" w:hAnsi="Arial Narrow"/>
                <w:sz w:val="20"/>
              </w:rPr>
            </w:pPr>
            <w:r w:rsidRPr="00F17A66">
              <w:rPr>
                <w:rFonts w:ascii="Arial Narrow" w:hAnsi="Arial Narrow"/>
                <w:sz w:val="20"/>
              </w:rPr>
              <w:t>54 (34.8%)</w:t>
            </w:r>
          </w:p>
          <w:p w:rsidR="00F475BA" w:rsidRPr="00F17A66" w:rsidRDefault="00F475BA" w:rsidP="00F475BA">
            <w:pPr>
              <w:keepNext/>
              <w:widowControl/>
              <w:jc w:val="center"/>
              <w:rPr>
                <w:rFonts w:ascii="Arial Narrow" w:hAnsi="Arial Narrow"/>
                <w:sz w:val="20"/>
              </w:rPr>
            </w:pPr>
            <w:r w:rsidRPr="00F17A66">
              <w:rPr>
                <w:rFonts w:ascii="Arial Narrow" w:hAnsi="Arial Narrow"/>
                <w:sz w:val="20"/>
              </w:rPr>
              <w:t>46 (29.7%)</w:t>
            </w:r>
          </w:p>
          <w:p w:rsidR="00345CA2" w:rsidRPr="00F475BA" w:rsidRDefault="00F475BA" w:rsidP="00F475BA">
            <w:pPr>
              <w:keepNext/>
              <w:widowControl/>
              <w:jc w:val="center"/>
              <w:rPr>
                <w:rFonts w:ascii="Arial Narrow" w:hAnsi="Arial Narrow"/>
                <w:sz w:val="20"/>
              </w:rPr>
            </w:pPr>
            <w:r w:rsidRPr="00F17A66">
              <w:rPr>
                <w:rFonts w:ascii="Arial Narrow" w:hAnsi="Arial Narrow"/>
                <w:sz w:val="20"/>
              </w:rPr>
              <w:t>8 (5.2%)</w:t>
            </w:r>
          </w:p>
        </w:tc>
        <w:tc>
          <w:tcPr>
            <w:tcW w:w="1009" w:type="pct"/>
          </w:tcPr>
          <w:p w:rsidR="00345CA2" w:rsidRDefault="00345CA2" w:rsidP="00B20EF3">
            <w:pPr>
              <w:keepNext/>
              <w:widowControl/>
              <w:jc w:val="center"/>
              <w:rPr>
                <w:rFonts w:ascii="Arial Narrow" w:hAnsi="Arial Narrow"/>
                <w:sz w:val="20"/>
              </w:rPr>
            </w:pPr>
            <w:r w:rsidRPr="00F17A66">
              <w:rPr>
                <w:rFonts w:ascii="Arial Narrow" w:hAnsi="Arial Narrow"/>
                <w:sz w:val="20"/>
              </w:rPr>
              <w:t>90 (54.2%)</w:t>
            </w:r>
          </w:p>
          <w:p w:rsidR="00F475BA" w:rsidRPr="00F475BA" w:rsidRDefault="00F475BA" w:rsidP="00F475BA">
            <w:pPr>
              <w:keepNext/>
              <w:widowControl/>
              <w:jc w:val="center"/>
              <w:rPr>
                <w:rFonts w:ascii="Arial Narrow" w:hAnsi="Arial Narrow"/>
                <w:sz w:val="20"/>
              </w:rPr>
            </w:pPr>
            <w:r w:rsidRPr="00F475BA">
              <w:rPr>
                <w:rFonts w:ascii="Arial Narrow" w:hAnsi="Arial Narrow"/>
                <w:sz w:val="20"/>
              </w:rPr>
              <w:t>83 (50.0%)</w:t>
            </w:r>
          </w:p>
          <w:p w:rsidR="00F475BA" w:rsidRPr="00F17A66" w:rsidRDefault="00F475BA" w:rsidP="00F475BA">
            <w:pPr>
              <w:keepNext/>
              <w:widowControl/>
              <w:jc w:val="center"/>
              <w:rPr>
                <w:rFonts w:ascii="Arial Narrow" w:hAnsi="Arial Narrow"/>
                <w:i/>
                <w:sz w:val="20"/>
              </w:rPr>
            </w:pPr>
            <w:r w:rsidRPr="00F475BA">
              <w:rPr>
                <w:rFonts w:ascii="Arial Narrow" w:hAnsi="Arial Narrow"/>
                <w:sz w:val="20"/>
              </w:rPr>
              <w:t>7 (4.2%)</w:t>
            </w:r>
          </w:p>
        </w:tc>
      </w:tr>
      <w:tr w:rsidR="00345CA2" w:rsidRPr="00F17A66" w:rsidTr="001E2B7B">
        <w:tc>
          <w:tcPr>
            <w:tcW w:w="1364" w:type="pct"/>
            <w:tcBorders>
              <w:bottom w:val="single" w:sz="4" w:space="0" w:color="auto"/>
            </w:tcBorders>
            <w:vAlign w:val="center"/>
          </w:tcPr>
          <w:p w:rsidR="00345CA2" w:rsidRPr="00F17A66" w:rsidRDefault="00345CA2" w:rsidP="00F2617F">
            <w:pPr>
              <w:keepNext/>
              <w:widowControl/>
              <w:ind w:right="-108"/>
              <w:jc w:val="left"/>
              <w:rPr>
                <w:rFonts w:ascii="Arial Narrow" w:hAnsi="Arial Narrow"/>
                <w:sz w:val="20"/>
              </w:rPr>
            </w:pPr>
            <w:r w:rsidRPr="00F17A66">
              <w:rPr>
                <w:rFonts w:ascii="Arial Narrow" w:hAnsi="Arial Narrow"/>
                <w:sz w:val="20"/>
              </w:rPr>
              <w:t xml:space="preserve">Median PFS, </w:t>
            </w:r>
          </w:p>
          <w:p w:rsidR="00345CA2" w:rsidRPr="00F17A66" w:rsidRDefault="00345CA2" w:rsidP="00F2617F">
            <w:pPr>
              <w:keepNext/>
              <w:widowControl/>
              <w:ind w:right="-108"/>
              <w:jc w:val="left"/>
              <w:rPr>
                <w:rFonts w:ascii="Arial Narrow" w:hAnsi="Arial Narrow"/>
                <w:sz w:val="20"/>
              </w:rPr>
            </w:pPr>
            <w:r w:rsidRPr="00F17A66">
              <w:rPr>
                <w:rFonts w:ascii="Arial Narrow" w:hAnsi="Arial Narrow"/>
                <w:sz w:val="20"/>
              </w:rPr>
              <w:t>months (95% CI)</w:t>
            </w:r>
          </w:p>
        </w:tc>
        <w:tc>
          <w:tcPr>
            <w:tcW w:w="935" w:type="pct"/>
            <w:tcBorders>
              <w:bottom w:val="single" w:sz="4" w:space="0" w:color="auto"/>
            </w:tcBorders>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NE (22.5, NE)</w:t>
            </w:r>
          </w:p>
        </w:tc>
        <w:tc>
          <w:tcPr>
            <w:tcW w:w="855" w:type="pct"/>
            <w:tcBorders>
              <w:bottom w:val="single" w:sz="4" w:space="0" w:color="auto"/>
            </w:tcBorders>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14.9 (12.8, 16.6)</w:t>
            </w:r>
          </w:p>
        </w:tc>
        <w:tc>
          <w:tcPr>
            <w:tcW w:w="836" w:type="pct"/>
            <w:tcBorders>
              <w:bottom w:val="single" w:sz="4" w:space="0" w:color="auto"/>
            </w:tcBorders>
            <w:vAlign w:val="center"/>
          </w:tcPr>
          <w:p w:rsidR="00345CA2" w:rsidRPr="00F17A66" w:rsidRDefault="00345CA2" w:rsidP="00F2617F">
            <w:pPr>
              <w:keepNext/>
              <w:widowControl/>
              <w:jc w:val="center"/>
              <w:rPr>
                <w:rFonts w:ascii="Arial Narrow" w:hAnsi="Arial Narrow"/>
                <w:sz w:val="20"/>
              </w:rPr>
            </w:pPr>
            <w:r w:rsidRPr="00F17A66">
              <w:rPr>
                <w:rFonts w:ascii="Arial Narrow" w:hAnsi="Arial Narrow"/>
                <w:sz w:val="20"/>
              </w:rPr>
              <w:t>NE (22.5, NE)</w:t>
            </w:r>
          </w:p>
        </w:tc>
        <w:tc>
          <w:tcPr>
            <w:tcW w:w="1009" w:type="pct"/>
            <w:tcBorders>
              <w:bottom w:val="single" w:sz="4" w:space="0" w:color="auto"/>
            </w:tcBorders>
            <w:vAlign w:val="center"/>
          </w:tcPr>
          <w:p w:rsidR="00345CA2" w:rsidRPr="00F17A66" w:rsidRDefault="00345CA2" w:rsidP="00F2617F">
            <w:pPr>
              <w:keepNext/>
              <w:widowControl/>
              <w:jc w:val="center"/>
              <w:rPr>
                <w:rFonts w:ascii="Arial Narrow" w:hAnsi="Arial Narrow"/>
                <w:i/>
                <w:sz w:val="20"/>
              </w:rPr>
            </w:pPr>
            <w:r w:rsidRPr="00F17A66">
              <w:rPr>
                <w:rFonts w:ascii="Arial Narrow" w:hAnsi="Arial Narrow"/>
                <w:sz w:val="20"/>
              </w:rPr>
              <w:t>13.8 (11.4, 16.2)</w:t>
            </w:r>
          </w:p>
        </w:tc>
      </w:tr>
      <w:tr w:rsidR="00345CA2" w:rsidRPr="00F17A66" w:rsidTr="001E2B7B">
        <w:trPr>
          <w:trHeight w:val="179"/>
        </w:trPr>
        <w:tc>
          <w:tcPr>
            <w:tcW w:w="1364" w:type="pct"/>
            <w:tcBorders>
              <w:top w:val="single" w:sz="4" w:space="0" w:color="auto"/>
            </w:tcBorders>
            <w:vAlign w:val="center"/>
          </w:tcPr>
          <w:p w:rsidR="00345CA2" w:rsidRPr="00F17A66" w:rsidRDefault="00345CA2" w:rsidP="00462BD0">
            <w:pPr>
              <w:keepNext/>
              <w:widowControl/>
              <w:ind w:left="109" w:right="-108" w:hanging="109"/>
              <w:jc w:val="left"/>
              <w:rPr>
                <w:rFonts w:ascii="Arial Narrow" w:hAnsi="Arial Narrow"/>
                <w:sz w:val="20"/>
              </w:rPr>
            </w:pPr>
            <w:r w:rsidRPr="00F17A66">
              <w:rPr>
                <w:rFonts w:ascii="Arial Narrow" w:hAnsi="Arial Narrow"/>
                <w:sz w:val="20"/>
              </w:rPr>
              <w:t xml:space="preserve">Hazard ratio (95% CI) </w:t>
            </w:r>
            <w:r w:rsidRPr="00F17A66">
              <w:rPr>
                <w:rFonts w:ascii="Arial Narrow" w:hAnsi="Arial Narrow"/>
                <w:sz w:val="20"/>
                <w:vertAlign w:val="superscript"/>
              </w:rPr>
              <w:t>a</w:t>
            </w:r>
          </w:p>
        </w:tc>
        <w:tc>
          <w:tcPr>
            <w:tcW w:w="1791" w:type="pct"/>
            <w:gridSpan w:val="2"/>
            <w:tcBorders>
              <w:top w:val="single" w:sz="4" w:space="0" w:color="auto"/>
            </w:tcBorders>
            <w:vAlign w:val="center"/>
          </w:tcPr>
          <w:p w:rsidR="00345CA2" w:rsidRPr="00F17A66" w:rsidRDefault="00345CA2" w:rsidP="00462BD0">
            <w:pPr>
              <w:keepNext/>
              <w:widowControl/>
              <w:jc w:val="center"/>
              <w:rPr>
                <w:rFonts w:ascii="Arial Narrow" w:hAnsi="Arial Narrow"/>
                <w:b/>
                <w:sz w:val="20"/>
              </w:rPr>
            </w:pPr>
            <w:r w:rsidRPr="00F17A66">
              <w:rPr>
                <w:rFonts w:ascii="Arial Narrow" w:hAnsi="Arial Narrow"/>
                <w:b/>
                <w:sz w:val="20"/>
              </w:rPr>
              <w:t>0.55 (0.40, 0.74)</w:t>
            </w:r>
            <w:r w:rsidR="00317489">
              <w:rPr>
                <w:rFonts w:ascii="Arial Narrow" w:hAnsi="Arial Narrow"/>
                <w:b/>
                <w:sz w:val="20"/>
              </w:rPr>
              <w:t>, p=0.0001</w:t>
            </w:r>
          </w:p>
        </w:tc>
        <w:tc>
          <w:tcPr>
            <w:tcW w:w="1845" w:type="pct"/>
            <w:gridSpan w:val="2"/>
            <w:tcBorders>
              <w:top w:val="single" w:sz="4" w:space="0" w:color="auto"/>
            </w:tcBorders>
            <w:vAlign w:val="center"/>
          </w:tcPr>
          <w:p w:rsidR="00345CA2" w:rsidRPr="00F17A66" w:rsidRDefault="00345CA2" w:rsidP="0011789A">
            <w:pPr>
              <w:keepNext/>
              <w:widowControl/>
              <w:jc w:val="center"/>
              <w:rPr>
                <w:rFonts w:ascii="Arial Narrow" w:hAnsi="Arial Narrow"/>
                <w:i/>
                <w:sz w:val="20"/>
              </w:rPr>
            </w:pPr>
            <w:r w:rsidRPr="00F17A66">
              <w:rPr>
                <w:rFonts w:ascii="Arial Narrow" w:hAnsi="Arial Narrow"/>
                <w:b/>
                <w:sz w:val="20"/>
              </w:rPr>
              <w:t>0.48 (0.</w:t>
            </w:r>
            <w:r w:rsidR="0011789A" w:rsidRPr="00F17A66">
              <w:rPr>
                <w:rFonts w:ascii="Arial Narrow" w:hAnsi="Arial Narrow"/>
                <w:b/>
                <w:sz w:val="20"/>
              </w:rPr>
              <w:t>3</w:t>
            </w:r>
            <w:r w:rsidR="0011789A">
              <w:rPr>
                <w:rFonts w:ascii="Arial Narrow" w:hAnsi="Arial Narrow"/>
                <w:b/>
                <w:sz w:val="20"/>
              </w:rPr>
              <w:t>4</w:t>
            </w:r>
            <w:r w:rsidRPr="00F17A66">
              <w:rPr>
                <w:rFonts w:ascii="Arial Narrow" w:hAnsi="Arial Narrow"/>
                <w:b/>
                <w:sz w:val="20"/>
              </w:rPr>
              <w:t>, 0.68)</w:t>
            </w:r>
            <w:r w:rsidR="0011789A">
              <w:rPr>
                <w:rFonts w:ascii="Arial Narrow" w:hAnsi="Arial Narrow"/>
                <w:b/>
                <w:sz w:val="20"/>
              </w:rPr>
              <w:t>, p&lt;0.0001</w:t>
            </w:r>
          </w:p>
        </w:tc>
      </w:tr>
      <w:tr w:rsidR="00345CA2" w:rsidRPr="00F17A66" w:rsidTr="007E7E00">
        <w:trPr>
          <w:trHeight w:val="20"/>
        </w:trPr>
        <w:tc>
          <w:tcPr>
            <w:tcW w:w="5000" w:type="pct"/>
            <w:gridSpan w:val="5"/>
          </w:tcPr>
          <w:p w:rsidR="00345CA2" w:rsidRPr="00F17A66" w:rsidRDefault="00345CA2" w:rsidP="00345CA2">
            <w:pPr>
              <w:jc w:val="left"/>
              <w:rPr>
                <w:rFonts w:ascii="Arial Narrow" w:hAnsi="Arial Narrow"/>
                <w:b/>
                <w:sz w:val="20"/>
              </w:rPr>
            </w:pPr>
            <w:r w:rsidRPr="00F17A66">
              <w:rPr>
                <w:rFonts w:ascii="Arial Narrow" w:hAnsi="Arial Narrow"/>
                <w:b/>
                <w:sz w:val="20"/>
              </w:rPr>
              <w:t>1 May 2015 cut-off</w:t>
            </w:r>
          </w:p>
        </w:tc>
      </w:tr>
      <w:tr w:rsidR="00345CA2" w:rsidRPr="00F17A66" w:rsidTr="001E2B7B">
        <w:trPr>
          <w:trHeight w:val="20"/>
        </w:trPr>
        <w:tc>
          <w:tcPr>
            <w:tcW w:w="1364" w:type="pct"/>
            <w:vAlign w:val="center"/>
          </w:tcPr>
          <w:p w:rsidR="00345CA2" w:rsidRPr="00F17A66" w:rsidRDefault="00345CA2" w:rsidP="00F2617F">
            <w:pPr>
              <w:jc w:val="left"/>
              <w:rPr>
                <w:rFonts w:ascii="Arial Narrow" w:hAnsi="Arial Narrow"/>
                <w:sz w:val="20"/>
              </w:rPr>
            </w:pPr>
            <w:r w:rsidRPr="00F17A66">
              <w:rPr>
                <w:rFonts w:ascii="Arial Narrow" w:hAnsi="Arial Narrow"/>
                <w:sz w:val="20"/>
              </w:rPr>
              <w:t>N</w:t>
            </w:r>
          </w:p>
        </w:tc>
        <w:tc>
          <w:tcPr>
            <w:tcW w:w="935" w:type="pct"/>
          </w:tcPr>
          <w:p w:rsidR="00345CA2" w:rsidRPr="00F17A66" w:rsidRDefault="00345CA2" w:rsidP="00F2617F">
            <w:pPr>
              <w:jc w:val="center"/>
              <w:rPr>
                <w:rFonts w:ascii="Arial Narrow" w:hAnsi="Arial Narrow"/>
                <w:sz w:val="20"/>
              </w:rPr>
            </w:pPr>
            <w:r w:rsidRPr="00F17A66">
              <w:rPr>
                <w:rFonts w:ascii="Arial Narrow" w:hAnsi="Arial Narrow"/>
                <w:sz w:val="20"/>
              </w:rPr>
              <w:t>204</w:t>
            </w:r>
          </w:p>
        </w:tc>
        <w:tc>
          <w:tcPr>
            <w:tcW w:w="855" w:type="pct"/>
          </w:tcPr>
          <w:p w:rsidR="00345CA2" w:rsidRPr="00F17A66" w:rsidRDefault="00345CA2" w:rsidP="00F2617F">
            <w:pPr>
              <w:jc w:val="center"/>
              <w:rPr>
                <w:rFonts w:ascii="Arial Narrow" w:hAnsi="Arial Narrow"/>
                <w:sz w:val="20"/>
              </w:rPr>
            </w:pPr>
            <w:r w:rsidRPr="00F17A66">
              <w:rPr>
                <w:rFonts w:ascii="Arial Narrow" w:hAnsi="Arial Narrow"/>
                <w:sz w:val="20"/>
              </w:rPr>
              <w:t>209</w:t>
            </w:r>
          </w:p>
        </w:tc>
        <w:tc>
          <w:tcPr>
            <w:tcW w:w="836" w:type="pct"/>
          </w:tcPr>
          <w:p w:rsidR="00345CA2" w:rsidRPr="00F17A66" w:rsidRDefault="00345CA2" w:rsidP="00F2617F">
            <w:pPr>
              <w:jc w:val="center"/>
              <w:rPr>
                <w:rFonts w:ascii="Arial Narrow" w:hAnsi="Arial Narrow"/>
                <w:i/>
                <w:sz w:val="20"/>
              </w:rPr>
            </w:pPr>
            <w:r w:rsidRPr="00F17A66">
              <w:rPr>
                <w:rFonts w:ascii="Arial Narrow" w:hAnsi="Arial Narrow"/>
                <w:sz w:val="20"/>
              </w:rPr>
              <w:t>164</w:t>
            </w:r>
          </w:p>
        </w:tc>
        <w:tc>
          <w:tcPr>
            <w:tcW w:w="1009" w:type="pct"/>
          </w:tcPr>
          <w:p w:rsidR="00345CA2" w:rsidRPr="00F17A66" w:rsidRDefault="00345CA2" w:rsidP="00F2617F">
            <w:pPr>
              <w:jc w:val="center"/>
              <w:rPr>
                <w:rFonts w:ascii="Arial Narrow" w:hAnsi="Arial Narrow"/>
                <w:i/>
                <w:sz w:val="20"/>
              </w:rPr>
            </w:pPr>
            <w:r w:rsidRPr="00F17A66">
              <w:rPr>
                <w:rFonts w:ascii="Arial Narrow" w:hAnsi="Arial Narrow"/>
                <w:sz w:val="20"/>
              </w:rPr>
              <w:t>171</w:t>
            </w:r>
          </w:p>
        </w:tc>
      </w:tr>
      <w:tr w:rsidR="00345CA2" w:rsidRPr="00F17A66" w:rsidTr="001E2B7B">
        <w:trPr>
          <w:trHeight w:val="20"/>
        </w:trPr>
        <w:tc>
          <w:tcPr>
            <w:tcW w:w="1364" w:type="pct"/>
          </w:tcPr>
          <w:p w:rsidR="00345CA2" w:rsidRPr="00F17A66" w:rsidRDefault="00345CA2" w:rsidP="00462BD0">
            <w:pPr>
              <w:rPr>
                <w:rFonts w:ascii="Arial Narrow" w:hAnsi="Arial Narrow"/>
                <w:sz w:val="20"/>
              </w:rPr>
            </w:pPr>
            <w:r w:rsidRPr="00F17A66">
              <w:rPr>
                <w:rFonts w:ascii="Arial Narrow" w:hAnsi="Arial Narrow"/>
                <w:sz w:val="20"/>
              </w:rPr>
              <w:t>Median follow-up (months)</w:t>
            </w:r>
          </w:p>
        </w:tc>
        <w:tc>
          <w:tcPr>
            <w:tcW w:w="935" w:type="pct"/>
          </w:tcPr>
          <w:p w:rsidR="00345CA2" w:rsidRPr="00F17A66" w:rsidRDefault="00345CA2" w:rsidP="00F2617F">
            <w:pPr>
              <w:jc w:val="center"/>
              <w:rPr>
                <w:rFonts w:ascii="Arial Narrow" w:hAnsi="Arial Narrow"/>
                <w:sz w:val="20"/>
              </w:rPr>
            </w:pPr>
            <w:r w:rsidRPr="00F17A66">
              <w:rPr>
                <w:rFonts w:ascii="Arial Narrow" w:hAnsi="Arial Narrow"/>
                <w:sz w:val="20"/>
              </w:rPr>
              <w:t>25.3</w:t>
            </w:r>
          </w:p>
        </w:tc>
        <w:tc>
          <w:tcPr>
            <w:tcW w:w="855" w:type="pct"/>
          </w:tcPr>
          <w:p w:rsidR="00345CA2" w:rsidRPr="00F17A66" w:rsidRDefault="00345CA2" w:rsidP="00F2617F">
            <w:pPr>
              <w:jc w:val="center"/>
              <w:rPr>
                <w:rFonts w:ascii="Arial Narrow" w:hAnsi="Arial Narrow"/>
                <w:sz w:val="20"/>
              </w:rPr>
            </w:pPr>
            <w:r w:rsidRPr="00F17A66">
              <w:rPr>
                <w:rFonts w:ascii="Arial Narrow" w:hAnsi="Arial Narrow"/>
                <w:sz w:val="20"/>
              </w:rPr>
              <w:t>24.5</w:t>
            </w:r>
          </w:p>
        </w:tc>
        <w:tc>
          <w:tcPr>
            <w:tcW w:w="836" w:type="pct"/>
          </w:tcPr>
          <w:p w:rsidR="00345CA2" w:rsidRPr="009B687C" w:rsidRDefault="00345CA2" w:rsidP="00F2617F">
            <w:pPr>
              <w:jc w:val="center"/>
              <w:rPr>
                <w:rFonts w:ascii="Arial Narrow" w:hAnsi="Arial Narrow"/>
                <w:sz w:val="20"/>
              </w:rPr>
            </w:pPr>
            <w:r w:rsidRPr="009B687C">
              <w:rPr>
                <w:rFonts w:ascii="Arial Narrow" w:hAnsi="Arial Narrow"/>
                <w:sz w:val="20"/>
              </w:rPr>
              <w:t>24.1</w:t>
            </w:r>
          </w:p>
        </w:tc>
        <w:tc>
          <w:tcPr>
            <w:tcW w:w="1009" w:type="pct"/>
          </w:tcPr>
          <w:p w:rsidR="00345CA2" w:rsidRPr="009B687C" w:rsidRDefault="00345CA2" w:rsidP="00F2617F">
            <w:pPr>
              <w:jc w:val="center"/>
              <w:rPr>
                <w:rFonts w:ascii="Arial Narrow" w:hAnsi="Arial Narrow"/>
                <w:sz w:val="20"/>
              </w:rPr>
            </w:pPr>
            <w:r w:rsidRPr="009B687C">
              <w:rPr>
                <w:rFonts w:ascii="Arial Narrow" w:hAnsi="Arial Narrow"/>
                <w:sz w:val="20"/>
              </w:rPr>
              <w:t>24.1</w:t>
            </w:r>
          </w:p>
        </w:tc>
      </w:tr>
      <w:tr w:rsidR="00345CA2" w:rsidRPr="00F17A66" w:rsidTr="001E2B7B">
        <w:tc>
          <w:tcPr>
            <w:tcW w:w="1364" w:type="pct"/>
            <w:vAlign w:val="center"/>
          </w:tcPr>
          <w:p w:rsidR="00345CA2" w:rsidRDefault="00345CA2" w:rsidP="00B20EF3">
            <w:pPr>
              <w:ind w:right="-108"/>
              <w:jc w:val="left"/>
              <w:rPr>
                <w:rFonts w:ascii="Arial Narrow" w:hAnsi="Arial Narrow"/>
                <w:sz w:val="20"/>
              </w:rPr>
            </w:pPr>
            <w:r w:rsidRPr="00F17A66">
              <w:rPr>
                <w:rFonts w:ascii="Arial Narrow" w:hAnsi="Arial Narrow"/>
                <w:sz w:val="20"/>
              </w:rPr>
              <w:t>Patients with events (n, %)</w:t>
            </w:r>
          </w:p>
          <w:p w:rsidR="00F475BA" w:rsidRPr="00F17A66" w:rsidRDefault="00F475BA" w:rsidP="00F475BA">
            <w:pPr>
              <w:ind w:left="109" w:right="-108"/>
              <w:jc w:val="left"/>
              <w:rPr>
                <w:rFonts w:ascii="Arial Narrow" w:hAnsi="Arial Narrow"/>
                <w:sz w:val="20"/>
              </w:rPr>
            </w:pPr>
            <w:r w:rsidRPr="00F17A66">
              <w:rPr>
                <w:rFonts w:ascii="Arial Narrow" w:hAnsi="Arial Narrow"/>
                <w:sz w:val="20"/>
              </w:rPr>
              <w:t xml:space="preserve">Disease progression </w:t>
            </w:r>
          </w:p>
          <w:p w:rsidR="00F475BA" w:rsidRPr="00F17A66" w:rsidRDefault="00F475BA" w:rsidP="00F475BA">
            <w:pPr>
              <w:ind w:left="109" w:right="-108"/>
              <w:jc w:val="left"/>
              <w:rPr>
                <w:rFonts w:ascii="Arial Narrow" w:hAnsi="Arial Narrow"/>
                <w:sz w:val="20"/>
              </w:rPr>
            </w:pPr>
            <w:r w:rsidRPr="00F17A66">
              <w:rPr>
                <w:rFonts w:ascii="Arial Narrow" w:hAnsi="Arial Narrow"/>
                <w:sz w:val="20"/>
              </w:rPr>
              <w:t xml:space="preserve">Deaths </w:t>
            </w:r>
          </w:p>
        </w:tc>
        <w:tc>
          <w:tcPr>
            <w:tcW w:w="935" w:type="pct"/>
          </w:tcPr>
          <w:p w:rsidR="00F475BA" w:rsidRDefault="00345CA2" w:rsidP="00B20EF3">
            <w:pPr>
              <w:jc w:val="center"/>
              <w:rPr>
                <w:rFonts w:ascii="Arial Narrow" w:hAnsi="Arial Narrow"/>
                <w:sz w:val="20"/>
              </w:rPr>
            </w:pPr>
            <w:r w:rsidRPr="00F17A66">
              <w:rPr>
                <w:rFonts w:ascii="Arial Narrow" w:hAnsi="Arial Narrow"/>
                <w:sz w:val="20"/>
              </w:rPr>
              <w:t>87 (42.6%)</w:t>
            </w:r>
          </w:p>
          <w:p w:rsidR="00F475BA" w:rsidRPr="00F475BA" w:rsidRDefault="00F475BA" w:rsidP="00F475BA">
            <w:pPr>
              <w:jc w:val="center"/>
              <w:rPr>
                <w:rFonts w:ascii="Arial Narrow" w:hAnsi="Arial Narrow"/>
                <w:sz w:val="20"/>
              </w:rPr>
            </w:pPr>
            <w:r w:rsidRPr="00F475BA">
              <w:rPr>
                <w:rFonts w:ascii="Arial Narrow" w:hAnsi="Arial Narrow"/>
                <w:sz w:val="20"/>
              </w:rPr>
              <w:t>74 (36.3%)</w:t>
            </w:r>
          </w:p>
          <w:p w:rsidR="00345CA2" w:rsidRPr="00F475BA" w:rsidRDefault="00F475BA" w:rsidP="00F475BA">
            <w:pPr>
              <w:jc w:val="center"/>
              <w:rPr>
                <w:rFonts w:ascii="Arial Narrow" w:hAnsi="Arial Narrow"/>
                <w:i/>
                <w:sz w:val="20"/>
              </w:rPr>
            </w:pPr>
            <w:r w:rsidRPr="00F475BA">
              <w:rPr>
                <w:rFonts w:ascii="Arial Narrow" w:hAnsi="Arial Narrow"/>
                <w:sz w:val="20"/>
              </w:rPr>
              <w:t>13 (6.4%)</w:t>
            </w:r>
          </w:p>
        </w:tc>
        <w:tc>
          <w:tcPr>
            <w:tcW w:w="855" w:type="pct"/>
          </w:tcPr>
          <w:p w:rsidR="00345CA2" w:rsidRDefault="00345CA2" w:rsidP="00B20EF3">
            <w:pPr>
              <w:jc w:val="center"/>
              <w:rPr>
                <w:rFonts w:ascii="Arial Narrow" w:hAnsi="Arial Narrow"/>
                <w:sz w:val="20"/>
              </w:rPr>
            </w:pPr>
            <w:r w:rsidRPr="00F17A66">
              <w:rPr>
                <w:rFonts w:ascii="Arial Narrow" w:hAnsi="Arial Narrow"/>
                <w:sz w:val="20"/>
              </w:rPr>
              <w:t>125 (59.8%)</w:t>
            </w:r>
          </w:p>
          <w:p w:rsidR="00F475BA" w:rsidRPr="00F475BA" w:rsidRDefault="00F475BA" w:rsidP="00F475BA">
            <w:pPr>
              <w:jc w:val="center"/>
              <w:rPr>
                <w:rFonts w:ascii="Arial Narrow" w:hAnsi="Arial Narrow"/>
                <w:sz w:val="20"/>
              </w:rPr>
            </w:pPr>
            <w:r w:rsidRPr="00F475BA">
              <w:rPr>
                <w:rFonts w:ascii="Arial Narrow" w:hAnsi="Arial Narrow"/>
                <w:sz w:val="20"/>
              </w:rPr>
              <w:t>115 (55.0%)</w:t>
            </w:r>
          </w:p>
          <w:p w:rsidR="00F475BA" w:rsidRPr="00F475BA" w:rsidRDefault="00F475BA" w:rsidP="00F475BA">
            <w:pPr>
              <w:jc w:val="center"/>
              <w:rPr>
                <w:rFonts w:ascii="Arial Narrow" w:hAnsi="Arial Narrow"/>
                <w:i/>
                <w:sz w:val="20"/>
              </w:rPr>
            </w:pPr>
            <w:r w:rsidRPr="00F475BA">
              <w:rPr>
                <w:rFonts w:ascii="Arial Narrow" w:hAnsi="Arial Narrow"/>
                <w:sz w:val="20"/>
              </w:rPr>
              <w:t>10 (4.8%)</w:t>
            </w:r>
          </w:p>
        </w:tc>
        <w:tc>
          <w:tcPr>
            <w:tcW w:w="836" w:type="pct"/>
          </w:tcPr>
          <w:p w:rsidR="00345CA2" w:rsidRDefault="00345CA2" w:rsidP="00B20EF3">
            <w:pPr>
              <w:jc w:val="center"/>
              <w:rPr>
                <w:rFonts w:ascii="Arial Narrow" w:hAnsi="Arial Narrow"/>
                <w:sz w:val="20"/>
              </w:rPr>
            </w:pPr>
            <w:r w:rsidRPr="00F17A66">
              <w:rPr>
                <w:rFonts w:ascii="Arial Narrow" w:hAnsi="Arial Narrow"/>
                <w:sz w:val="20"/>
              </w:rPr>
              <w:t>67 (40.9%)</w:t>
            </w:r>
          </w:p>
          <w:p w:rsidR="00F475BA" w:rsidRPr="00F17A66" w:rsidRDefault="00F475BA" w:rsidP="00F475BA">
            <w:pPr>
              <w:jc w:val="center"/>
              <w:rPr>
                <w:rFonts w:ascii="Arial Narrow" w:hAnsi="Arial Narrow"/>
                <w:sz w:val="20"/>
              </w:rPr>
            </w:pPr>
            <w:r w:rsidRPr="00F17A66">
              <w:rPr>
                <w:rFonts w:ascii="Arial Narrow" w:hAnsi="Arial Narrow"/>
                <w:sz w:val="20"/>
              </w:rPr>
              <w:t>58 (35.3%)</w:t>
            </w:r>
          </w:p>
          <w:p w:rsidR="00F475BA" w:rsidRPr="00F17A66" w:rsidRDefault="00F475BA" w:rsidP="00F475BA">
            <w:pPr>
              <w:jc w:val="center"/>
              <w:rPr>
                <w:rFonts w:ascii="Arial Narrow" w:hAnsi="Arial Narrow"/>
                <w:sz w:val="20"/>
              </w:rPr>
            </w:pPr>
            <w:r w:rsidRPr="00F17A66">
              <w:rPr>
                <w:rFonts w:ascii="Arial Narrow" w:hAnsi="Arial Narrow"/>
                <w:sz w:val="20"/>
              </w:rPr>
              <w:t>9 (5.5%)</w:t>
            </w:r>
          </w:p>
        </w:tc>
        <w:tc>
          <w:tcPr>
            <w:tcW w:w="1009" w:type="pct"/>
          </w:tcPr>
          <w:p w:rsidR="00345CA2" w:rsidRDefault="00345CA2" w:rsidP="00B20EF3">
            <w:pPr>
              <w:jc w:val="center"/>
              <w:rPr>
                <w:rFonts w:ascii="Arial Narrow" w:hAnsi="Arial Narrow"/>
                <w:sz w:val="20"/>
              </w:rPr>
            </w:pPr>
            <w:r w:rsidRPr="00F17A66">
              <w:rPr>
                <w:rFonts w:ascii="Arial Narrow" w:hAnsi="Arial Narrow"/>
                <w:sz w:val="20"/>
              </w:rPr>
              <w:t>108 (63.2%)</w:t>
            </w:r>
          </w:p>
          <w:p w:rsidR="00F475BA" w:rsidRPr="00F17A66" w:rsidRDefault="00F475BA" w:rsidP="00F475BA">
            <w:pPr>
              <w:jc w:val="center"/>
              <w:rPr>
                <w:rFonts w:ascii="Arial Narrow" w:hAnsi="Arial Narrow"/>
                <w:sz w:val="20"/>
              </w:rPr>
            </w:pPr>
            <w:r w:rsidRPr="00F17A66">
              <w:rPr>
                <w:rFonts w:ascii="Arial Narrow" w:hAnsi="Arial Narrow"/>
                <w:sz w:val="20"/>
              </w:rPr>
              <w:t>100 (58.5%)</w:t>
            </w:r>
          </w:p>
          <w:p w:rsidR="00F475BA" w:rsidRPr="00F475BA" w:rsidRDefault="00F475BA" w:rsidP="00F475BA">
            <w:pPr>
              <w:jc w:val="center"/>
              <w:rPr>
                <w:rFonts w:ascii="Arial Narrow" w:hAnsi="Arial Narrow"/>
                <w:sz w:val="20"/>
              </w:rPr>
            </w:pPr>
            <w:r w:rsidRPr="00F17A66">
              <w:rPr>
                <w:rFonts w:ascii="Arial Narrow" w:hAnsi="Arial Narrow"/>
                <w:sz w:val="20"/>
              </w:rPr>
              <w:t>8 (4.7%)</w:t>
            </w:r>
          </w:p>
        </w:tc>
      </w:tr>
      <w:tr w:rsidR="00345CA2" w:rsidRPr="00F17A66" w:rsidTr="001E2B7B">
        <w:trPr>
          <w:trHeight w:val="20"/>
        </w:trPr>
        <w:tc>
          <w:tcPr>
            <w:tcW w:w="1364" w:type="pct"/>
            <w:tcBorders>
              <w:bottom w:val="single" w:sz="4" w:space="0" w:color="auto"/>
            </w:tcBorders>
            <w:vAlign w:val="center"/>
          </w:tcPr>
          <w:p w:rsidR="00345CA2" w:rsidRPr="00F17A66" w:rsidRDefault="00345CA2" w:rsidP="007E7E00">
            <w:pPr>
              <w:ind w:right="-108"/>
              <w:jc w:val="left"/>
              <w:rPr>
                <w:rFonts w:ascii="Arial Narrow" w:hAnsi="Arial Narrow"/>
                <w:sz w:val="20"/>
              </w:rPr>
            </w:pPr>
            <w:r w:rsidRPr="00F17A66">
              <w:rPr>
                <w:rFonts w:ascii="Arial Narrow" w:hAnsi="Arial Narrow"/>
                <w:sz w:val="20"/>
              </w:rPr>
              <w:t>Median PFS, months (95% CI)</w:t>
            </w:r>
          </w:p>
        </w:tc>
        <w:tc>
          <w:tcPr>
            <w:tcW w:w="935" w:type="pct"/>
            <w:tcBorders>
              <w:bottom w:val="single" w:sz="4" w:space="0" w:color="auto"/>
            </w:tcBorders>
            <w:vAlign w:val="center"/>
          </w:tcPr>
          <w:p w:rsidR="00345CA2" w:rsidRPr="00F17A66" w:rsidRDefault="00345CA2" w:rsidP="00F2617F">
            <w:pPr>
              <w:jc w:val="center"/>
              <w:rPr>
                <w:rFonts w:ascii="Arial Narrow" w:hAnsi="Arial Narrow"/>
                <w:sz w:val="20"/>
              </w:rPr>
            </w:pPr>
            <w:r w:rsidRPr="00F17A66">
              <w:rPr>
                <w:rFonts w:ascii="Arial Narrow" w:hAnsi="Arial Narrow"/>
                <w:sz w:val="20"/>
              </w:rPr>
              <w:t>29.2 (20.5, NE)</w:t>
            </w:r>
          </w:p>
        </w:tc>
        <w:tc>
          <w:tcPr>
            <w:tcW w:w="855" w:type="pct"/>
            <w:tcBorders>
              <w:bottom w:val="single" w:sz="4" w:space="0" w:color="auto"/>
            </w:tcBorders>
            <w:vAlign w:val="center"/>
          </w:tcPr>
          <w:p w:rsidR="00345CA2" w:rsidRPr="00F17A66" w:rsidRDefault="00345CA2" w:rsidP="00F2617F">
            <w:pPr>
              <w:jc w:val="center"/>
              <w:rPr>
                <w:rFonts w:ascii="Arial Narrow" w:hAnsi="Arial Narrow"/>
                <w:sz w:val="20"/>
              </w:rPr>
            </w:pPr>
            <w:r w:rsidRPr="00F17A66">
              <w:rPr>
                <w:rFonts w:ascii="Arial Narrow" w:hAnsi="Arial Narrow"/>
                <w:sz w:val="20"/>
              </w:rPr>
              <w:t>14.1 (11.7, 16.6)</w:t>
            </w:r>
          </w:p>
        </w:tc>
        <w:tc>
          <w:tcPr>
            <w:tcW w:w="836" w:type="pct"/>
            <w:tcBorders>
              <w:bottom w:val="single" w:sz="4" w:space="0" w:color="auto"/>
            </w:tcBorders>
            <w:vAlign w:val="center"/>
          </w:tcPr>
          <w:p w:rsidR="00345CA2" w:rsidRPr="00F17A66" w:rsidRDefault="00345CA2" w:rsidP="00F2617F">
            <w:pPr>
              <w:jc w:val="center"/>
              <w:rPr>
                <w:rFonts w:ascii="Arial Narrow" w:hAnsi="Arial Narrow"/>
                <w:sz w:val="20"/>
              </w:rPr>
            </w:pPr>
            <w:r w:rsidRPr="00F17A66">
              <w:rPr>
                <w:rFonts w:ascii="Arial Narrow" w:hAnsi="Arial Narrow"/>
                <w:sz w:val="20"/>
              </w:rPr>
              <w:t xml:space="preserve">29.2 (20.5, NE) </w:t>
            </w:r>
          </w:p>
        </w:tc>
        <w:tc>
          <w:tcPr>
            <w:tcW w:w="1009" w:type="pct"/>
            <w:tcBorders>
              <w:bottom w:val="single" w:sz="4" w:space="0" w:color="auto"/>
            </w:tcBorders>
            <w:vAlign w:val="center"/>
          </w:tcPr>
          <w:p w:rsidR="00345CA2" w:rsidRPr="00F17A66" w:rsidRDefault="00345CA2" w:rsidP="00F2617F">
            <w:pPr>
              <w:pStyle w:val="Tabletext"/>
              <w:jc w:val="center"/>
            </w:pPr>
            <w:r w:rsidRPr="00F17A66">
              <w:t>13.8 (11.5, 15.8)</w:t>
            </w:r>
          </w:p>
        </w:tc>
      </w:tr>
      <w:tr w:rsidR="00345CA2" w:rsidRPr="00F17A66" w:rsidTr="001E2B7B">
        <w:trPr>
          <w:trHeight w:val="277"/>
        </w:trPr>
        <w:tc>
          <w:tcPr>
            <w:tcW w:w="1364" w:type="pct"/>
            <w:vAlign w:val="center"/>
          </w:tcPr>
          <w:p w:rsidR="00345CA2" w:rsidRPr="00F17A66" w:rsidRDefault="00345CA2" w:rsidP="00F2617F">
            <w:pPr>
              <w:ind w:left="109" w:right="-108"/>
              <w:jc w:val="left"/>
              <w:rPr>
                <w:rFonts w:ascii="Arial Narrow" w:hAnsi="Arial Narrow"/>
                <w:sz w:val="20"/>
              </w:rPr>
            </w:pPr>
            <w:r w:rsidRPr="00F17A66">
              <w:rPr>
                <w:rFonts w:ascii="Arial Narrow" w:hAnsi="Arial Narrow"/>
                <w:sz w:val="20"/>
              </w:rPr>
              <w:t xml:space="preserve">Hazard ratio (95% CI) </w:t>
            </w:r>
            <w:r w:rsidRPr="00F17A66">
              <w:rPr>
                <w:rFonts w:ascii="Arial Narrow" w:hAnsi="Arial Narrow"/>
                <w:sz w:val="20"/>
                <w:vertAlign w:val="superscript"/>
              </w:rPr>
              <w:t>a</w:t>
            </w:r>
          </w:p>
        </w:tc>
        <w:tc>
          <w:tcPr>
            <w:tcW w:w="1791" w:type="pct"/>
            <w:gridSpan w:val="2"/>
            <w:vAlign w:val="center"/>
          </w:tcPr>
          <w:p w:rsidR="00345CA2" w:rsidRPr="00F17A66" w:rsidRDefault="00345CA2" w:rsidP="00345CA2">
            <w:pPr>
              <w:pStyle w:val="Tabletext"/>
              <w:jc w:val="center"/>
              <w:rPr>
                <w:b/>
                <w:i/>
              </w:rPr>
            </w:pPr>
            <w:r w:rsidRPr="00F17A66">
              <w:rPr>
                <w:b/>
              </w:rPr>
              <w:t>0.53 (0.40, 0.70)</w:t>
            </w:r>
            <w:r w:rsidR="001E1226">
              <w:rPr>
                <w:b/>
              </w:rPr>
              <w:t>, p&lt;0.001</w:t>
            </w:r>
          </w:p>
        </w:tc>
        <w:tc>
          <w:tcPr>
            <w:tcW w:w="1845" w:type="pct"/>
            <w:gridSpan w:val="2"/>
            <w:vAlign w:val="center"/>
          </w:tcPr>
          <w:p w:rsidR="00345CA2" w:rsidRPr="00F17A66" w:rsidRDefault="00345CA2" w:rsidP="0011789A">
            <w:pPr>
              <w:pStyle w:val="Tabletext"/>
              <w:jc w:val="center"/>
              <w:rPr>
                <w:b/>
              </w:rPr>
            </w:pPr>
            <w:r w:rsidRPr="00F17A66">
              <w:rPr>
                <w:b/>
              </w:rPr>
              <w:t>0.47 (0.34, 0.64)</w:t>
            </w:r>
            <w:r w:rsidR="0011789A">
              <w:rPr>
                <w:b/>
              </w:rPr>
              <w:t>, p&lt;0.0001</w:t>
            </w:r>
          </w:p>
        </w:tc>
      </w:tr>
    </w:tbl>
    <w:p w:rsidR="000E3DCE" w:rsidRPr="00F17A66" w:rsidRDefault="000E3DCE" w:rsidP="007E7E00">
      <w:pPr>
        <w:pStyle w:val="TableFooter"/>
        <w:ind w:left="720"/>
      </w:pPr>
      <w:r w:rsidRPr="00F17A66">
        <w:t>Source: Tables B.6.1, p27 and B.6.2, pp28-29 of Section B of the submission; extracted from Tables 23, p131; Table 38, p162; Table 43, p174; Table 47, p185; Table t_ef_tte_strunstr_pfsrad1_marzl_297_IT, pp950-951; and t_ef_tte_strunstr_pfsrad1_smll_297_IT, pp952-953 of the 1 September 2014 CSR.   Table t_sl_c_obst_297_IT p160; Table t_ef_tte_strunstr_pfsrad1_297_IT, pp161-162; Table t_sl_c_obst_foly_297_IT, p189 of the 1 May 2015 CSR</w:t>
      </w:r>
      <w:r w:rsidR="000469B2" w:rsidRPr="00F17A66">
        <w:t xml:space="preserve"> and </w:t>
      </w:r>
      <w:r w:rsidR="000469B2" w:rsidRPr="00755D52">
        <w:t>calculated during the evaluation.</w:t>
      </w:r>
    </w:p>
    <w:p w:rsidR="000E3DCE" w:rsidRPr="00F17A66" w:rsidRDefault="000E3DCE" w:rsidP="007E7E00">
      <w:pPr>
        <w:pStyle w:val="TableFooter"/>
        <w:ind w:left="720"/>
      </w:pPr>
      <w:r w:rsidRPr="00F17A66">
        <w:t xml:space="preserve">Benda = </w:t>
      </w:r>
      <w:proofErr w:type="spellStart"/>
      <w:r w:rsidRPr="00F17A66">
        <w:t>bendamustine</w:t>
      </w:r>
      <w:proofErr w:type="spellEnd"/>
      <w:r w:rsidRPr="00F17A66">
        <w:t xml:space="preserve"> monotherapy; CI = Confidence Interval; FL = follicular lymphoma; ITT = intention</w:t>
      </w:r>
      <w:r w:rsidR="00996119" w:rsidRPr="00F17A66">
        <w:t>-</w:t>
      </w:r>
      <w:r w:rsidRPr="00F17A66">
        <w:t>to</w:t>
      </w:r>
      <w:r w:rsidR="00996119" w:rsidRPr="00F17A66">
        <w:t>-</w:t>
      </w:r>
      <w:r w:rsidRPr="00F17A66">
        <w:t xml:space="preserve">treat; N/A = not assessed; NE = not evaluable; O-Benda = </w:t>
      </w:r>
      <w:proofErr w:type="spellStart"/>
      <w:r w:rsidRPr="00F17A66">
        <w:t>obinutuzumab</w:t>
      </w:r>
      <w:proofErr w:type="spellEnd"/>
      <w:r w:rsidRPr="00F17A66">
        <w:t xml:space="preserve"> and </w:t>
      </w:r>
      <w:proofErr w:type="spellStart"/>
      <w:r w:rsidRPr="00F17A66">
        <w:t>bendamustine</w:t>
      </w:r>
      <w:proofErr w:type="spellEnd"/>
      <w:r w:rsidRPr="00F17A66">
        <w:t xml:space="preserve"> combination therapy; PFS = progression-free survival; </w:t>
      </w:r>
      <w:r w:rsidRPr="00F17A66">
        <w:rPr>
          <w:b/>
        </w:rPr>
        <w:t>Bold</w:t>
      </w:r>
      <w:r w:rsidRPr="00F17A66">
        <w:t xml:space="preserve"> = statistically significant</w:t>
      </w:r>
    </w:p>
    <w:p w:rsidR="000E3DCE" w:rsidRPr="00F17A66" w:rsidRDefault="00345CA2" w:rsidP="007E7E00">
      <w:pPr>
        <w:pStyle w:val="TableFooter"/>
        <w:ind w:left="720"/>
      </w:pPr>
      <w:proofErr w:type="spellStart"/>
      <w:proofErr w:type="gramStart"/>
      <w:r w:rsidRPr="00F17A66">
        <w:rPr>
          <w:vertAlign w:val="superscript"/>
        </w:rPr>
        <w:t>a</w:t>
      </w:r>
      <w:proofErr w:type="spellEnd"/>
      <w:proofErr w:type="gramEnd"/>
      <w:r w:rsidR="000E3DCE" w:rsidRPr="00F17A66">
        <w:t xml:space="preserve"> The analysis was stratified for lymphoma subtype, prio</w:t>
      </w:r>
      <w:r w:rsidR="00330B60">
        <w:t>r therapies and refractory type</w:t>
      </w:r>
    </w:p>
    <w:p w:rsidR="002C34C6" w:rsidRPr="00F17A66" w:rsidRDefault="002C34C6" w:rsidP="00222D30">
      <w:pPr>
        <w:pStyle w:val="Header"/>
      </w:pPr>
    </w:p>
    <w:p w:rsidR="00B25BB9" w:rsidRPr="00F17A66" w:rsidRDefault="00B25BB9" w:rsidP="007E7E00">
      <w:pPr>
        <w:pStyle w:val="Tabletext"/>
        <w:keepNext/>
        <w:ind w:left="720"/>
        <w:rPr>
          <w:rStyle w:val="CommentReference"/>
        </w:rPr>
      </w:pPr>
      <w:r w:rsidRPr="00F17A66">
        <w:rPr>
          <w:rStyle w:val="CommentReference"/>
        </w:rPr>
        <w:t>Figure 1: Progression-free survival, follicular lymphoma subgroup – 1 May 2015 cut-off (~24 month follow-up)</w:t>
      </w:r>
    </w:p>
    <w:p w:rsidR="00B25BB9" w:rsidRPr="00F17A66" w:rsidRDefault="00B25BB9" w:rsidP="007E7E00">
      <w:pPr>
        <w:pStyle w:val="Tabletext"/>
        <w:keepNext/>
        <w:ind w:firstLine="709"/>
      </w:pPr>
      <w:r w:rsidRPr="00F17A66">
        <w:rPr>
          <w:noProof/>
          <w:lang w:eastAsia="en-AU"/>
        </w:rPr>
        <w:drawing>
          <wp:inline distT="0" distB="0" distL="0" distR="0" wp14:anchorId="37033B48" wp14:editId="54A972FC">
            <wp:extent cx="5231959" cy="3069863"/>
            <wp:effectExtent l="0" t="0" r="6985" b="0"/>
            <wp:docPr id="8" name="Picture 8" title="Figure 1: Progression-free survival, follicular lymphoma subgroup – 1 May 2015 cut-off (~24 month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960" cy="3090987"/>
                    </a:xfrm>
                    <a:prstGeom prst="rect">
                      <a:avLst/>
                    </a:prstGeom>
                    <a:noFill/>
                  </pic:spPr>
                </pic:pic>
              </a:graphicData>
            </a:graphic>
          </wp:inline>
        </w:drawing>
      </w:r>
    </w:p>
    <w:p w:rsidR="00B25BB9" w:rsidRPr="00F17A66" w:rsidRDefault="00B25BB9" w:rsidP="007E7E00">
      <w:pPr>
        <w:pStyle w:val="TableFooter"/>
        <w:ind w:firstLine="709"/>
      </w:pPr>
      <w:r w:rsidRPr="00F17A66">
        <w:t xml:space="preserve">Source: Figure B.6.1, p29 </w:t>
      </w:r>
      <w:r w:rsidR="00330B60">
        <w:t>of Section B of the submission.</w:t>
      </w:r>
    </w:p>
    <w:p w:rsidR="00B25BB9" w:rsidRDefault="00B25BB9" w:rsidP="007E7E00">
      <w:pPr>
        <w:pStyle w:val="TableFooter"/>
        <w:ind w:firstLine="709"/>
      </w:pPr>
      <w:r w:rsidRPr="00F17A66">
        <w:t xml:space="preserve">B = </w:t>
      </w:r>
      <w:proofErr w:type="spellStart"/>
      <w:r w:rsidRPr="00F17A66">
        <w:t>bendamustine</w:t>
      </w:r>
      <w:proofErr w:type="spellEnd"/>
      <w:r w:rsidRPr="00F17A66">
        <w:t xml:space="preserve">; G-B = </w:t>
      </w:r>
      <w:proofErr w:type="spellStart"/>
      <w:r w:rsidRPr="00F17A66">
        <w:t>obinutuzumab</w:t>
      </w:r>
      <w:proofErr w:type="spellEnd"/>
      <w:r w:rsidRPr="00F17A66">
        <w:t xml:space="preserve"> plus </w:t>
      </w:r>
      <w:proofErr w:type="spellStart"/>
      <w:r w:rsidRPr="00F17A66">
        <w:t>bendamustine</w:t>
      </w:r>
      <w:proofErr w:type="spellEnd"/>
      <w:r w:rsidRPr="00F17A66">
        <w:t xml:space="preserve"> therapy</w:t>
      </w:r>
    </w:p>
    <w:p w:rsidR="00D51758" w:rsidRPr="00F17A66" w:rsidRDefault="00D51758" w:rsidP="00FC5B8C">
      <w:pPr>
        <w:pStyle w:val="TableFooter"/>
      </w:pPr>
    </w:p>
    <w:p w:rsidR="0011789A" w:rsidRPr="00553EC4" w:rsidRDefault="0011789A" w:rsidP="00553EC4">
      <w:pPr>
        <w:pStyle w:val="ListParagraph"/>
        <w:widowControl/>
        <w:numPr>
          <w:ilvl w:val="1"/>
          <w:numId w:val="1"/>
        </w:numPr>
        <w:rPr>
          <w:szCs w:val="22"/>
        </w:rPr>
      </w:pPr>
      <w:r w:rsidRPr="005D5FF8">
        <w:rPr>
          <w:szCs w:val="22"/>
        </w:rPr>
        <w:t xml:space="preserve">The ESC noted that patients in the </w:t>
      </w:r>
      <w:r w:rsidR="00DC1726" w:rsidRPr="005D5FF8">
        <w:rPr>
          <w:szCs w:val="22"/>
        </w:rPr>
        <w:t>follicular lymphoma</w:t>
      </w:r>
      <w:r w:rsidRPr="005D5FF8">
        <w:rPr>
          <w:szCs w:val="22"/>
        </w:rPr>
        <w:t xml:space="preserve"> subgroup were broadly balanced for disease characteristics at baseline between treatment arms</w:t>
      </w:r>
      <w:r w:rsidR="00775F7A" w:rsidRPr="005D5FF8">
        <w:rPr>
          <w:szCs w:val="22"/>
        </w:rPr>
        <w:t xml:space="preserve">, </w:t>
      </w:r>
      <w:r w:rsidRPr="005D5FF8">
        <w:rPr>
          <w:szCs w:val="22"/>
        </w:rPr>
        <w:t xml:space="preserve">with a slight excess of bulky disease and a greater exposure to prior therapy in the </w:t>
      </w:r>
      <w:proofErr w:type="spellStart"/>
      <w:r w:rsidRPr="005D5FF8">
        <w:rPr>
          <w:szCs w:val="22"/>
        </w:rPr>
        <w:t>bendamustine</w:t>
      </w:r>
      <w:proofErr w:type="spellEnd"/>
      <w:r w:rsidRPr="005D5FF8">
        <w:rPr>
          <w:szCs w:val="22"/>
        </w:rPr>
        <w:t xml:space="preserve"> monotherapy </w:t>
      </w:r>
      <w:r w:rsidR="00B40079" w:rsidRPr="005D5FF8">
        <w:rPr>
          <w:szCs w:val="22"/>
        </w:rPr>
        <w:t>control arm</w:t>
      </w:r>
      <w:r w:rsidRPr="005D5FF8">
        <w:rPr>
          <w:szCs w:val="22"/>
        </w:rPr>
        <w:t xml:space="preserve"> relative to</w:t>
      </w:r>
      <w:r w:rsidR="00775F7A" w:rsidRPr="005D5FF8">
        <w:rPr>
          <w:szCs w:val="22"/>
        </w:rPr>
        <w:t xml:space="preserve"> the</w:t>
      </w:r>
      <w:r w:rsidRPr="005D5FF8">
        <w:rPr>
          <w:szCs w:val="22"/>
        </w:rPr>
        <w:t xml:space="preserve"> </w:t>
      </w:r>
      <w:proofErr w:type="spellStart"/>
      <w:r w:rsidR="004D1892" w:rsidRPr="005D5FF8">
        <w:rPr>
          <w:szCs w:val="22"/>
        </w:rPr>
        <w:t>obinutuzumab</w:t>
      </w:r>
      <w:proofErr w:type="spellEnd"/>
      <w:r w:rsidR="004D1892" w:rsidRPr="005D5FF8">
        <w:rPr>
          <w:szCs w:val="22"/>
        </w:rPr>
        <w:t xml:space="preserve"> plus </w:t>
      </w:r>
      <w:proofErr w:type="spellStart"/>
      <w:r w:rsidR="004D1892" w:rsidRPr="005D5FF8">
        <w:rPr>
          <w:szCs w:val="22"/>
        </w:rPr>
        <w:t>bendamustine</w:t>
      </w:r>
      <w:proofErr w:type="spellEnd"/>
      <w:r w:rsidR="00330B60">
        <w:rPr>
          <w:szCs w:val="22"/>
        </w:rPr>
        <w:t xml:space="preserve"> arm.</w:t>
      </w:r>
    </w:p>
    <w:p w:rsidR="0011789A" w:rsidRDefault="0011789A" w:rsidP="0011789A">
      <w:pPr>
        <w:pStyle w:val="ListParagraph"/>
        <w:widowControl/>
        <w:rPr>
          <w:szCs w:val="22"/>
        </w:rPr>
      </w:pPr>
    </w:p>
    <w:p w:rsidR="00755D52" w:rsidRPr="005D5FF8" w:rsidRDefault="00996119" w:rsidP="005D5FF8">
      <w:pPr>
        <w:pStyle w:val="ListParagraph"/>
        <w:widowControl/>
        <w:numPr>
          <w:ilvl w:val="1"/>
          <w:numId w:val="1"/>
        </w:numPr>
        <w:rPr>
          <w:szCs w:val="22"/>
        </w:rPr>
      </w:pPr>
      <w:r w:rsidRPr="00F17A66">
        <w:rPr>
          <w:szCs w:val="22"/>
        </w:rPr>
        <w:t>At the updated analysis (May 2015) the median follow-up was 24.1 months</w:t>
      </w:r>
      <w:r w:rsidR="00D14DF0" w:rsidRPr="00F17A66">
        <w:rPr>
          <w:szCs w:val="22"/>
        </w:rPr>
        <w:t xml:space="preserve"> for </w:t>
      </w:r>
      <w:proofErr w:type="spellStart"/>
      <w:r w:rsidR="00E82DE9" w:rsidRPr="00F17A66">
        <w:rPr>
          <w:szCs w:val="22"/>
        </w:rPr>
        <w:t>obinutuzumab</w:t>
      </w:r>
      <w:proofErr w:type="spellEnd"/>
      <w:r w:rsidR="00D14DF0" w:rsidRPr="00F17A66">
        <w:rPr>
          <w:szCs w:val="22"/>
        </w:rPr>
        <w:t xml:space="preserve"> plus </w:t>
      </w:r>
      <w:proofErr w:type="spellStart"/>
      <w:r w:rsidR="00D14DF0" w:rsidRPr="00F17A66">
        <w:rPr>
          <w:szCs w:val="22"/>
        </w:rPr>
        <w:t>bendamustine</w:t>
      </w:r>
      <w:proofErr w:type="spellEnd"/>
      <w:r w:rsidR="00D14DF0" w:rsidRPr="00F17A66">
        <w:rPr>
          <w:szCs w:val="22"/>
        </w:rPr>
        <w:t xml:space="preserve"> and </w:t>
      </w:r>
      <w:proofErr w:type="spellStart"/>
      <w:r w:rsidR="00D14DF0" w:rsidRPr="00F17A66">
        <w:rPr>
          <w:szCs w:val="22"/>
        </w:rPr>
        <w:t>bendamustine</w:t>
      </w:r>
      <w:proofErr w:type="spellEnd"/>
      <w:r w:rsidR="00D14DF0" w:rsidRPr="00F17A66">
        <w:rPr>
          <w:szCs w:val="22"/>
        </w:rPr>
        <w:t xml:space="preserve"> monotherapy arms</w:t>
      </w:r>
      <w:r w:rsidRPr="00F17A66">
        <w:rPr>
          <w:szCs w:val="22"/>
        </w:rPr>
        <w:t xml:space="preserve">. Progression free survival was improved in both the ITT population and the subgroup of patients with follicular lymphoma. For the subgroup of patients with follicular lymphoma the median </w:t>
      </w:r>
      <w:r w:rsidR="003634EF">
        <w:rPr>
          <w:szCs w:val="22"/>
        </w:rPr>
        <w:t>PFS</w:t>
      </w:r>
      <w:r w:rsidRPr="00F17A66">
        <w:rPr>
          <w:szCs w:val="22"/>
        </w:rPr>
        <w:t xml:space="preserve"> was 29.2 months (95% confidence interval (CI): 20.5 to not estimable) for patients treated with </w:t>
      </w:r>
      <w:proofErr w:type="spellStart"/>
      <w:r w:rsidRPr="00F17A66">
        <w:rPr>
          <w:szCs w:val="22"/>
        </w:rPr>
        <w:t>obinutuzumab</w:t>
      </w:r>
      <w:proofErr w:type="spellEnd"/>
      <w:r w:rsidRPr="00F17A66">
        <w:rPr>
          <w:szCs w:val="22"/>
        </w:rPr>
        <w:t xml:space="preserve"> plus </w:t>
      </w:r>
      <w:proofErr w:type="spellStart"/>
      <w:r w:rsidRPr="00F17A66">
        <w:rPr>
          <w:szCs w:val="22"/>
        </w:rPr>
        <w:t>bendamustine</w:t>
      </w:r>
      <w:proofErr w:type="spellEnd"/>
      <w:r w:rsidRPr="00F17A66">
        <w:rPr>
          <w:szCs w:val="22"/>
        </w:rPr>
        <w:t xml:space="preserve"> and </w:t>
      </w:r>
      <w:r w:rsidR="00017894" w:rsidRPr="00F17A66">
        <w:t xml:space="preserve">13.8 months (95% CI: 11.5 to 15.8) </w:t>
      </w:r>
      <w:r w:rsidRPr="00F17A66">
        <w:t>for patients treated</w:t>
      </w:r>
      <w:r w:rsidRPr="00F17A66">
        <w:rPr>
          <w:szCs w:val="22"/>
        </w:rPr>
        <w:t xml:space="preserve"> with </w:t>
      </w:r>
      <w:proofErr w:type="spellStart"/>
      <w:r w:rsidRPr="00F17A66">
        <w:rPr>
          <w:szCs w:val="22"/>
        </w:rPr>
        <w:t>bendamustine</w:t>
      </w:r>
      <w:proofErr w:type="spellEnd"/>
      <w:r w:rsidRPr="00F17A66">
        <w:rPr>
          <w:szCs w:val="22"/>
        </w:rPr>
        <w:t xml:space="preserve"> monotherapy (hazard ratio (H</w:t>
      </w:r>
      <w:r w:rsidR="00017894" w:rsidRPr="00F17A66">
        <w:rPr>
          <w:szCs w:val="22"/>
        </w:rPr>
        <w:t>R): 0.</w:t>
      </w:r>
      <w:r w:rsidR="00017894" w:rsidRPr="005D5FF8">
        <w:rPr>
          <w:szCs w:val="22"/>
        </w:rPr>
        <w:t>47, 95% CI: 0.34 to 0.64)</w:t>
      </w:r>
      <w:r w:rsidRPr="005D5FF8">
        <w:rPr>
          <w:szCs w:val="22"/>
        </w:rPr>
        <w:t xml:space="preserve">. </w:t>
      </w:r>
      <w:r w:rsidRPr="005D5FF8">
        <w:t xml:space="preserve">From the Kaplan-Meier curves it could be observed that the </w:t>
      </w:r>
      <w:r w:rsidR="003634EF">
        <w:t>PFS</w:t>
      </w:r>
      <w:r w:rsidRPr="005D5FF8">
        <w:t xml:space="preserve"> started diverging after six months, which might be attributed to cessation of </w:t>
      </w:r>
      <w:proofErr w:type="spellStart"/>
      <w:r w:rsidRPr="005D5FF8">
        <w:t>bendamustine</w:t>
      </w:r>
      <w:proofErr w:type="spellEnd"/>
      <w:r w:rsidRPr="005D5FF8">
        <w:t xml:space="preserve"> monotherapy</w:t>
      </w:r>
      <w:r w:rsidR="00932ABE" w:rsidRPr="005D5FF8">
        <w:t>.</w:t>
      </w:r>
      <w:r w:rsidR="003C6AC9" w:rsidRPr="005D5FF8">
        <w:t xml:space="preserve"> </w:t>
      </w:r>
      <w:r w:rsidR="00755D52" w:rsidRPr="005D5FF8">
        <w:rPr>
          <w:szCs w:val="22"/>
        </w:rPr>
        <w:t>The ESC noted that the investigator-assessed PFS, as a secondary outcome, was broadly consistent with the primary analysis with HRs of 0.48 (95% CI 0.35, 0.67; p&lt;0.0001) and 0.47 (95% CI 0.35, 0.64; p&lt;0.0001) for the September 2014 and May 2015 data cuts respectively.</w:t>
      </w:r>
    </w:p>
    <w:p w:rsidR="00755D52" w:rsidRDefault="00755D52" w:rsidP="00755D52">
      <w:pPr>
        <w:pStyle w:val="ListParagraph"/>
      </w:pPr>
    </w:p>
    <w:p w:rsidR="005D2C70" w:rsidRPr="006971E7" w:rsidRDefault="003C6AC9" w:rsidP="0091048B">
      <w:pPr>
        <w:pStyle w:val="ListParagraph"/>
        <w:widowControl/>
        <w:numPr>
          <w:ilvl w:val="1"/>
          <w:numId w:val="1"/>
        </w:numPr>
        <w:rPr>
          <w:szCs w:val="22"/>
        </w:rPr>
      </w:pPr>
      <w:r w:rsidRPr="00470C32">
        <w:t>For the subgroup of patients with non-follicular lymphoma, results were only presented at the</w:t>
      </w:r>
      <w:r w:rsidRPr="00F17A66">
        <w:t xml:space="preserve"> first data cut-off (</w:t>
      </w:r>
      <w:r w:rsidRPr="006971E7">
        <w:rPr>
          <w:szCs w:val="22"/>
        </w:rPr>
        <w:t xml:space="preserve">1 September 2014), which showed that </w:t>
      </w:r>
      <w:r w:rsidR="003634EF" w:rsidRPr="006971E7">
        <w:rPr>
          <w:szCs w:val="22"/>
        </w:rPr>
        <w:t>PFS</w:t>
      </w:r>
      <w:r w:rsidRPr="006971E7">
        <w:rPr>
          <w:szCs w:val="22"/>
        </w:rPr>
        <w:t xml:space="preserve"> was not statistically significantly different between the two treatment groups. However, the number of patients with non-follicular lymphoma</w:t>
      </w:r>
      <w:r w:rsidR="00ED6B45" w:rsidRPr="006971E7">
        <w:rPr>
          <w:szCs w:val="22"/>
        </w:rPr>
        <w:t xml:space="preserve"> was small</w:t>
      </w:r>
      <w:r w:rsidRPr="006971E7">
        <w:rPr>
          <w:szCs w:val="22"/>
        </w:rPr>
        <w:t xml:space="preserve">. </w:t>
      </w:r>
      <w:r w:rsidR="00A808B8" w:rsidRPr="006971E7">
        <w:rPr>
          <w:szCs w:val="22"/>
        </w:rPr>
        <w:t xml:space="preserve">There were only 39 patients in the </w:t>
      </w:r>
      <w:proofErr w:type="spellStart"/>
      <w:r w:rsidR="00A808B8" w:rsidRPr="006971E7">
        <w:rPr>
          <w:szCs w:val="22"/>
        </w:rPr>
        <w:t>obinutuzumab</w:t>
      </w:r>
      <w:proofErr w:type="spellEnd"/>
      <w:r w:rsidR="00A808B8" w:rsidRPr="006971E7">
        <w:rPr>
          <w:szCs w:val="22"/>
        </w:rPr>
        <w:t xml:space="preserve"> plus </w:t>
      </w:r>
      <w:proofErr w:type="spellStart"/>
      <w:r w:rsidR="00A808B8" w:rsidRPr="006971E7">
        <w:rPr>
          <w:szCs w:val="22"/>
        </w:rPr>
        <w:t>bendamustine</w:t>
      </w:r>
      <w:proofErr w:type="spellEnd"/>
      <w:r w:rsidR="00A808B8" w:rsidRPr="006971E7">
        <w:rPr>
          <w:szCs w:val="22"/>
        </w:rPr>
        <w:t xml:space="preserve"> arm and 35 patients in the </w:t>
      </w:r>
      <w:proofErr w:type="spellStart"/>
      <w:r w:rsidR="00A808B8" w:rsidRPr="006971E7">
        <w:rPr>
          <w:szCs w:val="22"/>
        </w:rPr>
        <w:t>bendamustine</w:t>
      </w:r>
      <w:proofErr w:type="spellEnd"/>
      <w:r w:rsidR="00A808B8" w:rsidRPr="006971E7">
        <w:rPr>
          <w:szCs w:val="22"/>
        </w:rPr>
        <w:t xml:space="preserve"> monotherapy arm in the non-follicular lymphoma subgroup; the median PFS was not reached in either arm.</w:t>
      </w:r>
      <w:r w:rsidR="005F7BBC" w:rsidRPr="006971E7">
        <w:rPr>
          <w:szCs w:val="22"/>
        </w:rPr>
        <w:t xml:space="preserve"> T</w:t>
      </w:r>
      <w:r w:rsidR="003634EF" w:rsidRPr="006971E7">
        <w:rPr>
          <w:szCs w:val="22"/>
        </w:rPr>
        <w:t>he submission did not present t</w:t>
      </w:r>
      <w:r w:rsidR="005F7BBC" w:rsidRPr="006971E7">
        <w:rPr>
          <w:szCs w:val="22"/>
        </w:rPr>
        <w:t>ests for interaction across the subgroups</w:t>
      </w:r>
      <w:r w:rsidR="003634EF" w:rsidRPr="006971E7">
        <w:rPr>
          <w:szCs w:val="22"/>
        </w:rPr>
        <w:t xml:space="preserve"> or provide </w:t>
      </w:r>
      <w:r w:rsidR="006971E7" w:rsidRPr="006971E7">
        <w:rPr>
          <w:szCs w:val="22"/>
        </w:rPr>
        <w:t xml:space="preserve">a </w:t>
      </w:r>
      <w:r w:rsidR="005F7BBC" w:rsidRPr="006971E7">
        <w:rPr>
          <w:szCs w:val="22"/>
        </w:rPr>
        <w:t xml:space="preserve">rationale </w:t>
      </w:r>
      <w:r w:rsidR="006971E7" w:rsidRPr="006971E7">
        <w:rPr>
          <w:szCs w:val="22"/>
        </w:rPr>
        <w:t xml:space="preserve">for a difference in treatment effect between </w:t>
      </w:r>
      <w:r w:rsidR="005F7BBC" w:rsidRPr="006971E7">
        <w:rPr>
          <w:szCs w:val="22"/>
        </w:rPr>
        <w:t>the non-follicular and follicular lymphoma subgroups.</w:t>
      </w:r>
      <w:r w:rsidR="005D2C70" w:rsidRPr="006971E7">
        <w:rPr>
          <w:szCs w:val="22"/>
        </w:rPr>
        <w:t xml:space="preserve"> </w:t>
      </w:r>
      <w:r w:rsidR="0090285D">
        <w:rPr>
          <w:szCs w:val="22"/>
        </w:rPr>
        <w:t>The P</w:t>
      </w:r>
      <w:r w:rsidR="0091048B">
        <w:rPr>
          <w:szCs w:val="22"/>
        </w:rPr>
        <w:t xml:space="preserve">re-PBAC </w:t>
      </w:r>
      <w:r w:rsidR="0015696F">
        <w:rPr>
          <w:szCs w:val="22"/>
        </w:rPr>
        <w:t xml:space="preserve">response (p2) </w:t>
      </w:r>
      <w:r w:rsidR="0091048B">
        <w:rPr>
          <w:szCs w:val="22"/>
        </w:rPr>
        <w:t>stated that</w:t>
      </w:r>
      <w:r w:rsidR="0091048B" w:rsidRPr="0091048B">
        <w:rPr>
          <w:szCs w:val="22"/>
        </w:rPr>
        <w:t xml:space="preserve"> the </w:t>
      </w:r>
      <w:proofErr w:type="spellStart"/>
      <w:r w:rsidR="0091048B" w:rsidRPr="0091048B">
        <w:rPr>
          <w:szCs w:val="22"/>
        </w:rPr>
        <w:t>unstratified</w:t>
      </w:r>
      <w:proofErr w:type="spellEnd"/>
      <w:r w:rsidR="0091048B" w:rsidRPr="0091048B">
        <w:rPr>
          <w:szCs w:val="22"/>
        </w:rPr>
        <w:t xml:space="preserve"> HR for independently-asses</w:t>
      </w:r>
      <w:r w:rsidR="0091048B">
        <w:rPr>
          <w:szCs w:val="22"/>
        </w:rPr>
        <w:t xml:space="preserve">sed PFS was 1.02 (95% CI: 0.53 to </w:t>
      </w:r>
      <w:r w:rsidR="0091048B" w:rsidRPr="0091048B">
        <w:rPr>
          <w:szCs w:val="22"/>
        </w:rPr>
        <w:t>1.96)</w:t>
      </w:r>
      <w:r w:rsidR="00AF6CE8">
        <w:rPr>
          <w:szCs w:val="22"/>
        </w:rPr>
        <w:t xml:space="preserve"> in the </w:t>
      </w:r>
      <w:r w:rsidR="00AF6CE8" w:rsidRPr="0091048B">
        <w:rPr>
          <w:szCs w:val="22"/>
        </w:rPr>
        <w:t>non-</w:t>
      </w:r>
      <w:r w:rsidR="00D40EFA">
        <w:rPr>
          <w:szCs w:val="22"/>
        </w:rPr>
        <w:t>follicular lymphoma</w:t>
      </w:r>
      <w:r w:rsidR="00AF6CE8" w:rsidRPr="0091048B">
        <w:rPr>
          <w:szCs w:val="22"/>
        </w:rPr>
        <w:t xml:space="preserve"> subgroup</w:t>
      </w:r>
      <w:r w:rsidR="0091048B" w:rsidRPr="0091048B">
        <w:rPr>
          <w:szCs w:val="22"/>
        </w:rPr>
        <w:t xml:space="preserve"> versus </w:t>
      </w:r>
      <w:r w:rsidR="0091048B">
        <w:rPr>
          <w:szCs w:val="22"/>
        </w:rPr>
        <w:t xml:space="preserve">0.48 (95% CI: 0.35 to </w:t>
      </w:r>
      <w:r w:rsidR="00D40EFA">
        <w:rPr>
          <w:szCs w:val="22"/>
        </w:rPr>
        <w:t>0.65) in the follicular lymphoma</w:t>
      </w:r>
      <w:r w:rsidR="0091048B" w:rsidRPr="0091048B">
        <w:rPr>
          <w:szCs w:val="22"/>
        </w:rPr>
        <w:t xml:space="preserve"> subgroup (test for interaction p-value=0.05; 1 May 2015 clinical cut</w:t>
      </w:r>
      <w:r w:rsidR="00D40EFA">
        <w:rPr>
          <w:szCs w:val="22"/>
        </w:rPr>
        <w:t>-</w:t>
      </w:r>
      <w:r w:rsidR="0091048B" w:rsidRPr="0091048B">
        <w:rPr>
          <w:szCs w:val="22"/>
        </w:rPr>
        <w:t>off)</w:t>
      </w:r>
      <w:r w:rsidR="00330B60">
        <w:rPr>
          <w:szCs w:val="22"/>
        </w:rPr>
        <w:t>.</w:t>
      </w:r>
    </w:p>
    <w:p w:rsidR="005D2C70" w:rsidRPr="005D2C70" w:rsidRDefault="005D2C70" w:rsidP="005D2C70">
      <w:pPr>
        <w:pStyle w:val="ListParagraph"/>
        <w:rPr>
          <w:szCs w:val="22"/>
        </w:rPr>
      </w:pPr>
    </w:p>
    <w:p w:rsidR="003C6AC9" w:rsidRPr="005D5FF8" w:rsidRDefault="005D2C70" w:rsidP="005D5FF8">
      <w:pPr>
        <w:pStyle w:val="ListParagraph"/>
        <w:widowControl/>
        <w:numPr>
          <w:ilvl w:val="1"/>
          <w:numId w:val="1"/>
        </w:numPr>
        <w:rPr>
          <w:szCs w:val="22"/>
        </w:rPr>
      </w:pPr>
      <w:r w:rsidRPr="00553EC4">
        <w:rPr>
          <w:szCs w:val="22"/>
        </w:rPr>
        <w:t xml:space="preserve">The PBAC </w:t>
      </w:r>
      <w:r w:rsidR="006971E7">
        <w:rPr>
          <w:szCs w:val="22"/>
        </w:rPr>
        <w:t>noted</w:t>
      </w:r>
      <w:r w:rsidRPr="00553EC4">
        <w:rPr>
          <w:szCs w:val="22"/>
        </w:rPr>
        <w:t xml:space="preserve"> that the follicular lymphoma subgroup was pre-specified</w:t>
      </w:r>
      <w:r w:rsidR="006971E7">
        <w:rPr>
          <w:szCs w:val="22"/>
        </w:rPr>
        <w:t xml:space="preserve"> in the trial protocol</w:t>
      </w:r>
      <w:r w:rsidRPr="00553EC4">
        <w:rPr>
          <w:szCs w:val="22"/>
        </w:rPr>
        <w:t xml:space="preserve"> and</w:t>
      </w:r>
      <w:r w:rsidR="006971E7">
        <w:rPr>
          <w:szCs w:val="22"/>
        </w:rPr>
        <w:t xml:space="preserve"> </w:t>
      </w:r>
      <w:r w:rsidRPr="00553EC4">
        <w:rPr>
          <w:szCs w:val="22"/>
        </w:rPr>
        <w:t xml:space="preserve">represented the </w:t>
      </w:r>
      <w:r w:rsidR="006971E7">
        <w:rPr>
          <w:szCs w:val="22"/>
        </w:rPr>
        <w:t>majority (81%) of the ITT population</w:t>
      </w:r>
      <w:r w:rsidRPr="00553EC4">
        <w:rPr>
          <w:szCs w:val="22"/>
        </w:rPr>
        <w:t>.</w:t>
      </w:r>
    </w:p>
    <w:p w:rsidR="00E30335" w:rsidRPr="005D5FF8" w:rsidRDefault="00E30335" w:rsidP="00755D52">
      <w:pPr>
        <w:pStyle w:val="PBACHeading1"/>
        <w:numPr>
          <w:ilvl w:val="0"/>
          <w:numId w:val="0"/>
        </w:numPr>
        <w:ind w:left="720" w:hanging="720"/>
        <w:outlineLvl w:val="9"/>
      </w:pPr>
    </w:p>
    <w:p w:rsidR="00661167" w:rsidRPr="005D5FF8" w:rsidRDefault="00E30335" w:rsidP="005D5FF8">
      <w:pPr>
        <w:pStyle w:val="ListParagraph"/>
        <w:widowControl/>
        <w:numPr>
          <w:ilvl w:val="1"/>
          <w:numId w:val="1"/>
        </w:numPr>
        <w:rPr>
          <w:szCs w:val="22"/>
        </w:rPr>
      </w:pPr>
      <w:r w:rsidRPr="005D5FF8">
        <w:rPr>
          <w:szCs w:val="22"/>
        </w:rPr>
        <w:t xml:space="preserve">A fixed sequence testing procedure was used to adjust for multiple statistical testing of the primary and key secondary efficacy endpoints for the primary </w:t>
      </w:r>
      <w:r w:rsidR="006E5D42" w:rsidRPr="005D5FF8">
        <w:rPr>
          <w:szCs w:val="22"/>
        </w:rPr>
        <w:t xml:space="preserve">analysis at the </w:t>
      </w:r>
      <w:r w:rsidR="001E2B7B">
        <w:rPr>
          <w:szCs w:val="22"/>
        </w:rPr>
        <w:t>1 </w:t>
      </w:r>
      <w:r w:rsidR="006E5D42" w:rsidRPr="005D5FF8">
        <w:rPr>
          <w:szCs w:val="22"/>
        </w:rPr>
        <w:t>September 2014 data cut</w:t>
      </w:r>
      <w:r w:rsidR="00314306" w:rsidRPr="005D5FF8">
        <w:rPr>
          <w:szCs w:val="22"/>
        </w:rPr>
        <w:t>-</w:t>
      </w:r>
      <w:r w:rsidR="006E5D42" w:rsidRPr="005D5FF8">
        <w:rPr>
          <w:szCs w:val="22"/>
        </w:rPr>
        <w:t>off</w:t>
      </w:r>
      <w:r w:rsidRPr="005D5FF8">
        <w:rPr>
          <w:szCs w:val="22"/>
        </w:rPr>
        <w:t>.</w:t>
      </w:r>
      <w:r w:rsidR="00005F41" w:rsidRPr="005D5FF8">
        <w:rPr>
          <w:szCs w:val="22"/>
        </w:rPr>
        <w:t xml:space="preserve"> Analyses for the May 2015 cut-off</w:t>
      </w:r>
      <w:r w:rsidR="005F7BBC" w:rsidRPr="005D5FF8">
        <w:rPr>
          <w:szCs w:val="22"/>
        </w:rPr>
        <w:t xml:space="preserve"> were not adjusted for multiple statistical testing.</w:t>
      </w:r>
    </w:p>
    <w:p w:rsidR="00212306" w:rsidRPr="00F17A66" w:rsidRDefault="00212306" w:rsidP="00DE61AC">
      <w:pPr>
        <w:ind w:left="709"/>
        <w:rPr>
          <w:i/>
        </w:rPr>
      </w:pPr>
    </w:p>
    <w:p w:rsidR="00212306" w:rsidRPr="00F17A66" w:rsidRDefault="00CE074D" w:rsidP="005D5FF8">
      <w:pPr>
        <w:pStyle w:val="ListParagraph"/>
        <w:widowControl/>
        <w:numPr>
          <w:ilvl w:val="1"/>
          <w:numId w:val="1"/>
        </w:numPr>
        <w:rPr>
          <w:szCs w:val="22"/>
        </w:rPr>
      </w:pPr>
      <w:r w:rsidRPr="00F17A66">
        <w:rPr>
          <w:szCs w:val="22"/>
        </w:rPr>
        <w:t xml:space="preserve">The overall survival </w:t>
      </w:r>
      <w:r w:rsidR="003634EF">
        <w:rPr>
          <w:szCs w:val="22"/>
        </w:rPr>
        <w:t xml:space="preserve">(OS) </w:t>
      </w:r>
      <w:r w:rsidRPr="00F17A66">
        <w:rPr>
          <w:szCs w:val="22"/>
        </w:rPr>
        <w:t>in the ITT population and the follicular lymphoma subgroup</w:t>
      </w:r>
      <w:r w:rsidR="006971E7">
        <w:rPr>
          <w:szCs w:val="22"/>
        </w:rPr>
        <w:t xml:space="preserve"> is presented in Table 4</w:t>
      </w:r>
      <w:r w:rsidRPr="00F17A66">
        <w:rPr>
          <w:szCs w:val="22"/>
        </w:rPr>
        <w:t>.</w:t>
      </w:r>
      <w:r w:rsidR="00C91DCB" w:rsidRPr="00F17A66">
        <w:rPr>
          <w:szCs w:val="22"/>
        </w:rPr>
        <w:t xml:space="preserve"> </w:t>
      </w:r>
      <w:r w:rsidR="00D81A80">
        <w:rPr>
          <w:szCs w:val="22"/>
        </w:rPr>
        <w:t xml:space="preserve">The Kaplan-Meier curves for OS in </w:t>
      </w:r>
      <w:r w:rsidR="00212306" w:rsidRPr="00F17A66">
        <w:rPr>
          <w:szCs w:val="22"/>
        </w:rPr>
        <w:t xml:space="preserve">the </w:t>
      </w:r>
      <w:proofErr w:type="spellStart"/>
      <w:r w:rsidR="00C2602C" w:rsidRPr="00F17A66">
        <w:rPr>
          <w:szCs w:val="22"/>
        </w:rPr>
        <w:t>obinutuzumab</w:t>
      </w:r>
      <w:proofErr w:type="spellEnd"/>
      <w:r w:rsidR="00C2602C" w:rsidRPr="00F17A66">
        <w:rPr>
          <w:szCs w:val="22"/>
        </w:rPr>
        <w:t xml:space="preserve"> plus </w:t>
      </w:r>
      <w:proofErr w:type="spellStart"/>
      <w:r w:rsidR="00C2602C" w:rsidRPr="00F17A66">
        <w:rPr>
          <w:szCs w:val="22"/>
        </w:rPr>
        <w:t>bendamustine</w:t>
      </w:r>
      <w:proofErr w:type="spellEnd"/>
      <w:r w:rsidR="00212306" w:rsidRPr="00F17A66">
        <w:rPr>
          <w:szCs w:val="22"/>
        </w:rPr>
        <w:t xml:space="preserve"> </w:t>
      </w:r>
      <w:r w:rsidR="00D81A80">
        <w:rPr>
          <w:szCs w:val="22"/>
        </w:rPr>
        <w:t>and</w:t>
      </w:r>
      <w:r w:rsidR="00212306" w:rsidRPr="00F17A66">
        <w:rPr>
          <w:szCs w:val="22"/>
        </w:rPr>
        <w:t xml:space="preserve"> </w:t>
      </w:r>
      <w:proofErr w:type="spellStart"/>
      <w:r w:rsidR="00212306" w:rsidRPr="00F17A66">
        <w:rPr>
          <w:szCs w:val="22"/>
        </w:rPr>
        <w:t>bendamustine</w:t>
      </w:r>
      <w:proofErr w:type="spellEnd"/>
      <w:r w:rsidR="00212306" w:rsidRPr="00F17A66">
        <w:rPr>
          <w:szCs w:val="22"/>
        </w:rPr>
        <w:t xml:space="preserve"> monotherapy arm</w:t>
      </w:r>
      <w:r w:rsidR="00D81A80">
        <w:rPr>
          <w:szCs w:val="22"/>
        </w:rPr>
        <w:t>s are presented in Figure 2</w:t>
      </w:r>
      <w:r w:rsidR="00212306" w:rsidRPr="00F17A66">
        <w:rPr>
          <w:szCs w:val="22"/>
        </w:rPr>
        <w:t>.</w:t>
      </w:r>
    </w:p>
    <w:p w:rsidR="00F63DB3" w:rsidRPr="00F17A66" w:rsidRDefault="00F63DB3" w:rsidP="00212306">
      <w:pPr>
        <w:ind w:left="709"/>
      </w:pPr>
    </w:p>
    <w:p w:rsidR="001E2B7B" w:rsidRDefault="001E2B7B">
      <w:pPr>
        <w:widowControl/>
        <w:jc w:val="left"/>
        <w:rPr>
          <w:rStyle w:val="CommentReference"/>
        </w:rPr>
      </w:pPr>
      <w:r>
        <w:rPr>
          <w:rStyle w:val="CommentReference"/>
        </w:rPr>
        <w:br w:type="page"/>
      </w:r>
    </w:p>
    <w:p w:rsidR="00212306" w:rsidRPr="00F17A66" w:rsidRDefault="00212306" w:rsidP="001E2B7B">
      <w:pPr>
        <w:ind w:firstLine="720"/>
        <w:rPr>
          <w:rStyle w:val="CommentReference"/>
        </w:rPr>
      </w:pPr>
      <w:r w:rsidRPr="00F17A66">
        <w:rPr>
          <w:rStyle w:val="CommentReference"/>
        </w:rPr>
        <w:lastRenderedPageBreak/>
        <w:t xml:space="preserve">Table </w:t>
      </w:r>
      <w:r w:rsidR="00CE074D" w:rsidRPr="00F17A66">
        <w:rPr>
          <w:rStyle w:val="CommentReference"/>
        </w:rPr>
        <w:t>4</w:t>
      </w:r>
      <w:r w:rsidRPr="00F17A66">
        <w:rPr>
          <w:rStyle w:val="CommentReference"/>
        </w:rPr>
        <w:t>: Results of overall survival for patients in the GADOLIN trial (1 May 2015 cut-off)</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5"/>
        <w:gridCol w:w="1460"/>
        <w:gridCol w:w="1460"/>
        <w:gridCol w:w="1460"/>
        <w:gridCol w:w="1460"/>
      </w:tblGrid>
      <w:tr w:rsidR="00CE074D" w:rsidRPr="009129AC" w:rsidTr="001E2B7B">
        <w:trPr>
          <w:trHeight w:val="20"/>
          <w:tblHeader/>
        </w:trPr>
        <w:tc>
          <w:tcPr>
            <w:tcW w:w="1500" w:type="pct"/>
            <w:tcBorders>
              <w:bottom w:val="single" w:sz="4" w:space="0" w:color="auto"/>
            </w:tcBorders>
            <w:vAlign w:val="center"/>
          </w:tcPr>
          <w:p w:rsidR="00996119" w:rsidRPr="009129AC" w:rsidRDefault="00996119" w:rsidP="00F2617F">
            <w:pPr>
              <w:jc w:val="left"/>
              <w:rPr>
                <w:rFonts w:ascii="Arial Narrow" w:hAnsi="Arial Narrow"/>
                <w:sz w:val="20"/>
              </w:rPr>
            </w:pPr>
            <w:r w:rsidRPr="009129AC">
              <w:rPr>
                <w:rFonts w:ascii="Arial Narrow" w:hAnsi="Arial Narrow"/>
                <w:b/>
                <w:sz w:val="20"/>
              </w:rPr>
              <w:t xml:space="preserve">GADOLIN </w:t>
            </w:r>
          </w:p>
        </w:tc>
        <w:tc>
          <w:tcPr>
            <w:tcW w:w="1750" w:type="pct"/>
            <w:gridSpan w:val="2"/>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b/>
                <w:sz w:val="20"/>
              </w:rPr>
              <w:t>ITT</w:t>
            </w:r>
          </w:p>
        </w:tc>
        <w:tc>
          <w:tcPr>
            <w:tcW w:w="1751" w:type="pct"/>
            <w:gridSpan w:val="2"/>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b/>
                <w:sz w:val="20"/>
              </w:rPr>
              <w:t>FL-subgroup</w:t>
            </w:r>
          </w:p>
        </w:tc>
      </w:tr>
      <w:tr w:rsidR="00CE074D" w:rsidRPr="009129AC" w:rsidTr="001E2B7B">
        <w:trPr>
          <w:trHeight w:val="20"/>
          <w:tblHeader/>
        </w:trPr>
        <w:tc>
          <w:tcPr>
            <w:tcW w:w="1500" w:type="pct"/>
            <w:tcBorders>
              <w:bottom w:val="nil"/>
            </w:tcBorders>
            <w:vAlign w:val="center"/>
          </w:tcPr>
          <w:p w:rsidR="00996119" w:rsidRPr="009129AC" w:rsidRDefault="00996119" w:rsidP="00F2617F">
            <w:pPr>
              <w:jc w:val="left"/>
              <w:rPr>
                <w:rFonts w:ascii="Arial Narrow" w:hAnsi="Arial Narrow"/>
                <w:b/>
                <w:sz w:val="20"/>
              </w:rPr>
            </w:pPr>
          </w:p>
        </w:tc>
        <w:tc>
          <w:tcPr>
            <w:tcW w:w="875" w:type="pct"/>
            <w:tcBorders>
              <w:bottom w:val="nil"/>
            </w:tcBorders>
            <w:vAlign w:val="center"/>
          </w:tcPr>
          <w:p w:rsidR="00996119" w:rsidRPr="009129AC" w:rsidRDefault="00996119" w:rsidP="00F2617F">
            <w:pPr>
              <w:jc w:val="center"/>
              <w:rPr>
                <w:rFonts w:ascii="Arial Narrow" w:hAnsi="Arial Narrow"/>
                <w:b/>
                <w:sz w:val="20"/>
              </w:rPr>
            </w:pPr>
            <w:r w:rsidRPr="009129AC">
              <w:rPr>
                <w:rFonts w:ascii="Arial Narrow" w:hAnsi="Arial Narrow"/>
                <w:b/>
                <w:sz w:val="20"/>
              </w:rPr>
              <w:t>O-Benda</w:t>
            </w:r>
          </w:p>
        </w:tc>
        <w:tc>
          <w:tcPr>
            <w:tcW w:w="875" w:type="pct"/>
            <w:tcBorders>
              <w:bottom w:val="nil"/>
            </w:tcBorders>
            <w:vAlign w:val="center"/>
          </w:tcPr>
          <w:p w:rsidR="00996119" w:rsidRPr="009129AC" w:rsidRDefault="00996119" w:rsidP="00F2617F">
            <w:pPr>
              <w:jc w:val="center"/>
              <w:rPr>
                <w:rFonts w:ascii="Arial Narrow" w:hAnsi="Arial Narrow"/>
                <w:b/>
                <w:sz w:val="20"/>
              </w:rPr>
            </w:pPr>
            <w:r w:rsidRPr="009129AC">
              <w:rPr>
                <w:rFonts w:ascii="Arial Narrow" w:hAnsi="Arial Narrow"/>
                <w:b/>
                <w:sz w:val="20"/>
              </w:rPr>
              <w:t>Benda</w:t>
            </w:r>
          </w:p>
        </w:tc>
        <w:tc>
          <w:tcPr>
            <w:tcW w:w="875" w:type="pct"/>
            <w:tcBorders>
              <w:bottom w:val="nil"/>
            </w:tcBorders>
            <w:vAlign w:val="center"/>
          </w:tcPr>
          <w:p w:rsidR="00996119" w:rsidRPr="009129AC" w:rsidRDefault="00996119" w:rsidP="00F2617F">
            <w:pPr>
              <w:jc w:val="center"/>
              <w:rPr>
                <w:rFonts w:ascii="Arial Narrow" w:hAnsi="Arial Narrow"/>
                <w:b/>
                <w:sz w:val="20"/>
              </w:rPr>
            </w:pPr>
            <w:r w:rsidRPr="009129AC">
              <w:rPr>
                <w:rFonts w:ascii="Arial Narrow" w:hAnsi="Arial Narrow"/>
                <w:b/>
                <w:sz w:val="20"/>
              </w:rPr>
              <w:t>O-Benda</w:t>
            </w:r>
          </w:p>
        </w:tc>
        <w:tc>
          <w:tcPr>
            <w:tcW w:w="875" w:type="pct"/>
            <w:tcBorders>
              <w:bottom w:val="nil"/>
            </w:tcBorders>
            <w:vAlign w:val="center"/>
          </w:tcPr>
          <w:p w:rsidR="00996119" w:rsidRPr="009129AC" w:rsidRDefault="00996119" w:rsidP="00F2617F">
            <w:pPr>
              <w:jc w:val="center"/>
              <w:rPr>
                <w:rFonts w:ascii="Arial Narrow" w:hAnsi="Arial Narrow"/>
                <w:b/>
                <w:sz w:val="20"/>
              </w:rPr>
            </w:pPr>
            <w:r w:rsidRPr="009129AC">
              <w:rPr>
                <w:rFonts w:ascii="Arial Narrow" w:hAnsi="Arial Narrow"/>
                <w:b/>
                <w:sz w:val="20"/>
              </w:rPr>
              <w:t>Benda</w:t>
            </w:r>
          </w:p>
        </w:tc>
      </w:tr>
      <w:tr w:rsidR="00996119" w:rsidRPr="009129AC" w:rsidTr="001E2B7B">
        <w:trPr>
          <w:trHeight w:val="20"/>
        </w:trPr>
        <w:tc>
          <w:tcPr>
            <w:tcW w:w="5000" w:type="pct"/>
            <w:gridSpan w:val="5"/>
            <w:vAlign w:val="center"/>
          </w:tcPr>
          <w:p w:rsidR="00996119" w:rsidRPr="009129AC" w:rsidRDefault="00996119" w:rsidP="00F2617F">
            <w:pPr>
              <w:jc w:val="left"/>
              <w:rPr>
                <w:rFonts w:ascii="Arial Narrow" w:hAnsi="Arial Narrow"/>
                <w:sz w:val="20"/>
              </w:rPr>
            </w:pPr>
            <w:r w:rsidRPr="009129AC">
              <w:rPr>
                <w:rFonts w:ascii="Arial Narrow" w:hAnsi="Arial Narrow"/>
                <w:b/>
                <w:sz w:val="20"/>
              </w:rPr>
              <w:t>1 September 2014 cut-off</w:t>
            </w:r>
          </w:p>
        </w:tc>
      </w:tr>
      <w:tr w:rsidR="00CE074D" w:rsidRPr="009129AC" w:rsidTr="001E2B7B">
        <w:trPr>
          <w:trHeight w:val="20"/>
        </w:trPr>
        <w:tc>
          <w:tcPr>
            <w:tcW w:w="1500" w:type="pct"/>
            <w:vAlign w:val="center"/>
          </w:tcPr>
          <w:p w:rsidR="00996119" w:rsidRPr="009129AC" w:rsidRDefault="00996119" w:rsidP="00F2617F">
            <w:pPr>
              <w:jc w:val="left"/>
              <w:rPr>
                <w:rFonts w:ascii="Arial Narrow" w:hAnsi="Arial Narrow"/>
                <w:sz w:val="20"/>
              </w:rPr>
            </w:pPr>
            <w:r w:rsidRPr="009129AC">
              <w:rPr>
                <w:rFonts w:ascii="Arial Narrow" w:hAnsi="Arial Narrow"/>
                <w:sz w:val="20"/>
              </w:rPr>
              <w:t>N</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194</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202</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155</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166</w:t>
            </w:r>
          </w:p>
        </w:tc>
      </w:tr>
      <w:tr w:rsidR="00CE074D" w:rsidRPr="009129AC" w:rsidTr="001E2B7B">
        <w:trPr>
          <w:trHeight w:val="20"/>
        </w:trPr>
        <w:tc>
          <w:tcPr>
            <w:tcW w:w="1500" w:type="pct"/>
            <w:vAlign w:val="center"/>
          </w:tcPr>
          <w:p w:rsidR="00996119" w:rsidRPr="009129AC" w:rsidRDefault="00996119" w:rsidP="00F2617F">
            <w:pPr>
              <w:jc w:val="left"/>
              <w:rPr>
                <w:rFonts w:ascii="Arial Narrow" w:hAnsi="Arial Narrow"/>
                <w:sz w:val="20"/>
              </w:rPr>
            </w:pPr>
            <w:r w:rsidRPr="009129AC">
              <w:rPr>
                <w:rFonts w:ascii="Arial Narrow" w:hAnsi="Arial Narrow"/>
                <w:sz w:val="20"/>
              </w:rPr>
              <w:t>Median duration of follow-up (months)</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21.9</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20.3</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N/A</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N/A</w:t>
            </w:r>
          </w:p>
        </w:tc>
      </w:tr>
      <w:tr w:rsidR="00CE074D" w:rsidRPr="009129AC" w:rsidTr="001E2B7B">
        <w:trPr>
          <w:trHeight w:val="20"/>
        </w:trPr>
        <w:tc>
          <w:tcPr>
            <w:tcW w:w="1500" w:type="pct"/>
            <w:vAlign w:val="center"/>
          </w:tcPr>
          <w:p w:rsidR="00996119" w:rsidRPr="009129AC" w:rsidRDefault="00330B60" w:rsidP="00462BD0">
            <w:pPr>
              <w:ind w:left="109" w:right="-108" w:hanging="109"/>
              <w:jc w:val="left"/>
              <w:rPr>
                <w:rFonts w:ascii="Arial Narrow" w:hAnsi="Arial Narrow"/>
                <w:sz w:val="20"/>
              </w:rPr>
            </w:pPr>
            <w:r>
              <w:rPr>
                <w:rFonts w:ascii="Arial Narrow" w:hAnsi="Arial Narrow"/>
                <w:sz w:val="20"/>
              </w:rPr>
              <w:t>Deaths, n (%)</w:t>
            </w:r>
          </w:p>
          <w:p w:rsidR="00996119" w:rsidRPr="009129AC" w:rsidRDefault="00996119" w:rsidP="00F2617F">
            <w:pPr>
              <w:ind w:left="109" w:right="-108" w:hanging="109"/>
              <w:jc w:val="left"/>
              <w:rPr>
                <w:rFonts w:ascii="Arial Narrow" w:hAnsi="Arial Narrow"/>
                <w:sz w:val="20"/>
              </w:rPr>
            </w:pPr>
            <w:r w:rsidRPr="009129AC">
              <w:rPr>
                <w:rFonts w:ascii="Arial Narrow" w:hAnsi="Arial Narrow"/>
                <w:sz w:val="20"/>
              </w:rPr>
              <w:t xml:space="preserve">Censored, n (%) </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34 (17.5%)</w:t>
            </w:r>
          </w:p>
          <w:p w:rsidR="00996119" w:rsidRPr="009129AC" w:rsidRDefault="00996119" w:rsidP="00F2617F">
            <w:pPr>
              <w:jc w:val="center"/>
              <w:rPr>
                <w:rFonts w:ascii="Arial Narrow" w:hAnsi="Arial Narrow"/>
                <w:sz w:val="20"/>
              </w:rPr>
            </w:pPr>
            <w:r w:rsidRPr="009129AC">
              <w:rPr>
                <w:rFonts w:ascii="Arial Narrow" w:hAnsi="Arial Narrow"/>
                <w:sz w:val="20"/>
              </w:rPr>
              <w:t>160 (82.5%)</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41 (20.3%)</w:t>
            </w:r>
          </w:p>
          <w:p w:rsidR="00996119" w:rsidRPr="009129AC" w:rsidRDefault="00996119" w:rsidP="00F2617F">
            <w:pPr>
              <w:jc w:val="center"/>
              <w:rPr>
                <w:rFonts w:ascii="Arial Narrow" w:hAnsi="Arial Narrow"/>
                <w:sz w:val="20"/>
              </w:rPr>
            </w:pPr>
            <w:r w:rsidRPr="009129AC">
              <w:rPr>
                <w:rFonts w:ascii="Arial Narrow" w:hAnsi="Arial Narrow"/>
                <w:sz w:val="20"/>
              </w:rPr>
              <w:t>161 (79.7%)</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25 (16.1%)</w:t>
            </w:r>
          </w:p>
          <w:p w:rsidR="00996119" w:rsidRPr="009129AC" w:rsidRDefault="00996119" w:rsidP="00F2617F">
            <w:pPr>
              <w:jc w:val="center"/>
              <w:rPr>
                <w:rFonts w:ascii="Arial Narrow" w:hAnsi="Arial Narrow"/>
                <w:sz w:val="20"/>
              </w:rPr>
            </w:pPr>
            <w:r w:rsidRPr="009129AC">
              <w:rPr>
                <w:rFonts w:ascii="Arial Narrow" w:hAnsi="Arial Narrow"/>
                <w:sz w:val="20"/>
              </w:rPr>
              <w:t>130 (83.9%)</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36 (21.7%)</w:t>
            </w:r>
          </w:p>
          <w:p w:rsidR="00996119" w:rsidRPr="009129AC" w:rsidRDefault="00996119" w:rsidP="00F2617F">
            <w:pPr>
              <w:jc w:val="center"/>
              <w:rPr>
                <w:rFonts w:ascii="Arial Narrow" w:hAnsi="Arial Narrow"/>
                <w:sz w:val="20"/>
              </w:rPr>
            </w:pPr>
            <w:r w:rsidRPr="009129AC">
              <w:rPr>
                <w:rFonts w:ascii="Arial Narrow" w:hAnsi="Arial Narrow"/>
                <w:sz w:val="20"/>
              </w:rPr>
              <w:t>130 (78.3%)</w:t>
            </w:r>
          </w:p>
        </w:tc>
      </w:tr>
      <w:tr w:rsidR="00CE074D" w:rsidRPr="009129AC" w:rsidTr="001E2B7B">
        <w:trPr>
          <w:trHeight w:val="20"/>
        </w:trPr>
        <w:tc>
          <w:tcPr>
            <w:tcW w:w="1500" w:type="pct"/>
            <w:tcBorders>
              <w:bottom w:val="single" w:sz="4" w:space="0" w:color="auto"/>
            </w:tcBorders>
            <w:vAlign w:val="center"/>
          </w:tcPr>
          <w:p w:rsidR="00996119" w:rsidRPr="009129AC" w:rsidRDefault="00996119" w:rsidP="00F2617F">
            <w:pPr>
              <w:ind w:right="-108"/>
              <w:jc w:val="left"/>
              <w:rPr>
                <w:rFonts w:ascii="Arial Narrow" w:hAnsi="Arial Narrow"/>
                <w:sz w:val="20"/>
              </w:rPr>
            </w:pPr>
            <w:r w:rsidRPr="009129AC">
              <w:rPr>
                <w:rFonts w:ascii="Arial Narrow" w:hAnsi="Arial Narrow"/>
                <w:sz w:val="20"/>
              </w:rPr>
              <w:t>Median OS, months (95% CI)</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(NE)</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(39.8, NE)</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(NE)</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(39.8, NE)</w:t>
            </w:r>
          </w:p>
        </w:tc>
      </w:tr>
      <w:tr w:rsidR="00CE074D" w:rsidRPr="009129AC" w:rsidTr="001E2B7B">
        <w:trPr>
          <w:trHeight w:val="20"/>
        </w:trPr>
        <w:tc>
          <w:tcPr>
            <w:tcW w:w="1500" w:type="pct"/>
            <w:vAlign w:val="center"/>
          </w:tcPr>
          <w:p w:rsidR="00996119" w:rsidRPr="009129AC" w:rsidRDefault="00996119" w:rsidP="00462BD0">
            <w:pPr>
              <w:ind w:right="-108"/>
              <w:jc w:val="left"/>
              <w:rPr>
                <w:rFonts w:ascii="Arial Narrow" w:hAnsi="Arial Narrow"/>
                <w:sz w:val="20"/>
              </w:rPr>
            </w:pPr>
            <w:r w:rsidRPr="009129AC">
              <w:rPr>
                <w:rFonts w:ascii="Arial Narrow" w:hAnsi="Arial Narrow"/>
                <w:sz w:val="20"/>
              </w:rPr>
              <w:t xml:space="preserve">Hazard ratio (95% CI) </w:t>
            </w:r>
            <w:r w:rsidRPr="009129AC">
              <w:rPr>
                <w:rFonts w:ascii="Arial Narrow" w:hAnsi="Arial Narrow"/>
                <w:sz w:val="20"/>
                <w:vertAlign w:val="superscript"/>
              </w:rPr>
              <w:t>a</w:t>
            </w:r>
          </w:p>
        </w:tc>
        <w:tc>
          <w:tcPr>
            <w:tcW w:w="1750" w:type="pct"/>
            <w:gridSpan w:val="2"/>
            <w:vAlign w:val="center"/>
          </w:tcPr>
          <w:p w:rsidR="00996119" w:rsidRPr="009129AC" w:rsidRDefault="00996119" w:rsidP="00996119">
            <w:pPr>
              <w:jc w:val="center"/>
              <w:rPr>
                <w:rFonts w:ascii="Arial Narrow" w:hAnsi="Arial Narrow"/>
                <w:b/>
                <w:sz w:val="20"/>
              </w:rPr>
            </w:pPr>
            <w:r w:rsidRPr="009129AC">
              <w:rPr>
                <w:rFonts w:ascii="Arial Narrow" w:hAnsi="Arial Narrow"/>
                <w:sz w:val="20"/>
              </w:rPr>
              <w:t>0.82 (0.52, 1.30)</w:t>
            </w:r>
            <w:r w:rsidR="001F580A" w:rsidRPr="009129AC">
              <w:rPr>
                <w:rFonts w:ascii="Arial Narrow" w:hAnsi="Arial Narrow"/>
                <w:sz w:val="20"/>
              </w:rPr>
              <w:t>, p=0.4017</w:t>
            </w:r>
          </w:p>
        </w:tc>
        <w:tc>
          <w:tcPr>
            <w:tcW w:w="1751" w:type="pct"/>
            <w:gridSpan w:val="2"/>
            <w:vAlign w:val="center"/>
          </w:tcPr>
          <w:p w:rsidR="00996119" w:rsidRPr="009129AC" w:rsidRDefault="00996119" w:rsidP="00996119">
            <w:pPr>
              <w:jc w:val="center"/>
              <w:rPr>
                <w:rFonts w:ascii="Arial Narrow" w:hAnsi="Arial Narrow"/>
                <w:b/>
                <w:sz w:val="20"/>
              </w:rPr>
            </w:pPr>
            <w:r w:rsidRPr="009129AC">
              <w:rPr>
                <w:rFonts w:ascii="Arial Narrow" w:hAnsi="Arial Narrow"/>
                <w:sz w:val="20"/>
              </w:rPr>
              <w:t>0.71 (0.43, 1.19)</w:t>
            </w:r>
            <w:r w:rsidR="002812B2" w:rsidRPr="009129AC">
              <w:rPr>
                <w:rFonts w:ascii="Arial Narrow" w:hAnsi="Arial Narrow"/>
                <w:sz w:val="20"/>
              </w:rPr>
              <w:t>, p=0.1662</w:t>
            </w:r>
          </w:p>
        </w:tc>
      </w:tr>
      <w:tr w:rsidR="00996119" w:rsidRPr="009129AC" w:rsidTr="001E2B7B">
        <w:trPr>
          <w:trHeight w:val="20"/>
          <w:tblHeader/>
        </w:trPr>
        <w:tc>
          <w:tcPr>
            <w:tcW w:w="5000" w:type="pct"/>
            <w:gridSpan w:val="5"/>
            <w:tcBorders>
              <w:top w:val="nil"/>
            </w:tcBorders>
            <w:vAlign w:val="center"/>
          </w:tcPr>
          <w:p w:rsidR="00996119" w:rsidRPr="009129AC" w:rsidRDefault="00996119" w:rsidP="00F2617F">
            <w:pPr>
              <w:jc w:val="left"/>
              <w:rPr>
                <w:rFonts w:ascii="Arial Narrow" w:hAnsi="Arial Narrow"/>
                <w:b/>
                <w:sz w:val="20"/>
              </w:rPr>
            </w:pPr>
            <w:r w:rsidRPr="009129AC">
              <w:rPr>
                <w:rFonts w:ascii="Arial Narrow" w:hAnsi="Arial Narrow"/>
                <w:b/>
                <w:sz w:val="20"/>
              </w:rPr>
              <w:t>1 May 2015 cut-off</w:t>
            </w:r>
          </w:p>
        </w:tc>
      </w:tr>
      <w:tr w:rsidR="00CE074D" w:rsidRPr="009129AC" w:rsidTr="001E2B7B">
        <w:trPr>
          <w:trHeight w:val="20"/>
        </w:trPr>
        <w:tc>
          <w:tcPr>
            <w:tcW w:w="1500" w:type="pct"/>
            <w:vAlign w:val="center"/>
          </w:tcPr>
          <w:p w:rsidR="00996119" w:rsidRPr="009129AC" w:rsidRDefault="00996119" w:rsidP="00F2617F">
            <w:pPr>
              <w:jc w:val="left"/>
              <w:rPr>
                <w:rFonts w:ascii="Arial Narrow" w:hAnsi="Arial Narrow"/>
                <w:sz w:val="20"/>
              </w:rPr>
            </w:pPr>
            <w:r w:rsidRPr="009129AC">
              <w:rPr>
                <w:rFonts w:ascii="Arial Narrow" w:hAnsi="Arial Narrow"/>
                <w:sz w:val="20"/>
              </w:rPr>
              <w:t>N</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204</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209</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164</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171</w:t>
            </w:r>
          </w:p>
        </w:tc>
      </w:tr>
      <w:tr w:rsidR="00CE074D" w:rsidRPr="009129AC" w:rsidTr="001E2B7B">
        <w:trPr>
          <w:trHeight w:val="20"/>
        </w:trPr>
        <w:tc>
          <w:tcPr>
            <w:tcW w:w="1500" w:type="pct"/>
            <w:vAlign w:val="center"/>
          </w:tcPr>
          <w:p w:rsidR="00996119" w:rsidRPr="009129AC" w:rsidRDefault="00996119" w:rsidP="00F2617F">
            <w:pPr>
              <w:jc w:val="left"/>
              <w:rPr>
                <w:rFonts w:ascii="Arial Narrow" w:hAnsi="Arial Narrow"/>
                <w:sz w:val="20"/>
              </w:rPr>
            </w:pPr>
            <w:r w:rsidRPr="009129AC">
              <w:rPr>
                <w:rFonts w:ascii="Arial Narrow" w:hAnsi="Arial Narrow"/>
                <w:sz w:val="20"/>
              </w:rPr>
              <w:t>Median duration of follow-up (months)</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25.3</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24.5</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24.1</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24.1</w:t>
            </w:r>
          </w:p>
        </w:tc>
      </w:tr>
      <w:tr w:rsidR="00CE074D" w:rsidRPr="009129AC" w:rsidTr="001E2B7B">
        <w:trPr>
          <w:trHeight w:val="20"/>
        </w:trPr>
        <w:tc>
          <w:tcPr>
            <w:tcW w:w="1500" w:type="pct"/>
            <w:vAlign w:val="center"/>
          </w:tcPr>
          <w:p w:rsidR="00996119" w:rsidRPr="009129AC" w:rsidRDefault="00330B60" w:rsidP="00996119">
            <w:pPr>
              <w:ind w:left="109" w:right="-108" w:hanging="109"/>
              <w:jc w:val="left"/>
              <w:rPr>
                <w:rFonts w:ascii="Arial Narrow" w:hAnsi="Arial Narrow"/>
                <w:sz w:val="20"/>
              </w:rPr>
            </w:pPr>
            <w:r>
              <w:rPr>
                <w:rFonts w:ascii="Arial Narrow" w:hAnsi="Arial Narrow"/>
                <w:sz w:val="20"/>
              </w:rPr>
              <w:t>Deaths, n (%)</w:t>
            </w:r>
          </w:p>
          <w:p w:rsidR="00996119" w:rsidRPr="009129AC" w:rsidRDefault="00996119" w:rsidP="00462BD0">
            <w:pPr>
              <w:ind w:left="109" w:right="-108" w:hanging="109"/>
              <w:jc w:val="left"/>
              <w:rPr>
                <w:rFonts w:ascii="Arial Narrow" w:hAnsi="Arial Narrow"/>
                <w:sz w:val="20"/>
              </w:rPr>
            </w:pPr>
            <w:r w:rsidRPr="009129AC">
              <w:rPr>
                <w:rFonts w:ascii="Arial Narrow" w:hAnsi="Arial Narrow"/>
                <w:sz w:val="20"/>
              </w:rPr>
              <w:t>Censored, n (%)</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42 (20.6%)</w:t>
            </w:r>
          </w:p>
          <w:p w:rsidR="00996119" w:rsidRPr="009129AC" w:rsidRDefault="00996119" w:rsidP="00F2617F">
            <w:pPr>
              <w:jc w:val="center"/>
              <w:rPr>
                <w:rFonts w:ascii="Arial Narrow" w:hAnsi="Arial Narrow"/>
                <w:sz w:val="20"/>
              </w:rPr>
            </w:pPr>
            <w:r w:rsidRPr="009129AC">
              <w:rPr>
                <w:rFonts w:ascii="Arial Narrow" w:hAnsi="Arial Narrow"/>
                <w:sz w:val="20"/>
              </w:rPr>
              <w:t>162 (79.4%)</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56 (26.8%)</w:t>
            </w:r>
          </w:p>
          <w:p w:rsidR="00996119" w:rsidRPr="009129AC" w:rsidRDefault="00996119" w:rsidP="00F2617F">
            <w:pPr>
              <w:jc w:val="center"/>
              <w:rPr>
                <w:rFonts w:ascii="Arial Narrow" w:hAnsi="Arial Narrow"/>
                <w:sz w:val="20"/>
              </w:rPr>
            </w:pPr>
            <w:r w:rsidRPr="009129AC">
              <w:rPr>
                <w:rFonts w:ascii="Arial Narrow" w:hAnsi="Arial Narrow"/>
                <w:sz w:val="20"/>
              </w:rPr>
              <w:t>153 (73.2%)</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30 (18.3%)</w:t>
            </w:r>
          </w:p>
          <w:p w:rsidR="00996119" w:rsidRPr="009129AC" w:rsidRDefault="00996119" w:rsidP="00F2617F">
            <w:pPr>
              <w:jc w:val="center"/>
              <w:rPr>
                <w:rFonts w:ascii="Arial Narrow" w:hAnsi="Arial Narrow"/>
                <w:sz w:val="20"/>
              </w:rPr>
            </w:pPr>
            <w:r w:rsidRPr="009129AC">
              <w:rPr>
                <w:rFonts w:ascii="Arial Narrow" w:hAnsi="Arial Narrow"/>
                <w:sz w:val="20"/>
              </w:rPr>
              <w:t>134 (81.7%)</w:t>
            </w:r>
          </w:p>
        </w:tc>
        <w:tc>
          <w:tcPr>
            <w:tcW w:w="875" w:type="pct"/>
          </w:tcPr>
          <w:p w:rsidR="00996119" w:rsidRPr="009129AC" w:rsidRDefault="00996119" w:rsidP="00F2617F">
            <w:pPr>
              <w:jc w:val="center"/>
              <w:rPr>
                <w:rFonts w:ascii="Arial Narrow" w:hAnsi="Arial Narrow"/>
                <w:sz w:val="20"/>
              </w:rPr>
            </w:pPr>
            <w:r w:rsidRPr="009129AC">
              <w:rPr>
                <w:rFonts w:ascii="Arial Narrow" w:hAnsi="Arial Narrow"/>
                <w:sz w:val="20"/>
              </w:rPr>
              <w:t>48 (28.1%)</w:t>
            </w:r>
          </w:p>
          <w:p w:rsidR="00996119" w:rsidRPr="009129AC" w:rsidRDefault="00996119" w:rsidP="00F2617F">
            <w:pPr>
              <w:jc w:val="center"/>
              <w:rPr>
                <w:rFonts w:ascii="Arial Narrow" w:hAnsi="Arial Narrow"/>
                <w:sz w:val="20"/>
              </w:rPr>
            </w:pPr>
            <w:r w:rsidRPr="009129AC">
              <w:rPr>
                <w:rFonts w:ascii="Arial Narrow" w:hAnsi="Arial Narrow"/>
                <w:sz w:val="20"/>
              </w:rPr>
              <w:t>123 (71.9%)</w:t>
            </w:r>
          </w:p>
        </w:tc>
      </w:tr>
      <w:tr w:rsidR="00CE074D" w:rsidRPr="009129AC" w:rsidTr="001E2B7B">
        <w:trPr>
          <w:trHeight w:val="20"/>
        </w:trPr>
        <w:tc>
          <w:tcPr>
            <w:tcW w:w="1500" w:type="pct"/>
            <w:tcBorders>
              <w:bottom w:val="single" w:sz="4" w:space="0" w:color="auto"/>
            </w:tcBorders>
            <w:vAlign w:val="center"/>
          </w:tcPr>
          <w:p w:rsidR="00996119" w:rsidRPr="009129AC" w:rsidRDefault="00996119" w:rsidP="00F2617F">
            <w:pPr>
              <w:ind w:right="-108"/>
              <w:jc w:val="left"/>
              <w:rPr>
                <w:rFonts w:ascii="Arial Narrow" w:hAnsi="Arial Narrow"/>
                <w:sz w:val="20"/>
              </w:rPr>
            </w:pPr>
            <w:r w:rsidRPr="009129AC">
              <w:rPr>
                <w:rFonts w:ascii="Arial Narrow" w:hAnsi="Arial Narrow"/>
                <w:sz w:val="20"/>
              </w:rPr>
              <w:t>Median OS, months (95% CI)</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(34.9, NE)</w:t>
            </w:r>
          </w:p>
        </w:tc>
        <w:tc>
          <w:tcPr>
            <w:tcW w:w="875" w:type="pct"/>
            <w:tcBorders>
              <w:bottom w:val="single" w:sz="4" w:space="0" w:color="auto"/>
            </w:tcBorders>
            <w:vAlign w:val="center"/>
          </w:tcPr>
          <w:p w:rsidR="00996119" w:rsidRPr="009129AC" w:rsidRDefault="00996119" w:rsidP="00F2617F">
            <w:pPr>
              <w:jc w:val="center"/>
              <w:rPr>
                <w:rFonts w:ascii="Arial Narrow" w:hAnsi="Arial Narrow"/>
                <w:sz w:val="20"/>
              </w:rPr>
            </w:pPr>
            <w:r w:rsidRPr="009129AC">
              <w:rPr>
                <w:rFonts w:ascii="Arial Narrow" w:hAnsi="Arial Narrow"/>
                <w:sz w:val="20"/>
              </w:rPr>
              <w:t>NE (25.3, NE)</w:t>
            </w:r>
          </w:p>
        </w:tc>
        <w:tc>
          <w:tcPr>
            <w:tcW w:w="875" w:type="pct"/>
            <w:tcBorders>
              <w:bottom w:val="single" w:sz="4" w:space="0" w:color="auto"/>
            </w:tcBorders>
            <w:vAlign w:val="center"/>
          </w:tcPr>
          <w:p w:rsidR="00996119" w:rsidRPr="009129AC" w:rsidRDefault="00B4034C" w:rsidP="00F2617F">
            <w:pPr>
              <w:jc w:val="center"/>
              <w:rPr>
                <w:rFonts w:ascii="Arial Narrow" w:hAnsi="Arial Narrow"/>
                <w:sz w:val="20"/>
              </w:rPr>
            </w:pPr>
            <w:r w:rsidRPr="009129AC">
              <w:rPr>
                <w:rFonts w:ascii="Arial Narrow" w:hAnsi="Arial Narrow"/>
                <w:sz w:val="20"/>
              </w:rPr>
              <w:t>NE (NE)</w:t>
            </w:r>
          </w:p>
        </w:tc>
        <w:tc>
          <w:tcPr>
            <w:tcW w:w="875" w:type="pct"/>
            <w:tcBorders>
              <w:bottom w:val="single" w:sz="4" w:space="0" w:color="auto"/>
            </w:tcBorders>
            <w:vAlign w:val="center"/>
          </w:tcPr>
          <w:p w:rsidR="00996119" w:rsidRPr="009129AC" w:rsidRDefault="00B4034C" w:rsidP="00F2617F">
            <w:pPr>
              <w:jc w:val="center"/>
              <w:rPr>
                <w:rFonts w:ascii="Arial Narrow" w:hAnsi="Arial Narrow"/>
                <w:sz w:val="20"/>
              </w:rPr>
            </w:pPr>
            <w:r w:rsidRPr="009129AC">
              <w:rPr>
                <w:rFonts w:ascii="Arial Narrow" w:hAnsi="Arial Narrow"/>
                <w:sz w:val="20"/>
              </w:rPr>
              <w:t>NE (42.2, NE)</w:t>
            </w:r>
          </w:p>
        </w:tc>
      </w:tr>
      <w:tr w:rsidR="00CE074D" w:rsidRPr="009129AC" w:rsidTr="001E2B7B">
        <w:trPr>
          <w:trHeight w:val="20"/>
        </w:trPr>
        <w:tc>
          <w:tcPr>
            <w:tcW w:w="1500" w:type="pct"/>
            <w:vAlign w:val="center"/>
          </w:tcPr>
          <w:p w:rsidR="00996119" w:rsidRPr="009129AC" w:rsidRDefault="00996119" w:rsidP="00462BD0">
            <w:pPr>
              <w:ind w:right="-108"/>
              <w:jc w:val="left"/>
              <w:rPr>
                <w:rFonts w:ascii="Arial Narrow" w:hAnsi="Arial Narrow"/>
                <w:sz w:val="20"/>
              </w:rPr>
            </w:pPr>
            <w:r w:rsidRPr="009129AC">
              <w:rPr>
                <w:rFonts w:ascii="Arial Narrow" w:hAnsi="Arial Narrow"/>
                <w:sz w:val="20"/>
              </w:rPr>
              <w:t xml:space="preserve">Hazard ratio (95% CI) </w:t>
            </w:r>
            <w:r w:rsidRPr="009129AC">
              <w:rPr>
                <w:rFonts w:ascii="Arial Narrow" w:hAnsi="Arial Narrow"/>
                <w:sz w:val="20"/>
                <w:vertAlign w:val="superscript"/>
              </w:rPr>
              <w:t>a</w:t>
            </w:r>
            <w:r w:rsidRPr="009129AC">
              <w:rPr>
                <w:rFonts w:ascii="Arial Narrow" w:hAnsi="Arial Narrow"/>
                <w:sz w:val="20"/>
              </w:rPr>
              <w:t xml:space="preserve"> </w:t>
            </w:r>
          </w:p>
        </w:tc>
        <w:tc>
          <w:tcPr>
            <w:tcW w:w="1750" w:type="pct"/>
            <w:gridSpan w:val="2"/>
            <w:vAlign w:val="center"/>
          </w:tcPr>
          <w:p w:rsidR="00996119" w:rsidRPr="009129AC" w:rsidRDefault="00996119" w:rsidP="00CE074D">
            <w:pPr>
              <w:jc w:val="center"/>
              <w:rPr>
                <w:rFonts w:ascii="Arial Narrow" w:hAnsi="Arial Narrow"/>
                <w:sz w:val="20"/>
              </w:rPr>
            </w:pPr>
            <w:r w:rsidRPr="009129AC">
              <w:rPr>
                <w:rFonts w:ascii="Arial Narrow" w:hAnsi="Arial Narrow"/>
                <w:sz w:val="20"/>
              </w:rPr>
              <w:t>0.72 (0.48, 1.08)</w:t>
            </w:r>
          </w:p>
          <w:p w:rsidR="002B7921" w:rsidRPr="009129AC" w:rsidRDefault="00314306" w:rsidP="00CE074D">
            <w:pPr>
              <w:jc w:val="center"/>
              <w:rPr>
                <w:rFonts w:ascii="Arial Narrow" w:hAnsi="Arial Narrow"/>
                <w:b/>
                <w:sz w:val="20"/>
              </w:rPr>
            </w:pPr>
            <w:r w:rsidRPr="009129AC">
              <w:rPr>
                <w:rFonts w:ascii="Arial Narrow" w:hAnsi="Arial Narrow"/>
                <w:sz w:val="20"/>
              </w:rPr>
              <w:t>p</w:t>
            </w:r>
            <w:r w:rsidR="002B7921" w:rsidRPr="009129AC">
              <w:rPr>
                <w:rFonts w:ascii="Arial Narrow" w:hAnsi="Arial Narrow"/>
                <w:sz w:val="20"/>
              </w:rPr>
              <w:t xml:space="preserve"> =</w:t>
            </w:r>
            <w:r w:rsidR="00C12C3D" w:rsidRPr="009129AC">
              <w:rPr>
                <w:rFonts w:ascii="Arial Narrow" w:hAnsi="Arial Narrow"/>
                <w:sz w:val="20"/>
              </w:rPr>
              <w:t>0.11</w:t>
            </w:r>
            <w:r w:rsidRPr="009129AC">
              <w:rPr>
                <w:rFonts w:ascii="Arial Narrow" w:hAnsi="Arial Narrow"/>
                <w:sz w:val="20"/>
              </w:rPr>
              <w:t>4</w:t>
            </w:r>
          </w:p>
        </w:tc>
        <w:tc>
          <w:tcPr>
            <w:tcW w:w="1751" w:type="pct"/>
            <w:gridSpan w:val="2"/>
            <w:vAlign w:val="center"/>
          </w:tcPr>
          <w:p w:rsidR="00996119" w:rsidRPr="009129AC" w:rsidRDefault="00996119" w:rsidP="00CE074D">
            <w:pPr>
              <w:jc w:val="center"/>
              <w:rPr>
                <w:rFonts w:ascii="Arial Narrow" w:hAnsi="Arial Narrow"/>
                <w:sz w:val="20"/>
              </w:rPr>
            </w:pPr>
            <w:r w:rsidRPr="009129AC">
              <w:rPr>
                <w:rFonts w:ascii="Arial Narrow" w:hAnsi="Arial Narrow"/>
                <w:sz w:val="20"/>
              </w:rPr>
              <w:t>0.62 (0.39, 0.98)</w:t>
            </w:r>
          </w:p>
          <w:p w:rsidR="002B7921" w:rsidRPr="009129AC" w:rsidRDefault="00314306" w:rsidP="00CE074D">
            <w:pPr>
              <w:jc w:val="center"/>
              <w:rPr>
                <w:rFonts w:ascii="Arial Narrow" w:hAnsi="Arial Narrow"/>
                <w:sz w:val="20"/>
              </w:rPr>
            </w:pPr>
            <w:r w:rsidRPr="009129AC">
              <w:rPr>
                <w:rFonts w:ascii="Arial Narrow" w:hAnsi="Arial Narrow"/>
                <w:sz w:val="20"/>
              </w:rPr>
              <w:t>p</w:t>
            </w:r>
            <w:r w:rsidR="002B7921" w:rsidRPr="009129AC">
              <w:rPr>
                <w:rFonts w:ascii="Arial Narrow" w:hAnsi="Arial Narrow"/>
                <w:sz w:val="20"/>
              </w:rPr>
              <w:t xml:space="preserve"> = 0.03</w:t>
            </w:r>
            <w:r w:rsidR="002812B2" w:rsidRPr="009129AC">
              <w:rPr>
                <w:rFonts w:ascii="Arial Narrow" w:hAnsi="Arial Narrow"/>
                <w:sz w:val="20"/>
              </w:rPr>
              <w:t>79</w:t>
            </w:r>
          </w:p>
        </w:tc>
      </w:tr>
    </w:tbl>
    <w:p w:rsidR="00996119" w:rsidRPr="00F17A66" w:rsidRDefault="00996119" w:rsidP="001E2B7B">
      <w:pPr>
        <w:pStyle w:val="TableFooter"/>
        <w:ind w:left="720"/>
      </w:pPr>
      <w:r w:rsidRPr="00F17A66">
        <w:t>Source: Table B.6.1, p27, Table B.6.4, p32 of Section B of the submission and Table 35, p152, Table 42, p170 Table 47, p185 of the 1 September 2014 CSR and Tables t_sl_c_obst_297_IT, p160; t_ef_tte_strunstr_os_297_IT, pp177-178; Table t_sl_c_obst_foly_297_IT, p189; and t_ef_tte_strunstr_os_foly_297_IT, pp206-207 of the 1 May 2015 CSR.</w:t>
      </w:r>
    </w:p>
    <w:p w:rsidR="00996119" w:rsidRPr="00844137" w:rsidRDefault="00996119" w:rsidP="001E2B7B">
      <w:pPr>
        <w:pStyle w:val="TableFooter"/>
        <w:ind w:left="720"/>
      </w:pPr>
      <w:r w:rsidRPr="00F17A66">
        <w:t xml:space="preserve">Benda = </w:t>
      </w:r>
      <w:proofErr w:type="spellStart"/>
      <w:r w:rsidRPr="00F17A66">
        <w:t>bendamustine</w:t>
      </w:r>
      <w:proofErr w:type="spellEnd"/>
      <w:r w:rsidRPr="00F17A66">
        <w:t xml:space="preserve"> monotherapy; CI = Confidence Interval; FL = follicular lymphoma; ITT = intention to treat; N/A = not assessed; NE = not evaluable; O-Benda = </w:t>
      </w:r>
      <w:proofErr w:type="spellStart"/>
      <w:r w:rsidRPr="00F17A66">
        <w:t>obinutuzumab</w:t>
      </w:r>
      <w:proofErr w:type="spellEnd"/>
      <w:r w:rsidRPr="00F17A66">
        <w:t xml:space="preserve"> and </w:t>
      </w:r>
      <w:proofErr w:type="spellStart"/>
      <w:r w:rsidRPr="00F17A66">
        <w:t>bendamustine</w:t>
      </w:r>
      <w:proofErr w:type="spellEnd"/>
      <w:r w:rsidRPr="00F17A66">
        <w:t xml:space="preserve"> combination therapy; OS = overall survival</w:t>
      </w:r>
    </w:p>
    <w:p w:rsidR="00996119" w:rsidRPr="00F17A66" w:rsidRDefault="00996119" w:rsidP="001E2B7B">
      <w:pPr>
        <w:pStyle w:val="TableFooter"/>
        <w:ind w:left="720"/>
      </w:pPr>
      <w:proofErr w:type="spellStart"/>
      <w:proofErr w:type="gramStart"/>
      <w:r w:rsidRPr="00F17A66">
        <w:rPr>
          <w:vertAlign w:val="superscript"/>
        </w:rPr>
        <w:t>a</w:t>
      </w:r>
      <w:proofErr w:type="spellEnd"/>
      <w:proofErr w:type="gramEnd"/>
      <w:r w:rsidRPr="00F17A66">
        <w:t xml:space="preserve"> The hazard ratios were not corrected for multiplicity</w:t>
      </w:r>
      <w:r w:rsidR="00CE074D" w:rsidRPr="00F17A66">
        <w:t>, t</w:t>
      </w:r>
      <w:r w:rsidRPr="00F17A66">
        <w:t>he analysis was stratified for lymphoma subtype, prio</w:t>
      </w:r>
      <w:r w:rsidR="00330B60">
        <w:t>r therapies and refractory type</w:t>
      </w:r>
    </w:p>
    <w:p w:rsidR="00996119" w:rsidRPr="00F17A66" w:rsidRDefault="00996119" w:rsidP="00212306">
      <w:pPr>
        <w:ind w:left="709"/>
        <w:rPr>
          <w:rStyle w:val="CommentReference"/>
        </w:rPr>
      </w:pPr>
    </w:p>
    <w:p w:rsidR="00212306" w:rsidRPr="00F17A66" w:rsidRDefault="00212306" w:rsidP="001E2B7B">
      <w:pPr>
        <w:pStyle w:val="TableText0"/>
        <w:ind w:firstLine="720"/>
        <w:rPr>
          <w:rStyle w:val="CommentReference"/>
        </w:rPr>
      </w:pPr>
      <w:r w:rsidRPr="00F17A66">
        <w:rPr>
          <w:rStyle w:val="CommentReference"/>
        </w:rPr>
        <w:t xml:space="preserve">Figure </w:t>
      </w:r>
      <w:r w:rsidR="00CE074D" w:rsidRPr="00F17A66">
        <w:rPr>
          <w:rStyle w:val="CommentReference"/>
        </w:rPr>
        <w:t>2</w:t>
      </w:r>
      <w:r w:rsidRPr="00F17A66">
        <w:rPr>
          <w:rStyle w:val="CommentReference"/>
        </w:rPr>
        <w:t>: Overall survival, follicular lymphoma subgroup – 1 May 2015 cut-off (~24 months follow-up)</w:t>
      </w:r>
    </w:p>
    <w:p w:rsidR="00212306" w:rsidRPr="00F17A66" w:rsidRDefault="00212306" w:rsidP="001E2B7B">
      <w:pPr>
        <w:pStyle w:val="TableText0"/>
        <w:ind w:firstLine="709"/>
      </w:pPr>
      <w:r w:rsidRPr="00F17A66">
        <w:rPr>
          <w:noProof/>
          <w:lang w:eastAsia="en-AU"/>
        </w:rPr>
        <w:drawing>
          <wp:inline distT="0" distB="0" distL="0" distR="0" wp14:anchorId="0AB104D5" wp14:editId="1D41611E">
            <wp:extent cx="5313163" cy="2695493"/>
            <wp:effectExtent l="0" t="0" r="1905" b="0"/>
            <wp:docPr id="9" name="Picture 9" title="Figure 2: Overall survival, follicular lymphoma subgroup – 1 May 2015 cut-off (~24 months follow-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09" cy="2768875"/>
                    </a:xfrm>
                    <a:prstGeom prst="rect">
                      <a:avLst/>
                    </a:prstGeom>
                    <a:noFill/>
                  </pic:spPr>
                </pic:pic>
              </a:graphicData>
            </a:graphic>
          </wp:inline>
        </w:drawing>
      </w:r>
    </w:p>
    <w:p w:rsidR="00212306" w:rsidRPr="00F17A66" w:rsidRDefault="00212306" w:rsidP="001E2B7B">
      <w:pPr>
        <w:pStyle w:val="TableFooter"/>
        <w:ind w:left="720"/>
      </w:pPr>
      <w:r w:rsidRPr="00F17A66">
        <w:t>Source: Figure B.6.2, p32 of Section B of the submission.</w:t>
      </w:r>
    </w:p>
    <w:p w:rsidR="00212306" w:rsidRPr="00F17A66" w:rsidRDefault="00212306" w:rsidP="001E2B7B">
      <w:pPr>
        <w:pStyle w:val="TableFooter"/>
        <w:ind w:left="720"/>
      </w:pPr>
      <w:r w:rsidRPr="00F17A66">
        <w:t xml:space="preserve">B = </w:t>
      </w:r>
      <w:proofErr w:type="spellStart"/>
      <w:r w:rsidRPr="00F17A66">
        <w:t>bendamustine</w:t>
      </w:r>
      <w:proofErr w:type="spellEnd"/>
      <w:r w:rsidRPr="00F17A66">
        <w:t>; G-B =</w:t>
      </w:r>
      <w:r w:rsidR="00330B60">
        <w:t xml:space="preserve"> </w:t>
      </w:r>
      <w:proofErr w:type="spellStart"/>
      <w:r w:rsidR="00330B60">
        <w:t>obinutuzumab</w:t>
      </w:r>
      <w:proofErr w:type="spellEnd"/>
      <w:r w:rsidR="00330B60">
        <w:t xml:space="preserve"> plus </w:t>
      </w:r>
      <w:proofErr w:type="spellStart"/>
      <w:r w:rsidR="00330B60">
        <w:t>bendamustine</w:t>
      </w:r>
      <w:proofErr w:type="spellEnd"/>
    </w:p>
    <w:p w:rsidR="009716B5" w:rsidRPr="00F17A66" w:rsidRDefault="009716B5" w:rsidP="00212306">
      <w:pPr>
        <w:pStyle w:val="TableFooter"/>
        <w:ind w:left="709"/>
      </w:pPr>
    </w:p>
    <w:p w:rsidR="00212306" w:rsidRPr="00470C32" w:rsidRDefault="009716B5" w:rsidP="005D5FF8">
      <w:pPr>
        <w:pStyle w:val="ListParagraph"/>
        <w:widowControl/>
        <w:numPr>
          <w:ilvl w:val="1"/>
          <w:numId w:val="1"/>
        </w:numPr>
        <w:rPr>
          <w:szCs w:val="22"/>
        </w:rPr>
      </w:pPr>
      <w:r w:rsidRPr="00F17A66">
        <w:rPr>
          <w:szCs w:val="22"/>
        </w:rPr>
        <w:t xml:space="preserve">Overall survival data were immature at both the 1 September 2014 and 1 May 2015 cut-off dates. </w:t>
      </w:r>
      <w:r w:rsidR="003A16BD">
        <w:rPr>
          <w:szCs w:val="22"/>
        </w:rPr>
        <w:t>In</w:t>
      </w:r>
      <w:r w:rsidRPr="00F17A66">
        <w:rPr>
          <w:szCs w:val="22"/>
        </w:rPr>
        <w:t xml:space="preserve"> the follicular lymphoma subgroup, the analysis at the latest data cut (median follow-up of 24.1 months)</w:t>
      </w:r>
      <w:r w:rsidR="003A16BD">
        <w:rPr>
          <w:szCs w:val="22"/>
        </w:rPr>
        <w:t xml:space="preserve"> showed that</w:t>
      </w:r>
      <w:r w:rsidRPr="00F17A66">
        <w:rPr>
          <w:szCs w:val="22"/>
        </w:rPr>
        <w:t xml:space="preserve"> </w:t>
      </w:r>
      <w:proofErr w:type="spellStart"/>
      <w:r w:rsidRPr="00F17A66">
        <w:rPr>
          <w:szCs w:val="22"/>
        </w:rPr>
        <w:t>obinutuzumab</w:t>
      </w:r>
      <w:proofErr w:type="spellEnd"/>
      <w:r w:rsidRPr="00F17A66">
        <w:rPr>
          <w:szCs w:val="22"/>
        </w:rPr>
        <w:t xml:space="preserve"> plus </w:t>
      </w:r>
      <w:proofErr w:type="spellStart"/>
      <w:r w:rsidRPr="00F17A66">
        <w:rPr>
          <w:szCs w:val="22"/>
        </w:rPr>
        <w:t>bendamustine</w:t>
      </w:r>
      <w:proofErr w:type="spellEnd"/>
      <w:r w:rsidRPr="00F17A66">
        <w:rPr>
          <w:szCs w:val="22"/>
        </w:rPr>
        <w:t xml:space="preserve"> was associated with a higher </w:t>
      </w:r>
      <w:r w:rsidR="003634EF">
        <w:rPr>
          <w:szCs w:val="22"/>
        </w:rPr>
        <w:t>OS</w:t>
      </w:r>
      <w:r w:rsidRPr="00F17A66">
        <w:rPr>
          <w:szCs w:val="22"/>
        </w:rPr>
        <w:t xml:space="preserve"> rate than </w:t>
      </w:r>
      <w:proofErr w:type="spellStart"/>
      <w:r w:rsidRPr="005D5FF8">
        <w:rPr>
          <w:szCs w:val="22"/>
        </w:rPr>
        <w:t>bendamustine</w:t>
      </w:r>
      <w:proofErr w:type="spellEnd"/>
      <w:r w:rsidRPr="005D5FF8">
        <w:rPr>
          <w:szCs w:val="22"/>
        </w:rPr>
        <w:t xml:space="preserve"> monotherapy (HR: 0.62</w:t>
      </w:r>
      <w:r w:rsidR="00932ABE" w:rsidRPr="005D5FF8">
        <w:rPr>
          <w:szCs w:val="22"/>
        </w:rPr>
        <w:t>;</w:t>
      </w:r>
      <w:r w:rsidRPr="005D5FF8">
        <w:rPr>
          <w:szCs w:val="22"/>
        </w:rPr>
        <w:t xml:space="preserve"> 95% CI: 0.39 </w:t>
      </w:r>
      <w:r w:rsidR="00932ABE" w:rsidRPr="005D5FF8">
        <w:rPr>
          <w:szCs w:val="22"/>
        </w:rPr>
        <w:t xml:space="preserve">to </w:t>
      </w:r>
      <w:r w:rsidRPr="005D5FF8">
        <w:rPr>
          <w:szCs w:val="22"/>
        </w:rPr>
        <w:t>0.98; without adjustment for multiplicity).</w:t>
      </w:r>
      <w:r w:rsidR="00AF6CE8">
        <w:rPr>
          <w:szCs w:val="22"/>
        </w:rPr>
        <w:t xml:space="preserve"> </w:t>
      </w:r>
      <w:r w:rsidR="002812B2" w:rsidRPr="005D5FF8">
        <w:rPr>
          <w:szCs w:val="22"/>
        </w:rPr>
        <w:t xml:space="preserve">The ESC noted that </w:t>
      </w:r>
      <w:r w:rsidR="00AF6CE8">
        <w:rPr>
          <w:szCs w:val="22"/>
        </w:rPr>
        <w:t xml:space="preserve">the </w:t>
      </w:r>
      <w:r w:rsidR="00AF6CE8">
        <w:rPr>
          <w:szCs w:val="22"/>
        </w:rPr>
        <w:lastRenderedPageBreak/>
        <w:t>difference</w:t>
      </w:r>
      <w:r w:rsidR="002812B2" w:rsidRPr="005D5FF8">
        <w:rPr>
          <w:szCs w:val="22"/>
        </w:rPr>
        <w:t xml:space="preserve"> </w:t>
      </w:r>
      <w:r w:rsidR="00D81A80">
        <w:rPr>
          <w:szCs w:val="22"/>
        </w:rPr>
        <w:t>was</w:t>
      </w:r>
      <w:r w:rsidR="00D81A80" w:rsidRPr="005D5FF8">
        <w:rPr>
          <w:szCs w:val="22"/>
        </w:rPr>
        <w:t xml:space="preserve"> </w:t>
      </w:r>
      <w:r w:rsidR="002812B2" w:rsidRPr="005D5FF8">
        <w:rPr>
          <w:szCs w:val="22"/>
        </w:rPr>
        <w:t>non-significant after correcting for multiple comparisons.</w:t>
      </w:r>
      <w:r w:rsidR="00AC3288" w:rsidRPr="005D5FF8">
        <w:rPr>
          <w:szCs w:val="22"/>
        </w:rPr>
        <w:t xml:space="preserve"> </w:t>
      </w:r>
      <w:r w:rsidR="005F7BBC" w:rsidRPr="005D5FF8">
        <w:rPr>
          <w:szCs w:val="22"/>
        </w:rPr>
        <w:t>M</w:t>
      </w:r>
      <w:r w:rsidRPr="005D5FF8">
        <w:rPr>
          <w:szCs w:val="22"/>
        </w:rPr>
        <w:t xml:space="preserve">edian </w:t>
      </w:r>
      <w:r w:rsidR="003634EF">
        <w:rPr>
          <w:szCs w:val="22"/>
        </w:rPr>
        <w:t>OS</w:t>
      </w:r>
      <w:r w:rsidRPr="005D5FF8">
        <w:rPr>
          <w:szCs w:val="22"/>
        </w:rPr>
        <w:t xml:space="preserve"> was not reached in either ar</w:t>
      </w:r>
      <w:r w:rsidRPr="00470C32">
        <w:rPr>
          <w:szCs w:val="22"/>
        </w:rPr>
        <w:t>m.</w:t>
      </w:r>
      <w:r w:rsidR="00610CF7" w:rsidRPr="00470C32">
        <w:rPr>
          <w:szCs w:val="22"/>
        </w:rPr>
        <w:t xml:space="preserve"> </w:t>
      </w:r>
      <w:r w:rsidRPr="00470C32">
        <w:t xml:space="preserve">The results of </w:t>
      </w:r>
      <w:r w:rsidR="003634EF">
        <w:t>OS</w:t>
      </w:r>
      <w:r w:rsidRPr="00470C32">
        <w:t xml:space="preserve"> for the follicular lymphoma subgroup necessitated caution in interpretation</w:t>
      </w:r>
      <w:r w:rsidR="00D81A80">
        <w:t>, as the</w:t>
      </w:r>
      <w:r w:rsidRPr="00470C32">
        <w:t xml:space="preserve"> subgroup analyses were unadjusted for multiplicity</w:t>
      </w:r>
      <w:r w:rsidR="00E30335">
        <w:t xml:space="preserve"> at the updated 1 May 2015 data cut-off</w:t>
      </w:r>
      <w:r w:rsidRPr="00470C32">
        <w:t xml:space="preserve">, and were based on immature survival data with the median </w:t>
      </w:r>
      <w:r w:rsidR="003634EF">
        <w:t>OS</w:t>
      </w:r>
      <w:r w:rsidRPr="00470C32">
        <w:t xml:space="preserve"> not being reached in either treatment arm</w:t>
      </w:r>
      <w:r w:rsidR="00CD15AB" w:rsidRPr="00470C32">
        <w:t xml:space="preserve">. </w:t>
      </w:r>
      <w:r w:rsidR="00553EC4" w:rsidRPr="000A0566">
        <w:t xml:space="preserve">The </w:t>
      </w:r>
      <w:r w:rsidR="00553EC4" w:rsidRPr="0091048B">
        <w:t xml:space="preserve">PBAC </w:t>
      </w:r>
      <w:r w:rsidR="00D81A80" w:rsidRPr="0091048B">
        <w:t>noted that</w:t>
      </w:r>
      <w:r w:rsidR="00553EC4" w:rsidRPr="0091048B">
        <w:t xml:space="preserve"> the </w:t>
      </w:r>
      <w:r w:rsidR="003634EF" w:rsidRPr="0091048B">
        <w:t>OS</w:t>
      </w:r>
      <w:r w:rsidR="00553EC4" w:rsidRPr="0091048B">
        <w:t xml:space="preserve"> data</w:t>
      </w:r>
      <w:r w:rsidR="00D81A80" w:rsidRPr="0091048B">
        <w:t xml:space="preserve"> were immature</w:t>
      </w:r>
      <w:r w:rsidR="00553EC4" w:rsidRPr="0091048B">
        <w:t xml:space="preserve">, but considered that an </w:t>
      </w:r>
      <w:r w:rsidR="003634EF" w:rsidRPr="0091048B">
        <w:t>OS</w:t>
      </w:r>
      <w:r w:rsidR="00553EC4" w:rsidRPr="0091048B">
        <w:t xml:space="preserve"> benefit was plausible.</w:t>
      </w:r>
    </w:p>
    <w:p w:rsidR="00CD15AB" w:rsidRPr="00470C32" w:rsidRDefault="00CD15AB" w:rsidP="00212306">
      <w:pPr>
        <w:ind w:left="709"/>
      </w:pPr>
    </w:p>
    <w:p w:rsidR="00B60939" w:rsidRPr="00470C32" w:rsidRDefault="00B60939" w:rsidP="002C2775">
      <w:pPr>
        <w:pStyle w:val="Heading2"/>
        <w:rPr>
          <w:i/>
        </w:rPr>
      </w:pPr>
      <w:bookmarkStart w:id="19" w:name="_Toc458759485"/>
      <w:bookmarkStart w:id="20" w:name="_Toc461614085"/>
      <w:r w:rsidRPr="00470C32">
        <w:rPr>
          <w:i/>
        </w:rPr>
        <w:t>Comparative harms</w:t>
      </w:r>
      <w:bookmarkEnd w:id="19"/>
      <w:bookmarkEnd w:id="20"/>
    </w:p>
    <w:p w:rsidR="00B60939" w:rsidRPr="00470C32" w:rsidRDefault="00B60939" w:rsidP="00B60939">
      <w:pPr>
        <w:ind w:left="720" w:hanging="720"/>
        <w:rPr>
          <w:szCs w:val="22"/>
        </w:rPr>
      </w:pPr>
    </w:p>
    <w:p w:rsidR="00332F31" w:rsidRPr="00515649" w:rsidRDefault="00E81DC3" w:rsidP="005D5FF8">
      <w:pPr>
        <w:pStyle w:val="ListParagraph"/>
        <w:widowControl/>
        <w:numPr>
          <w:ilvl w:val="1"/>
          <w:numId w:val="1"/>
        </w:numPr>
        <w:rPr>
          <w:i/>
          <w:szCs w:val="22"/>
        </w:rPr>
      </w:pPr>
      <w:r w:rsidRPr="00515649">
        <w:rPr>
          <w:szCs w:val="22"/>
        </w:rPr>
        <w:t>Based on the follicular lymphoma subgroup, t</w:t>
      </w:r>
      <w:r w:rsidR="00A34AF6" w:rsidRPr="00515649">
        <w:rPr>
          <w:szCs w:val="22"/>
        </w:rPr>
        <w:t xml:space="preserve">he most common Grade 3-5 adverse events that occurred with </w:t>
      </w:r>
      <w:r w:rsidR="00512791" w:rsidRPr="00515649">
        <w:rPr>
          <w:szCs w:val="22"/>
        </w:rPr>
        <w:t>at least a five percent</w:t>
      </w:r>
      <w:r w:rsidR="00A34AF6" w:rsidRPr="00515649">
        <w:rPr>
          <w:szCs w:val="22"/>
        </w:rPr>
        <w:t xml:space="preserve"> incidence </w:t>
      </w:r>
      <w:r w:rsidR="00512791" w:rsidRPr="00515649">
        <w:rPr>
          <w:szCs w:val="22"/>
        </w:rPr>
        <w:t>in either of the t</w:t>
      </w:r>
      <w:r w:rsidR="00A34AF6" w:rsidRPr="00515649">
        <w:rPr>
          <w:szCs w:val="22"/>
        </w:rPr>
        <w:t>reatment arms were neutropenia (32.3%</w:t>
      </w:r>
      <w:r w:rsidR="0031470E" w:rsidRPr="00515649">
        <w:rPr>
          <w:szCs w:val="22"/>
        </w:rPr>
        <w:t xml:space="preserve"> </w:t>
      </w:r>
      <w:r w:rsidR="00A34AF6" w:rsidRPr="00515649">
        <w:rPr>
          <w:szCs w:val="22"/>
        </w:rPr>
        <w:t>versus 24.4%</w:t>
      </w:r>
      <w:r w:rsidR="0031470E" w:rsidRPr="00515649">
        <w:rPr>
          <w:szCs w:val="22"/>
        </w:rPr>
        <w:t xml:space="preserve"> </w:t>
      </w:r>
      <w:r w:rsidR="00CE074D" w:rsidRPr="00515649">
        <w:rPr>
          <w:szCs w:val="22"/>
        </w:rPr>
        <w:t xml:space="preserve">for </w:t>
      </w:r>
      <w:proofErr w:type="spellStart"/>
      <w:r w:rsidR="00CE074D" w:rsidRPr="00515649">
        <w:rPr>
          <w:szCs w:val="22"/>
        </w:rPr>
        <w:t>obinutuzumab</w:t>
      </w:r>
      <w:proofErr w:type="spellEnd"/>
      <w:r w:rsidR="00CE074D" w:rsidRPr="00515649">
        <w:rPr>
          <w:szCs w:val="22"/>
        </w:rPr>
        <w:t xml:space="preserve"> plus </w:t>
      </w:r>
      <w:proofErr w:type="spellStart"/>
      <w:r w:rsidR="00CE074D" w:rsidRPr="00515649">
        <w:rPr>
          <w:szCs w:val="22"/>
        </w:rPr>
        <w:t>bendamustine</w:t>
      </w:r>
      <w:proofErr w:type="spellEnd"/>
      <w:r w:rsidR="00CE074D" w:rsidRPr="00515649">
        <w:rPr>
          <w:szCs w:val="22"/>
        </w:rPr>
        <w:t xml:space="preserve"> </w:t>
      </w:r>
      <w:r w:rsidR="00942980" w:rsidRPr="00515649">
        <w:rPr>
          <w:szCs w:val="22"/>
        </w:rPr>
        <w:t>vs</w:t>
      </w:r>
      <w:r w:rsidR="00655168">
        <w:rPr>
          <w:szCs w:val="22"/>
        </w:rPr>
        <w:t>.</w:t>
      </w:r>
      <w:r w:rsidR="00A34AF6" w:rsidRPr="00515649">
        <w:rPr>
          <w:szCs w:val="22"/>
        </w:rPr>
        <w:t xml:space="preserve"> </w:t>
      </w:r>
      <w:proofErr w:type="spellStart"/>
      <w:r w:rsidR="0031470E" w:rsidRPr="00515649">
        <w:rPr>
          <w:szCs w:val="22"/>
        </w:rPr>
        <w:t>bendamustine</w:t>
      </w:r>
      <w:proofErr w:type="spellEnd"/>
      <w:r w:rsidR="0031470E" w:rsidRPr="00515649">
        <w:rPr>
          <w:szCs w:val="22"/>
        </w:rPr>
        <w:t xml:space="preserve"> monotherapy</w:t>
      </w:r>
      <w:r w:rsidR="00CE074D" w:rsidRPr="00515649">
        <w:rPr>
          <w:szCs w:val="22"/>
        </w:rPr>
        <w:t>, respectively</w:t>
      </w:r>
      <w:r w:rsidR="00A34AF6" w:rsidRPr="00515649">
        <w:rPr>
          <w:szCs w:val="22"/>
        </w:rPr>
        <w:t>), thrombocytopenia (11.0% vs</w:t>
      </w:r>
      <w:r w:rsidR="00655168">
        <w:rPr>
          <w:szCs w:val="22"/>
        </w:rPr>
        <w:t>.</w:t>
      </w:r>
      <w:r w:rsidR="00A34AF6" w:rsidRPr="00515649">
        <w:rPr>
          <w:szCs w:val="22"/>
        </w:rPr>
        <w:t xml:space="preserve"> 14.9%), anaemia (6.1%</w:t>
      </w:r>
      <w:r w:rsidR="0031470E" w:rsidRPr="00515649">
        <w:rPr>
          <w:szCs w:val="22"/>
        </w:rPr>
        <w:t xml:space="preserve"> </w:t>
      </w:r>
      <w:r w:rsidR="00A34AF6" w:rsidRPr="00515649">
        <w:rPr>
          <w:szCs w:val="22"/>
        </w:rPr>
        <w:t>vs</w:t>
      </w:r>
      <w:r w:rsidR="00655168">
        <w:rPr>
          <w:szCs w:val="22"/>
        </w:rPr>
        <w:t>.</w:t>
      </w:r>
      <w:r w:rsidR="00A34AF6" w:rsidRPr="00515649">
        <w:rPr>
          <w:szCs w:val="22"/>
        </w:rPr>
        <w:t xml:space="preserve"> 10.1%), febrile neutropenia (5.5%</w:t>
      </w:r>
      <w:r w:rsidR="0031470E" w:rsidRPr="00515649">
        <w:rPr>
          <w:szCs w:val="22"/>
        </w:rPr>
        <w:t xml:space="preserve"> </w:t>
      </w:r>
      <w:r w:rsidR="00A34AF6" w:rsidRPr="00515649">
        <w:rPr>
          <w:szCs w:val="22"/>
        </w:rPr>
        <w:t>vs</w:t>
      </w:r>
      <w:r w:rsidR="00655168">
        <w:rPr>
          <w:szCs w:val="22"/>
        </w:rPr>
        <w:t>.</w:t>
      </w:r>
      <w:r w:rsidR="00A34AF6" w:rsidRPr="00515649">
        <w:rPr>
          <w:szCs w:val="22"/>
        </w:rPr>
        <w:t xml:space="preserve"> 3.0%</w:t>
      </w:r>
      <w:r w:rsidR="0031470E" w:rsidRPr="00515649">
        <w:rPr>
          <w:szCs w:val="22"/>
        </w:rPr>
        <w:t>)</w:t>
      </w:r>
      <w:r w:rsidR="00A34AF6" w:rsidRPr="00515649">
        <w:rPr>
          <w:szCs w:val="22"/>
        </w:rPr>
        <w:t>, infusion-related reactions (9.1%</w:t>
      </w:r>
      <w:r w:rsidR="0031470E" w:rsidRPr="00470C32">
        <w:t xml:space="preserve"> </w:t>
      </w:r>
      <w:r w:rsidR="00A34AF6" w:rsidRPr="00515649">
        <w:rPr>
          <w:szCs w:val="22"/>
        </w:rPr>
        <w:t>vs</w:t>
      </w:r>
      <w:r w:rsidR="00655168">
        <w:rPr>
          <w:szCs w:val="22"/>
        </w:rPr>
        <w:t>.</w:t>
      </w:r>
      <w:r w:rsidR="00A34AF6" w:rsidRPr="00515649">
        <w:rPr>
          <w:szCs w:val="22"/>
        </w:rPr>
        <w:t xml:space="preserve"> 3.6%) and pneumonia (1.8% </w:t>
      </w:r>
      <w:r w:rsidR="0031470E" w:rsidRPr="00515649">
        <w:rPr>
          <w:szCs w:val="22"/>
        </w:rPr>
        <w:t>vs</w:t>
      </w:r>
      <w:r w:rsidR="00655168">
        <w:rPr>
          <w:szCs w:val="22"/>
        </w:rPr>
        <w:t>.</w:t>
      </w:r>
      <w:r w:rsidR="0031470E" w:rsidRPr="00515649">
        <w:rPr>
          <w:szCs w:val="22"/>
        </w:rPr>
        <w:t xml:space="preserve"> </w:t>
      </w:r>
      <w:r w:rsidR="00A34AF6" w:rsidRPr="00515649">
        <w:rPr>
          <w:szCs w:val="22"/>
        </w:rPr>
        <w:t>5.4%).</w:t>
      </w:r>
    </w:p>
    <w:p w:rsidR="002A50AE" w:rsidRPr="00470C32" w:rsidRDefault="002A50AE" w:rsidP="002A50AE">
      <w:pPr>
        <w:widowControl/>
      </w:pPr>
    </w:p>
    <w:p w:rsidR="000469B2" w:rsidRPr="00470C32" w:rsidRDefault="000469B2" w:rsidP="005D5FF8">
      <w:pPr>
        <w:widowControl/>
        <w:numPr>
          <w:ilvl w:val="1"/>
          <w:numId w:val="1"/>
        </w:numPr>
        <w:rPr>
          <w:szCs w:val="22"/>
        </w:rPr>
      </w:pPr>
      <w:r w:rsidRPr="00470C32">
        <w:rPr>
          <w:szCs w:val="22"/>
        </w:rPr>
        <w:t xml:space="preserve">Patients treated in the </w:t>
      </w:r>
      <w:proofErr w:type="spellStart"/>
      <w:r w:rsidRPr="00470C32">
        <w:rPr>
          <w:szCs w:val="22"/>
        </w:rPr>
        <w:t>obinutuzumab</w:t>
      </w:r>
      <w:proofErr w:type="spellEnd"/>
      <w:r w:rsidRPr="00470C32">
        <w:rPr>
          <w:szCs w:val="22"/>
        </w:rPr>
        <w:t xml:space="preserve"> plus </w:t>
      </w:r>
      <w:proofErr w:type="spellStart"/>
      <w:r w:rsidRPr="00470C32">
        <w:rPr>
          <w:szCs w:val="22"/>
        </w:rPr>
        <w:t>bendamustine</w:t>
      </w:r>
      <w:proofErr w:type="spellEnd"/>
      <w:r w:rsidRPr="00470C32">
        <w:rPr>
          <w:szCs w:val="22"/>
        </w:rPr>
        <w:t xml:space="preserve"> arm </w:t>
      </w:r>
      <w:r w:rsidR="00E81DC3" w:rsidRPr="00470C32">
        <w:rPr>
          <w:szCs w:val="22"/>
        </w:rPr>
        <w:t xml:space="preserve">in the follicular lymphoma subgroup </w:t>
      </w:r>
      <w:r w:rsidRPr="00470C32">
        <w:rPr>
          <w:szCs w:val="22"/>
        </w:rPr>
        <w:t>were also at a greater risk of Grade 3-5 procedural complications (12.2% vs</w:t>
      </w:r>
      <w:r w:rsidR="00913311">
        <w:rPr>
          <w:szCs w:val="22"/>
        </w:rPr>
        <w:t>.</w:t>
      </w:r>
      <w:r w:rsidRPr="00470C32">
        <w:rPr>
          <w:szCs w:val="22"/>
        </w:rPr>
        <w:t xml:space="preserve"> 3.6%)</w:t>
      </w:r>
      <w:r w:rsidR="002E69BA">
        <w:rPr>
          <w:szCs w:val="22"/>
        </w:rPr>
        <w:t>,</w:t>
      </w:r>
      <w:r w:rsidRPr="00470C32">
        <w:rPr>
          <w:szCs w:val="22"/>
        </w:rPr>
        <w:t xml:space="preserve"> all-grade cardiac events (12.2% vs</w:t>
      </w:r>
      <w:r w:rsidR="00913311">
        <w:rPr>
          <w:szCs w:val="22"/>
        </w:rPr>
        <w:t>.</w:t>
      </w:r>
      <w:r w:rsidRPr="00470C32">
        <w:rPr>
          <w:szCs w:val="22"/>
        </w:rPr>
        <w:t xml:space="preserve"> 5.4%) and all-grade musculoskeletal and connective tissue disorders (41.5% vs</w:t>
      </w:r>
      <w:r w:rsidR="00913311">
        <w:rPr>
          <w:szCs w:val="22"/>
        </w:rPr>
        <w:t>.</w:t>
      </w:r>
      <w:r w:rsidRPr="00470C32">
        <w:rPr>
          <w:szCs w:val="22"/>
        </w:rPr>
        <w:t xml:space="preserve"> 30.4%) when compared with </w:t>
      </w:r>
      <w:proofErr w:type="spellStart"/>
      <w:r w:rsidRPr="00470C32">
        <w:rPr>
          <w:szCs w:val="22"/>
        </w:rPr>
        <w:t>bendamustine</w:t>
      </w:r>
      <w:proofErr w:type="spellEnd"/>
      <w:r w:rsidRPr="00470C32">
        <w:rPr>
          <w:szCs w:val="22"/>
        </w:rPr>
        <w:t xml:space="preserve"> monotherapy. Grade 3-5 procedural complications included injury, poisoning and infusion-related events, and were driven by Grade 3-5 infusion-related reactions (9.1% vs</w:t>
      </w:r>
      <w:r w:rsidR="00913311">
        <w:rPr>
          <w:szCs w:val="22"/>
        </w:rPr>
        <w:t>.</w:t>
      </w:r>
      <w:r w:rsidRPr="00470C32">
        <w:rPr>
          <w:szCs w:val="22"/>
        </w:rPr>
        <w:t xml:space="preserve"> 3.6%).</w:t>
      </w:r>
    </w:p>
    <w:p w:rsidR="009716B5" w:rsidRPr="00470C32" w:rsidRDefault="009716B5" w:rsidP="009716B5">
      <w:pPr>
        <w:rPr>
          <w:szCs w:val="22"/>
        </w:rPr>
      </w:pPr>
    </w:p>
    <w:p w:rsidR="000469B2" w:rsidRPr="00470C32" w:rsidRDefault="005D4856" w:rsidP="005D5FF8">
      <w:pPr>
        <w:pStyle w:val="ListParagraph"/>
        <w:widowControl/>
        <w:numPr>
          <w:ilvl w:val="1"/>
          <w:numId w:val="1"/>
        </w:numPr>
        <w:rPr>
          <w:szCs w:val="22"/>
        </w:rPr>
      </w:pPr>
      <w:r>
        <w:rPr>
          <w:szCs w:val="22"/>
        </w:rPr>
        <w:t>P</w:t>
      </w:r>
      <w:r w:rsidR="000469B2" w:rsidRPr="00470C32">
        <w:rPr>
          <w:szCs w:val="22"/>
        </w:rPr>
        <w:t xml:space="preserve">atients treated with </w:t>
      </w:r>
      <w:proofErr w:type="spellStart"/>
      <w:r w:rsidR="000469B2" w:rsidRPr="00470C32">
        <w:rPr>
          <w:szCs w:val="22"/>
        </w:rPr>
        <w:t>obinutuzumab</w:t>
      </w:r>
      <w:proofErr w:type="spellEnd"/>
      <w:r w:rsidR="000469B2" w:rsidRPr="00470C32">
        <w:rPr>
          <w:szCs w:val="22"/>
        </w:rPr>
        <w:t xml:space="preserve"> were more likely to experience Grade 3 or 4 cardiac events, with eight patients (4.9%) in the </w:t>
      </w:r>
      <w:proofErr w:type="spellStart"/>
      <w:r w:rsidR="000469B2" w:rsidRPr="00470C32">
        <w:rPr>
          <w:szCs w:val="22"/>
        </w:rPr>
        <w:t>obinutuzumab</w:t>
      </w:r>
      <w:proofErr w:type="spellEnd"/>
      <w:r w:rsidR="000469B2" w:rsidRPr="00470C32">
        <w:rPr>
          <w:szCs w:val="22"/>
        </w:rPr>
        <w:t xml:space="preserve"> arm versus two patients (1.2%) treated with </w:t>
      </w:r>
      <w:proofErr w:type="spellStart"/>
      <w:r w:rsidR="000469B2" w:rsidRPr="00470C32">
        <w:rPr>
          <w:szCs w:val="22"/>
        </w:rPr>
        <w:t>bendamustine</w:t>
      </w:r>
      <w:proofErr w:type="spellEnd"/>
      <w:r w:rsidR="000469B2" w:rsidRPr="00470C32">
        <w:rPr>
          <w:szCs w:val="22"/>
        </w:rPr>
        <w:t xml:space="preserve"> monotherapy. Neutropenia was also identified as a key safety event in the trial, with serious </w:t>
      </w:r>
      <w:proofErr w:type="spellStart"/>
      <w:r w:rsidR="000469B2" w:rsidRPr="00470C32">
        <w:rPr>
          <w:szCs w:val="22"/>
        </w:rPr>
        <w:t>neutropenic</w:t>
      </w:r>
      <w:proofErr w:type="spellEnd"/>
      <w:r w:rsidR="000469B2" w:rsidRPr="00470C32">
        <w:rPr>
          <w:szCs w:val="22"/>
        </w:rPr>
        <w:t xml:space="preserve"> events occurring more amongst patients treated with the </w:t>
      </w:r>
      <w:proofErr w:type="spellStart"/>
      <w:r w:rsidR="000469B2" w:rsidRPr="00470C32">
        <w:rPr>
          <w:szCs w:val="22"/>
        </w:rPr>
        <w:t>obinutuzumab</w:t>
      </w:r>
      <w:proofErr w:type="spellEnd"/>
      <w:r w:rsidR="000469B2" w:rsidRPr="00470C32">
        <w:rPr>
          <w:szCs w:val="22"/>
        </w:rPr>
        <w:t xml:space="preserve"> plus </w:t>
      </w:r>
      <w:proofErr w:type="spellStart"/>
      <w:r w:rsidR="000469B2" w:rsidRPr="00470C32">
        <w:rPr>
          <w:szCs w:val="22"/>
        </w:rPr>
        <w:t>bendamustine</w:t>
      </w:r>
      <w:proofErr w:type="spellEnd"/>
      <w:r w:rsidR="000469B2" w:rsidRPr="00470C32">
        <w:rPr>
          <w:szCs w:val="22"/>
        </w:rPr>
        <w:t xml:space="preserve"> compared to patients treated with </w:t>
      </w:r>
      <w:proofErr w:type="spellStart"/>
      <w:r w:rsidR="000469B2" w:rsidRPr="00470C32">
        <w:rPr>
          <w:szCs w:val="22"/>
        </w:rPr>
        <w:t>bendamustine</w:t>
      </w:r>
      <w:proofErr w:type="spellEnd"/>
      <w:r w:rsidR="000469B2" w:rsidRPr="00470C32">
        <w:rPr>
          <w:szCs w:val="22"/>
        </w:rPr>
        <w:t xml:space="preserve"> monotherapy (9.1% vs</w:t>
      </w:r>
      <w:r w:rsidR="00913311">
        <w:rPr>
          <w:szCs w:val="22"/>
        </w:rPr>
        <w:t>.</w:t>
      </w:r>
      <w:r w:rsidR="000469B2" w:rsidRPr="00470C32">
        <w:rPr>
          <w:szCs w:val="22"/>
        </w:rPr>
        <w:t xml:space="preserve"> 3.0%). An adverse event was classified as ‘serious’ if it was fatal, life-threatening, required  inpatient hospitalisation, resulted in persistent or significant disability or incapacity, was a congenital anomaly or birth defect, or was considered a significant medical event by the investigator.</w:t>
      </w:r>
    </w:p>
    <w:p w:rsidR="009716B5" w:rsidRPr="00470C32" w:rsidRDefault="009716B5" w:rsidP="00222D30">
      <w:pPr>
        <w:pStyle w:val="Header"/>
      </w:pPr>
    </w:p>
    <w:p w:rsidR="009716B5" w:rsidRPr="005D5FF8" w:rsidRDefault="009716B5" w:rsidP="005D5FF8">
      <w:pPr>
        <w:pStyle w:val="ListParagraph"/>
        <w:widowControl/>
        <w:numPr>
          <w:ilvl w:val="1"/>
          <w:numId w:val="1"/>
        </w:numPr>
        <w:rPr>
          <w:b/>
          <w:szCs w:val="22"/>
        </w:rPr>
      </w:pPr>
      <w:proofErr w:type="spellStart"/>
      <w:r w:rsidRPr="00470C32">
        <w:rPr>
          <w:szCs w:val="22"/>
        </w:rPr>
        <w:t>Obinutuzumab</w:t>
      </w:r>
      <w:proofErr w:type="spellEnd"/>
      <w:r w:rsidRPr="00470C32">
        <w:rPr>
          <w:szCs w:val="22"/>
        </w:rPr>
        <w:t xml:space="preserve"> has a warning</w:t>
      </w:r>
      <w:r w:rsidR="003C6AC9" w:rsidRPr="00470C32">
        <w:rPr>
          <w:szCs w:val="22"/>
        </w:rPr>
        <w:t xml:space="preserve"> in the Australian </w:t>
      </w:r>
      <w:r w:rsidR="003C6AC9" w:rsidRPr="005D5FF8">
        <w:rPr>
          <w:szCs w:val="22"/>
        </w:rPr>
        <w:t>Product Information</w:t>
      </w:r>
      <w:r w:rsidRPr="005D5FF8">
        <w:rPr>
          <w:szCs w:val="22"/>
        </w:rPr>
        <w:t xml:space="preserve"> for progressive multifocal leukoencephalopathy. </w:t>
      </w:r>
      <w:r w:rsidR="00C51BD9" w:rsidRPr="005D5FF8">
        <w:rPr>
          <w:szCs w:val="22"/>
        </w:rPr>
        <w:t xml:space="preserve">The PSCR </w:t>
      </w:r>
      <w:r w:rsidR="006A4A8B" w:rsidRPr="005D5FF8">
        <w:rPr>
          <w:szCs w:val="22"/>
        </w:rPr>
        <w:t xml:space="preserve">(p3) </w:t>
      </w:r>
      <w:r w:rsidR="00515649" w:rsidRPr="005D5FF8">
        <w:rPr>
          <w:szCs w:val="22"/>
        </w:rPr>
        <w:t>stated</w:t>
      </w:r>
      <w:r w:rsidR="00C51BD9" w:rsidRPr="005D5FF8">
        <w:rPr>
          <w:szCs w:val="22"/>
        </w:rPr>
        <w:t xml:space="preserve"> that only </w:t>
      </w:r>
      <w:r w:rsidR="003772B2">
        <w:rPr>
          <w:noProof/>
          <w:color w:val="000000"/>
          <w:szCs w:val="22"/>
          <w:highlight w:val="black"/>
        </w:rPr>
        <w:t>'''''''''</w:t>
      </w:r>
      <w:r w:rsidR="00C51BD9" w:rsidRPr="005D5FF8">
        <w:rPr>
          <w:szCs w:val="22"/>
        </w:rPr>
        <w:t xml:space="preserve"> cases of progressive multifocal </w:t>
      </w:r>
      <w:r w:rsidR="00E313D7" w:rsidRPr="005D5FF8">
        <w:rPr>
          <w:szCs w:val="22"/>
        </w:rPr>
        <w:t>leukoencephalopathy</w:t>
      </w:r>
      <w:r w:rsidR="00C51BD9" w:rsidRPr="005D5FF8">
        <w:rPr>
          <w:szCs w:val="22"/>
        </w:rPr>
        <w:t xml:space="preserve"> have been reported out of </w:t>
      </w:r>
      <w:r w:rsidR="00FE6D41">
        <w:rPr>
          <w:szCs w:val="22"/>
        </w:rPr>
        <w:t>approximately</w:t>
      </w:r>
      <w:r w:rsidR="00C51BD9" w:rsidRPr="005D5FF8">
        <w:rPr>
          <w:szCs w:val="22"/>
        </w:rPr>
        <w:t xml:space="preserve"> </w:t>
      </w:r>
      <w:r w:rsidR="003772B2">
        <w:rPr>
          <w:noProof/>
          <w:color w:val="000000"/>
          <w:szCs w:val="22"/>
          <w:highlight w:val="black"/>
        </w:rPr>
        <w:t>'''''''</w:t>
      </w:r>
      <w:r w:rsidR="00C51BD9" w:rsidRPr="005D5FF8">
        <w:rPr>
          <w:szCs w:val="22"/>
        </w:rPr>
        <w:t>,</w:t>
      </w:r>
      <w:r w:rsidR="003772B2">
        <w:rPr>
          <w:noProof/>
          <w:color w:val="000000"/>
          <w:szCs w:val="22"/>
          <w:highlight w:val="black"/>
        </w:rPr>
        <w:t>'''''''''</w:t>
      </w:r>
      <w:r w:rsidR="00C51BD9" w:rsidRPr="005D5FF8">
        <w:rPr>
          <w:szCs w:val="22"/>
        </w:rPr>
        <w:t xml:space="preserve"> patients</w:t>
      </w:r>
      <w:r w:rsidR="00FE6D41">
        <w:rPr>
          <w:szCs w:val="22"/>
        </w:rPr>
        <w:t xml:space="preserve"> who have received </w:t>
      </w:r>
      <w:proofErr w:type="spellStart"/>
      <w:r w:rsidR="00FE6D41">
        <w:rPr>
          <w:szCs w:val="22"/>
        </w:rPr>
        <w:t>obinutuzumab</w:t>
      </w:r>
      <w:proofErr w:type="spellEnd"/>
      <w:r w:rsidR="00C51BD9" w:rsidRPr="005D5FF8">
        <w:rPr>
          <w:szCs w:val="22"/>
        </w:rPr>
        <w:t>, with none of the cases occurring in patients treated for rituximab-refractory follicular lymphoma.</w:t>
      </w:r>
      <w:r w:rsidR="00C51BD9" w:rsidRPr="005D5FF8">
        <w:rPr>
          <w:b/>
          <w:szCs w:val="22"/>
        </w:rPr>
        <w:t xml:space="preserve"> </w:t>
      </w:r>
      <w:r w:rsidRPr="005D5FF8">
        <w:rPr>
          <w:szCs w:val="22"/>
        </w:rPr>
        <w:t>The submission did not provide long</w:t>
      </w:r>
      <w:r w:rsidR="008148AF" w:rsidRPr="005D5FF8">
        <w:rPr>
          <w:szCs w:val="22"/>
        </w:rPr>
        <w:t>-</w:t>
      </w:r>
      <w:r w:rsidRPr="005D5FF8">
        <w:rPr>
          <w:szCs w:val="22"/>
        </w:rPr>
        <w:t xml:space="preserve">term safety data of </w:t>
      </w:r>
      <w:proofErr w:type="spellStart"/>
      <w:r w:rsidRPr="005D5FF8">
        <w:rPr>
          <w:szCs w:val="22"/>
        </w:rPr>
        <w:t>obinutuzumab</w:t>
      </w:r>
      <w:proofErr w:type="spellEnd"/>
      <w:r w:rsidRPr="005D5FF8">
        <w:rPr>
          <w:szCs w:val="22"/>
        </w:rPr>
        <w:t>.</w:t>
      </w:r>
    </w:p>
    <w:p w:rsidR="00B60939" w:rsidRPr="00F17A66" w:rsidRDefault="00B60939" w:rsidP="007F1017">
      <w:pPr>
        <w:pStyle w:val="ListParagraph"/>
        <w:ind w:left="0"/>
        <w:rPr>
          <w:szCs w:val="22"/>
        </w:rPr>
      </w:pPr>
    </w:p>
    <w:p w:rsidR="007F1017" w:rsidRPr="00F17A66" w:rsidRDefault="007F1017" w:rsidP="002C2775">
      <w:pPr>
        <w:pStyle w:val="Heading2"/>
        <w:rPr>
          <w:i/>
          <w:szCs w:val="22"/>
        </w:rPr>
      </w:pPr>
      <w:bookmarkStart w:id="21" w:name="_Toc458759486"/>
      <w:bookmarkStart w:id="22" w:name="_Toc461614086"/>
      <w:r w:rsidRPr="00F17A66">
        <w:rPr>
          <w:i/>
        </w:rPr>
        <w:t>Benefits/harms</w:t>
      </w:r>
      <w:bookmarkEnd w:id="21"/>
      <w:bookmarkEnd w:id="22"/>
    </w:p>
    <w:p w:rsidR="007F1017" w:rsidRPr="00F17A66" w:rsidRDefault="007F1017" w:rsidP="004B1CB4"/>
    <w:p w:rsidR="00F63DB3" w:rsidRPr="007025ED" w:rsidRDefault="00EC00C9" w:rsidP="005D5FF8">
      <w:pPr>
        <w:pStyle w:val="ListParagraph"/>
        <w:widowControl/>
        <w:numPr>
          <w:ilvl w:val="1"/>
          <w:numId w:val="1"/>
        </w:numPr>
        <w:rPr>
          <w:szCs w:val="22"/>
        </w:rPr>
      </w:pPr>
      <w:r w:rsidRPr="00F17A66">
        <w:rPr>
          <w:szCs w:val="22"/>
        </w:rPr>
        <w:t xml:space="preserve">A summary of the comparative benefits and harms for </w:t>
      </w:r>
      <w:proofErr w:type="spellStart"/>
      <w:r w:rsidR="00F35403" w:rsidRPr="00F17A66">
        <w:rPr>
          <w:szCs w:val="22"/>
        </w:rPr>
        <w:t>obinutuzumab</w:t>
      </w:r>
      <w:proofErr w:type="spellEnd"/>
      <w:r w:rsidR="00F35403" w:rsidRPr="00F17A66">
        <w:rPr>
          <w:szCs w:val="22"/>
        </w:rPr>
        <w:t xml:space="preserve"> plus </w:t>
      </w:r>
      <w:proofErr w:type="spellStart"/>
      <w:r w:rsidR="00F35403" w:rsidRPr="00F17A66">
        <w:rPr>
          <w:szCs w:val="22"/>
        </w:rPr>
        <w:t>bendamustine</w:t>
      </w:r>
      <w:proofErr w:type="spellEnd"/>
      <w:r w:rsidR="00F35403" w:rsidRPr="00F17A66">
        <w:rPr>
          <w:szCs w:val="22"/>
        </w:rPr>
        <w:t xml:space="preserve"> versus </w:t>
      </w:r>
      <w:proofErr w:type="spellStart"/>
      <w:r w:rsidR="00F35403" w:rsidRPr="00F17A66">
        <w:rPr>
          <w:szCs w:val="22"/>
        </w:rPr>
        <w:t>bendamustine</w:t>
      </w:r>
      <w:proofErr w:type="spellEnd"/>
      <w:r w:rsidR="00F35403" w:rsidRPr="00F17A66">
        <w:rPr>
          <w:szCs w:val="22"/>
        </w:rPr>
        <w:t xml:space="preserve"> monotherapy </w:t>
      </w:r>
      <w:r w:rsidR="00884FF3" w:rsidRPr="00F17A66">
        <w:rPr>
          <w:szCs w:val="22"/>
        </w:rPr>
        <w:t xml:space="preserve">for the treatment of patients with rituximab-refractory follicular lymphoma </w:t>
      </w:r>
      <w:r w:rsidR="00F35403" w:rsidRPr="00F17A66">
        <w:rPr>
          <w:szCs w:val="22"/>
        </w:rPr>
        <w:t xml:space="preserve">is presented in </w:t>
      </w:r>
      <w:r w:rsidR="00D81A80">
        <w:rPr>
          <w:szCs w:val="22"/>
        </w:rPr>
        <w:t>T</w:t>
      </w:r>
      <w:r w:rsidR="00F35403" w:rsidRPr="00F17A66">
        <w:rPr>
          <w:szCs w:val="22"/>
        </w:rPr>
        <w:t xml:space="preserve">able </w:t>
      </w:r>
      <w:r w:rsidR="00D81A80">
        <w:rPr>
          <w:szCs w:val="22"/>
        </w:rPr>
        <w:t>5</w:t>
      </w:r>
      <w:r w:rsidR="00F35403" w:rsidRPr="00F17A66">
        <w:rPr>
          <w:szCs w:val="22"/>
        </w:rPr>
        <w:t>.</w:t>
      </w:r>
    </w:p>
    <w:p w:rsidR="00F63DB3" w:rsidRPr="00F17A66" w:rsidRDefault="00F63DB3" w:rsidP="004B1CB4"/>
    <w:p w:rsidR="00BC6DCB" w:rsidRDefault="00BC6DCB">
      <w:pPr>
        <w:widowControl/>
        <w:jc w:val="left"/>
        <w:rPr>
          <w:rStyle w:val="CommentReference"/>
        </w:rPr>
      </w:pPr>
      <w:r>
        <w:rPr>
          <w:rStyle w:val="CommentReference"/>
        </w:rPr>
        <w:br w:type="page"/>
      </w:r>
    </w:p>
    <w:p w:rsidR="00B62715" w:rsidRPr="00F17A66" w:rsidRDefault="00B62715" w:rsidP="001E2B7B">
      <w:pPr>
        <w:ind w:left="720"/>
        <w:rPr>
          <w:rStyle w:val="CommentReference"/>
        </w:rPr>
      </w:pPr>
      <w:r w:rsidRPr="00F17A66">
        <w:rPr>
          <w:rStyle w:val="CommentReference"/>
        </w:rPr>
        <w:lastRenderedPageBreak/>
        <w:t xml:space="preserve">Table </w:t>
      </w:r>
      <w:r w:rsidR="00884FF3" w:rsidRPr="00F17A66">
        <w:rPr>
          <w:rStyle w:val="CommentReference"/>
        </w:rPr>
        <w:t>5</w:t>
      </w:r>
      <w:r w:rsidRPr="00F17A66">
        <w:rPr>
          <w:rStyle w:val="CommentReference"/>
        </w:rPr>
        <w:t xml:space="preserve">: Summary of comparative benefits and harms for </w:t>
      </w:r>
      <w:proofErr w:type="spellStart"/>
      <w:r w:rsidR="002A50AE" w:rsidRPr="00F17A66">
        <w:rPr>
          <w:rStyle w:val="CommentReference"/>
        </w:rPr>
        <w:t>obinutuzumab</w:t>
      </w:r>
      <w:proofErr w:type="spellEnd"/>
      <w:r w:rsidR="002A50AE" w:rsidRPr="00F17A66">
        <w:rPr>
          <w:rStyle w:val="CommentReference"/>
        </w:rPr>
        <w:t xml:space="preserve"> plus </w:t>
      </w:r>
      <w:proofErr w:type="spellStart"/>
      <w:r w:rsidR="002A50AE" w:rsidRPr="00F17A66">
        <w:rPr>
          <w:rStyle w:val="CommentReference"/>
        </w:rPr>
        <w:t>bendamustine</w:t>
      </w:r>
      <w:proofErr w:type="spellEnd"/>
      <w:r w:rsidR="002A50AE" w:rsidRPr="00F17A66">
        <w:rPr>
          <w:rStyle w:val="CommentReference"/>
        </w:rPr>
        <w:t xml:space="preserve"> versus best supportive care</w:t>
      </w:r>
      <w:r w:rsidR="009B0D11" w:rsidRPr="00F17A66">
        <w:rPr>
          <w:rStyle w:val="CommentReference"/>
        </w:rPr>
        <w:t xml:space="preserve"> for the follicular subgroup in the GADOLIN trial (1 May 2015 cut-off)</w:t>
      </w:r>
    </w:p>
    <w:tbl>
      <w:tblPr>
        <w:tblStyle w:val="TableGrid"/>
        <w:tblW w:w="4604" w:type="pct"/>
        <w:tblInd w:w="737" w:type="dxa"/>
        <w:tblCellMar>
          <w:left w:w="28" w:type="dxa"/>
          <w:right w:w="28" w:type="dxa"/>
        </w:tblCellMar>
        <w:tblLook w:val="04A0" w:firstRow="1" w:lastRow="0" w:firstColumn="1" w:lastColumn="0" w:noHBand="0" w:noVBand="1"/>
        <w:tblCaption w:val="Table 5: Summary of comparative benefits and harms for obinutuzumab plus bendamustine versus best supportive care for the follicular subgroup in the GADOLIN trial (1 May 2015 cut-off)"/>
      </w:tblPr>
      <w:tblGrid>
        <w:gridCol w:w="2139"/>
        <w:gridCol w:w="82"/>
        <w:gridCol w:w="826"/>
        <w:gridCol w:w="470"/>
        <w:gridCol w:w="192"/>
        <w:gridCol w:w="1236"/>
        <w:gridCol w:w="159"/>
        <w:gridCol w:w="850"/>
        <w:gridCol w:w="749"/>
        <w:gridCol w:w="1661"/>
      </w:tblGrid>
      <w:tr w:rsidR="00B62715" w:rsidRPr="00F17A66" w:rsidTr="001E2B7B">
        <w:trPr>
          <w:trHeight w:val="57"/>
          <w:tblHeader/>
        </w:trPr>
        <w:tc>
          <w:tcPr>
            <w:tcW w:w="5000" w:type="pct"/>
            <w:gridSpan w:val="10"/>
            <w:shd w:val="clear" w:color="auto" w:fill="auto"/>
            <w:vAlign w:val="center"/>
          </w:tcPr>
          <w:p w:rsidR="00B62715" w:rsidRPr="00F17A66" w:rsidRDefault="00B62715" w:rsidP="006A761E">
            <w:pPr>
              <w:rPr>
                <w:rFonts w:ascii="Arial Narrow" w:hAnsi="Arial Narrow"/>
                <w:b/>
                <w:color w:val="000000"/>
                <w:sz w:val="20"/>
                <w:szCs w:val="18"/>
              </w:rPr>
            </w:pPr>
            <w:r w:rsidRPr="00F17A66">
              <w:rPr>
                <w:rFonts w:ascii="Arial Narrow" w:hAnsi="Arial Narrow"/>
                <w:b/>
                <w:color w:val="000000"/>
                <w:sz w:val="20"/>
                <w:szCs w:val="18"/>
              </w:rPr>
              <w:t>Benefits</w:t>
            </w:r>
          </w:p>
        </w:tc>
      </w:tr>
      <w:tr w:rsidR="00335887" w:rsidRPr="00F17A66" w:rsidTr="001E2B7B">
        <w:trPr>
          <w:trHeight w:val="57"/>
          <w:tblHeader/>
        </w:trPr>
        <w:tc>
          <w:tcPr>
            <w:tcW w:w="1278" w:type="pct"/>
            <w:shd w:val="clear" w:color="auto" w:fill="auto"/>
            <w:vAlign w:val="center"/>
          </w:tcPr>
          <w:p w:rsidR="00335887" w:rsidRPr="00F17A66" w:rsidRDefault="00335887" w:rsidP="006A761E">
            <w:pPr>
              <w:jc w:val="center"/>
              <w:rPr>
                <w:rFonts w:ascii="Arial Narrow" w:hAnsi="Arial Narrow"/>
                <w:color w:val="000000"/>
                <w:sz w:val="20"/>
                <w:szCs w:val="18"/>
              </w:rPr>
            </w:pPr>
          </w:p>
        </w:tc>
        <w:tc>
          <w:tcPr>
            <w:tcW w:w="824" w:type="pct"/>
            <w:gridSpan w:val="3"/>
            <w:vAlign w:val="center"/>
          </w:tcPr>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O-Benda</w:t>
            </w:r>
          </w:p>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 xml:space="preserve">N = 164 </w:t>
            </w:r>
          </w:p>
        </w:tc>
        <w:tc>
          <w:tcPr>
            <w:tcW w:w="854" w:type="pct"/>
            <w:gridSpan w:val="2"/>
            <w:vAlign w:val="center"/>
          </w:tcPr>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Benda</w:t>
            </w:r>
          </w:p>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N = 171</w:t>
            </w:r>
          </w:p>
        </w:tc>
        <w:tc>
          <w:tcPr>
            <w:tcW w:w="2044" w:type="pct"/>
            <w:gridSpan w:val="4"/>
            <w:vAlign w:val="center"/>
          </w:tcPr>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HR (95% CI)</w:t>
            </w:r>
          </w:p>
        </w:tc>
      </w:tr>
      <w:tr w:rsidR="00335887" w:rsidRPr="00F17A66" w:rsidTr="001E2B7B">
        <w:trPr>
          <w:trHeight w:val="57"/>
          <w:tblHeader/>
        </w:trPr>
        <w:tc>
          <w:tcPr>
            <w:tcW w:w="5000" w:type="pct"/>
            <w:gridSpan w:val="10"/>
            <w:shd w:val="clear" w:color="auto" w:fill="auto"/>
            <w:vAlign w:val="center"/>
          </w:tcPr>
          <w:p w:rsidR="00335887" w:rsidRPr="00F17A66" w:rsidRDefault="00335887" w:rsidP="000259F9">
            <w:pPr>
              <w:rPr>
                <w:rFonts w:ascii="Arial Narrow" w:hAnsi="Arial Narrow"/>
                <w:b/>
                <w:color w:val="000000"/>
                <w:sz w:val="20"/>
                <w:szCs w:val="18"/>
              </w:rPr>
            </w:pPr>
            <w:r w:rsidRPr="00F17A66">
              <w:rPr>
                <w:rFonts w:ascii="Arial Narrow" w:hAnsi="Arial Narrow"/>
                <w:b/>
                <w:color w:val="000000"/>
                <w:sz w:val="20"/>
                <w:szCs w:val="18"/>
              </w:rPr>
              <w:t>PFS</w:t>
            </w:r>
          </w:p>
        </w:tc>
      </w:tr>
      <w:tr w:rsidR="00335887" w:rsidRPr="00F17A66" w:rsidTr="001E2B7B">
        <w:trPr>
          <w:trHeight w:val="57"/>
          <w:tblHeader/>
        </w:trPr>
        <w:tc>
          <w:tcPr>
            <w:tcW w:w="1278" w:type="pct"/>
            <w:shd w:val="clear" w:color="auto" w:fill="auto"/>
            <w:vAlign w:val="center"/>
          </w:tcPr>
          <w:p w:rsidR="00335887" w:rsidRPr="00F17A66" w:rsidRDefault="00660C6A" w:rsidP="006A761E">
            <w:pPr>
              <w:rPr>
                <w:rFonts w:ascii="Arial Narrow" w:hAnsi="Arial Narrow"/>
                <w:color w:val="000000"/>
                <w:sz w:val="20"/>
                <w:szCs w:val="18"/>
              </w:rPr>
            </w:pPr>
            <w:r w:rsidRPr="00F17A66">
              <w:rPr>
                <w:rFonts w:ascii="Arial Narrow" w:hAnsi="Arial Narrow"/>
                <w:sz w:val="20"/>
              </w:rPr>
              <w:t>Patients with events</w:t>
            </w:r>
            <w:r>
              <w:rPr>
                <w:rFonts w:ascii="Arial Narrow" w:hAnsi="Arial Narrow"/>
                <w:color w:val="000000"/>
                <w:sz w:val="20"/>
                <w:szCs w:val="18"/>
              </w:rPr>
              <w:t xml:space="preserve">, </w:t>
            </w:r>
            <w:r w:rsidR="00335887" w:rsidRPr="00F17A66">
              <w:rPr>
                <w:rFonts w:ascii="Arial Narrow" w:hAnsi="Arial Narrow"/>
                <w:color w:val="000000"/>
                <w:sz w:val="20"/>
                <w:szCs w:val="18"/>
              </w:rPr>
              <w:t>n (%)</w:t>
            </w:r>
          </w:p>
        </w:tc>
        <w:tc>
          <w:tcPr>
            <w:tcW w:w="824" w:type="pct"/>
            <w:gridSpan w:val="3"/>
          </w:tcPr>
          <w:p w:rsidR="00335887" w:rsidRPr="00F17A66" w:rsidRDefault="00660C6A" w:rsidP="006A761E">
            <w:pPr>
              <w:jc w:val="center"/>
              <w:rPr>
                <w:rFonts w:ascii="Arial Narrow" w:hAnsi="Arial Narrow"/>
                <w:sz w:val="20"/>
              </w:rPr>
            </w:pPr>
            <w:r w:rsidRPr="00660C6A">
              <w:rPr>
                <w:rFonts w:ascii="Arial Narrow" w:hAnsi="Arial Narrow"/>
                <w:sz w:val="20"/>
              </w:rPr>
              <w:t>67 (40.9%)</w:t>
            </w:r>
          </w:p>
        </w:tc>
        <w:tc>
          <w:tcPr>
            <w:tcW w:w="854" w:type="pct"/>
            <w:gridSpan w:val="2"/>
          </w:tcPr>
          <w:p w:rsidR="00335887" w:rsidRPr="00F17A66" w:rsidRDefault="00660C6A" w:rsidP="006A761E">
            <w:pPr>
              <w:jc w:val="center"/>
              <w:rPr>
                <w:rFonts w:ascii="Arial Narrow" w:hAnsi="Arial Narrow"/>
                <w:sz w:val="20"/>
              </w:rPr>
            </w:pPr>
            <w:r w:rsidRPr="00660C6A">
              <w:rPr>
                <w:rFonts w:ascii="Arial Narrow" w:hAnsi="Arial Narrow"/>
                <w:sz w:val="20"/>
              </w:rPr>
              <w:t>108 (63.2%)</w:t>
            </w:r>
          </w:p>
        </w:tc>
        <w:tc>
          <w:tcPr>
            <w:tcW w:w="2044" w:type="pct"/>
            <w:gridSpan w:val="4"/>
            <w:vAlign w:val="center"/>
          </w:tcPr>
          <w:p w:rsidR="00335887" w:rsidRPr="00F17A66" w:rsidRDefault="00335887" w:rsidP="006A761E">
            <w:pPr>
              <w:jc w:val="center"/>
              <w:rPr>
                <w:rFonts w:ascii="Arial Narrow" w:hAnsi="Arial Narrow"/>
                <w:color w:val="000000"/>
                <w:sz w:val="20"/>
                <w:szCs w:val="18"/>
              </w:rPr>
            </w:pPr>
            <w:r w:rsidRPr="00F17A66">
              <w:rPr>
                <w:rFonts w:ascii="Arial Narrow" w:hAnsi="Arial Narrow"/>
                <w:color w:val="000000"/>
                <w:sz w:val="20"/>
                <w:szCs w:val="18"/>
              </w:rPr>
              <w:t>-</w:t>
            </w:r>
          </w:p>
        </w:tc>
      </w:tr>
      <w:tr w:rsidR="00335887" w:rsidRPr="00F17A66" w:rsidTr="001E2B7B">
        <w:trPr>
          <w:trHeight w:val="57"/>
          <w:tblHeader/>
        </w:trPr>
        <w:tc>
          <w:tcPr>
            <w:tcW w:w="1278" w:type="pct"/>
            <w:shd w:val="clear" w:color="auto" w:fill="auto"/>
            <w:vAlign w:val="center"/>
          </w:tcPr>
          <w:p w:rsidR="00335887" w:rsidRPr="00F17A66" w:rsidRDefault="00335887" w:rsidP="006A761E">
            <w:pPr>
              <w:rPr>
                <w:rFonts w:ascii="Arial Narrow" w:hAnsi="Arial Narrow"/>
                <w:color w:val="000000"/>
                <w:sz w:val="20"/>
                <w:szCs w:val="18"/>
              </w:rPr>
            </w:pPr>
            <w:r w:rsidRPr="00F17A66">
              <w:rPr>
                <w:rFonts w:ascii="Arial Narrow" w:hAnsi="Arial Narrow"/>
                <w:color w:val="000000"/>
                <w:sz w:val="20"/>
                <w:szCs w:val="18"/>
              </w:rPr>
              <w:t>Median (</w:t>
            </w:r>
            <w:proofErr w:type="spellStart"/>
            <w:r w:rsidRPr="00F17A66">
              <w:rPr>
                <w:rFonts w:ascii="Arial Narrow" w:hAnsi="Arial Narrow"/>
                <w:color w:val="000000"/>
                <w:sz w:val="20"/>
                <w:szCs w:val="18"/>
              </w:rPr>
              <w:t>mths</w:t>
            </w:r>
            <w:proofErr w:type="spellEnd"/>
            <w:r w:rsidRPr="00F17A66">
              <w:rPr>
                <w:rFonts w:ascii="Arial Narrow" w:hAnsi="Arial Narrow"/>
                <w:color w:val="000000"/>
                <w:sz w:val="20"/>
                <w:szCs w:val="18"/>
              </w:rPr>
              <w:t>) (95% CI)</w:t>
            </w:r>
          </w:p>
        </w:tc>
        <w:tc>
          <w:tcPr>
            <w:tcW w:w="824" w:type="pct"/>
            <w:gridSpan w:val="3"/>
            <w:tcBorders>
              <w:bottom w:val="single" w:sz="4" w:space="0" w:color="auto"/>
            </w:tcBorders>
            <w:vAlign w:val="center"/>
          </w:tcPr>
          <w:p w:rsidR="00335887" w:rsidRPr="00F17A66" w:rsidRDefault="00335887" w:rsidP="006A761E">
            <w:pPr>
              <w:jc w:val="center"/>
              <w:rPr>
                <w:rFonts w:ascii="Arial Narrow" w:hAnsi="Arial Narrow"/>
                <w:sz w:val="20"/>
              </w:rPr>
            </w:pPr>
            <w:r w:rsidRPr="00F17A66">
              <w:rPr>
                <w:rFonts w:ascii="Arial Narrow" w:hAnsi="Arial Narrow"/>
                <w:sz w:val="20"/>
              </w:rPr>
              <w:t xml:space="preserve">29.2 (20.5, NE) </w:t>
            </w:r>
          </w:p>
        </w:tc>
        <w:tc>
          <w:tcPr>
            <w:tcW w:w="854" w:type="pct"/>
            <w:gridSpan w:val="2"/>
            <w:tcBorders>
              <w:bottom w:val="single" w:sz="4" w:space="0" w:color="auto"/>
            </w:tcBorders>
            <w:vAlign w:val="center"/>
          </w:tcPr>
          <w:p w:rsidR="00335887" w:rsidRPr="00F17A66" w:rsidRDefault="00335887" w:rsidP="006A761E">
            <w:pPr>
              <w:jc w:val="center"/>
              <w:rPr>
                <w:rFonts w:ascii="Arial Narrow" w:hAnsi="Arial Narrow"/>
                <w:sz w:val="20"/>
              </w:rPr>
            </w:pPr>
            <w:r w:rsidRPr="00F17A66">
              <w:rPr>
                <w:rFonts w:ascii="Arial Narrow" w:hAnsi="Arial Narrow"/>
                <w:sz w:val="20"/>
              </w:rPr>
              <w:t>13.8 (11.5, 15.8)</w:t>
            </w:r>
          </w:p>
        </w:tc>
        <w:tc>
          <w:tcPr>
            <w:tcW w:w="2044" w:type="pct"/>
            <w:gridSpan w:val="4"/>
            <w:vAlign w:val="center"/>
          </w:tcPr>
          <w:p w:rsidR="00335887" w:rsidRPr="00F17A66" w:rsidRDefault="00335887" w:rsidP="006A761E">
            <w:pPr>
              <w:jc w:val="center"/>
              <w:rPr>
                <w:rFonts w:ascii="Arial Narrow" w:hAnsi="Arial Narrow"/>
                <w:b/>
                <w:color w:val="000000"/>
                <w:sz w:val="20"/>
                <w:szCs w:val="18"/>
              </w:rPr>
            </w:pPr>
            <w:r w:rsidRPr="00F17A66">
              <w:rPr>
                <w:rFonts w:ascii="Arial Narrow" w:hAnsi="Arial Narrow"/>
                <w:b/>
                <w:color w:val="000000"/>
                <w:sz w:val="20"/>
                <w:szCs w:val="18"/>
              </w:rPr>
              <w:t>0.47 (0.34, 0.64)</w:t>
            </w:r>
            <w:r w:rsidR="00660C6A">
              <w:rPr>
                <w:rFonts w:ascii="Arial Narrow" w:hAnsi="Arial Narrow"/>
                <w:b/>
                <w:color w:val="000000"/>
                <w:sz w:val="20"/>
                <w:szCs w:val="18"/>
              </w:rPr>
              <w:t xml:space="preserve">, </w:t>
            </w:r>
            <w:r w:rsidR="00660C6A">
              <w:rPr>
                <w:rFonts w:ascii="Arial Narrow" w:hAnsi="Arial Narrow"/>
                <w:b/>
                <w:sz w:val="20"/>
              </w:rPr>
              <w:t>p&lt;0.0001</w:t>
            </w:r>
          </w:p>
        </w:tc>
      </w:tr>
      <w:tr w:rsidR="00335887" w:rsidRPr="00F17A66" w:rsidTr="001E2B7B">
        <w:trPr>
          <w:trHeight w:val="57"/>
          <w:tblHeader/>
        </w:trPr>
        <w:tc>
          <w:tcPr>
            <w:tcW w:w="5000" w:type="pct"/>
            <w:gridSpan w:val="10"/>
            <w:shd w:val="clear" w:color="auto" w:fill="auto"/>
            <w:vAlign w:val="center"/>
          </w:tcPr>
          <w:p w:rsidR="00335887" w:rsidRPr="00F17A66" w:rsidRDefault="00335887" w:rsidP="006A761E">
            <w:pPr>
              <w:rPr>
                <w:rFonts w:ascii="Arial Narrow" w:hAnsi="Arial Narrow"/>
                <w:color w:val="000000"/>
                <w:sz w:val="20"/>
                <w:szCs w:val="18"/>
              </w:rPr>
            </w:pPr>
            <w:r w:rsidRPr="00F17A66">
              <w:rPr>
                <w:rFonts w:ascii="Arial Narrow" w:hAnsi="Arial Narrow"/>
                <w:b/>
                <w:color w:val="000000"/>
                <w:sz w:val="20"/>
                <w:szCs w:val="18"/>
              </w:rPr>
              <w:t>OS</w:t>
            </w:r>
          </w:p>
        </w:tc>
      </w:tr>
      <w:tr w:rsidR="00335887" w:rsidRPr="00F17A66" w:rsidTr="001E2B7B">
        <w:trPr>
          <w:trHeight w:val="57"/>
          <w:tblHeader/>
        </w:trPr>
        <w:tc>
          <w:tcPr>
            <w:tcW w:w="1278" w:type="pct"/>
            <w:shd w:val="clear" w:color="auto" w:fill="auto"/>
            <w:vAlign w:val="center"/>
          </w:tcPr>
          <w:p w:rsidR="00335887" w:rsidRPr="00F17A66" w:rsidRDefault="00335887" w:rsidP="006A761E">
            <w:pPr>
              <w:rPr>
                <w:rFonts w:ascii="Arial Narrow" w:hAnsi="Arial Narrow"/>
                <w:color w:val="000000"/>
                <w:sz w:val="20"/>
                <w:szCs w:val="18"/>
              </w:rPr>
            </w:pPr>
            <w:r w:rsidRPr="00F17A66">
              <w:rPr>
                <w:rFonts w:ascii="Arial Narrow" w:hAnsi="Arial Narrow"/>
                <w:color w:val="000000"/>
                <w:sz w:val="20"/>
                <w:szCs w:val="18"/>
              </w:rPr>
              <w:t>Died; n (%)</w:t>
            </w:r>
          </w:p>
        </w:tc>
        <w:tc>
          <w:tcPr>
            <w:tcW w:w="824" w:type="pct"/>
            <w:gridSpan w:val="3"/>
            <w:tcBorders>
              <w:bottom w:val="single" w:sz="4" w:space="0" w:color="auto"/>
            </w:tcBorders>
            <w:vAlign w:val="center"/>
          </w:tcPr>
          <w:p w:rsidR="00335887" w:rsidRPr="00F17A66" w:rsidRDefault="00335887" w:rsidP="006A761E">
            <w:pPr>
              <w:jc w:val="center"/>
              <w:rPr>
                <w:rFonts w:ascii="Arial Narrow" w:hAnsi="Arial Narrow"/>
                <w:sz w:val="20"/>
              </w:rPr>
            </w:pPr>
            <w:r w:rsidRPr="00F17A66">
              <w:rPr>
                <w:rFonts w:ascii="Arial Narrow" w:hAnsi="Arial Narrow"/>
                <w:sz w:val="20"/>
              </w:rPr>
              <w:t>30 (18.3%)</w:t>
            </w:r>
          </w:p>
        </w:tc>
        <w:tc>
          <w:tcPr>
            <w:tcW w:w="854" w:type="pct"/>
            <w:gridSpan w:val="2"/>
            <w:tcBorders>
              <w:bottom w:val="single" w:sz="4" w:space="0" w:color="auto"/>
            </w:tcBorders>
            <w:vAlign w:val="center"/>
          </w:tcPr>
          <w:p w:rsidR="00335887" w:rsidRPr="00F17A66" w:rsidRDefault="00335887" w:rsidP="006A761E">
            <w:pPr>
              <w:jc w:val="center"/>
              <w:rPr>
                <w:rFonts w:ascii="Arial Narrow" w:hAnsi="Arial Narrow"/>
                <w:sz w:val="20"/>
              </w:rPr>
            </w:pPr>
            <w:r w:rsidRPr="00F17A66">
              <w:rPr>
                <w:rFonts w:ascii="Arial Narrow" w:hAnsi="Arial Narrow"/>
                <w:sz w:val="20"/>
              </w:rPr>
              <w:t>48 (28.1%)</w:t>
            </w:r>
          </w:p>
        </w:tc>
        <w:tc>
          <w:tcPr>
            <w:tcW w:w="2044" w:type="pct"/>
            <w:gridSpan w:val="4"/>
            <w:shd w:val="clear" w:color="auto" w:fill="auto"/>
            <w:vAlign w:val="center"/>
          </w:tcPr>
          <w:p w:rsidR="00335887" w:rsidRPr="00F17A66" w:rsidRDefault="00335887" w:rsidP="006A761E">
            <w:pPr>
              <w:jc w:val="center"/>
              <w:rPr>
                <w:rFonts w:ascii="Arial Narrow" w:hAnsi="Arial Narrow"/>
                <w:b/>
                <w:color w:val="000000"/>
                <w:sz w:val="20"/>
                <w:szCs w:val="18"/>
              </w:rPr>
            </w:pPr>
          </w:p>
        </w:tc>
      </w:tr>
      <w:tr w:rsidR="0057706F" w:rsidRPr="00F17A66" w:rsidTr="001E2B7B">
        <w:trPr>
          <w:trHeight w:val="57"/>
          <w:tblHeader/>
        </w:trPr>
        <w:tc>
          <w:tcPr>
            <w:tcW w:w="1278" w:type="pct"/>
            <w:shd w:val="clear" w:color="auto" w:fill="auto"/>
            <w:vAlign w:val="center"/>
          </w:tcPr>
          <w:p w:rsidR="0057706F" w:rsidRPr="00F17A66" w:rsidRDefault="0057706F" w:rsidP="0057706F">
            <w:pPr>
              <w:rPr>
                <w:rFonts w:ascii="Arial Narrow" w:hAnsi="Arial Narrow"/>
                <w:color w:val="000000"/>
                <w:sz w:val="20"/>
                <w:szCs w:val="18"/>
              </w:rPr>
            </w:pPr>
            <w:r w:rsidRPr="00F17A66">
              <w:rPr>
                <w:rFonts w:ascii="Arial Narrow" w:hAnsi="Arial Narrow"/>
                <w:color w:val="000000"/>
                <w:sz w:val="20"/>
                <w:szCs w:val="18"/>
              </w:rPr>
              <w:t>Median (</w:t>
            </w:r>
            <w:proofErr w:type="spellStart"/>
            <w:r w:rsidRPr="00F17A66">
              <w:rPr>
                <w:rFonts w:ascii="Arial Narrow" w:hAnsi="Arial Narrow"/>
                <w:color w:val="000000"/>
                <w:sz w:val="20"/>
                <w:szCs w:val="18"/>
              </w:rPr>
              <w:t>mths</w:t>
            </w:r>
            <w:proofErr w:type="spellEnd"/>
            <w:r w:rsidRPr="00F17A66">
              <w:rPr>
                <w:rFonts w:ascii="Arial Narrow" w:hAnsi="Arial Narrow"/>
                <w:color w:val="000000"/>
                <w:sz w:val="20"/>
                <w:szCs w:val="18"/>
              </w:rPr>
              <w:t>) (95% CI)</w:t>
            </w:r>
          </w:p>
        </w:tc>
        <w:tc>
          <w:tcPr>
            <w:tcW w:w="824" w:type="pct"/>
            <w:gridSpan w:val="3"/>
            <w:tcBorders>
              <w:bottom w:val="single" w:sz="4" w:space="0" w:color="auto"/>
            </w:tcBorders>
            <w:vAlign w:val="center"/>
          </w:tcPr>
          <w:p w:rsidR="0057706F" w:rsidRPr="00F17A66" w:rsidRDefault="0057706F" w:rsidP="0057706F">
            <w:pPr>
              <w:jc w:val="center"/>
              <w:rPr>
                <w:rFonts w:ascii="Arial Narrow" w:hAnsi="Arial Narrow"/>
                <w:sz w:val="20"/>
              </w:rPr>
            </w:pPr>
            <w:r w:rsidRPr="00F17A66">
              <w:rPr>
                <w:rFonts w:ascii="Arial Narrow" w:hAnsi="Arial Narrow"/>
                <w:sz w:val="20"/>
              </w:rPr>
              <w:t>NE (NE)</w:t>
            </w:r>
          </w:p>
        </w:tc>
        <w:tc>
          <w:tcPr>
            <w:tcW w:w="854" w:type="pct"/>
            <w:gridSpan w:val="2"/>
            <w:tcBorders>
              <w:bottom w:val="single" w:sz="4" w:space="0" w:color="auto"/>
            </w:tcBorders>
            <w:vAlign w:val="center"/>
          </w:tcPr>
          <w:p w:rsidR="0057706F" w:rsidRPr="00F17A66" w:rsidRDefault="0057706F" w:rsidP="0057706F">
            <w:pPr>
              <w:jc w:val="center"/>
              <w:rPr>
                <w:rFonts w:ascii="Arial Narrow" w:hAnsi="Arial Narrow"/>
                <w:sz w:val="20"/>
              </w:rPr>
            </w:pPr>
            <w:r w:rsidRPr="00F17A66">
              <w:rPr>
                <w:rFonts w:ascii="Arial Narrow" w:hAnsi="Arial Narrow"/>
                <w:sz w:val="20"/>
              </w:rPr>
              <w:t>NE (42.2, NE)</w:t>
            </w:r>
          </w:p>
        </w:tc>
        <w:tc>
          <w:tcPr>
            <w:tcW w:w="2044" w:type="pct"/>
            <w:gridSpan w:val="4"/>
            <w:shd w:val="clear" w:color="auto" w:fill="auto"/>
            <w:vAlign w:val="center"/>
          </w:tcPr>
          <w:p w:rsidR="0057706F" w:rsidRPr="00F17A66" w:rsidRDefault="0057706F" w:rsidP="0057706F">
            <w:pPr>
              <w:jc w:val="center"/>
              <w:rPr>
                <w:rFonts w:ascii="Arial Narrow" w:hAnsi="Arial Narrow"/>
                <w:color w:val="000000"/>
                <w:sz w:val="20"/>
                <w:szCs w:val="18"/>
              </w:rPr>
            </w:pPr>
            <w:r w:rsidRPr="00F17A66">
              <w:rPr>
                <w:rFonts w:ascii="Arial Narrow" w:hAnsi="Arial Narrow"/>
                <w:b/>
                <w:color w:val="000000"/>
                <w:sz w:val="20"/>
                <w:szCs w:val="18"/>
              </w:rPr>
              <w:t>0.62 (0.39, 0.98)</w:t>
            </w:r>
            <w:r w:rsidR="00660C6A">
              <w:rPr>
                <w:rFonts w:ascii="Arial Narrow" w:hAnsi="Arial Narrow"/>
                <w:b/>
                <w:color w:val="000000"/>
                <w:sz w:val="20"/>
                <w:szCs w:val="18"/>
              </w:rPr>
              <w:t xml:space="preserve">, </w:t>
            </w:r>
            <w:r w:rsidR="00660C6A" w:rsidRPr="00660C6A">
              <w:rPr>
                <w:rFonts w:ascii="Arial Narrow" w:hAnsi="Arial Narrow"/>
                <w:b/>
                <w:color w:val="000000"/>
                <w:sz w:val="20"/>
                <w:szCs w:val="18"/>
              </w:rPr>
              <w:t>p = 0.0379</w:t>
            </w:r>
          </w:p>
        </w:tc>
      </w:tr>
      <w:tr w:rsidR="00B62715" w:rsidRPr="00F17A66" w:rsidTr="001E2B7B">
        <w:trPr>
          <w:trHeight w:val="57"/>
          <w:tblHeader/>
        </w:trPr>
        <w:tc>
          <w:tcPr>
            <w:tcW w:w="5000" w:type="pct"/>
            <w:gridSpan w:val="10"/>
            <w:tcBorders>
              <w:top w:val="double" w:sz="4" w:space="0" w:color="auto"/>
            </w:tcBorders>
            <w:shd w:val="clear" w:color="auto" w:fill="auto"/>
            <w:vAlign w:val="center"/>
          </w:tcPr>
          <w:p w:rsidR="00B62715" w:rsidRPr="00F17A66" w:rsidRDefault="00B62715" w:rsidP="006A761E">
            <w:pPr>
              <w:rPr>
                <w:rFonts w:ascii="Arial Narrow" w:hAnsi="Arial Narrow"/>
                <w:b/>
                <w:color w:val="000000"/>
                <w:sz w:val="20"/>
                <w:szCs w:val="18"/>
              </w:rPr>
            </w:pPr>
            <w:r w:rsidRPr="00F17A66">
              <w:rPr>
                <w:rFonts w:ascii="Arial Narrow" w:hAnsi="Arial Narrow"/>
                <w:b/>
                <w:color w:val="000000"/>
                <w:sz w:val="20"/>
                <w:szCs w:val="18"/>
              </w:rPr>
              <w:t>Harms</w:t>
            </w:r>
          </w:p>
        </w:tc>
      </w:tr>
      <w:tr w:rsidR="001E2B7B" w:rsidRPr="00F17A66" w:rsidTr="001E2B7B">
        <w:trPr>
          <w:trHeight w:val="57"/>
          <w:tblHeader/>
        </w:trPr>
        <w:tc>
          <w:tcPr>
            <w:tcW w:w="1327" w:type="pct"/>
            <w:gridSpan w:val="2"/>
            <w:vMerge w:val="restart"/>
            <w:shd w:val="clear" w:color="auto" w:fill="auto"/>
            <w:vAlign w:val="center"/>
          </w:tcPr>
          <w:p w:rsidR="00B62715" w:rsidRPr="00F17A66" w:rsidRDefault="0088619D" w:rsidP="0088619D">
            <w:pPr>
              <w:jc w:val="left"/>
              <w:rPr>
                <w:rFonts w:ascii="Arial Narrow" w:hAnsi="Arial Narrow"/>
                <w:b/>
                <w:color w:val="000000"/>
                <w:sz w:val="20"/>
                <w:szCs w:val="18"/>
              </w:rPr>
            </w:pPr>
            <w:r w:rsidRPr="00F17A66">
              <w:rPr>
                <w:rFonts w:ascii="Arial Narrow" w:hAnsi="Arial Narrow"/>
                <w:b/>
                <w:color w:val="000000"/>
                <w:sz w:val="20"/>
                <w:szCs w:val="18"/>
              </w:rPr>
              <w:t>Patients with events</w:t>
            </w:r>
          </w:p>
        </w:tc>
        <w:tc>
          <w:tcPr>
            <w:tcW w:w="494" w:type="pct"/>
            <w:vMerge w:val="restart"/>
            <w:vAlign w:val="center"/>
          </w:tcPr>
          <w:p w:rsidR="00B62715" w:rsidRPr="00F17A66" w:rsidRDefault="00564FDF" w:rsidP="006A761E">
            <w:pPr>
              <w:jc w:val="center"/>
              <w:rPr>
                <w:rFonts w:ascii="Arial Narrow" w:hAnsi="Arial Narrow"/>
                <w:b/>
                <w:color w:val="000000"/>
                <w:sz w:val="20"/>
                <w:szCs w:val="18"/>
              </w:rPr>
            </w:pPr>
            <w:r w:rsidRPr="00F17A66">
              <w:rPr>
                <w:rFonts w:ascii="Arial Narrow" w:hAnsi="Arial Narrow"/>
                <w:b/>
                <w:color w:val="000000"/>
                <w:sz w:val="20"/>
                <w:szCs w:val="18"/>
              </w:rPr>
              <w:t>O-Benda</w:t>
            </w:r>
          </w:p>
          <w:p w:rsidR="00564FDF" w:rsidRPr="00F17A66" w:rsidRDefault="00564FDF" w:rsidP="006A761E">
            <w:pPr>
              <w:jc w:val="center"/>
              <w:rPr>
                <w:rFonts w:ascii="Arial Narrow" w:hAnsi="Arial Narrow"/>
                <w:b/>
                <w:color w:val="000000"/>
                <w:sz w:val="20"/>
                <w:szCs w:val="18"/>
                <w:vertAlign w:val="superscript"/>
              </w:rPr>
            </w:pPr>
            <w:r w:rsidRPr="00F17A66">
              <w:rPr>
                <w:rFonts w:ascii="Arial Narrow" w:hAnsi="Arial Narrow"/>
                <w:b/>
                <w:color w:val="000000"/>
                <w:sz w:val="20"/>
                <w:szCs w:val="18"/>
              </w:rPr>
              <w:t>N =</w:t>
            </w:r>
            <w:r w:rsidR="00770A22" w:rsidRPr="00F17A66">
              <w:rPr>
                <w:rFonts w:ascii="Arial Narrow" w:hAnsi="Arial Narrow"/>
                <w:b/>
                <w:color w:val="000000"/>
                <w:sz w:val="20"/>
                <w:szCs w:val="18"/>
              </w:rPr>
              <w:t xml:space="preserve"> 164</w:t>
            </w:r>
            <w:r w:rsidR="00B213EF" w:rsidRPr="00F17A66">
              <w:rPr>
                <w:rFonts w:ascii="Arial Narrow" w:hAnsi="Arial Narrow"/>
                <w:b/>
                <w:color w:val="000000"/>
                <w:sz w:val="20"/>
                <w:szCs w:val="18"/>
                <w:vertAlign w:val="superscript"/>
              </w:rPr>
              <w:t>a</w:t>
            </w:r>
          </w:p>
        </w:tc>
        <w:tc>
          <w:tcPr>
            <w:tcW w:w="396" w:type="pct"/>
            <w:gridSpan w:val="2"/>
            <w:vMerge w:val="restart"/>
            <w:vAlign w:val="center"/>
          </w:tcPr>
          <w:p w:rsidR="00770A22" w:rsidRPr="00F17A66" w:rsidRDefault="00564FDF" w:rsidP="006A761E">
            <w:pPr>
              <w:jc w:val="center"/>
              <w:rPr>
                <w:rFonts w:ascii="Arial Narrow" w:hAnsi="Arial Narrow"/>
                <w:b/>
                <w:color w:val="000000"/>
                <w:sz w:val="20"/>
                <w:szCs w:val="18"/>
              </w:rPr>
            </w:pPr>
            <w:r w:rsidRPr="00F17A66">
              <w:rPr>
                <w:rFonts w:ascii="Arial Narrow" w:hAnsi="Arial Narrow"/>
                <w:b/>
                <w:color w:val="000000"/>
                <w:sz w:val="20"/>
                <w:szCs w:val="18"/>
              </w:rPr>
              <w:t>Benda</w:t>
            </w:r>
          </w:p>
          <w:p w:rsidR="00B62715" w:rsidRPr="00F17A66" w:rsidRDefault="00770A22" w:rsidP="006A761E">
            <w:pPr>
              <w:jc w:val="center"/>
              <w:rPr>
                <w:rFonts w:ascii="Arial Narrow" w:hAnsi="Arial Narrow"/>
                <w:b/>
                <w:color w:val="000000"/>
                <w:sz w:val="20"/>
                <w:szCs w:val="18"/>
              </w:rPr>
            </w:pPr>
            <w:r w:rsidRPr="00F17A66">
              <w:rPr>
                <w:rFonts w:ascii="Arial Narrow" w:hAnsi="Arial Narrow"/>
                <w:b/>
                <w:color w:val="000000"/>
                <w:sz w:val="20"/>
                <w:szCs w:val="18"/>
              </w:rPr>
              <w:t>N = 168</w:t>
            </w:r>
            <w:r w:rsidR="00564FDF" w:rsidRPr="00F17A66">
              <w:rPr>
                <w:rFonts w:ascii="Arial Narrow" w:hAnsi="Arial Narrow"/>
                <w:b/>
                <w:color w:val="000000"/>
                <w:sz w:val="20"/>
                <w:szCs w:val="18"/>
              </w:rPr>
              <w:t xml:space="preserve"> </w:t>
            </w:r>
          </w:p>
        </w:tc>
        <w:tc>
          <w:tcPr>
            <w:tcW w:w="834" w:type="pct"/>
            <w:gridSpan w:val="2"/>
            <w:vMerge w:val="restart"/>
            <w:vAlign w:val="center"/>
          </w:tcPr>
          <w:p w:rsidR="00B62715" w:rsidRPr="00F17A66" w:rsidRDefault="00B62715" w:rsidP="006A761E">
            <w:pPr>
              <w:jc w:val="center"/>
              <w:rPr>
                <w:rFonts w:ascii="Arial Narrow" w:hAnsi="Arial Narrow"/>
                <w:b/>
                <w:color w:val="000000"/>
                <w:sz w:val="20"/>
                <w:szCs w:val="18"/>
              </w:rPr>
            </w:pPr>
            <w:r w:rsidRPr="00F17A66">
              <w:rPr>
                <w:rFonts w:ascii="Arial Narrow" w:hAnsi="Arial Narrow"/>
                <w:b/>
                <w:color w:val="000000"/>
                <w:sz w:val="20"/>
                <w:szCs w:val="18"/>
              </w:rPr>
              <w:t>RR</w:t>
            </w:r>
          </w:p>
          <w:p w:rsidR="00B62715" w:rsidRPr="00F17A66" w:rsidRDefault="00B62715" w:rsidP="006A761E">
            <w:pPr>
              <w:jc w:val="center"/>
              <w:rPr>
                <w:rFonts w:ascii="Arial Narrow" w:hAnsi="Arial Narrow"/>
                <w:b/>
                <w:color w:val="000000"/>
                <w:sz w:val="20"/>
                <w:szCs w:val="18"/>
              </w:rPr>
            </w:pPr>
            <w:r w:rsidRPr="00F17A66">
              <w:rPr>
                <w:rFonts w:ascii="Arial Narrow" w:hAnsi="Arial Narrow"/>
                <w:b/>
                <w:color w:val="000000"/>
                <w:sz w:val="20"/>
                <w:szCs w:val="18"/>
              </w:rPr>
              <w:t>(95% CI)</w:t>
            </w:r>
          </w:p>
        </w:tc>
        <w:tc>
          <w:tcPr>
            <w:tcW w:w="956" w:type="pct"/>
            <w:gridSpan w:val="2"/>
            <w:vAlign w:val="center"/>
          </w:tcPr>
          <w:p w:rsidR="00B62715" w:rsidRPr="00F17A66" w:rsidRDefault="00B62715" w:rsidP="006A761E">
            <w:pPr>
              <w:jc w:val="center"/>
              <w:rPr>
                <w:rFonts w:ascii="Arial Narrow" w:hAnsi="Arial Narrow"/>
                <w:b/>
                <w:color w:val="000000"/>
                <w:sz w:val="20"/>
                <w:szCs w:val="18"/>
              </w:rPr>
            </w:pPr>
            <w:r w:rsidRPr="00F17A66">
              <w:rPr>
                <w:rFonts w:ascii="Arial Narrow" w:hAnsi="Arial Narrow"/>
                <w:b/>
                <w:color w:val="000000"/>
                <w:sz w:val="20"/>
                <w:szCs w:val="18"/>
              </w:rPr>
              <w:t xml:space="preserve">Event rate/100 </w:t>
            </w:r>
            <w:proofErr w:type="spellStart"/>
            <w:r w:rsidRPr="00F17A66">
              <w:rPr>
                <w:rFonts w:ascii="Arial Narrow" w:hAnsi="Arial Narrow"/>
                <w:b/>
                <w:color w:val="000000"/>
                <w:sz w:val="20"/>
                <w:szCs w:val="18"/>
              </w:rPr>
              <w:t>patients</w:t>
            </w:r>
            <w:r w:rsidR="00770A22" w:rsidRPr="00F17A66">
              <w:rPr>
                <w:rFonts w:ascii="Arial Narrow" w:hAnsi="Arial Narrow"/>
                <w:b/>
                <w:color w:val="000000"/>
                <w:sz w:val="20"/>
                <w:szCs w:val="18"/>
                <w:vertAlign w:val="superscript"/>
              </w:rPr>
              <w:t>b</w:t>
            </w:r>
            <w:proofErr w:type="spellEnd"/>
            <w:r w:rsidRPr="00F17A66">
              <w:rPr>
                <w:rFonts w:ascii="Arial Narrow" w:hAnsi="Arial Narrow"/>
                <w:b/>
                <w:color w:val="000000"/>
                <w:sz w:val="20"/>
                <w:szCs w:val="18"/>
              </w:rPr>
              <w:t xml:space="preserve"> </w:t>
            </w:r>
          </w:p>
        </w:tc>
        <w:tc>
          <w:tcPr>
            <w:tcW w:w="992" w:type="pct"/>
            <w:vMerge w:val="restart"/>
            <w:vAlign w:val="center"/>
          </w:tcPr>
          <w:p w:rsidR="00B62715" w:rsidRPr="00F17A66" w:rsidRDefault="00B62715" w:rsidP="006A761E">
            <w:pPr>
              <w:jc w:val="center"/>
              <w:rPr>
                <w:rFonts w:ascii="Arial Narrow" w:hAnsi="Arial Narrow"/>
                <w:b/>
                <w:color w:val="000000"/>
                <w:sz w:val="20"/>
                <w:szCs w:val="18"/>
              </w:rPr>
            </w:pPr>
            <w:r w:rsidRPr="00F17A66">
              <w:rPr>
                <w:rFonts w:ascii="Arial Narrow" w:hAnsi="Arial Narrow"/>
                <w:b/>
                <w:color w:val="000000"/>
                <w:sz w:val="20"/>
                <w:szCs w:val="18"/>
              </w:rPr>
              <w:t>RD</w:t>
            </w:r>
          </w:p>
          <w:p w:rsidR="00B62715" w:rsidRPr="00F17A66" w:rsidRDefault="00B62715" w:rsidP="006A761E">
            <w:pPr>
              <w:jc w:val="center"/>
              <w:rPr>
                <w:rFonts w:ascii="Arial Narrow" w:hAnsi="Arial Narrow"/>
                <w:b/>
                <w:color w:val="000000"/>
                <w:sz w:val="20"/>
                <w:szCs w:val="18"/>
              </w:rPr>
            </w:pPr>
            <w:r w:rsidRPr="00F17A66">
              <w:rPr>
                <w:rFonts w:ascii="Arial Narrow" w:hAnsi="Arial Narrow"/>
                <w:b/>
                <w:color w:val="000000"/>
                <w:sz w:val="20"/>
                <w:szCs w:val="18"/>
              </w:rPr>
              <w:t>(95% CI)</w:t>
            </w:r>
          </w:p>
        </w:tc>
      </w:tr>
      <w:tr w:rsidR="001E2B7B" w:rsidRPr="00F17A66" w:rsidTr="001E2B7B">
        <w:trPr>
          <w:trHeight w:val="57"/>
          <w:tblHeader/>
        </w:trPr>
        <w:tc>
          <w:tcPr>
            <w:tcW w:w="1327" w:type="pct"/>
            <w:gridSpan w:val="2"/>
            <w:vMerge/>
            <w:shd w:val="clear" w:color="auto" w:fill="auto"/>
            <w:vAlign w:val="center"/>
          </w:tcPr>
          <w:p w:rsidR="00B62715" w:rsidRPr="00F17A66" w:rsidRDefault="00B62715" w:rsidP="006A761E">
            <w:pPr>
              <w:rPr>
                <w:rFonts w:ascii="Arial Narrow" w:hAnsi="Arial Narrow"/>
                <w:b/>
                <w:color w:val="000000"/>
                <w:sz w:val="20"/>
                <w:szCs w:val="18"/>
              </w:rPr>
            </w:pPr>
          </w:p>
        </w:tc>
        <w:tc>
          <w:tcPr>
            <w:tcW w:w="494" w:type="pct"/>
            <w:vMerge/>
            <w:vAlign w:val="center"/>
          </w:tcPr>
          <w:p w:rsidR="00B62715" w:rsidRPr="00F17A66" w:rsidRDefault="00B62715" w:rsidP="006A761E">
            <w:pPr>
              <w:jc w:val="center"/>
              <w:rPr>
                <w:rFonts w:ascii="Arial Narrow" w:hAnsi="Arial Narrow"/>
                <w:b/>
                <w:color w:val="000000"/>
                <w:sz w:val="20"/>
                <w:szCs w:val="18"/>
              </w:rPr>
            </w:pPr>
          </w:p>
        </w:tc>
        <w:tc>
          <w:tcPr>
            <w:tcW w:w="396" w:type="pct"/>
            <w:gridSpan w:val="2"/>
            <w:vMerge/>
            <w:vAlign w:val="center"/>
          </w:tcPr>
          <w:p w:rsidR="00B62715" w:rsidRPr="00F17A66" w:rsidRDefault="00B62715" w:rsidP="006A761E">
            <w:pPr>
              <w:jc w:val="center"/>
              <w:rPr>
                <w:rFonts w:ascii="Arial Narrow" w:hAnsi="Arial Narrow"/>
                <w:b/>
                <w:color w:val="000000"/>
                <w:sz w:val="20"/>
                <w:szCs w:val="18"/>
              </w:rPr>
            </w:pPr>
          </w:p>
        </w:tc>
        <w:tc>
          <w:tcPr>
            <w:tcW w:w="834" w:type="pct"/>
            <w:gridSpan w:val="2"/>
            <w:vMerge/>
            <w:vAlign w:val="center"/>
          </w:tcPr>
          <w:p w:rsidR="00B62715" w:rsidRPr="00F17A66" w:rsidRDefault="00B62715" w:rsidP="006A761E">
            <w:pPr>
              <w:jc w:val="center"/>
              <w:rPr>
                <w:rFonts w:ascii="Arial Narrow" w:hAnsi="Arial Narrow"/>
                <w:b/>
                <w:color w:val="000000"/>
                <w:sz w:val="20"/>
                <w:szCs w:val="18"/>
              </w:rPr>
            </w:pPr>
          </w:p>
        </w:tc>
        <w:tc>
          <w:tcPr>
            <w:tcW w:w="508" w:type="pct"/>
            <w:vAlign w:val="center"/>
          </w:tcPr>
          <w:p w:rsidR="00B62715" w:rsidRPr="00F17A66" w:rsidRDefault="00770A22" w:rsidP="006A761E">
            <w:pPr>
              <w:jc w:val="center"/>
              <w:rPr>
                <w:rFonts w:ascii="Arial Narrow" w:hAnsi="Arial Narrow"/>
                <w:b/>
                <w:color w:val="000000"/>
                <w:sz w:val="20"/>
                <w:szCs w:val="18"/>
              </w:rPr>
            </w:pPr>
            <w:r w:rsidRPr="00F17A66">
              <w:rPr>
                <w:rFonts w:ascii="Arial Narrow" w:hAnsi="Arial Narrow"/>
                <w:b/>
                <w:color w:val="000000"/>
                <w:sz w:val="20"/>
                <w:szCs w:val="18"/>
              </w:rPr>
              <w:t>O-Benda</w:t>
            </w:r>
          </w:p>
        </w:tc>
        <w:tc>
          <w:tcPr>
            <w:tcW w:w="448" w:type="pct"/>
            <w:vAlign w:val="center"/>
          </w:tcPr>
          <w:p w:rsidR="00B62715" w:rsidRPr="00F17A66" w:rsidRDefault="00770A22" w:rsidP="006A761E">
            <w:pPr>
              <w:jc w:val="center"/>
              <w:rPr>
                <w:rFonts w:ascii="Arial Narrow" w:hAnsi="Arial Narrow"/>
                <w:b/>
                <w:color w:val="000000"/>
                <w:sz w:val="20"/>
                <w:szCs w:val="18"/>
              </w:rPr>
            </w:pPr>
            <w:r w:rsidRPr="00F17A66">
              <w:rPr>
                <w:rFonts w:ascii="Arial Narrow" w:hAnsi="Arial Narrow"/>
                <w:b/>
                <w:color w:val="000000"/>
                <w:sz w:val="20"/>
                <w:szCs w:val="18"/>
              </w:rPr>
              <w:t>Benda</w:t>
            </w:r>
          </w:p>
        </w:tc>
        <w:tc>
          <w:tcPr>
            <w:tcW w:w="992" w:type="pct"/>
            <w:vMerge/>
            <w:vAlign w:val="center"/>
          </w:tcPr>
          <w:p w:rsidR="00B62715" w:rsidRPr="00F17A66" w:rsidRDefault="00B62715" w:rsidP="006A761E">
            <w:pPr>
              <w:jc w:val="center"/>
              <w:rPr>
                <w:rFonts w:ascii="Arial Narrow" w:hAnsi="Arial Narrow"/>
                <w:b/>
                <w:color w:val="000000"/>
                <w:sz w:val="20"/>
                <w:szCs w:val="18"/>
              </w:rPr>
            </w:pPr>
          </w:p>
        </w:tc>
      </w:tr>
      <w:tr w:rsidR="001E2B7B" w:rsidRPr="00F17A66" w:rsidTr="001E2B7B">
        <w:trPr>
          <w:trHeight w:val="57"/>
          <w:tblHeader/>
        </w:trPr>
        <w:tc>
          <w:tcPr>
            <w:tcW w:w="1327" w:type="pct"/>
            <w:gridSpan w:val="2"/>
            <w:shd w:val="clear" w:color="auto" w:fill="auto"/>
          </w:tcPr>
          <w:p w:rsidR="008E03B1" w:rsidRPr="00F17A66" w:rsidRDefault="008E03B1" w:rsidP="006A761E">
            <w:pPr>
              <w:jc w:val="left"/>
              <w:rPr>
                <w:rFonts w:ascii="Arial Narrow" w:hAnsi="Arial Narrow"/>
                <w:color w:val="000000"/>
                <w:sz w:val="20"/>
                <w:szCs w:val="18"/>
              </w:rPr>
            </w:pPr>
            <w:r w:rsidRPr="00F17A66">
              <w:rPr>
                <w:rFonts w:ascii="Arial Narrow" w:hAnsi="Arial Narrow"/>
                <w:color w:val="000000"/>
                <w:sz w:val="20"/>
                <w:szCs w:val="18"/>
              </w:rPr>
              <w:t>Grade 3-5 neutropenia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8E03B1" w:rsidRPr="00F17A66" w:rsidRDefault="008E03B1" w:rsidP="006A761E">
            <w:pPr>
              <w:pStyle w:val="TableText0"/>
              <w:spacing w:before="0" w:after="0"/>
              <w:jc w:val="center"/>
            </w:pPr>
            <w:r w:rsidRPr="00F17A66">
              <w:t>53/164</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03B1" w:rsidRPr="00F17A66" w:rsidRDefault="008E03B1" w:rsidP="006A761E">
            <w:pPr>
              <w:pStyle w:val="TableText0"/>
              <w:spacing w:before="0" w:after="0"/>
              <w:jc w:val="center"/>
            </w:pPr>
            <w:r w:rsidRPr="00F17A66">
              <w:t>41/168</w:t>
            </w:r>
          </w:p>
        </w:tc>
        <w:tc>
          <w:tcPr>
            <w:tcW w:w="834" w:type="pct"/>
            <w:gridSpan w:val="2"/>
            <w:vAlign w:val="bottom"/>
          </w:tcPr>
          <w:p w:rsidR="008E03B1" w:rsidRPr="00F17A66" w:rsidRDefault="006A761E" w:rsidP="006A761E">
            <w:pPr>
              <w:pStyle w:val="TableText0"/>
              <w:spacing w:before="0" w:after="0"/>
              <w:jc w:val="center"/>
            </w:pPr>
            <w:r w:rsidRPr="00F17A66">
              <w:t>1.32 (0.94, 1.87)</w:t>
            </w:r>
          </w:p>
        </w:tc>
        <w:tc>
          <w:tcPr>
            <w:tcW w:w="508" w:type="pct"/>
            <w:vAlign w:val="bottom"/>
          </w:tcPr>
          <w:p w:rsidR="008E03B1" w:rsidRPr="00F17A66" w:rsidRDefault="006A761E" w:rsidP="006A761E">
            <w:pPr>
              <w:pStyle w:val="TableText0"/>
              <w:spacing w:before="0" w:after="0"/>
              <w:jc w:val="center"/>
            </w:pPr>
            <w:r w:rsidRPr="00F17A66">
              <w:t>32</w:t>
            </w:r>
          </w:p>
        </w:tc>
        <w:tc>
          <w:tcPr>
            <w:tcW w:w="448" w:type="pct"/>
            <w:vAlign w:val="bottom"/>
          </w:tcPr>
          <w:p w:rsidR="008E03B1" w:rsidRPr="00F17A66" w:rsidRDefault="006A761E" w:rsidP="006A761E">
            <w:pPr>
              <w:pStyle w:val="TableText0"/>
              <w:spacing w:before="0" w:after="0"/>
              <w:jc w:val="center"/>
            </w:pPr>
            <w:r w:rsidRPr="00F17A66">
              <w:t>24</w:t>
            </w:r>
          </w:p>
        </w:tc>
        <w:tc>
          <w:tcPr>
            <w:tcW w:w="992" w:type="pct"/>
            <w:vAlign w:val="bottom"/>
          </w:tcPr>
          <w:p w:rsidR="008E03B1" w:rsidRPr="00515649" w:rsidRDefault="006A761E" w:rsidP="006A761E">
            <w:pPr>
              <w:pStyle w:val="TableText0"/>
              <w:spacing w:before="0" w:after="0"/>
              <w:jc w:val="center"/>
            </w:pPr>
            <w:r w:rsidRPr="00515649">
              <w:t>7.9% (-1.8%, 17.6%)</w:t>
            </w:r>
          </w:p>
        </w:tc>
      </w:tr>
      <w:tr w:rsidR="001E2B7B" w:rsidRPr="00F17A66" w:rsidTr="001E2B7B">
        <w:trPr>
          <w:trHeight w:val="57"/>
          <w:tblHeader/>
        </w:trPr>
        <w:tc>
          <w:tcPr>
            <w:tcW w:w="1327" w:type="pct"/>
            <w:gridSpan w:val="2"/>
            <w:shd w:val="clear" w:color="auto" w:fill="auto"/>
          </w:tcPr>
          <w:p w:rsidR="008E03B1" w:rsidRPr="00F17A66" w:rsidRDefault="008E03B1" w:rsidP="006A761E">
            <w:pPr>
              <w:jc w:val="left"/>
              <w:rPr>
                <w:rFonts w:ascii="Arial Narrow" w:hAnsi="Arial Narrow"/>
                <w:color w:val="000000"/>
                <w:sz w:val="20"/>
                <w:szCs w:val="18"/>
              </w:rPr>
            </w:pPr>
            <w:r w:rsidRPr="00F17A66">
              <w:rPr>
                <w:rFonts w:ascii="Arial Narrow" w:hAnsi="Arial Narrow"/>
                <w:color w:val="000000"/>
                <w:sz w:val="20"/>
                <w:szCs w:val="18"/>
              </w:rPr>
              <w:t>Grade 3-5 febrile neutropenia</w:t>
            </w:r>
          </w:p>
        </w:tc>
        <w:tc>
          <w:tcPr>
            <w:tcW w:w="494" w:type="pct"/>
            <w:vAlign w:val="bottom"/>
          </w:tcPr>
          <w:p w:rsidR="008E03B1" w:rsidRPr="00F17A66" w:rsidRDefault="008E03B1" w:rsidP="006A761E">
            <w:pPr>
              <w:pStyle w:val="TableText0"/>
              <w:spacing w:before="0" w:after="0"/>
              <w:jc w:val="center"/>
            </w:pPr>
            <w:r w:rsidRPr="00F17A66">
              <w:t>9/164</w:t>
            </w:r>
          </w:p>
        </w:tc>
        <w:tc>
          <w:tcPr>
            <w:tcW w:w="396" w:type="pct"/>
            <w:gridSpan w:val="2"/>
            <w:vAlign w:val="bottom"/>
          </w:tcPr>
          <w:p w:rsidR="008E03B1" w:rsidRPr="00F17A66" w:rsidRDefault="008E03B1" w:rsidP="006A761E">
            <w:pPr>
              <w:pStyle w:val="TableText0"/>
              <w:spacing w:before="0" w:after="0"/>
              <w:jc w:val="center"/>
            </w:pPr>
            <w:r w:rsidRPr="00F17A66">
              <w:t>5/168</w:t>
            </w:r>
          </w:p>
        </w:tc>
        <w:tc>
          <w:tcPr>
            <w:tcW w:w="834" w:type="pct"/>
            <w:gridSpan w:val="2"/>
            <w:vAlign w:val="bottom"/>
          </w:tcPr>
          <w:p w:rsidR="008E03B1" w:rsidRPr="00F17A66" w:rsidRDefault="006A761E" w:rsidP="006A761E">
            <w:pPr>
              <w:pStyle w:val="TableText0"/>
              <w:spacing w:before="0" w:after="0"/>
              <w:jc w:val="center"/>
            </w:pPr>
            <w:r w:rsidRPr="00F17A66">
              <w:t>1.84 (0.63, 5.39)</w:t>
            </w:r>
          </w:p>
        </w:tc>
        <w:tc>
          <w:tcPr>
            <w:tcW w:w="508" w:type="pct"/>
            <w:vAlign w:val="bottom"/>
          </w:tcPr>
          <w:p w:rsidR="008E03B1" w:rsidRPr="00F17A66" w:rsidRDefault="007D3FE2" w:rsidP="006A761E">
            <w:pPr>
              <w:pStyle w:val="TableText0"/>
              <w:spacing w:before="0" w:after="0"/>
              <w:jc w:val="center"/>
            </w:pPr>
            <w:r>
              <w:t>5</w:t>
            </w:r>
          </w:p>
        </w:tc>
        <w:tc>
          <w:tcPr>
            <w:tcW w:w="448" w:type="pct"/>
            <w:vAlign w:val="bottom"/>
          </w:tcPr>
          <w:p w:rsidR="008E03B1" w:rsidRPr="00F17A66" w:rsidRDefault="006A761E" w:rsidP="006A761E">
            <w:pPr>
              <w:pStyle w:val="TableText0"/>
              <w:spacing w:before="0" w:after="0"/>
              <w:jc w:val="center"/>
            </w:pPr>
            <w:r w:rsidRPr="00F17A66">
              <w:t>3</w:t>
            </w:r>
          </w:p>
        </w:tc>
        <w:tc>
          <w:tcPr>
            <w:tcW w:w="992" w:type="pct"/>
            <w:vAlign w:val="bottom"/>
          </w:tcPr>
          <w:p w:rsidR="008E03B1" w:rsidRPr="00515649" w:rsidRDefault="006A761E" w:rsidP="006A761E">
            <w:pPr>
              <w:pStyle w:val="TableText0"/>
              <w:spacing w:before="0" w:after="0"/>
              <w:jc w:val="center"/>
            </w:pPr>
            <w:r w:rsidRPr="00515649">
              <w:t>2.5% (-1.8%, 6.8%)</w:t>
            </w:r>
          </w:p>
        </w:tc>
      </w:tr>
      <w:tr w:rsidR="001E2B7B" w:rsidRPr="00F17A66" w:rsidTr="001E2B7B">
        <w:trPr>
          <w:trHeight w:val="57"/>
          <w:tblHeader/>
        </w:trPr>
        <w:tc>
          <w:tcPr>
            <w:tcW w:w="1327" w:type="pct"/>
            <w:gridSpan w:val="2"/>
            <w:shd w:val="clear" w:color="auto" w:fill="auto"/>
          </w:tcPr>
          <w:p w:rsidR="000469B2" w:rsidRPr="00F17A66" w:rsidRDefault="000469B2" w:rsidP="000469B2">
            <w:pPr>
              <w:jc w:val="left"/>
              <w:rPr>
                <w:rFonts w:ascii="Arial Narrow" w:hAnsi="Arial Narrow"/>
                <w:color w:val="000000"/>
                <w:sz w:val="20"/>
                <w:szCs w:val="18"/>
              </w:rPr>
            </w:pPr>
            <w:r w:rsidRPr="00F17A66">
              <w:rPr>
                <w:rFonts w:ascii="Arial Narrow" w:hAnsi="Arial Narrow"/>
                <w:color w:val="000000"/>
                <w:sz w:val="20"/>
                <w:szCs w:val="18"/>
              </w:rPr>
              <w:t>Grade 3-5 Procedural complications</w:t>
            </w:r>
          </w:p>
        </w:tc>
        <w:tc>
          <w:tcPr>
            <w:tcW w:w="494" w:type="pct"/>
            <w:vAlign w:val="bottom"/>
          </w:tcPr>
          <w:p w:rsidR="000469B2" w:rsidRPr="00F17A66" w:rsidRDefault="000469B2" w:rsidP="000469B2">
            <w:pPr>
              <w:pStyle w:val="TableText0"/>
              <w:spacing w:before="0" w:after="0"/>
              <w:jc w:val="center"/>
            </w:pPr>
            <w:r w:rsidRPr="00F17A66">
              <w:t>20/164</w:t>
            </w:r>
          </w:p>
        </w:tc>
        <w:tc>
          <w:tcPr>
            <w:tcW w:w="396" w:type="pct"/>
            <w:gridSpan w:val="2"/>
            <w:vAlign w:val="bottom"/>
          </w:tcPr>
          <w:p w:rsidR="000469B2" w:rsidRPr="00F17A66" w:rsidRDefault="000469B2" w:rsidP="000469B2">
            <w:pPr>
              <w:pStyle w:val="TableText0"/>
              <w:spacing w:before="0" w:after="0"/>
              <w:jc w:val="center"/>
            </w:pPr>
            <w:r w:rsidRPr="00F17A66">
              <w:t>6/168</w:t>
            </w:r>
          </w:p>
        </w:tc>
        <w:tc>
          <w:tcPr>
            <w:tcW w:w="834" w:type="pct"/>
            <w:gridSpan w:val="2"/>
            <w:vAlign w:val="bottom"/>
          </w:tcPr>
          <w:p w:rsidR="000469B2" w:rsidRPr="002812B2" w:rsidRDefault="000469B2" w:rsidP="000469B2">
            <w:pPr>
              <w:pStyle w:val="TableText0"/>
              <w:spacing w:before="0" w:after="0"/>
              <w:jc w:val="center"/>
              <w:rPr>
                <w:b/>
              </w:rPr>
            </w:pPr>
            <w:r w:rsidRPr="002812B2">
              <w:rPr>
                <w:b/>
              </w:rPr>
              <w:t>3.42 (1.41, 8.29)</w:t>
            </w:r>
          </w:p>
        </w:tc>
        <w:tc>
          <w:tcPr>
            <w:tcW w:w="508" w:type="pct"/>
            <w:vAlign w:val="bottom"/>
          </w:tcPr>
          <w:p w:rsidR="000469B2" w:rsidRPr="00F17A66" w:rsidRDefault="000469B2" w:rsidP="000469B2">
            <w:pPr>
              <w:pStyle w:val="TableText0"/>
              <w:spacing w:before="0" w:after="0"/>
              <w:jc w:val="center"/>
            </w:pPr>
            <w:r w:rsidRPr="00F17A66">
              <w:t>12</w:t>
            </w:r>
          </w:p>
        </w:tc>
        <w:tc>
          <w:tcPr>
            <w:tcW w:w="448" w:type="pct"/>
            <w:vAlign w:val="bottom"/>
          </w:tcPr>
          <w:p w:rsidR="000469B2" w:rsidRPr="00F17A66" w:rsidRDefault="000469B2" w:rsidP="000469B2">
            <w:pPr>
              <w:pStyle w:val="TableText0"/>
              <w:spacing w:before="0" w:after="0"/>
              <w:jc w:val="center"/>
            </w:pPr>
            <w:r w:rsidRPr="00F17A66">
              <w:t>4</w:t>
            </w:r>
          </w:p>
        </w:tc>
        <w:tc>
          <w:tcPr>
            <w:tcW w:w="992" w:type="pct"/>
            <w:vAlign w:val="bottom"/>
          </w:tcPr>
          <w:p w:rsidR="000469B2" w:rsidRPr="00515649" w:rsidRDefault="000469B2" w:rsidP="000469B2">
            <w:pPr>
              <w:pStyle w:val="TableText0"/>
              <w:spacing w:before="0" w:after="0"/>
              <w:jc w:val="center"/>
            </w:pPr>
            <w:r w:rsidRPr="00515649">
              <w:rPr>
                <w:b/>
              </w:rPr>
              <w:t>8.6% (2.9%, 14.4%)</w:t>
            </w:r>
          </w:p>
        </w:tc>
      </w:tr>
      <w:tr w:rsidR="001E2B7B" w:rsidRPr="00F17A66" w:rsidTr="001E2B7B">
        <w:trPr>
          <w:trHeight w:val="57"/>
          <w:tblHeader/>
        </w:trPr>
        <w:tc>
          <w:tcPr>
            <w:tcW w:w="1327" w:type="pct"/>
            <w:gridSpan w:val="2"/>
            <w:shd w:val="clear" w:color="auto" w:fill="auto"/>
          </w:tcPr>
          <w:p w:rsidR="008E03B1" w:rsidRPr="00F17A66" w:rsidRDefault="008E03B1" w:rsidP="006A761E">
            <w:pPr>
              <w:jc w:val="left"/>
              <w:rPr>
                <w:rFonts w:ascii="Arial Narrow" w:hAnsi="Arial Narrow"/>
                <w:color w:val="000000"/>
                <w:sz w:val="20"/>
                <w:szCs w:val="18"/>
              </w:rPr>
            </w:pPr>
            <w:r w:rsidRPr="00F17A66">
              <w:rPr>
                <w:rFonts w:ascii="Arial Narrow" w:hAnsi="Arial Narrow"/>
                <w:color w:val="000000"/>
                <w:sz w:val="20"/>
                <w:szCs w:val="18"/>
              </w:rPr>
              <w:t>Grade 3-5 IRR</w:t>
            </w:r>
          </w:p>
        </w:tc>
        <w:tc>
          <w:tcPr>
            <w:tcW w:w="494" w:type="pct"/>
            <w:vAlign w:val="bottom"/>
          </w:tcPr>
          <w:p w:rsidR="008E03B1" w:rsidRPr="00F17A66" w:rsidRDefault="008E03B1" w:rsidP="006A761E">
            <w:pPr>
              <w:pStyle w:val="TableText0"/>
              <w:spacing w:before="0" w:after="0"/>
              <w:jc w:val="center"/>
            </w:pPr>
            <w:r w:rsidRPr="00F17A66">
              <w:t>15/164</w:t>
            </w:r>
          </w:p>
        </w:tc>
        <w:tc>
          <w:tcPr>
            <w:tcW w:w="396" w:type="pct"/>
            <w:gridSpan w:val="2"/>
            <w:vAlign w:val="bottom"/>
          </w:tcPr>
          <w:p w:rsidR="008E03B1" w:rsidRPr="00F17A66" w:rsidRDefault="008E03B1" w:rsidP="006A761E">
            <w:pPr>
              <w:pStyle w:val="TableText0"/>
              <w:spacing w:before="0" w:after="0"/>
              <w:jc w:val="center"/>
            </w:pPr>
            <w:r w:rsidRPr="00F17A66">
              <w:t>6/168</w:t>
            </w:r>
          </w:p>
        </w:tc>
        <w:tc>
          <w:tcPr>
            <w:tcW w:w="834" w:type="pct"/>
            <w:gridSpan w:val="2"/>
            <w:vAlign w:val="bottom"/>
          </w:tcPr>
          <w:p w:rsidR="008E03B1" w:rsidRPr="00F17A66" w:rsidRDefault="006A761E" w:rsidP="006A761E">
            <w:pPr>
              <w:pStyle w:val="TableText0"/>
              <w:spacing w:before="0" w:after="0"/>
              <w:jc w:val="center"/>
              <w:rPr>
                <w:b/>
              </w:rPr>
            </w:pPr>
            <w:r w:rsidRPr="00F17A66">
              <w:rPr>
                <w:b/>
              </w:rPr>
              <w:t>2.56 (1.02, 6.44)</w:t>
            </w:r>
          </w:p>
        </w:tc>
        <w:tc>
          <w:tcPr>
            <w:tcW w:w="508" w:type="pct"/>
            <w:vAlign w:val="bottom"/>
          </w:tcPr>
          <w:p w:rsidR="008E03B1" w:rsidRPr="00F17A66" w:rsidRDefault="006A761E" w:rsidP="006A761E">
            <w:pPr>
              <w:pStyle w:val="TableText0"/>
              <w:spacing w:before="0" w:after="0"/>
              <w:jc w:val="center"/>
            </w:pPr>
            <w:r w:rsidRPr="00F17A66">
              <w:t>9</w:t>
            </w:r>
          </w:p>
        </w:tc>
        <w:tc>
          <w:tcPr>
            <w:tcW w:w="448" w:type="pct"/>
            <w:vAlign w:val="bottom"/>
          </w:tcPr>
          <w:p w:rsidR="008E03B1" w:rsidRPr="00F17A66" w:rsidRDefault="006A761E" w:rsidP="006A761E">
            <w:pPr>
              <w:pStyle w:val="TableText0"/>
              <w:spacing w:before="0" w:after="0"/>
              <w:jc w:val="center"/>
            </w:pPr>
            <w:r w:rsidRPr="00F17A66">
              <w:t>4</w:t>
            </w:r>
          </w:p>
        </w:tc>
        <w:tc>
          <w:tcPr>
            <w:tcW w:w="992" w:type="pct"/>
            <w:vAlign w:val="bottom"/>
          </w:tcPr>
          <w:p w:rsidR="008E03B1" w:rsidRPr="00515649" w:rsidRDefault="006A761E" w:rsidP="006A761E">
            <w:pPr>
              <w:pStyle w:val="TableText0"/>
              <w:spacing w:before="0" w:after="0"/>
              <w:jc w:val="center"/>
              <w:rPr>
                <w:b/>
              </w:rPr>
            </w:pPr>
            <w:r w:rsidRPr="00515649">
              <w:rPr>
                <w:b/>
              </w:rPr>
              <w:t>5.6% (0.3%, 10.8%)</w:t>
            </w:r>
          </w:p>
        </w:tc>
      </w:tr>
      <w:tr w:rsidR="001E2B7B" w:rsidRPr="00F17A66" w:rsidTr="001E2B7B">
        <w:trPr>
          <w:trHeight w:val="57"/>
          <w:tblHeader/>
        </w:trPr>
        <w:tc>
          <w:tcPr>
            <w:tcW w:w="1327" w:type="pct"/>
            <w:gridSpan w:val="2"/>
            <w:shd w:val="clear" w:color="auto" w:fill="auto"/>
          </w:tcPr>
          <w:p w:rsidR="000469B2" w:rsidRPr="00F17A66" w:rsidRDefault="000469B2" w:rsidP="000469B2">
            <w:pPr>
              <w:jc w:val="left"/>
              <w:rPr>
                <w:rFonts w:ascii="Arial Narrow" w:hAnsi="Arial Narrow"/>
                <w:color w:val="000000"/>
                <w:sz w:val="20"/>
                <w:szCs w:val="18"/>
              </w:rPr>
            </w:pPr>
            <w:r w:rsidRPr="00F17A66">
              <w:rPr>
                <w:rFonts w:ascii="Arial Narrow" w:hAnsi="Arial Narrow"/>
                <w:color w:val="000000"/>
                <w:sz w:val="20"/>
                <w:szCs w:val="18"/>
              </w:rPr>
              <w:t>All-grade musculoskeletal events</w:t>
            </w:r>
          </w:p>
        </w:tc>
        <w:tc>
          <w:tcPr>
            <w:tcW w:w="494" w:type="pct"/>
            <w:vAlign w:val="bottom"/>
          </w:tcPr>
          <w:p w:rsidR="000469B2" w:rsidRPr="00F17A66" w:rsidRDefault="000469B2" w:rsidP="000469B2">
            <w:pPr>
              <w:pStyle w:val="TableText0"/>
              <w:spacing w:before="0" w:after="0"/>
              <w:jc w:val="center"/>
            </w:pPr>
            <w:r w:rsidRPr="00F17A66">
              <w:t>68/164</w:t>
            </w:r>
          </w:p>
        </w:tc>
        <w:tc>
          <w:tcPr>
            <w:tcW w:w="396" w:type="pct"/>
            <w:gridSpan w:val="2"/>
            <w:vAlign w:val="bottom"/>
          </w:tcPr>
          <w:p w:rsidR="000469B2" w:rsidRPr="00F17A66" w:rsidRDefault="000469B2" w:rsidP="000469B2">
            <w:pPr>
              <w:pStyle w:val="TableText0"/>
              <w:spacing w:before="0" w:after="0"/>
              <w:jc w:val="center"/>
            </w:pPr>
            <w:r w:rsidRPr="00F17A66">
              <w:t>51/168</w:t>
            </w:r>
          </w:p>
        </w:tc>
        <w:tc>
          <w:tcPr>
            <w:tcW w:w="834" w:type="pct"/>
            <w:gridSpan w:val="2"/>
            <w:vAlign w:val="bottom"/>
          </w:tcPr>
          <w:p w:rsidR="000469B2" w:rsidRPr="00F17A66" w:rsidRDefault="000469B2" w:rsidP="000469B2">
            <w:pPr>
              <w:pStyle w:val="TableText0"/>
              <w:spacing w:before="0" w:after="0"/>
              <w:jc w:val="center"/>
              <w:rPr>
                <w:b/>
              </w:rPr>
            </w:pPr>
            <w:r w:rsidRPr="00F17A66">
              <w:rPr>
                <w:b/>
              </w:rPr>
              <w:t>1.37(1.02, 1.83)</w:t>
            </w:r>
          </w:p>
        </w:tc>
        <w:tc>
          <w:tcPr>
            <w:tcW w:w="508" w:type="pct"/>
            <w:vAlign w:val="bottom"/>
          </w:tcPr>
          <w:p w:rsidR="000469B2" w:rsidRPr="00F17A66" w:rsidRDefault="007D3FE2" w:rsidP="007D3FE2">
            <w:pPr>
              <w:pStyle w:val="TableText0"/>
              <w:spacing w:before="0" w:after="0"/>
              <w:jc w:val="center"/>
            </w:pPr>
            <w:r w:rsidRPr="00F17A66">
              <w:t>4</w:t>
            </w:r>
            <w:r>
              <w:t>1</w:t>
            </w:r>
          </w:p>
        </w:tc>
        <w:tc>
          <w:tcPr>
            <w:tcW w:w="448" w:type="pct"/>
            <w:vAlign w:val="bottom"/>
          </w:tcPr>
          <w:p w:rsidR="000469B2" w:rsidRPr="00F17A66" w:rsidRDefault="000469B2" w:rsidP="000469B2">
            <w:pPr>
              <w:pStyle w:val="TableText0"/>
              <w:spacing w:before="0" w:after="0"/>
              <w:jc w:val="center"/>
            </w:pPr>
            <w:r w:rsidRPr="00F17A66">
              <w:t>30</w:t>
            </w:r>
          </w:p>
        </w:tc>
        <w:tc>
          <w:tcPr>
            <w:tcW w:w="992" w:type="pct"/>
            <w:vAlign w:val="bottom"/>
          </w:tcPr>
          <w:p w:rsidR="000469B2" w:rsidRPr="00515649" w:rsidRDefault="000469B2" w:rsidP="000469B2">
            <w:pPr>
              <w:pStyle w:val="TableText0"/>
              <w:spacing w:before="0" w:after="0"/>
              <w:jc w:val="center"/>
              <w:rPr>
                <w:b/>
              </w:rPr>
            </w:pPr>
            <w:r w:rsidRPr="00515649">
              <w:rPr>
                <w:b/>
              </w:rPr>
              <w:t>11.1% (0.9%, 21.4%)</w:t>
            </w:r>
          </w:p>
        </w:tc>
      </w:tr>
      <w:tr w:rsidR="001E2B7B" w:rsidRPr="00F17A66" w:rsidTr="001E2B7B">
        <w:trPr>
          <w:trHeight w:val="57"/>
          <w:tblHeader/>
        </w:trPr>
        <w:tc>
          <w:tcPr>
            <w:tcW w:w="1327" w:type="pct"/>
            <w:gridSpan w:val="2"/>
            <w:shd w:val="clear" w:color="auto" w:fill="auto"/>
          </w:tcPr>
          <w:p w:rsidR="00B62715" w:rsidRPr="00F17A66" w:rsidRDefault="008E03B1" w:rsidP="006A761E">
            <w:pPr>
              <w:jc w:val="left"/>
              <w:rPr>
                <w:rFonts w:ascii="Arial Narrow" w:hAnsi="Arial Narrow"/>
                <w:color w:val="000000"/>
                <w:sz w:val="20"/>
                <w:szCs w:val="18"/>
              </w:rPr>
            </w:pPr>
            <w:r w:rsidRPr="00F17A66">
              <w:rPr>
                <w:rFonts w:ascii="Arial Narrow" w:hAnsi="Arial Narrow"/>
                <w:color w:val="000000"/>
                <w:sz w:val="20"/>
                <w:szCs w:val="18"/>
              </w:rPr>
              <w:t>All-grade cardiac events</w:t>
            </w:r>
          </w:p>
        </w:tc>
        <w:tc>
          <w:tcPr>
            <w:tcW w:w="494" w:type="pct"/>
            <w:vAlign w:val="bottom"/>
          </w:tcPr>
          <w:p w:rsidR="00B62715" w:rsidRPr="00F17A66" w:rsidRDefault="006A761E" w:rsidP="006A761E">
            <w:pPr>
              <w:pStyle w:val="TableText0"/>
              <w:spacing w:before="0" w:after="0"/>
              <w:jc w:val="center"/>
            </w:pPr>
            <w:r w:rsidRPr="00F17A66">
              <w:t>20/164</w:t>
            </w:r>
          </w:p>
        </w:tc>
        <w:tc>
          <w:tcPr>
            <w:tcW w:w="396" w:type="pct"/>
            <w:gridSpan w:val="2"/>
            <w:vAlign w:val="bottom"/>
          </w:tcPr>
          <w:p w:rsidR="00B62715" w:rsidRPr="00F17A66" w:rsidRDefault="006A761E" w:rsidP="006A761E">
            <w:pPr>
              <w:pStyle w:val="TableText0"/>
              <w:spacing w:before="0" w:after="0"/>
              <w:jc w:val="center"/>
            </w:pPr>
            <w:r w:rsidRPr="00F17A66">
              <w:t>9/168</w:t>
            </w:r>
          </w:p>
        </w:tc>
        <w:tc>
          <w:tcPr>
            <w:tcW w:w="834" w:type="pct"/>
            <w:gridSpan w:val="2"/>
            <w:vAlign w:val="bottom"/>
          </w:tcPr>
          <w:p w:rsidR="00B62715" w:rsidRPr="00515649" w:rsidRDefault="006A761E" w:rsidP="006A761E">
            <w:pPr>
              <w:pStyle w:val="TableText0"/>
              <w:spacing w:before="0" w:after="0"/>
              <w:jc w:val="center"/>
              <w:rPr>
                <w:b/>
              </w:rPr>
            </w:pPr>
            <w:r w:rsidRPr="00515649">
              <w:rPr>
                <w:b/>
              </w:rPr>
              <w:t>2.28 (1.09, 4.85)</w:t>
            </w:r>
          </w:p>
        </w:tc>
        <w:tc>
          <w:tcPr>
            <w:tcW w:w="508" w:type="pct"/>
            <w:vAlign w:val="bottom"/>
          </w:tcPr>
          <w:p w:rsidR="00B62715" w:rsidRPr="00F17A66" w:rsidRDefault="006A761E" w:rsidP="006A761E">
            <w:pPr>
              <w:pStyle w:val="TableText0"/>
              <w:spacing w:before="0" w:after="0"/>
              <w:jc w:val="center"/>
            </w:pPr>
            <w:r w:rsidRPr="00F17A66">
              <w:t>12</w:t>
            </w:r>
          </w:p>
        </w:tc>
        <w:tc>
          <w:tcPr>
            <w:tcW w:w="448" w:type="pct"/>
            <w:vAlign w:val="bottom"/>
          </w:tcPr>
          <w:p w:rsidR="00B62715" w:rsidRPr="00F17A66" w:rsidRDefault="006A761E" w:rsidP="006A761E">
            <w:pPr>
              <w:pStyle w:val="TableText0"/>
              <w:spacing w:before="0" w:after="0"/>
              <w:jc w:val="center"/>
            </w:pPr>
            <w:r w:rsidRPr="00F17A66">
              <w:t>5</w:t>
            </w:r>
          </w:p>
        </w:tc>
        <w:tc>
          <w:tcPr>
            <w:tcW w:w="992" w:type="pct"/>
            <w:vAlign w:val="bottom"/>
          </w:tcPr>
          <w:p w:rsidR="00B62715" w:rsidRPr="00515649" w:rsidRDefault="006A761E" w:rsidP="006A761E">
            <w:pPr>
              <w:pStyle w:val="TableText0"/>
              <w:spacing w:before="0" w:after="0"/>
              <w:jc w:val="center"/>
              <w:rPr>
                <w:b/>
              </w:rPr>
            </w:pPr>
            <w:r w:rsidRPr="00515649">
              <w:rPr>
                <w:b/>
              </w:rPr>
              <w:t>6.8% (0.8%, 12.9%)</w:t>
            </w:r>
          </w:p>
        </w:tc>
      </w:tr>
    </w:tbl>
    <w:p w:rsidR="00B213EF" w:rsidRPr="00F17A66" w:rsidRDefault="00B213EF" w:rsidP="001E2B7B">
      <w:pPr>
        <w:pStyle w:val="TableFooter"/>
        <w:ind w:left="720"/>
      </w:pPr>
      <w:r w:rsidRPr="00F17A66">
        <w:t>Source: Tables B.6.2, pp28-29, B.6.4, p32, B.6.11, pp40-42, B.6.12, p32 of Section B of the submission.</w:t>
      </w:r>
    </w:p>
    <w:p w:rsidR="00B213EF" w:rsidRPr="00F17A66" w:rsidRDefault="00B213EF" w:rsidP="001E2B7B">
      <w:pPr>
        <w:pStyle w:val="TableFooter"/>
        <w:ind w:left="720"/>
      </w:pPr>
      <w:r w:rsidRPr="00F17A66">
        <w:t xml:space="preserve">Benda = </w:t>
      </w:r>
      <w:proofErr w:type="spellStart"/>
      <w:r w:rsidRPr="00F17A66">
        <w:t>bendamustine</w:t>
      </w:r>
      <w:proofErr w:type="spellEnd"/>
      <w:r w:rsidRPr="00F17A66">
        <w:t xml:space="preserve">; HR = hazard ratio; IRR = infusion-related reaction; NE = not evaluable; </w:t>
      </w:r>
      <w:proofErr w:type="spellStart"/>
      <w:r w:rsidRPr="00F17A66">
        <w:t>mnths</w:t>
      </w:r>
      <w:proofErr w:type="spellEnd"/>
      <w:r w:rsidRPr="00F17A66">
        <w:t xml:space="preserve"> = months; O-Benda = </w:t>
      </w:r>
      <w:proofErr w:type="spellStart"/>
      <w:r w:rsidRPr="00F17A66">
        <w:t>obinutuzumab-bendamustine</w:t>
      </w:r>
      <w:proofErr w:type="spellEnd"/>
      <w:r w:rsidRPr="00F17A66">
        <w:t>; RD = risk difference; RR = relative risk</w:t>
      </w:r>
    </w:p>
    <w:p w:rsidR="00D3695F" w:rsidRPr="00F17A66" w:rsidRDefault="00D3695F" w:rsidP="001E2B7B">
      <w:pPr>
        <w:pStyle w:val="TableFooter"/>
        <w:ind w:left="720"/>
        <w:rPr>
          <w:b/>
        </w:rPr>
      </w:pPr>
      <w:r w:rsidRPr="00F17A66">
        <w:rPr>
          <w:b/>
        </w:rPr>
        <w:t xml:space="preserve">Bold </w:t>
      </w:r>
      <w:r w:rsidRPr="00F17A66">
        <w:t>= statistically significant</w:t>
      </w:r>
    </w:p>
    <w:p w:rsidR="00B213EF" w:rsidRPr="00F17A66" w:rsidRDefault="00B213EF" w:rsidP="001E2B7B">
      <w:pPr>
        <w:pStyle w:val="TableFooter"/>
        <w:ind w:left="720"/>
      </w:pPr>
      <w:proofErr w:type="gramStart"/>
      <w:r w:rsidRPr="00F17A66">
        <w:rPr>
          <w:vertAlign w:val="superscript"/>
        </w:rPr>
        <w:t>a</w:t>
      </w:r>
      <w:proofErr w:type="gramEnd"/>
      <w:r w:rsidR="00884FF3" w:rsidRPr="00F17A66">
        <w:rPr>
          <w:vertAlign w:val="superscript"/>
        </w:rPr>
        <w:t xml:space="preserve"> </w:t>
      </w:r>
      <w:r w:rsidRPr="00F17A66">
        <w:t xml:space="preserve">Calculated from safety population </w:t>
      </w:r>
    </w:p>
    <w:p w:rsidR="00B62715" w:rsidRPr="00F17A66" w:rsidRDefault="00B213EF" w:rsidP="001E2B7B">
      <w:pPr>
        <w:pStyle w:val="TableFooter"/>
        <w:ind w:left="720"/>
      </w:pPr>
      <w:proofErr w:type="gramStart"/>
      <w:r w:rsidRPr="00F17A66">
        <w:rPr>
          <w:vertAlign w:val="superscript"/>
        </w:rPr>
        <w:t>b</w:t>
      </w:r>
      <w:proofErr w:type="gramEnd"/>
      <w:r w:rsidR="00884FF3" w:rsidRPr="00F17A66">
        <w:rPr>
          <w:vertAlign w:val="superscript"/>
        </w:rPr>
        <w:t xml:space="preserve"> </w:t>
      </w:r>
      <w:r w:rsidRPr="00F17A66">
        <w:t>Median</w:t>
      </w:r>
      <w:r w:rsidR="00B62715" w:rsidRPr="00F17A66">
        <w:t xml:space="preserve"> duration of </w:t>
      </w:r>
      <w:r w:rsidRPr="00F17A66">
        <w:t>follow-up 24.1 months</w:t>
      </w:r>
    </w:p>
    <w:p w:rsidR="00B60939" w:rsidRPr="00F17A66" w:rsidRDefault="00B60939" w:rsidP="004B1CB4"/>
    <w:p w:rsidR="00582DE8" w:rsidRPr="00F17A66" w:rsidRDefault="00884FF3" w:rsidP="00582DE8">
      <w:pPr>
        <w:pStyle w:val="ListParagraph"/>
        <w:widowControl/>
        <w:numPr>
          <w:ilvl w:val="1"/>
          <w:numId w:val="1"/>
        </w:numPr>
      </w:pPr>
      <w:r w:rsidRPr="00F17A66">
        <w:t xml:space="preserve">On the basis of the </w:t>
      </w:r>
      <w:r w:rsidR="00BE1B64">
        <w:t>direct evidence presented by the submission</w:t>
      </w:r>
      <w:r w:rsidRPr="00F17A66">
        <w:t xml:space="preserve"> </w:t>
      </w:r>
      <w:r w:rsidR="00FD4EBA" w:rsidRPr="00F17A66">
        <w:t>(</w:t>
      </w:r>
      <w:r w:rsidRPr="00F17A66">
        <w:t>follicular lymphoma subgroup</w:t>
      </w:r>
      <w:r w:rsidR="00680DB1">
        <w:t>, May 2015 data cut-off</w:t>
      </w:r>
      <w:r w:rsidR="00FD4EBA" w:rsidRPr="00F17A66">
        <w:t>)</w:t>
      </w:r>
      <w:r w:rsidRPr="00F17A66">
        <w:t xml:space="preserve">, </w:t>
      </w:r>
      <w:r w:rsidR="00B565C8">
        <w:t>f</w:t>
      </w:r>
      <w:r w:rsidR="00B565C8" w:rsidRPr="00F17A66">
        <w:t>or</w:t>
      </w:r>
      <w:r w:rsidR="00B565C8" w:rsidRPr="00F17A66">
        <w:rPr>
          <w:lang w:val="en-US"/>
        </w:rPr>
        <w:t xml:space="preserve"> every 100 patients treated with </w:t>
      </w:r>
      <w:proofErr w:type="spellStart"/>
      <w:r w:rsidR="00B565C8" w:rsidRPr="00F17A66">
        <w:rPr>
          <w:lang w:val="en-US"/>
        </w:rPr>
        <w:t>obinutuzumab</w:t>
      </w:r>
      <w:proofErr w:type="spellEnd"/>
      <w:r w:rsidR="00B565C8" w:rsidRPr="00F17A66">
        <w:rPr>
          <w:lang w:val="en-US"/>
        </w:rPr>
        <w:t xml:space="preserve"> plus </w:t>
      </w:r>
      <w:proofErr w:type="spellStart"/>
      <w:r w:rsidR="00B565C8" w:rsidRPr="00F17A66">
        <w:rPr>
          <w:lang w:val="en-US"/>
        </w:rPr>
        <w:t>bendamustine</w:t>
      </w:r>
      <w:proofErr w:type="spellEnd"/>
      <w:r w:rsidR="00B565C8" w:rsidRPr="00F17A66">
        <w:rPr>
          <w:lang w:val="en-US"/>
        </w:rPr>
        <w:t xml:space="preserve"> therapy in comparison with </w:t>
      </w:r>
      <w:proofErr w:type="spellStart"/>
      <w:r w:rsidR="00B565C8" w:rsidRPr="00F17A66">
        <w:rPr>
          <w:lang w:val="en-US"/>
        </w:rPr>
        <w:t>bendamustine</w:t>
      </w:r>
      <w:proofErr w:type="spellEnd"/>
      <w:r w:rsidR="00B565C8" w:rsidRPr="00F17A66">
        <w:rPr>
          <w:lang w:val="en-US"/>
        </w:rPr>
        <w:t xml:space="preserve"> monotherapy over a median duration of follow-u</w:t>
      </w:r>
      <w:r w:rsidR="00330B60">
        <w:rPr>
          <w:lang w:val="en-US"/>
        </w:rPr>
        <w:t>p of approximately 24.1 months:</w:t>
      </w:r>
    </w:p>
    <w:p w:rsidR="00B565C8" w:rsidRPr="00F17A66" w:rsidRDefault="00B565C8" w:rsidP="00B565C8">
      <w:pPr>
        <w:pStyle w:val="ListParagraph"/>
        <w:numPr>
          <w:ilvl w:val="0"/>
          <w:numId w:val="4"/>
        </w:numPr>
        <w:ind w:left="1134"/>
        <w:rPr>
          <w:szCs w:val="22"/>
        </w:rPr>
      </w:pPr>
      <w:r>
        <w:rPr>
          <w:szCs w:val="22"/>
        </w:rPr>
        <w:t>Five</w:t>
      </w:r>
      <w:r w:rsidRPr="00F17A66">
        <w:rPr>
          <w:szCs w:val="22"/>
        </w:rPr>
        <w:t xml:space="preserve"> more patients will experience a Grade 3-5 infusion-related reaction</w:t>
      </w:r>
      <w:r w:rsidR="00F8068F">
        <w:rPr>
          <w:szCs w:val="22"/>
        </w:rPr>
        <w:t>.</w:t>
      </w:r>
    </w:p>
    <w:p w:rsidR="00582DE8" w:rsidRDefault="00B565C8" w:rsidP="000801CB">
      <w:pPr>
        <w:pStyle w:val="ListParagraph"/>
        <w:numPr>
          <w:ilvl w:val="0"/>
          <w:numId w:val="4"/>
        </w:numPr>
        <w:ind w:left="1134"/>
        <w:rPr>
          <w:szCs w:val="22"/>
        </w:rPr>
      </w:pPr>
      <w:r w:rsidRPr="00F17A66">
        <w:rPr>
          <w:szCs w:val="22"/>
        </w:rPr>
        <w:t>Seven more patients will experience a cardiac event of any grade</w:t>
      </w:r>
      <w:r w:rsidR="00F8068F">
        <w:rPr>
          <w:szCs w:val="22"/>
        </w:rPr>
        <w:t>.</w:t>
      </w:r>
    </w:p>
    <w:p w:rsidR="00B60939" w:rsidRPr="004509E6" w:rsidRDefault="00582DE8" w:rsidP="00FE6D41">
      <w:pPr>
        <w:ind w:left="720"/>
        <w:rPr>
          <w:b/>
        </w:rPr>
      </w:pPr>
      <w:r>
        <w:rPr>
          <w:szCs w:val="22"/>
        </w:rPr>
        <w:t xml:space="preserve">The PBAC considered that given the immature data, </w:t>
      </w:r>
      <w:r w:rsidR="00504506">
        <w:rPr>
          <w:szCs w:val="22"/>
        </w:rPr>
        <w:t>the</w:t>
      </w:r>
      <w:r>
        <w:rPr>
          <w:szCs w:val="22"/>
        </w:rPr>
        <w:t xml:space="preserve"> median PFS</w:t>
      </w:r>
      <w:r w:rsidR="00504506">
        <w:rPr>
          <w:szCs w:val="22"/>
        </w:rPr>
        <w:t xml:space="preserve"> results</w:t>
      </w:r>
      <w:r>
        <w:rPr>
          <w:szCs w:val="22"/>
        </w:rPr>
        <w:t xml:space="preserve"> were not a reliable reflection of the true comparative effectiveness of treatment with </w:t>
      </w:r>
      <w:proofErr w:type="spellStart"/>
      <w:r>
        <w:rPr>
          <w:szCs w:val="22"/>
        </w:rPr>
        <w:t>obinutuzumab</w:t>
      </w:r>
      <w:proofErr w:type="spellEnd"/>
      <w:r>
        <w:rPr>
          <w:szCs w:val="22"/>
        </w:rPr>
        <w:t xml:space="preserve"> plus </w:t>
      </w:r>
      <w:proofErr w:type="spellStart"/>
      <w:r>
        <w:rPr>
          <w:szCs w:val="22"/>
        </w:rPr>
        <w:t>bendamustine</w:t>
      </w:r>
      <w:proofErr w:type="spellEnd"/>
      <w:r>
        <w:rPr>
          <w:szCs w:val="22"/>
        </w:rPr>
        <w:t xml:space="preserve"> compared to </w:t>
      </w:r>
      <w:proofErr w:type="spellStart"/>
      <w:r>
        <w:rPr>
          <w:szCs w:val="22"/>
        </w:rPr>
        <w:t>bendamustine</w:t>
      </w:r>
      <w:proofErr w:type="spellEnd"/>
      <w:r>
        <w:rPr>
          <w:szCs w:val="22"/>
        </w:rPr>
        <w:t xml:space="preserve"> monotherapy.</w:t>
      </w:r>
      <w:r w:rsidR="004509E6">
        <w:rPr>
          <w:szCs w:val="22"/>
        </w:rPr>
        <w:t xml:space="preserve"> The PBAC noted the rate at which patients treated with </w:t>
      </w:r>
      <w:proofErr w:type="spellStart"/>
      <w:r w:rsidR="004509E6">
        <w:rPr>
          <w:szCs w:val="22"/>
        </w:rPr>
        <w:t>obinutuzumab</w:t>
      </w:r>
      <w:proofErr w:type="spellEnd"/>
      <w:r w:rsidR="004509E6">
        <w:rPr>
          <w:szCs w:val="22"/>
        </w:rPr>
        <w:t xml:space="preserve"> plus </w:t>
      </w:r>
      <w:proofErr w:type="spellStart"/>
      <w:r w:rsidR="004509E6">
        <w:rPr>
          <w:szCs w:val="22"/>
        </w:rPr>
        <w:t>bendamustine</w:t>
      </w:r>
      <w:proofErr w:type="spellEnd"/>
      <w:r w:rsidR="004509E6">
        <w:rPr>
          <w:szCs w:val="22"/>
        </w:rPr>
        <w:t xml:space="preserve"> progressed was significantly lower than for patients treated with </w:t>
      </w:r>
      <w:proofErr w:type="spellStart"/>
      <w:r w:rsidR="004509E6">
        <w:rPr>
          <w:szCs w:val="22"/>
        </w:rPr>
        <w:t>bendamustine</w:t>
      </w:r>
      <w:proofErr w:type="spellEnd"/>
      <w:r w:rsidR="004509E6">
        <w:rPr>
          <w:szCs w:val="22"/>
        </w:rPr>
        <w:t xml:space="preserve"> alone, and that over a median duration of follow-up of approximately 24.1 months, 40.9% of patients treated with </w:t>
      </w:r>
      <w:proofErr w:type="spellStart"/>
      <w:r w:rsidR="004509E6">
        <w:rPr>
          <w:szCs w:val="22"/>
        </w:rPr>
        <w:t>obinutuzumab</w:t>
      </w:r>
      <w:proofErr w:type="spellEnd"/>
      <w:r w:rsidR="004509E6">
        <w:rPr>
          <w:szCs w:val="22"/>
        </w:rPr>
        <w:t xml:space="preserve"> plus </w:t>
      </w:r>
      <w:proofErr w:type="spellStart"/>
      <w:r w:rsidR="004509E6">
        <w:rPr>
          <w:szCs w:val="22"/>
        </w:rPr>
        <w:t>bendamustine</w:t>
      </w:r>
      <w:proofErr w:type="spellEnd"/>
      <w:r w:rsidR="004509E6">
        <w:rPr>
          <w:szCs w:val="22"/>
        </w:rPr>
        <w:t xml:space="preserve"> had progressed compared with 63.2% of patients treated with </w:t>
      </w:r>
      <w:proofErr w:type="spellStart"/>
      <w:r w:rsidR="004509E6">
        <w:rPr>
          <w:szCs w:val="22"/>
        </w:rPr>
        <w:t>bendamustine</w:t>
      </w:r>
      <w:proofErr w:type="spellEnd"/>
      <w:r w:rsidR="004509E6">
        <w:rPr>
          <w:szCs w:val="22"/>
        </w:rPr>
        <w:t xml:space="preserve"> alone.</w:t>
      </w:r>
    </w:p>
    <w:p w:rsidR="00504506" w:rsidRDefault="00504506" w:rsidP="004D7FA8">
      <w:bookmarkStart w:id="23" w:name="_Toc458759487"/>
      <w:bookmarkStart w:id="24" w:name="_Toc461614087"/>
    </w:p>
    <w:p w:rsidR="00B60939" w:rsidRPr="00FE6D41" w:rsidRDefault="00B60939" w:rsidP="002C2775">
      <w:pPr>
        <w:pStyle w:val="Heading2"/>
        <w:rPr>
          <w:i/>
          <w:szCs w:val="22"/>
        </w:rPr>
      </w:pPr>
      <w:r w:rsidRPr="00FE6D41">
        <w:rPr>
          <w:i/>
          <w:szCs w:val="22"/>
        </w:rPr>
        <w:t>Clinical claim</w:t>
      </w:r>
      <w:bookmarkEnd w:id="23"/>
      <w:bookmarkEnd w:id="24"/>
    </w:p>
    <w:p w:rsidR="00B60939" w:rsidRPr="00F17A66" w:rsidRDefault="00B60939" w:rsidP="00B60939">
      <w:pPr>
        <w:ind w:left="720" w:hanging="720"/>
        <w:rPr>
          <w:szCs w:val="22"/>
        </w:rPr>
      </w:pPr>
    </w:p>
    <w:p w:rsidR="00B60939" w:rsidRPr="00F17A66" w:rsidRDefault="006257AE" w:rsidP="005D5FF8">
      <w:pPr>
        <w:pStyle w:val="ListParagraph"/>
        <w:widowControl/>
        <w:numPr>
          <w:ilvl w:val="1"/>
          <w:numId w:val="1"/>
        </w:numPr>
        <w:rPr>
          <w:szCs w:val="22"/>
        </w:rPr>
      </w:pPr>
      <w:r w:rsidRPr="00F17A66">
        <w:t xml:space="preserve">The submission claimed that </w:t>
      </w:r>
      <w:proofErr w:type="spellStart"/>
      <w:r w:rsidRPr="00F17A66">
        <w:t>obinutuzumab</w:t>
      </w:r>
      <w:proofErr w:type="spellEnd"/>
      <w:r w:rsidRPr="00F17A66">
        <w:t xml:space="preserve"> plus </w:t>
      </w:r>
      <w:proofErr w:type="spellStart"/>
      <w:r w:rsidRPr="00F17A66">
        <w:t>bendamustine</w:t>
      </w:r>
      <w:proofErr w:type="spellEnd"/>
      <w:r w:rsidRPr="00F17A66">
        <w:t xml:space="preserve"> was superior in efficacy and no worse in comparative safety over </w:t>
      </w:r>
      <w:proofErr w:type="spellStart"/>
      <w:r w:rsidRPr="00F17A66">
        <w:t>bendamustine</w:t>
      </w:r>
      <w:proofErr w:type="spellEnd"/>
      <w:r w:rsidRPr="00F17A66">
        <w:t xml:space="preserve"> monotherapy </w:t>
      </w:r>
      <w:r w:rsidR="00DA4B64">
        <w:t>(</w:t>
      </w:r>
      <w:r w:rsidRPr="00F17A66">
        <w:t>as a proxy for best supportive care</w:t>
      </w:r>
      <w:r w:rsidR="00DA4B64">
        <w:t>)</w:t>
      </w:r>
      <w:r w:rsidRPr="00F17A66">
        <w:t xml:space="preserve"> in patients with rituximab-refractory follicular lymphoma</w:t>
      </w:r>
      <w:r w:rsidR="00FD4EBA" w:rsidRPr="00F17A66">
        <w:t>.</w:t>
      </w:r>
    </w:p>
    <w:p w:rsidR="008F1CC9" w:rsidRPr="00F17A66" w:rsidRDefault="008F1CC9" w:rsidP="00222D30">
      <w:pPr>
        <w:pStyle w:val="Header"/>
      </w:pPr>
    </w:p>
    <w:p w:rsidR="009B1D64" w:rsidRPr="00FE6D41" w:rsidRDefault="008F1CC9" w:rsidP="00FE6D41">
      <w:pPr>
        <w:pStyle w:val="ListParagraph"/>
        <w:widowControl/>
        <w:numPr>
          <w:ilvl w:val="1"/>
          <w:numId w:val="1"/>
        </w:numPr>
        <w:rPr>
          <w:szCs w:val="22"/>
        </w:rPr>
      </w:pPr>
      <w:r w:rsidRPr="00501C33">
        <w:rPr>
          <w:szCs w:val="22"/>
        </w:rPr>
        <w:lastRenderedPageBreak/>
        <w:t>The claim of superior clinical effic</w:t>
      </w:r>
      <w:r w:rsidR="00FE6D41">
        <w:rPr>
          <w:szCs w:val="22"/>
        </w:rPr>
        <w:t>acy might not be reasonable as although</w:t>
      </w:r>
      <w:r w:rsidR="00FD4EBA" w:rsidRPr="005D5FF8">
        <w:t xml:space="preserve"> the benefit for </w:t>
      </w:r>
      <w:r w:rsidR="003634EF">
        <w:t>OS</w:t>
      </w:r>
      <w:r w:rsidR="00FD4EBA" w:rsidRPr="005D5FF8">
        <w:t xml:space="preserve"> was statistically significant at the longer follow-up, </w:t>
      </w:r>
      <w:r w:rsidR="00E81DC3" w:rsidRPr="005D5FF8">
        <w:t>the statistical analyses presented were not robust</w:t>
      </w:r>
      <w:r w:rsidR="00FD4EBA" w:rsidRPr="005D5FF8">
        <w:t xml:space="preserve">. </w:t>
      </w:r>
      <w:r w:rsidR="00675DE4" w:rsidRPr="005D5FF8">
        <w:t>The ESC noted</w:t>
      </w:r>
      <w:r w:rsidR="00675DE4" w:rsidRPr="00FE6D41">
        <w:rPr>
          <w:b/>
        </w:rPr>
        <w:t xml:space="preserve"> </w:t>
      </w:r>
      <w:r w:rsidR="008104AD" w:rsidRPr="005D5FF8">
        <w:t xml:space="preserve">that the survival advantage favouring </w:t>
      </w:r>
      <w:r w:rsidR="004D1892" w:rsidRPr="005D5FF8">
        <w:t xml:space="preserve">the </w:t>
      </w:r>
      <w:proofErr w:type="spellStart"/>
      <w:r w:rsidR="004D1892" w:rsidRPr="00FE6D41">
        <w:rPr>
          <w:szCs w:val="22"/>
        </w:rPr>
        <w:t>obinutuzumab</w:t>
      </w:r>
      <w:proofErr w:type="spellEnd"/>
      <w:r w:rsidR="004D1892" w:rsidRPr="00FE6D41">
        <w:rPr>
          <w:szCs w:val="22"/>
        </w:rPr>
        <w:t xml:space="preserve"> plus </w:t>
      </w:r>
      <w:proofErr w:type="spellStart"/>
      <w:r w:rsidR="004D1892" w:rsidRPr="00FE6D41">
        <w:rPr>
          <w:szCs w:val="22"/>
        </w:rPr>
        <w:t>bendamustine</w:t>
      </w:r>
      <w:proofErr w:type="spellEnd"/>
      <w:r w:rsidR="004D1892" w:rsidRPr="00FE6D41">
        <w:rPr>
          <w:szCs w:val="22"/>
        </w:rPr>
        <w:t xml:space="preserve"> arm</w:t>
      </w:r>
      <w:r w:rsidR="008104AD" w:rsidRPr="005D5FF8">
        <w:t xml:space="preserve"> </w:t>
      </w:r>
      <w:r w:rsidR="0022338B" w:rsidRPr="005D5FF8">
        <w:t>was</w:t>
      </w:r>
      <w:r w:rsidR="008104AD" w:rsidRPr="005D5FF8">
        <w:t xml:space="preserve"> no</w:t>
      </w:r>
      <w:r w:rsidR="0022338B" w:rsidRPr="005D5FF8">
        <w:t xml:space="preserve">t statistically </w:t>
      </w:r>
      <w:r w:rsidR="008104AD" w:rsidRPr="005D5FF8">
        <w:t xml:space="preserve">significant after </w:t>
      </w:r>
      <w:r w:rsidR="0022338B" w:rsidRPr="005D5FF8">
        <w:t>adjusting for multiplicity</w:t>
      </w:r>
      <w:r w:rsidR="00DA7906">
        <w:t>.</w:t>
      </w:r>
    </w:p>
    <w:p w:rsidR="000947B9" w:rsidRDefault="000947B9" w:rsidP="00581824"/>
    <w:p w:rsidR="000947B9" w:rsidRPr="005D5FF8" w:rsidRDefault="000947B9" w:rsidP="00913311">
      <w:pPr>
        <w:pStyle w:val="ListParagraph"/>
        <w:widowControl/>
        <w:numPr>
          <w:ilvl w:val="1"/>
          <w:numId w:val="1"/>
        </w:numPr>
      </w:pPr>
      <w:r>
        <w:t xml:space="preserve">The Pre-PBAC response (p2) </w:t>
      </w:r>
      <w:r w:rsidR="00170005">
        <w:t xml:space="preserve">provided examples of consumer comments </w:t>
      </w:r>
      <w:r w:rsidR="00504506">
        <w:t>describing</w:t>
      </w:r>
      <w:r w:rsidR="00170005">
        <w:t xml:space="preserve"> the value of treatments that prolong PFS</w:t>
      </w:r>
      <w:r w:rsidR="00504506">
        <w:t xml:space="preserve"> in follicular lymphoma</w:t>
      </w:r>
      <w:r w:rsidR="00170005">
        <w:t>. It argued that immature OS data was to be expected for indolent diseases such as follicular lymphoma, and that</w:t>
      </w:r>
      <w:r w:rsidR="00913311">
        <w:t xml:space="preserve"> </w:t>
      </w:r>
      <w:r>
        <w:t xml:space="preserve">the claim of superior comparative effectiveness of </w:t>
      </w:r>
      <w:proofErr w:type="spellStart"/>
      <w:r>
        <w:t>obinutuzumab</w:t>
      </w:r>
      <w:proofErr w:type="spellEnd"/>
      <w:r>
        <w:t xml:space="preserve"> plus </w:t>
      </w:r>
      <w:proofErr w:type="spellStart"/>
      <w:r>
        <w:t>bendamustine</w:t>
      </w:r>
      <w:proofErr w:type="spellEnd"/>
      <w:r>
        <w:t xml:space="preserve"> over </w:t>
      </w:r>
      <w:proofErr w:type="spellStart"/>
      <w:r>
        <w:t>bendamustine</w:t>
      </w:r>
      <w:proofErr w:type="spellEnd"/>
      <w:r>
        <w:t xml:space="preserve"> </w:t>
      </w:r>
      <w:r w:rsidR="00170005">
        <w:t>monotherapy</w:t>
      </w:r>
      <w:r>
        <w:t xml:space="preserve"> can be robustly supported by the PFS data from the GADOLIN trial</w:t>
      </w:r>
      <w:r w:rsidR="00170005">
        <w:t>.</w:t>
      </w:r>
    </w:p>
    <w:p w:rsidR="008F1CC9" w:rsidRPr="00501C33" w:rsidRDefault="008F1CC9" w:rsidP="008F1CC9"/>
    <w:p w:rsidR="00FD4EBA" w:rsidRPr="00501C33" w:rsidRDefault="008F1CC9" w:rsidP="005D5FF8">
      <w:pPr>
        <w:pStyle w:val="ListParagraph"/>
        <w:widowControl/>
        <w:numPr>
          <w:ilvl w:val="1"/>
          <w:numId w:val="1"/>
        </w:numPr>
        <w:rPr>
          <w:szCs w:val="22"/>
        </w:rPr>
      </w:pPr>
      <w:r w:rsidRPr="00501C33">
        <w:rPr>
          <w:szCs w:val="22"/>
        </w:rPr>
        <w:t xml:space="preserve">The claim of comparable safety of </w:t>
      </w:r>
      <w:proofErr w:type="spellStart"/>
      <w:r w:rsidRPr="00501C33">
        <w:rPr>
          <w:szCs w:val="22"/>
        </w:rPr>
        <w:t>obinutuzumab</w:t>
      </w:r>
      <w:proofErr w:type="spellEnd"/>
      <w:r w:rsidRPr="00501C33">
        <w:rPr>
          <w:szCs w:val="22"/>
        </w:rPr>
        <w:t xml:space="preserve"> therapy over best supportive care might not be reasonable</w:t>
      </w:r>
      <w:r w:rsidR="006C6747">
        <w:rPr>
          <w:szCs w:val="22"/>
        </w:rPr>
        <w:t xml:space="preserve"> as:</w:t>
      </w:r>
    </w:p>
    <w:p w:rsidR="00AF2946" w:rsidRPr="00501C33" w:rsidRDefault="008F1CC9" w:rsidP="005D5FF8">
      <w:pPr>
        <w:pStyle w:val="ListParagraph"/>
        <w:widowControl/>
        <w:numPr>
          <w:ilvl w:val="0"/>
          <w:numId w:val="9"/>
        </w:numPr>
        <w:rPr>
          <w:szCs w:val="22"/>
        </w:rPr>
      </w:pPr>
      <w:r w:rsidRPr="00501C33">
        <w:rPr>
          <w:szCs w:val="22"/>
        </w:rPr>
        <w:t xml:space="preserve">Patients treated with </w:t>
      </w:r>
      <w:proofErr w:type="spellStart"/>
      <w:r w:rsidRPr="00501C33">
        <w:rPr>
          <w:szCs w:val="22"/>
        </w:rPr>
        <w:t>obinutuzumab</w:t>
      </w:r>
      <w:proofErr w:type="spellEnd"/>
      <w:r w:rsidR="00B64E07" w:rsidRPr="00501C33">
        <w:rPr>
          <w:szCs w:val="22"/>
        </w:rPr>
        <w:t xml:space="preserve"> plus </w:t>
      </w:r>
      <w:proofErr w:type="spellStart"/>
      <w:r w:rsidR="00B64E07" w:rsidRPr="00501C33">
        <w:rPr>
          <w:szCs w:val="22"/>
        </w:rPr>
        <w:t>bendamustine</w:t>
      </w:r>
      <w:proofErr w:type="spellEnd"/>
      <w:r w:rsidR="00B64E07" w:rsidRPr="00501C33">
        <w:rPr>
          <w:szCs w:val="22"/>
        </w:rPr>
        <w:t xml:space="preserve"> therapy</w:t>
      </w:r>
      <w:r w:rsidRPr="00501C33">
        <w:rPr>
          <w:szCs w:val="22"/>
        </w:rPr>
        <w:t xml:space="preserve"> were</w:t>
      </w:r>
      <w:r w:rsidR="00B64E07" w:rsidRPr="00501C33">
        <w:rPr>
          <w:szCs w:val="22"/>
        </w:rPr>
        <w:t xml:space="preserve"> more</w:t>
      </w:r>
      <w:r w:rsidRPr="00501C33">
        <w:rPr>
          <w:szCs w:val="22"/>
        </w:rPr>
        <w:t xml:space="preserve"> likely to have Grade 3-5 procedural and infusion-related complications, along with all-grade cardiac and musculoskeletal events </w:t>
      </w:r>
      <w:r w:rsidR="00B64E07" w:rsidRPr="00501C33">
        <w:rPr>
          <w:szCs w:val="22"/>
        </w:rPr>
        <w:t xml:space="preserve">relative to </w:t>
      </w:r>
      <w:proofErr w:type="spellStart"/>
      <w:r w:rsidR="00B64E07" w:rsidRPr="00501C33">
        <w:rPr>
          <w:szCs w:val="22"/>
        </w:rPr>
        <w:t>bendamustine</w:t>
      </w:r>
      <w:proofErr w:type="spellEnd"/>
      <w:r w:rsidR="00B64E07" w:rsidRPr="00501C33">
        <w:rPr>
          <w:szCs w:val="22"/>
        </w:rPr>
        <w:t xml:space="preserve"> monotherapy</w:t>
      </w:r>
      <w:r w:rsidR="00581824">
        <w:rPr>
          <w:szCs w:val="22"/>
        </w:rPr>
        <w:t>.</w:t>
      </w:r>
    </w:p>
    <w:p w:rsidR="008F1CC9" w:rsidRDefault="00AF2946" w:rsidP="005D5FF8">
      <w:pPr>
        <w:pStyle w:val="ListParagraph"/>
        <w:widowControl/>
        <w:numPr>
          <w:ilvl w:val="0"/>
          <w:numId w:val="9"/>
        </w:numPr>
        <w:rPr>
          <w:szCs w:val="22"/>
        </w:rPr>
      </w:pPr>
      <w:proofErr w:type="spellStart"/>
      <w:r w:rsidRPr="00501C33">
        <w:rPr>
          <w:szCs w:val="22"/>
        </w:rPr>
        <w:t>O</w:t>
      </w:r>
      <w:r w:rsidR="00373C15" w:rsidRPr="00501C33">
        <w:rPr>
          <w:szCs w:val="22"/>
        </w:rPr>
        <w:t>binutuzumab</w:t>
      </w:r>
      <w:proofErr w:type="spellEnd"/>
      <w:r w:rsidR="00373C15" w:rsidRPr="00501C33">
        <w:rPr>
          <w:szCs w:val="22"/>
        </w:rPr>
        <w:t xml:space="preserve"> has a </w:t>
      </w:r>
      <w:r w:rsidR="008F1CC9" w:rsidRPr="00501C33">
        <w:rPr>
          <w:szCs w:val="22"/>
        </w:rPr>
        <w:t xml:space="preserve">warning </w:t>
      </w:r>
      <w:r w:rsidR="00373C15" w:rsidRPr="00501C33">
        <w:t xml:space="preserve">in the Australian Product Information for </w:t>
      </w:r>
      <w:r w:rsidR="008F1CC9" w:rsidRPr="00501C33">
        <w:rPr>
          <w:szCs w:val="22"/>
        </w:rPr>
        <w:t>progressive multifocal leukoencephalopathy.</w:t>
      </w:r>
    </w:p>
    <w:p w:rsidR="00EC26D5" w:rsidRDefault="00790EC9" w:rsidP="00790EC9">
      <w:pPr>
        <w:pStyle w:val="ListParagraph"/>
        <w:widowControl/>
        <w:rPr>
          <w:szCs w:val="22"/>
        </w:rPr>
      </w:pPr>
      <w:r>
        <w:rPr>
          <w:szCs w:val="22"/>
        </w:rPr>
        <w:t>The Pre-PBAC response (p2) maintained</w:t>
      </w:r>
      <w:r w:rsidR="000F6A65">
        <w:rPr>
          <w:szCs w:val="22"/>
        </w:rPr>
        <w:t xml:space="preserve"> that the safety profile of </w:t>
      </w:r>
      <w:proofErr w:type="spellStart"/>
      <w:r w:rsidR="000F6A65">
        <w:rPr>
          <w:szCs w:val="22"/>
        </w:rPr>
        <w:t>obinutuzumab</w:t>
      </w:r>
      <w:proofErr w:type="spellEnd"/>
      <w:r w:rsidR="000F6A65">
        <w:rPr>
          <w:szCs w:val="22"/>
        </w:rPr>
        <w:t xml:space="preserve"> plus </w:t>
      </w:r>
      <w:proofErr w:type="spellStart"/>
      <w:r w:rsidR="000F6A65">
        <w:rPr>
          <w:szCs w:val="22"/>
        </w:rPr>
        <w:t>bendamustine</w:t>
      </w:r>
      <w:proofErr w:type="spellEnd"/>
      <w:r w:rsidR="000F6A65">
        <w:rPr>
          <w:szCs w:val="22"/>
        </w:rPr>
        <w:t xml:space="preserve"> was comparable to </w:t>
      </w:r>
      <w:proofErr w:type="spellStart"/>
      <w:r w:rsidR="000F6A65">
        <w:rPr>
          <w:szCs w:val="22"/>
        </w:rPr>
        <w:t>bendamustine</w:t>
      </w:r>
      <w:proofErr w:type="spellEnd"/>
      <w:r w:rsidR="000F6A65">
        <w:rPr>
          <w:szCs w:val="22"/>
        </w:rPr>
        <w:t xml:space="preserve"> monotherapy and no worse than </w:t>
      </w:r>
      <w:r w:rsidR="00271E6E">
        <w:t>best supportive care</w:t>
      </w:r>
      <w:r w:rsidR="000F6A65">
        <w:rPr>
          <w:szCs w:val="22"/>
        </w:rPr>
        <w:t xml:space="preserve"> in patients with rituximab-refractory follicular lymphoma,</w:t>
      </w:r>
      <w:r>
        <w:rPr>
          <w:szCs w:val="22"/>
        </w:rPr>
        <w:t xml:space="preserve"> citing consumer comments as further evidence in support of this claim.</w:t>
      </w:r>
    </w:p>
    <w:p w:rsidR="00FF40AF" w:rsidRPr="00581824" w:rsidRDefault="00FF40AF" w:rsidP="00581824">
      <w:pPr>
        <w:widowControl/>
        <w:rPr>
          <w:szCs w:val="22"/>
        </w:rPr>
      </w:pPr>
    </w:p>
    <w:p w:rsidR="00B629FE" w:rsidRDefault="00FF40AF" w:rsidP="00FF40AF">
      <w:pPr>
        <w:pStyle w:val="ListParagraph"/>
        <w:widowControl/>
        <w:numPr>
          <w:ilvl w:val="1"/>
          <w:numId w:val="1"/>
        </w:numPr>
        <w:rPr>
          <w:szCs w:val="22"/>
        </w:rPr>
      </w:pPr>
      <w:r w:rsidRPr="00FF40AF">
        <w:rPr>
          <w:szCs w:val="22"/>
        </w:rPr>
        <w:t xml:space="preserve">The PBAC considered that the </w:t>
      </w:r>
      <w:r>
        <w:rPr>
          <w:szCs w:val="22"/>
        </w:rPr>
        <w:t xml:space="preserve">claim of </w:t>
      </w:r>
      <w:r w:rsidRPr="00FF40AF">
        <w:rPr>
          <w:szCs w:val="22"/>
        </w:rPr>
        <w:t xml:space="preserve">superior efficacy </w:t>
      </w:r>
      <w:r w:rsidR="00177AD4">
        <w:rPr>
          <w:szCs w:val="22"/>
        </w:rPr>
        <w:t xml:space="preserve">of </w:t>
      </w:r>
      <w:proofErr w:type="spellStart"/>
      <w:r w:rsidR="00177AD4">
        <w:rPr>
          <w:szCs w:val="22"/>
        </w:rPr>
        <w:t>obinutuzumab</w:t>
      </w:r>
      <w:proofErr w:type="spellEnd"/>
      <w:r w:rsidR="00177AD4">
        <w:rPr>
          <w:szCs w:val="22"/>
        </w:rPr>
        <w:t xml:space="preserve"> plus </w:t>
      </w:r>
      <w:proofErr w:type="spellStart"/>
      <w:r w:rsidR="00177AD4">
        <w:rPr>
          <w:szCs w:val="22"/>
        </w:rPr>
        <w:t>bendamustine</w:t>
      </w:r>
      <w:proofErr w:type="spellEnd"/>
      <w:r w:rsidR="00177AD4">
        <w:rPr>
          <w:szCs w:val="22"/>
        </w:rPr>
        <w:t xml:space="preserve"> over </w:t>
      </w:r>
      <w:proofErr w:type="spellStart"/>
      <w:r w:rsidR="00177AD4">
        <w:rPr>
          <w:szCs w:val="22"/>
        </w:rPr>
        <w:t>bendamustine</w:t>
      </w:r>
      <w:proofErr w:type="spellEnd"/>
      <w:r w:rsidR="00177AD4">
        <w:rPr>
          <w:szCs w:val="22"/>
        </w:rPr>
        <w:t xml:space="preserve"> monotherapy</w:t>
      </w:r>
      <w:r w:rsidR="00B629FE">
        <w:rPr>
          <w:szCs w:val="22"/>
        </w:rPr>
        <w:t>,</w:t>
      </w:r>
      <w:r w:rsidR="00177AD4">
        <w:rPr>
          <w:szCs w:val="22"/>
        </w:rPr>
        <w:t xml:space="preserve"> </w:t>
      </w:r>
      <w:r>
        <w:rPr>
          <w:szCs w:val="22"/>
        </w:rPr>
        <w:t>was reasonable</w:t>
      </w:r>
      <w:r w:rsidR="00177AD4">
        <w:rPr>
          <w:szCs w:val="22"/>
        </w:rPr>
        <w:t>,</w:t>
      </w:r>
      <w:r>
        <w:rPr>
          <w:szCs w:val="22"/>
        </w:rPr>
        <w:t xml:space="preserve"> </w:t>
      </w:r>
      <w:r w:rsidRPr="00FF40AF">
        <w:rPr>
          <w:szCs w:val="22"/>
        </w:rPr>
        <w:t xml:space="preserve">based on the trial’s primary endpoint, </w:t>
      </w:r>
      <w:proofErr w:type="gramStart"/>
      <w:r w:rsidRPr="00FF40AF">
        <w:rPr>
          <w:szCs w:val="22"/>
        </w:rPr>
        <w:t>i</w:t>
      </w:r>
      <w:r>
        <w:rPr>
          <w:szCs w:val="22"/>
        </w:rPr>
        <w:t>ndependently</w:t>
      </w:r>
      <w:proofErr w:type="gramEnd"/>
      <w:r>
        <w:rPr>
          <w:szCs w:val="22"/>
        </w:rPr>
        <w:t xml:space="preserve"> reviewed PFS</w:t>
      </w:r>
      <w:r w:rsidR="0095510C">
        <w:rPr>
          <w:szCs w:val="22"/>
        </w:rPr>
        <w:t xml:space="preserve">. </w:t>
      </w:r>
      <w:r w:rsidR="00177AD4">
        <w:rPr>
          <w:szCs w:val="22"/>
        </w:rPr>
        <w:t xml:space="preserve">The PBAC agreed with the ESC that the submission did not provide adequate evidence of an OS benefit, but the PBAC considered that an OS benefit was likely to be observed </w:t>
      </w:r>
      <w:r w:rsidR="00EE4119">
        <w:rPr>
          <w:szCs w:val="22"/>
        </w:rPr>
        <w:t>with further follow-up</w:t>
      </w:r>
      <w:r w:rsidR="00177AD4">
        <w:rPr>
          <w:szCs w:val="22"/>
        </w:rPr>
        <w:t xml:space="preserve">. </w:t>
      </w:r>
      <w:r w:rsidR="0095510C">
        <w:rPr>
          <w:szCs w:val="22"/>
        </w:rPr>
        <w:t>H</w:t>
      </w:r>
      <w:r>
        <w:rPr>
          <w:szCs w:val="22"/>
        </w:rPr>
        <w:t>owever</w:t>
      </w:r>
      <w:r w:rsidR="0095510C">
        <w:rPr>
          <w:szCs w:val="22"/>
        </w:rPr>
        <w:t>,</w:t>
      </w:r>
      <w:r w:rsidR="00177AD4">
        <w:rPr>
          <w:szCs w:val="22"/>
        </w:rPr>
        <w:t xml:space="preserve"> the PBAC considered that</w:t>
      </w:r>
      <w:r w:rsidR="0095510C">
        <w:rPr>
          <w:szCs w:val="22"/>
        </w:rPr>
        <w:t xml:space="preserve"> t</w:t>
      </w:r>
      <w:r w:rsidRPr="00FF40AF">
        <w:rPr>
          <w:szCs w:val="22"/>
        </w:rPr>
        <w:t xml:space="preserve">he magnitude of any </w:t>
      </w:r>
      <w:r w:rsidR="00EE4119">
        <w:rPr>
          <w:szCs w:val="22"/>
        </w:rPr>
        <w:t>OS</w:t>
      </w:r>
      <w:r w:rsidR="00EE4119" w:rsidRPr="00FF40AF">
        <w:rPr>
          <w:szCs w:val="22"/>
        </w:rPr>
        <w:t xml:space="preserve"> </w:t>
      </w:r>
      <w:r w:rsidRPr="00FF40AF">
        <w:rPr>
          <w:szCs w:val="22"/>
        </w:rPr>
        <w:t xml:space="preserve">benefit was highly uncertain, given the immaturity of </w:t>
      </w:r>
      <w:r w:rsidR="0095510C">
        <w:rPr>
          <w:szCs w:val="22"/>
        </w:rPr>
        <w:t xml:space="preserve">the </w:t>
      </w:r>
      <w:r w:rsidR="00667849">
        <w:rPr>
          <w:szCs w:val="22"/>
        </w:rPr>
        <w:t>trial</w:t>
      </w:r>
      <w:r w:rsidR="00265548">
        <w:rPr>
          <w:szCs w:val="22"/>
        </w:rPr>
        <w:t xml:space="preserve"> </w:t>
      </w:r>
      <w:r w:rsidR="0095510C">
        <w:rPr>
          <w:szCs w:val="22"/>
        </w:rPr>
        <w:t>data</w:t>
      </w:r>
      <w:r w:rsidR="00EE4119">
        <w:rPr>
          <w:szCs w:val="22"/>
        </w:rPr>
        <w:t xml:space="preserve"> presented</w:t>
      </w:r>
      <w:r w:rsidR="006677A7">
        <w:rPr>
          <w:szCs w:val="22"/>
        </w:rPr>
        <w:t xml:space="preserve">. </w:t>
      </w:r>
      <w:r w:rsidR="006677A7" w:rsidRPr="00B629FE">
        <w:rPr>
          <w:szCs w:val="22"/>
        </w:rPr>
        <w:t xml:space="preserve">The PBAC </w:t>
      </w:r>
      <w:r w:rsidR="00EE4119">
        <w:rPr>
          <w:szCs w:val="22"/>
        </w:rPr>
        <w:t xml:space="preserve">further </w:t>
      </w:r>
      <w:r w:rsidR="006677A7" w:rsidRPr="00B629FE">
        <w:rPr>
          <w:szCs w:val="22"/>
        </w:rPr>
        <w:t xml:space="preserve">considered </w:t>
      </w:r>
      <w:r w:rsidR="00B629FE">
        <w:rPr>
          <w:szCs w:val="22"/>
        </w:rPr>
        <w:t xml:space="preserve">that </w:t>
      </w:r>
      <w:r w:rsidR="00EE4119">
        <w:rPr>
          <w:szCs w:val="22"/>
        </w:rPr>
        <w:t xml:space="preserve">with additional follow-up the difference between the </w:t>
      </w:r>
      <w:proofErr w:type="gramStart"/>
      <w:r w:rsidR="00EE4119">
        <w:rPr>
          <w:szCs w:val="22"/>
        </w:rPr>
        <w:t>treatment</w:t>
      </w:r>
      <w:proofErr w:type="gramEnd"/>
      <w:r w:rsidR="00EE4119">
        <w:rPr>
          <w:szCs w:val="22"/>
        </w:rPr>
        <w:t xml:space="preserve"> groups in PFS </w:t>
      </w:r>
      <w:r w:rsidR="0009443A">
        <w:rPr>
          <w:szCs w:val="22"/>
        </w:rPr>
        <w:t>may</w:t>
      </w:r>
      <w:r w:rsidR="00EE4119">
        <w:rPr>
          <w:szCs w:val="22"/>
        </w:rPr>
        <w:t xml:space="preserve"> </w:t>
      </w:r>
      <w:r w:rsidR="00C0063D">
        <w:rPr>
          <w:szCs w:val="22"/>
        </w:rPr>
        <w:t>reduce</w:t>
      </w:r>
      <w:r w:rsidR="00EE4119">
        <w:rPr>
          <w:szCs w:val="22"/>
        </w:rPr>
        <w:t>.</w:t>
      </w:r>
    </w:p>
    <w:p w:rsidR="00FF40AF" w:rsidRPr="00581824" w:rsidRDefault="00FF40AF" w:rsidP="00FF40AF">
      <w:pPr>
        <w:widowControl/>
        <w:rPr>
          <w:szCs w:val="22"/>
        </w:rPr>
      </w:pPr>
    </w:p>
    <w:p w:rsidR="00E41884" w:rsidRDefault="00461846" w:rsidP="00461846">
      <w:pPr>
        <w:pStyle w:val="ListParagraph"/>
        <w:widowControl/>
        <w:numPr>
          <w:ilvl w:val="1"/>
          <w:numId w:val="1"/>
        </w:numPr>
      </w:pPr>
      <w:r>
        <w:t xml:space="preserve">The PBAC </w:t>
      </w:r>
      <w:r w:rsidRPr="009A054B">
        <w:t xml:space="preserve">considered that the data </w:t>
      </w:r>
      <w:r>
        <w:t xml:space="preserve">presented </w:t>
      </w:r>
      <w:r w:rsidR="00FE6D41">
        <w:t>in</w:t>
      </w:r>
      <w:r w:rsidR="006677A7">
        <w:t xml:space="preserve"> the submission </w:t>
      </w:r>
      <w:r w:rsidRPr="009A054B">
        <w:t xml:space="preserve">indicated that </w:t>
      </w:r>
      <w:proofErr w:type="spellStart"/>
      <w:r w:rsidRPr="009A054B">
        <w:t>obinutuzumab</w:t>
      </w:r>
      <w:proofErr w:type="spellEnd"/>
      <w:r w:rsidR="00C0063D">
        <w:t>,</w:t>
      </w:r>
      <w:r w:rsidRPr="009A054B">
        <w:t xml:space="preserve"> </w:t>
      </w:r>
      <w:r w:rsidR="00C0063D">
        <w:t xml:space="preserve">together with </w:t>
      </w:r>
      <w:proofErr w:type="spellStart"/>
      <w:r w:rsidRPr="009A054B">
        <w:t>bendamustine</w:t>
      </w:r>
      <w:proofErr w:type="spellEnd"/>
      <w:r w:rsidRPr="009A054B">
        <w:t xml:space="preserve"> and </w:t>
      </w:r>
      <w:r w:rsidR="00C0063D">
        <w:t>as monotherapy as</w:t>
      </w:r>
      <w:r w:rsidRPr="009A054B">
        <w:t xml:space="preserve"> maintenance</w:t>
      </w:r>
      <w:r w:rsidR="00C0063D">
        <w:t>,</w:t>
      </w:r>
      <w:r w:rsidRPr="009A054B">
        <w:t xml:space="preserve"> increased toxicity </w:t>
      </w:r>
      <w:r w:rsidR="006677A7" w:rsidRPr="00ED7D85">
        <w:t>compared</w:t>
      </w:r>
      <w:r w:rsidR="006677A7">
        <w:t xml:space="preserve"> to </w:t>
      </w:r>
      <w:proofErr w:type="spellStart"/>
      <w:r w:rsidR="006677A7">
        <w:t>bendamustine</w:t>
      </w:r>
      <w:proofErr w:type="spellEnd"/>
      <w:r w:rsidR="006677A7">
        <w:t xml:space="preserve"> monotherapy</w:t>
      </w:r>
      <w:r w:rsidRPr="009A054B">
        <w:t>. The PBAC noted the increase</w:t>
      </w:r>
      <w:r w:rsidR="0029181F">
        <w:t>d</w:t>
      </w:r>
      <w:r w:rsidRPr="009A054B">
        <w:t xml:space="preserve"> occurrence of musculoskeletal and cardiac events,</w:t>
      </w:r>
      <w:r w:rsidR="00ED7D85">
        <w:t xml:space="preserve"> infusion-related reactions</w:t>
      </w:r>
      <w:r w:rsidRPr="009A054B">
        <w:t xml:space="preserve"> and the trend toward increased G</w:t>
      </w:r>
      <w:r>
        <w:t>rade 3-</w:t>
      </w:r>
      <w:r w:rsidR="00C8586D">
        <w:t>5</w:t>
      </w:r>
      <w:r>
        <w:t xml:space="preserve"> </w:t>
      </w:r>
      <w:r w:rsidRPr="009A054B">
        <w:t xml:space="preserve">neutropenia and febrile neutropenia (toxicities previously associated with </w:t>
      </w:r>
      <w:proofErr w:type="spellStart"/>
      <w:r>
        <w:t>obinutuzumab</w:t>
      </w:r>
      <w:proofErr w:type="spellEnd"/>
      <w:r w:rsidRPr="009A054B">
        <w:t xml:space="preserve"> in patients with </w:t>
      </w:r>
      <w:r>
        <w:t>chronic lymphocytic leukaemia</w:t>
      </w:r>
      <w:r>
        <w:rPr>
          <w:rStyle w:val="FootnoteReference"/>
        </w:rPr>
        <w:footnoteReference w:id="4"/>
      </w:r>
      <w:r w:rsidRPr="009A054B">
        <w:t>).</w:t>
      </w:r>
    </w:p>
    <w:p w:rsidR="00E41884" w:rsidRDefault="00E41884" w:rsidP="00E41884"/>
    <w:p w:rsidR="00461846" w:rsidRDefault="00E41884" w:rsidP="00461846">
      <w:pPr>
        <w:pStyle w:val="ListParagraph"/>
        <w:widowControl/>
        <w:numPr>
          <w:ilvl w:val="1"/>
          <w:numId w:val="1"/>
        </w:numPr>
      </w:pPr>
      <w:r>
        <w:t xml:space="preserve">The PBAC therefore considered that </w:t>
      </w:r>
      <w:proofErr w:type="spellStart"/>
      <w:r w:rsidR="00C8586D">
        <w:t>obinutuzumab</w:t>
      </w:r>
      <w:proofErr w:type="spellEnd"/>
      <w:r w:rsidR="00C8586D">
        <w:t xml:space="preserve"> plus </w:t>
      </w:r>
      <w:proofErr w:type="spellStart"/>
      <w:r w:rsidR="00C8586D">
        <w:t>bendamustine</w:t>
      </w:r>
      <w:proofErr w:type="spellEnd"/>
      <w:r w:rsidR="00C8586D">
        <w:t xml:space="preserve"> was of inferior safety </w:t>
      </w:r>
      <w:r>
        <w:t xml:space="preserve">compared with </w:t>
      </w:r>
      <w:proofErr w:type="spellStart"/>
      <w:r w:rsidR="00C8586D">
        <w:t>bendamustine</w:t>
      </w:r>
      <w:proofErr w:type="spellEnd"/>
      <w:r w:rsidR="00C8586D">
        <w:t xml:space="preserve"> monotherapy</w:t>
      </w:r>
      <w:r>
        <w:t xml:space="preserve">. </w:t>
      </w:r>
      <w:r w:rsidR="00C8586D">
        <w:t>However</w:t>
      </w:r>
      <w:r w:rsidR="00461846" w:rsidRPr="009A054B">
        <w:t xml:space="preserve">, </w:t>
      </w:r>
      <w:r w:rsidR="00461846">
        <w:t xml:space="preserve">the PBAC </w:t>
      </w:r>
      <w:r w:rsidR="00C8586D">
        <w:t>noted</w:t>
      </w:r>
      <w:r w:rsidR="00461846">
        <w:t xml:space="preserve"> that </w:t>
      </w:r>
      <w:proofErr w:type="spellStart"/>
      <w:r w:rsidR="00461846" w:rsidRPr="009A054B">
        <w:t>obinutuzumab</w:t>
      </w:r>
      <w:proofErr w:type="spellEnd"/>
      <w:r w:rsidR="00461846" w:rsidRPr="009A054B">
        <w:t xml:space="preserve"> </w:t>
      </w:r>
      <w:r w:rsidR="00C8586D">
        <w:t xml:space="preserve">had a </w:t>
      </w:r>
      <w:r w:rsidR="00461846" w:rsidRPr="009A054B">
        <w:t>tolerable</w:t>
      </w:r>
      <w:r w:rsidR="00C8586D">
        <w:t xml:space="preserve"> safety profile</w:t>
      </w:r>
      <w:r w:rsidR="00461846">
        <w:t>,</w:t>
      </w:r>
      <w:r w:rsidR="00461846" w:rsidRPr="009A054B">
        <w:t xml:space="preserve"> and</w:t>
      </w:r>
      <w:r w:rsidR="00553EC4">
        <w:t xml:space="preserve"> </w:t>
      </w:r>
      <w:r w:rsidR="007540B1">
        <w:t xml:space="preserve">considered </w:t>
      </w:r>
      <w:r w:rsidR="00C8586D">
        <w:t>that it had an overall positive benefit-risk profile</w:t>
      </w:r>
    </w:p>
    <w:p w:rsidR="00B60939" w:rsidRPr="00F17A66" w:rsidRDefault="00B60939" w:rsidP="002C2775">
      <w:pPr>
        <w:pStyle w:val="Heading2"/>
        <w:rPr>
          <w:i/>
        </w:rPr>
      </w:pPr>
      <w:bookmarkStart w:id="25" w:name="_Toc458759488"/>
      <w:bookmarkStart w:id="26" w:name="_Toc461614088"/>
      <w:r w:rsidRPr="00F17A66">
        <w:rPr>
          <w:i/>
        </w:rPr>
        <w:lastRenderedPageBreak/>
        <w:t>Economic analysis</w:t>
      </w:r>
      <w:bookmarkEnd w:id="25"/>
      <w:bookmarkEnd w:id="26"/>
      <w:r w:rsidR="00491B3A" w:rsidRPr="00F17A66">
        <w:rPr>
          <w:i/>
        </w:rPr>
        <w:t xml:space="preserve"> </w:t>
      </w:r>
    </w:p>
    <w:p w:rsidR="00B60939" w:rsidRPr="00F17A66" w:rsidRDefault="00B60939" w:rsidP="00B60939">
      <w:pPr>
        <w:ind w:left="720" w:hanging="720"/>
        <w:rPr>
          <w:szCs w:val="22"/>
        </w:rPr>
      </w:pPr>
    </w:p>
    <w:p w:rsidR="00AF2946" w:rsidRPr="00F17A66" w:rsidRDefault="00B64E07" w:rsidP="005D5FF8">
      <w:pPr>
        <w:pStyle w:val="ListParagraph"/>
        <w:widowControl/>
        <w:numPr>
          <w:ilvl w:val="1"/>
          <w:numId w:val="1"/>
        </w:numPr>
        <w:rPr>
          <w:szCs w:val="22"/>
        </w:rPr>
      </w:pPr>
      <w:r w:rsidRPr="00F17A66">
        <w:rPr>
          <w:szCs w:val="22"/>
        </w:rPr>
        <w:t xml:space="preserve">The submission presented a stepped cost-effectiveness analysis using the rituximab-refractory follicular lymphoma subgroup from the GADOLIN trial, with patients treated with </w:t>
      </w:r>
      <w:proofErr w:type="spellStart"/>
      <w:r w:rsidRPr="00F17A66">
        <w:rPr>
          <w:szCs w:val="22"/>
        </w:rPr>
        <w:t>bendamustine</w:t>
      </w:r>
      <w:proofErr w:type="spellEnd"/>
      <w:r w:rsidRPr="00F17A66">
        <w:rPr>
          <w:szCs w:val="22"/>
        </w:rPr>
        <w:t xml:space="preserve"> monotherapy serving as a </w:t>
      </w:r>
      <w:r w:rsidR="00581824">
        <w:rPr>
          <w:szCs w:val="22"/>
        </w:rPr>
        <w:t>proxy for best supportive care.</w:t>
      </w:r>
    </w:p>
    <w:p w:rsidR="00AF2946" w:rsidRPr="00F17A66" w:rsidRDefault="00AF2946" w:rsidP="00462BD0">
      <w:pPr>
        <w:pStyle w:val="ListParagraph"/>
        <w:widowControl/>
        <w:rPr>
          <w:szCs w:val="22"/>
        </w:rPr>
      </w:pPr>
    </w:p>
    <w:p w:rsidR="008A597D" w:rsidRPr="00F17A66" w:rsidRDefault="00AF2946" w:rsidP="005D5FF8">
      <w:pPr>
        <w:pStyle w:val="ListParagraph"/>
        <w:widowControl/>
        <w:numPr>
          <w:ilvl w:val="1"/>
          <w:numId w:val="1"/>
        </w:numPr>
        <w:rPr>
          <w:szCs w:val="22"/>
        </w:rPr>
      </w:pPr>
      <w:r w:rsidRPr="00F17A66">
        <w:rPr>
          <w:szCs w:val="22"/>
        </w:rPr>
        <w:t>The economic evaluation was a Markov model with four health states, with all patients beginning in the progression-free health state. Patients in the progression-free state</w:t>
      </w:r>
      <w:r w:rsidR="00FF2665" w:rsidRPr="00F17A66">
        <w:rPr>
          <w:szCs w:val="22"/>
        </w:rPr>
        <w:t>s (with treatment or without treatment)</w:t>
      </w:r>
      <w:r w:rsidRPr="00F17A66">
        <w:rPr>
          <w:szCs w:val="22"/>
        </w:rPr>
        <w:t xml:space="preserve"> would either remain progression-free, or transition to progressed disease or death. Patients with disease progression either transitioned to the death state, or remained in the progressed-disease state. A progression-free state for patients who have ceased treatment was included in the model to capture patients who remained progression-free after finishing therapy. The </w:t>
      </w:r>
      <w:r w:rsidR="00A33A99">
        <w:rPr>
          <w:szCs w:val="22"/>
        </w:rPr>
        <w:t>model structure and rationale</w:t>
      </w:r>
      <w:r w:rsidR="00A2325D">
        <w:rPr>
          <w:szCs w:val="22"/>
        </w:rPr>
        <w:t xml:space="preserve"> is summarised in Table 6</w:t>
      </w:r>
      <w:r w:rsidR="00A33A99">
        <w:rPr>
          <w:szCs w:val="22"/>
        </w:rPr>
        <w:t>.</w:t>
      </w:r>
    </w:p>
    <w:p w:rsidR="00275C5A" w:rsidRPr="00F17A66" w:rsidRDefault="00275C5A" w:rsidP="00275C5A">
      <w:pPr>
        <w:widowControl/>
        <w:rPr>
          <w:szCs w:val="22"/>
        </w:rPr>
      </w:pPr>
    </w:p>
    <w:p w:rsidR="00275C5A" w:rsidRPr="00F17A66" w:rsidRDefault="00275C5A" w:rsidP="001E2B7B">
      <w:pPr>
        <w:keepNext/>
        <w:widowControl/>
        <w:ind w:firstLine="720"/>
        <w:rPr>
          <w:rStyle w:val="CommentReference"/>
        </w:rPr>
      </w:pPr>
      <w:r w:rsidRPr="00F17A66">
        <w:rPr>
          <w:rStyle w:val="CommentReference"/>
        </w:rPr>
        <w:t xml:space="preserve">Table </w:t>
      </w:r>
      <w:r w:rsidR="00AF2946" w:rsidRPr="00F17A66">
        <w:rPr>
          <w:rStyle w:val="CommentReference"/>
        </w:rPr>
        <w:t>6</w:t>
      </w:r>
      <w:r w:rsidRPr="00F17A66">
        <w:rPr>
          <w:rStyle w:val="CommentReference"/>
        </w:rPr>
        <w:t>: Summary of model structure and rationale</w:t>
      </w:r>
    </w:p>
    <w:tbl>
      <w:tblPr>
        <w:tblW w:w="822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6663"/>
      </w:tblGrid>
      <w:tr w:rsidR="00275C5A" w:rsidRPr="00F17A66" w:rsidTr="001E2B7B">
        <w:tc>
          <w:tcPr>
            <w:tcW w:w="1559" w:type="dxa"/>
            <w:shd w:val="clear" w:color="auto" w:fill="auto"/>
            <w:vAlign w:val="center"/>
          </w:tcPr>
          <w:p w:rsidR="00275C5A" w:rsidRPr="00F17A66" w:rsidRDefault="00275C5A" w:rsidP="00462BD0">
            <w:pPr>
              <w:keepNext/>
              <w:widowControl/>
              <w:jc w:val="left"/>
              <w:rPr>
                <w:rFonts w:ascii="Arial Narrow" w:hAnsi="Arial Narrow"/>
                <w:b/>
                <w:sz w:val="20"/>
              </w:rPr>
            </w:pPr>
            <w:r w:rsidRPr="00F17A66">
              <w:rPr>
                <w:rFonts w:ascii="Arial Narrow" w:hAnsi="Arial Narrow"/>
                <w:b/>
                <w:sz w:val="20"/>
              </w:rPr>
              <w:t>Component</w:t>
            </w:r>
          </w:p>
        </w:tc>
        <w:tc>
          <w:tcPr>
            <w:tcW w:w="6663" w:type="dxa"/>
            <w:shd w:val="clear" w:color="auto" w:fill="auto"/>
            <w:vAlign w:val="center"/>
          </w:tcPr>
          <w:p w:rsidR="00275C5A" w:rsidRPr="00F17A66" w:rsidRDefault="00275C5A" w:rsidP="00462BD0">
            <w:pPr>
              <w:keepNext/>
              <w:widowControl/>
              <w:jc w:val="center"/>
              <w:rPr>
                <w:rFonts w:ascii="Arial Narrow" w:hAnsi="Arial Narrow"/>
                <w:b/>
                <w:sz w:val="20"/>
              </w:rPr>
            </w:pPr>
            <w:r w:rsidRPr="00F17A66">
              <w:rPr>
                <w:rFonts w:ascii="Arial Narrow" w:hAnsi="Arial Narrow"/>
                <w:b/>
                <w:sz w:val="20"/>
              </w:rPr>
              <w:t>Summary</w:t>
            </w:r>
          </w:p>
        </w:tc>
      </w:tr>
      <w:tr w:rsidR="00B64E07" w:rsidRPr="00F17A66" w:rsidTr="001E2B7B">
        <w:tc>
          <w:tcPr>
            <w:tcW w:w="1559" w:type="dxa"/>
            <w:shd w:val="clear" w:color="auto" w:fill="auto"/>
          </w:tcPr>
          <w:p w:rsidR="00553EC4" w:rsidRPr="00F17A66" w:rsidRDefault="00B64E07" w:rsidP="00462BD0">
            <w:pPr>
              <w:keepNext/>
              <w:widowControl/>
              <w:jc w:val="left"/>
              <w:rPr>
                <w:rFonts w:ascii="Arial Narrow" w:hAnsi="Arial Narrow"/>
                <w:sz w:val="20"/>
              </w:rPr>
            </w:pPr>
            <w:r w:rsidRPr="00F17A66">
              <w:rPr>
                <w:rFonts w:ascii="Arial Narrow" w:hAnsi="Arial Narrow"/>
                <w:sz w:val="20"/>
              </w:rPr>
              <w:t>Time horizon</w:t>
            </w:r>
          </w:p>
        </w:tc>
        <w:tc>
          <w:tcPr>
            <w:tcW w:w="6663"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15 years in the model base case versus a median follow-up of 24.1 months in the GADOLIN trial.</w:t>
            </w:r>
          </w:p>
        </w:tc>
      </w:tr>
      <w:tr w:rsidR="000469B2" w:rsidRPr="00F17A66" w:rsidTr="001E2B7B">
        <w:tc>
          <w:tcPr>
            <w:tcW w:w="1559" w:type="dxa"/>
            <w:shd w:val="clear" w:color="auto" w:fill="auto"/>
          </w:tcPr>
          <w:p w:rsidR="000469B2" w:rsidRPr="00F17A66" w:rsidRDefault="000469B2" w:rsidP="000469B2">
            <w:pPr>
              <w:keepNext/>
              <w:widowControl/>
              <w:jc w:val="left"/>
              <w:rPr>
                <w:rFonts w:ascii="Arial Narrow" w:hAnsi="Arial Narrow"/>
                <w:sz w:val="20"/>
              </w:rPr>
            </w:pPr>
            <w:r w:rsidRPr="00F17A66">
              <w:rPr>
                <w:rFonts w:ascii="Arial Narrow" w:hAnsi="Arial Narrow"/>
                <w:sz w:val="20"/>
              </w:rPr>
              <w:t>Utility values used</w:t>
            </w:r>
          </w:p>
        </w:tc>
        <w:tc>
          <w:tcPr>
            <w:tcW w:w="6663" w:type="dxa"/>
            <w:shd w:val="clear" w:color="auto" w:fill="auto"/>
          </w:tcPr>
          <w:p w:rsidR="000469B2" w:rsidRPr="00F17A66" w:rsidRDefault="000469B2" w:rsidP="000469B2">
            <w:pPr>
              <w:keepNext/>
              <w:widowControl/>
              <w:jc w:val="left"/>
              <w:rPr>
                <w:rFonts w:ascii="Arial Narrow" w:hAnsi="Arial Narrow"/>
                <w:sz w:val="20"/>
              </w:rPr>
            </w:pPr>
            <w:r w:rsidRPr="00F17A66">
              <w:rPr>
                <w:rFonts w:ascii="Arial Narrow" w:hAnsi="Arial Narrow"/>
                <w:sz w:val="20"/>
              </w:rPr>
              <w:t>PFS (on treatment): 0.82</w:t>
            </w:r>
            <w:r w:rsidR="00755D52">
              <w:rPr>
                <w:rFonts w:ascii="Arial Narrow" w:hAnsi="Arial Narrow"/>
                <w:sz w:val="20"/>
              </w:rPr>
              <w:t xml:space="preserve">          </w:t>
            </w:r>
            <w:r w:rsidRPr="00F17A66">
              <w:rPr>
                <w:rFonts w:ascii="Arial Narrow" w:hAnsi="Arial Narrow"/>
                <w:sz w:val="20"/>
              </w:rPr>
              <w:t>PFS (off</w:t>
            </w:r>
            <w:r w:rsidR="00581824">
              <w:rPr>
                <w:rFonts w:ascii="Arial Narrow" w:hAnsi="Arial Narrow"/>
                <w:sz w:val="20"/>
              </w:rPr>
              <w:t xml:space="preserve"> treatment): 0.81</w:t>
            </w:r>
          </w:p>
          <w:p w:rsidR="000469B2" w:rsidRPr="00F17A66" w:rsidRDefault="000469B2" w:rsidP="00755D52">
            <w:pPr>
              <w:keepNext/>
              <w:widowControl/>
              <w:jc w:val="left"/>
              <w:rPr>
                <w:rFonts w:ascii="Arial Narrow" w:hAnsi="Arial Narrow"/>
                <w:sz w:val="20"/>
              </w:rPr>
            </w:pPr>
            <w:r w:rsidRPr="00F17A66">
              <w:rPr>
                <w:rFonts w:ascii="Arial Narrow" w:hAnsi="Arial Narrow"/>
                <w:sz w:val="20"/>
              </w:rPr>
              <w:t>Post-progression: 0.77</w:t>
            </w:r>
            <w:r w:rsidR="00755D52">
              <w:rPr>
                <w:rFonts w:ascii="Arial Narrow" w:hAnsi="Arial Narrow"/>
                <w:sz w:val="20"/>
              </w:rPr>
              <w:t xml:space="preserve">             </w:t>
            </w:r>
            <w:r w:rsidRPr="00F17A66">
              <w:rPr>
                <w:rFonts w:ascii="Arial Narrow" w:hAnsi="Arial Narrow"/>
                <w:sz w:val="20"/>
              </w:rPr>
              <w:t>Death: 0.0</w:t>
            </w:r>
          </w:p>
        </w:tc>
      </w:tr>
      <w:tr w:rsidR="00B64E07" w:rsidRPr="00F17A66" w:rsidTr="001E2B7B">
        <w:tc>
          <w:tcPr>
            <w:tcW w:w="1559"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Outcomes</w:t>
            </w:r>
          </w:p>
        </w:tc>
        <w:tc>
          <w:tcPr>
            <w:tcW w:w="6663"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LYG and QALYs</w:t>
            </w:r>
          </w:p>
        </w:tc>
      </w:tr>
      <w:tr w:rsidR="00B64E07" w:rsidRPr="00F17A66" w:rsidTr="001E2B7B">
        <w:tc>
          <w:tcPr>
            <w:tcW w:w="1559"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Methods used to generate results</w:t>
            </w:r>
          </w:p>
        </w:tc>
        <w:tc>
          <w:tcPr>
            <w:tcW w:w="6663"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Markov model; cohort expected value analysis</w:t>
            </w:r>
          </w:p>
        </w:tc>
      </w:tr>
      <w:tr w:rsidR="00B64E07" w:rsidRPr="00F17A66" w:rsidTr="001E2B7B">
        <w:tc>
          <w:tcPr>
            <w:tcW w:w="1559"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Cycle length</w:t>
            </w:r>
          </w:p>
        </w:tc>
        <w:tc>
          <w:tcPr>
            <w:tcW w:w="6663"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7 days with half-cycle correction</w:t>
            </w:r>
          </w:p>
        </w:tc>
      </w:tr>
      <w:tr w:rsidR="00B64E07" w:rsidRPr="00F17A66" w:rsidTr="001E2B7B">
        <w:tc>
          <w:tcPr>
            <w:tcW w:w="1559"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Transition probabilities</w:t>
            </w:r>
          </w:p>
        </w:tc>
        <w:tc>
          <w:tcPr>
            <w:tcW w:w="6663" w:type="dxa"/>
            <w:shd w:val="clear" w:color="auto" w:fill="auto"/>
          </w:tcPr>
          <w:p w:rsidR="00B64E07" w:rsidRPr="00F17A66" w:rsidRDefault="00B64E07" w:rsidP="001F493E">
            <w:pPr>
              <w:keepNext/>
              <w:widowControl/>
              <w:jc w:val="left"/>
              <w:rPr>
                <w:rFonts w:ascii="Arial Narrow" w:hAnsi="Arial Narrow"/>
                <w:sz w:val="20"/>
              </w:rPr>
            </w:pPr>
            <w:r w:rsidRPr="00F17A66">
              <w:rPr>
                <w:rFonts w:ascii="Arial Narrow" w:hAnsi="Arial Narrow"/>
                <w:sz w:val="20"/>
              </w:rPr>
              <w:t>Transition probabilities were based on KM curves from GADOLIN trial data, and parametric extrapolation was used to extrapolate transition probabilities beyond median trial follow-up</w:t>
            </w:r>
            <w:r w:rsidR="001F493E">
              <w:rPr>
                <w:rFonts w:ascii="Arial Narrow" w:hAnsi="Arial Narrow"/>
                <w:sz w:val="20"/>
              </w:rPr>
              <w:t>.</w:t>
            </w:r>
            <w:r w:rsidRPr="00F17A66">
              <w:rPr>
                <w:rFonts w:ascii="Arial Narrow" w:hAnsi="Arial Narrow"/>
                <w:sz w:val="20"/>
              </w:rPr>
              <w:t xml:space="preserve"> </w:t>
            </w:r>
          </w:p>
        </w:tc>
      </w:tr>
      <w:tr w:rsidR="00B64E07" w:rsidRPr="00F17A66" w:rsidTr="001E2B7B">
        <w:tc>
          <w:tcPr>
            <w:tcW w:w="1559"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Discount rate</w:t>
            </w:r>
          </w:p>
        </w:tc>
        <w:tc>
          <w:tcPr>
            <w:tcW w:w="6663" w:type="dxa"/>
            <w:shd w:val="clear" w:color="auto" w:fill="auto"/>
          </w:tcPr>
          <w:p w:rsidR="00B64E07" w:rsidRPr="00F17A66" w:rsidRDefault="00B64E07" w:rsidP="00462BD0">
            <w:pPr>
              <w:keepNext/>
              <w:widowControl/>
              <w:jc w:val="left"/>
              <w:rPr>
                <w:rFonts w:ascii="Arial Narrow" w:hAnsi="Arial Narrow"/>
                <w:sz w:val="20"/>
              </w:rPr>
            </w:pPr>
            <w:r w:rsidRPr="00F17A66">
              <w:rPr>
                <w:rFonts w:ascii="Arial Narrow" w:hAnsi="Arial Narrow"/>
                <w:sz w:val="20"/>
              </w:rPr>
              <w:t>5% for costs and outcomes</w:t>
            </w:r>
          </w:p>
        </w:tc>
      </w:tr>
    </w:tbl>
    <w:p w:rsidR="00275C5A" w:rsidRPr="00F17A66" w:rsidRDefault="00275C5A" w:rsidP="001E2B7B">
      <w:pPr>
        <w:pStyle w:val="TableFooter"/>
        <w:keepNext/>
        <w:widowControl/>
        <w:ind w:left="720"/>
      </w:pPr>
      <w:r w:rsidRPr="00F17A66">
        <w:t>Source: compiled during the evaluation</w:t>
      </w:r>
      <w:r w:rsidR="00B64E07" w:rsidRPr="00F17A66">
        <w:t>.</w:t>
      </w:r>
    </w:p>
    <w:p w:rsidR="00B64E07" w:rsidRPr="00F17A66" w:rsidRDefault="00B64E07" w:rsidP="001E2B7B">
      <w:pPr>
        <w:pStyle w:val="TableFooter"/>
        <w:keepNext/>
        <w:widowControl/>
        <w:ind w:left="720"/>
      </w:pPr>
      <w:r w:rsidRPr="00F17A66">
        <w:t>KM = Kaplan-Meier; LYG – life-years gained; QALYs = quality-adjusted life years</w:t>
      </w:r>
    </w:p>
    <w:p w:rsidR="00275C5A" w:rsidRPr="00F17A66" w:rsidRDefault="00275C5A" w:rsidP="00275C5A">
      <w:pPr>
        <w:widowControl/>
        <w:rPr>
          <w:szCs w:val="22"/>
        </w:rPr>
      </w:pPr>
    </w:p>
    <w:p w:rsidR="007935D1" w:rsidRPr="00501C33" w:rsidRDefault="00295E3C" w:rsidP="0038510E">
      <w:pPr>
        <w:pStyle w:val="ListParagraph"/>
        <w:widowControl/>
        <w:numPr>
          <w:ilvl w:val="1"/>
          <w:numId w:val="1"/>
        </w:numPr>
        <w:rPr>
          <w:szCs w:val="22"/>
        </w:rPr>
      </w:pPr>
      <w:r>
        <w:t xml:space="preserve">The submission used </w:t>
      </w:r>
      <w:r>
        <w:rPr>
          <w:szCs w:val="22"/>
        </w:rPr>
        <w:t>a</w:t>
      </w:r>
      <w:r w:rsidR="007935D1" w:rsidRPr="00F17A66">
        <w:rPr>
          <w:szCs w:val="22"/>
        </w:rPr>
        <w:t xml:space="preserve"> time horizon of 15 years</w:t>
      </w:r>
      <w:r>
        <w:rPr>
          <w:szCs w:val="22"/>
        </w:rPr>
        <w:t xml:space="preserve"> (extrapolated </w:t>
      </w:r>
      <w:r w:rsidR="00C41DE6">
        <w:rPr>
          <w:szCs w:val="22"/>
        </w:rPr>
        <w:t>from a</w:t>
      </w:r>
      <w:r w:rsidRPr="00501C33">
        <w:rPr>
          <w:szCs w:val="22"/>
        </w:rPr>
        <w:t xml:space="preserve"> median 24.1 months of follow-up in the GADOLIN trial</w:t>
      </w:r>
      <w:r>
        <w:rPr>
          <w:szCs w:val="22"/>
        </w:rPr>
        <w:t>)</w:t>
      </w:r>
      <w:r w:rsidR="00C0063D">
        <w:rPr>
          <w:szCs w:val="22"/>
        </w:rPr>
        <w:t>. This was justified</w:t>
      </w:r>
      <w:r w:rsidR="007935D1" w:rsidRPr="00F17A66">
        <w:rPr>
          <w:szCs w:val="22"/>
        </w:rPr>
        <w:t xml:space="preserve"> based </w:t>
      </w:r>
      <w:r w:rsidR="004D7FA8">
        <w:rPr>
          <w:szCs w:val="22"/>
        </w:rPr>
        <w:t xml:space="preserve">on </w:t>
      </w:r>
      <w:r w:rsidR="007935D1" w:rsidRPr="00F17A66">
        <w:rPr>
          <w:szCs w:val="22"/>
        </w:rPr>
        <w:t xml:space="preserve">the mean time of 4.25 years from an initial diagnosis of follicular lymphoma to the diagnosis of rituximab-refractory disease in the GADOLIN trial </w:t>
      </w:r>
      <w:r w:rsidR="00C0063D">
        <w:rPr>
          <w:szCs w:val="22"/>
        </w:rPr>
        <w:t>and the</w:t>
      </w:r>
      <w:r w:rsidR="007935D1" w:rsidRPr="00F17A66">
        <w:rPr>
          <w:szCs w:val="22"/>
        </w:rPr>
        <w:t xml:space="preserve"> 20-year time horizon which was accepted by the PBAC in consideration of </w:t>
      </w:r>
      <w:proofErr w:type="spellStart"/>
      <w:r w:rsidR="007935D1" w:rsidRPr="00F17A66">
        <w:rPr>
          <w:szCs w:val="22"/>
        </w:rPr>
        <w:t>bendamustine</w:t>
      </w:r>
      <w:proofErr w:type="spellEnd"/>
      <w:r w:rsidR="007935D1" w:rsidRPr="00F17A66">
        <w:rPr>
          <w:szCs w:val="22"/>
        </w:rPr>
        <w:t xml:space="preserve"> for patients with </w:t>
      </w:r>
      <w:r w:rsidR="00C0063D">
        <w:rPr>
          <w:szCs w:val="22"/>
        </w:rPr>
        <w:t xml:space="preserve">previously </w:t>
      </w:r>
      <w:r w:rsidR="007935D1" w:rsidRPr="00F17A66">
        <w:rPr>
          <w:szCs w:val="22"/>
        </w:rPr>
        <w:t>untreated indolent non-Hodgkin’s lymphoma (</w:t>
      </w:r>
      <w:proofErr w:type="spellStart"/>
      <w:r w:rsidR="007935D1" w:rsidRPr="00F17A66">
        <w:rPr>
          <w:szCs w:val="22"/>
        </w:rPr>
        <w:t>Bendamustine</w:t>
      </w:r>
      <w:proofErr w:type="spellEnd"/>
      <w:r w:rsidR="007935D1" w:rsidRPr="00F17A66">
        <w:rPr>
          <w:szCs w:val="22"/>
        </w:rPr>
        <w:t xml:space="preserve"> </w:t>
      </w:r>
      <w:r w:rsidR="00496426">
        <w:rPr>
          <w:szCs w:val="22"/>
        </w:rPr>
        <w:t xml:space="preserve">PSD, </w:t>
      </w:r>
      <w:r w:rsidR="007935D1" w:rsidRPr="00F17A66">
        <w:rPr>
          <w:szCs w:val="22"/>
        </w:rPr>
        <w:t>March 2015</w:t>
      </w:r>
      <w:r w:rsidR="00DC33AE">
        <w:rPr>
          <w:szCs w:val="22"/>
        </w:rPr>
        <w:t xml:space="preserve"> PBAC meeting</w:t>
      </w:r>
      <w:r w:rsidR="007935D1" w:rsidRPr="00F17A66">
        <w:rPr>
          <w:szCs w:val="22"/>
        </w:rPr>
        <w:t>).</w:t>
      </w:r>
    </w:p>
    <w:p w:rsidR="007935D1" w:rsidRPr="00501C33" w:rsidRDefault="007935D1" w:rsidP="007935D1">
      <w:pPr>
        <w:pStyle w:val="ListParagraph"/>
        <w:widowControl/>
        <w:rPr>
          <w:szCs w:val="22"/>
        </w:rPr>
      </w:pPr>
    </w:p>
    <w:p w:rsidR="009A5482" w:rsidRDefault="009A5482" w:rsidP="005D5FF8">
      <w:pPr>
        <w:pStyle w:val="ListParagraph"/>
        <w:widowControl/>
        <w:numPr>
          <w:ilvl w:val="1"/>
          <w:numId w:val="1"/>
        </w:numPr>
        <w:rPr>
          <w:szCs w:val="22"/>
        </w:rPr>
      </w:pPr>
      <w:r w:rsidRPr="00501C33">
        <w:rPr>
          <w:szCs w:val="22"/>
        </w:rPr>
        <w:t xml:space="preserve">The submission </w:t>
      </w:r>
      <w:r w:rsidR="00C0063D">
        <w:rPr>
          <w:szCs w:val="22"/>
        </w:rPr>
        <w:t>noted the</w:t>
      </w:r>
      <w:r w:rsidRPr="00501C33">
        <w:rPr>
          <w:szCs w:val="22"/>
        </w:rPr>
        <w:t xml:space="preserve"> shorter, five-year time horizon </w:t>
      </w:r>
      <w:r w:rsidR="00C0063D">
        <w:rPr>
          <w:szCs w:val="22"/>
        </w:rPr>
        <w:t xml:space="preserve">used for the </w:t>
      </w:r>
      <w:r w:rsidR="00EE72B7" w:rsidRPr="00501C33">
        <w:rPr>
          <w:szCs w:val="22"/>
        </w:rPr>
        <w:t xml:space="preserve">follicular lymphoma </w:t>
      </w:r>
      <w:r w:rsidR="004D7FA8">
        <w:rPr>
          <w:szCs w:val="22"/>
        </w:rPr>
        <w:t xml:space="preserve">in the </w:t>
      </w:r>
      <w:proofErr w:type="spellStart"/>
      <w:r w:rsidRPr="00501C33">
        <w:rPr>
          <w:szCs w:val="22"/>
        </w:rPr>
        <w:t>idelalisi</w:t>
      </w:r>
      <w:r w:rsidR="001257A5" w:rsidRPr="00501C33">
        <w:rPr>
          <w:szCs w:val="22"/>
        </w:rPr>
        <w:t>b</w:t>
      </w:r>
      <w:proofErr w:type="spellEnd"/>
      <w:r w:rsidR="00EE72B7" w:rsidRPr="00501C33">
        <w:rPr>
          <w:szCs w:val="22"/>
        </w:rPr>
        <w:t xml:space="preserve"> </w:t>
      </w:r>
      <w:r w:rsidR="008E0C21">
        <w:rPr>
          <w:szCs w:val="22"/>
        </w:rPr>
        <w:t xml:space="preserve">PBAC </w:t>
      </w:r>
      <w:r w:rsidR="00CE69C4">
        <w:rPr>
          <w:szCs w:val="22"/>
        </w:rPr>
        <w:t xml:space="preserve">submission, however </w:t>
      </w:r>
      <w:r w:rsidR="008E0C21">
        <w:rPr>
          <w:szCs w:val="22"/>
        </w:rPr>
        <w:t>did not consider this relevant because</w:t>
      </w:r>
      <w:r w:rsidRPr="00501C33">
        <w:rPr>
          <w:szCs w:val="22"/>
        </w:rPr>
        <w:t xml:space="preserve"> the</w:t>
      </w:r>
      <w:r w:rsidR="00EE72B7" w:rsidRPr="00501C33">
        <w:rPr>
          <w:szCs w:val="22"/>
        </w:rPr>
        <w:t xml:space="preserve"> </w:t>
      </w:r>
      <w:proofErr w:type="spellStart"/>
      <w:r w:rsidR="00EE72B7" w:rsidRPr="00501C33">
        <w:rPr>
          <w:szCs w:val="22"/>
        </w:rPr>
        <w:t>idelalisib</w:t>
      </w:r>
      <w:proofErr w:type="spellEnd"/>
      <w:r w:rsidRPr="00501C33">
        <w:rPr>
          <w:szCs w:val="22"/>
        </w:rPr>
        <w:t xml:space="preserve"> patient population had more severe disease</w:t>
      </w:r>
      <w:r w:rsidR="00CE69C4">
        <w:rPr>
          <w:szCs w:val="22"/>
        </w:rPr>
        <w:t xml:space="preserve"> being</w:t>
      </w:r>
      <w:r w:rsidR="00CE69C4" w:rsidRPr="00501C33">
        <w:rPr>
          <w:szCs w:val="22"/>
        </w:rPr>
        <w:t xml:space="preserve"> refractory to both rituximab and an alkylating agent</w:t>
      </w:r>
      <w:r w:rsidR="00CE69C4">
        <w:rPr>
          <w:szCs w:val="22"/>
        </w:rPr>
        <w:t xml:space="preserve"> and having had</w:t>
      </w:r>
      <w:r w:rsidRPr="00501C33">
        <w:rPr>
          <w:szCs w:val="22"/>
        </w:rPr>
        <w:t xml:space="preserve"> a median of four prior lines of treatment. A five-year time horizon was tested in sensitivity analyses during the evaluation.</w:t>
      </w:r>
    </w:p>
    <w:p w:rsidR="007F4754" w:rsidRPr="007F4754" w:rsidRDefault="007F4754" w:rsidP="007F4754">
      <w:pPr>
        <w:pStyle w:val="ListParagraph"/>
        <w:rPr>
          <w:szCs w:val="22"/>
        </w:rPr>
      </w:pPr>
    </w:p>
    <w:p w:rsidR="007F4754" w:rsidRDefault="007F4754" w:rsidP="005D5FF8">
      <w:pPr>
        <w:pStyle w:val="ListParagraph"/>
        <w:widowControl/>
        <w:numPr>
          <w:ilvl w:val="1"/>
          <w:numId w:val="1"/>
        </w:numPr>
        <w:rPr>
          <w:szCs w:val="22"/>
        </w:rPr>
      </w:pPr>
      <w:r>
        <w:t xml:space="preserve">The PBAC noted </w:t>
      </w:r>
      <w:r w:rsidR="00871CF3">
        <w:t>that</w:t>
      </w:r>
      <w:r w:rsidR="00EB46A3">
        <w:t xml:space="preserve"> </w:t>
      </w:r>
      <w:r w:rsidR="00C859BF">
        <w:rPr>
          <w:szCs w:val="22"/>
        </w:rPr>
        <w:t>24</w:t>
      </w:r>
      <w:r w:rsidR="00871CF3" w:rsidRPr="001B7FE4">
        <w:rPr>
          <w:szCs w:val="22"/>
        </w:rPr>
        <w:t>% of patients</w:t>
      </w:r>
      <w:r w:rsidR="00EB46A3" w:rsidRPr="001B7FE4">
        <w:rPr>
          <w:szCs w:val="22"/>
        </w:rPr>
        <w:t xml:space="preserve"> enrolled in the GADOLIN trial</w:t>
      </w:r>
      <w:r w:rsidR="00871CF3" w:rsidRPr="001B7FE4">
        <w:rPr>
          <w:szCs w:val="22"/>
        </w:rPr>
        <w:t xml:space="preserve"> </w:t>
      </w:r>
      <w:r w:rsidR="00EB46A3" w:rsidRPr="001B7FE4">
        <w:rPr>
          <w:szCs w:val="22"/>
        </w:rPr>
        <w:t xml:space="preserve">had </w:t>
      </w:r>
      <w:r w:rsidR="00871CF3" w:rsidRPr="001B7FE4">
        <w:rPr>
          <w:szCs w:val="22"/>
        </w:rPr>
        <w:t xml:space="preserve">progressed within 6 months of completion of initial induction therapy with </w:t>
      </w:r>
      <w:r w:rsidR="00331086" w:rsidRPr="001B7FE4">
        <w:rPr>
          <w:szCs w:val="22"/>
        </w:rPr>
        <w:t>chemotherapy plus rituximab</w:t>
      </w:r>
      <w:r w:rsidR="001B7FE4" w:rsidRPr="001B7FE4">
        <w:rPr>
          <w:szCs w:val="22"/>
        </w:rPr>
        <w:t xml:space="preserve"> (</w:t>
      </w:r>
      <w:r w:rsidR="0026307C">
        <w:rPr>
          <w:szCs w:val="22"/>
        </w:rPr>
        <w:t xml:space="preserve">p159, </w:t>
      </w:r>
      <w:r w:rsidR="001B7FE4" w:rsidRPr="001B7FE4">
        <w:rPr>
          <w:szCs w:val="22"/>
        </w:rPr>
        <w:t>GADOLIN CSR May 2015 update)</w:t>
      </w:r>
      <w:r w:rsidR="001B7FE4">
        <w:rPr>
          <w:szCs w:val="22"/>
        </w:rPr>
        <w:t>. The PBAC</w:t>
      </w:r>
      <w:r w:rsidR="00871CF3" w:rsidRPr="001B7FE4">
        <w:rPr>
          <w:szCs w:val="22"/>
        </w:rPr>
        <w:t xml:space="preserve"> further</w:t>
      </w:r>
      <w:r w:rsidR="001B7FE4">
        <w:rPr>
          <w:szCs w:val="22"/>
        </w:rPr>
        <w:t xml:space="preserve"> noted</w:t>
      </w:r>
      <w:r w:rsidR="00871CF3" w:rsidRPr="001B7FE4">
        <w:t xml:space="preserve"> </w:t>
      </w:r>
      <w:r w:rsidRPr="001B7FE4">
        <w:t xml:space="preserve">that </w:t>
      </w:r>
      <w:r w:rsidRPr="00553EC4">
        <w:rPr>
          <w:szCs w:val="22"/>
        </w:rPr>
        <w:t>after a</w:t>
      </w:r>
      <w:r w:rsidR="00B84C8C">
        <w:rPr>
          <w:szCs w:val="22"/>
        </w:rPr>
        <w:t xml:space="preserve"> median 24 months follow-</w:t>
      </w:r>
      <w:r w:rsidRPr="00553EC4">
        <w:rPr>
          <w:szCs w:val="22"/>
        </w:rPr>
        <w:t xml:space="preserve">up, </w:t>
      </w:r>
      <w:r w:rsidR="009B687C">
        <w:rPr>
          <w:szCs w:val="22"/>
        </w:rPr>
        <w:t>35</w:t>
      </w:r>
      <w:r w:rsidRPr="00553EC4">
        <w:rPr>
          <w:szCs w:val="22"/>
        </w:rPr>
        <w:t xml:space="preserve">% of patients receiving </w:t>
      </w:r>
      <w:proofErr w:type="spellStart"/>
      <w:r w:rsidRPr="00553EC4">
        <w:rPr>
          <w:szCs w:val="22"/>
        </w:rPr>
        <w:t>obinutuzumab</w:t>
      </w:r>
      <w:proofErr w:type="spellEnd"/>
      <w:r>
        <w:rPr>
          <w:szCs w:val="22"/>
        </w:rPr>
        <w:t xml:space="preserve"> plus </w:t>
      </w:r>
      <w:proofErr w:type="spellStart"/>
      <w:r>
        <w:rPr>
          <w:szCs w:val="22"/>
        </w:rPr>
        <w:t>bendamustine</w:t>
      </w:r>
      <w:proofErr w:type="spellEnd"/>
      <w:r w:rsidRPr="00553EC4">
        <w:rPr>
          <w:szCs w:val="22"/>
        </w:rPr>
        <w:t xml:space="preserve"> in the follicular lymphoma subgroup had experienced disease progression</w:t>
      </w:r>
      <w:r w:rsidR="009B687C">
        <w:rPr>
          <w:szCs w:val="22"/>
        </w:rPr>
        <w:t xml:space="preserve"> (Table 3)</w:t>
      </w:r>
      <w:r w:rsidRPr="00553EC4">
        <w:rPr>
          <w:szCs w:val="22"/>
        </w:rPr>
        <w:t xml:space="preserve"> </w:t>
      </w:r>
      <w:r>
        <w:rPr>
          <w:szCs w:val="22"/>
        </w:rPr>
        <w:t xml:space="preserve">and 18% of patients had died </w:t>
      </w:r>
      <w:r w:rsidRPr="00553EC4">
        <w:rPr>
          <w:szCs w:val="22"/>
        </w:rPr>
        <w:t xml:space="preserve">(Table 5). The PBAC considered </w:t>
      </w:r>
      <w:r w:rsidRPr="00553EC4">
        <w:rPr>
          <w:szCs w:val="22"/>
        </w:rPr>
        <w:lastRenderedPageBreak/>
        <w:t xml:space="preserve">that this </w:t>
      </w:r>
      <w:r>
        <w:rPr>
          <w:szCs w:val="22"/>
        </w:rPr>
        <w:t xml:space="preserve">indicated that the population </w:t>
      </w:r>
      <w:r w:rsidR="009911F5">
        <w:rPr>
          <w:szCs w:val="22"/>
        </w:rPr>
        <w:t>in the GADOLIN trial</w:t>
      </w:r>
      <w:r>
        <w:rPr>
          <w:szCs w:val="22"/>
        </w:rPr>
        <w:t xml:space="preserve"> had </w:t>
      </w:r>
      <w:r w:rsidR="009911F5">
        <w:rPr>
          <w:szCs w:val="22"/>
        </w:rPr>
        <w:t>a relatively</w:t>
      </w:r>
      <w:r>
        <w:rPr>
          <w:szCs w:val="22"/>
        </w:rPr>
        <w:t xml:space="preserve"> </w:t>
      </w:r>
      <w:r w:rsidRPr="00553EC4">
        <w:rPr>
          <w:szCs w:val="22"/>
        </w:rPr>
        <w:t>poor prognosis</w:t>
      </w:r>
      <w:r w:rsidR="009911F5">
        <w:rPr>
          <w:szCs w:val="22"/>
        </w:rPr>
        <w:t xml:space="preserve"> and thus reference to the 20 year time horizon used</w:t>
      </w:r>
      <w:r>
        <w:rPr>
          <w:szCs w:val="22"/>
        </w:rPr>
        <w:t xml:space="preserve"> </w:t>
      </w:r>
      <w:r w:rsidRPr="00553EC4">
        <w:rPr>
          <w:szCs w:val="22"/>
        </w:rPr>
        <w:t xml:space="preserve">in the </w:t>
      </w:r>
      <w:proofErr w:type="spellStart"/>
      <w:r w:rsidRPr="00553EC4">
        <w:rPr>
          <w:szCs w:val="22"/>
        </w:rPr>
        <w:t>bendamustine</w:t>
      </w:r>
      <w:proofErr w:type="spellEnd"/>
      <w:r w:rsidRPr="00553EC4">
        <w:rPr>
          <w:szCs w:val="22"/>
        </w:rPr>
        <w:t xml:space="preserve"> submission</w:t>
      </w:r>
      <w:r w:rsidR="009911F5">
        <w:rPr>
          <w:szCs w:val="22"/>
        </w:rPr>
        <w:t xml:space="preserve"> </w:t>
      </w:r>
      <w:r w:rsidR="00EB46A3">
        <w:rPr>
          <w:szCs w:val="22"/>
        </w:rPr>
        <w:t>may</w:t>
      </w:r>
      <w:r w:rsidR="009911F5">
        <w:rPr>
          <w:szCs w:val="22"/>
        </w:rPr>
        <w:t xml:space="preserve"> not</w:t>
      </w:r>
      <w:r w:rsidR="00EB46A3">
        <w:rPr>
          <w:szCs w:val="22"/>
        </w:rPr>
        <w:t xml:space="preserve"> be</w:t>
      </w:r>
      <w:r w:rsidR="009911F5">
        <w:rPr>
          <w:szCs w:val="22"/>
        </w:rPr>
        <w:t xml:space="preserve"> valid</w:t>
      </w:r>
      <w:r w:rsidRPr="00553EC4">
        <w:rPr>
          <w:szCs w:val="22"/>
        </w:rPr>
        <w:t>.</w:t>
      </w:r>
      <w:r>
        <w:rPr>
          <w:szCs w:val="22"/>
        </w:rPr>
        <w:t xml:space="preserve"> On this basis, the PBAC considered that using a 10-year time horizon would be more appropriate in the base case </w:t>
      </w:r>
      <w:proofErr w:type="gramStart"/>
      <w:r>
        <w:rPr>
          <w:szCs w:val="22"/>
        </w:rPr>
        <w:t>analysis</w:t>
      </w:r>
      <w:r w:rsidR="00A2325D">
        <w:rPr>
          <w:szCs w:val="22"/>
        </w:rPr>
        <w:t>,</w:t>
      </w:r>
      <w:proofErr w:type="gramEnd"/>
      <w:r w:rsidR="00A2325D">
        <w:rPr>
          <w:szCs w:val="22"/>
        </w:rPr>
        <w:t xml:space="preserve"> and that a 15-year time horizon could be tested in a sensitivity analysis.</w:t>
      </w:r>
    </w:p>
    <w:p w:rsidR="00F127E4" w:rsidRDefault="00F127E4" w:rsidP="00755D52">
      <w:pPr>
        <w:pStyle w:val="PBACHeading1"/>
        <w:numPr>
          <w:ilvl w:val="0"/>
          <w:numId w:val="0"/>
        </w:numPr>
        <w:ind w:left="720" w:hanging="720"/>
        <w:outlineLvl w:val="9"/>
      </w:pPr>
    </w:p>
    <w:p w:rsidR="00F127E4" w:rsidRDefault="00467676" w:rsidP="005D5FF8">
      <w:pPr>
        <w:pStyle w:val="ListParagraph"/>
        <w:widowControl/>
        <w:numPr>
          <w:ilvl w:val="1"/>
          <w:numId w:val="1"/>
        </w:numPr>
        <w:rPr>
          <w:szCs w:val="22"/>
        </w:rPr>
      </w:pPr>
      <w:r w:rsidRPr="00BF13E3">
        <w:rPr>
          <w:szCs w:val="22"/>
        </w:rPr>
        <w:t xml:space="preserve">The ESC noted that the </w:t>
      </w:r>
      <w:r w:rsidR="00F127E4" w:rsidRPr="00BF13E3">
        <w:rPr>
          <w:szCs w:val="22"/>
        </w:rPr>
        <w:t>submission assumed</w:t>
      </w:r>
      <w:r w:rsidR="004D1892" w:rsidRPr="00BF13E3">
        <w:rPr>
          <w:szCs w:val="22"/>
        </w:rPr>
        <w:t xml:space="preserve"> a slightly lower </w:t>
      </w:r>
      <w:r w:rsidR="00DC1726" w:rsidRPr="00BF13E3">
        <w:rPr>
          <w:szCs w:val="22"/>
        </w:rPr>
        <w:t>utility for</w:t>
      </w:r>
      <w:r w:rsidR="00F127E4" w:rsidRPr="00BF13E3">
        <w:rPr>
          <w:szCs w:val="22"/>
        </w:rPr>
        <w:t xml:space="preserve"> patients in the </w:t>
      </w:r>
      <w:r w:rsidR="003634EF" w:rsidRPr="00BF13E3">
        <w:rPr>
          <w:szCs w:val="22"/>
        </w:rPr>
        <w:t>PFS</w:t>
      </w:r>
      <w:r w:rsidR="00F127E4" w:rsidRPr="00BF13E3">
        <w:rPr>
          <w:szCs w:val="22"/>
        </w:rPr>
        <w:t xml:space="preserve"> health state who were off treatment</w:t>
      </w:r>
      <w:r w:rsidR="00C41DE6" w:rsidRPr="00BF13E3">
        <w:rPr>
          <w:szCs w:val="22"/>
        </w:rPr>
        <w:t xml:space="preserve"> (0.81)</w:t>
      </w:r>
      <w:r w:rsidR="004D1892" w:rsidRPr="00BF13E3">
        <w:rPr>
          <w:szCs w:val="22"/>
        </w:rPr>
        <w:t>, when</w:t>
      </w:r>
      <w:r w:rsidR="00F127E4" w:rsidRPr="00BF13E3">
        <w:rPr>
          <w:szCs w:val="22"/>
        </w:rPr>
        <w:t xml:space="preserve"> compared with progression-free patients who remained on treatment</w:t>
      </w:r>
      <w:r w:rsidR="00C41DE6" w:rsidRPr="00BF13E3">
        <w:rPr>
          <w:szCs w:val="22"/>
        </w:rPr>
        <w:t xml:space="preserve"> (0.82)</w:t>
      </w:r>
      <w:r w:rsidR="00F127E4" w:rsidRPr="00BF13E3">
        <w:rPr>
          <w:szCs w:val="22"/>
        </w:rPr>
        <w:t>.</w:t>
      </w:r>
      <w:r w:rsidRPr="00BF13E3">
        <w:rPr>
          <w:szCs w:val="22"/>
        </w:rPr>
        <w:t xml:space="preserve"> </w:t>
      </w:r>
      <w:r w:rsidR="00C64B46" w:rsidRPr="00BF13E3">
        <w:rPr>
          <w:szCs w:val="22"/>
        </w:rPr>
        <w:t xml:space="preserve">A </w:t>
      </w:r>
      <w:r w:rsidRPr="00BF13E3">
        <w:rPr>
          <w:szCs w:val="22"/>
        </w:rPr>
        <w:t xml:space="preserve">rationale for this assumption was </w:t>
      </w:r>
      <w:r w:rsidR="00144BB0" w:rsidRPr="00BF13E3">
        <w:rPr>
          <w:szCs w:val="22"/>
        </w:rPr>
        <w:t xml:space="preserve">not </w:t>
      </w:r>
      <w:r w:rsidRPr="00BF13E3">
        <w:rPr>
          <w:szCs w:val="22"/>
        </w:rPr>
        <w:t>provided in th</w:t>
      </w:r>
      <w:r w:rsidR="00DC1726" w:rsidRPr="00BF13E3">
        <w:rPr>
          <w:szCs w:val="22"/>
        </w:rPr>
        <w:t>e</w:t>
      </w:r>
      <w:r w:rsidR="00452E63" w:rsidRPr="00BF13E3">
        <w:rPr>
          <w:szCs w:val="22"/>
        </w:rPr>
        <w:t xml:space="preserve"> submission</w:t>
      </w:r>
      <w:r w:rsidRPr="00BF13E3">
        <w:rPr>
          <w:szCs w:val="22"/>
        </w:rPr>
        <w:t>.</w:t>
      </w:r>
      <w:r w:rsidR="00A64F8A" w:rsidRPr="00BF13E3">
        <w:rPr>
          <w:szCs w:val="22"/>
        </w:rPr>
        <w:t xml:space="preserve"> The Pre-PBAC response (p3) </w:t>
      </w:r>
      <w:r w:rsidR="00BF13E3">
        <w:rPr>
          <w:szCs w:val="22"/>
        </w:rPr>
        <w:t>stated</w:t>
      </w:r>
      <w:r w:rsidR="00A64F8A" w:rsidRPr="00BF13E3">
        <w:rPr>
          <w:szCs w:val="22"/>
        </w:rPr>
        <w:t xml:space="preserve"> that the elicitation of preference weights was derived directly from patients in the GADOLIN trial</w:t>
      </w:r>
      <w:r w:rsidR="004C08F1">
        <w:rPr>
          <w:szCs w:val="22"/>
        </w:rPr>
        <w:t xml:space="preserve">; </w:t>
      </w:r>
      <w:r w:rsidR="00862356" w:rsidRPr="00BF13E3">
        <w:rPr>
          <w:szCs w:val="22"/>
        </w:rPr>
        <w:t xml:space="preserve">Australian tariffs were assigned to </w:t>
      </w:r>
      <w:r w:rsidR="00B60BF3" w:rsidRPr="00BF13E3">
        <w:rPr>
          <w:szCs w:val="22"/>
        </w:rPr>
        <w:t xml:space="preserve">EQ-5D scores to derive utility values by health state, with a distinction between patients who were on versus off-treatment. The PBAC noted that </w:t>
      </w:r>
      <w:r w:rsidR="00BF13E3">
        <w:rPr>
          <w:szCs w:val="22"/>
        </w:rPr>
        <w:t xml:space="preserve">the </w:t>
      </w:r>
      <w:r w:rsidR="00B60BF3" w:rsidRPr="00BF13E3">
        <w:rPr>
          <w:szCs w:val="22"/>
        </w:rPr>
        <w:t>health state utilities were not a significant driver of the economic model.</w:t>
      </w:r>
    </w:p>
    <w:p w:rsidR="00175175" w:rsidRPr="00175175" w:rsidRDefault="00175175" w:rsidP="00175175">
      <w:pPr>
        <w:pStyle w:val="ListParagraph"/>
        <w:rPr>
          <w:szCs w:val="22"/>
        </w:rPr>
      </w:pPr>
    </w:p>
    <w:p w:rsidR="00175175" w:rsidRPr="00181F6B" w:rsidRDefault="0090285D" w:rsidP="005D5FF8">
      <w:pPr>
        <w:pStyle w:val="ListParagraph"/>
        <w:widowControl/>
        <w:numPr>
          <w:ilvl w:val="1"/>
          <w:numId w:val="1"/>
        </w:numPr>
        <w:rPr>
          <w:szCs w:val="22"/>
        </w:rPr>
      </w:pPr>
      <w:r w:rsidRPr="00181F6B">
        <w:rPr>
          <w:szCs w:val="22"/>
        </w:rPr>
        <w:t>A comparison of the PFS results from the trial with that modelled</w:t>
      </w:r>
      <w:r w:rsidR="00175175" w:rsidRPr="00181F6B">
        <w:rPr>
          <w:szCs w:val="22"/>
        </w:rPr>
        <w:t xml:space="preserve"> is presented in Figure </w:t>
      </w:r>
      <w:r w:rsidR="00181F6B" w:rsidRPr="00181F6B">
        <w:rPr>
          <w:szCs w:val="22"/>
        </w:rPr>
        <w:t>3</w:t>
      </w:r>
      <w:r w:rsidR="00175175" w:rsidRPr="00181F6B">
        <w:rPr>
          <w:szCs w:val="22"/>
        </w:rPr>
        <w:t>.</w:t>
      </w:r>
    </w:p>
    <w:p w:rsidR="00175175" w:rsidRPr="00181F6B" w:rsidRDefault="00175175" w:rsidP="00175175">
      <w:pPr>
        <w:pStyle w:val="ListParagraph"/>
        <w:rPr>
          <w:szCs w:val="22"/>
        </w:rPr>
      </w:pPr>
    </w:p>
    <w:p w:rsidR="00175175" w:rsidRPr="00175175" w:rsidRDefault="00175175" w:rsidP="001E2B7B">
      <w:pPr>
        <w:pStyle w:val="Caption"/>
        <w:keepNext/>
        <w:spacing w:after="0"/>
        <w:ind w:firstLine="720"/>
        <w:rPr>
          <w:rStyle w:val="CommentReference"/>
          <w:b/>
          <w:bCs w:val="0"/>
          <w:color w:val="auto"/>
        </w:rPr>
      </w:pPr>
      <w:r w:rsidRPr="00181F6B">
        <w:rPr>
          <w:rStyle w:val="CommentReference"/>
          <w:b/>
          <w:bCs w:val="0"/>
          <w:color w:val="auto"/>
        </w:rPr>
        <w:t xml:space="preserve">Figure </w:t>
      </w:r>
      <w:r w:rsidR="00181F6B" w:rsidRPr="00181F6B">
        <w:rPr>
          <w:rStyle w:val="CommentReference"/>
          <w:b/>
          <w:bCs w:val="0"/>
          <w:color w:val="auto"/>
        </w:rPr>
        <w:t>3</w:t>
      </w:r>
      <w:r w:rsidRPr="00181F6B">
        <w:rPr>
          <w:rStyle w:val="CommentReference"/>
          <w:b/>
          <w:bCs w:val="0"/>
          <w:color w:val="auto"/>
        </w:rPr>
        <w:t xml:space="preserve">: </w:t>
      </w:r>
      <w:r w:rsidR="0090285D" w:rsidRPr="00181F6B">
        <w:rPr>
          <w:rStyle w:val="CommentReference"/>
          <w:b/>
          <w:bCs w:val="0"/>
          <w:color w:val="auto"/>
        </w:rPr>
        <w:t xml:space="preserve">Comparison </w:t>
      </w:r>
      <w:r w:rsidRPr="00181F6B">
        <w:rPr>
          <w:rStyle w:val="CommentReference"/>
          <w:b/>
          <w:bCs w:val="0"/>
          <w:color w:val="auto"/>
        </w:rPr>
        <w:t>of progression free survival</w:t>
      </w:r>
      <w:r w:rsidR="0090285D" w:rsidRPr="00181F6B">
        <w:rPr>
          <w:rStyle w:val="CommentReference"/>
          <w:b/>
          <w:bCs w:val="0"/>
          <w:color w:val="auto"/>
        </w:rPr>
        <w:t xml:space="preserve"> from the trial</w:t>
      </w:r>
      <w:r w:rsidR="0090285D">
        <w:rPr>
          <w:rStyle w:val="CommentReference"/>
          <w:b/>
          <w:bCs w:val="0"/>
          <w:color w:val="auto"/>
        </w:rPr>
        <w:t xml:space="preserve"> and model</w:t>
      </w:r>
    </w:p>
    <w:p w:rsidR="00175175" w:rsidRPr="00F17A66" w:rsidRDefault="00175175" w:rsidP="00175175">
      <w:pPr>
        <w:pStyle w:val="Header"/>
        <w:ind w:firstLine="720"/>
      </w:pPr>
      <w:r>
        <w:rPr>
          <w:noProof/>
          <w:snapToGrid/>
          <w:lang w:eastAsia="en-AU"/>
        </w:rPr>
        <w:drawing>
          <wp:inline distT="0" distB="0" distL="0" distR="0" wp14:anchorId="15A5DE25" wp14:editId="1747E00D">
            <wp:extent cx="5245548" cy="3879520"/>
            <wp:effectExtent l="0" t="0" r="0" b="6985"/>
            <wp:docPr id="4" name="Picture 4" descr="Figure 3: Comparison of progression free survival from the trial and model" title="Figure 3: Comparison of progression free survival from the trial an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45548" cy="3879520"/>
                    </a:xfrm>
                    <a:prstGeom prst="rect">
                      <a:avLst/>
                    </a:prstGeom>
                  </pic:spPr>
                </pic:pic>
              </a:graphicData>
            </a:graphic>
          </wp:inline>
        </w:drawing>
      </w:r>
    </w:p>
    <w:p w:rsidR="00175175" w:rsidRDefault="00175175" w:rsidP="00175175">
      <w:pPr>
        <w:pStyle w:val="ListParagraph"/>
        <w:widowControl/>
        <w:rPr>
          <w:szCs w:val="22"/>
        </w:rPr>
      </w:pPr>
      <w:r>
        <w:rPr>
          <w:rFonts w:ascii="Arial Narrow" w:hAnsi="Arial Narrow"/>
          <w:sz w:val="20"/>
        </w:rPr>
        <w:t xml:space="preserve"> </w:t>
      </w:r>
      <w:r w:rsidRPr="002C1753">
        <w:rPr>
          <w:rFonts w:ascii="Arial Narrow" w:hAnsi="Arial Narrow"/>
          <w:sz w:val="20"/>
        </w:rPr>
        <w:t>Source: “Graphs” worksheet from Economic Evaluation.xlsx in the submission</w:t>
      </w:r>
    </w:p>
    <w:p w:rsidR="005E384F" w:rsidRPr="00501C33" w:rsidRDefault="005E384F" w:rsidP="005E384F"/>
    <w:p w:rsidR="009A5482" w:rsidRPr="00F11E74" w:rsidRDefault="009A5482" w:rsidP="005D5FF8">
      <w:pPr>
        <w:pStyle w:val="ListParagraph"/>
        <w:widowControl/>
        <w:numPr>
          <w:ilvl w:val="1"/>
          <w:numId w:val="1"/>
        </w:numPr>
        <w:rPr>
          <w:i/>
          <w:szCs w:val="22"/>
        </w:rPr>
      </w:pPr>
      <w:r w:rsidRPr="007C6F53">
        <w:rPr>
          <w:szCs w:val="22"/>
        </w:rPr>
        <w:t xml:space="preserve">A log-normal distribution was fitted to the </w:t>
      </w:r>
      <w:proofErr w:type="spellStart"/>
      <w:r w:rsidRPr="007C6F53">
        <w:rPr>
          <w:szCs w:val="22"/>
        </w:rPr>
        <w:t>obinutuzumab</w:t>
      </w:r>
      <w:proofErr w:type="spellEnd"/>
      <w:r w:rsidRPr="007C6F53">
        <w:rPr>
          <w:szCs w:val="22"/>
        </w:rPr>
        <w:t xml:space="preserve"> plus </w:t>
      </w:r>
      <w:proofErr w:type="spellStart"/>
      <w:r w:rsidRPr="007C6F53">
        <w:rPr>
          <w:szCs w:val="22"/>
        </w:rPr>
        <w:t>bendamustine</w:t>
      </w:r>
      <w:proofErr w:type="spellEnd"/>
      <w:r w:rsidRPr="007C6F53">
        <w:rPr>
          <w:szCs w:val="22"/>
        </w:rPr>
        <w:t xml:space="preserve"> treatment arm, and a log-logistic distribution was fitted to the </w:t>
      </w:r>
      <w:proofErr w:type="spellStart"/>
      <w:r w:rsidRPr="007C6F53">
        <w:rPr>
          <w:szCs w:val="22"/>
        </w:rPr>
        <w:t>bendamustine</w:t>
      </w:r>
      <w:proofErr w:type="spellEnd"/>
      <w:r w:rsidRPr="007C6F53">
        <w:rPr>
          <w:szCs w:val="22"/>
        </w:rPr>
        <w:t xml:space="preserve"> monotherapy arm to extrapolate </w:t>
      </w:r>
      <w:r w:rsidR="003634EF">
        <w:rPr>
          <w:szCs w:val="22"/>
        </w:rPr>
        <w:t>PFS</w:t>
      </w:r>
      <w:r w:rsidRPr="007C6F53">
        <w:rPr>
          <w:szCs w:val="22"/>
        </w:rPr>
        <w:t xml:space="preserve"> beyond the </w:t>
      </w:r>
      <w:r w:rsidR="007F3D51">
        <w:rPr>
          <w:szCs w:val="22"/>
        </w:rPr>
        <w:t>median 24.1 months follow-up</w:t>
      </w:r>
      <w:r w:rsidRPr="007C6F53">
        <w:rPr>
          <w:szCs w:val="22"/>
        </w:rPr>
        <w:t>. Th</w:t>
      </w:r>
      <w:r w:rsidR="00467676" w:rsidRPr="007C6F53">
        <w:rPr>
          <w:szCs w:val="22"/>
        </w:rPr>
        <w:t>e</w:t>
      </w:r>
      <w:r w:rsidR="00EA4D5D" w:rsidRPr="007C6F53">
        <w:rPr>
          <w:szCs w:val="22"/>
        </w:rPr>
        <w:t xml:space="preserve"> </w:t>
      </w:r>
      <w:r w:rsidRPr="007C6F53">
        <w:rPr>
          <w:szCs w:val="22"/>
        </w:rPr>
        <w:t xml:space="preserve">log-normal distribution for </w:t>
      </w:r>
      <w:proofErr w:type="spellStart"/>
      <w:r w:rsidRPr="007C6F53">
        <w:rPr>
          <w:szCs w:val="22"/>
        </w:rPr>
        <w:t>obinutuzumab</w:t>
      </w:r>
      <w:proofErr w:type="spellEnd"/>
      <w:r w:rsidRPr="007C6F53">
        <w:rPr>
          <w:szCs w:val="22"/>
        </w:rPr>
        <w:t xml:space="preserve"> plus </w:t>
      </w:r>
      <w:proofErr w:type="spellStart"/>
      <w:r w:rsidRPr="007C6F53">
        <w:rPr>
          <w:szCs w:val="22"/>
        </w:rPr>
        <w:t>bendamustine</w:t>
      </w:r>
      <w:proofErr w:type="spellEnd"/>
      <w:r w:rsidRPr="007C6F53">
        <w:rPr>
          <w:szCs w:val="22"/>
        </w:rPr>
        <w:t xml:space="preserve"> and log-logistic distribution for </w:t>
      </w:r>
      <w:proofErr w:type="spellStart"/>
      <w:r w:rsidRPr="007C6F53">
        <w:rPr>
          <w:szCs w:val="22"/>
        </w:rPr>
        <w:t>bendamustine</w:t>
      </w:r>
      <w:proofErr w:type="spellEnd"/>
      <w:r w:rsidRPr="007C6F53">
        <w:rPr>
          <w:szCs w:val="22"/>
        </w:rPr>
        <w:t xml:space="preserve"> alone were associated with the greatest level of fit </w:t>
      </w:r>
      <w:r w:rsidRPr="007C6F53">
        <w:rPr>
          <w:szCs w:val="22"/>
        </w:rPr>
        <w:lastRenderedPageBreak/>
        <w:t xml:space="preserve">based on the </w:t>
      </w:r>
      <w:proofErr w:type="spellStart"/>
      <w:r w:rsidRPr="007C6F53">
        <w:rPr>
          <w:szCs w:val="22"/>
        </w:rPr>
        <w:t>Akaike</w:t>
      </w:r>
      <w:proofErr w:type="spellEnd"/>
      <w:r w:rsidRPr="007C6F53">
        <w:rPr>
          <w:szCs w:val="22"/>
        </w:rPr>
        <w:t xml:space="preserve"> Information Criteria. </w:t>
      </w:r>
      <w:r w:rsidR="00467676" w:rsidRPr="005D5FF8">
        <w:rPr>
          <w:szCs w:val="22"/>
        </w:rPr>
        <w:t xml:space="preserve">The ESC noted that more flexible parametric models were not tested. The extrapolations </w:t>
      </w:r>
      <w:r w:rsidR="00D563FA" w:rsidRPr="005D5FF8">
        <w:rPr>
          <w:szCs w:val="22"/>
        </w:rPr>
        <w:t>used resulted in</w:t>
      </w:r>
      <w:r w:rsidR="00FB3DC2" w:rsidRPr="005D5FF8">
        <w:rPr>
          <w:szCs w:val="22"/>
        </w:rPr>
        <w:t xml:space="preserve"> </w:t>
      </w:r>
      <w:r w:rsidR="00467676" w:rsidRPr="005D5FF8">
        <w:rPr>
          <w:szCs w:val="22"/>
        </w:rPr>
        <w:t>4.8% of</w:t>
      </w:r>
      <w:r w:rsidR="00FB3DC2" w:rsidRPr="005D5FF8">
        <w:rPr>
          <w:szCs w:val="22"/>
        </w:rPr>
        <w:t xml:space="preserve"> patients in the</w:t>
      </w:r>
      <w:r w:rsidR="00467676" w:rsidRPr="005D5FF8">
        <w:rPr>
          <w:szCs w:val="22"/>
        </w:rPr>
        <w:t xml:space="preserve"> </w:t>
      </w:r>
      <w:proofErr w:type="spellStart"/>
      <w:r w:rsidR="00FB3DC2" w:rsidRPr="005D5FF8">
        <w:rPr>
          <w:szCs w:val="22"/>
        </w:rPr>
        <w:t>bendamustine</w:t>
      </w:r>
      <w:proofErr w:type="spellEnd"/>
      <w:r w:rsidR="00FB3DC2" w:rsidRPr="005D5FF8">
        <w:rPr>
          <w:szCs w:val="22"/>
        </w:rPr>
        <w:t xml:space="preserve"> monotherapy arm </w:t>
      </w:r>
      <w:r w:rsidR="00467676" w:rsidRPr="005D5FF8">
        <w:rPr>
          <w:szCs w:val="22"/>
        </w:rPr>
        <w:t>remain</w:t>
      </w:r>
      <w:r w:rsidR="00D563FA" w:rsidRPr="005D5FF8">
        <w:rPr>
          <w:szCs w:val="22"/>
        </w:rPr>
        <w:t>ing</w:t>
      </w:r>
      <w:r w:rsidR="00467676" w:rsidRPr="005D5FF8">
        <w:rPr>
          <w:szCs w:val="22"/>
        </w:rPr>
        <w:t xml:space="preserve"> progression-</w:t>
      </w:r>
      <w:r w:rsidR="007C6F53" w:rsidRPr="005D5FF8">
        <w:rPr>
          <w:szCs w:val="22"/>
        </w:rPr>
        <w:t>free at 5 years compared to 32.6</w:t>
      </w:r>
      <w:r w:rsidR="00467676" w:rsidRPr="005D5FF8">
        <w:rPr>
          <w:szCs w:val="22"/>
        </w:rPr>
        <w:t>% of patients</w:t>
      </w:r>
      <w:r w:rsidR="009B33CE" w:rsidRPr="005D5FF8">
        <w:rPr>
          <w:szCs w:val="22"/>
        </w:rPr>
        <w:t xml:space="preserve"> in the </w:t>
      </w:r>
      <w:proofErr w:type="spellStart"/>
      <w:r w:rsidR="009B33CE" w:rsidRPr="005D5FF8">
        <w:rPr>
          <w:szCs w:val="22"/>
        </w:rPr>
        <w:t>obinutuzumab</w:t>
      </w:r>
      <w:proofErr w:type="spellEnd"/>
      <w:r w:rsidR="009B33CE" w:rsidRPr="005D5FF8">
        <w:rPr>
          <w:szCs w:val="22"/>
        </w:rPr>
        <w:t xml:space="preserve"> plus </w:t>
      </w:r>
      <w:proofErr w:type="spellStart"/>
      <w:r w:rsidR="009B33CE" w:rsidRPr="005D5FF8">
        <w:rPr>
          <w:szCs w:val="22"/>
        </w:rPr>
        <w:t>bendamustine</w:t>
      </w:r>
      <w:proofErr w:type="spellEnd"/>
      <w:r w:rsidR="009B33CE" w:rsidRPr="005D5FF8">
        <w:rPr>
          <w:szCs w:val="22"/>
        </w:rPr>
        <w:t xml:space="preserve"> arm</w:t>
      </w:r>
      <w:r w:rsidR="00467676" w:rsidRPr="005D5FF8">
        <w:rPr>
          <w:szCs w:val="22"/>
        </w:rPr>
        <w:t>.</w:t>
      </w:r>
      <w:r w:rsidR="007C6F53" w:rsidRPr="005D5FF8">
        <w:rPr>
          <w:szCs w:val="22"/>
        </w:rPr>
        <w:t xml:space="preserve"> At 15 years, </w:t>
      </w:r>
      <w:r w:rsidR="007C6F53" w:rsidRPr="005D5FF8">
        <w:t xml:space="preserve">0.5% </w:t>
      </w:r>
      <w:proofErr w:type="spellStart"/>
      <w:r w:rsidR="007C6F53" w:rsidRPr="005D5FF8">
        <w:t>bendamustine</w:t>
      </w:r>
      <w:proofErr w:type="spellEnd"/>
      <w:r w:rsidR="007C6F53" w:rsidRPr="005D5FF8">
        <w:t xml:space="preserve"> monotherapy patients remained progression-free compared to 11.7% of </w:t>
      </w:r>
      <w:proofErr w:type="spellStart"/>
      <w:r w:rsidR="007C6F53" w:rsidRPr="005D5FF8">
        <w:rPr>
          <w:szCs w:val="22"/>
        </w:rPr>
        <w:t>obinutuzumab</w:t>
      </w:r>
      <w:proofErr w:type="spellEnd"/>
      <w:r w:rsidR="007C6F53" w:rsidRPr="005D5FF8">
        <w:rPr>
          <w:szCs w:val="22"/>
        </w:rPr>
        <w:t xml:space="preserve"> plus </w:t>
      </w:r>
      <w:proofErr w:type="spellStart"/>
      <w:r w:rsidR="007C6F53" w:rsidRPr="005D5FF8">
        <w:rPr>
          <w:szCs w:val="22"/>
        </w:rPr>
        <w:t>bendamustine</w:t>
      </w:r>
      <w:proofErr w:type="spellEnd"/>
      <w:r w:rsidR="007C6F53" w:rsidRPr="005D5FF8">
        <w:t xml:space="preserve"> patients. </w:t>
      </w:r>
      <w:r w:rsidR="00FB3DC2" w:rsidRPr="005D5FF8">
        <w:rPr>
          <w:szCs w:val="22"/>
        </w:rPr>
        <w:t>The</w:t>
      </w:r>
      <w:r w:rsidR="00B00243" w:rsidRPr="005D5FF8">
        <w:rPr>
          <w:szCs w:val="22"/>
        </w:rPr>
        <w:t xml:space="preserve"> ESC noted that </w:t>
      </w:r>
      <w:r w:rsidRPr="005D5FF8">
        <w:rPr>
          <w:szCs w:val="22"/>
        </w:rPr>
        <w:t xml:space="preserve">the external validity of the extrapolation was not </w:t>
      </w:r>
      <w:r w:rsidR="002928E7" w:rsidRPr="005D5FF8">
        <w:rPr>
          <w:szCs w:val="22"/>
        </w:rPr>
        <w:t xml:space="preserve">addressed </w:t>
      </w:r>
      <w:r w:rsidRPr="005D5FF8">
        <w:rPr>
          <w:szCs w:val="22"/>
        </w:rPr>
        <w:t>by the submission</w:t>
      </w:r>
      <w:r w:rsidR="00B00243" w:rsidRPr="005D5FF8">
        <w:rPr>
          <w:szCs w:val="22"/>
        </w:rPr>
        <w:t>.</w:t>
      </w:r>
      <w:r w:rsidR="008631D8">
        <w:rPr>
          <w:szCs w:val="22"/>
        </w:rPr>
        <w:t xml:space="preserve"> </w:t>
      </w:r>
      <w:r w:rsidR="00E72172">
        <w:rPr>
          <w:szCs w:val="22"/>
        </w:rPr>
        <w:t xml:space="preserve">The Pre-PBAC response (p3) argued that the most appropriate approach to extrapolating PFS was undertaken in the economic model. </w:t>
      </w:r>
      <w:r w:rsidR="003C7180">
        <w:rPr>
          <w:szCs w:val="22"/>
        </w:rPr>
        <w:t xml:space="preserve">The PBAC considered that it was biologically implausible that </w:t>
      </w:r>
      <w:r w:rsidR="003C7180" w:rsidRPr="005D5FF8">
        <w:rPr>
          <w:szCs w:val="22"/>
        </w:rPr>
        <w:t xml:space="preserve">4.8% of patients in the </w:t>
      </w:r>
      <w:proofErr w:type="spellStart"/>
      <w:r w:rsidR="003C7180" w:rsidRPr="005D5FF8">
        <w:rPr>
          <w:szCs w:val="22"/>
        </w:rPr>
        <w:t>bendamustine</w:t>
      </w:r>
      <w:proofErr w:type="spellEnd"/>
      <w:r w:rsidR="003C7180" w:rsidRPr="005D5FF8">
        <w:rPr>
          <w:szCs w:val="22"/>
        </w:rPr>
        <w:t xml:space="preserve"> monotherapy arm remain</w:t>
      </w:r>
      <w:r w:rsidR="003C7180">
        <w:rPr>
          <w:szCs w:val="22"/>
        </w:rPr>
        <w:t>ed</w:t>
      </w:r>
      <w:r w:rsidR="003C7180" w:rsidRPr="005D5FF8">
        <w:rPr>
          <w:szCs w:val="22"/>
        </w:rPr>
        <w:t xml:space="preserve"> progression-free at 5 years compared to 32.6% of patients in the </w:t>
      </w:r>
      <w:proofErr w:type="spellStart"/>
      <w:r w:rsidR="003C7180" w:rsidRPr="005D5FF8">
        <w:rPr>
          <w:szCs w:val="22"/>
        </w:rPr>
        <w:t>obinutuzumab</w:t>
      </w:r>
      <w:proofErr w:type="spellEnd"/>
      <w:r w:rsidR="003C7180" w:rsidRPr="005D5FF8">
        <w:rPr>
          <w:szCs w:val="22"/>
        </w:rPr>
        <w:t xml:space="preserve"> plus </w:t>
      </w:r>
      <w:proofErr w:type="spellStart"/>
      <w:r w:rsidR="003C7180" w:rsidRPr="005D5FF8">
        <w:rPr>
          <w:szCs w:val="22"/>
        </w:rPr>
        <w:t>bendamustine</w:t>
      </w:r>
      <w:proofErr w:type="spellEnd"/>
      <w:r w:rsidR="003C7180" w:rsidRPr="005D5FF8">
        <w:rPr>
          <w:szCs w:val="22"/>
        </w:rPr>
        <w:t xml:space="preserve"> arm</w:t>
      </w:r>
      <w:r w:rsidR="003C7180">
        <w:rPr>
          <w:szCs w:val="22"/>
        </w:rPr>
        <w:t xml:space="preserve">, as this assumed that the majority of </w:t>
      </w:r>
      <w:r w:rsidR="007F3D51">
        <w:rPr>
          <w:szCs w:val="22"/>
        </w:rPr>
        <w:t xml:space="preserve">the </w:t>
      </w:r>
      <w:r w:rsidR="003C7180">
        <w:rPr>
          <w:szCs w:val="22"/>
        </w:rPr>
        <w:t xml:space="preserve">clinical benefit occurred after </w:t>
      </w:r>
      <w:r w:rsidR="007F3D51">
        <w:rPr>
          <w:szCs w:val="22"/>
        </w:rPr>
        <w:t xml:space="preserve">the </w:t>
      </w:r>
      <w:r w:rsidR="003C7180">
        <w:rPr>
          <w:szCs w:val="22"/>
        </w:rPr>
        <w:t xml:space="preserve">cessation of </w:t>
      </w:r>
      <w:proofErr w:type="spellStart"/>
      <w:r w:rsidR="003C7180">
        <w:rPr>
          <w:szCs w:val="22"/>
        </w:rPr>
        <w:t>obinutuzumab</w:t>
      </w:r>
      <w:proofErr w:type="spellEnd"/>
      <w:r w:rsidR="003C7180">
        <w:rPr>
          <w:szCs w:val="22"/>
        </w:rPr>
        <w:t xml:space="preserve"> maintenance</w:t>
      </w:r>
      <w:r w:rsidR="007F3D51">
        <w:rPr>
          <w:szCs w:val="22"/>
        </w:rPr>
        <w:t xml:space="preserve"> therapy at 2.5 years</w:t>
      </w:r>
      <w:r w:rsidR="00581824">
        <w:rPr>
          <w:szCs w:val="22"/>
        </w:rPr>
        <w:t>.</w:t>
      </w:r>
    </w:p>
    <w:p w:rsidR="00F11E74" w:rsidRPr="00F11E74" w:rsidRDefault="00F11E74" w:rsidP="00F11E74">
      <w:pPr>
        <w:pStyle w:val="ListParagraph"/>
        <w:widowControl/>
        <w:rPr>
          <w:i/>
          <w:szCs w:val="22"/>
        </w:rPr>
      </w:pPr>
    </w:p>
    <w:p w:rsidR="00725C0E" w:rsidRDefault="00F11E74" w:rsidP="00725C0E">
      <w:pPr>
        <w:pStyle w:val="ListParagraph"/>
        <w:widowControl/>
        <w:numPr>
          <w:ilvl w:val="1"/>
          <w:numId w:val="1"/>
        </w:numPr>
        <w:rPr>
          <w:szCs w:val="22"/>
        </w:rPr>
      </w:pPr>
      <w:r w:rsidRPr="009B5583">
        <w:rPr>
          <w:szCs w:val="22"/>
        </w:rPr>
        <w:t xml:space="preserve">The PBAC </w:t>
      </w:r>
      <w:r w:rsidR="003C7180">
        <w:rPr>
          <w:szCs w:val="22"/>
        </w:rPr>
        <w:t xml:space="preserve">also </w:t>
      </w:r>
      <w:r w:rsidRPr="009B5583">
        <w:rPr>
          <w:szCs w:val="22"/>
        </w:rPr>
        <w:t xml:space="preserve">considered that the </w:t>
      </w:r>
      <w:r w:rsidR="006F337D">
        <w:rPr>
          <w:szCs w:val="22"/>
        </w:rPr>
        <w:t>approached used to extrapolate PFS resulted in the benefit being overestimated</w:t>
      </w:r>
      <w:r w:rsidRPr="009B5583">
        <w:rPr>
          <w:szCs w:val="22"/>
        </w:rPr>
        <w:t xml:space="preserve">. </w:t>
      </w:r>
      <w:r w:rsidR="00B06A3D" w:rsidRPr="009B5583">
        <w:rPr>
          <w:szCs w:val="22"/>
        </w:rPr>
        <w:t xml:space="preserve">The PBAC noted that </w:t>
      </w:r>
      <w:r w:rsidRPr="009B5583">
        <w:rPr>
          <w:szCs w:val="22"/>
        </w:rPr>
        <w:t xml:space="preserve">29 of 164 patients (approximately 18%) in the </w:t>
      </w:r>
      <w:proofErr w:type="spellStart"/>
      <w:r w:rsidRPr="009B5583">
        <w:rPr>
          <w:szCs w:val="22"/>
        </w:rPr>
        <w:t>obinutuzumab</w:t>
      </w:r>
      <w:proofErr w:type="spellEnd"/>
      <w:r w:rsidRPr="009B5583">
        <w:rPr>
          <w:szCs w:val="22"/>
        </w:rPr>
        <w:t xml:space="preserve"> plus </w:t>
      </w:r>
      <w:proofErr w:type="spellStart"/>
      <w:r w:rsidRPr="009B5583">
        <w:rPr>
          <w:szCs w:val="22"/>
        </w:rPr>
        <w:t>bendamustine</w:t>
      </w:r>
      <w:proofErr w:type="spellEnd"/>
      <w:r w:rsidRPr="009B5583">
        <w:rPr>
          <w:szCs w:val="22"/>
        </w:rPr>
        <w:t xml:space="preserve"> arm were still receiving maintenance therapy at the time of the most recent data analysis</w:t>
      </w:r>
      <w:r w:rsidR="00B06A3D">
        <w:rPr>
          <w:rStyle w:val="FootnoteReference"/>
        </w:rPr>
        <w:footnoteReference w:id="5"/>
      </w:r>
      <w:r w:rsidRPr="009B5583">
        <w:rPr>
          <w:szCs w:val="22"/>
        </w:rPr>
        <w:t>, and that the follow</w:t>
      </w:r>
      <w:r w:rsidR="004C08F1">
        <w:rPr>
          <w:szCs w:val="22"/>
        </w:rPr>
        <w:t>-</w:t>
      </w:r>
      <w:r w:rsidRPr="009B5583">
        <w:rPr>
          <w:szCs w:val="22"/>
        </w:rPr>
        <w:t xml:space="preserve">up was insufficient to </w:t>
      </w:r>
      <w:r w:rsidR="004C08F1">
        <w:rPr>
          <w:szCs w:val="22"/>
        </w:rPr>
        <w:t>provide</w:t>
      </w:r>
      <w:r w:rsidRPr="009B5583">
        <w:rPr>
          <w:szCs w:val="22"/>
        </w:rPr>
        <w:t xml:space="preserve"> confidence about the PFS curve beyond the point of median follow</w:t>
      </w:r>
      <w:r w:rsidR="004C08F1">
        <w:rPr>
          <w:szCs w:val="22"/>
        </w:rPr>
        <w:t>-</w:t>
      </w:r>
      <w:r w:rsidRPr="009B5583">
        <w:rPr>
          <w:szCs w:val="22"/>
        </w:rPr>
        <w:t>up</w:t>
      </w:r>
      <w:r w:rsidR="00923A26">
        <w:rPr>
          <w:szCs w:val="22"/>
        </w:rPr>
        <w:t>.</w:t>
      </w:r>
      <w:r w:rsidR="00923A26" w:rsidRPr="009B5583">
        <w:rPr>
          <w:szCs w:val="22"/>
        </w:rPr>
        <w:t xml:space="preserve"> </w:t>
      </w:r>
      <w:r w:rsidR="00923A26">
        <w:rPr>
          <w:szCs w:val="22"/>
        </w:rPr>
        <w:t>Further,</w:t>
      </w:r>
      <w:r w:rsidR="004470B8">
        <w:rPr>
          <w:szCs w:val="22"/>
        </w:rPr>
        <w:t xml:space="preserve"> </w:t>
      </w:r>
      <w:r w:rsidR="00923A26">
        <w:rPr>
          <w:szCs w:val="22"/>
        </w:rPr>
        <w:t>the PFS curve for the</w:t>
      </w:r>
      <w:r w:rsidR="00057A81">
        <w:rPr>
          <w:szCs w:val="22"/>
        </w:rPr>
        <w:t xml:space="preserve"> </w:t>
      </w:r>
      <w:proofErr w:type="spellStart"/>
      <w:r w:rsidR="00057A81">
        <w:rPr>
          <w:szCs w:val="22"/>
        </w:rPr>
        <w:t>obinutuzumab</w:t>
      </w:r>
      <w:proofErr w:type="spellEnd"/>
      <w:r w:rsidR="00057A81">
        <w:rPr>
          <w:szCs w:val="22"/>
        </w:rPr>
        <w:t xml:space="preserve"> plus </w:t>
      </w:r>
      <w:proofErr w:type="spellStart"/>
      <w:r w:rsidR="00057A81">
        <w:rPr>
          <w:szCs w:val="22"/>
        </w:rPr>
        <w:t>bendamustine</w:t>
      </w:r>
      <w:proofErr w:type="spellEnd"/>
      <w:r w:rsidR="00923A26">
        <w:rPr>
          <w:szCs w:val="22"/>
        </w:rPr>
        <w:t xml:space="preserve"> arm</w:t>
      </w:r>
      <w:r w:rsidR="004470B8">
        <w:rPr>
          <w:szCs w:val="22"/>
        </w:rPr>
        <w:t xml:space="preserve"> may conver</w:t>
      </w:r>
      <w:r w:rsidR="00923A26">
        <w:rPr>
          <w:szCs w:val="22"/>
        </w:rPr>
        <w:t xml:space="preserve">ge with that for the </w:t>
      </w:r>
      <w:proofErr w:type="spellStart"/>
      <w:r w:rsidR="00923A26">
        <w:rPr>
          <w:szCs w:val="22"/>
        </w:rPr>
        <w:t>benda</w:t>
      </w:r>
      <w:r w:rsidR="00057A81">
        <w:rPr>
          <w:szCs w:val="22"/>
        </w:rPr>
        <w:t>mustine</w:t>
      </w:r>
      <w:proofErr w:type="spellEnd"/>
      <w:r w:rsidR="00057A81">
        <w:rPr>
          <w:szCs w:val="22"/>
        </w:rPr>
        <w:t xml:space="preserve"> monotherapy</w:t>
      </w:r>
      <w:r w:rsidR="00923A26">
        <w:rPr>
          <w:szCs w:val="22"/>
        </w:rPr>
        <w:t xml:space="preserve"> arm</w:t>
      </w:r>
      <w:r w:rsidRPr="009B5583">
        <w:rPr>
          <w:szCs w:val="22"/>
        </w:rPr>
        <w:t xml:space="preserve"> after all patients had completed maintenance. The PBAC considered that this created significant uncertainty </w:t>
      </w:r>
      <w:r w:rsidR="002A7B7F">
        <w:rPr>
          <w:szCs w:val="22"/>
        </w:rPr>
        <w:t>regarding</w:t>
      </w:r>
      <w:r w:rsidR="002A7B7F" w:rsidRPr="009B5583">
        <w:rPr>
          <w:szCs w:val="22"/>
        </w:rPr>
        <w:t xml:space="preserve"> </w:t>
      </w:r>
      <w:r w:rsidRPr="009B5583">
        <w:rPr>
          <w:szCs w:val="22"/>
        </w:rPr>
        <w:t xml:space="preserve">whether the fitted curve used to extrapolate the trial data would </w:t>
      </w:r>
      <w:r w:rsidR="00B84C8C">
        <w:rPr>
          <w:szCs w:val="22"/>
        </w:rPr>
        <w:t>reliably</w:t>
      </w:r>
      <w:r w:rsidRPr="009B5583">
        <w:rPr>
          <w:szCs w:val="22"/>
        </w:rPr>
        <w:t xml:space="preserve"> predict PFS post cessation of </w:t>
      </w:r>
      <w:proofErr w:type="spellStart"/>
      <w:r w:rsidR="009B5583">
        <w:rPr>
          <w:szCs w:val="22"/>
        </w:rPr>
        <w:t>obinutuzumab</w:t>
      </w:r>
      <w:proofErr w:type="spellEnd"/>
      <w:r w:rsidR="009B5583">
        <w:rPr>
          <w:szCs w:val="22"/>
        </w:rPr>
        <w:t xml:space="preserve"> </w:t>
      </w:r>
      <w:r w:rsidR="00581824">
        <w:rPr>
          <w:szCs w:val="22"/>
        </w:rPr>
        <w:t>maintenance therapy.</w:t>
      </w:r>
    </w:p>
    <w:p w:rsidR="00725C0E" w:rsidRPr="00725C0E" w:rsidRDefault="00725C0E" w:rsidP="00725C0E">
      <w:pPr>
        <w:pStyle w:val="ListParagraph"/>
        <w:rPr>
          <w:szCs w:val="22"/>
        </w:rPr>
      </w:pPr>
    </w:p>
    <w:p w:rsidR="00387141" w:rsidRPr="00725C0E" w:rsidRDefault="00387141" w:rsidP="00725C0E">
      <w:pPr>
        <w:pStyle w:val="ListParagraph"/>
        <w:widowControl/>
        <w:numPr>
          <w:ilvl w:val="1"/>
          <w:numId w:val="1"/>
        </w:numPr>
        <w:rPr>
          <w:szCs w:val="22"/>
        </w:rPr>
      </w:pPr>
      <w:r w:rsidRPr="00725C0E">
        <w:rPr>
          <w:szCs w:val="22"/>
        </w:rPr>
        <w:t xml:space="preserve">The PBAC considered that a more plausible approach to extrapolating PFS would be to allow for more rapid convergence of the extrapolated PFS curves as the </w:t>
      </w:r>
      <w:r w:rsidR="002A7B7F" w:rsidRPr="00725C0E">
        <w:rPr>
          <w:szCs w:val="22"/>
        </w:rPr>
        <w:t xml:space="preserve">effect of </w:t>
      </w:r>
      <w:proofErr w:type="spellStart"/>
      <w:r w:rsidRPr="00725C0E">
        <w:rPr>
          <w:szCs w:val="22"/>
        </w:rPr>
        <w:t>obinutuzumab</w:t>
      </w:r>
      <w:proofErr w:type="spellEnd"/>
      <w:r w:rsidRPr="00725C0E">
        <w:rPr>
          <w:szCs w:val="22"/>
        </w:rPr>
        <w:t xml:space="preserve"> maintenance </w:t>
      </w:r>
      <w:r w:rsidR="002A7B7F" w:rsidRPr="00725C0E">
        <w:rPr>
          <w:szCs w:val="22"/>
        </w:rPr>
        <w:t xml:space="preserve">therapy </w:t>
      </w:r>
      <w:r w:rsidRPr="00725C0E">
        <w:rPr>
          <w:szCs w:val="22"/>
        </w:rPr>
        <w:t xml:space="preserve">waned. </w:t>
      </w:r>
      <w:r w:rsidR="001F34AC" w:rsidRPr="00725C0E">
        <w:rPr>
          <w:szCs w:val="22"/>
        </w:rPr>
        <w:t xml:space="preserve">This may possibly be achieved by </w:t>
      </w:r>
      <w:r w:rsidRPr="00725C0E">
        <w:rPr>
          <w:szCs w:val="22"/>
        </w:rPr>
        <w:t xml:space="preserve">assuming </w:t>
      </w:r>
      <w:r w:rsidR="002A7B7F" w:rsidRPr="00725C0E">
        <w:rPr>
          <w:szCs w:val="22"/>
        </w:rPr>
        <w:t>no additional</w:t>
      </w:r>
      <w:r w:rsidRPr="00725C0E">
        <w:rPr>
          <w:szCs w:val="22"/>
        </w:rPr>
        <w:t xml:space="preserve"> PFS benefit </w:t>
      </w:r>
      <w:r w:rsidR="002A7B7F" w:rsidRPr="00725C0E">
        <w:rPr>
          <w:szCs w:val="22"/>
        </w:rPr>
        <w:t>after</w:t>
      </w:r>
      <w:r w:rsidRPr="00725C0E">
        <w:rPr>
          <w:szCs w:val="22"/>
        </w:rPr>
        <w:t xml:space="preserve"> cessation of </w:t>
      </w:r>
      <w:proofErr w:type="spellStart"/>
      <w:r w:rsidRPr="00725C0E">
        <w:rPr>
          <w:szCs w:val="22"/>
        </w:rPr>
        <w:t>obinutuzumab</w:t>
      </w:r>
      <w:proofErr w:type="spellEnd"/>
      <w:r w:rsidRPr="00725C0E">
        <w:rPr>
          <w:szCs w:val="22"/>
        </w:rPr>
        <w:t xml:space="preserve"> maintenance therapy</w:t>
      </w:r>
      <w:r w:rsidR="001F34AC" w:rsidRPr="00725C0E">
        <w:rPr>
          <w:szCs w:val="22"/>
        </w:rPr>
        <w:t xml:space="preserve">, </w:t>
      </w:r>
      <w:r w:rsidRPr="00725C0E">
        <w:rPr>
          <w:szCs w:val="22"/>
        </w:rPr>
        <w:t xml:space="preserve">the rate of progression post cessation of </w:t>
      </w:r>
      <w:proofErr w:type="spellStart"/>
      <w:r w:rsidRPr="00725C0E">
        <w:rPr>
          <w:szCs w:val="22"/>
        </w:rPr>
        <w:t>obinutuzumab</w:t>
      </w:r>
      <w:proofErr w:type="spellEnd"/>
      <w:r w:rsidRPr="00725C0E">
        <w:rPr>
          <w:szCs w:val="22"/>
        </w:rPr>
        <w:t xml:space="preserve"> maintenance therapy </w:t>
      </w:r>
      <w:r w:rsidR="001F34AC" w:rsidRPr="00725C0E">
        <w:rPr>
          <w:szCs w:val="22"/>
        </w:rPr>
        <w:t>to be</w:t>
      </w:r>
      <w:r w:rsidRPr="00725C0E">
        <w:rPr>
          <w:szCs w:val="22"/>
        </w:rPr>
        <w:t xml:space="preserve"> the same as observed </w:t>
      </w:r>
      <w:r w:rsidR="001F34AC" w:rsidRPr="00725C0E">
        <w:rPr>
          <w:szCs w:val="22"/>
        </w:rPr>
        <w:t>post cessation of</w:t>
      </w:r>
      <w:r w:rsidRPr="00725C0E">
        <w:rPr>
          <w:szCs w:val="22"/>
        </w:rPr>
        <w:t xml:space="preserve"> </w:t>
      </w:r>
      <w:proofErr w:type="spellStart"/>
      <w:r w:rsidRPr="00725C0E">
        <w:rPr>
          <w:szCs w:val="22"/>
        </w:rPr>
        <w:t>bendamustine</w:t>
      </w:r>
      <w:proofErr w:type="spellEnd"/>
      <w:r w:rsidR="001F34AC" w:rsidRPr="00725C0E">
        <w:rPr>
          <w:szCs w:val="22"/>
        </w:rPr>
        <w:t xml:space="preserve"> or by a</w:t>
      </w:r>
      <w:r w:rsidRPr="00725C0E">
        <w:rPr>
          <w:szCs w:val="22"/>
        </w:rPr>
        <w:t xml:space="preserve">pplying the observed rate of progression </w:t>
      </w:r>
      <w:r w:rsidR="001F34AC" w:rsidRPr="00725C0E">
        <w:rPr>
          <w:szCs w:val="22"/>
        </w:rPr>
        <w:t xml:space="preserve">post </w:t>
      </w:r>
      <w:r w:rsidRPr="00725C0E">
        <w:rPr>
          <w:szCs w:val="22"/>
        </w:rPr>
        <w:t xml:space="preserve">rituximab maintenance </w:t>
      </w:r>
      <w:r w:rsidR="001F34AC" w:rsidRPr="00725C0E">
        <w:rPr>
          <w:szCs w:val="22"/>
        </w:rPr>
        <w:t>therapy in the relapsed/refractory setting</w:t>
      </w:r>
      <w:r w:rsidR="00581824">
        <w:rPr>
          <w:szCs w:val="22"/>
        </w:rPr>
        <w:t>.</w:t>
      </w:r>
    </w:p>
    <w:p w:rsidR="008608DF" w:rsidRPr="00F17A66" w:rsidRDefault="008608DF" w:rsidP="00222D30">
      <w:pPr>
        <w:pStyle w:val="Header"/>
      </w:pPr>
    </w:p>
    <w:p w:rsidR="00670841" w:rsidRPr="005D5FF8" w:rsidRDefault="009A5482" w:rsidP="005D5FF8">
      <w:pPr>
        <w:pStyle w:val="ListParagraph"/>
        <w:widowControl/>
        <w:numPr>
          <w:ilvl w:val="1"/>
          <w:numId w:val="1"/>
        </w:numPr>
        <w:rPr>
          <w:szCs w:val="22"/>
        </w:rPr>
      </w:pPr>
      <w:r w:rsidRPr="00F17A66">
        <w:rPr>
          <w:szCs w:val="22"/>
        </w:rPr>
        <w:t xml:space="preserve">For </w:t>
      </w:r>
      <w:r w:rsidR="003634EF">
        <w:rPr>
          <w:szCs w:val="22"/>
        </w:rPr>
        <w:t>OS</w:t>
      </w:r>
      <w:r w:rsidRPr="00F17A66">
        <w:rPr>
          <w:szCs w:val="22"/>
        </w:rPr>
        <w:t>, the submission modelled the transition probabilities separately for patients with progression-free disease and progressed disease.</w:t>
      </w:r>
      <w:r w:rsidRPr="005D5FF8">
        <w:rPr>
          <w:szCs w:val="22"/>
        </w:rPr>
        <w:t xml:space="preserve"> </w:t>
      </w:r>
      <w:r w:rsidR="00670841" w:rsidRPr="005D5FF8">
        <w:rPr>
          <w:szCs w:val="22"/>
        </w:rPr>
        <w:t xml:space="preserve">The ESC noted that separate estimation of pre- and post-progression survival rather than the </w:t>
      </w:r>
      <w:r w:rsidR="00E63F6B" w:rsidRPr="005D5FF8">
        <w:rPr>
          <w:szCs w:val="22"/>
        </w:rPr>
        <w:t xml:space="preserve">usual aggregate estimation of </w:t>
      </w:r>
      <w:r w:rsidR="003634EF">
        <w:rPr>
          <w:szCs w:val="22"/>
        </w:rPr>
        <w:t>OS</w:t>
      </w:r>
      <w:r w:rsidR="00670841" w:rsidRPr="005D5FF8">
        <w:rPr>
          <w:szCs w:val="22"/>
        </w:rPr>
        <w:t xml:space="preserve"> was </w:t>
      </w:r>
      <w:r w:rsidR="00E63F6B" w:rsidRPr="005D5FF8">
        <w:rPr>
          <w:szCs w:val="22"/>
        </w:rPr>
        <w:t xml:space="preserve">applied because the aggregate </w:t>
      </w:r>
      <w:r w:rsidR="003634EF">
        <w:rPr>
          <w:szCs w:val="22"/>
        </w:rPr>
        <w:t>OS</w:t>
      </w:r>
      <w:r w:rsidR="00581824">
        <w:rPr>
          <w:szCs w:val="22"/>
        </w:rPr>
        <w:t xml:space="preserve"> data were immature.</w:t>
      </w:r>
    </w:p>
    <w:p w:rsidR="00670841" w:rsidRPr="00DC1726" w:rsidRDefault="00670841" w:rsidP="00670841">
      <w:pPr>
        <w:pStyle w:val="ListParagraph"/>
        <w:rPr>
          <w:i/>
          <w:szCs w:val="22"/>
        </w:rPr>
      </w:pPr>
    </w:p>
    <w:p w:rsidR="009A5482" w:rsidRPr="00F17A66" w:rsidRDefault="009A5482" w:rsidP="005D5FF8">
      <w:pPr>
        <w:pStyle w:val="ListParagraph"/>
        <w:widowControl/>
        <w:numPr>
          <w:ilvl w:val="1"/>
          <w:numId w:val="1"/>
        </w:numPr>
        <w:rPr>
          <w:szCs w:val="22"/>
        </w:rPr>
      </w:pPr>
      <w:r w:rsidRPr="00F17A66">
        <w:rPr>
          <w:szCs w:val="22"/>
        </w:rPr>
        <w:t>For the progression-free health state, the submission used a probability of dying based on the following parameters, selected on th</w:t>
      </w:r>
      <w:r w:rsidR="00581824">
        <w:rPr>
          <w:szCs w:val="22"/>
        </w:rPr>
        <w:t>e basis of highest probability:</w:t>
      </w:r>
    </w:p>
    <w:p w:rsidR="009A5482" w:rsidRPr="00F17A66" w:rsidRDefault="009A5482" w:rsidP="005D5FF8">
      <w:pPr>
        <w:pStyle w:val="ListParagraph"/>
        <w:numPr>
          <w:ilvl w:val="0"/>
          <w:numId w:val="11"/>
        </w:numPr>
        <w:ind w:left="1134"/>
      </w:pPr>
      <w:r w:rsidRPr="00F17A66">
        <w:t>The weekly probability of dy</w:t>
      </w:r>
      <w:r w:rsidR="00581824">
        <w:t>ing from the GADOLIN trial; or</w:t>
      </w:r>
    </w:p>
    <w:p w:rsidR="009A5482" w:rsidRDefault="009A5482" w:rsidP="005D5FF8">
      <w:pPr>
        <w:pStyle w:val="ListParagraph"/>
        <w:numPr>
          <w:ilvl w:val="0"/>
          <w:numId w:val="11"/>
        </w:numPr>
        <w:ind w:left="1134"/>
      </w:pPr>
      <w:r w:rsidRPr="00F17A66">
        <w:t xml:space="preserve">The maximum age-and-gender specific background mortality observed in the </w:t>
      </w:r>
      <w:r w:rsidRPr="00F17A66">
        <w:lastRenderedPageBreak/>
        <w:t>Australian population</w:t>
      </w:r>
      <w:r w:rsidR="00D87CDC">
        <w:t>.</w:t>
      </w:r>
    </w:p>
    <w:p w:rsidR="00605481" w:rsidRPr="00D87CDC" w:rsidRDefault="009A5482" w:rsidP="00D87CDC">
      <w:pPr>
        <w:ind w:left="720"/>
        <w:rPr>
          <w:szCs w:val="22"/>
        </w:rPr>
      </w:pPr>
      <w:r w:rsidRPr="00D87CDC">
        <w:rPr>
          <w:szCs w:val="22"/>
        </w:rPr>
        <w:t xml:space="preserve">The methodology in modelling </w:t>
      </w:r>
      <w:r w:rsidR="003634EF">
        <w:rPr>
          <w:szCs w:val="22"/>
        </w:rPr>
        <w:t>OS</w:t>
      </w:r>
      <w:r w:rsidRPr="00D87CDC">
        <w:rPr>
          <w:szCs w:val="22"/>
        </w:rPr>
        <w:t xml:space="preserve"> transition probabilities for patients in the progression-free health state was </w:t>
      </w:r>
      <w:r w:rsidR="00B84C8C">
        <w:rPr>
          <w:szCs w:val="22"/>
        </w:rPr>
        <w:t xml:space="preserve">considered </w:t>
      </w:r>
      <w:r w:rsidRPr="00D87CDC">
        <w:rPr>
          <w:szCs w:val="22"/>
        </w:rPr>
        <w:t>reasonable</w:t>
      </w:r>
      <w:r w:rsidR="00B84C8C">
        <w:rPr>
          <w:szCs w:val="22"/>
        </w:rPr>
        <w:t xml:space="preserve"> during the evaluation</w:t>
      </w:r>
      <w:r w:rsidR="00581824">
        <w:rPr>
          <w:szCs w:val="22"/>
        </w:rPr>
        <w:t>.</w:t>
      </w:r>
    </w:p>
    <w:p w:rsidR="00605481" w:rsidRDefault="00605481" w:rsidP="00605481">
      <w:pPr>
        <w:pStyle w:val="ListParagraph"/>
        <w:rPr>
          <w:szCs w:val="22"/>
        </w:rPr>
      </w:pPr>
    </w:p>
    <w:p w:rsidR="00D563FA" w:rsidRPr="00336197" w:rsidRDefault="009A5482" w:rsidP="00336197">
      <w:pPr>
        <w:pStyle w:val="ListParagraph"/>
        <w:numPr>
          <w:ilvl w:val="1"/>
          <w:numId w:val="1"/>
        </w:numPr>
        <w:rPr>
          <w:i/>
          <w:szCs w:val="22"/>
        </w:rPr>
      </w:pPr>
      <w:r w:rsidRPr="00D62EAF">
        <w:rPr>
          <w:szCs w:val="22"/>
        </w:rPr>
        <w:t xml:space="preserve">A constant probability of death based on an exponential model was used to estimate the </w:t>
      </w:r>
      <w:r w:rsidR="003634EF">
        <w:rPr>
          <w:szCs w:val="22"/>
        </w:rPr>
        <w:t>OS</w:t>
      </w:r>
      <w:r w:rsidRPr="00D62EAF">
        <w:rPr>
          <w:szCs w:val="22"/>
        </w:rPr>
        <w:t xml:space="preserve"> for patients in the post-progression health state. </w:t>
      </w:r>
      <w:r w:rsidR="00D62EAF" w:rsidRPr="00D62EAF">
        <w:rPr>
          <w:szCs w:val="22"/>
        </w:rPr>
        <w:t xml:space="preserve">The PBAC considered that the approach taken by the submission to use a pooled post-progression survival rate was reasonable for the base case, albeit </w:t>
      </w:r>
      <w:r w:rsidR="00977639">
        <w:rPr>
          <w:szCs w:val="22"/>
        </w:rPr>
        <w:t xml:space="preserve">it </w:t>
      </w:r>
      <w:r w:rsidR="00D62EAF" w:rsidRPr="00D62EAF">
        <w:rPr>
          <w:szCs w:val="22"/>
        </w:rPr>
        <w:t>likely favour</w:t>
      </w:r>
      <w:r w:rsidR="00977639">
        <w:rPr>
          <w:szCs w:val="22"/>
        </w:rPr>
        <w:t>ed</w:t>
      </w:r>
      <w:r w:rsidR="00D62EAF" w:rsidRPr="00D62EAF">
        <w:rPr>
          <w:szCs w:val="22"/>
        </w:rPr>
        <w:t xml:space="preserve"> the </w:t>
      </w:r>
      <w:proofErr w:type="spellStart"/>
      <w:r w:rsidR="00D62EAF" w:rsidRPr="00D62EAF">
        <w:rPr>
          <w:szCs w:val="22"/>
        </w:rPr>
        <w:t>obinutuzumab</w:t>
      </w:r>
      <w:proofErr w:type="spellEnd"/>
      <w:r w:rsidR="00D62EAF" w:rsidRPr="00D62EAF">
        <w:rPr>
          <w:szCs w:val="22"/>
        </w:rPr>
        <w:t xml:space="preserve"> arm.</w:t>
      </w:r>
    </w:p>
    <w:p w:rsidR="00D563FA" w:rsidRPr="00501C33" w:rsidRDefault="00D563FA" w:rsidP="009A5482">
      <w:pPr>
        <w:pStyle w:val="ListParagraph"/>
        <w:widowControl/>
        <w:rPr>
          <w:szCs w:val="22"/>
        </w:rPr>
      </w:pPr>
    </w:p>
    <w:p w:rsidR="008608DF" w:rsidRPr="005D5FF8" w:rsidRDefault="008608DF" w:rsidP="005D5FF8">
      <w:pPr>
        <w:pStyle w:val="ListParagraph"/>
        <w:widowControl/>
        <w:numPr>
          <w:ilvl w:val="1"/>
          <w:numId w:val="1"/>
        </w:numPr>
        <w:rPr>
          <w:szCs w:val="22"/>
        </w:rPr>
      </w:pPr>
      <w:r w:rsidRPr="00501C33">
        <w:rPr>
          <w:szCs w:val="22"/>
        </w:rPr>
        <w:t xml:space="preserve">The submission assumed that patients treated with </w:t>
      </w:r>
      <w:proofErr w:type="spellStart"/>
      <w:r w:rsidRPr="00501C33">
        <w:rPr>
          <w:szCs w:val="22"/>
        </w:rPr>
        <w:t>obinutuzumab</w:t>
      </w:r>
      <w:proofErr w:type="spellEnd"/>
      <w:r w:rsidRPr="00501C33">
        <w:rPr>
          <w:szCs w:val="22"/>
        </w:rPr>
        <w:t xml:space="preserve"> plus </w:t>
      </w:r>
      <w:proofErr w:type="spellStart"/>
      <w:r w:rsidRPr="00501C33">
        <w:rPr>
          <w:szCs w:val="22"/>
        </w:rPr>
        <w:t>bendamustine</w:t>
      </w:r>
      <w:proofErr w:type="spellEnd"/>
      <w:r w:rsidRPr="00501C33">
        <w:rPr>
          <w:szCs w:val="22"/>
        </w:rPr>
        <w:t xml:space="preserve"> would continue to benefit from treatment</w:t>
      </w:r>
      <w:r w:rsidR="0043086C" w:rsidRPr="00501C33">
        <w:rPr>
          <w:szCs w:val="22"/>
        </w:rPr>
        <w:t xml:space="preserve"> over the 15</w:t>
      </w:r>
      <w:r w:rsidR="00B84C8C">
        <w:rPr>
          <w:szCs w:val="22"/>
        </w:rPr>
        <w:t>-</w:t>
      </w:r>
      <w:r w:rsidR="0043086C" w:rsidRPr="00501C33">
        <w:rPr>
          <w:szCs w:val="22"/>
        </w:rPr>
        <w:t xml:space="preserve">year time horizon in the economic model, despite </w:t>
      </w:r>
      <w:r w:rsidR="00EB026B" w:rsidRPr="00501C33">
        <w:rPr>
          <w:szCs w:val="22"/>
        </w:rPr>
        <w:t>the</w:t>
      </w:r>
      <w:r w:rsidR="0043086C" w:rsidRPr="00501C33">
        <w:rPr>
          <w:szCs w:val="22"/>
        </w:rPr>
        <w:t xml:space="preserve"> maximum treatment duration of 2.5 years </w:t>
      </w:r>
      <w:r w:rsidR="00EB026B" w:rsidRPr="00501C33">
        <w:rPr>
          <w:szCs w:val="22"/>
        </w:rPr>
        <w:t>with</w:t>
      </w:r>
      <w:r w:rsidR="0043086C" w:rsidRPr="00501C33">
        <w:rPr>
          <w:szCs w:val="22"/>
        </w:rPr>
        <w:t xml:space="preserve"> </w:t>
      </w:r>
      <w:proofErr w:type="spellStart"/>
      <w:r w:rsidR="0043086C" w:rsidRPr="00501C33">
        <w:rPr>
          <w:szCs w:val="22"/>
        </w:rPr>
        <w:t>obinutuzumab</w:t>
      </w:r>
      <w:proofErr w:type="spellEnd"/>
      <w:r w:rsidR="0043086C" w:rsidRPr="00501C33">
        <w:rPr>
          <w:szCs w:val="22"/>
        </w:rPr>
        <w:t xml:space="preserve"> plus </w:t>
      </w:r>
      <w:proofErr w:type="spellStart"/>
      <w:r w:rsidR="0043086C" w:rsidRPr="00501C33">
        <w:rPr>
          <w:szCs w:val="22"/>
        </w:rPr>
        <w:t>bendamustine</w:t>
      </w:r>
      <w:proofErr w:type="spellEnd"/>
      <w:r w:rsidR="0043086C" w:rsidRPr="00501C33">
        <w:rPr>
          <w:szCs w:val="22"/>
        </w:rPr>
        <w:t xml:space="preserve"> therapy</w:t>
      </w:r>
      <w:r w:rsidR="00EB026B" w:rsidRPr="00501C33">
        <w:rPr>
          <w:szCs w:val="22"/>
        </w:rPr>
        <w:t xml:space="preserve"> in the GADOLIN trial</w:t>
      </w:r>
      <w:r w:rsidR="0043086C" w:rsidRPr="00501C33">
        <w:rPr>
          <w:szCs w:val="22"/>
        </w:rPr>
        <w:t>.</w:t>
      </w:r>
      <w:r w:rsidR="00EC58B2">
        <w:rPr>
          <w:szCs w:val="22"/>
        </w:rPr>
        <w:t xml:space="preserve"> The PBAC considered that the assumption of continued benefit from treatment over 15 years was not supported by data presented in the submission, or by prior experience with rituximab maintenance in the relapsed or refractory follicular lymphoma population. The PBAC therefore considered that </w:t>
      </w:r>
      <w:r w:rsidR="00977639">
        <w:rPr>
          <w:szCs w:val="22"/>
        </w:rPr>
        <w:t xml:space="preserve">the extrapolation method together with </w:t>
      </w:r>
      <w:r w:rsidR="00EC58B2">
        <w:rPr>
          <w:szCs w:val="22"/>
        </w:rPr>
        <w:t xml:space="preserve">use of the 15 year time horizon significantly biased the results in favour of </w:t>
      </w:r>
      <w:proofErr w:type="spellStart"/>
      <w:r w:rsidR="00EC58B2">
        <w:rPr>
          <w:szCs w:val="22"/>
        </w:rPr>
        <w:t>obinutuzumab</w:t>
      </w:r>
      <w:proofErr w:type="spellEnd"/>
      <w:r w:rsidR="00EC58B2">
        <w:rPr>
          <w:szCs w:val="22"/>
        </w:rPr>
        <w:t xml:space="preserve">, and </w:t>
      </w:r>
      <w:r w:rsidR="00977639">
        <w:rPr>
          <w:szCs w:val="22"/>
        </w:rPr>
        <w:t>resulted in the</w:t>
      </w:r>
      <w:r w:rsidR="004D7FA8">
        <w:rPr>
          <w:szCs w:val="22"/>
        </w:rPr>
        <w:t xml:space="preserve"> incremental cost effectiveness ratio</w:t>
      </w:r>
      <w:r w:rsidR="00EC58B2">
        <w:rPr>
          <w:szCs w:val="22"/>
        </w:rPr>
        <w:t xml:space="preserve"> </w:t>
      </w:r>
      <w:r w:rsidR="004D7FA8">
        <w:rPr>
          <w:szCs w:val="22"/>
        </w:rPr>
        <w:t>(</w:t>
      </w:r>
      <w:r w:rsidR="00EC58B2">
        <w:rPr>
          <w:szCs w:val="22"/>
        </w:rPr>
        <w:t>ICER</w:t>
      </w:r>
      <w:r w:rsidR="004D7FA8">
        <w:rPr>
          <w:szCs w:val="22"/>
        </w:rPr>
        <w:t>)</w:t>
      </w:r>
      <w:r w:rsidR="00977639">
        <w:rPr>
          <w:szCs w:val="22"/>
        </w:rPr>
        <w:t xml:space="preserve"> being underestimated</w:t>
      </w:r>
      <w:r w:rsidR="00EC58B2">
        <w:rPr>
          <w:szCs w:val="22"/>
        </w:rPr>
        <w:t>.</w:t>
      </w:r>
      <w:r w:rsidR="00EB026B" w:rsidRPr="00501C33">
        <w:rPr>
          <w:szCs w:val="22"/>
        </w:rPr>
        <w:t xml:space="preserve"> </w:t>
      </w:r>
      <w:r w:rsidR="00977639">
        <w:rPr>
          <w:szCs w:val="22"/>
        </w:rPr>
        <w:t>A comparison of the OS results from the trial with that modelled</w:t>
      </w:r>
      <w:r w:rsidR="002C1753" w:rsidRPr="005D5FF8">
        <w:rPr>
          <w:szCs w:val="22"/>
        </w:rPr>
        <w:t xml:space="preserve"> is presented in </w:t>
      </w:r>
      <w:r w:rsidR="00FE72FC" w:rsidRPr="005D5FF8">
        <w:rPr>
          <w:szCs w:val="22"/>
        </w:rPr>
        <w:t xml:space="preserve">Figure </w:t>
      </w:r>
      <w:r w:rsidR="00181F6B">
        <w:rPr>
          <w:szCs w:val="22"/>
        </w:rPr>
        <w:t>4</w:t>
      </w:r>
      <w:r w:rsidR="002C1753" w:rsidRPr="005D5FF8">
        <w:rPr>
          <w:szCs w:val="22"/>
        </w:rPr>
        <w:t>.</w:t>
      </w:r>
    </w:p>
    <w:p w:rsidR="004C288F" w:rsidRPr="005D5FF8" w:rsidRDefault="004C288F" w:rsidP="004C288F">
      <w:pPr>
        <w:ind w:firstLine="720"/>
        <w:rPr>
          <w:rFonts w:ascii="Arial Narrow" w:hAnsi="Arial Narrow"/>
          <w:b/>
          <w:sz w:val="20"/>
        </w:rPr>
      </w:pPr>
    </w:p>
    <w:p w:rsidR="00BC6DCB" w:rsidRDefault="00BC6DCB">
      <w:pPr>
        <w:widowControl/>
        <w:jc w:val="left"/>
        <w:rPr>
          <w:rFonts w:ascii="Arial Narrow" w:hAnsi="Arial Narrow"/>
          <w:b/>
          <w:sz w:val="20"/>
        </w:rPr>
      </w:pPr>
      <w:r>
        <w:rPr>
          <w:rFonts w:ascii="Arial Narrow" w:hAnsi="Arial Narrow"/>
          <w:b/>
          <w:sz w:val="20"/>
        </w:rPr>
        <w:br w:type="page"/>
      </w:r>
    </w:p>
    <w:p w:rsidR="004C288F" w:rsidRPr="005D5FF8" w:rsidRDefault="00FE72FC" w:rsidP="004C288F">
      <w:pPr>
        <w:ind w:firstLine="720"/>
        <w:rPr>
          <w:rFonts w:ascii="Arial Narrow" w:hAnsi="Arial Narrow"/>
          <w:b/>
          <w:sz w:val="20"/>
        </w:rPr>
      </w:pPr>
      <w:r w:rsidRPr="005D5FF8">
        <w:rPr>
          <w:rFonts w:ascii="Arial Narrow" w:hAnsi="Arial Narrow"/>
          <w:b/>
          <w:sz w:val="20"/>
        </w:rPr>
        <w:lastRenderedPageBreak/>
        <w:t xml:space="preserve">Figure </w:t>
      </w:r>
      <w:r w:rsidR="00181F6B">
        <w:rPr>
          <w:rFonts w:ascii="Arial Narrow" w:hAnsi="Arial Narrow"/>
          <w:b/>
          <w:sz w:val="20"/>
        </w:rPr>
        <w:t>4</w:t>
      </w:r>
      <w:r w:rsidR="002C1753" w:rsidRPr="005D5FF8">
        <w:rPr>
          <w:rFonts w:ascii="Arial Narrow" w:hAnsi="Arial Narrow"/>
          <w:b/>
          <w:sz w:val="20"/>
        </w:rPr>
        <w:t xml:space="preserve">: </w:t>
      </w:r>
      <w:r w:rsidR="00841C68">
        <w:rPr>
          <w:rFonts w:ascii="Arial Narrow" w:hAnsi="Arial Narrow"/>
          <w:b/>
          <w:sz w:val="20"/>
        </w:rPr>
        <w:t>Comparison</w:t>
      </w:r>
      <w:r w:rsidR="002C1753" w:rsidRPr="005D5FF8">
        <w:rPr>
          <w:rFonts w:ascii="Arial Narrow" w:hAnsi="Arial Narrow"/>
          <w:b/>
          <w:sz w:val="20"/>
        </w:rPr>
        <w:t xml:space="preserve"> of overall survival</w:t>
      </w:r>
      <w:r w:rsidR="00841C68">
        <w:rPr>
          <w:rFonts w:ascii="Arial Narrow" w:hAnsi="Arial Narrow"/>
          <w:b/>
          <w:sz w:val="20"/>
        </w:rPr>
        <w:t xml:space="preserve"> from the trial and model</w:t>
      </w:r>
    </w:p>
    <w:p w:rsidR="002C1753" w:rsidRPr="002C1753" w:rsidRDefault="004C288F" w:rsidP="004C288F">
      <w:pPr>
        <w:ind w:firstLine="720"/>
        <w:rPr>
          <w:szCs w:val="22"/>
        </w:rPr>
      </w:pPr>
      <w:r>
        <w:rPr>
          <w:noProof/>
          <w:snapToGrid/>
          <w:szCs w:val="22"/>
          <w:lang w:eastAsia="en-AU"/>
        </w:rPr>
        <w:drawing>
          <wp:inline distT="0" distB="0" distL="0" distR="0" wp14:anchorId="6298233D" wp14:editId="1BDD3D1B">
            <wp:extent cx="5255260" cy="3736975"/>
            <wp:effectExtent l="0" t="0" r="2540" b="0"/>
            <wp:docPr id="2" name="Picture 2" descr="Figure 4: Comparison of overall survival from the trial and model" title="Figure 4: Comparison of overall survival from the trial an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5260" cy="3736975"/>
                    </a:xfrm>
                    <a:prstGeom prst="rect">
                      <a:avLst/>
                    </a:prstGeom>
                    <a:noFill/>
                  </pic:spPr>
                </pic:pic>
              </a:graphicData>
            </a:graphic>
          </wp:inline>
        </w:drawing>
      </w:r>
    </w:p>
    <w:p w:rsidR="00D14DF0" w:rsidRPr="002C1753" w:rsidRDefault="004C288F" w:rsidP="00222D30">
      <w:pPr>
        <w:pStyle w:val="Header"/>
        <w:rPr>
          <w:rFonts w:ascii="Arial Narrow" w:hAnsi="Arial Narrow"/>
          <w:sz w:val="20"/>
        </w:rPr>
      </w:pPr>
      <w:r>
        <w:rPr>
          <w:rFonts w:ascii="Arial Narrow" w:hAnsi="Arial Narrow"/>
          <w:sz w:val="20"/>
        </w:rPr>
        <w:t xml:space="preserve">            </w:t>
      </w:r>
      <w:r w:rsidR="00D913E3">
        <w:rPr>
          <w:rFonts w:ascii="Arial Narrow" w:hAnsi="Arial Narrow"/>
          <w:sz w:val="20"/>
        </w:rPr>
        <w:t xml:space="preserve">  </w:t>
      </w:r>
      <w:r>
        <w:rPr>
          <w:rFonts w:ascii="Arial Narrow" w:hAnsi="Arial Narrow"/>
          <w:sz w:val="20"/>
        </w:rPr>
        <w:t xml:space="preserve"> </w:t>
      </w:r>
      <w:r w:rsidR="002C1753" w:rsidRPr="002C1753">
        <w:rPr>
          <w:rFonts w:ascii="Arial Narrow" w:hAnsi="Arial Narrow"/>
          <w:sz w:val="20"/>
        </w:rPr>
        <w:t>Source: “Graphs” worksheet from Economic Evaluation.xlsx in the submission</w:t>
      </w:r>
    </w:p>
    <w:p w:rsidR="002C1753" w:rsidRPr="00F17A66" w:rsidRDefault="002C1753" w:rsidP="00222D30">
      <w:pPr>
        <w:pStyle w:val="Header"/>
      </w:pPr>
    </w:p>
    <w:p w:rsidR="002C1753" w:rsidRPr="005D5FF8" w:rsidRDefault="002C1753" w:rsidP="005D5FF8">
      <w:pPr>
        <w:pStyle w:val="ListParagraph"/>
        <w:widowControl/>
        <w:numPr>
          <w:ilvl w:val="1"/>
          <w:numId w:val="1"/>
        </w:numPr>
        <w:rPr>
          <w:szCs w:val="22"/>
        </w:rPr>
      </w:pPr>
      <w:r w:rsidRPr="005D5FF8">
        <w:rPr>
          <w:szCs w:val="22"/>
        </w:rPr>
        <w:t xml:space="preserve">The ESC noted that the </w:t>
      </w:r>
      <w:r w:rsidR="00977639">
        <w:rPr>
          <w:szCs w:val="22"/>
        </w:rPr>
        <w:t>model predicted</w:t>
      </w:r>
      <w:r w:rsidRPr="005D5FF8">
        <w:rPr>
          <w:szCs w:val="22"/>
        </w:rPr>
        <w:t xml:space="preserve"> 31.5% of patients in the </w:t>
      </w:r>
      <w:proofErr w:type="spellStart"/>
      <w:r w:rsidRPr="005D5FF8">
        <w:rPr>
          <w:szCs w:val="22"/>
        </w:rPr>
        <w:t>bendamustine</w:t>
      </w:r>
      <w:proofErr w:type="spellEnd"/>
      <w:r w:rsidRPr="005D5FF8">
        <w:rPr>
          <w:szCs w:val="22"/>
        </w:rPr>
        <w:t xml:space="preserve"> monotherapy arm remain alive at 5 years compared to 52.9% of patients in the </w:t>
      </w:r>
      <w:proofErr w:type="spellStart"/>
      <w:r w:rsidRPr="005D5FF8">
        <w:rPr>
          <w:szCs w:val="22"/>
        </w:rPr>
        <w:t>obinutuzumab</w:t>
      </w:r>
      <w:proofErr w:type="spellEnd"/>
      <w:r w:rsidRPr="005D5FF8">
        <w:rPr>
          <w:szCs w:val="22"/>
        </w:rPr>
        <w:t xml:space="preserve"> plus </w:t>
      </w:r>
      <w:proofErr w:type="spellStart"/>
      <w:r w:rsidRPr="005D5FF8">
        <w:rPr>
          <w:szCs w:val="22"/>
        </w:rPr>
        <w:t>bendamustine</w:t>
      </w:r>
      <w:proofErr w:type="spellEnd"/>
      <w:r w:rsidRPr="005D5FF8">
        <w:rPr>
          <w:szCs w:val="22"/>
        </w:rPr>
        <w:t xml:space="preserve"> arm. At 15 years, 1.7% </w:t>
      </w:r>
      <w:proofErr w:type="spellStart"/>
      <w:r w:rsidRPr="005D5FF8">
        <w:rPr>
          <w:szCs w:val="22"/>
        </w:rPr>
        <w:t>bendamustine</w:t>
      </w:r>
      <w:proofErr w:type="spellEnd"/>
      <w:r w:rsidRPr="005D5FF8">
        <w:rPr>
          <w:szCs w:val="22"/>
        </w:rPr>
        <w:t xml:space="preserve"> monotherapy patients remain alive compared to 14.5% of </w:t>
      </w:r>
      <w:proofErr w:type="spellStart"/>
      <w:r w:rsidRPr="005D5FF8">
        <w:rPr>
          <w:szCs w:val="22"/>
        </w:rPr>
        <w:t>obinutuzumab</w:t>
      </w:r>
      <w:proofErr w:type="spellEnd"/>
      <w:r w:rsidRPr="005D5FF8">
        <w:rPr>
          <w:szCs w:val="22"/>
        </w:rPr>
        <w:t xml:space="preserve"> plus </w:t>
      </w:r>
      <w:proofErr w:type="spellStart"/>
      <w:r w:rsidRPr="005D5FF8">
        <w:rPr>
          <w:szCs w:val="22"/>
        </w:rPr>
        <w:t>bendamustine</w:t>
      </w:r>
      <w:proofErr w:type="spellEnd"/>
      <w:r w:rsidRPr="005D5FF8">
        <w:rPr>
          <w:szCs w:val="22"/>
        </w:rPr>
        <w:t xml:space="preserve"> patients.</w:t>
      </w:r>
    </w:p>
    <w:p w:rsidR="002C1753" w:rsidRPr="002C1753" w:rsidRDefault="002C1753" w:rsidP="002C1753">
      <w:pPr>
        <w:widowControl/>
        <w:rPr>
          <w:szCs w:val="22"/>
        </w:rPr>
      </w:pPr>
    </w:p>
    <w:p w:rsidR="00D14DF0" w:rsidRPr="00F17A66" w:rsidRDefault="00D14DF0" w:rsidP="005D5FF8">
      <w:pPr>
        <w:pStyle w:val="ListParagraph"/>
        <w:widowControl/>
        <w:numPr>
          <w:ilvl w:val="1"/>
          <w:numId w:val="1"/>
        </w:numPr>
        <w:rPr>
          <w:szCs w:val="22"/>
        </w:rPr>
      </w:pPr>
      <w:r w:rsidRPr="00F17A66">
        <w:t xml:space="preserve">A summary of the key </w:t>
      </w:r>
      <w:r w:rsidR="000201B1" w:rsidRPr="00F17A66">
        <w:t xml:space="preserve">drivers </w:t>
      </w:r>
      <w:r w:rsidRPr="00F17A66">
        <w:t>of the economic model is presented in Table</w:t>
      </w:r>
      <w:r w:rsidR="002C1753">
        <w:t xml:space="preserve"> </w:t>
      </w:r>
      <w:r w:rsidR="00047C3C">
        <w:t>7</w:t>
      </w:r>
      <w:r w:rsidR="00581824">
        <w:t>.</w:t>
      </w:r>
    </w:p>
    <w:p w:rsidR="00D110BD" w:rsidRPr="003312D1" w:rsidRDefault="00D110BD" w:rsidP="00B579E0">
      <w:pPr>
        <w:keepNext/>
        <w:widowControl/>
        <w:ind w:firstLine="720"/>
        <w:rPr>
          <w:rStyle w:val="CommentReference"/>
        </w:rPr>
      </w:pPr>
      <w:r w:rsidRPr="003312D1">
        <w:rPr>
          <w:rStyle w:val="CommentReference"/>
        </w:rPr>
        <w:lastRenderedPageBreak/>
        <w:t xml:space="preserve">Table </w:t>
      </w:r>
      <w:r w:rsidR="00BA46DB" w:rsidRPr="003312D1">
        <w:rPr>
          <w:rStyle w:val="CommentReference"/>
        </w:rPr>
        <w:t>7</w:t>
      </w:r>
      <w:r w:rsidRPr="003312D1">
        <w:rPr>
          <w:rStyle w:val="CommentReference"/>
        </w:rPr>
        <w:t>: Key drivers of the model</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4"/>
        <w:gridCol w:w="5925"/>
        <w:gridCol w:w="1134"/>
      </w:tblGrid>
      <w:tr w:rsidR="00D110BD" w:rsidRPr="005D5FF8" w:rsidTr="00B579E0">
        <w:trPr>
          <w:trHeight w:val="113"/>
          <w:tblHeader/>
        </w:trPr>
        <w:tc>
          <w:tcPr>
            <w:tcW w:w="1304" w:type="dxa"/>
            <w:shd w:val="clear" w:color="auto" w:fill="auto"/>
          </w:tcPr>
          <w:p w:rsidR="00D110BD" w:rsidRPr="005D5FF8" w:rsidRDefault="00D110BD" w:rsidP="0040000A">
            <w:pPr>
              <w:keepNext/>
              <w:widowControl/>
              <w:jc w:val="left"/>
              <w:rPr>
                <w:rFonts w:ascii="Arial Narrow" w:hAnsi="Arial Narrow"/>
                <w:b/>
                <w:sz w:val="20"/>
                <w:lang w:val="en-US"/>
              </w:rPr>
            </w:pPr>
            <w:r w:rsidRPr="005D5FF8">
              <w:rPr>
                <w:rFonts w:ascii="Arial Narrow" w:hAnsi="Arial Narrow"/>
                <w:b/>
                <w:sz w:val="20"/>
                <w:lang w:val="en-US"/>
              </w:rPr>
              <w:t>Description</w:t>
            </w:r>
          </w:p>
        </w:tc>
        <w:tc>
          <w:tcPr>
            <w:tcW w:w="5925" w:type="dxa"/>
            <w:shd w:val="clear" w:color="auto" w:fill="auto"/>
          </w:tcPr>
          <w:p w:rsidR="00D110BD" w:rsidRPr="005D5FF8" w:rsidRDefault="00D110BD" w:rsidP="0040000A">
            <w:pPr>
              <w:keepNext/>
              <w:widowControl/>
              <w:jc w:val="left"/>
              <w:rPr>
                <w:rFonts w:ascii="Arial Narrow" w:hAnsi="Arial Narrow"/>
                <w:b/>
                <w:sz w:val="20"/>
                <w:lang w:val="en-US"/>
              </w:rPr>
            </w:pPr>
            <w:r w:rsidRPr="005D5FF8">
              <w:rPr>
                <w:rFonts w:ascii="Arial Narrow" w:hAnsi="Arial Narrow"/>
                <w:b/>
                <w:sz w:val="20"/>
                <w:lang w:val="en-US"/>
              </w:rPr>
              <w:t>Method/Value</w:t>
            </w:r>
          </w:p>
        </w:tc>
        <w:tc>
          <w:tcPr>
            <w:tcW w:w="1134" w:type="dxa"/>
            <w:shd w:val="clear" w:color="auto" w:fill="auto"/>
          </w:tcPr>
          <w:p w:rsidR="00D110BD" w:rsidRPr="005D5FF8" w:rsidRDefault="00D110BD" w:rsidP="0040000A">
            <w:pPr>
              <w:keepNext/>
              <w:widowControl/>
              <w:jc w:val="left"/>
              <w:rPr>
                <w:rFonts w:ascii="Arial Narrow" w:hAnsi="Arial Narrow"/>
                <w:b/>
                <w:sz w:val="20"/>
                <w:lang w:val="en-US"/>
              </w:rPr>
            </w:pPr>
            <w:r w:rsidRPr="005D5FF8">
              <w:rPr>
                <w:rFonts w:ascii="Arial Narrow" w:hAnsi="Arial Narrow"/>
                <w:b/>
                <w:sz w:val="20"/>
                <w:lang w:val="en-US"/>
              </w:rPr>
              <w:t>Impact</w:t>
            </w:r>
          </w:p>
        </w:tc>
      </w:tr>
      <w:tr w:rsidR="00F41BCA" w:rsidRPr="005D5FF8" w:rsidTr="00B579E0">
        <w:trPr>
          <w:trHeight w:val="113"/>
        </w:trPr>
        <w:tc>
          <w:tcPr>
            <w:tcW w:w="1304" w:type="dxa"/>
            <w:shd w:val="clear" w:color="auto" w:fill="auto"/>
          </w:tcPr>
          <w:p w:rsidR="00F41BCA" w:rsidRPr="005D5FF8" w:rsidRDefault="00F41BCA" w:rsidP="004A7412">
            <w:pPr>
              <w:keepNext/>
              <w:widowControl/>
              <w:rPr>
                <w:rFonts w:ascii="Arial Narrow" w:hAnsi="Arial Narrow"/>
                <w:sz w:val="20"/>
                <w:lang w:val="en-US"/>
              </w:rPr>
            </w:pPr>
            <w:r w:rsidRPr="005D5FF8">
              <w:rPr>
                <w:rFonts w:ascii="Arial Narrow" w:hAnsi="Arial Narrow"/>
                <w:sz w:val="20"/>
                <w:lang w:val="en-US"/>
              </w:rPr>
              <w:t>Extrapolation of PFS</w:t>
            </w:r>
          </w:p>
        </w:tc>
        <w:tc>
          <w:tcPr>
            <w:tcW w:w="5925" w:type="dxa"/>
            <w:shd w:val="clear" w:color="auto" w:fill="auto"/>
          </w:tcPr>
          <w:p w:rsidR="00F41BCA" w:rsidRDefault="00F41BCA" w:rsidP="0040000A">
            <w:pPr>
              <w:keepNext/>
              <w:widowControl/>
              <w:jc w:val="left"/>
              <w:rPr>
                <w:rFonts w:ascii="Arial Narrow" w:hAnsi="Arial Narrow"/>
                <w:sz w:val="20"/>
              </w:rPr>
            </w:pPr>
            <w:r w:rsidRPr="005D5FF8">
              <w:rPr>
                <w:rFonts w:ascii="Arial Narrow" w:hAnsi="Arial Narrow"/>
                <w:sz w:val="20"/>
              </w:rPr>
              <w:t xml:space="preserve">The selected parametric curves may have minimised the AIC but they did not necessarily best fit the end of the observed data for the </w:t>
            </w:r>
            <w:proofErr w:type="spellStart"/>
            <w:r w:rsidR="004A7412" w:rsidRPr="005D5FF8">
              <w:rPr>
                <w:rFonts w:ascii="Arial Narrow" w:hAnsi="Arial Narrow"/>
                <w:sz w:val="20"/>
              </w:rPr>
              <w:t>obinutuzumab</w:t>
            </w:r>
            <w:proofErr w:type="spellEnd"/>
            <w:r w:rsidR="004A7412" w:rsidRPr="005D5FF8">
              <w:rPr>
                <w:rFonts w:ascii="Arial Narrow" w:hAnsi="Arial Narrow"/>
                <w:sz w:val="20"/>
              </w:rPr>
              <w:t xml:space="preserve"> plus </w:t>
            </w:r>
            <w:proofErr w:type="spellStart"/>
            <w:r w:rsidR="004A7412" w:rsidRPr="005D5FF8">
              <w:rPr>
                <w:rFonts w:ascii="Arial Narrow" w:hAnsi="Arial Narrow"/>
                <w:sz w:val="20"/>
              </w:rPr>
              <w:t>bendamustine</w:t>
            </w:r>
            <w:proofErr w:type="spellEnd"/>
            <w:r w:rsidRPr="005D5FF8">
              <w:rPr>
                <w:rFonts w:ascii="Arial Narrow" w:hAnsi="Arial Narrow"/>
                <w:sz w:val="20"/>
              </w:rPr>
              <w:t xml:space="preserve"> arm. Other fitted curves provided more conservative gains in PFS</w:t>
            </w:r>
            <w:r w:rsidR="009F48B7" w:rsidRPr="005D5FF8">
              <w:rPr>
                <w:rFonts w:ascii="Arial Narrow" w:hAnsi="Arial Narrow"/>
                <w:sz w:val="20"/>
              </w:rPr>
              <w:t>.</w:t>
            </w:r>
          </w:p>
          <w:p w:rsidR="006462AC" w:rsidRPr="005D5FF8" w:rsidRDefault="006462AC" w:rsidP="00FE789D">
            <w:pPr>
              <w:keepNext/>
              <w:widowControl/>
              <w:jc w:val="left"/>
              <w:rPr>
                <w:rFonts w:ascii="Arial Narrow" w:hAnsi="Arial Narrow"/>
                <w:sz w:val="20"/>
                <w:lang w:val="en-US"/>
              </w:rPr>
            </w:pPr>
            <w:r>
              <w:rPr>
                <w:rFonts w:ascii="Arial Narrow" w:hAnsi="Arial Narrow"/>
                <w:sz w:val="20"/>
              </w:rPr>
              <w:t xml:space="preserve">The PBAC considered that even if the most appropriate approach to extrapolating PFS was undertaken in the economic model, the trial data was too immature to reliably inform the rate of progression in the </w:t>
            </w:r>
            <w:proofErr w:type="gramStart"/>
            <w:r>
              <w:rPr>
                <w:rFonts w:ascii="Arial Narrow" w:hAnsi="Arial Narrow"/>
                <w:sz w:val="20"/>
              </w:rPr>
              <w:t>years</w:t>
            </w:r>
            <w:proofErr w:type="gramEnd"/>
            <w:r>
              <w:rPr>
                <w:rFonts w:ascii="Arial Narrow" w:hAnsi="Arial Narrow"/>
                <w:sz w:val="20"/>
              </w:rPr>
              <w:t xml:space="preserve"> post-cessation of </w:t>
            </w:r>
            <w:proofErr w:type="spellStart"/>
            <w:r>
              <w:rPr>
                <w:rFonts w:ascii="Arial Narrow" w:hAnsi="Arial Narrow"/>
                <w:sz w:val="20"/>
              </w:rPr>
              <w:t>obinutuzumab</w:t>
            </w:r>
            <w:proofErr w:type="spellEnd"/>
            <w:r>
              <w:rPr>
                <w:rFonts w:ascii="Arial Narrow" w:hAnsi="Arial Narrow"/>
                <w:sz w:val="20"/>
              </w:rPr>
              <w:t xml:space="preserve"> maintenance therapy. </w:t>
            </w:r>
          </w:p>
        </w:tc>
        <w:tc>
          <w:tcPr>
            <w:tcW w:w="1134" w:type="dxa"/>
            <w:shd w:val="clear" w:color="auto" w:fill="auto"/>
            <w:vAlign w:val="center"/>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 xml:space="preserve">High, </w:t>
            </w:r>
            <w:proofErr w:type="spellStart"/>
            <w:r w:rsidRPr="005D5FF8">
              <w:rPr>
                <w:rFonts w:ascii="Arial Narrow" w:hAnsi="Arial Narrow"/>
                <w:sz w:val="20"/>
                <w:lang w:val="en-US"/>
              </w:rPr>
              <w:t>favour</w:t>
            </w:r>
            <w:r w:rsidR="004A7412" w:rsidRPr="005D5FF8">
              <w:rPr>
                <w:rFonts w:ascii="Arial Narrow" w:hAnsi="Arial Narrow"/>
                <w:sz w:val="20"/>
                <w:lang w:val="en-US"/>
              </w:rPr>
              <w:t>ed</w:t>
            </w:r>
            <w:proofErr w:type="spellEnd"/>
            <w:r w:rsidRPr="005D5FF8">
              <w:rPr>
                <w:rFonts w:ascii="Arial Narrow" w:hAnsi="Arial Narrow"/>
                <w:sz w:val="20"/>
                <w:lang w:val="en-US"/>
              </w:rPr>
              <w:t xml:space="preserve"> </w:t>
            </w:r>
            <w:proofErr w:type="spellStart"/>
            <w:r w:rsidRPr="005D5FF8">
              <w:rPr>
                <w:rFonts w:ascii="Arial Narrow" w:hAnsi="Arial Narrow"/>
                <w:sz w:val="20"/>
                <w:lang w:val="en-US"/>
              </w:rPr>
              <w:t>obinutuzumab</w:t>
            </w:r>
            <w:proofErr w:type="spellEnd"/>
          </w:p>
        </w:tc>
      </w:tr>
      <w:tr w:rsidR="00F41BCA" w:rsidRPr="005D5FF8" w:rsidTr="00B579E0">
        <w:trPr>
          <w:trHeight w:val="113"/>
        </w:trPr>
        <w:tc>
          <w:tcPr>
            <w:tcW w:w="1304" w:type="dxa"/>
            <w:shd w:val="clear" w:color="auto" w:fill="auto"/>
          </w:tcPr>
          <w:p w:rsidR="00F41BCA" w:rsidRPr="005D5FF8" w:rsidRDefault="00F41BCA" w:rsidP="00F41BCA">
            <w:pPr>
              <w:keepNext/>
              <w:widowControl/>
              <w:jc w:val="left"/>
              <w:rPr>
                <w:rFonts w:ascii="Arial Narrow" w:hAnsi="Arial Narrow"/>
                <w:sz w:val="20"/>
                <w:lang w:val="en-US"/>
              </w:rPr>
            </w:pPr>
            <w:r w:rsidRPr="005D5FF8">
              <w:rPr>
                <w:rFonts w:ascii="Arial Narrow" w:hAnsi="Arial Narrow"/>
                <w:sz w:val="20"/>
                <w:lang w:val="en-US"/>
              </w:rPr>
              <w:t>Extrapolation of survival for patients with progressed disease</w:t>
            </w:r>
          </w:p>
        </w:tc>
        <w:tc>
          <w:tcPr>
            <w:tcW w:w="5925" w:type="dxa"/>
            <w:shd w:val="clear" w:color="auto" w:fill="auto"/>
          </w:tcPr>
          <w:p w:rsidR="00F41BCA" w:rsidRPr="005D5FF8" w:rsidRDefault="00D84E40" w:rsidP="00D84E40">
            <w:pPr>
              <w:keepNext/>
              <w:widowControl/>
              <w:jc w:val="left"/>
              <w:rPr>
                <w:rFonts w:ascii="Arial Narrow" w:hAnsi="Arial Narrow"/>
                <w:sz w:val="20"/>
                <w:lang w:val="en-US"/>
              </w:rPr>
            </w:pPr>
            <w:r w:rsidRPr="005D5FF8">
              <w:rPr>
                <w:rFonts w:ascii="Arial Narrow" w:hAnsi="Arial Narrow"/>
                <w:sz w:val="20"/>
                <w:lang w:val="en-US"/>
              </w:rPr>
              <w:t xml:space="preserve">- </w:t>
            </w:r>
            <w:r w:rsidR="00F41BCA" w:rsidRPr="005D5FF8">
              <w:rPr>
                <w:rFonts w:ascii="Arial Narrow" w:hAnsi="Arial Narrow"/>
                <w:sz w:val="20"/>
                <w:lang w:val="en-US"/>
              </w:rPr>
              <w:t>A constant probability of death was assumed for patients with progressed disease.</w:t>
            </w:r>
          </w:p>
          <w:p w:rsidR="00F41BCA" w:rsidRPr="005D5FF8" w:rsidRDefault="00D84E40" w:rsidP="00D84E40">
            <w:pPr>
              <w:keepNext/>
              <w:widowControl/>
              <w:jc w:val="left"/>
              <w:rPr>
                <w:rFonts w:ascii="Arial Narrow" w:hAnsi="Arial Narrow"/>
                <w:sz w:val="20"/>
                <w:lang w:val="en-US"/>
              </w:rPr>
            </w:pPr>
            <w:r w:rsidRPr="005D5FF8">
              <w:rPr>
                <w:rFonts w:ascii="Arial Narrow" w:hAnsi="Arial Narrow"/>
                <w:sz w:val="20"/>
                <w:lang w:val="en-US"/>
              </w:rPr>
              <w:t xml:space="preserve">- </w:t>
            </w:r>
            <w:r w:rsidR="00F41BCA" w:rsidRPr="005D5FF8">
              <w:rPr>
                <w:rFonts w:ascii="Arial Narrow" w:hAnsi="Arial Narrow"/>
                <w:sz w:val="20"/>
                <w:lang w:val="en-US"/>
              </w:rPr>
              <w:t>An exponential model was fitted to pooled post-progression survival from the GADOLIN trial</w:t>
            </w:r>
            <w:r w:rsidR="009F48B7" w:rsidRPr="005D5FF8">
              <w:rPr>
                <w:rFonts w:ascii="Arial Narrow" w:hAnsi="Arial Narrow"/>
                <w:sz w:val="20"/>
                <w:lang w:val="en-US"/>
              </w:rPr>
              <w:t>.</w:t>
            </w:r>
          </w:p>
          <w:p w:rsidR="00F41BCA" w:rsidRPr="005D5FF8" w:rsidRDefault="00D84E40" w:rsidP="003634EF">
            <w:pPr>
              <w:keepNext/>
              <w:widowControl/>
              <w:jc w:val="left"/>
              <w:rPr>
                <w:rFonts w:ascii="Arial Narrow" w:hAnsi="Arial Narrow"/>
                <w:sz w:val="20"/>
                <w:lang w:val="en-US"/>
              </w:rPr>
            </w:pPr>
            <w:r w:rsidRPr="005D5FF8">
              <w:rPr>
                <w:rFonts w:ascii="Arial Narrow" w:hAnsi="Arial Narrow"/>
                <w:sz w:val="20"/>
                <w:lang w:val="en-US"/>
              </w:rPr>
              <w:t xml:space="preserve">- </w:t>
            </w:r>
            <w:r w:rsidR="00F41BCA" w:rsidRPr="005D5FF8">
              <w:rPr>
                <w:rFonts w:ascii="Arial Narrow" w:hAnsi="Arial Narrow"/>
                <w:sz w:val="20"/>
                <w:lang w:val="en-US"/>
              </w:rPr>
              <w:t xml:space="preserve">No converging of </w:t>
            </w:r>
            <w:r w:rsidR="003634EF">
              <w:rPr>
                <w:rFonts w:ascii="Arial Narrow" w:hAnsi="Arial Narrow"/>
                <w:sz w:val="20"/>
                <w:lang w:val="en-US"/>
              </w:rPr>
              <w:t>OS</w:t>
            </w:r>
            <w:r w:rsidR="00F41BCA" w:rsidRPr="005D5FF8">
              <w:rPr>
                <w:rFonts w:ascii="Arial Narrow" w:hAnsi="Arial Narrow"/>
                <w:sz w:val="20"/>
                <w:lang w:val="en-US"/>
              </w:rPr>
              <w:t xml:space="preserve"> over time, while maximum treatment duration was 2.5 years for </w:t>
            </w:r>
            <w:proofErr w:type="spellStart"/>
            <w:r w:rsidR="00F41BCA" w:rsidRPr="005D5FF8">
              <w:rPr>
                <w:rFonts w:ascii="Arial Narrow" w:hAnsi="Arial Narrow"/>
                <w:sz w:val="20"/>
                <w:lang w:val="en-US"/>
              </w:rPr>
              <w:t>obinutuzumab</w:t>
            </w:r>
            <w:proofErr w:type="spellEnd"/>
            <w:r w:rsidR="00F41BCA" w:rsidRPr="005D5FF8">
              <w:rPr>
                <w:rFonts w:ascii="Arial Narrow" w:hAnsi="Arial Narrow"/>
                <w:sz w:val="20"/>
                <w:lang w:val="en-US"/>
              </w:rPr>
              <w:t xml:space="preserve"> plus </w:t>
            </w:r>
            <w:proofErr w:type="spellStart"/>
            <w:r w:rsidR="00F41BCA" w:rsidRPr="005D5FF8">
              <w:rPr>
                <w:rFonts w:ascii="Arial Narrow" w:hAnsi="Arial Narrow"/>
                <w:sz w:val="20"/>
                <w:lang w:val="en-US"/>
              </w:rPr>
              <w:t>bendamustine</w:t>
            </w:r>
            <w:proofErr w:type="spellEnd"/>
            <w:r w:rsidR="00F41BCA" w:rsidRPr="005D5FF8">
              <w:rPr>
                <w:rFonts w:ascii="Arial Narrow" w:hAnsi="Arial Narrow"/>
                <w:sz w:val="20"/>
                <w:lang w:val="en-US"/>
              </w:rPr>
              <w:t xml:space="preserve"> and the model duration was 15 years. Survival difference at 15 years 0.</w:t>
            </w:r>
            <w:r w:rsidR="00FD4C6A" w:rsidRPr="005D5FF8">
              <w:rPr>
                <w:rFonts w:ascii="Arial Narrow" w:hAnsi="Arial Narrow"/>
                <w:sz w:val="20"/>
                <w:lang w:val="en-US"/>
              </w:rPr>
              <w:t xml:space="preserve">128 </w:t>
            </w:r>
            <w:r w:rsidR="00F41BCA" w:rsidRPr="005D5FF8">
              <w:rPr>
                <w:rFonts w:ascii="Arial Narrow" w:hAnsi="Arial Narrow"/>
                <w:sz w:val="20"/>
                <w:lang w:val="en-US"/>
              </w:rPr>
              <w:t>(0.</w:t>
            </w:r>
            <w:r w:rsidR="00FD4C6A" w:rsidRPr="005D5FF8">
              <w:rPr>
                <w:rFonts w:ascii="Arial Narrow" w:hAnsi="Arial Narrow"/>
                <w:sz w:val="20"/>
                <w:lang w:val="en-US"/>
              </w:rPr>
              <w:t xml:space="preserve">145 </w:t>
            </w:r>
            <w:r w:rsidR="00F41BCA" w:rsidRPr="005D5FF8">
              <w:rPr>
                <w:rFonts w:ascii="Arial Narrow" w:hAnsi="Arial Narrow"/>
                <w:sz w:val="20"/>
                <w:lang w:val="en-US"/>
              </w:rPr>
              <w:t>vs. 0.</w:t>
            </w:r>
            <w:r w:rsidR="00FD4C6A" w:rsidRPr="005D5FF8">
              <w:rPr>
                <w:rFonts w:ascii="Arial Narrow" w:hAnsi="Arial Narrow"/>
                <w:sz w:val="20"/>
                <w:lang w:val="en-US"/>
              </w:rPr>
              <w:t>017</w:t>
            </w:r>
            <w:r w:rsidR="00F41BCA" w:rsidRPr="005D5FF8">
              <w:rPr>
                <w:rFonts w:ascii="Arial Narrow" w:hAnsi="Arial Narrow"/>
                <w:sz w:val="20"/>
                <w:lang w:val="en-US"/>
              </w:rPr>
              <w:t>).</w:t>
            </w:r>
          </w:p>
        </w:tc>
        <w:tc>
          <w:tcPr>
            <w:tcW w:w="113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 xml:space="preserve">High, </w:t>
            </w:r>
            <w:proofErr w:type="spellStart"/>
            <w:r w:rsidRPr="005D5FF8">
              <w:rPr>
                <w:rFonts w:ascii="Arial Narrow" w:hAnsi="Arial Narrow"/>
                <w:sz w:val="20"/>
                <w:lang w:val="en-US"/>
              </w:rPr>
              <w:t>favour</w:t>
            </w:r>
            <w:r w:rsidR="004A7412" w:rsidRPr="005D5FF8">
              <w:rPr>
                <w:rFonts w:ascii="Arial Narrow" w:hAnsi="Arial Narrow"/>
                <w:sz w:val="20"/>
                <w:lang w:val="en-US"/>
              </w:rPr>
              <w:t>ed</w:t>
            </w:r>
            <w:proofErr w:type="spellEnd"/>
            <w:r w:rsidRPr="005D5FF8">
              <w:rPr>
                <w:rFonts w:ascii="Arial Narrow" w:hAnsi="Arial Narrow"/>
                <w:sz w:val="20"/>
                <w:lang w:val="en-US"/>
              </w:rPr>
              <w:t xml:space="preserve"> </w:t>
            </w:r>
            <w:proofErr w:type="spellStart"/>
            <w:r w:rsidRPr="005D5FF8">
              <w:rPr>
                <w:rFonts w:ascii="Arial Narrow" w:hAnsi="Arial Narrow"/>
                <w:sz w:val="20"/>
                <w:lang w:val="en-US"/>
              </w:rPr>
              <w:t>obinutuzumab</w:t>
            </w:r>
            <w:proofErr w:type="spellEnd"/>
          </w:p>
        </w:tc>
      </w:tr>
      <w:tr w:rsidR="00F41BCA" w:rsidRPr="005D5FF8" w:rsidTr="00B579E0">
        <w:trPr>
          <w:trHeight w:val="113"/>
        </w:trPr>
        <w:tc>
          <w:tcPr>
            <w:tcW w:w="130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Health state utilities</w:t>
            </w:r>
          </w:p>
        </w:tc>
        <w:tc>
          <w:tcPr>
            <w:tcW w:w="5925" w:type="dxa"/>
            <w:shd w:val="clear" w:color="auto" w:fill="auto"/>
          </w:tcPr>
          <w:tbl>
            <w:tblPr>
              <w:tblW w:w="3212" w:type="dxa"/>
              <w:tblLook w:val="04A0" w:firstRow="1" w:lastRow="0" w:firstColumn="1" w:lastColumn="0" w:noHBand="0" w:noVBand="1"/>
            </w:tblPr>
            <w:tblGrid>
              <w:gridCol w:w="2040"/>
              <w:gridCol w:w="262"/>
              <w:gridCol w:w="1076"/>
            </w:tblGrid>
            <w:tr w:rsidR="00F41BCA" w:rsidRPr="005D5FF8" w:rsidTr="004A7412">
              <w:trPr>
                <w:trHeight w:val="280"/>
              </w:trPr>
              <w:tc>
                <w:tcPr>
                  <w:tcW w:w="2136" w:type="dxa"/>
                  <w:gridSpan w:val="2"/>
                  <w:tcBorders>
                    <w:top w:val="nil"/>
                    <w:left w:val="nil"/>
                    <w:bottom w:val="nil"/>
                    <w:right w:val="nil"/>
                  </w:tcBorders>
                  <w:shd w:val="clear" w:color="auto" w:fill="auto"/>
                  <w:noWrap/>
                  <w:vAlign w:val="bottom"/>
                  <w:hideMark/>
                </w:tcPr>
                <w:p w:rsidR="00F41BCA" w:rsidRPr="005D5FF8" w:rsidRDefault="00F41BCA" w:rsidP="0001612A">
                  <w:pPr>
                    <w:widowControl/>
                    <w:jc w:val="left"/>
                    <w:rPr>
                      <w:rFonts w:ascii="Arial Narrow" w:hAnsi="Arial Narrow" w:cs="Times New Roman"/>
                      <w:bCs/>
                      <w:snapToGrid/>
                      <w:color w:val="000000"/>
                      <w:sz w:val="20"/>
                    </w:rPr>
                  </w:pPr>
                  <w:r w:rsidRPr="005D5FF8">
                    <w:rPr>
                      <w:rFonts w:ascii="Arial Narrow" w:hAnsi="Arial Narrow" w:cs="Times New Roman"/>
                      <w:bCs/>
                      <w:snapToGrid/>
                      <w:color w:val="000000"/>
                      <w:sz w:val="20"/>
                    </w:rPr>
                    <w:t>PFS on treatment</w:t>
                  </w:r>
                </w:p>
              </w:tc>
              <w:tc>
                <w:tcPr>
                  <w:tcW w:w="1076" w:type="dxa"/>
                  <w:tcBorders>
                    <w:top w:val="nil"/>
                    <w:left w:val="nil"/>
                    <w:bottom w:val="nil"/>
                    <w:right w:val="nil"/>
                  </w:tcBorders>
                  <w:shd w:val="clear" w:color="auto" w:fill="auto"/>
                  <w:noWrap/>
                  <w:vAlign w:val="bottom"/>
                  <w:hideMark/>
                </w:tcPr>
                <w:p w:rsidR="00F41BCA" w:rsidRPr="005D5FF8" w:rsidRDefault="00F41BCA" w:rsidP="0001612A">
                  <w:pPr>
                    <w:widowControl/>
                    <w:jc w:val="center"/>
                    <w:rPr>
                      <w:rFonts w:ascii="Arial Narrow" w:hAnsi="Arial Narrow" w:cs="Times New Roman"/>
                      <w:bCs/>
                      <w:snapToGrid/>
                      <w:color w:val="000000"/>
                      <w:sz w:val="20"/>
                    </w:rPr>
                  </w:pPr>
                  <w:r w:rsidRPr="005D5FF8">
                    <w:rPr>
                      <w:rFonts w:ascii="Arial Narrow" w:hAnsi="Arial Narrow" w:cs="Times New Roman"/>
                      <w:bCs/>
                      <w:snapToGrid/>
                      <w:color w:val="000000"/>
                      <w:sz w:val="20"/>
                    </w:rPr>
                    <w:t>0.823</w:t>
                  </w:r>
                </w:p>
              </w:tc>
            </w:tr>
            <w:tr w:rsidR="00F41BCA" w:rsidRPr="005D5FF8" w:rsidTr="004A7412">
              <w:trPr>
                <w:trHeight w:val="280"/>
              </w:trPr>
              <w:tc>
                <w:tcPr>
                  <w:tcW w:w="2136" w:type="dxa"/>
                  <w:gridSpan w:val="2"/>
                  <w:tcBorders>
                    <w:top w:val="nil"/>
                    <w:left w:val="nil"/>
                    <w:bottom w:val="nil"/>
                    <w:right w:val="nil"/>
                  </w:tcBorders>
                  <w:shd w:val="clear" w:color="auto" w:fill="auto"/>
                  <w:noWrap/>
                  <w:vAlign w:val="bottom"/>
                  <w:hideMark/>
                </w:tcPr>
                <w:p w:rsidR="00F41BCA" w:rsidRPr="005D5FF8" w:rsidRDefault="00F41BCA" w:rsidP="0001612A">
                  <w:pPr>
                    <w:widowControl/>
                    <w:jc w:val="left"/>
                    <w:rPr>
                      <w:rFonts w:ascii="Arial Narrow" w:hAnsi="Arial Narrow" w:cs="Times New Roman"/>
                      <w:bCs/>
                      <w:snapToGrid/>
                      <w:color w:val="000000"/>
                      <w:sz w:val="20"/>
                    </w:rPr>
                  </w:pPr>
                  <w:r w:rsidRPr="005D5FF8">
                    <w:rPr>
                      <w:rFonts w:ascii="Arial Narrow" w:hAnsi="Arial Narrow" w:cs="Times New Roman"/>
                      <w:bCs/>
                      <w:snapToGrid/>
                      <w:color w:val="000000"/>
                      <w:sz w:val="20"/>
                    </w:rPr>
                    <w:t>PFS off treatment</w:t>
                  </w:r>
                </w:p>
              </w:tc>
              <w:tc>
                <w:tcPr>
                  <w:tcW w:w="1076" w:type="dxa"/>
                  <w:tcBorders>
                    <w:top w:val="nil"/>
                    <w:left w:val="nil"/>
                    <w:bottom w:val="nil"/>
                    <w:right w:val="nil"/>
                  </w:tcBorders>
                  <w:shd w:val="clear" w:color="auto" w:fill="auto"/>
                  <w:noWrap/>
                  <w:vAlign w:val="bottom"/>
                  <w:hideMark/>
                </w:tcPr>
                <w:p w:rsidR="00F41BCA" w:rsidRPr="005D5FF8" w:rsidRDefault="00F41BCA" w:rsidP="0001612A">
                  <w:pPr>
                    <w:widowControl/>
                    <w:jc w:val="center"/>
                    <w:rPr>
                      <w:rFonts w:ascii="Arial Narrow" w:hAnsi="Arial Narrow" w:cs="Times New Roman"/>
                      <w:bCs/>
                      <w:snapToGrid/>
                      <w:color w:val="000000"/>
                      <w:sz w:val="20"/>
                    </w:rPr>
                  </w:pPr>
                  <w:r w:rsidRPr="005D5FF8">
                    <w:rPr>
                      <w:rFonts w:ascii="Arial Narrow" w:hAnsi="Arial Narrow" w:cs="Times New Roman"/>
                      <w:bCs/>
                      <w:snapToGrid/>
                      <w:color w:val="000000"/>
                      <w:sz w:val="20"/>
                    </w:rPr>
                    <w:t>0.807</w:t>
                  </w:r>
                </w:p>
              </w:tc>
            </w:tr>
            <w:tr w:rsidR="00F41BCA" w:rsidRPr="005D5FF8" w:rsidTr="004A7412">
              <w:trPr>
                <w:trHeight w:val="280"/>
              </w:trPr>
              <w:tc>
                <w:tcPr>
                  <w:tcW w:w="2040" w:type="dxa"/>
                  <w:tcBorders>
                    <w:top w:val="nil"/>
                    <w:left w:val="nil"/>
                    <w:bottom w:val="nil"/>
                    <w:right w:val="nil"/>
                  </w:tcBorders>
                  <w:shd w:val="clear" w:color="auto" w:fill="auto"/>
                  <w:noWrap/>
                  <w:vAlign w:val="bottom"/>
                  <w:hideMark/>
                </w:tcPr>
                <w:p w:rsidR="00F41BCA" w:rsidRPr="005D5FF8" w:rsidRDefault="00F41BCA" w:rsidP="0001612A">
                  <w:pPr>
                    <w:widowControl/>
                    <w:jc w:val="left"/>
                    <w:rPr>
                      <w:rFonts w:ascii="Arial Narrow" w:hAnsi="Arial Narrow" w:cs="Times New Roman"/>
                      <w:bCs/>
                      <w:snapToGrid/>
                      <w:color w:val="000000"/>
                      <w:sz w:val="20"/>
                    </w:rPr>
                  </w:pPr>
                  <w:r w:rsidRPr="005D5FF8">
                    <w:rPr>
                      <w:rFonts w:ascii="Arial Narrow" w:hAnsi="Arial Narrow" w:cs="Times New Roman"/>
                      <w:bCs/>
                      <w:snapToGrid/>
                      <w:color w:val="000000"/>
                      <w:sz w:val="20"/>
                    </w:rPr>
                    <w:t>Progression</w:t>
                  </w:r>
                </w:p>
              </w:tc>
              <w:tc>
                <w:tcPr>
                  <w:tcW w:w="96" w:type="dxa"/>
                  <w:tcBorders>
                    <w:top w:val="nil"/>
                    <w:left w:val="nil"/>
                    <w:bottom w:val="nil"/>
                    <w:right w:val="nil"/>
                  </w:tcBorders>
                  <w:shd w:val="clear" w:color="auto" w:fill="auto"/>
                  <w:noWrap/>
                  <w:vAlign w:val="bottom"/>
                  <w:hideMark/>
                </w:tcPr>
                <w:p w:rsidR="00F41BCA" w:rsidRPr="005D5FF8" w:rsidRDefault="00F41BCA" w:rsidP="0001612A">
                  <w:pPr>
                    <w:widowControl/>
                    <w:jc w:val="left"/>
                    <w:rPr>
                      <w:rFonts w:ascii="Arial Narrow" w:hAnsi="Arial Narrow" w:cs="Times New Roman"/>
                      <w:bCs/>
                      <w:snapToGrid/>
                      <w:color w:val="000000"/>
                      <w:sz w:val="20"/>
                    </w:rPr>
                  </w:pPr>
                  <w:r w:rsidRPr="005D5FF8">
                    <w:rPr>
                      <w:rFonts w:ascii="Arial Narrow" w:hAnsi="Arial Narrow" w:cs="Times New Roman"/>
                      <w:bCs/>
                      <w:snapToGrid/>
                      <w:color w:val="000000"/>
                      <w:sz w:val="20"/>
                    </w:rPr>
                    <w:t> </w:t>
                  </w:r>
                </w:p>
              </w:tc>
              <w:tc>
                <w:tcPr>
                  <w:tcW w:w="1076" w:type="dxa"/>
                  <w:tcBorders>
                    <w:top w:val="nil"/>
                    <w:left w:val="nil"/>
                    <w:bottom w:val="nil"/>
                    <w:right w:val="nil"/>
                  </w:tcBorders>
                  <w:shd w:val="clear" w:color="auto" w:fill="auto"/>
                  <w:noWrap/>
                  <w:vAlign w:val="bottom"/>
                  <w:hideMark/>
                </w:tcPr>
                <w:p w:rsidR="00F41BCA" w:rsidRPr="005D5FF8" w:rsidRDefault="00F41BCA" w:rsidP="0001612A">
                  <w:pPr>
                    <w:widowControl/>
                    <w:jc w:val="center"/>
                    <w:rPr>
                      <w:rFonts w:ascii="Arial Narrow" w:hAnsi="Arial Narrow" w:cs="Times New Roman"/>
                      <w:bCs/>
                      <w:snapToGrid/>
                      <w:color w:val="000000"/>
                      <w:sz w:val="20"/>
                    </w:rPr>
                  </w:pPr>
                  <w:r w:rsidRPr="005D5FF8">
                    <w:rPr>
                      <w:rFonts w:ascii="Arial Narrow" w:hAnsi="Arial Narrow" w:cs="Times New Roman"/>
                      <w:bCs/>
                      <w:snapToGrid/>
                      <w:color w:val="000000"/>
                      <w:sz w:val="20"/>
                    </w:rPr>
                    <w:t>0.770</w:t>
                  </w:r>
                </w:p>
              </w:tc>
            </w:tr>
          </w:tbl>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 xml:space="preserve">General population utility aged 65 to 74 years: 0.8 – 0.82 </w:t>
            </w:r>
          </w:p>
        </w:tc>
        <w:tc>
          <w:tcPr>
            <w:tcW w:w="113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 xml:space="preserve">Moderate, </w:t>
            </w:r>
            <w:proofErr w:type="spellStart"/>
            <w:r w:rsidRPr="005D5FF8">
              <w:rPr>
                <w:rFonts w:ascii="Arial Narrow" w:hAnsi="Arial Narrow"/>
                <w:sz w:val="20"/>
                <w:lang w:val="en-US"/>
              </w:rPr>
              <w:t>favour</w:t>
            </w:r>
            <w:r w:rsidR="004A7412" w:rsidRPr="005D5FF8">
              <w:rPr>
                <w:rFonts w:ascii="Arial Narrow" w:hAnsi="Arial Narrow"/>
                <w:sz w:val="20"/>
                <w:lang w:val="en-US"/>
              </w:rPr>
              <w:t>ed</w:t>
            </w:r>
            <w:proofErr w:type="spellEnd"/>
            <w:r w:rsidR="004A7412" w:rsidRPr="005D5FF8">
              <w:rPr>
                <w:rFonts w:ascii="Arial Narrow" w:hAnsi="Arial Narrow"/>
                <w:sz w:val="20"/>
                <w:lang w:val="en-US"/>
              </w:rPr>
              <w:t xml:space="preserve"> </w:t>
            </w:r>
            <w:proofErr w:type="spellStart"/>
            <w:r w:rsidRPr="005D5FF8">
              <w:rPr>
                <w:rFonts w:ascii="Arial Narrow" w:hAnsi="Arial Narrow"/>
                <w:sz w:val="20"/>
                <w:lang w:val="en-US"/>
              </w:rPr>
              <w:t>obinutuzumab</w:t>
            </w:r>
            <w:proofErr w:type="spellEnd"/>
          </w:p>
        </w:tc>
      </w:tr>
      <w:tr w:rsidR="00F41BCA" w:rsidRPr="005D5FF8" w:rsidTr="00B579E0">
        <w:trPr>
          <w:trHeight w:val="113"/>
        </w:trPr>
        <w:tc>
          <w:tcPr>
            <w:tcW w:w="130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Costs for health states</w:t>
            </w:r>
          </w:p>
        </w:tc>
        <w:tc>
          <w:tcPr>
            <w:tcW w:w="5925"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Health state costs were excluded from the economic model</w:t>
            </w:r>
            <w:r w:rsidR="009F48B7" w:rsidRPr="005D5FF8">
              <w:rPr>
                <w:rFonts w:ascii="Arial Narrow" w:hAnsi="Arial Narrow"/>
                <w:sz w:val="20"/>
                <w:lang w:val="en-US"/>
              </w:rPr>
              <w:t>.</w:t>
            </w:r>
          </w:p>
        </w:tc>
        <w:tc>
          <w:tcPr>
            <w:tcW w:w="113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Unclear</w:t>
            </w:r>
          </w:p>
        </w:tc>
      </w:tr>
      <w:tr w:rsidR="00F41BCA" w:rsidRPr="005D5FF8" w:rsidTr="00B579E0">
        <w:trPr>
          <w:trHeight w:val="113"/>
        </w:trPr>
        <w:tc>
          <w:tcPr>
            <w:tcW w:w="130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Costs for further treatment</w:t>
            </w:r>
          </w:p>
        </w:tc>
        <w:tc>
          <w:tcPr>
            <w:tcW w:w="5925"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Costs for monitoring patients post-treatment were excluded from the economic model.</w:t>
            </w:r>
          </w:p>
        </w:tc>
        <w:tc>
          <w:tcPr>
            <w:tcW w:w="1134" w:type="dxa"/>
            <w:shd w:val="clear" w:color="auto" w:fill="auto"/>
          </w:tcPr>
          <w:p w:rsidR="00F41BCA" w:rsidRPr="005D5FF8" w:rsidRDefault="00F41BCA" w:rsidP="0040000A">
            <w:pPr>
              <w:keepNext/>
              <w:widowControl/>
              <w:jc w:val="left"/>
              <w:rPr>
                <w:rFonts w:ascii="Arial Narrow" w:hAnsi="Arial Narrow"/>
                <w:sz w:val="20"/>
                <w:lang w:val="en-US"/>
              </w:rPr>
            </w:pPr>
            <w:r w:rsidRPr="005D5FF8">
              <w:rPr>
                <w:rFonts w:ascii="Arial Narrow" w:hAnsi="Arial Narrow"/>
                <w:sz w:val="20"/>
                <w:lang w:val="en-US"/>
              </w:rPr>
              <w:t>Unclear</w:t>
            </w:r>
          </w:p>
        </w:tc>
      </w:tr>
    </w:tbl>
    <w:p w:rsidR="00D110BD" w:rsidRPr="00F41BCA" w:rsidRDefault="00D110BD" w:rsidP="00B579E0">
      <w:pPr>
        <w:pStyle w:val="TableFooter"/>
        <w:keepNext/>
        <w:widowControl/>
        <w:ind w:left="720"/>
      </w:pPr>
      <w:r w:rsidRPr="00F41BCA">
        <w:t>Source: compiled during the evaluation</w:t>
      </w:r>
    </w:p>
    <w:p w:rsidR="0043086C" w:rsidRPr="00F41BCA" w:rsidRDefault="004A7412" w:rsidP="00B579E0">
      <w:pPr>
        <w:pStyle w:val="TableFooter"/>
        <w:keepNext/>
        <w:widowControl/>
        <w:ind w:left="720"/>
      </w:pPr>
      <w:r>
        <w:t xml:space="preserve">AIC = </w:t>
      </w:r>
      <w:proofErr w:type="spellStart"/>
      <w:r w:rsidRPr="00501C33">
        <w:rPr>
          <w:szCs w:val="22"/>
        </w:rPr>
        <w:t>Akaike</w:t>
      </w:r>
      <w:proofErr w:type="spellEnd"/>
      <w:r w:rsidRPr="00501C33">
        <w:rPr>
          <w:szCs w:val="22"/>
        </w:rPr>
        <w:t xml:space="preserve"> Information Criteria</w:t>
      </w:r>
      <w:r>
        <w:rPr>
          <w:szCs w:val="22"/>
        </w:rPr>
        <w:t xml:space="preserve">; </w:t>
      </w:r>
      <w:r w:rsidR="0043086C" w:rsidRPr="00F41BCA">
        <w:t>OS = overall survival</w:t>
      </w:r>
      <w:r>
        <w:t>; PFS = progression free survival</w:t>
      </w:r>
    </w:p>
    <w:p w:rsidR="00D110BD" w:rsidRPr="00F41BCA" w:rsidRDefault="00D110BD" w:rsidP="00275C5A">
      <w:pPr>
        <w:widowControl/>
        <w:rPr>
          <w:rFonts w:ascii="Arial Narrow" w:hAnsi="Arial Narrow"/>
          <w:szCs w:val="22"/>
        </w:rPr>
      </w:pPr>
    </w:p>
    <w:p w:rsidR="00275C5A" w:rsidRPr="00F17A66" w:rsidRDefault="00D41E83" w:rsidP="005D5FF8">
      <w:pPr>
        <w:pStyle w:val="ListParagraph"/>
        <w:widowControl/>
        <w:numPr>
          <w:ilvl w:val="1"/>
          <w:numId w:val="1"/>
        </w:numPr>
        <w:rPr>
          <w:szCs w:val="22"/>
        </w:rPr>
      </w:pPr>
      <w:r w:rsidRPr="00F17A66">
        <w:rPr>
          <w:szCs w:val="22"/>
        </w:rPr>
        <w:t xml:space="preserve">The results of the cost-effectiveness analysis are presented in </w:t>
      </w:r>
      <w:r w:rsidR="00AF2946" w:rsidRPr="00F17A66">
        <w:rPr>
          <w:szCs w:val="22"/>
        </w:rPr>
        <w:t>the table</w:t>
      </w:r>
      <w:r w:rsidRPr="00F17A66">
        <w:rPr>
          <w:szCs w:val="22"/>
        </w:rPr>
        <w:t xml:space="preserve"> below.</w:t>
      </w:r>
    </w:p>
    <w:p w:rsidR="00521BCE" w:rsidRPr="00F17A66" w:rsidRDefault="00D110BD" w:rsidP="00B579E0">
      <w:pPr>
        <w:keepNext/>
        <w:widowControl/>
        <w:ind w:firstLine="720"/>
        <w:rPr>
          <w:rStyle w:val="CommentReference"/>
        </w:rPr>
      </w:pPr>
      <w:r w:rsidRPr="00F17A66">
        <w:rPr>
          <w:rStyle w:val="CommentReference"/>
        </w:rPr>
        <w:lastRenderedPageBreak/>
        <w:t xml:space="preserve">Table </w:t>
      </w:r>
      <w:r w:rsidR="00AF2946" w:rsidRPr="00F17A66">
        <w:rPr>
          <w:rStyle w:val="CommentReference"/>
        </w:rPr>
        <w:t>8</w:t>
      </w:r>
      <w:r w:rsidRPr="00F17A66">
        <w:rPr>
          <w:rStyle w:val="CommentReference"/>
        </w:rPr>
        <w:t>: Results of the stepped economic evaluation</w:t>
      </w:r>
    </w:p>
    <w:tbl>
      <w:tblPr>
        <w:tblW w:w="460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44"/>
        <w:gridCol w:w="1984"/>
        <w:gridCol w:w="1986"/>
        <w:gridCol w:w="2551"/>
      </w:tblGrid>
      <w:tr w:rsidR="00521BCE" w:rsidRPr="00F17A66" w:rsidTr="00B579E0">
        <w:trPr>
          <w:trHeight w:val="20"/>
          <w:tblHeader/>
        </w:trPr>
        <w:tc>
          <w:tcPr>
            <w:tcW w:w="1102" w:type="pct"/>
            <w:vAlign w:val="center"/>
          </w:tcPr>
          <w:p w:rsidR="00521BCE" w:rsidRPr="00F17A66" w:rsidRDefault="00521BCE" w:rsidP="00E34529">
            <w:pPr>
              <w:keepNext/>
              <w:widowControl/>
              <w:jc w:val="left"/>
              <w:rPr>
                <w:rFonts w:ascii="Arial Narrow" w:hAnsi="Arial Narrow" w:cs="Times New Roman"/>
                <w:b/>
                <w:sz w:val="20"/>
              </w:rPr>
            </w:pPr>
            <w:r w:rsidRPr="00F17A66">
              <w:rPr>
                <w:rFonts w:ascii="Arial Narrow" w:hAnsi="Arial Narrow" w:cs="Times New Roman"/>
                <w:b/>
                <w:sz w:val="20"/>
              </w:rPr>
              <w:t>Step and component</w:t>
            </w:r>
          </w:p>
        </w:tc>
        <w:tc>
          <w:tcPr>
            <w:tcW w:w="1186" w:type="pct"/>
          </w:tcPr>
          <w:p w:rsidR="00521BCE" w:rsidRPr="00F17A66" w:rsidRDefault="00521BCE" w:rsidP="00E34529">
            <w:pPr>
              <w:keepNext/>
              <w:widowControl/>
              <w:jc w:val="center"/>
              <w:rPr>
                <w:rFonts w:ascii="Arial Narrow" w:hAnsi="Arial Narrow" w:cs="Times New Roman"/>
                <w:b/>
                <w:sz w:val="20"/>
              </w:rPr>
            </w:pPr>
            <w:r w:rsidRPr="00F17A66">
              <w:rPr>
                <w:rFonts w:ascii="Arial Narrow" w:hAnsi="Arial Narrow" w:cs="Times New Roman"/>
                <w:b/>
                <w:sz w:val="20"/>
              </w:rPr>
              <w:t>O-Benda</w:t>
            </w:r>
          </w:p>
        </w:tc>
        <w:tc>
          <w:tcPr>
            <w:tcW w:w="1187" w:type="pct"/>
            <w:vAlign w:val="center"/>
          </w:tcPr>
          <w:p w:rsidR="00521BCE" w:rsidRPr="00F17A66" w:rsidRDefault="00521BCE" w:rsidP="00E34529">
            <w:pPr>
              <w:keepNext/>
              <w:widowControl/>
              <w:jc w:val="center"/>
              <w:rPr>
                <w:rFonts w:ascii="Arial Narrow" w:hAnsi="Arial Narrow" w:cs="Times New Roman"/>
                <w:b/>
                <w:sz w:val="20"/>
              </w:rPr>
            </w:pPr>
            <w:r w:rsidRPr="00F17A66">
              <w:rPr>
                <w:rFonts w:ascii="Arial Narrow" w:hAnsi="Arial Narrow" w:cs="Times New Roman"/>
                <w:b/>
                <w:sz w:val="20"/>
              </w:rPr>
              <w:t>BSC</w:t>
            </w:r>
          </w:p>
        </w:tc>
        <w:tc>
          <w:tcPr>
            <w:tcW w:w="1525" w:type="pct"/>
          </w:tcPr>
          <w:p w:rsidR="00521BCE" w:rsidRPr="00F17A66" w:rsidRDefault="00521BCE" w:rsidP="00E34529">
            <w:pPr>
              <w:keepNext/>
              <w:widowControl/>
              <w:jc w:val="center"/>
              <w:rPr>
                <w:rFonts w:ascii="Arial Narrow" w:hAnsi="Arial Narrow" w:cs="Times New Roman"/>
                <w:b/>
                <w:sz w:val="20"/>
              </w:rPr>
            </w:pPr>
            <w:r w:rsidRPr="00F17A66">
              <w:rPr>
                <w:rFonts w:ascii="Arial Narrow" w:hAnsi="Arial Narrow" w:cs="Times New Roman"/>
                <w:b/>
                <w:sz w:val="20"/>
              </w:rPr>
              <w:t>Increment</w:t>
            </w:r>
          </w:p>
        </w:tc>
      </w:tr>
      <w:tr w:rsidR="00521BCE" w:rsidRPr="00F17A66" w:rsidTr="00B579E0">
        <w:trPr>
          <w:trHeight w:val="20"/>
        </w:trPr>
        <w:tc>
          <w:tcPr>
            <w:tcW w:w="5000" w:type="pct"/>
            <w:gridSpan w:val="4"/>
            <w:vAlign w:val="center"/>
          </w:tcPr>
          <w:p w:rsidR="00521BCE" w:rsidRPr="00F17A66" w:rsidRDefault="00521BCE" w:rsidP="00E34529">
            <w:pPr>
              <w:keepNext/>
              <w:widowControl/>
              <w:jc w:val="left"/>
              <w:rPr>
                <w:rFonts w:ascii="Arial Narrow" w:hAnsi="Arial Narrow" w:cs="Arial Narrow"/>
                <w:b/>
                <w:bCs/>
                <w:sz w:val="20"/>
              </w:rPr>
            </w:pPr>
            <w:r w:rsidRPr="00F17A66">
              <w:rPr>
                <w:rFonts w:ascii="Arial Narrow" w:hAnsi="Arial Narrow" w:cs="Arial Narrow"/>
                <w:b/>
                <w:bCs/>
                <w:sz w:val="20"/>
              </w:rPr>
              <w:t>Step 1: trial-based costs and outcomes</w:t>
            </w:r>
            <w:r w:rsidR="00142A52" w:rsidRPr="00F17A66">
              <w:rPr>
                <w:rFonts w:ascii="Arial Narrow" w:hAnsi="Arial Narrow" w:cs="Arial Narrow"/>
                <w:b/>
                <w:bCs/>
                <w:sz w:val="20"/>
              </w:rPr>
              <w:t xml:space="preserve"> (maximum of 53.4 months)</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Costs</w:t>
            </w:r>
          </w:p>
        </w:tc>
        <w:tc>
          <w:tcPr>
            <w:tcW w:w="1186" w:type="pct"/>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c>
          <w:tcPr>
            <w:tcW w:w="1187" w:type="pct"/>
            <w:vAlign w:val="center"/>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c>
          <w:tcPr>
            <w:tcW w:w="1525" w:type="pct"/>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LYG</w:t>
            </w:r>
          </w:p>
        </w:tc>
        <w:tc>
          <w:tcPr>
            <w:tcW w:w="1186"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87" w:type="pct"/>
            <w:vAlign w:val="center"/>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25"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QALY</w:t>
            </w:r>
          </w:p>
        </w:tc>
        <w:tc>
          <w:tcPr>
            <w:tcW w:w="1186"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87" w:type="pct"/>
            <w:vAlign w:val="center"/>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25"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b/>
                <w:snapToGrid/>
                <w:sz w:val="20"/>
              </w:rPr>
              <w:t>Incremental cost/LYG gained</w:t>
            </w:r>
          </w:p>
        </w:tc>
        <w:tc>
          <w:tcPr>
            <w:tcW w:w="1525" w:type="pct"/>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b/>
                <w:sz w:val="20"/>
              </w:rPr>
              <w:t>$</w:t>
            </w:r>
            <w:r w:rsidR="003772B2">
              <w:rPr>
                <w:rFonts w:ascii="Arial Narrow" w:hAnsi="Arial Narrow" w:cs="Times New Roman"/>
                <w:b/>
                <w:noProof/>
                <w:color w:val="000000"/>
                <w:sz w:val="2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b/>
                <w:snapToGrid/>
                <w:sz w:val="20"/>
              </w:rPr>
            </w:pPr>
            <w:r w:rsidRPr="00F17A66">
              <w:rPr>
                <w:rFonts w:ascii="Arial Narrow" w:hAnsi="Arial Narrow" w:cs="Times New Roman"/>
                <w:b/>
                <w:snapToGrid/>
                <w:sz w:val="20"/>
              </w:rPr>
              <w:t>Incremental cost/QALY</w:t>
            </w:r>
          </w:p>
        </w:tc>
        <w:tc>
          <w:tcPr>
            <w:tcW w:w="1525" w:type="pct"/>
          </w:tcPr>
          <w:p w:rsidR="00521BCE" w:rsidRPr="00F17A66" w:rsidRDefault="00521BCE" w:rsidP="00E34529">
            <w:pPr>
              <w:keepNext/>
              <w:widowControl/>
              <w:jc w:val="right"/>
              <w:rPr>
                <w:rFonts w:ascii="Arial Narrow" w:hAnsi="Arial Narrow" w:cs="Times New Roman"/>
                <w:b/>
                <w:sz w:val="20"/>
              </w:rPr>
            </w:pPr>
            <w:r w:rsidRPr="00F17A66">
              <w:rPr>
                <w:rFonts w:ascii="Arial Narrow" w:hAnsi="Arial Narrow" w:cs="Times New Roman"/>
                <w:b/>
                <w:sz w:val="20"/>
              </w:rPr>
              <w:t>$</w:t>
            </w:r>
            <w:r w:rsidR="003772B2">
              <w:rPr>
                <w:rFonts w:ascii="Arial Narrow" w:hAnsi="Arial Narrow" w:cs="Times New Roman"/>
                <w:b/>
                <w:noProof/>
                <w:color w:val="000000"/>
                <w:sz w:val="20"/>
                <w:highlight w:val="black"/>
              </w:rPr>
              <w:t>''''''''''''''''</w:t>
            </w:r>
          </w:p>
        </w:tc>
      </w:tr>
      <w:tr w:rsidR="00521BCE" w:rsidRPr="00F17A66" w:rsidTr="00B579E0">
        <w:trPr>
          <w:trHeight w:val="20"/>
        </w:trPr>
        <w:tc>
          <w:tcPr>
            <w:tcW w:w="5000" w:type="pct"/>
            <w:gridSpan w:val="4"/>
            <w:vAlign w:val="center"/>
          </w:tcPr>
          <w:p w:rsidR="00521BCE" w:rsidRPr="00F17A66" w:rsidRDefault="00521BCE" w:rsidP="00E34529">
            <w:pPr>
              <w:keepNext/>
              <w:widowControl/>
              <w:jc w:val="left"/>
              <w:rPr>
                <w:rFonts w:ascii="Arial Narrow" w:hAnsi="Arial Narrow" w:cs="Arial Narrow"/>
                <w:b/>
                <w:bCs/>
                <w:sz w:val="20"/>
              </w:rPr>
            </w:pPr>
            <w:r w:rsidRPr="00F17A66">
              <w:rPr>
                <w:rFonts w:ascii="Arial Narrow" w:hAnsi="Arial Narrow" w:cs="Arial Narrow"/>
                <w:b/>
                <w:bCs/>
                <w:sz w:val="20"/>
              </w:rPr>
              <w:t xml:space="preserve">Step 2: trial results and </w:t>
            </w:r>
            <w:proofErr w:type="spellStart"/>
            <w:r w:rsidRPr="00F17A66">
              <w:rPr>
                <w:rFonts w:ascii="Arial Narrow" w:hAnsi="Arial Narrow" w:cs="Arial Narrow"/>
                <w:b/>
                <w:bCs/>
                <w:sz w:val="20"/>
              </w:rPr>
              <w:t>premodelling</w:t>
            </w:r>
            <w:proofErr w:type="spellEnd"/>
            <w:r w:rsidRPr="00F17A66">
              <w:rPr>
                <w:rFonts w:ascii="Arial Narrow" w:hAnsi="Arial Narrow" w:cs="Arial Narrow"/>
                <w:b/>
                <w:bCs/>
                <w:sz w:val="20"/>
              </w:rPr>
              <w:t xml:space="preserve"> (extrapolation</w:t>
            </w:r>
            <w:r w:rsidR="00B71DA1" w:rsidRPr="00F17A66">
              <w:rPr>
                <w:rFonts w:ascii="Arial Narrow" w:hAnsi="Arial Narrow" w:cs="Arial Narrow"/>
                <w:b/>
                <w:bCs/>
                <w:sz w:val="20"/>
              </w:rPr>
              <w:t xml:space="preserve"> of PFS</w:t>
            </w:r>
            <w:r w:rsidRPr="00F17A66">
              <w:rPr>
                <w:rFonts w:ascii="Arial Narrow" w:hAnsi="Arial Narrow" w:cs="Arial Narrow"/>
                <w:b/>
                <w:bCs/>
                <w:sz w:val="20"/>
              </w:rPr>
              <w:t xml:space="preserve"> using parametric models)</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Costs</w:t>
            </w:r>
          </w:p>
        </w:tc>
        <w:tc>
          <w:tcPr>
            <w:tcW w:w="1186" w:type="pct"/>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c>
          <w:tcPr>
            <w:tcW w:w="1187" w:type="pct"/>
            <w:vAlign w:val="center"/>
          </w:tcPr>
          <w:p w:rsidR="00521BCE" w:rsidRPr="00F17A66" w:rsidRDefault="00521BCE" w:rsidP="00E34529">
            <w:pPr>
              <w:keepNext/>
              <w:widowControl/>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c>
          <w:tcPr>
            <w:tcW w:w="1525" w:type="pct"/>
          </w:tcPr>
          <w:p w:rsidR="00521BCE" w:rsidRPr="00F17A66" w:rsidRDefault="00521BCE" w:rsidP="00E34529">
            <w:pPr>
              <w:keepNext/>
              <w:widowControl/>
              <w:tabs>
                <w:tab w:val="center" w:pos="991"/>
                <w:tab w:val="right" w:pos="1983"/>
              </w:tabs>
              <w:jc w:val="right"/>
              <w:rPr>
                <w:rFonts w:ascii="Arial Narrow" w:hAnsi="Arial Narrow" w:cs="Times New Roman"/>
                <w:sz w:val="20"/>
              </w:rPr>
            </w:pPr>
            <w:r w:rsidRPr="00F17A66">
              <w:rPr>
                <w:rFonts w:ascii="Arial Narrow" w:hAnsi="Arial Narrow" w:cs="Times New Roman"/>
                <w:sz w:val="20"/>
              </w:rPr>
              <w:t>$</w:t>
            </w:r>
            <w:r w:rsidR="003772B2">
              <w:rPr>
                <w:rFonts w:ascii="Arial Narrow" w:hAnsi="Arial Narrow" w:cs="Times New Roman"/>
                <w:noProof/>
                <w:color w:val="000000"/>
                <w:sz w:val="2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LYG</w:t>
            </w:r>
          </w:p>
        </w:tc>
        <w:tc>
          <w:tcPr>
            <w:tcW w:w="1186"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87" w:type="pct"/>
            <w:vAlign w:val="center"/>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QALY</w:t>
            </w:r>
          </w:p>
        </w:tc>
        <w:tc>
          <w:tcPr>
            <w:tcW w:w="1186" w:type="pct"/>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87" w:type="pct"/>
            <w:vAlign w:val="center"/>
          </w:tcPr>
          <w:p w:rsidR="00521BCE" w:rsidRPr="003772B2" w:rsidRDefault="003772B2" w:rsidP="00E34529">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b/>
                <w:snapToGrid/>
                <w:sz w:val="20"/>
              </w:rPr>
            </w:pPr>
            <w:r w:rsidRPr="00F17A66">
              <w:rPr>
                <w:rFonts w:ascii="Arial Narrow" w:hAnsi="Arial Narrow" w:cs="Times New Roman"/>
                <w:b/>
                <w:snapToGrid/>
                <w:sz w:val="20"/>
              </w:rPr>
              <w:t>Incremental cost/LYG</w:t>
            </w:r>
          </w:p>
        </w:tc>
        <w:tc>
          <w:tcPr>
            <w:tcW w:w="1525" w:type="pct"/>
            <w:vAlign w:val="center"/>
          </w:tcPr>
          <w:p w:rsidR="00521BCE" w:rsidRPr="00F17A66" w:rsidRDefault="00521BCE" w:rsidP="00E34529">
            <w:pPr>
              <w:pStyle w:val="Tabletext"/>
              <w:keepNext/>
              <w:jc w:val="right"/>
              <w:rPr>
                <w:b/>
              </w:rPr>
            </w:pPr>
            <w:r w:rsidRPr="00F17A66">
              <w:rPr>
                <w:rFonts w:cs="Calibri"/>
                <w:b/>
                <w:color w:val="000000"/>
              </w:rPr>
              <w:t>$</w:t>
            </w:r>
            <w:r w:rsidR="003772B2">
              <w:rPr>
                <w:rFonts w:cs="Calibri"/>
                <w:b/>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b/>
                <w:snapToGrid/>
                <w:sz w:val="20"/>
              </w:rPr>
              <w:t>Incremental cost/QALY</w:t>
            </w:r>
          </w:p>
        </w:tc>
        <w:tc>
          <w:tcPr>
            <w:tcW w:w="1525" w:type="pct"/>
            <w:vAlign w:val="center"/>
          </w:tcPr>
          <w:p w:rsidR="00521BCE" w:rsidRPr="00F17A66" w:rsidRDefault="00521BCE" w:rsidP="00E34529">
            <w:pPr>
              <w:pStyle w:val="Tabletext"/>
              <w:keepNext/>
              <w:jc w:val="right"/>
              <w:rPr>
                <w:b/>
              </w:rPr>
            </w:pPr>
            <w:r w:rsidRPr="00F17A66">
              <w:rPr>
                <w:rFonts w:cs="Calibri"/>
                <w:b/>
                <w:color w:val="000000"/>
              </w:rPr>
              <w:t>$</w:t>
            </w:r>
            <w:r w:rsidR="003772B2">
              <w:rPr>
                <w:rFonts w:cs="Calibri"/>
                <w:b/>
                <w:noProof/>
                <w:color w:val="000000"/>
                <w:highlight w:val="black"/>
              </w:rPr>
              <w:t>'''''''''''''</w:t>
            </w:r>
          </w:p>
        </w:tc>
      </w:tr>
      <w:tr w:rsidR="00521BCE" w:rsidRPr="00F17A66" w:rsidTr="00B579E0">
        <w:trPr>
          <w:trHeight w:val="20"/>
        </w:trPr>
        <w:tc>
          <w:tcPr>
            <w:tcW w:w="5000" w:type="pct"/>
            <w:gridSpan w:val="4"/>
            <w:vAlign w:val="center"/>
          </w:tcPr>
          <w:p w:rsidR="00521BCE" w:rsidRPr="00F17A66" w:rsidRDefault="00521BCE" w:rsidP="00E34529">
            <w:pPr>
              <w:keepNext/>
              <w:widowControl/>
              <w:jc w:val="left"/>
              <w:rPr>
                <w:rFonts w:ascii="Arial Narrow" w:hAnsi="Arial Narrow" w:cs="Arial Narrow"/>
                <w:b/>
                <w:bCs/>
                <w:sz w:val="20"/>
              </w:rPr>
            </w:pPr>
            <w:r w:rsidRPr="00F17A66">
              <w:rPr>
                <w:rFonts w:ascii="Arial Narrow" w:hAnsi="Arial Narrow" w:cs="Arial Narrow"/>
                <w:b/>
                <w:bCs/>
                <w:sz w:val="20"/>
              </w:rPr>
              <w:t>Step 3: modelled evaluation (inclusion of MRU cost)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Costs</w:t>
            </w:r>
          </w:p>
        </w:tc>
        <w:tc>
          <w:tcPr>
            <w:tcW w:w="1186"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187"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525" w:type="pct"/>
          </w:tcPr>
          <w:p w:rsidR="00521BCE" w:rsidRPr="00F17A66" w:rsidRDefault="00521BCE" w:rsidP="00E34529">
            <w:pPr>
              <w:pStyle w:val="Tabletext"/>
              <w:keepNext/>
              <w:jc w:val="right"/>
            </w:pPr>
            <w:r w:rsidRPr="00F17A66">
              <w:t>$</w:t>
            </w:r>
            <w:r w:rsidR="003772B2">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LYG</w:t>
            </w:r>
          </w:p>
        </w:tc>
        <w:tc>
          <w:tcPr>
            <w:tcW w:w="1186" w:type="pct"/>
          </w:tcPr>
          <w:p w:rsidR="00521BCE" w:rsidRPr="003772B2" w:rsidRDefault="003772B2" w:rsidP="00E34529">
            <w:pPr>
              <w:pStyle w:val="Tabletext"/>
              <w:keepNext/>
              <w:jc w:val="center"/>
              <w:rPr>
                <w:highlight w:val="black"/>
              </w:rPr>
            </w:pPr>
            <w:r>
              <w:rPr>
                <w:noProof/>
                <w:color w:val="000000"/>
                <w:highlight w:val="black"/>
              </w:rPr>
              <w:t>''''''''''''</w:t>
            </w:r>
          </w:p>
        </w:tc>
        <w:tc>
          <w:tcPr>
            <w:tcW w:w="1187" w:type="pct"/>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QALY</w:t>
            </w:r>
          </w:p>
        </w:tc>
        <w:tc>
          <w:tcPr>
            <w:tcW w:w="1186" w:type="pct"/>
          </w:tcPr>
          <w:p w:rsidR="00521BCE" w:rsidRPr="003772B2" w:rsidRDefault="003772B2" w:rsidP="00E34529">
            <w:pPr>
              <w:pStyle w:val="Tabletext"/>
              <w:keepNext/>
              <w:jc w:val="center"/>
              <w:rPr>
                <w:highlight w:val="black"/>
              </w:rPr>
            </w:pPr>
            <w:r>
              <w:rPr>
                <w:noProof/>
                <w:color w:val="000000"/>
                <w:highlight w:val="black"/>
              </w:rPr>
              <w:t>''''''''''</w:t>
            </w:r>
          </w:p>
        </w:tc>
        <w:tc>
          <w:tcPr>
            <w:tcW w:w="1187" w:type="pct"/>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b/>
                <w:snapToGrid/>
                <w:sz w:val="20"/>
              </w:rPr>
            </w:pPr>
            <w:r w:rsidRPr="00F17A66">
              <w:rPr>
                <w:rFonts w:ascii="Arial Narrow" w:hAnsi="Arial Narrow" w:cs="Times New Roman"/>
                <w:b/>
                <w:snapToGrid/>
                <w:sz w:val="20"/>
              </w:rPr>
              <w:t>Incremental cost/LYG</w:t>
            </w:r>
          </w:p>
        </w:tc>
        <w:tc>
          <w:tcPr>
            <w:tcW w:w="1525" w:type="pct"/>
          </w:tcPr>
          <w:p w:rsidR="00521BCE" w:rsidRPr="00F17A66" w:rsidRDefault="00521BCE" w:rsidP="00E34529">
            <w:pPr>
              <w:pStyle w:val="TableText0"/>
              <w:jc w:val="right"/>
              <w:rPr>
                <w:b/>
              </w:rPr>
            </w:pPr>
            <w:r w:rsidRPr="00F17A66">
              <w:rPr>
                <w:b/>
              </w:rPr>
              <w:t>$</w:t>
            </w:r>
            <w:r w:rsidR="003772B2">
              <w:rPr>
                <w:b/>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b/>
                <w:snapToGrid/>
                <w:sz w:val="20"/>
              </w:rPr>
              <w:t>Incremental cost/QALY</w:t>
            </w:r>
          </w:p>
        </w:tc>
        <w:tc>
          <w:tcPr>
            <w:tcW w:w="1525" w:type="pct"/>
          </w:tcPr>
          <w:p w:rsidR="00521BCE" w:rsidRPr="00F17A66" w:rsidRDefault="00521BCE" w:rsidP="00E34529">
            <w:pPr>
              <w:pStyle w:val="TableText0"/>
              <w:jc w:val="right"/>
              <w:rPr>
                <w:b/>
              </w:rPr>
            </w:pPr>
            <w:r w:rsidRPr="00F17A66">
              <w:rPr>
                <w:b/>
              </w:rPr>
              <w:t>$</w:t>
            </w:r>
            <w:r w:rsidR="003772B2">
              <w:rPr>
                <w:b/>
                <w:noProof/>
                <w:color w:val="000000"/>
                <w:highlight w:val="black"/>
              </w:rPr>
              <w:t>'''''''''''''</w:t>
            </w:r>
          </w:p>
        </w:tc>
      </w:tr>
      <w:tr w:rsidR="00521BCE" w:rsidRPr="00F17A66" w:rsidTr="00B579E0">
        <w:trPr>
          <w:trHeight w:val="20"/>
        </w:trPr>
        <w:tc>
          <w:tcPr>
            <w:tcW w:w="5000" w:type="pct"/>
            <w:gridSpan w:val="4"/>
            <w:vAlign w:val="center"/>
          </w:tcPr>
          <w:p w:rsidR="00521BCE" w:rsidRPr="00F17A66" w:rsidRDefault="00521BCE" w:rsidP="00E34529">
            <w:pPr>
              <w:keepNext/>
              <w:widowControl/>
              <w:jc w:val="left"/>
              <w:rPr>
                <w:rFonts w:ascii="Arial Narrow" w:hAnsi="Arial Narrow" w:cs="Arial Narrow"/>
                <w:b/>
                <w:bCs/>
                <w:sz w:val="20"/>
              </w:rPr>
            </w:pPr>
            <w:r w:rsidRPr="00F17A66">
              <w:rPr>
                <w:rFonts w:ascii="Arial Narrow" w:hAnsi="Arial Narrow" w:cs="Arial Narrow"/>
                <w:b/>
                <w:bCs/>
                <w:sz w:val="20"/>
              </w:rPr>
              <w:t>Step 4: modelled evaluation (inclusion of AE cost)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Costs</w:t>
            </w:r>
          </w:p>
        </w:tc>
        <w:tc>
          <w:tcPr>
            <w:tcW w:w="1186"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187"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525" w:type="pct"/>
          </w:tcPr>
          <w:p w:rsidR="00521BCE" w:rsidRPr="00F17A66" w:rsidRDefault="00521BCE" w:rsidP="00E34529">
            <w:pPr>
              <w:pStyle w:val="Tabletext"/>
              <w:keepNext/>
              <w:jc w:val="right"/>
            </w:pPr>
            <w:r w:rsidRPr="00F17A66">
              <w:t>$</w:t>
            </w:r>
            <w:r w:rsidR="003772B2">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LYG</w:t>
            </w:r>
          </w:p>
        </w:tc>
        <w:tc>
          <w:tcPr>
            <w:tcW w:w="1186"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187"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QALY</w:t>
            </w:r>
          </w:p>
        </w:tc>
        <w:tc>
          <w:tcPr>
            <w:tcW w:w="1186"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187"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b/>
                <w:snapToGrid/>
                <w:sz w:val="20"/>
              </w:rPr>
            </w:pPr>
            <w:r w:rsidRPr="00F17A66">
              <w:rPr>
                <w:rFonts w:ascii="Arial Narrow" w:hAnsi="Arial Narrow" w:cs="Times New Roman"/>
                <w:b/>
                <w:snapToGrid/>
                <w:sz w:val="20"/>
              </w:rPr>
              <w:t>Incremental cost/LYG</w:t>
            </w:r>
          </w:p>
        </w:tc>
        <w:tc>
          <w:tcPr>
            <w:tcW w:w="1525" w:type="pct"/>
          </w:tcPr>
          <w:p w:rsidR="00521BCE" w:rsidRPr="00F17A66" w:rsidRDefault="00521BCE" w:rsidP="00E34529">
            <w:pPr>
              <w:pStyle w:val="Tabletext"/>
              <w:keepNext/>
              <w:jc w:val="right"/>
              <w:rPr>
                <w:b/>
              </w:rPr>
            </w:pPr>
            <w:r w:rsidRPr="00F17A66">
              <w:rPr>
                <w:b/>
              </w:rPr>
              <w:t>$</w:t>
            </w:r>
            <w:r w:rsidR="003772B2">
              <w:rPr>
                <w:b/>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b/>
                <w:snapToGrid/>
                <w:sz w:val="20"/>
              </w:rPr>
              <w:t>Incremental cost/QALY</w:t>
            </w:r>
          </w:p>
        </w:tc>
        <w:tc>
          <w:tcPr>
            <w:tcW w:w="1525" w:type="pct"/>
          </w:tcPr>
          <w:p w:rsidR="00521BCE" w:rsidRPr="00F17A66" w:rsidRDefault="00521BCE" w:rsidP="00E34529">
            <w:pPr>
              <w:pStyle w:val="Tabletext"/>
              <w:keepNext/>
              <w:jc w:val="right"/>
              <w:rPr>
                <w:b/>
              </w:rPr>
            </w:pPr>
            <w:r w:rsidRPr="00F17A66">
              <w:rPr>
                <w:b/>
              </w:rPr>
              <w:t>$</w:t>
            </w:r>
            <w:r w:rsidR="003772B2">
              <w:rPr>
                <w:b/>
                <w:noProof/>
                <w:color w:val="000000"/>
                <w:highlight w:val="black"/>
              </w:rPr>
              <w:t>'''''''''''''''</w:t>
            </w:r>
          </w:p>
        </w:tc>
      </w:tr>
      <w:tr w:rsidR="00521BCE" w:rsidRPr="00F17A66" w:rsidTr="00B579E0">
        <w:trPr>
          <w:trHeight w:val="20"/>
        </w:trPr>
        <w:tc>
          <w:tcPr>
            <w:tcW w:w="5000" w:type="pct"/>
            <w:gridSpan w:val="4"/>
            <w:vAlign w:val="center"/>
          </w:tcPr>
          <w:p w:rsidR="00521BCE" w:rsidRPr="00F17A66" w:rsidRDefault="007D6EF8" w:rsidP="00E34529">
            <w:pPr>
              <w:keepNext/>
              <w:widowControl/>
              <w:jc w:val="left"/>
              <w:rPr>
                <w:rFonts w:ascii="Arial Narrow" w:hAnsi="Arial Narrow" w:cs="Arial Narrow"/>
                <w:b/>
                <w:bCs/>
                <w:sz w:val="20"/>
              </w:rPr>
            </w:pPr>
            <w:r>
              <w:rPr>
                <w:rFonts w:ascii="Arial Narrow" w:hAnsi="Arial Narrow" w:cs="Arial Narrow"/>
                <w:b/>
                <w:bCs/>
                <w:sz w:val="20"/>
              </w:rPr>
              <w:t>Step 5</w:t>
            </w:r>
            <w:r w:rsidR="00521BCE" w:rsidRPr="00F17A66">
              <w:rPr>
                <w:rFonts w:ascii="Arial Narrow" w:hAnsi="Arial Narrow" w:cs="Arial Narrow"/>
                <w:b/>
                <w:bCs/>
                <w:sz w:val="20"/>
              </w:rPr>
              <w:t>: modelled evaluation (</w:t>
            </w:r>
            <w:r w:rsidR="003772B2">
              <w:rPr>
                <w:rFonts w:ascii="Arial Narrow" w:hAnsi="Arial Narrow" w:cs="Arial Narrow"/>
                <w:b/>
                <w:bCs/>
                <w:noProof/>
                <w:color w:val="000000"/>
                <w:sz w:val="20"/>
                <w:highlight w:val="black"/>
              </w:rPr>
              <w:t>'''''</w:t>
            </w:r>
            <w:r w:rsidR="00521BCE" w:rsidRPr="00F17A66">
              <w:rPr>
                <w:rFonts w:ascii="Arial Narrow" w:hAnsi="Arial Narrow" w:cs="Arial Narrow"/>
                <w:b/>
                <w:bCs/>
                <w:sz w:val="20"/>
              </w:rPr>
              <w:t xml:space="preserve">% discount on ex-manufacturer price of </w:t>
            </w:r>
            <w:proofErr w:type="spellStart"/>
            <w:r w:rsidR="00521BCE" w:rsidRPr="00F17A66">
              <w:rPr>
                <w:rFonts w:ascii="Arial Narrow" w:hAnsi="Arial Narrow" w:cs="Arial Narrow"/>
                <w:b/>
                <w:bCs/>
                <w:sz w:val="20"/>
              </w:rPr>
              <w:t>obinutuzumab</w:t>
            </w:r>
            <w:proofErr w:type="spellEnd"/>
            <w:r w:rsidR="00521BCE" w:rsidRPr="00F17A66">
              <w:rPr>
                <w:rFonts w:ascii="Arial Narrow" w:hAnsi="Arial Narrow" w:cs="Arial Narrow"/>
                <w:b/>
                <w:bCs/>
                <w:sz w:val="20"/>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Costs</w:t>
            </w:r>
          </w:p>
        </w:tc>
        <w:tc>
          <w:tcPr>
            <w:tcW w:w="1186"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187" w:type="pct"/>
            <w:vAlign w:val="center"/>
          </w:tcPr>
          <w:p w:rsidR="00521BCE" w:rsidRPr="00F17A66" w:rsidRDefault="00521BCE" w:rsidP="00E34529">
            <w:pPr>
              <w:pStyle w:val="Tabletext"/>
              <w:keepNext/>
              <w:jc w:val="right"/>
            </w:pPr>
            <w:r w:rsidRPr="00F17A66">
              <w:t>$</w:t>
            </w:r>
            <w:r w:rsidR="003772B2">
              <w:rPr>
                <w:noProof/>
                <w:color w:val="000000"/>
                <w:highlight w:val="black"/>
              </w:rPr>
              <w:t>''''''''''''''''</w:t>
            </w:r>
          </w:p>
        </w:tc>
        <w:tc>
          <w:tcPr>
            <w:tcW w:w="1525" w:type="pct"/>
          </w:tcPr>
          <w:p w:rsidR="00521BCE" w:rsidRPr="00F17A66" w:rsidRDefault="00521BCE" w:rsidP="00E34529">
            <w:pPr>
              <w:pStyle w:val="Tabletext"/>
              <w:keepNext/>
              <w:jc w:val="right"/>
            </w:pPr>
            <w:r w:rsidRPr="00F17A66">
              <w:t>$</w:t>
            </w:r>
            <w:r w:rsidR="003772B2">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LYG</w:t>
            </w:r>
          </w:p>
        </w:tc>
        <w:tc>
          <w:tcPr>
            <w:tcW w:w="1186"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187"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20"/>
        </w:trPr>
        <w:tc>
          <w:tcPr>
            <w:tcW w:w="1102" w:type="pct"/>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sz w:val="20"/>
              </w:rPr>
              <w:t>QALY</w:t>
            </w:r>
          </w:p>
        </w:tc>
        <w:tc>
          <w:tcPr>
            <w:tcW w:w="1186"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187" w:type="pct"/>
            <w:vAlign w:val="center"/>
          </w:tcPr>
          <w:p w:rsidR="00521BCE" w:rsidRPr="003772B2" w:rsidRDefault="003772B2" w:rsidP="00E34529">
            <w:pPr>
              <w:pStyle w:val="Tabletext"/>
              <w:keepNext/>
              <w:jc w:val="center"/>
              <w:rPr>
                <w:highlight w:val="black"/>
              </w:rPr>
            </w:pPr>
            <w:r>
              <w:rPr>
                <w:noProof/>
                <w:color w:val="000000"/>
                <w:highlight w:val="black"/>
              </w:rPr>
              <w:t>''''''''''</w:t>
            </w:r>
          </w:p>
        </w:tc>
        <w:tc>
          <w:tcPr>
            <w:tcW w:w="1525" w:type="pct"/>
          </w:tcPr>
          <w:p w:rsidR="00521BCE" w:rsidRPr="003772B2" w:rsidRDefault="003772B2" w:rsidP="00E34529">
            <w:pPr>
              <w:pStyle w:val="Tabletext"/>
              <w:keepNext/>
              <w:jc w:val="center"/>
              <w:rPr>
                <w:highlight w:val="black"/>
              </w:rPr>
            </w:pPr>
            <w:r>
              <w:rPr>
                <w:noProof/>
                <w:color w:val="000000"/>
                <w:highlight w:val="black"/>
              </w:rPr>
              <w:t>''''''''''</w:t>
            </w:r>
          </w:p>
        </w:tc>
      </w:tr>
      <w:tr w:rsidR="00521BCE" w:rsidRPr="00F17A66" w:rsidTr="00B579E0">
        <w:trPr>
          <w:trHeight w:val="115"/>
        </w:trPr>
        <w:tc>
          <w:tcPr>
            <w:tcW w:w="3475" w:type="pct"/>
            <w:gridSpan w:val="3"/>
            <w:vAlign w:val="center"/>
          </w:tcPr>
          <w:p w:rsidR="00521BCE" w:rsidRPr="00F17A66" w:rsidRDefault="00521BCE" w:rsidP="00E34529">
            <w:pPr>
              <w:keepNext/>
              <w:widowControl/>
              <w:jc w:val="left"/>
              <w:rPr>
                <w:rFonts w:ascii="Arial Narrow" w:hAnsi="Arial Narrow" w:cs="Times New Roman"/>
                <w:b/>
                <w:snapToGrid/>
                <w:sz w:val="20"/>
              </w:rPr>
            </w:pPr>
            <w:r w:rsidRPr="00F17A66">
              <w:rPr>
                <w:rFonts w:ascii="Arial Narrow" w:hAnsi="Arial Narrow" w:cs="Times New Roman"/>
                <w:b/>
                <w:snapToGrid/>
                <w:sz w:val="20"/>
              </w:rPr>
              <w:t>Incremental cost/LYG</w:t>
            </w:r>
          </w:p>
        </w:tc>
        <w:tc>
          <w:tcPr>
            <w:tcW w:w="1525" w:type="pct"/>
          </w:tcPr>
          <w:p w:rsidR="00521BCE" w:rsidRPr="00F17A66" w:rsidRDefault="00521BCE" w:rsidP="00E34529">
            <w:pPr>
              <w:pStyle w:val="Tabletext"/>
              <w:keepNext/>
              <w:jc w:val="right"/>
              <w:rPr>
                <w:b/>
              </w:rPr>
            </w:pPr>
            <w:r w:rsidRPr="00F17A66">
              <w:rPr>
                <w:b/>
              </w:rPr>
              <w:t>$</w:t>
            </w:r>
            <w:r w:rsidR="003772B2">
              <w:rPr>
                <w:b/>
                <w:noProof/>
                <w:color w:val="000000"/>
                <w:highlight w:val="black"/>
              </w:rPr>
              <w:t>''''''''''''''</w:t>
            </w:r>
          </w:p>
        </w:tc>
      </w:tr>
      <w:tr w:rsidR="00521BCE" w:rsidRPr="00F17A66" w:rsidTr="00B579E0">
        <w:trPr>
          <w:trHeight w:val="20"/>
        </w:trPr>
        <w:tc>
          <w:tcPr>
            <w:tcW w:w="3475" w:type="pct"/>
            <w:gridSpan w:val="3"/>
            <w:vAlign w:val="center"/>
          </w:tcPr>
          <w:p w:rsidR="00521BCE" w:rsidRPr="00F17A66" w:rsidRDefault="00521BCE" w:rsidP="00E34529">
            <w:pPr>
              <w:keepNext/>
              <w:widowControl/>
              <w:jc w:val="left"/>
              <w:rPr>
                <w:rFonts w:ascii="Arial Narrow" w:hAnsi="Arial Narrow" w:cs="Times New Roman"/>
                <w:sz w:val="20"/>
              </w:rPr>
            </w:pPr>
            <w:r w:rsidRPr="00F17A66">
              <w:rPr>
                <w:rFonts w:ascii="Arial Narrow" w:hAnsi="Arial Narrow" w:cs="Times New Roman"/>
                <w:b/>
                <w:snapToGrid/>
                <w:sz w:val="20"/>
              </w:rPr>
              <w:t>Incremental cost/QALY</w:t>
            </w:r>
          </w:p>
        </w:tc>
        <w:tc>
          <w:tcPr>
            <w:tcW w:w="1525" w:type="pct"/>
          </w:tcPr>
          <w:p w:rsidR="00521BCE" w:rsidRPr="00F17A66" w:rsidRDefault="00521BCE" w:rsidP="00E34529">
            <w:pPr>
              <w:pStyle w:val="Tabletext"/>
              <w:keepNext/>
              <w:jc w:val="right"/>
              <w:rPr>
                <w:b/>
              </w:rPr>
            </w:pPr>
            <w:r w:rsidRPr="00F17A66">
              <w:rPr>
                <w:b/>
              </w:rPr>
              <w:t>$</w:t>
            </w:r>
            <w:r w:rsidR="003772B2">
              <w:rPr>
                <w:b/>
                <w:noProof/>
                <w:color w:val="000000"/>
                <w:highlight w:val="black"/>
              </w:rPr>
              <w:t>'''''''''''''</w:t>
            </w:r>
          </w:p>
        </w:tc>
      </w:tr>
    </w:tbl>
    <w:p w:rsidR="00521BCE" w:rsidRPr="00F17A66" w:rsidRDefault="00521BCE" w:rsidP="00B579E0">
      <w:pPr>
        <w:pStyle w:val="TableFooter"/>
        <w:keepNext/>
        <w:widowControl/>
        <w:ind w:left="720"/>
      </w:pPr>
      <w:r w:rsidRPr="00F17A66">
        <w:t>Source: Section D.5, pp17-20 of Section D of the submission and the Economic evaluation workbook.xlsx</w:t>
      </w:r>
    </w:p>
    <w:p w:rsidR="00521BCE" w:rsidRPr="00F17A66" w:rsidRDefault="00521BCE" w:rsidP="00B579E0">
      <w:pPr>
        <w:pStyle w:val="TableFooter"/>
        <w:keepNext/>
        <w:widowControl/>
        <w:ind w:left="720"/>
      </w:pPr>
      <w:r w:rsidRPr="00F17A66">
        <w:t xml:space="preserve">AE= adverse event; LYG = life years gained; MRU = medical resource usage; O-Benda = </w:t>
      </w:r>
      <w:proofErr w:type="spellStart"/>
      <w:r w:rsidRPr="00F17A66">
        <w:t>obinutuzumab-bendamustine</w:t>
      </w:r>
      <w:proofErr w:type="spellEnd"/>
      <w:r w:rsidRPr="00F17A66">
        <w:t xml:space="preserve">; </w:t>
      </w:r>
      <w:r w:rsidR="00B71DA1" w:rsidRPr="00F17A66">
        <w:t xml:space="preserve">PFS = progression-free survival; </w:t>
      </w:r>
      <w:r w:rsidRPr="00F17A66">
        <w:t>QALY = quality-adjusted life year</w:t>
      </w:r>
      <w:r w:rsidR="00271E6E">
        <w:t>; BSC = best supportive care</w:t>
      </w:r>
    </w:p>
    <w:p w:rsidR="00521BCE" w:rsidRPr="00F17A66" w:rsidRDefault="00521BCE" w:rsidP="00462BD0">
      <w:pPr>
        <w:keepNext/>
        <w:widowControl/>
        <w:ind w:firstLine="720"/>
        <w:rPr>
          <w:rStyle w:val="CommentReference"/>
        </w:rPr>
      </w:pPr>
    </w:p>
    <w:p w:rsidR="00D110BD" w:rsidRPr="00F17A66" w:rsidRDefault="00D110BD" w:rsidP="00D110BD">
      <w:pPr>
        <w:widowControl/>
        <w:rPr>
          <w:szCs w:val="22"/>
        </w:rPr>
      </w:pPr>
    </w:p>
    <w:p w:rsidR="00EF238F" w:rsidRPr="00501C33" w:rsidRDefault="00D41E83" w:rsidP="005D5FF8">
      <w:pPr>
        <w:pStyle w:val="ListParagraph"/>
        <w:widowControl/>
        <w:numPr>
          <w:ilvl w:val="1"/>
          <w:numId w:val="1"/>
        </w:numPr>
        <w:ind w:left="709"/>
      </w:pPr>
      <w:r w:rsidRPr="00F17A66">
        <w:t xml:space="preserve">The submission estimated that </w:t>
      </w:r>
      <w:proofErr w:type="spellStart"/>
      <w:r w:rsidRPr="00F17A66">
        <w:t>obinutuzumab</w:t>
      </w:r>
      <w:proofErr w:type="spellEnd"/>
      <w:r w:rsidRPr="00F17A66">
        <w:t xml:space="preserve"> plus </w:t>
      </w:r>
      <w:proofErr w:type="spellStart"/>
      <w:r w:rsidRPr="00F17A66">
        <w:t>bendamustine</w:t>
      </w:r>
      <w:proofErr w:type="spellEnd"/>
      <w:r w:rsidRPr="00F17A66">
        <w:t xml:space="preserve"> therapy would result in a discounted </w:t>
      </w:r>
      <w:r w:rsidR="0090285D">
        <w:t>ICER</w:t>
      </w:r>
      <w:r w:rsidRPr="00F17A66">
        <w:t xml:space="preserve"> of </w:t>
      </w:r>
      <w:r w:rsidR="008511BD">
        <w:t>$45,000 - $75,000</w:t>
      </w:r>
      <w:r w:rsidRPr="00F17A66">
        <w:t xml:space="preserve"> per quality-adjusted life year</w:t>
      </w:r>
      <w:r w:rsidR="00FF05F7">
        <w:t xml:space="preserve"> gained</w:t>
      </w:r>
      <w:r w:rsidRPr="00F17A66">
        <w:t xml:space="preserve">. </w:t>
      </w:r>
      <w:r w:rsidR="00A656AC" w:rsidRPr="00501C33">
        <w:t xml:space="preserve">The results from the economic model were uncertain and likely to be underestimated, due to the </w:t>
      </w:r>
      <w:r w:rsidR="00EF238F" w:rsidRPr="00501C33">
        <w:t>following assump</w:t>
      </w:r>
      <w:r w:rsidR="00581824">
        <w:t>tions:</w:t>
      </w:r>
    </w:p>
    <w:p w:rsidR="00EF238F" w:rsidRPr="004D7FA8" w:rsidRDefault="00EF238F" w:rsidP="004D7FA8">
      <w:pPr>
        <w:pStyle w:val="ListParagraph"/>
        <w:widowControl/>
        <w:numPr>
          <w:ilvl w:val="0"/>
          <w:numId w:val="12"/>
        </w:numPr>
        <w:ind w:left="1134"/>
      </w:pPr>
      <w:r w:rsidRPr="00501C33">
        <w:t xml:space="preserve">The extrapolation of </w:t>
      </w:r>
      <w:r w:rsidR="003634EF">
        <w:t>PFS</w:t>
      </w:r>
      <w:r w:rsidRPr="00501C33">
        <w:t xml:space="preserve"> from a median follow-up of 24.1 months to the 15 year time horizon through fitting parametric models necessitated caution in interpretation of model results, as the external validity of the extrapolation was not evaluated in the submission</w:t>
      </w:r>
      <w:r w:rsidRPr="000517CE">
        <w:rPr>
          <w:i/>
        </w:rPr>
        <w:t>.</w:t>
      </w:r>
    </w:p>
    <w:p w:rsidR="00EF238F" w:rsidRDefault="00EF238F" w:rsidP="005D5FF8">
      <w:pPr>
        <w:pStyle w:val="ListParagraph"/>
        <w:widowControl/>
        <w:numPr>
          <w:ilvl w:val="0"/>
          <w:numId w:val="12"/>
        </w:numPr>
        <w:ind w:left="1134"/>
      </w:pPr>
      <w:r w:rsidRPr="00501C33">
        <w:t xml:space="preserve">Survival benefits from </w:t>
      </w:r>
      <w:proofErr w:type="spellStart"/>
      <w:r w:rsidRPr="00501C33">
        <w:t>obinutuzumab</w:t>
      </w:r>
      <w:proofErr w:type="spellEnd"/>
      <w:r w:rsidRPr="00501C33">
        <w:t xml:space="preserve"> plus </w:t>
      </w:r>
      <w:proofErr w:type="spellStart"/>
      <w:r w:rsidRPr="00501C33">
        <w:t>bendamustine</w:t>
      </w:r>
      <w:proofErr w:type="spellEnd"/>
      <w:r w:rsidRPr="00501C33">
        <w:t xml:space="preserve"> were assumed to continue despite a maximum allowable treatment of 2.5 years</w:t>
      </w:r>
      <w:r w:rsidR="00800DBF" w:rsidRPr="00501C33">
        <w:t>.</w:t>
      </w:r>
    </w:p>
    <w:p w:rsidR="00BC3D6C" w:rsidRPr="005D5FF8" w:rsidRDefault="00BC3D6C" w:rsidP="00880E65">
      <w:pPr>
        <w:pStyle w:val="ListParagraph"/>
        <w:widowControl/>
        <w:numPr>
          <w:ilvl w:val="0"/>
          <w:numId w:val="12"/>
        </w:numPr>
        <w:ind w:left="1134" w:hanging="283"/>
      </w:pPr>
      <w:r w:rsidRPr="005D5FF8">
        <w:rPr>
          <w:szCs w:val="22"/>
        </w:rPr>
        <w:t xml:space="preserve">The PSCR </w:t>
      </w:r>
      <w:r w:rsidR="006A4A8B" w:rsidRPr="005D5FF8">
        <w:rPr>
          <w:szCs w:val="22"/>
        </w:rPr>
        <w:t xml:space="preserve">(p4) </w:t>
      </w:r>
      <w:r w:rsidRPr="005D5FF8">
        <w:rPr>
          <w:szCs w:val="22"/>
        </w:rPr>
        <w:t xml:space="preserve">maintained that the 15.4 month PFS gain (May 2015 cut-off) for patients treated with </w:t>
      </w:r>
      <w:proofErr w:type="spellStart"/>
      <w:r w:rsidRPr="005D5FF8">
        <w:rPr>
          <w:szCs w:val="22"/>
        </w:rPr>
        <w:t>obinutuzumab</w:t>
      </w:r>
      <w:proofErr w:type="spellEnd"/>
      <w:r w:rsidRPr="005D5FF8">
        <w:rPr>
          <w:szCs w:val="22"/>
        </w:rPr>
        <w:t xml:space="preserve"> plus </w:t>
      </w:r>
      <w:proofErr w:type="spellStart"/>
      <w:r w:rsidRPr="005D5FF8">
        <w:rPr>
          <w:szCs w:val="22"/>
        </w:rPr>
        <w:t>bendamustine</w:t>
      </w:r>
      <w:proofErr w:type="spellEnd"/>
      <w:r w:rsidRPr="005D5FF8">
        <w:rPr>
          <w:szCs w:val="22"/>
        </w:rPr>
        <w:t xml:space="preserve"> compared with </w:t>
      </w:r>
      <w:proofErr w:type="spellStart"/>
      <w:r w:rsidRPr="005D5FF8">
        <w:rPr>
          <w:szCs w:val="22"/>
        </w:rPr>
        <w:t>bendamustine</w:t>
      </w:r>
      <w:proofErr w:type="spellEnd"/>
      <w:r w:rsidRPr="005D5FF8">
        <w:rPr>
          <w:szCs w:val="22"/>
        </w:rPr>
        <w:t xml:space="preserve"> monotherapy was likely to translate into a sustained gain in </w:t>
      </w:r>
      <w:r w:rsidR="003634EF">
        <w:rPr>
          <w:szCs w:val="22"/>
        </w:rPr>
        <w:t>OS</w:t>
      </w:r>
      <w:r w:rsidRPr="005D5FF8">
        <w:rPr>
          <w:szCs w:val="22"/>
        </w:rPr>
        <w:t xml:space="preserve">. The PSCR also provided evidence in support of extended </w:t>
      </w:r>
      <w:r w:rsidR="003634EF">
        <w:rPr>
          <w:szCs w:val="22"/>
        </w:rPr>
        <w:t>OS</w:t>
      </w:r>
      <w:r w:rsidRPr="005D5FF8">
        <w:rPr>
          <w:szCs w:val="22"/>
        </w:rPr>
        <w:t xml:space="preserve"> attributed to other anti-CD20 therapies over time, including one study comparing rituximab in </w:t>
      </w:r>
      <w:r w:rsidRPr="005D5FF8">
        <w:rPr>
          <w:szCs w:val="22"/>
        </w:rPr>
        <w:lastRenderedPageBreak/>
        <w:t xml:space="preserve">combination with </w:t>
      </w:r>
      <w:proofErr w:type="spellStart"/>
      <w:r w:rsidRPr="005D5FF8">
        <w:rPr>
          <w:szCs w:val="22"/>
        </w:rPr>
        <w:t>fludarabine</w:t>
      </w:r>
      <w:proofErr w:type="spellEnd"/>
      <w:r w:rsidRPr="005D5FF8">
        <w:rPr>
          <w:szCs w:val="22"/>
        </w:rPr>
        <w:t xml:space="preserve"> and cyclophosphamide compared with </w:t>
      </w:r>
      <w:proofErr w:type="spellStart"/>
      <w:r w:rsidRPr="005D5FF8">
        <w:rPr>
          <w:szCs w:val="22"/>
        </w:rPr>
        <w:t>fludarabine</w:t>
      </w:r>
      <w:proofErr w:type="spellEnd"/>
      <w:r w:rsidRPr="005D5FF8">
        <w:rPr>
          <w:szCs w:val="22"/>
        </w:rPr>
        <w:t xml:space="preserve"> plus cyclophosphamide only. </w:t>
      </w:r>
      <w:r w:rsidR="00880E65" w:rsidRPr="00880E65">
        <w:rPr>
          <w:szCs w:val="22"/>
        </w:rPr>
        <w:t xml:space="preserve">The PBAC noted that the </w:t>
      </w:r>
      <w:r w:rsidR="00880E65">
        <w:rPr>
          <w:szCs w:val="22"/>
        </w:rPr>
        <w:t>rituximab trial referred to in the PSCR</w:t>
      </w:r>
      <w:r w:rsidR="00880E65" w:rsidRPr="00880E65">
        <w:rPr>
          <w:szCs w:val="22"/>
        </w:rPr>
        <w:t xml:space="preserve"> was</w:t>
      </w:r>
      <w:r w:rsidR="00997E0E">
        <w:rPr>
          <w:szCs w:val="22"/>
        </w:rPr>
        <w:t xml:space="preserve"> conducted in a population of patients receiving</w:t>
      </w:r>
      <w:r w:rsidR="00880E65" w:rsidRPr="00880E65">
        <w:rPr>
          <w:szCs w:val="22"/>
        </w:rPr>
        <w:t xml:space="preserve"> first-line treatment, and that a</w:t>
      </w:r>
      <w:r w:rsidR="00997E0E">
        <w:rPr>
          <w:szCs w:val="22"/>
        </w:rPr>
        <w:t xml:space="preserve"> statistically significant</w:t>
      </w:r>
      <w:r w:rsidR="00880E65" w:rsidRPr="00880E65">
        <w:rPr>
          <w:szCs w:val="22"/>
        </w:rPr>
        <w:t xml:space="preserve"> difference in response rates had been observed at the end of induction. In contrast, </w:t>
      </w:r>
      <w:r w:rsidR="00997E0E">
        <w:rPr>
          <w:szCs w:val="22"/>
        </w:rPr>
        <w:t xml:space="preserve">patients </w:t>
      </w:r>
      <w:r w:rsidR="00880E65" w:rsidRPr="00880E65">
        <w:rPr>
          <w:szCs w:val="22"/>
        </w:rPr>
        <w:t xml:space="preserve">in </w:t>
      </w:r>
      <w:r w:rsidR="00997E0E">
        <w:rPr>
          <w:szCs w:val="22"/>
        </w:rPr>
        <w:t xml:space="preserve">the </w:t>
      </w:r>
      <w:r w:rsidR="00880E65" w:rsidRPr="00880E65">
        <w:rPr>
          <w:szCs w:val="22"/>
        </w:rPr>
        <w:t>GADOLIN</w:t>
      </w:r>
      <w:r w:rsidR="00997E0E">
        <w:rPr>
          <w:szCs w:val="22"/>
        </w:rPr>
        <w:t xml:space="preserve"> trial had received prior treatments</w:t>
      </w:r>
      <w:r w:rsidR="00880E65" w:rsidRPr="00880E65">
        <w:rPr>
          <w:szCs w:val="22"/>
        </w:rPr>
        <w:t xml:space="preserve">, and combination therapy did not induce a higher response rate. Further, in </w:t>
      </w:r>
      <w:r w:rsidR="00FB66B8">
        <w:rPr>
          <w:szCs w:val="22"/>
        </w:rPr>
        <w:t xml:space="preserve">a </w:t>
      </w:r>
      <w:r w:rsidR="00FF05F7">
        <w:rPr>
          <w:szCs w:val="22"/>
        </w:rPr>
        <w:t xml:space="preserve">trial of </w:t>
      </w:r>
      <w:r w:rsidR="00FB66B8">
        <w:rPr>
          <w:szCs w:val="22"/>
        </w:rPr>
        <w:t xml:space="preserve">rituximab </w:t>
      </w:r>
      <w:r w:rsidR="00880E65" w:rsidRPr="00880E65">
        <w:rPr>
          <w:szCs w:val="22"/>
        </w:rPr>
        <w:t>maintenance in relapsed or refractory lymphoma</w:t>
      </w:r>
      <w:r w:rsidR="00FB66B8">
        <w:rPr>
          <w:szCs w:val="22"/>
        </w:rPr>
        <w:t xml:space="preserve"> with mature follow-up data</w:t>
      </w:r>
      <w:r w:rsidR="00880E65" w:rsidRPr="00880E65">
        <w:rPr>
          <w:szCs w:val="22"/>
        </w:rPr>
        <w:t xml:space="preserve">, </w:t>
      </w:r>
      <w:r w:rsidR="00FB66B8" w:rsidRPr="00FB66B8">
        <w:rPr>
          <w:szCs w:val="22"/>
          <w:lang w:val="en-US"/>
        </w:rPr>
        <w:t xml:space="preserve">convergence </w:t>
      </w:r>
      <w:r w:rsidR="009A1F49">
        <w:rPr>
          <w:szCs w:val="22"/>
          <w:lang w:val="en-US"/>
        </w:rPr>
        <w:t xml:space="preserve">of PFS and OS curves </w:t>
      </w:r>
      <w:r w:rsidR="00FB66B8" w:rsidRPr="00FB66B8">
        <w:rPr>
          <w:szCs w:val="22"/>
          <w:lang w:val="en-US"/>
        </w:rPr>
        <w:t xml:space="preserve">occurred within </w:t>
      </w:r>
      <w:r w:rsidR="00931946">
        <w:rPr>
          <w:szCs w:val="22"/>
          <w:lang w:val="en-US"/>
        </w:rPr>
        <w:t>three</w:t>
      </w:r>
      <w:r w:rsidR="00FB66B8" w:rsidRPr="00FB66B8">
        <w:rPr>
          <w:szCs w:val="22"/>
          <w:lang w:val="en-US"/>
        </w:rPr>
        <w:t xml:space="preserve"> years</w:t>
      </w:r>
      <w:r w:rsidR="00D04692">
        <w:rPr>
          <w:szCs w:val="22"/>
          <w:lang w:val="en-US"/>
        </w:rPr>
        <w:t xml:space="preserve"> after the cessation of </w:t>
      </w:r>
      <w:r w:rsidR="00FB66B8" w:rsidRPr="00FB66B8">
        <w:rPr>
          <w:szCs w:val="22"/>
          <w:lang w:val="en-US"/>
        </w:rPr>
        <w:t>maintenance</w:t>
      </w:r>
      <w:r w:rsidR="00D04692">
        <w:rPr>
          <w:szCs w:val="22"/>
          <w:lang w:val="en-US"/>
        </w:rPr>
        <w:t xml:space="preserve"> therap</w:t>
      </w:r>
      <w:r w:rsidR="00D04692" w:rsidRPr="00FE789D">
        <w:rPr>
          <w:szCs w:val="22"/>
          <w:lang w:val="en-US"/>
        </w:rPr>
        <w:t>y</w:t>
      </w:r>
      <w:r w:rsidR="00FB66B8" w:rsidRPr="00FE789D">
        <w:rPr>
          <w:rStyle w:val="FootnoteReference"/>
          <w:szCs w:val="22"/>
          <w:lang w:val="en-US"/>
        </w:rPr>
        <w:footnoteReference w:id="6"/>
      </w:r>
      <w:r w:rsidR="00FB66B8" w:rsidRPr="00FE789D">
        <w:rPr>
          <w:szCs w:val="22"/>
          <w:lang w:val="en-US"/>
        </w:rPr>
        <w:t>.</w:t>
      </w:r>
    </w:p>
    <w:p w:rsidR="00EF238F" w:rsidRPr="00F42740" w:rsidRDefault="00EF238F" w:rsidP="005D5FF8">
      <w:pPr>
        <w:pStyle w:val="ListParagraph"/>
        <w:widowControl/>
        <w:numPr>
          <w:ilvl w:val="0"/>
          <w:numId w:val="12"/>
        </w:numPr>
        <w:ind w:left="1134"/>
        <w:rPr>
          <w:i/>
        </w:rPr>
      </w:pPr>
      <w:r w:rsidRPr="00501C33">
        <w:t xml:space="preserve">Costs associated with patients in different health states, treatment cessation and monitoring were not included in the model. </w:t>
      </w:r>
      <w:r w:rsidR="00F42740" w:rsidRPr="005D5FF8">
        <w:t xml:space="preserve">The PSCR </w:t>
      </w:r>
      <w:r w:rsidR="006A4A8B" w:rsidRPr="005D5FF8">
        <w:t xml:space="preserve">(p4) </w:t>
      </w:r>
      <w:r w:rsidR="000517CE" w:rsidRPr="005D5FF8">
        <w:t>stated</w:t>
      </w:r>
      <w:r w:rsidR="00F42740" w:rsidRPr="005D5FF8">
        <w:t xml:space="preserve"> that the submission conservatively omitted such costs as they were not significant drivers of the model, </w:t>
      </w:r>
      <w:r w:rsidR="00223D55" w:rsidRPr="005D5FF8">
        <w:t>and would bias</w:t>
      </w:r>
      <w:r w:rsidR="00F42740" w:rsidRPr="005D5FF8">
        <w:t xml:space="preserve"> the analysis against </w:t>
      </w:r>
      <w:proofErr w:type="spellStart"/>
      <w:r w:rsidR="00F42740" w:rsidRPr="005D5FF8">
        <w:t>obinutuzumab</w:t>
      </w:r>
      <w:proofErr w:type="spellEnd"/>
      <w:r w:rsidR="00F42740" w:rsidRPr="005D5FF8">
        <w:t xml:space="preserve"> plus </w:t>
      </w:r>
      <w:proofErr w:type="spellStart"/>
      <w:r w:rsidR="00F42740" w:rsidRPr="005D5FF8">
        <w:t>bendamustine</w:t>
      </w:r>
      <w:proofErr w:type="spellEnd"/>
      <w:r w:rsidR="00F42740" w:rsidRPr="005D5FF8">
        <w:t xml:space="preserve"> as these costs were incurred earlier in the control arm.</w:t>
      </w:r>
      <w:r w:rsidR="009A1F49">
        <w:t xml:space="preserve"> The PBAC considered that it was ina</w:t>
      </w:r>
      <w:r w:rsidR="00FE789D">
        <w:t>ppropriate to apply</w:t>
      </w:r>
      <w:r w:rsidR="009A1F49">
        <w:t xml:space="preserve"> the </w:t>
      </w:r>
      <w:r w:rsidR="00FF05F7">
        <w:t xml:space="preserve">PBS </w:t>
      </w:r>
      <w:r w:rsidR="009A1F49">
        <w:t xml:space="preserve">cost of </w:t>
      </w:r>
      <w:proofErr w:type="spellStart"/>
      <w:r w:rsidR="009A1F49">
        <w:t>bendamustine</w:t>
      </w:r>
      <w:proofErr w:type="spellEnd"/>
      <w:r w:rsidR="00FE789D">
        <w:t xml:space="preserve"> in the economic model</w:t>
      </w:r>
      <w:r w:rsidR="009A1F49">
        <w:t>, given that it is not PBS-subsidised for r</w:t>
      </w:r>
      <w:r w:rsidR="00FE789D">
        <w:t>ituximab-refractory</w:t>
      </w:r>
      <w:r w:rsidR="009A1F49">
        <w:t xml:space="preserve"> follicular l</w:t>
      </w:r>
      <w:r w:rsidR="00FE789D">
        <w:t>ymphoma</w:t>
      </w:r>
      <w:r w:rsidR="00FF05F7">
        <w:t>,</w:t>
      </w:r>
      <w:r w:rsidR="00FE789D">
        <w:t xml:space="preserve"> and </w:t>
      </w:r>
      <w:r w:rsidR="00FF05F7">
        <w:t xml:space="preserve">noted it </w:t>
      </w:r>
      <w:r w:rsidR="00FE789D">
        <w:t>is more costly than</w:t>
      </w:r>
      <w:r w:rsidR="009A1F49">
        <w:t xml:space="preserve"> PBS-subsidised</w:t>
      </w:r>
      <w:r w:rsidR="00FE789D">
        <w:t xml:space="preserve"> best supportive care such as</w:t>
      </w:r>
      <w:r w:rsidR="009A1F49">
        <w:t xml:space="preserve"> chemotherapy</w:t>
      </w:r>
      <w:r w:rsidR="00323EDB">
        <w:t>. Therefore</w:t>
      </w:r>
      <w:r w:rsidR="009A1F49">
        <w:t>, the PBAC considered t</w:t>
      </w:r>
      <w:r w:rsidR="00FE789D">
        <w:t>hat a more appropriate proxy</w:t>
      </w:r>
      <w:r w:rsidR="009A1F49">
        <w:t xml:space="preserve"> for </w:t>
      </w:r>
      <w:r w:rsidR="00FE789D">
        <w:t xml:space="preserve">the </w:t>
      </w:r>
      <w:r w:rsidR="009A1F49">
        <w:t>cost</w:t>
      </w:r>
      <w:r w:rsidR="00FE789D">
        <w:t xml:space="preserve"> of</w:t>
      </w:r>
      <w:r w:rsidR="009A1F49">
        <w:t xml:space="preserve"> best</w:t>
      </w:r>
      <w:r w:rsidR="00581824">
        <w:t xml:space="preserve"> supportive care would be </w:t>
      </w:r>
      <w:proofErr w:type="gramStart"/>
      <w:r w:rsidR="00581824">
        <w:t>CHOP</w:t>
      </w:r>
      <w:proofErr w:type="gramEnd"/>
      <w:r w:rsidR="00581824">
        <w:t>.</w:t>
      </w:r>
    </w:p>
    <w:p w:rsidR="00A86E8B" w:rsidRPr="00501C33" w:rsidRDefault="00A86E8B" w:rsidP="00EF238F">
      <w:pPr>
        <w:widowControl/>
        <w:rPr>
          <w:szCs w:val="22"/>
        </w:rPr>
      </w:pPr>
    </w:p>
    <w:p w:rsidR="004653C0" w:rsidRPr="00501C33" w:rsidRDefault="00161281" w:rsidP="005D5FF8">
      <w:pPr>
        <w:pStyle w:val="ListParagraph"/>
        <w:widowControl/>
        <w:numPr>
          <w:ilvl w:val="1"/>
          <w:numId w:val="1"/>
        </w:numPr>
      </w:pPr>
      <w:r w:rsidRPr="00501C33">
        <w:rPr>
          <w:szCs w:val="22"/>
        </w:rPr>
        <w:t>T</w:t>
      </w:r>
      <w:r w:rsidR="00A656AC" w:rsidRPr="00501C33">
        <w:rPr>
          <w:szCs w:val="22"/>
        </w:rPr>
        <w:t>he following t</w:t>
      </w:r>
      <w:r w:rsidRPr="00501C33">
        <w:rPr>
          <w:szCs w:val="22"/>
        </w:rPr>
        <w:t>able presents the</w:t>
      </w:r>
      <w:r w:rsidR="00BA3664" w:rsidRPr="00501C33">
        <w:rPr>
          <w:szCs w:val="22"/>
        </w:rPr>
        <w:t xml:space="preserve"> sensitivity analysis presented in the submission, and additional analyses performed </w:t>
      </w:r>
      <w:r w:rsidRPr="00501C33">
        <w:rPr>
          <w:szCs w:val="22"/>
        </w:rPr>
        <w:t>during the evaluation</w:t>
      </w:r>
      <w:r w:rsidR="00BA3664" w:rsidRPr="00501C33">
        <w:rPr>
          <w:szCs w:val="22"/>
        </w:rPr>
        <w:t>.</w:t>
      </w:r>
      <w:r w:rsidR="004653C0" w:rsidRPr="00501C33">
        <w:rPr>
          <w:szCs w:val="22"/>
        </w:rPr>
        <w:t xml:space="preserve"> </w:t>
      </w:r>
      <w:r w:rsidR="004653C0" w:rsidRPr="00501C33">
        <w:t>The following sensitivity analyses were conducted during the evaluation:</w:t>
      </w:r>
    </w:p>
    <w:p w:rsidR="004653C0" w:rsidRPr="00501C33" w:rsidRDefault="004653C0" w:rsidP="005D5FF8">
      <w:pPr>
        <w:pStyle w:val="ListParagraph"/>
        <w:widowControl/>
        <w:numPr>
          <w:ilvl w:val="0"/>
          <w:numId w:val="13"/>
        </w:numPr>
      </w:pPr>
      <w:r w:rsidRPr="00501C33">
        <w:t xml:space="preserve">The impact of exponential, Weibull and </w:t>
      </w:r>
      <w:proofErr w:type="spellStart"/>
      <w:r w:rsidRPr="00501C33">
        <w:t>Gompertz</w:t>
      </w:r>
      <w:proofErr w:type="spellEnd"/>
      <w:r w:rsidRPr="00501C33">
        <w:t xml:space="preserve"> parametric models used in the extrapolation of </w:t>
      </w:r>
      <w:r w:rsidR="003634EF">
        <w:t>PFS</w:t>
      </w:r>
      <w:r w:rsidRPr="00501C33">
        <w:t xml:space="preserve"> beyond median follow-up</w:t>
      </w:r>
      <w:r w:rsidR="00A36EEA">
        <w:t xml:space="preserve"> (ICERs in the range of $45,000 - $75,000 per QALY)</w:t>
      </w:r>
      <w:r w:rsidRPr="00501C33">
        <w:t>;</w:t>
      </w:r>
    </w:p>
    <w:p w:rsidR="004653C0" w:rsidRPr="00501C33" w:rsidRDefault="004653C0" w:rsidP="005D5FF8">
      <w:pPr>
        <w:pStyle w:val="ListParagraph"/>
        <w:widowControl/>
        <w:numPr>
          <w:ilvl w:val="0"/>
          <w:numId w:val="13"/>
        </w:numPr>
      </w:pPr>
      <w:r w:rsidRPr="00501C33">
        <w:t>The impact of including data from trial-based Kaplan-Meier curves up to the median follow-up of 24.1 months in the extrapolation of  survival in the economic model</w:t>
      </w:r>
      <w:r w:rsidR="00A36EEA">
        <w:t xml:space="preserve"> (ICER in the range of $45,000 - $75,000 per QALY)</w:t>
      </w:r>
      <w:r w:rsidRPr="00501C33">
        <w:t>; and</w:t>
      </w:r>
    </w:p>
    <w:p w:rsidR="004653C0" w:rsidRPr="00501C33" w:rsidRDefault="004653C0" w:rsidP="005D5FF8">
      <w:pPr>
        <w:pStyle w:val="ListParagraph"/>
        <w:widowControl/>
        <w:numPr>
          <w:ilvl w:val="0"/>
          <w:numId w:val="13"/>
        </w:numPr>
      </w:pPr>
      <w:r w:rsidRPr="00501C33">
        <w:t xml:space="preserve">The impact of using a five-year time horizon and trial-based Kaplan-Meier curves up to median follow-up to model </w:t>
      </w:r>
      <w:r w:rsidR="003634EF">
        <w:t>OS</w:t>
      </w:r>
      <w:r w:rsidRPr="00501C33">
        <w:t xml:space="preserve"> for patients with progressed disease</w:t>
      </w:r>
      <w:r w:rsidR="00A36EEA">
        <w:t xml:space="preserve"> </w:t>
      </w:r>
      <w:r w:rsidR="00FE3D64">
        <w:t>(</w:t>
      </w:r>
      <w:r w:rsidR="00A36EEA">
        <w:t>ICER in the range of $105,000 - $200,000 per QALY)</w:t>
      </w:r>
      <w:r w:rsidRPr="00501C33">
        <w:t>.</w:t>
      </w:r>
    </w:p>
    <w:p w:rsidR="000801CB" w:rsidRDefault="000801CB" w:rsidP="00586E77">
      <w:pPr>
        <w:keepNext/>
        <w:widowControl/>
        <w:rPr>
          <w:rStyle w:val="CommentReference"/>
        </w:rPr>
      </w:pPr>
    </w:p>
    <w:p w:rsidR="00BC6DCB" w:rsidRDefault="00BC6DCB">
      <w:pPr>
        <w:widowControl/>
        <w:jc w:val="left"/>
        <w:rPr>
          <w:rStyle w:val="CommentReference"/>
        </w:rPr>
      </w:pPr>
      <w:r>
        <w:rPr>
          <w:rStyle w:val="CommentReference"/>
        </w:rPr>
        <w:br w:type="page"/>
      </w:r>
    </w:p>
    <w:p w:rsidR="00785C7E" w:rsidRPr="00F17A66" w:rsidRDefault="00BB5BDF" w:rsidP="00586E77">
      <w:pPr>
        <w:keepNext/>
        <w:widowControl/>
        <w:rPr>
          <w:rStyle w:val="CommentReference"/>
          <w:b w:val="0"/>
        </w:rPr>
      </w:pPr>
      <w:r w:rsidRPr="00F17A66">
        <w:rPr>
          <w:rStyle w:val="CommentReference"/>
        </w:rPr>
        <w:lastRenderedPageBreak/>
        <w:t xml:space="preserve">Table </w:t>
      </w:r>
      <w:r w:rsidR="00A656AC" w:rsidRPr="00F17A66">
        <w:rPr>
          <w:rStyle w:val="CommentReference"/>
        </w:rPr>
        <w:t>9</w:t>
      </w:r>
      <w:r w:rsidRPr="00F17A66">
        <w:rPr>
          <w:rStyle w:val="CommentReference"/>
        </w:rPr>
        <w:t>: Results of key sensitivity analyses conducted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48"/>
        <w:gridCol w:w="845"/>
        <w:gridCol w:w="845"/>
        <w:gridCol w:w="845"/>
      </w:tblGrid>
      <w:tr w:rsidR="00785C7E" w:rsidRPr="000517CE" w:rsidTr="002D2344">
        <w:trPr>
          <w:cantSplit/>
          <w:trHeight w:val="20"/>
          <w:tblHeader/>
        </w:trPr>
        <w:tc>
          <w:tcPr>
            <w:tcW w:w="3605" w:type="pct"/>
            <w:tcBorders>
              <w:top w:val="single" w:sz="4" w:space="0" w:color="auto"/>
              <w:left w:val="single" w:sz="4" w:space="0" w:color="auto"/>
              <w:bottom w:val="single" w:sz="4" w:space="0" w:color="auto"/>
              <w:right w:val="single" w:sz="4" w:space="0" w:color="auto"/>
            </w:tcBorders>
            <w:vAlign w:val="center"/>
          </w:tcPr>
          <w:p w:rsidR="00785C7E" w:rsidRPr="000517CE" w:rsidRDefault="00785C7E" w:rsidP="00E34529">
            <w:pPr>
              <w:jc w:val="left"/>
              <w:rPr>
                <w:rFonts w:ascii="Arial Narrow" w:hAnsi="Arial Narrow"/>
                <w:sz w:val="20"/>
              </w:rPr>
            </w:pPr>
            <w:r w:rsidRPr="000517CE">
              <w:rPr>
                <w:rFonts w:ascii="Arial Narrow" w:hAnsi="Arial Narrow"/>
                <w:b/>
                <w:sz w:val="20"/>
              </w:rPr>
              <w:t>Univariate analyses</w:t>
            </w:r>
          </w:p>
        </w:tc>
        <w:tc>
          <w:tcPr>
            <w:tcW w:w="465" w:type="pct"/>
            <w:tcBorders>
              <w:top w:val="single" w:sz="4" w:space="0" w:color="auto"/>
              <w:left w:val="single" w:sz="4" w:space="0" w:color="auto"/>
              <w:bottom w:val="single" w:sz="4" w:space="0" w:color="auto"/>
              <w:right w:val="single" w:sz="4" w:space="0" w:color="auto"/>
            </w:tcBorders>
            <w:vAlign w:val="center"/>
          </w:tcPr>
          <w:p w:rsidR="00785C7E" w:rsidRPr="000517CE" w:rsidRDefault="00E34529" w:rsidP="00B41E5B">
            <w:pPr>
              <w:jc w:val="center"/>
              <w:rPr>
                <w:rFonts w:ascii="Arial Narrow" w:hAnsi="Arial Narrow"/>
                <w:sz w:val="20"/>
              </w:rPr>
            </w:pPr>
            <w:r w:rsidRPr="000517CE">
              <w:rPr>
                <w:rFonts w:ascii="Arial Narrow" w:hAnsi="Arial Narrow"/>
                <w:b/>
                <w:sz w:val="20"/>
              </w:rPr>
              <w:t>Δ Cost</w:t>
            </w:r>
          </w:p>
        </w:tc>
        <w:tc>
          <w:tcPr>
            <w:tcW w:w="465" w:type="pct"/>
            <w:tcBorders>
              <w:top w:val="single" w:sz="4" w:space="0" w:color="auto"/>
              <w:left w:val="single" w:sz="4" w:space="0" w:color="auto"/>
              <w:bottom w:val="single" w:sz="4" w:space="0" w:color="auto"/>
              <w:right w:val="single" w:sz="4" w:space="0" w:color="auto"/>
            </w:tcBorders>
            <w:vAlign w:val="center"/>
          </w:tcPr>
          <w:p w:rsidR="00785C7E" w:rsidRPr="000517CE" w:rsidRDefault="00E34529" w:rsidP="00B41E5B">
            <w:pPr>
              <w:jc w:val="center"/>
              <w:rPr>
                <w:rFonts w:ascii="Arial Narrow" w:hAnsi="Arial Narrow"/>
                <w:sz w:val="20"/>
              </w:rPr>
            </w:pPr>
            <w:r w:rsidRPr="000517CE">
              <w:rPr>
                <w:rFonts w:ascii="Arial Narrow" w:hAnsi="Arial Narrow"/>
                <w:b/>
                <w:sz w:val="20"/>
              </w:rPr>
              <w:t>Δ QALY</w:t>
            </w:r>
          </w:p>
        </w:tc>
        <w:tc>
          <w:tcPr>
            <w:tcW w:w="465" w:type="pct"/>
            <w:tcBorders>
              <w:top w:val="single" w:sz="4" w:space="0" w:color="auto"/>
              <w:left w:val="single" w:sz="4" w:space="0" w:color="auto"/>
              <w:bottom w:val="single" w:sz="4" w:space="0" w:color="auto"/>
              <w:right w:val="single" w:sz="4" w:space="0" w:color="auto"/>
            </w:tcBorders>
            <w:vAlign w:val="center"/>
          </w:tcPr>
          <w:p w:rsidR="00785C7E" w:rsidRPr="000517CE" w:rsidRDefault="00E34529" w:rsidP="00B41E5B">
            <w:pPr>
              <w:jc w:val="center"/>
              <w:rPr>
                <w:rFonts w:ascii="Arial Narrow" w:hAnsi="Arial Narrow"/>
                <w:sz w:val="20"/>
              </w:rPr>
            </w:pPr>
            <w:r w:rsidRPr="000517CE">
              <w:rPr>
                <w:rFonts w:ascii="Arial Narrow" w:hAnsi="Arial Narrow"/>
                <w:b/>
                <w:sz w:val="20"/>
              </w:rPr>
              <w:t>ICER</w:t>
            </w:r>
          </w:p>
        </w:tc>
      </w:tr>
      <w:tr w:rsidR="00785C7E" w:rsidRPr="000517CE" w:rsidTr="002D2344">
        <w:trPr>
          <w:cantSplit/>
          <w:trHeight w:val="20"/>
        </w:trPr>
        <w:tc>
          <w:tcPr>
            <w:tcW w:w="3605" w:type="pct"/>
            <w:tcBorders>
              <w:top w:val="single" w:sz="4" w:space="0" w:color="auto"/>
              <w:left w:val="single" w:sz="4" w:space="0" w:color="auto"/>
              <w:bottom w:val="single" w:sz="4" w:space="0" w:color="auto"/>
              <w:right w:val="single" w:sz="4" w:space="0" w:color="auto"/>
            </w:tcBorders>
            <w:vAlign w:val="center"/>
          </w:tcPr>
          <w:p w:rsidR="00785C7E" w:rsidRPr="000517CE" w:rsidRDefault="00785C7E" w:rsidP="00E34529">
            <w:pPr>
              <w:jc w:val="left"/>
              <w:rPr>
                <w:rFonts w:ascii="Arial Narrow" w:hAnsi="Arial Narrow"/>
                <w:b/>
                <w:sz w:val="20"/>
              </w:rPr>
            </w:pPr>
            <w:r w:rsidRPr="000517CE">
              <w:rPr>
                <w:rFonts w:ascii="Arial Narrow" w:hAnsi="Arial Narrow"/>
                <w:b/>
                <w:sz w:val="20"/>
              </w:rPr>
              <w:t>Base case</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b/>
                <w:snapToGrid/>
                <w:sz w:val="20"/>
              </w:rPr>
            </w:pPr>
            <w:r w:rsidRPr="000517CE">
              <w:rPr>
                <w:rFonts w:ascii="Arial Narrow" w:hAnsi="Arial Narrow" w:cs="Arial Narrow"/>
                <w:b/>
                <w:snapToGrid/>
                <w:sz w:val="20"/>
              </w:rPr>
              <w:t>$</w:t>
            </w:r>
            <w:r w:rsidR="003772B2">
              <w:rPr>
                <w:rFonts w:ascii="Arial Narrow" w:hAnsi="Arial Narrow" w:cs="Arial Narrow"/>
                <w:b/>
                <w:noProof/>
                <w:snapToGrid/>
                <w:color w:val="000000"/>
                <w:sz w:val="20"/>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3772B2" w:rsidRDefault="003772B2" w:rsidP="00B41E5B">
            <w:pPr>
              <w:keepNext/>
              <w:widowControl/>
              <w:jc w:val="center"/>
              <w:rPr>
                <w:rFonts w:ascii="Arial Narrow" w:hAnsi="Arial Narrow" w:cs="Arial Narrow"/>
                <w:b/>
                <w:snapToGrid/>
                <w:sz w:val="20"/>
                <w:highlight w:val="black"/>
              </w:rPr>
            </w:pPr>
            <w:r>
              <w:rPr>
                <w:rFonts w:ascii="Arial Narrow" w:hAnsi="Arial Narrow" w:cs="Arial Narrow"/>
                <w:b/>
                <w:noProof/>
                <w:snapToGrid/>
                <w:color w:val="000000"/>
                <w:sz w:val="20"/>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b/>
                <w:snapToGrid/>
                <w:sz w:val="20"/>
              </w:rPr>
            </w:pPr>
            <w:r w:rsidRPr="000517CE">
              <w:rPr>
                <w:rFonts w:ascii="Arial Narrow" w:hAnsi="Arial Narrow" w:cs="Arial Narrow"/>
                <w:b/>
                <w:snapToGrid/>
                <w:sz w:val="20"/>
              </w:rPr>
              <w:t>$</w:t>
            </w:r>
            <w:r w:rsidR="003772B2">
              <w:rPr>
                <w:rFonts w:ascii="Arial Narrow" w:hAnsi="Arial Narrow" w:cs="Arial Narrow"/>
                <w:b/>
                <w:noProof/>
                <w:snapToGrid/>
                <w:color w:val="000000"/>
                <w:sz w:val="20"/>
                <w:highlight w:val="black"/>
              </w:rPr>
              <w:t>'''''''''''''</w:t>
            </w:r>
          </w:p>
        </w:tc>
      </w:tr>
      <w:tr w:rsidR="00C8185D" w:rsidRPr="000517CE" w:rsidTr="002D2344">
        <w:trPr>
          <w:cantSplit/>
          <w:trHeight w:val="411"/>
        </w:trPr>
        <w:tc>
          <w:tcPr>
            <w:tcW w:w="3605" w:type="pct"/>
            <w:tcBorders>
              <w:top w:val="single" w:sz="4" w:space="0" w:color="auto"/>
              <w:left w:val="single" w:sz="4" w:space="0" w:color="auto"/>
              <w:bottom w:val="single" w:sz="4" w:space="0" w:color="auto"/>
              <w:right w:val="single" w:sz="4" w:space="0" w:color="auto"/>
            </w:tcBorders>
            <w:vAlign w:val="bottom"/>
          </w:tcPr>
          <w:p w:rsidR="00C8185D" w:rsidRPr="000517CE" w:rsidRDefault="00C8185D" w:rsidP="002D2344">
            <w:pPr>
              <w:jc w:val="left"/>
              <w:rPr>
                <w:rFonts w:ascii="Arial Narrow" w:hAnsi="Arial Narrow"/>
                <w:sz w:val="20"/>
              </w:rPr>
            </w:pPr>
            <w:r w:rsidRPr="000517CE">
              <w:rPr>
                <w:rFonts w:ascii="Arial Narrow" w:hAnsi="Arial Narrow"/>
                <w:sz w:val="20"/>
              </w:rPr>
              <w:t xml:space="preserve">Cost of BSC and PFS HR (Base case: </w:t>
            </w:r>
            <w:proofErr w:type="spellStart"/>
            <w:r w:rsidRPr="000517CE">
              <w:rPr>
                <w:rFonts w:ascii="Arial Narrow" w:hAnsi="Arial Narrow"/>
                <w:sz w:val="20"/>
              </w:rPr>
              <w:t>bendamustine</w:t>
            </w:r>
            <w:proofErr w:type="spellEnd"/>
            <w:r w:rsidRPr="000517CE">
              <w:rPr>
                <w:rFonts w:ascii="Arial Narrow" w:hAnsi="Arial Narrow"/>
                <w:sz w:val="20"/>
              </w:rPr>
              <w:t xml:space="preserve"> monotherapy and PFS HR = 1.0)</w:t>
            </w:r>
          </w:p>
          <w:p w:rsidR="00C8185D" w:rsidRPr="000517CE" w:rsidRDefault="00C8185D" w:rsidP="002D2344">
            <w:pPr>
              <w:ind w:left="109"/>
              <w:jc w:val="left"/>
              <w:rPr>
                <w:rFonts w:ascii="Arial Narrow" w:hAnsi="Arial Narrow"/>
                <w:sz w:val="20"/>
              </w:rPr>
            </w:pPr>
            <w:r w:rsidRPr="000517CE">
              <w:rPr>
                <w:rFonts w:ascii="Arial Narrow" w:hAnsi="Arial Narrow"/>
                <w:sz w:val="20"/>
              </w:rPr>
              <w:t xml:space="preserve">Cost of BSC = $30,135 PFS HR = </w:t>
            </w:r>
            <w:r w:rsidR="00081CF6">
              <w:rPr>
                <w:rFonts w:ascii="Arial Narrow" w:hAnsi="Arial Narrow"/>
                <w:noProof/>
                <w:color w:val="000000"/>
                <w:sz w:val="20"/>
                <w:highlight w:val="black"/>
              </w:rPr>
              <w:t>'''''''</w:t>
            </w:r>
          </w:p>
        </w:tc>
        <w:tc>
          <w:tcPr>
            <w:tcW w:w="465" w:type="pct"/>
            <w:vAlign w:val="bottom"/>
          </w:tcPr>
          <w:p w:rsidR="00C8185D" w:rsidRPr="000517CE" w:rsidRDefault="00C8185D" w:rsidP="00B41E5B">
            <w:pPr>
              <w:keepNext/>
              <w:widowControl/>
              <w:contextualSpacing/>
              <w:jc w:val="center"/>
              <w:rPr>
                <w:rFonts w:ascii="Arial Narrow" w:hAnsi="Arial Narrow" w:cs="Calibri"/>
                <w:snapToGrid/>
                <w:color w:val="000000"/>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p w:rsidR="00C8185D" w:rsidRPr="000517CE" w:rsidRDefault="00AE14E5" w:rsidP="00B41E5B">
            <w:pPr>
              <w:keepNext/>
              <w:widowControl/>
              <w:jc w:val="center"/>
              <w:rPr>
                <w:rFonts w:ascii="Arial Narrow" w:hAnsi="Arial Narrow" w:cs="Arial Narrow"/>
                <w:snapToGrid/>
                <w:sz w:val="20"/>
              </w:rPr>
            </w:pPr>
            <w:r w:rsidRPr="000517CE">
              <w:rPr>
                <w:rFonts w:ascii="Arial Narrow" w:hAnsi="Arial Narrow" w:cs="Calibri"/>
                <w:snapToGrid/>
                <w:color w:val="000000"/>
                <w:sz w:val="20"/>
              </w:rPr>
              <w:t>(</w:t>
            </w:r>
            <w:r w:rsidR="00C8185D"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r w:rsidRPr="000517CE">
              <w:rPr>
                <w:rFonts w:ascii="Arial Narrow" w:hAnsi="Arial Narrow" w:cs="Calibri"/>
                <w:snapToGrid/>
                <w:color w:val="000000"/>
                <w:sz w:val="20"/>
              </w:rPr>
              <w:t>)</w:t>
            </w:r>
          </w:p>
        </w:tc>
        <w:tc>
          <w:tcPr>
            <w:tcW w:w="465" w:type="pct"/>
            <w:vAlign w:val="center"/>
          </w:tcPr>
          <w:p w:rsidR="00C8185D" w:rsidRPr="003772B2" w:rsidRDefault="003772B2" w:rsidP="002D2344">
            <w:pPr>
              <w:keepNext/>
              <w:widowControl/>
              <w:contextualSpacing/>
              <w:jc w:val="center"/>
              <w:rPr>
                <w:rFonts w:ascii="Arial Narrow" w:hAnsi="Arial Narrow" w:cs="Arial Narrow"/>
                <w:snapToGrid/>
                <w:sz w:val="20"/>
                <w:highlight w:val="black"/>
              </w:rPr>
            </w:pPr>
            <w:r>
              <w:rPr>
                <w:rFonts w:ascii="Arial Narrow" w:hAnsi="Arial Narrow" w:cs="Calibri"/>
                <w:noProof/>
                <w:snapToGrid/>
                <w:color w:val="000000"/>
                <w:sz w:val="20"/>
                <w:highlight w:val="black"/>
              </w:rPr>
              <w:t>''''''''''</w:t>
            </w:r>
          </w:p>
        </w:tc>
        <w:tc>
          <w:tcPr>
            <w:tcW w:w="465" w:type="pct"/>
            <w:vAlign w:val="bottom"/>
          </w:tcPr>
          <w:p w:rsidR="00C8185D" w:rsidRPr="000517CE" w:rsidRDefault="00C8185D" w:rsidP="00B41E5B">
            <w:pPr>
              <w:keepNext/>
              <w:widowControl/>
              <w:contextualSpacing/>
              <w:jc w:val="center"/>
              <w:rPr>
                <w:rFonts w:ascii="Arial Narrow" w:hAnsi="Arial Narrow" w:cs="Calibri"/>
                <w:snapToGrid/>
                <w:color w:val="000000"/>
                <w:sz w:val="20"/>
                <w:vertAlign w:val="superscript"/>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r w:rsidR="00AE14E5" w:rsidRPr="000517CE">
              <w:rPr>
                <w:rFonts w:ascii="Arial Narrow" w:hAnsi="Arial Narrow" w:cs="Calibri"/>
                <w:snapToGrid/>
                <w:color w:val="000000"/>
                <w:sz w:val="20"/>
                <w:vertAlign w:val="superscript"/>
              </w:rPr>
              <w:t>a</w:t>
            </w:r>
          </w:p>
          <w:p w:rsidR="00C8185D" w:rsidRPr="000517CE" w:rsidRDefault="000517CE" w:rsidP="00B41E5B">
            <w:pPr>
              <w:keepNext/>
              <w:widowControl/>
              <w:jc w:val="center"/>
              <w:rPr>
                <w:rFonts w:ascii="Arial Narrow" w:hAnsi="Arial Narrow" w:cs="Arial Narrow"/>
                <w:b/>
                <w:snapToGrid/>
                <w:sz w:val="20"/>
                <w:vertAlign w:val="superscript"/>
              </w:rPr>
            </w:pPr>
            <w:r>
              <w:rPr>
                <w:rFonts w:ascii="Arial Narrow" w:hAnsi="Arial Narrow" w:cs="Calibri"/>
                <w:snapToGrid/>
                <w:color w:val="000000"/>
                <w:sz w:val="20"/>
              </w:rPr>
              <w:t>(</w:t>
            </w:r>
            <w:r w:rsidR="00C8185D"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r>
              <w:rPr>
                <w:rFonts w:ascii="Arial Narrow" w:hAnsi="Arial Narrow" w:cs="Calibri"/>
                <w:snapToGrid/>
                <w:color w:val="000000"/>
                <w:sz w:val="20"/>
              </w:rPr>
              <w:t>)</w:t>
            </w:r>
            <w:r w:rsidR="00C8185D" w:rsidRPr="000517CE">
              <w:rPr>
                <w:rFonts w:ascii="Arial Narrow" w:hAnsi="Arial Narrow" w:cs="Calibri"/>
                <w:snapToGrid/>
                <w:color w:val="000000"/>
                <w:sz w:val="20"/>
              </w:rPr>
              <w:t xml:space="preserve"> </w:t>
            </w:r>
          </w:p>
        </w:tc>
      </w:tr>
      <w:tr w:rsidR="00785C7E" w:rsidRPr="000517CE" w:rsidTr="002D2344">
        <w:trPr>
          <w:cantSplit/>
          <w:trHeight w:val="20"/>
        </w:trPr>
        <w:tc>
          <w:tcPr>
            <w:tcW w:w="3605" w:type="pct"/>
            <w:tcBorders>
              <w:top w:val="single" w:sz="4" w:space="0" w:color="auto"/>
              <w:left w:val="single" w:sz="4" w:space="0" w:color="auto"/>
              <w:bottom w:val="single" w:sz="4" w:space="0" w:color="auto"/>
              <w:right w:val="single" w:sz="4" w:space="0" w:color="auto"/>
            </w:tcBorders>
          </w:tcPr>
          <w:p w:rsidR="00785C7E" w:rsidRPr="000517CE" w:rsidRDefault="00785C7E" w:rsidP="00E34529">
            <w:pPr>
              <w:jc w:val="left"/>
              <w:rPr>
                <w:rFonts w:ascii="Arial Narrow" w:hAnsi="Arial Narrow"/>
                <w:sz w:val="20"/>
              </w:rPr>
            </w:pPr>
            <w:r w:rsidRPr="000517CE">
              <w:rPr>
                <w:rFonts w:ascii="Arial Narrow" w:hAnsi="Arial Narrow"/>
                <w:sz w:val="20"/>
              </w:rPr>
              <w:t>Time horizon (base case: 15 years)</w:t>
            </w:r>
          </w:p>
          <w:p w:rsidR="00785C7E" w:rsidRPr="000517CE" w:rsidRDefault="00785C7E" w:rsidP="00E34529">
            <w:pPr>
              <w:ind w:left="109"/>
              <w:jc w:val="left"/>
              <w:rPr>
                <w:rFonts w:ascii="Arial Narrow" w:hAnsi="Arial Narrow"/>
                <w:sz w:val="20"/>
              </w:rPr>
            </w:pPr>
            <w:r w:rsidRPr="000517CE">
              <w:rPr>
                <w:rFonts w:ascii="Arial Narrow" w:hAnsi="Arial Narrow"/>
                <w:sz w:val="20"/>
              </w:rPr>
              <w:t>5 years</w:t>
            </w:r>
          </w:p>
          <w:p w:rsidR="00785C7E" w:rsidRPr="000517CE" w:rsidRDefault="00785C7E" w:rsidP="00E34529">
            <w:pPr>
              <w:ind w:left="109"/>
              <w:jc w:val="left"/>
              <w:rPr>
                <w:rFonts w:ascii="Arial Narrow" w:hAnsi="Arial Narrow"/>
                <w:sz w:val="20"/>
              </w:rPr>
            </w:pPr>
            <w:r w:rsidRPr="000517CE">
              <w:rPr>
                <w:rFonts w:ascii="Arial Narrow" w:hAnsi="Arial Narrow"/>
                <w:sz w:val="20"/>
              </w:rPr>
              <w:t>10 years</w:t>
            </w:r>
          </w:p>
        </w:tc>
        <w:tc>
          <w:tcPr>
            <w:tcW w:w="465" w:type="pct"/>
          </w:tcPr>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tc>
        <w:tc>
          <w:tcPr>
            <w:tcW w:w="465" w:type="pct"/>
            <w:vAlign w:val="center"/>
          </w:tcPr>
          <w:p w:rsidR="00785C7E" w:rsidRPr="000517CE" w:rsidRDefault="00785C7E" w:rsidP="00B41E5B">
            <w:pPr>
              <w:keepNext/>
              <w:widowControl/>
              <w:jc w:val="center"/>
              <w:rPr>
                <w:rFonts w:ascii="Arial Narrow" w:hAnsi="Arial Narrow" w:cs="Calibri"/>
                <w:snapToGrid/>
                <w:color w:val="000000"/>
                <w:sz w:val="20"/>
              </w:rPr>
            </w:pPr>
          </w:p>
          <w:p w:rsidR="00785C7E" w:rsidRPr="003772B2" w:rsidRDefault="003772B2" w:rsidP="00B41E5B">
            <w:pPr>
              <w:keepNext/>
              <w:widowControl/>
              <w:jc w:val="center"/>
              <w:rPr>
                <w:rFonts w:ascii="Arial Narrow" w:hAnsi="Arial Narrow" w:cs="Calibri"/>
                <w:snapToGrid/>
                <w:color w:val="000000"/>
                <w:sz w:val="20"/>
                <w:highlight w:val="black"/>
              </w:rPr>
            </w:pPr>
            <w:r>
              <w:rPr>
                <w:rFonts w:ascii="Arial Narrow" w:hAnsi="Arial Narrow" w:cs="Calibri"/>
                <w:noProof/>
                <w:snapToGrid/>
                <w:color w:val="000000"/>
                <w:sz w:val="20"/>
                <w:highlight w:val="black"/>
              </w:rPr>
              <w:t>'''''''''''</w:t>
            </w:r>
          </w:p>
          <w:p w:rsidR="00785C7E" w:rsidRPr="003772B2" w:rsidRDefault="003772B2" w:rsidP="00B41E5B">
            <w:pPr>
              <w:keepNext/>
              <w:widowControl/>
              <w:jc w:val="center"/>
              <w:rPr>
                <w:rFonts w:ascii="Arial Narrow" w:hAnsi="Arial Narrow" w:cs="Arial Narrow"/>
                <w:snapToGrid/>
                <w:sz w:val="20"/>
                <w:highlight w:val="black"/>
              </w:rPr>
            </w:pPr>
            <w:r>
              <w:rPr>
                <w:rFonts w:ascii="Arial Narrow" w:hAnsi="Arial Narrow" w:cs="Calibri"/>
                <w:noProof/>
                <w:snapToGrid/>
                <w:color w:val="000000"/>
                <w:sz w:val="20"/>
                <w:highlight w:val="black"/>
              </w:rPr>
              <w:t>''''''''''</w:t>
            </w:r>
          </w:p>
        </w:tc>
        <w:tc>
          <w:tcPr>
            <w:tcW w:w="465" w:type="pct"/>
          </w:tcPr>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p w:rsidR="00785C7E" w:rsidRPr="000517CE" w:rsidRDefault="00785C7E" w:rsidP="00B41E5B">
            <w:pPr>
              <w:keepNext/>
              <w:widowControl/>
              <w:jc w:val="center"/>
              <w:rPr>
                <w:rFonts w:ascii="Arial Narrow" w:hAnsi="Arial Narrow" w:cs="Arial Narrow"/>
                <w:b/>
                <w:snapToGrid/>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tc>
      </w:tr>
      <w:tr w:rsidR="00785C7E" w:rsidRPr="000517CE" w:rsidTr="002D2344">
        <w:trPr>
          <w:cantSplit/>
          <w:trHeight w:val="20"/>
        </w:trPr>
        <w:tc>
          <w:tcPr>
            <w:tcW w:w="3605" w:type="pct"/>
            <w:tcBorders>
              <w:top w:val="single" w:sz="4" w:space="0" w:color="auto"/>
              <w:left w:val="single" w:sz="4" w:space="0" w:color="auto"/>
              <w:bottom w:val="single" w:sz="4" w:space="0" w:color="auto"/>
              <w:right w:val="single" w:sz="4" w:space="0" w:color="auto"/>
            </w:tcBorders>
            <w:vAlign w:val="center"/>
          </w:tcPr>
          <w:p w:rsidR="00785C7E" w:rsidRPr="000517CE" w:rsidRDefault="00785C7E" w:rsidP="00E34529">
            <w:pPr>
              <w:jc w:val="left"/>
              <w:rPr>
                <w:rFonts w:ascii="Arial Narrow" w:hAnsi="Arial Narrow"/>
                <w:sz w:val="20"/>
              </w:rPr>
            </w:pPr>
            <w:proofErr w:type="spellStart"/>
            <w:r w:rsidRPr="000517CE">
              <w:rPr>
                <w:rFonts w:ascii="Arial Narrow" w:hAnsi="Arial Narrow"/>
                <w:sz w:val="20"/>
              </w:rPr>
              <w:t>Bendamustine</w:t>
            </w:r>
            <w:proofErr w:type="spellEnd"/>
            <w:r w:rsidRPr="000517CE">
              <w:rPr>
                <w:rFonts w:ascii="Arial Narrow" w:hAnsi="Arial Narrow"/>
                <w:sz w:val="20"/>
              </w:rPr>
              <w:t xml:space="preserve"> price (base case: ex-manufacturer price)</w:t>
            </w:r>
          </w:p>
          <w:p w:rsidR="00785C7E" w:rsidRPr="000517CE" w:rsidRDefault="00785C7E" w:rsidP="00E34529">
            <w:pPr>
              <w:ind w:left="109"/>
              <w:jc w:val="left"/>
              <w:rPr>
                <w:rFonts w:ascii="Arial Narrow" w:hAnsi="Arial Narrow"/>
                <w:sz w:val="20"/>
              </w:rPr>
            </w:pPr>
            <w:r w:rsidRPr="000517CE">
              <w:rPr>
                <w:rFonts w:ascii="Arial Narrow" w:hAnsi="Arial Narrow"/>
                <w:sz w:val="20"/>
              </w:rPr>
              <w:t>SAMEP price</w:t>
            </w:r>
          </w:p>
        </w:tc>
        <w:tc>
          <w:tcPr>
            <w:tcW w:w="465" w:type="pct"/>
            <w:vAlign w:val="bottom"/>
          </w:tcPr>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tc>
        <w:tc>
          <w:tcPr>
            <w:tcW w:w="465" w:type="pct"/>
            <w:vAlign w:val="bottom"/>
          </w:tcPr>
          <w:p w:rsidR="00785C7E" w:rsidRPr="003772B2" w:rsidRDefault="003772B2" w:rsidP="00B41E5B">
            <w:pPr>
              <w:keepNext/>
              <w:widowControl/>
              <w:jc w:val="center"/>
              <w:rPr>
                <w:rFonts w:ascii="Arial Narrow" w:hAnsi="Arial Narrow" w:cs="Arial Narrow"/>
                <w:snapToGrid/>
                <w:sz w:val="20"/>
                <w:highlight w:val="black"/>
              </w:rPr>
            </w:pPr>
            <w:r>
              <w:rPr>
                <w:rFonts w:ascii="Arial Narrow" w:hAnsi="Arial Narrow" w:cs="Calibri"/>
                <w:noProof/>
                <w:snapToGrid/>
                <w:color w:val="000000"/>
                <w:sz w:val="20"/>
                <w:highlight w:val="black"/>
              </w:rPr>
              <w:t>''''''''''''</w:t>
            </w:r>
          </w:p>
        </w:tc>
        <w:tc>
          <w:tcPr>
            <w:tcW w:w="465" w:type="pct"/>
            <w:vAlign w:val="bottom"/>
          </w:tcPr>
          <w:p w:rsidR="00785C7E" w:rsidRPr="000517CE" w:rsidRDefault="00785C7E" w:rsidP="00B41E5B">
            <w:pPr>
              <w:keepNext/>
              <w:widowControl/>
              <w:jc w:val="center"/>
              <w:rPr>
                <w:rFonts w:ascii="Arial Narrow" w:hAnsi="Arial Narrow" w:cs="Arial Narrow"/>
                <w:b/>
                <w:snapToGrid/>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tc>
      </w:tr>
      <w:tr w:rsidR="00785C7E" w:rsidRPr="000517CE" w:rsidTr="002D2344">
        <w:trPr>
          <w:cantSplit/>
          <w:trHeight w:val="20"/>
        </w:trPr>
        <w:tc>
          <w:tcPr>
            <w:tcW w:w="3605" w:type="pct"/>
            <w:tcBorders>
              <w:top w:val="single" w:sz="4" w:space="0" w:color="auto"/>
              <w:left w:val="single" w:sz="4" w:space="0" w:color="auto"/>
              <w:bottom w:val="single" w:sz="4" w:space="0" w:color="auto"/>
              <w:right w:val="single" w:sz="4" w:space="0" w:color="auto"/>
            </w:tcBorders>
          </w:tcPr>
          <w:p w:rsidR="004653C0" w:rsidRPr="000517CE" w:rsidRDefault="004653C0" w:rsidP="004653C0">
            <w:pPr>
              <w:jc w:val="left"/>
              <w:rPr>
                <w:rFonts w:ascii="Arial Narrow" w:hAnsi="Arial Narrow"/>
                <w:sz w:val="20"/>
              </w:rPr>
            </w:pPr>
            <w:r w:rsidRPr="000517CE">
              <w:rPr>
                <w:rFonts w:ascii="Arial Narrow" w:hAnsi="Arial Narrow"/>
                <w:sz w:val="20"/>
              </w:rPr>
              <w:t xml:space="preserve">Parametric model used </w:t>
            </w:r>
            <w:r w:rsidR="001F443A" w:rsidRPr="000517CE">
              <w:rPr>
                <w:rFonts w:ascii="Arial Narrow" w:hAnsi="Arial Narrow"/>
                <w:sz w:val="20"/>
              </w:rPr>
              <w:t xml:space="preserve">to extrapolate PFS </w:t>
            </w:r>
            <w:r w:rsidRPr="000517CE">
              <w:rPr>
                <w:rFonts w:ascii="Arial Narrow" w:hAnsi="Arial Narrow"/>
                <w:sz w:val="20"/>
              </w:rPr>
              <w:t>beyond median follow-up (base case: log-normal for O-Benda, log-logistic for BSC)</w:t>
            </w:r>
          </w:p>
          <w:p w:rsidR="00785C7E" w:rsidRPr="000517CE" w:rsidRDefault="00785C7E" w:rsidP="00E34529">
            <w:pPr>
              <w:ind w:left="109"/>
              <w:jc w:val="left"/>
              <w:rPr>
                <w:rFonts w:ascii="Arial Narrow" w:hAnsi="Arial Narrow"/>
                <w:sz w:val="20"/>
              </w:rPr>
            </w:pPr>
            <w:r w:rsidRPr="000517CE">
              <w:rPr>
                <w:rFonts w:ascii="Arial Narrow" w:hAnsi="Arial Narrow"/>
                <w:sz w:val="20"/>
              </w:rPr>
              <w:t>Exponential</w:t>
            </w:r>
          </w:p>
          <w:p w:rsidR="00785C7E" w:rsidRPr="000517CE" w:rsidRDefault="00581824" w:rsidP="00E34529">
            <w:pPr>
              <w:ind w:left="109"/>
              <w:jc w:val="left"/>
              <w:rPr>
                <w:rFonts w:ascii="Arial Narrow" w:hAnsi="Arial Narrow"/>
                <w:sz w:val="20"/>
              </w:rPr>
            </w:pPr>
            <w:r>
              <w:rPr>
                <w:rFonts w:ascii="Arial Narrow" w:hAnsi="Arial Narrow"/>
                <w:sz w:val="20"/>
              </w:rPr>
              <w:t>Weibull</w:t>
            </w:r>
          </w:p>
          <w:p w:rsidR="00785C7E" w:rsidRPr="000517CE" w:rsidRDefault="00785C7E" w:rsidP="00E34529">
            <w:pPr>
              <w:ind w:left="109"/>
              <w:jc w:val="left"/>
              <w:rPr>
                <w:rFonts w:ascii="Arial Narrow" w:hAnsi="Arial Narrow"/>
                <w:b/>
                <w:sz w:val="20"/>
              </w:rPr>
            </w:pPr>
            <w:proofErr w:type="spellStart"/>
            <w:r w:rsidRPr="000517CE">
              <w:rPr>
                <w:rFonts w:ascii="Arial Narrow" w:hAnsi="Arial Narrow"/>
                <w:sz w:val="20"/>
              </w:rPr>
              <w:t>Gompertz</w:t>
            </w:r>
            <w:proofErr w:type="spellEnd"/>
          </w:p>
        </w:tc>
        <w:tc>
          <w:tcPr>
            <w:tcW w:w="465" w:type="pct"/>
            <w:vAlign w:val="bottom"/>
          </w:tcPr>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tc>
        <w:tc>
          <w:tcPr>
            <w:tcW w:w="465" w:type="pct"/>
            <w:vAlign w:val="bottom"/>
          </w:tcPr>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p>
          <w:p w:rsidR="00785C7E" w:rsidRPr="003772B2" w:rsidRDefault="003772B2" w:rsidP="00B41E5B">
            <w:pPr>
              <w:keepNext/>
              <w:widowControl/>
              <w:jc w:val="center"/>
              <w:rPr>
                <w:rFonts w:ascii="Arial Narrow" w:hAnsi="Arial Narrow" w:cs="Calibri"/>
                <w:snapToGrid/>
                <w:color w:val="000000"/>
                <w:sz w:val="20"/>
                <w:highlight w:val="black"/>
              </w:rPr>
            </w:pPr>
            <w:r>
              <w:rPr>
                <w:rFonts w:ascii="Arial Narrow" w:hAnsi="Arial Narrow" w:cs="Calibri"/>
                <w:noProof/>
                <w:snapToGrid/>
                <w:color w:val="000000"/>
                <w:sz w:val="20"/>
                <w:highlight w:val="black"/>
              </w:rPr>
              <w:t>''''''''''</w:t>
            </w:r>
          </w:p>
          <w:p w:rsidR="00785C7E" w:rsidRPr="003772B2" w:rsidRDefault="003772B2" w:rsidP="00B41E5B">
            <w:pPr>
              <w:keepNext/>
              <w:widowControl/>
              <w:jc w:val="center"/>
              <w:rPr>
                <w:rFonts w:ascii="Arial Narrow" w:hAnsi="Arial Narrow" w:cs="Calibri"/>
                <w:snapToGrid/>
                <w:color w:val="000000"/>
                <w:sz w:val="20"/>
                <w:highlight w:val="black"/>
              </w:rPr>
            </w:pPr>
            <w:r>
              <w:rPr>
                <w:rFonts w:ascii="Arial Narrow" w:hAnsi="Arial Narrow" w:cs="Calibri"/>
                <w:noProof/>
                <w:snapToGrid/>
                <w:color w:val="000000"/>
                <w:sz w:val="20"/>
                <w:highlight w:val="black"/>
              </w:rPr>
              <w:t>'''''''''''</w:t>
            </w:r>
          </w:p>
          <w:p w:rsidR="00785C7E" w:rsidRPr="003772B2" w:rsidRDefault="003772B2" w:rsidP="00B41E5B">
            <w:pPr>
              <w:keepNext/>
              <w:widowControl/>
              <w:jc w:val="center"/>
              <w:rPr>
                <w:rFonts w:ascii="Arial Narrow" w:hAnsi="Arial Narrow" w:cs="Arial Narrow"/>
                <w:snapToGrid/>
                <w:sz w:val="20"/>
                <w:highlight w:val="black"/>
              </w:rPr>
            </w:pPr>
            <w:r>
              <w:rPr>
                <w:rFonts w:ascii="Arial Narrow" w:hAnsi="Arial Narrow" w:cs="Calibri"/>
                <w:noProof/>
                <w:snapToGrid/>
                <w:color w:val="000000"/>
                <w:sz w:val="20"/>
                <w:highlight w:val="black"/>
              </w:rPr>
              <w:t>''''''''''</w:t>
            </w:r>
          </w:p>
        </w:tc>
        <w:tc>
          <w:tcPr>
            <w:tcW w:w="465" w:type="pct"/>
            <w:vAlign w:val="bottom"/>
          </w:tcPr>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p>
          <w:p w:rsidR="00785C7E" w:rsidRPr="000517CE" w:rsidRDefault="00785C7E" w:rsidP="00B41E5B">
            <w:pPr>
              <w:keepNext/>
              <w:widowControl/>
              <w:jc w:val="center"/>
              <w:rPr>
                <w:rFonts w:ascii="Arial Narrow" w:hAnsi="Arial Narrow" w:cs="Calibri"/>
                <w:snapToGrid/>
                <w:color w:val="000000"/>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p w:rsidR="00785C7E" w:rsidRPr="000517CE" w:rsidRDefault="00785C7E" w:rsidP="00B41E5B">
            <w:pPr>
              <w:keepNext/>
              <w:widowControl/>
              <w:jc w:val="center"/>
              <w:rPr>
                <w:rFonts w:ascii="Arial Narrow" w:hAnsi="Arial Narrow" w:cs="Calibri"/>
                <w:snapToGrid/>
                <w:color w:val="000000"/>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p w:rsidR="00785C7E" w:rsidRPr="000517CE" w:rsidRDefault="00785C7E" w:rsidP="00B41E5B">
            <w:pPr>
              <w:keepNext/>
              <w:widowControl/>
              <w:jc w:val="center"/>
              <w:rPr>
                <w:rFonts w:ascii="Arial Narrow" w:hAnsi="Arial Narrow" w:cs="Arial Narrow"/>
                <w:b/>
                <w:snapToGrid/>
                <w:sz w:val="20"/>
              </w:rPr>
            </w:pPr>
            <w:r w:rsidRPr="000517CE">
              <w:rPr>
                <w:rFonts w:ascii="Arial Narrow" w:hAnsi="Arial Narrow" w:cs="Calibri"/>
                <w:snapToGrid/>
                <w:color w:val="000000"/>
                <w:sz w:val="20"/>
              </w:rPr>
              <w:t>$</w:t>
            </w:r>
            <w:r w:rsidR="003772B2">
              <w:rPr>
                <w:rFonts w:ascii="Arial Narrow" w:hAnsi="Arial Narrow" w:cs="Calibri"/>
                <w:noProof/>
                <w:snapToGrid/>
                <w:color w:val="000000"/>
                <w:sz w:val="20"/>
                <w:highlight w:val="black"/>
              </w:rPr>
              <w:t>''''''''''''''''</w:t>
            </w:r>
          </w:p>
        </w:tc>
      </w:tr>
      <w:tr w:rsidR="00785C7E" w:rsidRPr="000517CE" w:rsidTr="002D2344">
        <w:trPr>
          <w:cantSplit/>
          <w:trHeight w:val="686"/>
        </w:trPr>
        <w:tc>
          <w:tcPr>
            <w:tcW w:w="3605" w:type="pct"/>
            <w:tcBorders>
              <w:top w:val="single" w:sz="4" w:space="0" w:color="auto"/>
              <w:left w:val="single" w:sz="4" w:space="0" w:color="auto"/>
              <w:bottom w:val="single" w:sz="4" w:space="0" w:color="auto"/>
              <w:right w:val="single" w:sz="4" w:space="0" w:color="auto"/>
            </w:tcBorders>
            <w:vAlign w:val="center"/>
          </w:tcPr>
          <w:p w:rsidR="00A72DE3" w:rsidRPr="000517CE" w:rsidRDefault="00A72DE3" w:rsidP="00A72DE3">
            <w:pPr>
              <w:jc w:val="left"/>
              <w:rPr>
                <w:rFonts w:ascii="Arial Narrow" w:hAnsi="Arial Narrow"/>
                <w:sz w:val="20"/>
              </w:rPr>
            </w:pPr>
            <w:r w:rsidRPr="000517CE">
              <w:rPr>
                <w:rFonts w:ascii="Arial Narrow" w:hAnsi="Arial Narrow"/>
                <w:sz w:val="20"/>
              </w:rPr>
              <w:t>Overall survival during trial period (base case: separate OS extrapolation models for PFS and PD)</w:t>
            </w:r>
          </w:p>
          <w:p w:rsidR="00785C7E" w:rsidRPr="000517CE" w:rsidRDefault="00A72DE3" w:rsidP="00A72DE3">
            <w:pPr>
              <w:ind w:left="147"/>
              <w:jc w:val="left"/>
              <w:rPr>
                <w:rFonts w:ascii="Arial Narrow" w:hAnsi="Arial Narrow"/>
                <w:sz w:val="20"/>
              </w:rPr>
            </w:pPr>
            <w:r w:rsidRPr="000517CE">
              <w:rPr>
                <w:rFonts w:ascii="Arial Narrow" w:hAnsi="Arial Narrow"/>
                <w:sz w:val="20"/>
              </w:rPr>
              <w:t>KM curves from the GADOLIN trial up to median 24.1 months follow-up</w:t>
            </w:r>
            <w:r w:rsidR="004653C0" w:rsidRPr="000517CE">
              <w:rPr>
                <w:rFonts w:ascii="Arial Narrow" w:hAnsi="Arial Narrow"/>
                <w:sz w:val="20"/>
              </w:rPr>
              <w:t>, then extrapolation for PFS and PD applied.</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3772B2" w:rsidRDefault="003772B2" w:rsidP="00B41E5B">
            <w:pPr>
              <w:keepNext/>
              <w:widowControl/>
              <w:jc w:val="center"/>
              <w:rPr>
                <w:rFonts w:ascii="Arial Narrow" w:hAnsi="Arial Narrow" w:cs="Times New Roman"/>
                <w:snapToGrid/>
                <w:sz w:val="20"/>
                <w:szCs w:val="16"/>
                <w:highlight w:val="black"/>
              </w:rPr>
            </w:pPr>
            <w:r>
              <w:rPr>
                <w:rFonts w:ascii="Arial Narrow" w:hAnsi="Arial Narrow" w:cs="Times New Roman"/>
                <w:noProof/>
                <w:snapToGrid/>
                <w:color w:val="000000"/>
                <w:sz w:val="20"/>
                <w:szCs w:val="16"/>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tc>
      </w:tr>
      <w:tr w:rsidR="00785C7E" w:rsidRPr="000517CE" w:rsidTr="002D2344">
        <w:trPr>
          <w:cantSplit/>
          <w:trHeight w:val="20"/>
        </w:trPr>
        <w:tc>
          <w:tcPr>
            <w:tcW w:w="3605" w:type="pct"/>
            <w:tcBorders>
              <w:top w:val="single" w:sz="4" w:space="0" w:color="auto"/>
              <w:left w:val="single" w:sz="4" w:space="0" w:color="auto"/>
              <w:bottom w:val="single" w:sz="4" w:space="0" w:color="auto"/>
              <w:right w:val="single" w:sz="4" w:space="0" w:color="auto"/>
            </w:tcBorders>
            <w:vAlign w:val="center"/>
          </w:tcPr>
          <w:p w:rsidR="00785C7E" w:rsidRPr="000517CE" w:rsidRDefault="00785C7E" w:rsidP="00E34529">
            <w:pPr>
              <w:jc w:val="left"/>
              <w:rPr>
                <w:rFonts w:ascii="Arial Narrow" w:hAnsi="Arial Narrow"/>
                <w:b/>
                <w:sz w:val="20"/>
              </w:rPr>
            </w:pPr>
            <w:r w:rsidRPr="000517CE">
              <w:rPr>
                <w:rFonts w:ascii="Arial Narrow" w:hAnsi="Arial Narrow"/>
                <w:b/>
                <w:sz w:val="20"/>
              </w:rPr>
              <w:t>Multivariate</w:t>
            </w:r>
          </w:p>
          <w:p w:rsidR="00785C7E" w:rsidRPr="000517CE" w:rsidRDefault="00785C7E" w:rsidP="00E34529">
            <w:pPr>
              <w:jc w:val="left"/>
              <w:rPr>
                <w:rFonts w:ascii="Arial Narrow" w:hAnsi="Arial Narrow"/>
                <w:sz w:val="20"/>
              </w:rPr>
            </w:pPr>
            <w:r w:rsidRPr="000517CE">
              <w:rPr>
                <w:rFonts w:ascii="Arial Narrow" w:hAnsi="Arial Narrow"/>
                <w:sz w:val="20"/>
              </w:rPr>
              <w:t>5 year time horizon and KM curve GADOLIN</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3772B2" w:rsidRDefault="003772B2" w:rsidP="00B41E5B">
            <w:pPr>
              <w:keepNext/>
              <w:widowControl/>
              <w:jc w:val="center"/>
              <w:rPr>
                <w:rFonts w:ascii="Arial Narrow" w:hAnsi="Arial Narrow" w:cs="Times New Roman"/>
                <w:snapToGrid/>
                <w:sz w:val="20"/>
                <w:szCs w:val="16"/>
                <w:highlight w:val="black"/>
              </w:rPr>
            </w:pPr>
            <w:r>
              <w:rPr>
                <w:rFonts w:ascii="Arial Narrow" w:hAnsi="Arial Narrow" w:cs="Times New Roman"/>
                <w:noProof/>
                <w:snapToGrid/>
                <w:color w:val="000000"/>
                <w:sz w:val="20"/>
                <w:szCs w:val="16"/>
                <w:highlight w:val="black"/>
              </w:rPr>
              <w:t>''''''''''</w:t>
            </w:r>
          </w:p>
        </w:tc>
        <w:tc>
          <w:tcPr>
            <w:tcW w:w="465" w:type="pct"/>
            <w:tcBorders>
              <w:top w:val="single" w:sz="4" w:space="0" w:color="auto"/>
              <w:left w:val="single" w:sz="4" w:space="0" w:color="auto"/>
              <w:bottom w:val="single" w:sz="4" w:space="0" w:color="auto"/>
              <w:right w:val="single" w:sz="4" w:space="0" w:color="auto"/>
            </w:tcBorders>
            <w:vAlign w:val="bottom"/>
          </w:tcPr>
          <w:p w:rsidR="00785C7E" w:rsidRPr="000517CE" w:rsidRDefault="00785C7E" w:rsidP="00B41E5B">
            <w:pPr>
              <w:keepNext/>
              <w:widowControl/>
              <w:jc w:val="center"/>
              <w:rPr>
                <w:rFonts w:ascii="Arial Narrow" w:hAnsi="Arial Narrow" w:cs="Arial Narrow"/>
                <w:snapToGrid/>
                <w:sz w:val="20"/>
              </w:rPr>
            </w:pPr>
            <w:r w:rsidRPr="000517CE">
              <w:rPr>
                <w:rFonts w:ascii="Arial Narrow" w:hAnsi="Arial Narrow" w:cs="Arial Narrow"/>
                <w:snapToGrid/>
                <w:sz w:val="20"/>
              </w:rPr>
              <w:t>$</w:t>
            </w:r>
            <w:r w:rsidR="003772B2">
              <w:rPr>
                <w:rFonts w:ascii="Arial Narrow" w:hAnsi="Arial Narrow" w:cs="Arial Narrow"/>
                <w:noProof/>
                <w:snapToGrid/>
                <w:color w:val="000000"/>
                <w:sz w:val="20"/>
                <w:highlight w:val="black"/>
              </w:rPr>
              <w:t>'''''''''''''''''''''</w:t>
            </w:r>
          </w:p>
        </w:tc>
      </w:tr>
    </w:tbl>
    <w:p w:rsidR="00785C7E" w:rsidRPr="00F17A66" w:rsidRDefault="00785C7E" w:rsidP="00586E77">
      <w:pPr>
        <w:keepNext/>
        <w:widowControl/>
        <w:rPr>
          <w:rFonts w:ascii="Arial Narrow" w:hAnsi="Arial Narrow"/>
          <w:sz w:val="18"/>
        </w:rPr>
      </w:pPr>
      <w:r w:rsidRPr="00F17A66">
        <w:rPr>
          <w:rFonts w:ascii="Arial Narrow" w:hAnsi="Arial Narrow"/>
          <w:sz w:val="18"/>
        </w:rPr>
        <w:t>Source: Section D.5, pp17-20 of Section D of the submission and the Economic evaluation workbook.xlsx</w:t>
      </w:r>
    </w:p>
    <w:p w:rsidR="00785C7E" w:rsidRPr="00F17A66" w:rsidRDefault="00785C7E" w:rsidP="00586E77">
      <w:pPr>
        <w:keepNext/>
        <w:widowControl/>
        <w:rPr>
          <w:rFonts w:ascii="Arial Narrow" w:hAnsi="Arial Narrow"/>
          <w:sz w:val="18"/>
        </w:rPr>
      </w:pPr>
      <w:r w:rsidRPr="00F17A66">
        <w:rPr>
          <w:rFonts w:ascii="Arial Narrow" w:hAnsi="Arial Narrow"/>
          <w:sz w:val="18"/>
        </w:rPr>
        <w:t xml:space="preserve">AE= adverse event; </w:t>
      </w:r>
      <w:r w:rsidR="00E34529" w:rsidRPr="00F17A66">
        <w:rPr>
          <w:rFonts w:ascii="Arial Narrow" w:hAnsi="Arial Narrow"/>
          <w:sz w:val="18"/>
        </w:rPr>
        <w:t xml:space="preserve">BSC = best supportive care; HR = hazard ratio; ICER = incremental cost effectiveness ratio; </w:t>
      </w:r>
      <w:r w:rsidR="00BA3664" w:rsidRPr="00F17A66">
        <w:rPr>
          <w:rFonts w:ascii="Arial Narrow" w:hAnsi="Arial Narrow"/>
          <w:sz w:val="18"/>
        </w:rPr>
        <w:t xml:space="preserve">KM = Kaplan-Meier; </w:t>
      </w:r>
      <w:r w:rsidRPr="00F17A66">
        <w:rPr>
          <w:rFonts w:ascii="Arial Narrow" w:hAnsi="Arial Narrow"/>
          <w:sz w:val="18"/>
        </w:rPr>
        <w:t xml:space="preserve">LYG = life years gained; MRU = medical resource usage; O-Benda = </w:t>
      </w:r>
      <w:proofErr w:type="spellStart"/>
      <w:r w:rsidRPr="00F17A66">
        <w:rPr>
          <w:rFonts w:ascii="Arial Narrow" w:hAnsi="Arial Narrow"/>
          <w:sz w:val="18"/>
        </w:rPr>
        <w:t>obinutuzumab-bendamustine</w:t>
      </w:r>
      <w:proofErr w:type="spellEnd"/>
      <w:r w:rsidRPr="00F17A66">
        <w:rPr>
          <w:rFonts w:ascii="Arial Narrow" w:hAnsi="Arial Narrow"/>
          <w:sz w:val="18"/>
        </w:rPr>
        <w:t xml:space="preserve">; </w:t>
      </w:r>
      <w:r w:rsidR="00A72DE3" w:rsidRPr="00F17A66">
        <w:rPr>
          <w:rFonts w:ascii="Arial Narrow" w:hAnsi="Arial Narrow"/>
          <w:sz w:val="18"/>
        </w:rPr>
        <w:t xml:space="preserve">OS = overall survival; </w:t>
      </w:r>
      <w:r w:rsidR="00BA3664" w:rsidRPr="00F17A66">
        <w:rPr>
          <w:rFonts w:ascii="Arial Narrow" w:hAnsi="Arial Narrow"/>
          <w:sz w:val="18"/>
        </w:rPr>
        <w:t xml:space="preserve">PD = Progressed disease; </w:t>
      </w:r>
      <w:r w:rsidR="00E34529" w:rsidRPr="00F17A66">
        <w:rPr>
          <w:rFonts w:ascii="Arial Narrow" w:hAnsi="Arial Narrow"/>
          <w:sz w:val="18"/>
        </w:rPr>
        <w:t xml:space="preserve">PFS = progression free survival; </w:t>
      </w:r>
      <w:r w:rsidRPr="00F17A66">
        <w:rPr>
          <w:rFonts w:ascii="Arial Narrow" w:hAnsi="Arial Narrow"/>
          <w:sz w:val="18"/>
        </w:rPr>
        <w:t>QALY = quality-adjusted life year</w:t>
      </w:r>
      <w:r w:rsidR="00BA3664" w:rsidRPr="00F17A66">
        <w:rPr>
          <w:rFonts w:ascii="Arial Narrow" w:hAnsi="Arial Narrow"/>
          <w:sz w:val="18"/>
        </w:rPr>
        <w:t>; SAMEP = South Australian Medicines Evaluation Panel</w:t>
      </w:r>
    </w:p>
    <w:p w:rsidR="00785C7E" w:rsidRPr="000517CE" w:rsidRDefault="00785C7E" w:rsidP="00586E77">
      <w:pPr>
        <w:keepNext/>
        <w:widowControl/>
        <w:rPr>
          <w:rFonts w:ascii="Arial Narrow" w:hAnsi="Arial Narrow"/>
          <w:sz w:val="18"/>
        </w:rPr>
      </w:pPr>
      <w:proofErr w:type="gramStart"/>
      <w:r w:rsidRPr="000517CE">
        <w:rPr>
          <w:rFonts w:ascii="Arial Narrow" w:hAnsi="Arial Narrow"/>
          <w:sz w:val="18"/>
          <w:vertAlign w:val="superscript"/>
        </w:rPr>
        <w:t>a</w:t>
      </w:r>
      <w:proofErr w:type="gramEnd"/>
      <w:r w:rsidRPr="000517CE">
        <w:rPr>
          <w:rFonts w:ascii="Arial Narrow" w:hAnsi="Arial Narrow"/>
          <w:sz w:val="18"/>
        </w:rPr>
        <w:t> Values provided by submission were different and could not be verified</w:t>
      </w:r>
      <w:r w:rsidR="00BA3664" w:rsidRPr="000517CE">
        <w:rPr>
          <w:rFonts w:ascii="Arial Narrow" w:hAnsi="Arial Narrow"/>
          <w:sz w:val="18"/>
        </w:rPr>
        <w:t xml:space="preserve">. The values presented in </w:t>
      </w:r>
      <w:r w:rsidR="00AE14E5" w:rsidRPr="000517CE">
        <w:rPr>
          <w:rFonts w:ascii="Arial Narrow" w:hAnsi="Arial Narrow"/>
          <w:sz w:val="18"/>
        </w:rPr>
        <w:t>parentheses</w:t>
      </w:r>
      <w:r w:rsidR="00BA3664" w:rsidRPr="000517CE">
        <w:rPr>
          <w:rFonts w:ascii="Arial Narrow" w:hAnsi="Arial Narrow"/>
          <w:sz w:val="18"/>
        </w:rPr>
        <w:t xml:space="preserve"> were derived from the economic model</w:t>
      </w:r>
      <w:r w:rsidR="00AE14E5" w:rsidRPr="000517CE">
        <w:rPr>
          <w:rFonts w:ascii="Arial Narrow" w:hAnsi="Arial Narrow"/>
          <w:sz w:val="18"/>
        </w:rPr>
        <w:t xml:space="preserve"> during the evaluation</w:t>
      </w:r>
      <w:r w:rsidR="00BA3664" w:rsidRPr="000517CE">
        <w:rPr>
          <w:rFonts w:ascii="Arial Narrow" w:hAnsi="Arial Narrow"/>
          <w:sz w:val="18"/>
        </w:rPr>
        <w:t>, using the assumptions as presented in the submission</w:t>
      </w:r>
      <w:r w:rsidRPr="000517CE">
        <w:rPr>
          <w:rFonts w:ascii="Arial Narrow" w:hAnsi="Arial Narrow"/>
          <w:sz w:val="18"/>
        </w:rPr>
        <w:t>.</w:t>
      </w:r>
    </w:p>
    <w:p w:rsidR="00785C7E" w:rsidRPr="00F17A66" w:rsidRDefault="00785C7E" w:rsidP="00161281"/>
    <w:p w:rsidR="00A656AC" w:rsidRPr="00501C33" w:rsidRDefault="00D61FF7" w:rsidP="005D5FF8">
      <w:pPr>
        <w:pStyle w:val="ListParagraph"/>
        <w:widowControl/>
        <w:numPr>
          <w:ilvl w:val="1"/>
          <w:numId w:val="1"/>
        </w:numPr>
      </w:pPr>
      <w:r>
        <w:t>T</w:t>
      </w:r>
      <w:r w:rsidR="00A656AC" w:rsidRPr="00501C33">
        <w:t xml:space="preserve">he model was most sensitive to the </w:t>
      </w:r>
      <w:r w:rsidR="003120F2" w:rsidRPr="00501C33">
        <w:t>time horizon</w:t>
      </w:r>
      <w:r w:rsidR="00A656AC" w:rsidRPr="00501C33">
        <w:t xml:space="preserve">. This was due to the assumed continued </w:t>
      </w:r>
      <w:r>
        <w:t>treatment</w:t>
      </w:r>
      <w:r w:rsidRPr="00501C33">
        <w:t xml:space="preserve"> </w:t>
      </w:r>
      <w:r w:rsidR="00A656AC" w:rsidRPr="00501C33">
        <w:t>benefit</w:t>
      </w:r>
      <w:r w:rsidR="00A656AC" w:rsidRPr="00F17A66">
        <w:rPr>
          <w:i/>
        </w:rPr>
        <w:t xml:space="preserve"> </w:t>
      </w:r>
      <w:r w:rsidR="00A656AC" w:rsidRPr="00501C33">
        <w:t>beyond the trial duration, while no costs occurred beyond 2.5 years. The following aspects were not tested in sensitivity analyses during evaluation:</w:t>
      </w:r>
    </w:p>
    <w:p w:rsidR="007C24F4" w:rsidRDefault="00A656AC" w:rsidP="00C25D9C">
      <w:pPr>
        <w:pStyle w:val="ListParagraph"/>
        <w:widowControl/>
        <w:numPr>
          <w:ilvl w:val="0"/>
          <w:numId w:val="10"/>
        </w:numPr>
      </w:pPr>
      <w:r w:rsidRPr="00501C33">
        <w:t xml:space="preserve">Converging of </w:t>
      </w:r>
      <w:r w:rsidR="003634EF">
        <w:t>OS</w:t>
      </w:r>
    </w:p>
    <w:p w:rsidR="00C25D9C" w:rsidRPr="007C24F4" w:rsidRDefault="00A656AC" w:rsidP="00C25D9C">
      <w:pPr>
        <w:pStyle w:val="ListParagraph"/>
        <w:widowControl/>
        <w:numPr>
          <w:ilvl w:val="0"/>
          <w:numId w:val="10"/>
        </w:numPr>
        <w:rPr>
          <w:szCs w:val="22"/>
        </w:rPr>
      </w:pPr>
      <w:r w:rsidRPr="00501C33">
        <w:t>Costs for post</w:t>
      </w:r>
      <w:r w:rsidR="00FA5596" w:rsidRPr="00501C33">
        <w:t>-</w:t>
      </w:r>
      <w:r w:rsidRPr="00501C33">
        <w:t>progression treatment, medical resource use in the health state</w:t>
      </w:r>
      <w:r w:rsidR="00FA5596" w:rsidRPr="00501C33">
        <w:t>s</w:t>
      </w:r>
      <w:r w:rsidRPr="00501C33">
        <w:t xml:space="preserve"> (beyond the treatment period), death</w:t>
      </w:r>
      <w:r w:rsidR="00F8068F">
        <w:t>.</w:t>
      </w:r>
    </w:p>
    <w:p w:rsidR="007C24F4" w:rsidRPr="007618D6" w:rsidRDefault="007C24F4" w:rsidP="007C24F4">
      <w:pPr>
        <w:pStyle w:val="ListParagraph"/>
        <w:widowControl/>
        <w:ind w:left="1080"/>
        <w:rPr>
          <w:szCs w:val="22"/>
        </w:rPr>
      </w:pPr>
    </w:p>
    <w:p w:rsidR="00C25D9C" w:rsidRPr="00F17A66" w:rsidRDefault="00030CD7" w:rsidP="002C2775">
      <w:pPr>
        <w:pStyle w:val="Heading2"/>
        <w:rPr>
          <w:i/>
          <w:szCs w:val="22"/>
        </w:rPr>
      </w:pPr>
      <w:bookmarkStart w:id="27" w:name="_Toc458759489"/>
      <w:bookmarkStart w:id="28" w:name="_Toc461614089"/>
      <w:r w:rsidRPr="00F17A66">
        <w:rPr>
          <w:i/>
        </w:rPr>
        <w:t>Drug cost/patient</w:t>
      </w:r>
      <w:r w:rsidR="0014135B" w:rsidRPr="00F17A66">
        <w:rPr>
          <w:i/>
        </w:rPr>
        <w:t>/course</w:t>
      </w:r>
      <w:r w:rsidR="00C25D9C" w:rsidRPr="00F17A66">
        <w:rPr>
          <w:i/>
        </w:rPr>
        <w:t>: $</w:t>
      </w:r>
      <w:r w:rsidR="003772B2">
        <w:rPr>
          <w:i/>
          <w:noProof/>
          <w:color w:val="000000"/>
          <w:highlight w:val="black"/>
        </w:rPr>
        <w:t xml:space="preserve">'''''''''''' </w:t>
      </w:r>
      <w:r w:rsidR="004201A8" w:rsidRPr="00F17A66">
        <w:rPr>
          <w:i/>
        </w:rPr>
        <w:t>(</w:t>
      </w:r>
      <w:proofErr w:type="spellStart"/>
      <w:r w:rsidR="004201A8" w:rsidRPr="00F17A66">
        <w:rPr>
          <w:i/>
        </w:rPr>
        <w:t>obinutuzumab</w:t>
      </w:r>
      <w:proofErr w:type="spellEnd"/>
      <w:r w:rsidR="004201A8" w:rsidRPr="00F17A66">
        <w:rPr>
          <w:i/>
        </w:rPr>
        <w:t>) plus $</w:t>
      </w:r>
      <w:r w:rsidR="003772B2">
        <w:rPr>
          <w:i/>
          <w:noProof/>
          <w:color w:val="000000"/>
          <w:highlight w:val="black"/>
        </w:rPr>
        <w:t>''''''''''''''</w:t>
      </w:r>
      <w:r w:rsidR="004201A8" w:rsidRPr="00F17A66">
        <w:rPr>
          <w:i/>
        </w:rPr>
        <w:t xml:space="preserve"> (</w:t>
      </w:r>
      <w:proofErr w:type="spellStart"/>
      <w:r w:rsidR="004201A8" w:rsidRPr="00F17A66">
        <w:rPr>
          <w:i/>
        </w:rPr>
        <w:t>bendamustine</w:t>
      </w:r>
      <w:proofErr w:type="spellEnd"/>
      <w:r w:rsidR="004201A8" w:rsidRPr="00F17A66">
        <w:rPr>
          <w:i/>
        </w:rPr>
        <w:t>)</w:t>
      </w:r>
      <w:bookmarkEnd w:id="27"/>
      <w:bookmarkEnd w:id="28"/>
    </w:p>
    <w:p w:rsidR="00C25D9C" w:rsidRPr="00F17A66" w:rsidRDefault="00C25D9C" w:rsidP="00C25D9C">
      <w:pPr>
        <w:widowControl/>
        <w:rPr>
          <w:szCs w:val="22"/>
        </w:rPr>
      </w:pPr>
    </w:p>
    <w:p w:rsidR="00BB5BDF" w:rsidRPr="00F17A66" w:rsidRDefault="00BB5BDF" w:rsidP="005D5FF8">
      <w:pPr>
        <w:pStyle w:val="ListParagraph"/>
        <w:widowControl/>
        <w:numPr>
          <w:ilvl w:val="1"/>
          <w:numId w:val="1"/>
        </w:numPr>
        <w:rPr>
          <w:szCs w:val="22"/>
        </w:rPr>
      </w:pPr>
      <w:r w:rsidRPr="00F17A66">
        <w:rPr>
          <w:szCs w:val="22"/>
        </w:rPr>
        <w:t xml:space="preserve">The drug costs per patient per </w:t>
      </w:r>
      <w:r w:rsidR="004B3626" w:rsidRPr="00F17A66">
        <w:rPr>
          <w:szCs w:val="22"/>
        </w:rPr>
        <w:t>course</w:t>
      </w:r>
      <w:r w:rsidRPr="00F17A66">
        <w:rPr>
          <w:szCs w:val="22"/>
        </w:rPr>
        <w:t xml:space="preserve"> of </w:t>
      </w:r>
      <w:proofErr w:type="spellStart"/>
      <w:r w:rsidRPr="00F17A66">
        <w:rPr>
          <w:szCs w:val="22"/>
        </w:rPr>
        <w:t>obinutuzumab</w:t>
      </w:r>
      <w:proofErr w:type="spellEnd"/>
      <w:r w:rsidRPr="00F17A66">
        <w:rPr>
          <w:szCs w:val="22"/>
        </w:rPr>
        <w:t xml:space="preserve"> therapy was estimated using the following assumptions</w:t>
      </w:r>
      <w:r w:rsidR="00C91DCB" w:rsidRPr="00F17A66">
        <w:rPr>
          <w:szCs w:val="22"/>
        </w:rPr>
        <w:t>:</w:t>
      </w:r>
    </w:p>
    <w:p w:rsidR="00B60939" w:rsidRPr="00F17A66" w:rsidRDefault="00BB5BDF" w:rsidP="005D5FF8">
      <w:pPr>
        <w:pStyle w:val="ListParagraph"/>
        <w:numPr>
          <w:ilvl w:val="0"/>
          <w:numId w:val="6"/>
        </w:numPr>
        <w:ind w:left="1134"/>
      </w:pPr>
      <w:r w:rsidRPr="00F17A66">
        <w:t xml:space="preserve">A weighted price of </w:t>
      </w:r>
      <w:proofErr w:type="spellStart"/>
      <w:r w:rsidRPr="00F17A66">
        <w:t>obinutuzumab</w:t>
      </w:r>
      <w:proofErr w:type="spellEnd"/>
      <w:r w:rsidR="004B3626" w:rsidRPr="00F17A66">
        <w:t xml:space="preserve"> ($</w:t>
      </w:r>
      <w:r w:rsidR="003772B2">
        <w:rPr>
          <w:noProof/>
          <w:color w:val="000000"/>
          <w:highlight w:val="black"/>
        </w:rPr>
        <w:t>'''''''''''''''''''''''</w:t>
      </w:r>
      <w:r w:rsidR="004B3626" w:rsidRPr="00F17A66">
        <w:t>)</w:t>
      </w:r>
      <w:r w:rsidRPr="00F17A66">
        <w:t xml:space="preserve"> based on the dispensed price for maximum amount in the public and private settings</w:t>
      </w:r>
      <w:r w:rsidR="004B3626" w:rsidRPr="00F17A66">
        <w:t xml:space="preserve"> (</w:t>
      </w:r>
      <w:r w:rsidR="004B3626" w:rsidRPr="00500F47">
        <w:t>52.7</w:t>
      </w:r>
      <w:r w:rsidR="004B3626" w:rsidRPr="00F17A66">
        <w:t xml:space="preserve">% versus </w:t>
      </w:r>
      <w:r w:rsidR="004B3626" w:rsidRPr="00500F47">
        <w:t>47.3</w:t>
      </w:r>
      <w:r w:rsidR="004B3626" w:rsidRPr="00F17A66">
        <w:t>%)</w:t>
      </w:r>
      <w:r w:rsidR="001E5A99" w:rsidRPr="00F17A66">
        <w:t xml:space="preserve">, and a </w:t>
      </w:r>
      <w:r w:rsidR="003772B2">
        <w:rPr>
          <w:noProof/>
          <w:color w:val="000000"/>
          <w:highlight w:val="black"/>
        </w:rPr>
        <w:t>''''''</w:t>
      </w:r>
      <w:r w:rsidR="001E5A99" w:rsidRPr="00F17A66">
        <w:t>% discount on the ex-manufacturer price.</w:t>
      </w:r>
    </w:p>
    <w:p w:rsidR="00BB5BDF" w:rsidRPr="00F17A66" w:rsidRDefault="004B3626" w:rsidP="005D5FF8">
      <w:pPr>
        <w:pStyle w:val="ListParagraph"/>
        <w:numPr>
          <w:ilvl w:val="0"/>
          <w:numId w:val="6"/>
        </w:numPr>
        <w:ind w:left="1134"/>
      </w:pPr>
      <w:r w:rsidRPr="00F17A66">
        <w:t>Assuming eight induction administrations ($</w:t>
      </w:r>
      <w:r w:rsidR="003772B2">
        <w:rPr>
          <w:noProof/>
          <w:color w:val="000000"/>
          <w:highlight w:val="black"/>
        </w:rPr>
        <w:t>''''''''''''''''</w:t>
      </w:r>
      <w:r w:rsidRPr="00F17A66">
        <w:t>) and twelve maintenance administrations ($</w:t>
      </w:r>
      <w:r w:rsidR="003772B2">
        <w:rPr>
          <w:noProof/>
          <w:color w:val="000000"/>
          <w:highlight w:val="black"/>
        </w:rPr>
        <w:t>''''''''''''''''''</w:t>
      </w:r>
      <w:r w:rsidRPr="00F17A66">
        <w:t>)</w:t>
      </w:r>
      <w:r w:rsidR="00FA5596" w:rsidRPr="00F17A66">
        <w:t>.</w:t>
      </w:r>
    </w:p>
    <w:p w:rsidR="00E8432C" w:rsidRPr="00F17A66" w:rsidRDefault="00E8432C" w:rsidP="00E8432C"/>
    <w:p w:rsidR="00E8432C" w:rsidRPr="00F17A66" w:rsidRDefault="00E8432C" w:rsidP="005D5FF8">
      <w:pPr>
        <w:pStyle w:val="ListParagraph"/>
        <w:widowControl/>
        <w:numPr>
          <w:ilvl w:val="1"/>
          <w:numId w:val="1"/>
        </w:numPr>
        <w:rPr>
          <w:szCs w:val="22"/>
        </w:rPr>
      </w:pPr>
      <w:proofErr w:type="spellStart"/>
      <w:r w:rsidRPr="00F17A66">
        <w:rPr>
          <w:szCs w:val="22"/>
        </w:rPr>
        <w:t>Obinutuzumab</w:t>
      </w:r>
      <w:proofErr w:type="spellEnd"/>
      <w:r w:rsidRPr="00F17A66">
        <w:rPr>
          <w:szCs w:val="22"/>
        </w:rPr>
        <w:t xml:space="preserve"> is to be taken with </w:t>
      </w:r>
      <w:proofErr w:type="spellStart"/>
      <w:r w:rsidRPr="00F17A66">
        <w:rPr>
          <w:szCs w:val="22"/>
        </w:rPr>
        <w:t>bendamustine</w:t>
      </w:r>
      <w:proofErr w:type="spellEnd"/>
      <w:r w:rsidRPr="00F17A66">
        <w:rPr>
          <w:szCs w:val="22"/>
        </w:rPr>
        <w:t xml:space="preserve"> for a maximum of six cycles</w:t>
      </w:r>
      <w:r w:rsidR="00E50397" w:rsidRPr="00F17A66">
        <w:rPr>
          <w:szCs w:val="22"/>
        </w:rPr>
        <w:t xml:space="preserve">. The TGA-approved </w:t>
      </w:r>
      <w:proofErr w:type="spellStart"/>
      <w:r w:rsidR="00E50397" w:rsidRPr="00F17A66">
        <w:rPr>
          <w:szCs w:val="22"/>
        </w:rPr>
        <w:t>bendamustine</w:t>
      </w:r>
      <w:proofErr w:type="spellEnd"/>
      <w:r w:rsidR="00E50397" w:rsidRPr="00F17A66">
        <w:rPr>
          <w:szCs w:val="22"/>
        </w:rPr>
        <w:t xml:space="preserve"> dose for combination therapy is 90 mg/m</w:t>
      </w:r>
      <w:r w:rsidR="00E50397" w:rsidRPr="00F17A66">
        <w:rPr>
          <w:szCs w:val="22"/>
          <w:vertAlign w:val="superscript"/>
        </w:rPr>
        <w:t>2</w:t>
      </w:r>
      <w:r w:rsidR="00E50397" w:rsidRPr="00F17A66">
        <w:rPr>
          <w:szCs w:val="22"/>
        </w:rPr>
        <w:t>,</w:t>
      </w:r>
      <w:r w:rsidRPr="00F17A66">
        <w:rPr>
          <w:szCs w:val="22"/>
        </w:rPr>
        <w:t xml:space="preserve"> and the actual dose in the GADOLIN trial was </w:t>
      </w:r>
      <w:r w:rsidR="003772B2">
        <w:rPr>
          <w:noProof/>
          <w:color w:val="000000"/>
          <w:szCs w:val="22"/>
          <w:highlight w:val="black"/>
        </w:rPr>
        <w:t>'''''''''</w:t>
      </w:r>
      <w:r w:rsidRPr="00F17A66">
        <w:rPr>
          <w:szCs w:val="22"/>
        </w:rPr>
        <w:t xml:space="preserve"> mg per administration. This dose can be achieved through </w:t>
      </w:r>
      <w:r w:rsidR="003772B2">
        <w:rPr>
          <w:noProof/>
          <w:color w:val="000000"/>
          <w:szCs w:val="22"/>
          <w:highlight w:val="black"/>
        </w:rPr>
        <w:t>''''''''''</w:t>
      </w:r>
      <w:r w:rsidRPr="00F17A66">
        <w:rPr>
          <w:szCs w:val="22"/>
        </w:rPr>
        <w:t xml:space="preserve"> 100 mg syringe and </w:t>
      </w:r>
      <w:r w:rsidR="003772B2">
        <w:rPr>
          <w:noProof/>
          <w:color w:val="000000"/>
          <w:szCs w:val="22"/>
          <w:highlight w:val="black"/>
        </w:rPr>
        <w:t>'''''''''''''</w:t>
      </w:r>
      <w:r w:rsidRPr="00F17A66">
        <w:rPr>
          <w:szCs w:val="22"/>
        </w:rPr>
        <w:t xml:space="preserve"> 25 mg syringes</w:t>
      </w:r>
      <w:r w:rsidR="00E73EC8" w:rsidRPr="00F17A66">
        <w:rPr>
          <w:szCs w:val="22"/>
        </w:rPr>
        <w:t xml:space="preserve"> of </w:t>
      </w:r>
      <w:proofErr w:type="spellStart"/>
      <w:r w:rsidR="00E73EC8" w:rsidRPr="00F17A66">
        <w:rPr>
          <w:szCs w:val="22"/>
        </w:rPr>
        <w:t>bendamustine</w:t>
      </w:r>
      <w:proofErr w:type="spellEnd"/>
      <w:r w:rsidRPr="00F17A66">
        <w:rPr>
          <w:szCs w:val="22"/>
        </w:rPr>
        <w:t xml:space="preserve"> (PBS items 10760H and 10763L). Further the public and private hospital setting split was also assumed to be </w:t>
      </w:r>
      <w:r w:rsidRPr="00500F47">
        <w:rPr>
          <w:szCs w:val="22"/>
        </w:rPr>
        <w:t>52.7</w:t>
      </w:r>
      <w:r w:rsidRPr="00F17A66">
        <w:rPr>
          <w:szCs w:val="22"/>
        </w:rPr>
        <w:t xml:space="preserve">% versus </w:t>
      </w:r>
      <w:r w:rsidRPr="00500F47">
        <w:rPr>
          <w:szCs w:val="22"/>
        </w:rPr>
        <w:t>47.3</w:t>
      </w:r>
      <w:r w:rsidRPr="00F17A66">
        <w:rPr>
          <w:szCs w:val="22"/>
        </w:rPr>
        <w:t xml:space="preserve">%. This would result </w:t>
      </w:r>
      <w:r w:rsidR="00FA5596" w:rsidRPr="00F17A66">
        <w:rPr>
          <w:szCs w:val="22"/>
        </w:rPr>
        <w:t>in a</w:t>
      </w:r>
      <w:r w:rsidRPr="00F17A66">
        <w:rPr>
          <w:szCs w:val="22"/>
        </w:rPr>
        <w:t xml:space="preserve"> weighted cost of $</w:t>
      </w:r>
      <w:r w:rsidR="003772B2">
        <w:rPr>
          <w:noProof/>
          <w:color w:val="000000"/>
          <w:szCs w:val="22"/>
          <w:highlight w:val="black"/>
        </w:rPr>
        <w:t>'''''''''''''</w:t>
      </w:r>
      <w:r w:rsidR="00FA5596" w:rsidRPr="00F17A66">
        <w:rPr>
          <w:szCs w:val="22"/>
        </w:rPr>
        <w:t xml:space="preserve"> </w:t>
      </w:r>
      <w:r w:rsidRPr="00F17A66">
        <w:rPr>
          <w:szCs w:val="22"/>
        </w:rPr>
        <w:t>per administration and $</w:t>
      </w:r>
      <w:r w:rsidR="003772B2">
        <w:rPr>
          <w:noProof/>
          <w:color w:val="000000"/>
          <w:szCs w:val="22"/>
          <w:highlight w:val="black"/>
        </w:rPr>
        <w:t>'''''''''''''''''</w:t>
      </w:r>
      <w:r w:rsidRPr="00F17A66">
        <w:rPr>
          <w:szCs w:val="22"/>
        </w:rPr>
        <w:t xml:space="preserve"> for a full course.</w:t>
      </w:r>
    </w:p>
    <w:p w:rsidR="004201A8" w:rsidRPr="00F17A66" w:rsidRDefault="004201A8" w:rsidP="00222D30">
      <w:pPr>
        <w:rPr>
          <w:b/>
        </w:rPr>
      </w:pPr>
    </w:p>
    <w:p w:rsidR="004201A8" w:rsidRPr="00F17A66" w:rsidRDefault="004201A8" w:rsidP="005D5FF8">
      <w:pPr>
        <w:pStyle w:val="ListParagraph"/>
        <w:widowControl/>
        <w:numPr>
          <w:ilvl w:val="1"/>
          <w:numId w:val="1"/>
        </w:numPr>
        <w:rPr>
          <w:szCs w:val="22"/>
        </w:rPr>
      </w:pPr>
      <w:r w:rsidRPr="00F17A66">
        <w:rPr>
          <w:szCs w:val="22"/>
        </w:rPr>
        <w:t xml:space="preserve">This </w:t>
      </w:r>
      <w:r w:rsidR="00FA5596" w:rsidRPr="00F17A66">
        <w:rPr>
          <w:szCs w:val="22"/>
        </w:rPr>
        <w:t>wa</w:t>
      </w:r>
      <w:r w:rsidRPr="00F17A66">
        <w:rPr>
          <w:szCs w:val="22"/>
        </w:rPr>
        <w:t xml:space="preserve">s compared to a cost of off-label use of </w:t>
      </w:r>
      <w:proofErr w:type="spellStart"/>
      <w:r w:rsidRPr="00F17A66">
        <w:rPr>
          <w:szCs w:val="22"/>
        </w:rPr>
        <w:t>bendamustine</w:t>
      </w:r>
      <w:proofErr w:type="spellEnd"/>
      <w:r w:rsidRPr="00F17A66">
        <w:rPr>
          <w:szCs w:val="22"/>
        </w:rPr>
        <w:t xml:space="preserve"> (120 mg/m</w:t>
      </w:r>
      <w:r w:rsidRPr="00F17A66">
        <w:rPr>
          <w:szCs w:val="22"/>
          <w:vertAlign w:val="superscript"/>
        </w:rPr>
        <w:t>2</w:t>
      </w:r>
      <w:r w:rsidRPr="00F17A66">
        <w:rPr>
          <w:szCs w:val="22"/>
        </w:rPr>
        <w:t>) for a maximum of six cycles</w:t>
      </w:r>
      <w:r w:rsidR="00E50397" w:rsidRPr="00F17A66">
        <w:rPr>
          <w:szCs w:val="22"/>
        </w:rPr>
        <w:t xml:space="preserve"> as monotherapy</w:t>
      </w:r>
      <w:r w:rsidRPr="00F17A66">
        <w:rPr>
          <w:szCs w:val="22"/>
        </w:rPr>
        <w:t xml:space="preserve">. Based on the actual dose in the GADOLIN trial, the number of syringes needed were </w:t>
      </w:r>
      <w:r w:rsidR="003772B2">
        <w:rPr>
          <w:noProof/>
          <w:color w:val="000000"/>
          <w:szCs w:val="22"/>
          <w:highlight w:val="black"/>
        </w:rPr>
        <w:t>''''''''</w:t>
      </w:r>
      <w:r w:rsidRPr="00F17A66">
        <w:rPr>
          <w:szCs w:val="22"/>
        </w:rPr>
        <w:t xml:space="preserve"> 100 mg syringe</w:t>
      </w:r>
      <w:r w:rsidR="00FA5596" w:rsidRPr="00F17A66">
        <w:rPr>
          <w:szCs w:val="22"/>
        </w:rPr>
        <w:t>s</w:t>
      </w:r>
      <w:r w:rsidRPr="00F17A66">
        <w:rPr>
          <w:szCs w:val="22"/>
        </w:rPr>
        <w:t xml:space="preserve"> and</w:t>
      </w:r>
      <w:r w:rsidRPr="00E74642">
        <w:rPr>
          <w:szCs w:val="22"/>
        </w:rPr>
        <w:t xml:space="preserve"> </w:t>
      </w:r>
      <w:r w:rsidR="003772B2">
        <w:rPr>
          <w:noProof/>
          <w:color w:val="000000"/>
          <w:szCs w:val="22"/>
          <w:highlight w:val="black"/>
        </w:rPr>
        <w:t>'''''''''</w:t>
      </w:r>
      <w:r w:rsidRPr="00E74642">
        <w:rPr>
          <w:szCs w:val="22"/>
        </w:rPr>
        <w:t xml:space="preserve"> </w:t>
      </w:r>
      <w:r w:rsidRPr="00F17A66">
        <w:rPr>
          <w:szCs w:val="22"/>
        </w:rPr>
        <w:t>25 mg syringe</w:t>
      </w:r>
      <w:r w:rsidR="00FA5596" w:rsidRPr="00F17A66">
        <w:rPr>
          <w:szCs w:val="22"/>
        </w:rPr>
        <w:t>s</w:t>
      </w:r>
      <w:r w:rsidRPr="00F17A66">
        <w:rPr>
          <w:szCs w:val="22"/>
        </w:rPr>
        <w:t xml:space="preserve"> for the first cycle and </w:t>
      </w:r>
      <w:r w:rsidR="003772B2">
        <w:rPr>
          <w:noProof/>
          <w:color w:val="000000"/>
          <w:szCs w:val="22"/>
          <w:highlight w:val="black"/>
        </w:rPr>
        <w:t>''''''''</w:t>
      </w:r>
      <w:r w:rsidRPr="00F17A66">
        <w:rPr>
          <w:szCs w:val="22"/>
        </w:rPr>
        <w:t xml:space="preserve"> 100 mg syringe</w:t>
      </w:r>
      <w:r w:rsidR="00FA5596" w:rsidRPr="00F17A66">
        <w:rPr>
          <w:szCs w:val="22"/>
        </w:rPr>
        <w:t>s</w:t>
      </w:r>
      <w:r w:rsidRPr="00F17A66">
        <w:rPr>
          <w:szCs w:val="22"/>
        </w:rPr>
        <w:t xml:space="preserve"> and </w:t>
      </w:r>
      <w:r w:rsidR="003772B2">
        <w:rPr>
          <w:noProof/>
          <w:color w:val="000000"/>
          <w:szCs w:val="22"/>
          <w:highlight w:val="black"/>
        </w:rPr>
        <w:t>''''''''''</w:t>
      </w:r>
      <w:r w:rsidRPr="00F17A66">
        <w:rPr>
          <w:szCs w:val="22"/>
        </w:rPr>
        <w:t xml:space="preserve"> 25 </w:t>
      </w:r>
      <w:r w:rsidR="00E74642">
        <w:rPr>
          <w:szCs w:val="22"/>
        </w:rPr>
        <w:t xml:space="preserve">mg </w:t>
      </w:r>
      <w:r w:rsidRPr="00F17A66">
        <w:rPr>
          <w:szCs w:val="22"/>
        </w:rPr>
        <w:t>syringe for the second to the sixth cycle. Using a similar split for the public and private hos</w:t>
      </w:r>
      <w:r w:rsidR="00F2617F" w:rsidRPr="00F17A66">
        <w:rPr>
          <w:szCs w:val="22"/>
        </w:rPr>
        <w:t xml:space="preserve">pital setting the total cost would be </w:t>
      </w:r>
      <w:r w:rsidR="00297407">
        <w:rPr>
          <w:szCs w:val="22"/>
        </w:rPr>
        <w:t>$</w:t>
      </w:r>
      <w:r w:rsidR="003772B2">
        <w:rPr>
          <w:noProof/>
          <w:color w:val="000000"/>
          <w:szCs w:val="22"/>
          <w:highlight w:val="black"/>
        </w:rPr>
        <w:t>''''''''''''''''''</w:t>
      </w:r>
      <w:r w:rsidR="002008A1" w:rsidRPr="002008A1">
        <w:rPr>
          <w:szCs w:val="22"/>
        </w:rPr>
        <w:t xml:space="preserve"> </w:t>
      </w:r>
      <w:r w:rsidR="00F2617F" w:rsidRPr="00F17A66">
        <w:rPr>
          <w:szCs w:val="22"/>
        </w:rPr>
        <w:t>for the full course.</w:t>
      </w:r>
      <w:r w:rsidR="009A0E52">
        <w:rPr>
          <w:szCs w:val="22"/>
        </w:rPr>
        <w:t xml:space="preserve"> The PBAC considered </w:t>
      </w:r>
      <w:r w:rsidR="000B445E">
        <w:rPr>
          <w:szCs w:val="22"/>
        </w:rPr>
        <w:t>that the appropriate cost</w:t>
      </w:r>
      <w:r w:rsidR="009A0E52">
        <w:rPr>
          <w:szCs w:val="22"/>
        </w:rPr>
        <w:t xml:space="preserve"> </w:t>
      </w:r>
      <w:r w:rsidR="000B445E">
        <w:rPr>
          <w:szCs w:val="22"/>
        </w:rPr>
        <w:t xml:space="preserve">for best supportive care </w:t>
      </w:r>
      <w:r w:rsidR="009A0E52">
        <w:rPr>
          <w:szCs w:val="22"/>
        </w:rPr>
        <w:t>to be a</w:t>
      </w:r>
      <w:r w:rsidR="000B445E">
        <w:rPr>
          <w:szCs w:val="22"/>
        </w:rPr>
        <w:t>pplied in the economic model should be</w:t>
      </w:r>
      <w:r w:rsidR="009A0E52">
        <w:rPr>
          <w:szCs w:val="22"/>
        </w:rPr>
        <w:t xml:space="preserve"> the cost of six cycles of CHOP, rather than the cost of </w:t>
      </w:r>
      <w:proofErr w:type="spellStart"/>
      <w:r w:rsidR="009A0E52">
        <w:rPr>
          <w:szCs w:val="22"/>
        </w:rPr>
        <w:t>bendamustine</w:t>
      </w:r>
      <w:proofErr w:type="spellEnd"/>
      <w:r w:rsidR="009A0E52">
        <w:rPr>
          <w:szCs w:val="22"/>
        </w:rPr>
        <w:t>, which is not PBS-subsidised for rituximab-</w:t>
      </w:r>
      <w:r w:rsidR="00581824">
        <w:rPr>
          <w:szCs w:val="22"/>
        </w:rPr>
        <w:t>refractory follicular lymphoma.</w:t>
      </w:r>
    </w:p>
    <w:p w:rsidR="00D51758" w:rsidRPr="00F17A66" w:rsidRDefault="00D51758" w:rsidP="00222D30">
      <w:pPr>
        <w:rPr>
          <w:b/>
        </w:rPr>
      </w:pPr>
    </w:p>
    <w:p w:rsidR="00B60939" w:rsidRPr="00F17A66" w:rsidRDefault="00B60939" w:rsidP="002C2775">
      <w:pPr>
        <w:pStyle w:val="Heading2"/>
        <w:rPr>
          <w:i/>
        </w:rPr>
      </w:pPr>
      <w:bookmarkStart w:id="29" w:name="_Toc458759490"/>
      <w:bookmarkStart w:id="30" w:name="_Toc461614090"/>
      <w:r w:rsidRPr="00F17A66">
        <w:rPr>
          <w:i/>
        </w:rPr>
        <w:t>Estimated PBS usage &amp; financial implications</w:t>
      </w:r>
      <w:bookmarkEnd w:id="29"/>
      <w:bookmarkEnd w:id="30"/>
    </w:p>
    <w:p w:rsidR="00B60939" w:rsidRPr="00F17A66" w:rsidRDefault="00B60939" w:rsidP="00B60939">
      <w:pPr>
        <w:ind w:left="720" w:hanging="720"/>
        <w:rPr>
          <w:b/>
          <w:i/>
          <w:szCs w:val="22"/>
        </w:rPr>
      </w:pPr>
    </w:p>
    <w:p w:rsidR="00C25D9C" w:rsidRPr="00F17A66" w:rsidRDefault="0093786B" w:rsidP="005D5FF8">
      <w:pPr>
        <w:pStyle w:val="ListParagraph"/>
        <w:widowControl/>
        <w:numPr>
          <w:ilvl w:val="1"/>
          <w:numId w:val="1"/>
        </w:numPr>
        <w:rPr>
          <w:szCs w:val="22"/>
        </w:rPr>
      </w:pPr>
      <w:r>
        <w:t>This submission was</w:t>
      </w:r>
      <w:r w:rsidR="00440517" w:rsidRPr="00F17A66">
        <w:t xml:space="preserve"> not</w:t>
      </w:r>
      <w:r w:rsidR="00C25D9C" w:rsidRPr="00F17A66">
        <w:t xml:space="preserve"> considered by DUSC</w:t>
      </w:r>
      <w:r w:rsidR="00BB5BDF" w:rsidRPr="00F17A66">
        <w:t>. An epidemiological approach was used to estimate the incidence of rituximab-refractory follicular lymphoma</w:t>
      </w:r>
      <w:r w:rsidR="003312D1">
        <w:t>.</w:t>
      </w:r>
    </w:p>
    <w:p w:rsidR="00BB5BDF" w:rsidRPr="00F17A66" w:rsidRDefault="00BB5BDF" w:rsidP="00222D30"/>
    <w:p w:rsidR="00C25D9C" w:rsidRPr="00F17A66" w:rsidRDefault="00C25D9C" w:rsidP="00F82522">
      <w:pPr>
        <w:keepNext/>
        <w:widowControl/>
        <w:ind w:firstLine="720"/>
        <w:rPr>
          <w:rStyle w:val="CommentReference"/>
          <w:b w:val="0"/>
        </w:rPr>
      </w:pPr>
      <w:r w:rsidRPr="00F17A66">
        <w:rPr>
          <w:rStyle w:val="CommentReference"/>
        </w:rPr>
        <w:t xml:space="preserve">Table </w:t>
      </w:r>
      <w:r w:rsidR="00BB5BDF" w:rsidRPr="00F17A66">
        <w:rPr>
          <w:rStyle w:val="CommentReference"/>
        </w:rPr>
        <w:t>1</w:t>
      </w:r>
      <w:r w:rsidR="002A2CA7">
        <w:rPr>
          <w:rStyle w:val="CommentReference"/>
        </w:rPr>
        <w:t>0</w:t>
      </w:r>
      <w:r w:rsidRPr="00F17A66">
        <w:rPr>
          <w:rStyle w:val="CommentReference"/>
        </w:rPr>
        <w:t>: Estimated use and financial implications</w:t>
      </w:r>
    </w:p>
    <w:tbl>
      <w:tblPr>
        <w:tblW w:w="4604" w:type="pct"/>
        <w:tblInd w:w="737" w:type="dxa"/>
        <w:tblCellMar>
          <w:top w:w="28" w:type="dxa"/>
          <w:left w:w="28" w:type="dxa"/>
          <w:bottom w:w="28" w:type="dxa"/>
          <w:right w:w="28" w:type="dxa"/>
        </w:tblCellMar>
        <w:tblLook w:val="04A0" w:firstRow="1" w:lastRow="0" w:firstColumn="1" w:lastColumn="0" w:noHBand="0" w:noVBand="1"/>
      </w:tblPr>
      <w:tblGrid>
        <w:gridCol w:w="2722"/>
        <w:gridCol w:w="1106"/>
        <w:gridCol w:w="1132"/>
        <w:gridCol w:w="1136"/>
        <w:gridCol w:w="1134"/>
        <w:gridCol w:w="1134"/>
      </w:tblGrid>
      <w:tr w:rsidR="00F82522" w:rsidRPr="00F17A66" w:rsidTr="00F82522">
        <w:trPr>
          <w:trHeight w:val="20"/>
          <w:tblHeader/>
        </w:trPr>
        <w:tc>
          <w:tcPr>
            <w:tcW w:w="1627" w:type="pct"/>
            <w:tcBorders>
              <w:top w:val="single" w:sz="4" w:space="0" w:color="auto"/>
              <w:left w:val="single" w:sz="4" w:space="0" w:color="auto"/>
              <w:bottom w:val="single" w:sz="4" w:space="0" w:color="auto"/>
              <w:right w:val="single" w:sz="4" w:space="0" w:color="auto"/>
            </w:tcBorders>
            <w:vAlign w:val="center"/>
          </w:tcPr>
          <w:p w:rsidR="001E5A99" w:rsidRPr="00F17A66" w:rsidRDefault="001E5A99" w:rsidP="0014135B">
            <w:pPr>
              <w:pStyle w:val="TableText0"/>
              <w:spacing w:before="0" w:after="0"/>
            </w:pPr>
          </w:p>
        </w:tc>
        <w:tc>
          <w:tcPr>
            <w:tcW w:w="661"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b/>
              </w:rPr>
            </w:pPr>
            <w:r w:rsidRPr="00F17A66">
              <w:rPr>
                <w:b/>
              </w:rPr>
              <w:t>Year 1</w:t>
            </w:r>
          </w:p>
        </w:tc>
        <w:tc>
          <w:tcPr>
            <w:tcW w:w="677"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b/>
              </w:rPr>
            </w:pPr>
            <w:r w:rsidRPr="00F17A66">
              <w:rPr>
                <w:b/>
              </w:rPr>
              <w:t>Year 2</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b/>
              </w:rPr>
            </w:pPr>
            <w:r w:rsidRPr="00F17A66">
              <w:rPr>
                <w:b/>
              </w:rPr>
              <w:t>Year 3</w:t>
            </w:r>
          </w:p>
        </w:tc>
        <w:tc>
          <w:tcPr>
            <w:tcW w:w="678"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b/>
              </w:rPr>
            </w:pPr>
            <w:r w:rsidRPr="00F17A66">
              <w:rPr>
                <w:b/>
              </w:rPr>
              <w:t>Year 4</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b/>
              </w:rPr>
            </w:pPr>
            <w:r w:rsidRPr="00F17A66">
              <w:rPr>
                <w:b/>
              </w:rPr>
              <w:t>Year 5</w:t>
            </w:r>
          </w:p>
        </w:tc>
      </w:tr>
      <w:tr w:rsidR="00F82522" w:rsidRPr="00F17A66" w:rsidTr="00F82522">
        <w:trPr>
          <w:trHeight w:val="20"/>
        </w:trPr>
        <w:tc>
          <w:tcPr>
            <w:tcW w:w="1627" w:type="pct"/>
            <w:tcBorders>
              <w:top w:val="single" w:sz="4" w:space="0" w:color="auto"/>
              <w:left w:val="single" w:sz="4" w:space="0" w:color="auto"/>
              <w:bottom w:val="single" w:sz="4" w:space="0" w:color="auto"/>
              <w:right w:val="single" w:sz="4" w:space="0" w:color="auto"/>
            </w:tcBorders>
            <w:vAlign w:val="center"/>
          </w:tcPr>
          <w:p w:rsidR="00FA5596" w:rsidRPr="00F17A66" w:rsidRDefault="00FA5596" w:rsidP="0014135B">
            <w:pPr>
              <w:pStyle w:val="TableText0"/>
              <w:spacing w:before="0" w:after="0"/>
            </w:pPr>
            <w:r w:rsidRPr="00F17A66">
              <w:t xml:space="preserve">Treated patients </w:t>
            </w:r>
            <w:r w:rsidRPr="00F17A66">
              <w:rPr>
                <w:vertAlign w:val="superscript"/>
              </w:rPr>
              <w:t>a</w:t>
            </w:r>
          </w:p>
          <w:p w:rsidR="00FA5596" w:rsidRPr="00F17A66" w:rsidRDefault="00FA5596" w:rsidP="0040000A">
            <w:pPr>
              <w:pStyle w:val="TableText0"/>
              <w:spacing w:before="0" w:after="0"/>
              <w:ind w:firstLine="289"/>
            </w:pPr>
            <w:r w:rsidRPr="00F17A66">
              <w:t>Induction</w:t>
            </w:r>
          </w:p>
          <w:p w:rsidR="00FA5596" w:rsidRPr="00F17A66" w:rsidRDefault="00FA5596" w:rsidP="0040000A">
            <w:pPr>
              <w:pStyle w:val="TableText0"/>
              <w:spacing w:before="0" w:after="0"/>
              <w:ind w:firstLine="289"/>
            </w:pPr>
            <w:r w:rsidRPr="00F17A66">
              <w:t xml:space="preserve">Maintenance </w:t>
            </w:r>
            <w:r w:rsidRPr="00F17A66">
              <w:rPr>
                <w:vertAlign w:val="superscript"/>
              </w:rPr>
              <w:t>b</w:t>
            </w:r>
          </w:p>
        </w:tc>
        <w:tc>
          <w:tcPr>
            <w:tcW w:w="661" w:type="pct"/>
            <w:tcBorders>
              <w:top w:val="single" w:sz="4" w:space="0" w:color="auto"/>
              <w:left w:val="nil"/>
              <w:bottom w:val="single" w:sz="4" w:space="0" w:color="auto"/>
              <w:right w:val="single" w:sz="4" w:space="0" w:color="auto"/>
            </w:tcBorders>
            <w:vAlign w:val="center"/>
          </w:tcPr>
          <w:p w:rsidR="00FA5596" w:rsidRPr="00F17A66" w:rsidRDefault="00FA5596" w:rsidP="003312D1">
            <w:pPr>
              <w:pStyle w:val="TableText0"/>
              <w:spacing w:before="0" w:after="0"/>
              <w:jc w:val="center"/>
              <w:rPr>
                <w:rFonts w:cs="Calibri"/>
              </w:rPr>
            </w:pP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tc>
        <w:tc>
          <w:tcPr>
            <w:tcW w:w="677" w:type="pct"/>
            <w:tcBorders>
              <w:top w:val="single" w:sz="4" w:space="0" w:color="auto"/>
              <w:left w:val="nil"/>
              <w:bottom w:val="single" w:sz="4" w:space="0" w:color="auto"/>
              <w:right w:val="single" w:sz="4" w:space="0" w:color="auto"/>
            </w:tcBorders>
            <w:vAlign w:val="center"/>
          </w:tcPr>
          <w:p w:rsidR="00FA5596" w:rsidRPr="00F17A66" w:rsidRDefault="00FA5596" w:rsidP="003312D1">
            <w:pPr>
              <w:pStyle w:val="TableText0"/>
              <w:spacing w:before="0" w:after="0"/>
              <w:jc w:val="center"/>
              <w:rPr>
                <w:rFonts w:cs="Calibri"/>
              </w:rPr>
            </w:pP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tcPr>
          <w:p w:rsidR="00FA5596" w:rsidRPr="00F17A66" w:rsidRDefault="00FA5596" w:rsidP="003312D1">
            <w:pPr>
              <w:pStyle w:val="TableText0"/>
              <w:spacing w:before="0" w:after="0"/>
              <w:jc w:val="center"/>
              <w:rPr>
                <w:rFonts w:cs="Calibri"/>
              </w:rPr>
            </w:pP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tc>
        <w:tc>
          <w:tcPr>
            <w:tcW w:w="678" w:type="pct"/>
            <w:tcBorders>
              <w:top w:val="single" w:sz="4" w:space="0" w:color="auto"/>
              <w:left w:val="nil"/>
              <w:bottom w:val="single" w:sz="4" w:space="0" w:color="auto"/>
              <w:right w:val="single" w:sz="4" w:space="0" w:color="auto"/>
            </w:tcBorders>
            <w:vAlign w:val="center"/>
          </w:tcPr>
          <w:p w:rsidR="00FA5596" w:rsidRPr="00F17A66" w:rsidRDefault="00FA5596" w:rsidP="003312D1">
            <w:pPr>
              <w:pStyle w:val="TableText0"/>
              <w:spacing w:before="0" w:after="0"/>
              <w:jc w:val="center"/>
              <w:rPr>
                <w:rFonts w:cs="Calibri"/>
              </w:rPr>
            </w:pP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tcPr>
          <w:p w:rsidR="00FA5596" w:rsidRPr="00F17A66" w:rsidRDefault="00FA5596" w:rsidP="003312D1">
            <w:pPr>
              <w:pStyle w:val="TableText0"/>
              <w:spacing w:before="0" w:after="0"/>
              <w:jc w:val="center"/>
              <w:rPr>
                <w:rFonts w:cs="Calibri"/>
              </w:rPr>
            </w:pP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p w:rsidR="00FA5596" w:rsidRPr="003772B2" w:rsidRDefault="003772B2" w:rsidP="003312D1">
            <w:pPr>
              <w:pStyle w:val="TableText0"/>
              <w:spacing w:before="0" w:after="0"/>
              <w:jc w:val="center"/>
              <w:rPr>
                <w:rFonts w:cs="Calibri"/>
                <w:highlight w:val="black"/>
              </w:rPr>
            </w:pPr>
            <w:r>
              <w:rPr>
                <w:rFonts w:cs="Calibri"/>
                <w:noProof/>
                <w:color w:val="000000"/>
                <w:highlight w:val="black"/>
              </w:rPr>
              <w:t>'''''''''</w:t>
            </w:r>
          </w:p>
        </w:tc>
      </w:tr>
      <w:tr w:rsidR="00F82522" w:rsidRPr="00F17A66" w:rsidTr="00F82522">
        <w:trPr>
          <w:trHeight w:val="20"/>
        </w:trPr>
        <w:tc>
          <w:tcPr>
            <w:tcW w:w="1627" w:type="pct"/>
            <w:tcBorders>
              <w:top w:val="single" w:sz="4" w:space="0" w:color="auto"/>
              <w:left w:val="single" w:sz="4" w:space="0" w:color="auto"/>
              <w:bottom w:val="single" w:sz="4" w:space="0" w:color="auto"/>
              <w:right w:val="single" w:sz="4" w:space="0" w:color="auto"/>
            </w:tcBorders>
            <w:vAlign w:val="center"/>
          </w:tcPr>
          <w:p w:rsidR="00FA5596" w:rsidRPr="00F17A66" w:rsidRDefault="00FA5596" w:rsidP="0014135B">
            <w:pPr>
              <w:pStyle w:val="TableText0"/>
              <w:spacing w:before="0" w:after="0"/>
            </w:pPr>
            <w:r w:rsidRPr="00F17A66">
              <w:t xml:space="preserve">Scripts </w:t>
            </w:r>
            <w:r w:rsidRPr="00F17A66">
              <w:rPr>
                <w:vertAlign w:val="superscript"/>
              </w:rPr>
              <w:t>c</w:t>
            </w:r>
          </w:p>
        </w:tc>
        <w:tc>
          <w:tcPr>
            <w:tcW w:w="661" w:type="pct"/>
            <w:tcBorders>
              <w:top w:val="single" w:sz="4" w:space="0" w:color="auto"/>
              <w:left w:val="nil"/>
              <w:bottom w:val="single" w:sz="4" w:space="0" w:color="auto"/>
              <w:right w:val="single" w:sz="4" w:space="0" w:color="auto"/>
            </w:tcBorders>
            <w:vAlign w:val="center"/>
          </w:tcPr>
          <w:p w:rsidR="00FA5596" w:rsidRPr="003772B2" w:rsidRDefault="003772B2" w:rsidP="003312D1">
            <w:pPr>
              <w:pStyle w:val="TableText0"/>
              <w:spacing w:before="0" w:after="0"/>
              <w:jc w:val="center"/>
              <w:rPr>
                <w:rFonts w:cs="Calibri"/>
                <w:highlight w:val="black"/>
              </w:rPr>
            </w:pPr>
            <w:r>
              <w:rPr>
                <w:noProof/>
                <w:color w:val="000000"/>
                <w:highlight w:val="black"/>
              </w:rPr>
              <w:t>'''''''''''''</w:t>
            </w:r>
          </w:p>
        </w:tc>
        <w:tc>
          <w:tcPr>
            <w:tcW w:w="677" w:type="pct"/>
            <w:tcBorders>
              <w:top w:val="single" w:sz="4" w:space="0" w:color="auto"/>
              <w:left w:val="nil"/>
              <w:bottom w:val="single" w:sz="4" w:space="0" w:color="auto"/>
              <w:right w:val="single" w:sz="4" w:space="0" w:color="auto"/>
            </w:tcBorders>
            <w:vAlign w:val="center"/>
          </w:tcPr>
          <w:p w:rsidR="00FA5596" w:rsidRPr="003772B2" w:rsidRDefault="003772B2" w:rsidP="003312D1">
            <w:pPr>
              <w:pStyle w:val="TableText0"/>
              <w:spacing w:before="0" w:after="0"/>
              <w:jc w:val="center"/>
              <w:rPr>
                <w:rFonts w:cs="Calibri"/>
                <w:highlight w:val="black"/>
              </w:rPr>
            </w:pPr>
            <w:r>
              <w:rPr>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tcPr>
          <w:p w:rsidR="00FA5596" w:rsidRPr="003772B2" w:rsidRDefault="003772B2" w:rsidP="003312D1">
            <w:pPr>
              <w:pStyle w:val="TableText0"/>
              <w:spacing w:before="0" w:after="0"/>
              <w:jc w:val="center"/>
              <w:rPr>
                <w:rFonts w:cs="Calibri"/>
                <w:highlight w:val="black"/>
              </w:rPr>
            </w:pPr>
            <w:r>
              <w:rPr>
                <w:noProof/>
                <w:color w:val="000000"/>
                <w:highlight w:val="black"/>
              </w:rPr>
              <w:t>''''''''''''</w:t>
            </w:r>
          </w:p>
        </w:tc>
        <w:tc>
          <w:tcPr>
            <w:tcW w:w="678" w:type="pct"/>
            <w:tcBorders>
              <w:top w:val="single" w:sz="4" w:space="0" w:color="auto"/>
              <w:left w:val="nil"/>
              <w:bottom w:val="single" w:sz="4" w:space="0" w:color="auto"/>
              <w:right w:val="single" w:sz="4" w:space="0" w:color="auto"/>
            </w:tcBorders>
            <w:vAlign w:val="center"/>
          </w:tcPr>
          <w:p w:rsidR="00FA5596" w:rsidRPr="003772B2" w:rsidRDefault="003772B2" w:rsidP="003312D1">
            <w:pPr>
              <w:pStyle w:val="TableText0"/>
              <w:spacing w:before="0" w:after="0"/>
              <w:jc w:val="center"/>
              <w:rPr>
                <w:rFonts w:cs="Calibri"/>
                <w:highlight w:val="black"/>
              </w:rPr>
            </w:pPr>
            <w:r>
              <w:rPr>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tcPr>
          <w:p w:rsidR="00FA5596" w:rsidRPr="003772B2" w:rsidRDefault="003772B2" w:rsidP="003312D1">
            <w:pPr>
              <w:pStyle w:val="TableText0"/>
              <w:spacing w:before="0" w:after="0"/>
              <w:jc w:val="center"/>
              <w:rPr>
                <w:rFonts w:cs="Calibri"/>
                <w:highlight w:val="black"/>
              </w:rPr>
            </w:pPr>
            <w:r>
              <w:rPr>
                <w:noProof/>
                <w:color w:val="000000"/>
                <w:highlight w:val="black"/>
              </w:rPr>
              <w:t>'''''''''''''</w:t>
            </w:r>
          </w:p>
        </w:tc>
      </w:tr>
      <w:tr w:rsidR="00F82522" w:rsidRPr="00F17A66" w:rsidTr="00F82522">
        <w:trPr>
          <w:trHeight w:val="20"/>
        </w:trPr>
        <w:tc>
          <w:tcPr>
            <w:tcW w:w="1627" w:type="pct"/>
            <w:tcBorders>
              <w:top w:val="single" w:sz="4" w:space="0" w:color="auto"/>
              <w:left w:val="single" w:sz="4" w:space="0" w:color="auto"/>
              <w:bottom w:val="single" w:sz="4" w:space="0" w:color="auto"/>
              <w:right w:val="single" w:sz="4" w:space="0" w:color="auto"/>
            </w:tcBorders>
            <w:vAlign w:val="center"/>
            <w:hideMark/>
          </w:tcPr>
          <w:p w:rsidR="001E5A99" w:rsidRPr="00F17A66" w:rsidRDefault="001E5A99" w:rsidP="0014135B">
            <w:pPr>
              <w:pStyle w:val="TableText0"/>
              <w:spacing w:before="0" w:after="0"/>
            </w:pPr>
            <w:r w:rsidRPr="00F17A66">
              <w:t xml:space="preserve">Net cost to PBS/RPBS </w:t>
            </w:r>
          </w:p>
        </w:tc>
        <w:tc>
          <w:tcPr>
            <w:tcW w:w="661"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7"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8"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r>
      <w:tr w:rsidR="00F82522" w:rsidRPr="00F17A66" w:rsidTr="00F82522">
        <w:trPr>
          <w:trHeight w:val="20"/>
        </w:trPr>
        <w:tc>
          <w:tcPr>
            <w:tcW w:w="1627" w:type="pct"/>
            <w:tcBorders>
              <w:top w:val="single" w:sz="4" w:space="0" w:color="auto"/>
              <w:left w:val="single" w:sz="4" w:space="0" w:color="auto"/>
              <w:bottom w:val="single" w:sz="4" w:space="0" w:color="auto"/>
              <w:right w:val="single" w:sz="4" w:space="0" w:color="auto"/>
            </w:tcBorders>
            <w:vAlign w:val="center"/>
            <w:hideMark/>
          </w:tcPr>
          <w:p w:rsidR="001E5A99" w:rsidRPr="00F17A66" w:rsidRDefault="001E5A99" w:rsidP="0014135B">
            <w:pPr>
              <w:pStyle w:val="TableText0"/>
              <w:spacing w:before="0" w:after="0"/>
            </w:pPr>
            <w:r w:rsidRPr="00F17A66">
              <w:t>Net cost to MBS</w:t>
            </w:r>
            <w:r w:rsidR="00FA5596" w:rsidRPr="00F17A66">
              <w:t xml:space="preserve"> </w:t>
            </w:r>
            <w:r w:rsidR="00FA5596" w:rsidRPr="00F17A66">
              <w:rPr>
                <w:vertAlign w:val="superscript"/>
              </w:rPr>
              <w:t>d</w:t>
            </w:r>
          </w:p>
        </w:tc>
        <w:tc>
          <w:tcPr>
            <w:tcW w:w="661"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7"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8"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c>
          <w:tcPr>
            <w:tcW w:w="679" w:type="pct"/>
            <w:tcBorders>
              <w:top w:val="single" w:sz="4" w:space="0" w:color="auto"/>
              <w:left w:val="nil"/>
              <w:bottom w:val="single" w:sz="4" w:space="0" w:color="auto"/>
              <w:right w:val="single" w:sz="4" w:space="0" w:color="auto"/>
            </w:tcBorders>
            <w:vAlign w:val="center"/>
            <w:hideMark/>
          </w:tcPr>
          <w:p w:rsidR="001E5A99" w:rsidRPr="00F17A66" w:rsidRDefault="001E5A99" w:rsidP="003312D1">
            <w:pPr>
              <w:pStyle w:val="TableText0"/>
              <w:spacing w:before="0" w:after="0"/>
              <w:jc w:val="center"/>
              <w:rPr>
                <w:rFonts w:cs="Calibri"/>
              </w:rPr>
            </w:pPr>
            <w:r w:rsidRPr="00F17A66">
              <w:rPr>
                <w:rFonts w:cs="Calibri"/>
              </w:rPr>
              <w:t>$</w:t>
            </w:r>
            <w:r w:rsidR="003772B2">
              <w:rPr>
                <w:rFonts w:cs="Calibri"/>
                <w:noProof/>
                <w:color w:val="000000"/>
                <w:highlight w:val="black"/>
              </w:rPr>
              <w:t>'''''''''''''''''''''</w:t>
            </w:r>
          </w:p>
        </w:tc>
      </w:tr>
      <w:tr w:rsidR="00F82522" w:rsidRPr="00F17A66" w:rsidTr="00F82522">
        <w:trPr>
          <w:trHeight w:val="20"/>
        </w:trPr>
        <w:tc>
          <w:tcPr>
            <w:tcW w:w="1627" w:type="pct"/>
            <w:tcBorders>
              <w:top w:val="single" w:sz="4" w:space="0" w:color="auto"/>
              <w:left w:val="single" w:sz="4" w:space="0" w:color="auto"/>
              <w:bottom w:val="single" w:sz="4" w:space="0" w:color="auto"/>
              <w:right w:val="single" w:sz="4" w:space="0" w:color="auto"/>
            </w:tcBorders>
            <w:vAlign w:val="center"/>
            <w:hideMark/>
          </w:tcPr>
          <w:p w:rsidR="00F070AE" w:rsidRPr="00F17A66" w:rsidRDefault="00F070AE" w:rsidP="00DF295D">
            <w:pPr>
              <w:pStyle w:val="TableText0"/>
              <w:spacing w:before="0" w:after="0"/>
              <w:rPr>
                <w:b/>
              </w:rPr>
            </w:pPr>
            <w:r w:rsidRPr="00F17A66">
              <w:rPr>
                <w:b/>
              </w:rPr>
              <w:t xml:space="preserve">Total net cost to </w:t>
            </w:r>
            <w:r w:rsidR="00DF295D" w:rsidRPr="00F17A66">
              <w:rPr>
                <w:b/>
              </w:rPr>
              <w:t>PBS/RPBS/MBS</w:t>
            </w:r>
          </w:p>
        </w:tc>
        <w:tc>
          <w:tcPr>
            <w:tcW w:w="661" w:type="pct"/>
            <w:tcBorders>
              <w:top w:val="single" w:sz="4" w:space="0" w:color="auto"/>
              <w:left w:val="nil"/>
              <w:bottom w:val="single" w:sz="4" w:space="0" w:color="auto"/>
              <w:right w:val="single" w:sz="4" w:space="0" w:color="auto"/>
            </w:tcBorders>
            <w:vAlign w:val="bottom"/>
            <w:hideMark/>
          </w:tcPr>
          <w:p w:rsidR="00F070AE" w:rsidRPr="00F17A66" w:rsidRDefault="00F070AE" w:rsidP="003312D1">
            <w:pPr>
              <w:pStyle w:val="TableText0"/>
              <w:spacing w:before="0" w:after="0"/>
              <w:jc w:val="center"/>
              <w:rPr>
                <w:rFonts w:cs="Calibri"/>
                <w:b/>
              </w:rPr>
            </w:pPr>
            <w:r w:rsidRPr="00F17A66">
              <w:rPr>
                <w:b/>
              </w:rPr>
              <w:t>$</w:t>
            </w:r>
            <w:r w:rsidR="003772B2">
              <w:rPr>
                <w:b/>
                <w:noProof/>
                <w:color w:val="000000"/>
                <w:highlight w:val="black"/>
              </w:rPr>
              <w:t>''''''''''''''''''''''</w:t>
            </w:r>
          </w:p>
        </w:tc>
        <w:tc>
          <w:tcPr>
            <w:tcW w:w="677" w:type="pct"/>
            <w:tcBorders>
              <w:top w:val="single" w:sz="4" w:space="0" w:color="auto"/>
              <w:left w:val="nil"/>
              <w:bottom w:val="single" w:sz="4" w:space="0" w:color="auto"/>
              <w:right w:val="single" w:sz="4" w:space="0" w:color="auto"/>
            </w:tcBorders>
            <w:vAlign w:val="bottom"/>
            <w:hideMark/>
          </w:tcPr>
          <w:p w:rsidR="00F070AE" w:rsidRPr="00F17A66" w:rsidRDefault="00F070AE" w:rsidP="003312D1">
            <w:pPr>
              <w:pStyle w:val="TableText0"/>
              <w:spacing w:before="0" w:after="0"/>
              <w:jc w:val="center"/>
              <w:rPr>
                <w:rFonts w:cs="Calibri"/>
                <w:b/>
              </w:rPr>
            </w:pPr>
            <w:r w:rsidRPr="00F17A66">
              <w:rPr>
                <w:b/>
              </w:rPr>
              <w:t>$</w:t>
            </w:r>
            <w:r w:rsidR="003772B2">
              <w:rPr>
                <w:b/>
                <w:noProof/>
                <w:color w:val="000000"/>
                <w:highlight w:val="black"/>
              </w:rPr>
              <w:t>'''''''''''''''''''''''</w:t>
            </w:r>
          </w:p>
        </w:tc>
        <w:tc>
          <w:tcPr>
            <w:tcW w:w="679" w:type="pct"/>
            <w:tcBorders>
              <w:top w:val="single" w:sz="4" w:space="0" w:color="auto"/>
              <w:left w:val="nil"/>
              <w:bottom w:val="single" w:sz="4" w:space="0" w:color="auto"/>
              <w:right w:val="single" w:sz="4" w:space="0" w:color="auto"/>
            </w:tcBorders>
            <w:vAlign w:val="bottom"/>
            <w:hideMark/>
          </w:tcPr>
          <w:p w:rsidR="00F070AE" w:rsidRPr="00F17A66" w:rsidRDefault="00F070AE" w:rsidP="003312D1">
            <w:pPr>
              <w:pStyle w:val="TableText0"/>
              <w:spacing w:before="0" w:after="0"/>
              <w:jc w:val="center"/>
              <w:rPr>
                <w:rFonts w:cs="Calibri"/>
                <w:b/>
              </w:rPr>
            </w:pPr>
            <w:r w:rsidRPr="00F17A66">
              <w:rPr>
                <w:b/>
              </w:rPr>
              <w:t>$</w:t>
            </w:r>
            <w:r w:rsidR="003772B2">
              <w:rPr>
                <w:b/>
                <w:noProof/>
                <w:color w:val="000000"/>
                <w:highlight w:val="black"/>
              </w:rPr>
              <w:t>''''''''''''''''''''''</w:t>
            </w:r>
          </w:p>
        </w:tc>
        <w:tc>
          <w:tcPr>
            <w:tcW w:w="678" w:type="pct"/>
            <w:tcBorders>
              <w:top w:val="single" w:sz="4" w:space="0" w:color="auto"/>
              <w:left w:val="nil"/>
              <w:bottom w:val="single" w:sz="4" w:space="0" w:color="auto"/>
              <w:right w:val="single" w:sz="4" w:space="0" w:color="auto"/>
            </w:tcBorders>
            <w:vAlign w:val="bottom"/>
            <w:hideMark/>
          </w:tcPr>
          <w:p w:rsidR="00F070AE" w:rsidRPr="00F17A66" w:rsidRDefault="00F070AE" w:rsidP="003312D1">
            <w:pPr>
              <w:pStyle w:val="TableText0"/>
              <w:spacing w:before="0" w:after="0"/>
              <w:jc w:val="center"/>
              <w:rPr>
                <w:rFonts w:cs="Calibri"/>
                <w:b/>
              </w:rPr>
            </w:pPr>
            <w:r w:rsidRPr="00F17A66">
              <w:rPr>
                <w:b/>
              </w:rPr>
              <w:t>$</w:t>
            </w:r>
            <w:r w:rsidR="003772B2">
              <w:rPr>
                <w:b/>
                <w:noProof/>
                <w:color w:val="000000"/>
                <w:highlight w:val="black"/>
              </w:rPr>
              <w:t>''''''''''''''''''''</w:t>
            </w:r>
          </w:p>
        </w:tc>
        <w:tc>
          <w:tcPr>
            <w:tcW w:w="679" w:type="pct"/>
            <w:tcBorders>
              <w:top w:val="single" w:sz="4" w:space="0" w:color="auto"/>
              <w:left w:val="nil"/>
              <w:bottom w:val="single" w:sz="4" w:space="0" w:color="auto"/>
              <w:right w:val="single" w:sz="4" w:space="0" w:color="auto"/>
            </w:tcBorders>
            <w:vAlign w:val="bottom"/>
            <w:hideMark/>
          </w:tcPr>
          <w:p w:rsidR="00F070AE" w:rsidRPr="00F17A66" w:rsidRDefault="00F070AE" w:rsidP="003312D1">
            <w:pPr>
              <w:pStyle w:val="TableText0"/>
              <w:spacing w:before="0" w:after="0"/>
              <w:jc w:val="center"/>
              <w:rPr>
                <w:rFonts w:cs="Calibri"/>
                <w:b/>
              </w:rPr>
            </w:pPr>
            <w:r w:rsidRPr="00F17A66">
              <w:rPr>
                <w:b/>
              </w:rPr>
              <w:t>$</w:t>
            </w:r>
            <w:r w:rsidR="003772B2">
              <w:rPr>
                <w:b/>
                <w:noProof/>
                <w:color w:val="000000"/>
                <w:highlight w:val="black"/>
              </w:rPr>
              <w:t>'''''''''''''''''''''</w:t>
            </w:r>
          </w:p>
        </w:tc>
      </w:tr>
    </w:tbl>
    <w:p w:rsidR="001E5A99" w:rsidRPr="00F17A66" w:rsidRDefault="001E5A99" w:rsidP="00F82522">
      <w:pPr>
        <w:pStyle w:val="TableFooter"/>
        <w:keepNext/>
        <w:widowControl/>
        <w:ind w:left="720"/>
      </w:pPr>
      <w:r w:rsidRPr="00F17A66">
        <w:t>Source: Table E.5.9, p24 of Section E of the submission.</w:t>
      </w:r>
    </w:p>
    <w:p w:rsidR="001E5A99" w:rsidRPr="00F17A66" w:rsidRDefault="001E5A99" w:rsidP="00F82522">
      <w:pPr>
        <w:pStyle w:val="TableFooter"/>
        <w:keepNext/>
        <w:widowControl/>
        <w:ind w:left="720"/>
      </w:pPr>
      <w:r w:rsidRPr="00F17A66">
        <w:t xml:space="preserve">MBS = Medicare Benefits Schedule; PBS = Pharmaceutical Benefits Scheme; </w:t>
      </w:r>
      <w:r w:rsidR="00DF295D" w:rsidRPr="00F17A66">
        <w:t>RPB</w:t>
      </w:r>
      <w:r w:rsidR="00581824">
        <w:t>S = Repatriation Pharmaceutical</w:t>
      </w:r>
    </w:p>
    <w:p w:rsidR="00FA5596" w:rsidRPr="00F17A66" w:rsidRDefault="001E5A99" w:rsidP="00F82522">
      <w:pPr>
        <w:pStyle w:val="TableFooter"/>
        <w:keepNext/>
        <w:widowControl/>
        <w:ind w:left="720"/>
      </w:pPr>
      <w:proofErr w:type="gramStart"/>
      <w:r w:rsidRPr="00F17A66">
        <w:rPr>
          <w:vertAlign w:val="superscript"/>
        </w:rPr>
        <w:t>a</w:t>
      </w:r>
      <w:proofErr w:type="gramEnd"/>
      <w:r w:rsidR="00FA5596" w:rsidRPr="00F17A66">
        <w:t xml:space="preserve"> </w:t>
      </w:r>
      <w:r w:rsidR="003772B2">
        <w:rPr>
          <w:noProof/>
          <w:color w:val="000000"/>
          <w:highlight w:val="black"/>
        </w:rPr>
        <w:t>''''''</w:t>
      </w:r>
      <w:r w:rsidR="00FA5596" w:rsidRPr="00F17A66">
        <w:t>% uptake rate</w:t>
      </w:r>
    </w:p>
    <w:p w:rsidR="00FA5596" w:rsidRPr="00F17A66" w:rsidRDefault="00FA5596" w:rsidP="00F82522">
      <w:pPr>
        <w:pStyle w:val="TableFooter"/>
        <w:keepNext/>
        <w:widowControl/>
        <w:ind w:left="720"/>
      </w:pPr>
      <w:proofErr w:type="gramStart"/>
      <w:r w:rsidRPr="00F17A66">
        <w:rPr>
          <w:vertAlign w:val="superscript"/>
        </w:rPr>
        <w:t>b</w:t>
      </w:r>
      <w:proofErr w:type="gramEnd"/>
      <w:r w:rsidRPr="00F17A66">
        <w:t xml:space="preserve"> </w:t>
      </w:r>
      <w:r w:rsidR="003772B2">
        <w:rPr>
          <w:noProof/>
          <w:color w:val="000000"/>
          <w:highlight w:val="black"/>
        </w:rPr>
        <w:t>'''''''</w:t>
      </w:r>
      <w:r w:rsidRPr="00F17A66">
        <w:t xml:space="preserve">% of patients on induction will receive maintenance in first year, </w:t>
      </w:r>
      <w:r w:rsidR="003772B2">
        <w:rPr>
          <w:noProof/>
          <w:color w:val="000000"/>
          <w:highlight w:val="black"/>
        </w:rPr>
        <w:t>''''''</w:t>
      </w:r>
      <w:r w:rsidRPr="00F17A66">
        <w:t xml:space="preserve">% will receive maintenance in second year and </w:t>
      </w:r>
      <w:r w:rsidR="003772B2">
        <w:rPr>
          <w:noProof/>
          <w:color w:val="000000"/>
          <w:highlight w:val="black"/>
        </w:rPr>
        <w:t>'''''''</w:t>
      </w:r>
      <w:r w:rsidRPr="00F17A66">
        <w:t>% will receive maintenance in third year</w:t>
      </w:r>
    </w:p>
    <w:p w:rsidR="00FA5596" w:rsidRPr="00F17A66" w:rsidRDefault="00E74642" w:rsidP="00F82522">
      <w:pPr>
        <w:pStyle w:val="TableFooter"/>
        <w:keepNext/>
        <w:widowControl/>
        <w:ind w:left="720"/>
      </w:pPr>
      <w:r>
        <w:rPr>
          <w:vertAlign w:val="superscript"/>
        </w:rPr>
        <w:t>‘</w:t>
      </w:r>
      <w:r w:rsidR="00FA5596" w:rsidRPr="00F17A66">
        <w:rPr>
          <w:vertAlign w:val="superscript"/>
        </w:rPr>
        <w:t>c</w:t>
      </w:r>
      <w:r w:rsidR="00FA5596" w:rsidRPr="00F17A66">
        <w:t xml:space="preserve"> </w:t>
      </w:r>
      <w:r w:rsidR="003772B2">
        <w:rPr>
          <w:noProof/>
          <w:color w:val="000000"/>
          <w:highlight w:val="black"/>
        </w:rPr>
        <w:t xml:space="preserve">'''''''' </w:t>
      </w:r>
      <w:r w:rsidR="00FA5596" w:rsidRPr="00F17A66">
        <w:t xml:space="preserve">scripts for induction, for maintenance: </w:t>
      </w:r>
      <w:r w:rsidR="003772B2">
        <w:rPr>
          <w:noProof/>
          <w:color w:val="000000"/>
          <w:highlight w:val="black"/>
        </w:rPr>
        <w:t xml:space="preserve">''''''' </w:t>
      </w:r>
      <w:r w:rsidR="00FA5596" w:rsidRPr="00F17A66">
        <w:t xml:space="preserve">scripts in Year 1, </w:t>
      </w:r>
      <w:r w:rsidR="003772B2">
        <w:rPr>
          <w:noProof/>
          <w:color w:val="000000"/>
          <w:highlight w:val="black"/>
        </w:rPr>
        <w:t xml:space="preserve">'''''''' </w:t>
      </w:r>
      <w:r w:rsidR="00FA5596" w:rsidRPr="00F17A66">
        <w:t xml:space="preserve">scripts in Year 2 and </w:t>
      </w:r>
      <w:r w:rsidR="003772B2">
        <w:rPr>
          <w:noProof/>
          <w:color w:val="000000"/>
          <w:highlight w:val="black"/>
        </w:rPr>
        <w:t xml:space="preserve">''''''''' </w:t>
      </w:r>
      <w:r w:rsidR="00FA5596" w:rsidRPr="00F17A66">
        <w:t>scripts in Year 3</w:t>
      </w:r>
    </w:p>
    <w:p w:rsidR="00C25D9C" w:rsidRPr="00F17A66" w:rsidRDefault="00FA5596" w:rsidP="00F82522">
      <w:pPr>
        <w:pStyle w:val="TableFooter"/>
        <w:keepNext/>
        <w:widowControl/>
        <w:ind w:left="720"/>
        <w:rPr>
          <w:color w:val="3366FF"/>
        </w:rPr>
      </w:pPr>
      <w:proofErr w:type="gramStart"/>
      <w:r w:rsidRPr="00F17A66">
        <w:rPr>
          <w:vertAlign w:val="superscript"/>
        </w:rPr>
        <w:t>d</w:t>
      </w:r>
      <w:proofErr w:type="gramEnd"/>
      <w:r w:rsidRPr="00F17A66">
        <w:t xml:space="preserve"> </w:t>
      </w:r>
      <w:r w:rsidR="003772B2">
        <w:rPr>
          <w:noProof/>
          <w:color w:val="000000"/>
          <w:highlight w:val="black"/>
        </w:rPr>
        <w:t>''''''</w:t>
      </w:r>
      <w:r w:rsidR="001E5A99" w:rsidRPr="00F17A66">
        <w:t>% patient co-payment removed</w:t>
      </w:r>
    </w:p>
    <w:p w:rsidR="00C838C5" w:rsidRPr="00F17A66" w:rsidRDefault="00C838C5" w:rsidP="00C838C5">
      <w:pPr>
        <w:widowControl/>
        <w:ind w:left="709"/>
        <w:rPr>
          <w:szCs w:val="22"/>
        </w:rPr>
      </w:pPr>
    </w:p>
    <w:p w:rsidR="003D32D8" w:rsidRPr="00F17A66" w:rsidRDefault="00F82522" w:rsidP="005D5FF8">
      <w:pPr>
        <w:pStyle w:val="ListParagraph"/>
        <w:widowControl/>
        <w:numPr>
          <w:ilvl w:val="1"/>
          <w:numId w:val="1"/>
        </w:numPr>
        <w:rPr>
          <w:szCs w:val="22"/>
        </w:rPr>
      </w:pPr>
      <w:r>
        <w:rPr>
          <w:szCs w:val="22"/>
        </w:rPr>
        <w:t xml:space="preserve">The redacted table above shows that at year 5 the estimated number of patients (treated and maintenance) was less than 10,000 and the net cost to the PBS/RPBS would be $10 - $20 million. </w:t>
      </w:r>
      <w:r w:rsidR="00783279" w:rsidRPr="00F17A66">
        <w:rPr>
          <w:szCs w:val="22"/>
        </w:rPr>
        <w:t xml:space="preserve">The net cost to </w:t>
      </w:r>
      <w:r w:rsidR="00F2617F" w:rsidRPr="00F17A66">
        <w:rPr>
          <w:szCs w:val="22"/>
        </w:rPr>
        <w:t xml:space="preserve">the PBS/RPBS and the MBS </w:t>
      </w:r>
      <w:r w:rsidR="00783279" w:rsidRPr="00F17A66">
        <w:rPr>
          <w:szCs w:val="22"/>
        </w:rPr>
        <w:t xml:space="preserve">over the first five years of listing was estimated to be </w:t>
      </w:r>
      <w:r>
        <w:rPr>
          <w:szCs w:val="22"/>
        </w:rPr>
        <w:t>$60 - $100</w:t>
      </w:r>
      <w:r w:rsidR="00F2617F" w:rsidRPr="00F17A66">
        <w:rPr>
          <w:szCs w:val="22"/>
        </w:rPr>
        <w:t xml:space="preserve"> million</w:t>
      </w:r>
      <w:r w:rsidR="00783279" w:rsidRPr="00994DCD">
        <w:rPr>
          <w:szCs w:val="22"/>
        </w:rPr>
        <w:t>.</w:t>
      </w:r>
      <w:r w:rsidR="00F2617F" w:rsidRPr="00994DCD">
        <w:rPr>
          <w:szCs w:val="22"/>
        </w:rPr>
        <w:t xml:space="preserve"> </w:t>
      </w:r>
      <w:r w:rsidR="003D32D8" w:rsidRPr="00994DCD">
        <w:rPr>
          <w:szCs w:val="22"/>
        </w:rPr>
        <w:t>There was the potential for the number of eligible patients to be greater than the estimate in the submission, as:</w:t>
      </w:r>
    </w:p>
    <w:p w:rsidR="00FF40C0" w:rsidRDefault="003D32D8" w:rsidP="005D5FF8">
      <w:pPr>
        <w:pStyle w:val="ListParagraph"/>
        <w:numPr>
          <w:ilvl w:val="0"/>
          <w:numId w:val="7"/>
        </w:numPr>
        <w:ind w:left="1134"/>
        <w:rPr>
          <w:i/>
          <w:szCs w:val="22"/>
        </w:rPr>
      </w:pPr>
      <w:r w:rsidRPr="00501C33">
        <w:rPr>
          <w:szCs w:val="22"/>
        </w:rPr>
        <w:t xml:space="preserve">The submission only included the incidence population </w:t>
      </w:r>
      <w:r w:rsidR="00F2617F" w:rsidRPr="00501C33">
        <w:rPr>
          <w:szCs w:val="22"/>
        </w:rPr>
        <w:t>to estimate the number of patients with</w:t>
      </w:r>
      <w:r w:rsidRPr="00501C33">
        <w:rPr>
          <w:szCs w:val="22"/>
        </w:rPr>
        <w:t xml:space="preserve"> rituximab-refractory </w:t>
      </w:r>
      <w:r w:rsidR="00F2617F" w:rsidRPr="00501C33">
        <w:rPr>
          <w:szCs w:val="22"/>
        </w:rPr>
        <w:t>follicular lymphoma who might be eligible for treatment</w:t>
      </w:r>
      <w:r w:rsidRPr="00501C33">
        <w:rPr>
          <w:szCs w:val="22"/>
        </w:rPr>
        <w:t>. The high rate of survival in patients with rituximab-refractory follicular lymphoma necessitate</w:t>
      </w:r>
      <w:r w:rsidR="00F2617F" w:rsidRPr="00501C33">
        <w:rPr>
          <w:szCs w:val="22"/>
        </w:rPr>
        <w:t>d</w:t>
      </w:r>
      <w:r w:rsidRPr="00501C33">
        <w:rPr>
          <w:szCs w:val="22"/>
        </w:rPr>
        <w:t xml:space="preserve"> the consideration of the prevalent population. </w:t>
      </w:r>
      <w:r w:rsidR="00F2617F" w:rsidRPr="00501C33">
        <w:rPr>
          <w:szCs w:val="22"/>
        </w:rPr>
        <w:t xml:space="preserve">Using the Australian Institute of Health and Welfare (non-Hodgkin lymphoma prevalence) and the submission’s assumptions (percentage of those patients having follicular lymphoma), there could be </w:t>
      </w:r>
      <w:r w:rsidRPr="00501C33">
        <w:rPr>
          <w:szCs w:val="22"/>
        </w:rPr>
        <w:t xml:space="preserve">a potential prevalent pool of over 10,000 patients with follicular lymphoma in Australia, of whom some patients </w:t>
      </w:r>
      <w:r w:rsidR="00F2617F" w:rsidRPr="00501C33">
        <w:rPr>
          <w:szCs w:val="22"/>
        </w:rPr>
        <w:t xml:space="preserve">might </w:t>
      </w:r>
      <w:r w:rsidRPr="00501C33">
        <w:rPr>
          <w:szCs w:val="22"/>
        </w:rPr>
        <w:t xml:space="preserve">be eligible to receive </w:t>
      </w:r>
      <w:proofErr w:type="spellStart"/>
      <w:r w:rsidRPr="00501C33">
        <w:rPr>
          <w:szCs w:val="22"/>
        </w:rPr>
        <w:t>obinutuzumab</w:t>
      </w:r>
      <w:proofErr w:type="spellEnd"/>
      <w:r w:rsidRPr="00501C33">
        <w:rPr>
          <w:szCs w:val="22"/>
        </w:rPr>
        <w:t xml:space="preserve"> plus </w:t>
      </w:r>
      <w:proofErr w:type="spellStart"/>
      <w:r w:rsidRPr="00501C33">
        <w:rPr>
          <w:szCs w:val="22"/>
        </w:rPr>
        <w:t>bendamustine</w:t>
      </w:r>
      <w:proofErr w:type="spellEnd"/>
      <w:r w:rsidRPr="00501C33">
        <w:rPr>
          <w:szCs w:val="22"/>
        </w:rPr>
        <w:t xml:space="preserve"> upon disease progression</w:t>
      </w:r>
      <w:r w:rsidR="00581824">
        <w:rPr>
          <w:szCs w:val="22"/>
        </w:rPr>
        <w:t>.</w:t>
      </w:r>
    </w:p>
    <w:p w:rsidR="00FF40C0" w:rsidRPr="005D5FF8" w:rsidRDefault="00FF40C0" w:rsidP="009C66ED">
      <w:pPr>
        <w:pStyle w:val="ListParagraph"/>
        <w:numPr>
          <w:ilvl w:val="0"/>
          <w:numId w:val="7"/>
        </w:numPr>
        <w:ind w:left="1134" w:hanging="283"/>
        <w:rPr>
          <w:szCs w:val="22"/>
        </w:rPr>
      </w:pPr>
      <w:r w:rsidRPr="005D5FF8">
        <w:rPr>
          <w:szCs w:val="22"/>
        </w:rPr>
        <w:t xml:space="preserve">The PSCR </w:t>
      </w:r>
      <w:r w:rsidR="006A4A8B" w:rsidRPr="005D5FF8">
        <w:rPr>
          <w:szCs w:val="22"/>
        </w:rPr>
        <w:t xml:space="preserve">(p4) </w:t>
      </w:r>
      <w:r w:rsidRPr="005D5FF8">
        <w:rPr>
          <w:szCs w:val="22"/>
        </w:rPr>
        <w:t xml:space="preserve">contended that the prevalent pool of patients with follicular lymphoma in Australia was considered in the financial estimates. The PSCR </w:t>
      </w:r>
      <w:r w:rsidRPr="005D5FF8">
        <w:rPr>
          <w:szCs w:val="22"/>
        </w:rPr>
        <w:lastRenderedPageBreak/>
        <w:t xml:space="preserve">stated that the prevalent pool of patients who would access </w:t>
      </w:r>
      <w:proofErr w:type="spellStart"/>
      <w:r w:rsidRPr="005D5FF8">
        <w:rPr>
          <w:szCs w:val="22"/>
        </w:rPr>
        <w:t>obinutuzumab</w:t>
      </w:r>
      <w:proofErr w:type="spellEnd"/>
      <w:r w:rsidRPr="005D5FF8">
        <w:rPr>
          <w:szCs w:val="22"/>
        </w:rPr>
        <w:t xml:space="preserve"> upon PBS listing was accounted for using </w:t>
      </w:r>
      <w:r w:rsidR="003772B2">
        <w:rPr>
          <w:noProof/>
          <w:color w:val="000000"/>
          <w:szCs w:val="22"/>
          <w:highlight w:val="black"/>
        </w:rPr>
        <w:t>''''''</w:t>
      </w:r>
      <w:r w:rsidRPr="005D5FF8">
        <w:rPr>
          <w:szCs w:val="22"/>
        </w:rPr>
        <w:t>% of the incident follicular lymphoma patient population diagnosed four years prior in order to align with the mean number of years from initial diagnosis to a diagnosis of rituximab-refractory follicular lymphoma in the GADOLIN trial. The PSCR also noted that treatment caps have been proposed to mitigate risk of underestimating patient numbers.</w:t>
      </w:r>
    </w:p>
    <w:p w:rsidR="00174D62" w:rsidRPr="005D5FF8" w:rsidRDefault="00FF40C0" w:rsidP="009C66ED">
      <w:pPr>
        <w:pStyle w:val="ListParagraph"/>
        <w:numPr>
          <w:ilvl w:val="0"/>
          <w:numId w:val="7"/>
        </w:numPr>
        <w:ind w:left="1134" w:hanging="283"/>
        <w:rPr>
          <w:szCs w:val="22"/>
        </w:rPr>
      </w:pPr>
      <w:r w:rsidRPr="005D5FF8">
        <w:rPr>
          <w:szCs w:val="22"/>
        </w:rPr>
        <w:t xml:space="preserve">The ESC noted that the submission assumed that </w:t>
      </w:r>
      <w:r w:rsidR="003772B2">
        <w:rPr>
          <w:noProof/>
          <w:color w:val="000000"/>
          <w:szCs w:val="22"/>
          <w:highlight w:val="black"/>
        </w:rPr>
        <w:t>'''''''</w:t>
      </w:r>
      <w:r w:rsidRPr="005D5FF8">
        <w:rPr>
          <w:szCs w:val="22"/>
        </w:rPr>
        <w:t>% of patients in the incident population four years prior would inform prevalence.</w:t>
      </w:r>
      <w:r w:rsidR="00FD3DB1" w:rsidRPr="005D5FF8">
        <w:rPr>
          <w:szCs w:val="22"/>
        </w:rPr>
        <w:t xml:space="preserve"> </w:t>
      </w:r>
      <w:r w:rsidR="00703870" w:rsidRPr="005D5FF8">
        <w:rPr>
          <w:szCs w:val="22"/>
        </w:rPr>
        <w:t>T</w:t>
      </w:r>
      <w:r w:rsidR="009A53DD" w:rsidRPr="005D5FF8">
        <w:rPr>
          <w:szCs w:val="22"/>
        </w:rPr>
        <w:t xml:space="preserve">he </w:t>
      </w:r>
      <w:r w:rsidR="003772B2">
        <w:rPr>
          <w:noProof/>
          <w:color w:val="000000"/>
          <w:szCs w:val="22"/>
          <w:highlight w:val="black"/>
        </w:rPr>
        <w:t>'''''''</w:t>
      </w:r>
      <w:r w:rsidR="009A53DD" w:rsidRPr="005D5FF8">
        <w:rPr>
          <w:szCs w:val="22"/>
        </w:rPr>
        <w:t>% estimate was</w:t>
      </w:r>
      <w:r w:rsidRPr="005D5FF8">
        <w:rPr>
          <w:szCs w:val="22"/>
        </w:rPr>
        <w:t xml:space="preserve"> based on </w:t>
      </w:r>
      <w:r w:rsidR="00703870" w:rsidRPr="005D5FF8">
        <w:rPr>
          <w:szCs w:val="22"/>
        </w:rPr>
        <w:t xml:space="preserve">expert opinion </w:t>
      </w:r>
      <w:r w:rsidRPr="005D5FF8">
        <w:rPr>
          <w:szCs w:val="22"/>
        </w:rPr>
        <w:t>from seven haematologists</w:t>
      </w:r>
      <w:r w:rsidR="00703870" w:rsidRPr="005D5FF8">
        <w:rPr>
          <w:szCs w:val="22"/>
        </w:rPr>
        <w:t xml:space="preserve"> and therefore is uncertain</w:t>
      </w:r>
      <w:r w:rsidRPr="005D5FF8">
        <w:rPr>
          <w:szCs w:val="22"/>
        </w:rPr>
        <w:t>.</w:t>
      </w:r>
      <w:r w:rsidR="009A53DD" w:rsidRPr="005D5FF8">
        <w:rPr>
          <w:szCs w:val="22"/>
        </w:rPr>
        <w:t xml:space="preserve"> </w:t>
      </w:r>
      <w:r w:rsidR="00174D62" w:rsidRPr="005D5FF8">
        <w:rPr>
          <w:szCs w:val="22"/>
        </w:rPr>
        <w:t xml:space="preserve">The ESC </w:t>
      </w:r>
      <w:r w:rsidR="009A53DD" w:rsidRPr="005D5FF8">
        <w:rPr>
          <w:szCs w:val="22"/>
        </w:rPr>
        <w:t xml:space="preserve">considered </w:t>
      </w:r>
      <w:r w:rsidR="00174D62" w:rsidRPr="005D5FF8">
        <w:rPr>
          <w:szCs w:val="22"/>
        </w:rPr>
        <w:t>that the</w:t>
      </w:r>
      <w:r w:rsidR="00174D62" w:rsidRPr="005D5FF8">
        <w:rPr>
          <w:b/>
          <w:szCs w:val="22"/>
        </w:rPr>
        <w:t xml:space="preserve"> </w:t>
      </w:r>
      <w:r w:rsidR="009A53DD" w:rsidRPr="005D5FF8">
        <w:rPr>
          <w:szCs w:val="22"/>
        </w:rPr>
        <w:t>submission’s assumption</w:t>
      </w:r>
      <w:r w:rsidR="00174D62" w:rsidRPr="005D5FF8">
        <w:rPr>
          <w:szCs w:val="22"/>
        </w:rPr>
        <w:t xml:space="preserve"> was inappropriate, and might have underestimated the prevalent population of follicular lymphoma, of whom a certain percentage would be considered as rituximab-refractory.</w:t>
      </w:r>
    </w:p>
    <w:p w:rsidR="00C25D9C" w:rsidRPr="00501C33" w:rsidRDefault="003D32D8" w:rsidP="009C66ED">
      <w:pPr>
        <w:pStyle w:val="ListParagraph"/>
        <w:widowControl/>
        <w:numPr>
          <w:ilvl w:val="0"/>
          <w:numId w:val="7"/>
        </w:numPr>
        <w:ind w:left="1134" w:hanging="283"/>
        <w:rPr>
          <w:szCs w:val="22"/>
        </w:rPr>
      </w:pPr>
      <w:r w:rsidRPr="00501C33">
        <w:rPr>
          <w:szCs w:val="22"/>
        </w:rPr>
        <w:t xml:space="preserve">The sources used </w:t>
      </w:r>
      <w:r w:rsidR="009A53DD">
        <w:rPr>
          <w:szCs w:val="22"/>
        </w:rPr>
        <w:t>to</w:t>
      </w:r>
      <w:r w:rsidRPr="00501C33">
        <w:rPr>
          <w:szCs w:val="22"/>
        </w:rPr>
        <w:t xml:space="preserve"> estimat</w:t>
      </w:r>
      <w:r w:rsidR="009A53DD">
        <w:rPr>
          <w:szCs w:val="22"/>
        </w:rPr>
        <w:t>e</w:t>
      </w:r>
      <w:r w:rsidRPr="00501C33">
        <w:rPr>
          <w:szCs w:val="22"/>
        </w:rPr>
        <w:t xml:space="preserve"> the percentage of patients with rituximab-refractory follicular lymphoma were the </w:t>
      </w:r>
      <w:r w:rsidR="00F2617F" w:rsidRPr="00501C33">
        <w:rPr>
          <w:szCs w:val="22"/>
        </w:rPr>
        <w:t>Sponsor’s</w:t>
      </w:r>
      <w:r w:rsidRPr="00501C33">
        <w:rPr>
          <w:szCs w:val="22"/>
        </w:rPr>
        <w:t xml:space="preserve"> Haematology Advisory Board minutes and market research. Such sources might not be robust, and the estimated proportion of patients considered to progress rapidly or eventually might therefore be higher or lower.</w:t>
      </w:r>
    </w:p>
    <w:p w:rsidR="00576972" w:rsidRPr="00F17A66" w:rsidRDefault="00576972" w:rsidP="00576972">
      <w:pPr>
        <w:widowControl/>
        <w:rPr>
          <w:szCs w:val="22"/>
        </w:rPr>
      </w:pPr>
    </w:p>
    <w:p w:rsidR="00576972" w:rsidRPr="00F17A66" w:rsidRDefault="00576972" w:rsidP="002C2775">
      <w:pPr>
        <w:pStyle w:val="Heading2"/>
        <w:rPr>
          <w:i/>
          <w:szCs w:val="22"/>
        </w:rPr>
      </w:pPr>
      <w:bookmarkStart w:id="31" w:name="_Toc458759492"/>
      <w:bookmarkStart w:id="32" w:name="_Toc461614092"/>
      <w:r w:rsidRPr="00F17A66">
        <w:rPr>
          <w:i/>
        </w:rPr>
        <w:t>Financial Management – Risk Sharing Arrangements</w:t>
      </w:r>
      <w:bookmarkEnd w:id="31"/>
      <w:bookmarkEnd w:id="32"/>
    </w:p>
    <w:p w:rsidR="00C25D9C" w:rsidRPr="00F17A66" w:rsidRDefault="00C25D9C" w:rsidP="00576972">
      <w:pPr>
        <w:widowControl/>
        <w:rPr>
          <w:szCs w:val="22"/>
        </w:rPr>
      </w:pPr>
    </w:p>
    <w:p w:rsidR="00C25D9C" w:rsidRPr="005D5FF8" w:rsidRDefault="00BB3A9A" w:rsidP="005D5FF8">
      <w:pPr>
        <w:pStyle w:val="ListParagraph"/>
        <w:widowControl/>
        <w:numPr>
          <w:ilvl w:val="1"/>
          <w:numId w:val="1"/>
        </w:numPr>
        <w:rPr>
          <w:szCs w:val="22"/>
        </w:rPr>
      </w:pPr>
      <w:r w:rsidRPr="00F17A66">
        <w:t>A Risk Sharing Arrangement was provided by the submission</w:t>
      </w:r>
      <w:r w:rsidR="00B0076D" w:rsidRPr="00F17A66">
        <w:t xml:space="preserve">, whereby a rebate by the </w:t>
      </w:r>
      <w:r w:rsidR="00D36C30">
        <w:t>s</w:t>
      </w:r>
      <w:r w:rsidR="00B0076D" w:rsidRPr="00F17A66">
        <w:t xml:space="preserve">ponsor to the Government would occur should expenditure exceed subsidisation caps based on a </w:t>
      </w:r>
      <w:r w:rsidR="003772B2">
        <w:rPr>
          <w:noProof/>
          <w:color w:val="000000"/>
          <w:highlight w:val="black"/>
        </w:rPr>
        <w:t>''''''''''</w:t>
      </w:r>
      <w:r w:rsidR="00B0076D" w:rsidRPr="00F17A66">
        <w:t xml:space="preserve">% market uptake rate. The level of rebate is to be determined. Furthermore, the submission proposed a confidential </w:t>
      </w:r>
      <w:r w:rsidR="00783279" w:rsidRPr="00F17A66">
        <w:t>S</w:t>
      </w:r>
      <w:r w:rsidR="00B0076D" w:rsidRPr="00F17A66">
        <w:t xml:space="preserve">pecial </w:t>
      </w:r>
      <w:r w:rsidR="00783279" w:rsidRPr="00F17A66">
        <w:t>P</w:t>
      </w:r>
      <w:r w:rsidR="00B0076D" w:rsidRPr="00F17A66">
        <w:t xml:space="preserve">ricing </w:t>
      </w:r>
      <w:r w:rsidR="00783279" w:rsidRPr="00F17A66">
        <w:t>A</w:t>
      </w:r>
      <w:r w:rsidR="00B0076D" w:rsidRPr="00F17A66">
        <w:t xml:space="preserve">rrangement based on a </w:t>
      </w:r>
      <w:r w:rsidR="003772B2">
        <w:rPr>
          <w:noProof/>
          <w:color w:val="000000"/>
          <w:highlight w:val="black"/>
        </w:rPr>
        <w:t>''''''</w:t>
      </w:r>
      <w:r w:rsidR="00B0076D" w:rsidRPr="00F17A66">
        <w:t xml:space="preserve">% reduction to the ex-manufacturer price of </w:t>
      </w:r>
      <w:proofErr w:type="spellStart"/>
      <w:r w:rsidR="00B0076D" w:rsidRPr="00F17A66">
        <w:t>obinutuzumab</w:t>
      </w:r>
      <w:proofErr w:type="spellEnd"/>
      <w:r w:rsidR="00B0076D" w:rsidRPr="00F17A66">
        <w:t>.</w:t>
      </w:r>
      <w:r w:rsidR="007B03C7" w:rsidRPr="00F17A66">
        <w:t xml:space="preserve"> </w:t>
      </w:r>
      <w:r w:rsidR="007B03C7" w:rsidRPr="00501C33">
        <w:t>This effective price was included in the economic model and financial estimates.</w:t>
      </w:r>
    </w:p>
    <w:p w:rsidR="005D5FF8" w:rsidRDefault="005D5FF8" w:rsidP="005D5FF8">
      <w:pPr>
        <w:pStyle w:val="ListParagraph"/>
        <w:ind w:left="709"/>
        <w:rPr>
          <w:i/>
          <w:szCs w:val="22"/>
        </w:rPr>
      </w:pPr>
    </w:p>
    <w:p w:rsidR="005D5FF8" w:rsidRPr="00F17A66" w:rsidRDefault="005D5FF8" w:rsidP="005D5FF8">
      <w:pPr>
        <w:pStyle w:val="ListParagraph"/>
        <w:widowControl/>
        <w:rPr>
          <w:szCs w:val="22"/>
        </w:rPr>
      </w:pPr>
      <w:r w:rsidRPr="00B835BB">
        <w:rPr>
          <w:i/>
          <w:szCs w:val="22"/>
        </w:rPr>
        <w:t>For more detail on PBAC’s view, see section 7 “PBAC outcome”</w:t>
      </w:r>
    </w:p>
    <w:p w:rsidR="00F24837" w:rsidRPr="00F17A66" w:rsidRDefault="00F24837" w:rsidP="00F24837">
      <w:pPr>
        <w:widowControl/>
        <w:rPr>
          <w:szCs w:val="22"/>
        </w:rPr>
      </w:pPr>
    </w:p>
    <w:p w:rsidR="005D5FF8" w:rsidRPr="003D7CB3" w:rsidRDefault="005D5FF8" w:rsidP="005D5FF8">
      <w:pPr>
        <w:spacing w:line="276" w:lineRule="auto"/>
        <w:ind w:left="709"/>
        <w:rPr>
          <w:b/>
          <w:bCs/>
          <w:szCs w:val="22"/>
        </w:rPr>
      </w:pPr>
    </w:p>
    <w:p w:rsidR="005D5FF8" w:rsidRPr="004E43FD" w:rsidRDefault="005D5FF8" w:rsidP="000D0D4D">
      <w:pPr>
        <w:pStyle w:val="PBACHeading1"/>
        <w:rPr>
          <w:b w:val="0"/>
          <w:bCs/>
        </w:rPr>
      </w:pPr>
      <w:r w:rsidRPr="004E43FD">
        <w:rPr>
          <w:bCs/>
        </w:rPr>
        <w:t>PBAC Outcome</w:t>
      </w:r>
    </w:p>
    <w:p w:rsidR="005D5FF8" w:rsidRPr="004E43FD" w:rsidRDefault="005D5FF8" w:rsidP="005D5FF8">
      <w:pPr>
        <w:contextualSpacing/>
        <w:rPr>
          <w:b/>
          <w:bCs/>
          <w:szCs w:val="22"/>
          <w:lang w:val="en-GB"/>
        </w:rPr>
      </w:pPr>
    </w:p>
    <w:p w:rsidR="00545595" w:rsidRDefault="005C290A" w:rsidP="005C290A">
      <w:pPr>
        <w:pStyle w:val="ListParagraph"/>
        <w:widowControl/>
        <w:numPr>
          <w:ilvl w:val="1"/>
          <w:numId w:val="1"/>
        </w:numPr>
      </w:pPr>
      <w:r w:rsidRPr="005C290A">
        <w:t>The PBAC</w:t>
      </w:r>
      <w:r>
        <w:t xml:space="preserve"> did not recommend </w:t>
      </w:r>
      <w:proofErr w:type="spellStart"/>
      <w:r>
        <w:t>obinutuzumab</w:t>
      </w:r>
      <w:proofErr w:type="spellEnd"/>
      <w:r>
        <w:t xml:space="preserve"> for PBS listing for the treatment of rituximab-refractory follicular lymphoma, on the basis of </w:t>
      </w:r>
      <w:r w:rsidRPr="005C290A">
        <w:t xml:space="preserve">uncertain cost-effectiveness and concerns about </w:t>
      </w:r>
      <w:r w:rsidR="00E25AFF">
        <w:t>the plausibility of assumptions</w:t>
      </w:r>
      <w:r w:rsidRPr="005C290A">
        <w:t xml:space="preserve"> </w:t>
      </w:r>
      <w:r w:rsidR="00E25AFF">
        <w:t xml:space="preserve">used in the </w:t>
      </w:r>
      <w:r w:rsidRPr="005C290A">
        <w:t>economic</w:t>
      </w:r>
      <w:r w:rsidR="00E25AFF">
        <w:t xml:space="preserve"> model</w:t>
      </w:r>
      <w:r w:rsidRPr="005C290A">
        <w:t>.</w:t>
      </w:r>
    </w:p>
    <w:p w:rsidR="008010E3" w:rsidRDefault="008010E3" w:rsidP="008010E3">
      <w:pPr>
        <w:pStyle w:val="ListParagraph"/>
        <w:widowControl/>
      </w:pPr>
    </w:p>
    <w:p w:rsidR="00C104FF" w:rsidRDefault="008010E3" w:rsidP="00C104FF">
      <w:pPr>
        <w:pStyle w:val="ListParagraph"/>
        <w:widowControl/>
        <w:numPr>
          <w:ilvl w:val="1"/>
          <w:numId w:val="1"/>
        </w:numPr>
      </w:pPr>
      <w:r>
        <w:t>The PBAC noted the consumer comments and acknowledged that there was unmet clinical need for additional PBS-subsidised medicines for the treatment of rituximab-</w:t>
      </w:r>
      <w:r w:rsidR="00581824">
        <w:t>refractory follicular lymphoma.</w:t>
      </w:r>
    </w:p>
    <w:p w:rsidR="00C104FF" w:rsidRDefault="00C104FF" w:rsidP="00C104FF">
      <w:pPr>
        <w:pStyle w:val="ListParagraph"/>
      </w:pPr>
    </w:p>
    <w:p w:rsidR="008631D8" w:rsidRDefault="00545595" w:rsidP="00C104FF">
      <w:pPr>
        <w:pStyle w:val="ListParagraph"/>
        <w:widowControl/>
        <w:numPr>
          <w:ilvl w:val="1"/>
          <w:numId w:val="1"/>
        </w:numPr>
      </w:pPr>
      <w:r>
        <w:t xml:space="preserve">The PBAC </w:t>
      </w:r>
      <w:r w:rsidR="008F7C58">
        <w:t xml:space="preserve">accepted best supportive care as </w:t>
      </w:r>
      <w:r w:rsidR="00D61FF7">
        <w:t xml:space="preserve">the </w:t>
      </w:r>
      <w:r w:rsidR="008F7C58">
        <w:t xml:space="preserve">appropriate comparator, and considered that </w:t>
      </w:r>
      <w:proofErr w:type="spellStart"/>
      <w:r w:rsidR="008F7C58">
        <w:t>bendamustin</w:t>
      </w:r>
      <w:r w:rsidR="008010E3">
        <w:t>e</w:t>
      </w:r>
      <w:proofErr w:type="spellEnd"/>
      <w:r w:rsidR="008010E3">
        <w:t xml:space="preserve"> </w:t>
      </w:r>
      <w:r w:rsidR="00D61FF7">
        <w:t xml:space="preserve">efficacy </w:t>
      </w:r>
      <w:r w:rsidR="008010E3">
        <w:t xml:space="preserve">was a reasonable proxy for </w:t>
      </w:r>
      <w:r w:rsidR="00D61FF7">
        <w:t xml:space="preserve">that with </w:t>
      </w:r>
      <w:r w:rsidR="008010E3">
        <w:t>best supportive care</w:t>
      </w:r>
      <w:r w:rsidR="008F7C58">
        <w:t xml:space="preserve">. However, as </w:t>
      </w:r>
      <w:proofErr w:type="spellStart"/>
      <w:r w:rsidR="008F7C58">
        <w:t>bendamustine</w:t>
      </w:r>
      <w:proofErr w:type="spellEnd"/>
      <w:r w:rsidR="008F7C58">
        <w:t xml:space="preserve"> was considered not cost-effective for </w:t>
      </w:r>
      <w:r w:rsidR="008F7C58" w:rsidRPr="005D5FF8">
        <w:t>the treatment of rituximab-refractory indolent non-Hodgkin’s lymphoma</w:t>
      </w:r>
      <w:r w:rsidR="008F7C58">
        <w:t xml:space="preserve"> at the March 2015 PBAC meeting and is not PBS-subsidised for this patient population, the PBAC considered that</w:t>
      </w:r>
      <w:r w:rsidR="00C104FF">
        <w:t xml:space="preserve"> the</w:t>
      </w:r>
      <w:r w:rsidR="008F7C58">
        <w:t xml:space="preserve"> </w:t>
      </w:r>
      <w:r w:rsidR="00D61FF7">
        <w:t xml:space="preserve">cost of </w:t>
      </w:r>
      <w:proofErr w:type="spellStart"/>
      <w:r w:rsidR="00D61FF7">
        <w:t>bendamustine</w:t>
      </w:r>
      <w:proofErr w:type="spellEnd"/>
      <w:r w:rsidR="00D61FF7">
        <w:t xml:space="preserve"> could not be used as a proxy for the cost of best supportive care</w:t>
      </w:r>
      <w:r w:rsidR="003A512E">
        <w:t>.</w:t>
      </w:r>
    </w:p>
    <w:p w:rsidR="00705CF1" w:rsidRDefault="00705CF1" w:rsidP="00C104FF">
      <w:pPr>
        <w:pStyle w:val="ListParagraph"/>
        <w:widowControl/>
      </w:pPr>
    </w:p>
    <w:p w:rsidR="00265548" w:rsidRDefault="000A0566" w:rsidP="000A0566">
      <w:pPr>
        <w:pStyle w:val="ListParagraph"/>
        <w:numPr>
          <w:ilvl w:val="1"/>
          <w:numId w:val="1"/>
        </w:numPr>
      </w:pPr>
      <w:r w:rsidRPr="000A0566">
        <w:t>The PBAC</w:t>
      </w:r>
      <w:r w:rsidR="00F97B53">
        <w:t xml:space="preserve"> </w:t>
      </w:r>
      <w:r w:rsidR="00464062">
        <w:t>considered</w:t>
      </w:r>
      <w:r w:rsidRPr="000A0566">
        <w:t xml:space="preserve"> that </w:t>
      </w:r>
      <w:proofErr w:type="spellStart"/>
      <w:r w:rsidRPr="000A0566">
        <w:t>obinutuzumab</w:t>
      </w:r>
      <w:proofErr w:type="spellEnd"/>
      <w:r w:rsidRPr="000A0566">
        <w:t xml:space="preserve"> </w:t>
      </w:r>
      <w:r w:rsidR="00705CF1">
        <w:t>plus</w:t>
      </w:r>
      <w:r w:rsidRPr="000A0566">
        <w:t xml:space="preserve"> </w:t>
      </w:r>
      <w:proofErr w:type="spellStart"/>
      <w:r w:rsidRPr="000A0566">
        <w:t>bendamustine</w:t>
      </w:r>
      <w:proofErr w:type="spellEnd"/>
      <w:r w:rsidR="00C104FF">
        <w:t xml:space="preserve"> followed by </w:t>
      </w:r>
      <w:proofErr w:type="spellStart"/>
      <w:r w:rsidR="00C104FF">
        <w:t>obinutuzumab</w:t>
      </w:r>
      <w:proofErr w:type="spellEnd"/>
      <w:r w:rsidR="00C104FF">
        <w:t xml:space="preserve"> maintenance was of</w:t>
      </w:r>
      <w:r w:rsidRPr="000A0566">
        <w:t xml:space="preserve"> superior efficacy </w:t>
      </w:r>
      <w:r w:rsidR="00C104FF">
        <w:t xml:space="preserve">compared to </w:t>
      </w:r>
      <w:proofErr w:type="spellStart"/>
      <w:r w:rsidR="00C104FF">
        <w:t>bendamustine</w:t>
      </w:r>
      <w:proofErr w:type="spellEnd"/>
      <w:r w:rsidR="00C104FF">
        <w:t xml:space="preserve"> </w:t>
      </w:r>
      <w:r w:rsidR="00C104FF">
        <w:lastRenderedPageBreak/>
        <w:t>monotherapy, on the basis of</w:t>
      </w:r>
      <w:r w:rsidRPr="000A0566">
        <w:t xml:space="preserve"> the </w:t>
      </w:r>
      <w:r w:rsidR="0050514E">
        <w:t xml:space="preserve">GADOLIN </w:t>
      </w:r>
      <w:r w:rsidRPr="000A0566">
        <w:t>trial’s primary endpoint,</w:t>
      </w:r>
      <w:r w:rsidR="00461846">
        <w:t xml:space="preserve"> PFS</w:t>
      </w:r>
      <w:r w:rsidR="00CE5604">
        <w:t>.</w:t>
      </w:r>
      <w:r w:rsidR="00461846">
        <w:t xml:space="preserve"> </w:t>
      </w:r>
      <w:r w:rsidR="00443969">
        <w:t>However, t</w:t>
      </w:r>
      <w:r w:rsidR="00D61FF7" w:rsidRPr="00B629FE">
        <w:rPr>
          <w:szCs w:val="22"/>
        </w:rPr>
        <w:t xml:space="preserve">he PBAC considered </w:t>
      </w:r>
      <w:r w:rsidR="00D61FF7">
        <w:rPr>
          <w:szCs w:val="22"/>
        </w:rPr>
        <w:t xml:space="preserve">that with additional follow-up </w:t>
      </w:r>
      <w:r w:rsidR="00443969">
        <w:rPr>
          <w:szCs w:val="22"/>
        </w:rPr>
        <w:t>of the trial</w:t>
      </w:r>
      <w:r w:rsidR="0090285D">
        <w:rPr>
          <w:szCs w:val="22"/>
        </w:rPr>
        <w:t>,</w:t>
      </w:r>
      <w:r w:rsidR="00443969">
        <w:rPr>
          <w:szCs w:val="22"/>
        </w:rPr>
        <w:t xml:space="preserve"> </w:t>
      </w:r>
      <w:r w:rsidR="00D61FF7">
        <w:rPr>
          <w:szCs w:val="22"/>
        </w:rPr>
        <w:t xml:space="preserve">the difference between the </w:t>
      </w:r>
      <w:proofErr w:type="gramStart"/>
      <w:r w:rsidR="00D61FF7">
        <w:rPr>
          <w:szCs w:val="22"/>
        </w:rPr>
        <w:t>treatment</w:t>
      </w:r>
      <w:proofErr w:type="gramEnd"/>
      <w:r w:rsidR="00D61FF7">
        <w:rPr>
          <w:szCs w:val="22"/>
        </w:rPr>
        <w:t xml:space="preserve"> groups in PFS </w:t>
      </w:r>
      <w:r w:rsidR="00127F9B">
        <w:rPr>
          <w:szCs w:val="22"/>
        </w:rPr>
        <w:t>may</w:t>
      </w:r>
      <w:r w:rsidR="00D61FF7">
        <w:rPr>
          <w:szCs w:val="22"/>
        </w:rPr>
        <w:t xml:space="preserve"> </w:t>
      </w:r>
      <w:r w:rsidR="00CA464E">
        <w:rPr>
          <w:szCs w:val="22"/>
        </w:rPr>
        <w:t>diminish</w:t>
      </w:r>
      <w:r w:rsidR="00D61FF7">
        <w:rPr>
          <w:szCs w:val="22"/>
        </w:rPr>
        <w:t xml:space="preserve">. This is because data </w:t>
      </w:r>
      <w:r w:rsidR="00DE310C">
        <w:rPr>
          <w:szCs w:val="22"/>
        </w:rPr>
        <w:t xml:space="preserve">that </w:t>
      </w:r>
      <w:r w:rsidR="00D61FF7">
        <w:rPr>
          <w:szCs w:val="22"/>
        </w:rPr>
        <w:t xml:space="preserve">are currently available </w:t>
      </w:r>
      <w:r w:rsidR="00DE310C">
        <w:rPr>
          <w:szCs w:val="22"/>
        </w:rPr>
        <w:t xml:space="preserve">are immature and are </w:t>
      </w:r>
      <w:r w:rsidR="00CA464E">
        <w:rPr>
          <w:szCs w:val="22"/>
        </w:rPr>
        <w:t>based on</w:t>
      </w:r>
      <w:r w:rsidR="00D61FF7">
        <w:rPr>
          <w:szCs w:val="22"/>
        </w:rPr>
        <w:t xml:space="preserve"> a median follow-up of </w:t>
      </w:r>
      <w:r w:rsidR="00443969">
        <w:rPr>
          <w:szCs w:val="22"/>
        </w:rPr>
        <w:t xml:space="preserve">approximately </w:t>
      </w:r>
      <w:r w:rsidR="00D61FF7">
        <w:rPr>
          <w:szCs w:val="22"/>
        </w:rPr>
        <w:t>24 months.</w:t>
      </w:r>
    </w:p>
    <w:p w:rsidR="00265548" w:rsidRDefault="00265548" w:rsidP="00265548">
      <w:pPr>
        <w:pStyle w:val="ListParagraph"/>
      </w:pPr>
    </w:p>
    <w:p w:rsidR="00F82709" w:rsidRDefault="00265548" w:rsidP="000A0566">
      <w:pPr>
        <w:pStyle w:val="ListParagraph"/>
        <w:numPr>
          <w:ilvl w:val="1"/>
          <w:numId w:val="1"/>
        </w:numPr>
      </w:pPr>
      <w:r>
        <w:t xml:space="preserve">The PBAC noted that the submission did not provide adequate evidence of an OS benefit, however considered that </w:t>
      </w:r>
      <w:proofErr w:type="spellStart"/>
      <w:r w:rsidRPr="000A0566">
        <w:t>obinutuzumab</w:t>
      </w:r>
      <w:proofErr w:type="spellEnd"/>
      <w:r w:rsidRPr="000A0566">
        <w:t xml:space="preserve"> </w:t>
      </w:r>
      <w:r>
        <w:t>plus</w:t>
      </w:r>
      <w:r w:rsidRPr="000A0566">
        <w:t xml:space="preserve"> </w:t>
      </w:r>
      <w:proofErr w:type="spellStart"/>
      <w:r w:rsidRPr="000A0566">
        <w:t>bendamustine</w:t>
      </w:r>
      <w:proofErr w:type="spellEnd"/>
      <w:r>
        <w:t xml:space="preserve"> followed by </w:t>
      </w:r>
      <w:proofErr w:type="spellStart"/>
      <w:r>
        <w:t>obinutuzumab</w:t>
      </w:r>
      <w:proofErr w:type="spellEnd"/>
      <w:r>
        <w:t xml:space="preserve"> maintenance was likely to demonstrate an OS benefit over </w:t>
      </w:r>
      <w:proofErr w:type="spellStart"/>
      <w:r>
        <w:t>bendamustine</w:t>
      </w:r>
      <w:proofErr w:type="spellEnd"/>
      <w:r>
        <w:t xml:space="preserve"> monotherapy </w:t>
      </w:r>
      <w:r w:rsidR="00CA464E">
        <w:t>with additional follow-up</w:t>
      </w:r>
      <w:r>
        <w:t>.</w:t>
      </w:r>
      <w:r w:rsidR="004D7FA8">
        <w:t xml:space="preserve"> </w:t>
      </w:r>
      <w:r w:rsidR="00CA464E">
        <w:t>T</w:t>
      </w:r>
      <w:r>
        <w:t>he PBAC considered that the magnitude of any OS gain was highly uncertain due to the immaturity of the trial data presented in the submission.</w:t>
      </w:r>
    </w:p>
    <w:p w:rsidR="00D51758" w:rsidRPr="00F82709" w:rsidRDefault="00D51758" w:rsidP="000A0566"/>
    <w:p w:rsidR="009A054B" w:rsidRDefault="00E41884" w:rsidP="00E450AD">
      <w:pPr>
        <w:pStyle w:val="ListParagraph"/>
        <w:widowControl/>
        <w:numPr>
          <w:ilvl w:val="1"/>
          <w:numId w:val="1"/>
        </w:numPr>
      </w:pPr>
      <w:r>
        <w:t xml:space="preserve">The PBAC </w:t>
      </w:r>
      <w:r w:rsidR="0029181F">
        <w:t xml:space="preserve">did not accept </w:t>
      </w:r>
      <w:r>
        <w:t>the submission’s claim of non-inferior safety</w:t>
      </w:r>
      <w:r w:rsidR="0029181F">
        <w:t xml:space="preserve"> of </w:t>
      </w:r>
      <w:proofErr w:type="spellStart"/>
      <w:r w:rsidR="0029181F">
        <w:t>obinutuzumab</w:t>
      </w:r>
      <w:proofErr w:type="spellEnd"/>
      <w:r w:rsidR="0029181F">
        <w:t xml:space="preserve"> plus </w:t>
      </w:r>
      <w:proofErr w:type="spellStart"/>
      <w:r w:rsidR="0029181F">
        <w:t>bendamustine</w:t>
      </w:r>
      <w:proofErr w:type="spellEnd"/>
      <w:r>
        <w:t xml:space="preserve"> compared to </w:t>
      </w:r>
      <w:proofErr w:type="spellStart"/>
      <w:r w:rsidR="0029181F">
        <w:t>bendamustine</w:t>
      </w:r>
      <w:proofErr w:type="spellEnd"/>
      <w:r w:rsidR="0029181F">
        <w:t xml:space="preserve"> monotherapy. The PBAC noted that </w:t>
      </w:r>
      <w:proofErr w:type="spellStart"/>
      <w:r w:rsidR="0029181F">
        <w:t>obinutuzumab</w:t>
      </w:r>
      <w:proofErr w:type="spellEnd"/>
      <w:r w:rsidR="0029181F">
        <w:t xml:space="preserve"> plus</w:t>
      </w:r>
      <w:r w:rsidR="0029181F" w:rsidRPr="000A0566">
        <w:t xml:space="preserve"> </w:t>
      </w:r>
      <w:proofErr w:type="spellStart"/>
      <w:r w:rsidR="0029181F" w:rsidRPr="000A0566">
        <w:t>bendamustine</w:t>
      </w:r>
      <w:proofErr w:type="spellEnd"/>
      <w:r w:rsidR="0029181F">
        <w:t xml:space="preserve"> followed by </w:t>
      </w:r>
      <w:proofErr w:type="spellStart"/>
      <w:r w:rsidR="0029181F">
        <w:t>obinutuzumab</w:t>
      </w:r>
      <w:proofErr w:type="spellEnd"/>
      <w:r w:rsidR="0029181F">
        <w:t xml:space="preserve"> maintenance was associated with </w:t>
      </w:r>
      <w:r>
        <w:t>increase</w:t>
      </w:r>
      <w:r w:rsidR="009D0D91">
        <w:t xml:space="preserve">d </w:t>
      </w:r>
      <w:r w:rsidR="00E450AD">
        <w:t xml:space="preserve">rates of </w:t>
      </w:r>
      <w:r>
        <w:t>infusion</w:t>
      </w:r>
      <w:r w:rsidR="00E450AD">
        <w:t>-related</w:t>
      </w:r>
      <w:r>
        <w:t xml:space="preserve"> reactions and musculoskeletal</w:t>
      </w:r>
      <w:r w:rsidR="00E450AD">
        <w:t xml:space="preserve"> and cardiac</w:t>
      </w:r>
      <w:r>
        <w:t xml:space="preserve"> events</w:t>
      </w:r>
      <w:r w:rsidR="00E450AD">
        <w:t xml:space="preserve">, compared to </w:t>
      </w:r>
      <w:proofErr w:type="spellStart"/>
      <w:r w:rsidR="00E450AD">
        <w:t>bendamustine</w:t>
      </w:r>
      <w:proofErr w:type="spellEnd"/>
      <w:r w:rsidR="00E450AD">
        <w:t xml:space="preserve"> monotherapy</w:t>
      </w:r>
      <w:r>
        <w:t xml:space="preserve">. </w:t>
      </w:r>
      <w:r w:rsidR="00E450AD">
        <w:t xml:space="preserve">Therefore, the PBAC considered that </w:t>
      </w:r>
      <w:proofErr w:type="spellStart"/>
      <w:r w:rsidR="00E450AD">
        <w:t>obinutuzumab</w:t>
      </w:r>
      <w:proofErr w:type="spellEnd"/>
      <w:r w:rsidR="00E450AD">
        <w:t xml:space="preserve"> plus </w:t>
      </w:r>
      <w:proofErr w:type="spellStart"/>
      <w:r w:rsidR="00E450AD">
        <w:t>bendamustine</w:t>
      </w:r>
      <w:proofErr w:type="spellEnd"/>
      <w:r w:rsidR="00E450AD">
        <w:t xml:space="preserve"> foll</w:t>
      </w:r>
      <w:r w:rsidR="002B53FA">
        <w:t xml:space="preserve">owed by </w:t>
      </w:r>
      <w:proofErr w:type="spellStart"/>
      <w:r w:rsidR="002B53FA">
        <w:t>obinutuzumab</w:t>
      </w:r>
      <w:proofErr w:type="spellEnd"/>
      <w:r w:rsidR="002B53FA">
        <w:t xml:space="preserve"> maintenance</w:t>
      </w:r>
      <w:r w:rsidR="00E450AD">
        <w:t xml:space="preserve"> was of inferior safety compared to </w:t>
      </w:r>
      <w:proofErr w:type="spellStart"/>
      <w:r w:rsidR="00E450AD">
        <w:t>bendamustine</w:t>
      </w:r>
      <w:proofErr w:type="spellEnd"/>
      <w:r w:rsidR="002B53FA">
        <w:t xml:space="preserve"> monotherapy</w:t>
      </w:r>
      <w:r w:rsidR="00E450AD">
        <w:t xml:space="preserve">. </w:t>
      </w:r>
      <w:r>
        <w:t>However, t</w:t>
      </w:r>
      <w:r w:rsidR="009A054B">
        <w:t xml:space="preserve">he PBAC </w:t>
      </w:r>
      <w:r w:rsidR="00E450AD">
        <w:t>noted</w:t>
      </w:r>
      <w:r w:rsidR="009A054B">
        <w:t xml:space="preserve"> that </w:t>
      </w:r>
      <w:proofErr w:type="spellStart"/>
      <w:r w:rsidR="009A054B" w:rsidRPr="009A054B">
        <w:t>obinutuzumab</w:t>
      </w:r>
      <w:proofErr w:type="spellEnd"/>
      <w:r w:rsidR="00E450AD">
        <w:t xml:space="preserve"> had a</w:t>
      </w:r>
      <w:r w:rsidR="002B53FA">
        <w:t>n overall</w:t>
      </w:r>
      <w:r w:rsidR="00E450AD">
        <w:t xml:space="preserve"> </w:t>
      </w:r>
      <w:r w:rsidR="009A054B" w:rsidRPr="009A054B">
        <w:t>tolerable</w:t>
      </w:r>
      <w:r w:rsidR="00E450AD">
        <w:t xml:space="preserve"> safety profile</w:t>
      </w:r>
      <w:r w:rsidR="009A054B">
        <w:t>,</w:t>
      </w:r>
      <w:r w:rsidR="009A054B" w:rsidRPr="009A054B">
        <w:t xml:space="preserve"> and</w:t>
      </w:r>
      <w:r w:rsidR="00E450AD">
        <w:t xml:space="preserve"> that</w:t>
      </w:r>
      <w:r w:rsidR="009A054B" w:rsidRPr="009A054B">
        <w:t xml:space="preserve"> the benefits of its use </w:t>
      </w:r>
      <w:r w:rsidR="00461846">
        <w:t>outweighed its toxicities</w:t>
      </w:r>
      <w:r w:rsidR="009A054B" w:rsidRPr="009A054B">
        <w:t>.</w:t>
      </w:r>
    </w:p>
    <w:p w:rsidR="009A054B" w:rsidRDefault="009A054B" w:rsidP="009A054B">
      <w:pPr>
        <w:pStyle w:val="ListParagraph"/>
      </w:pPr>
    </w:p>
    <w:p w:rsidR="00B070D1" w:rsidRDefault="009D0D91" w:rsidP="009D0D91">
      <w:pPr>
        <w:pStyle w:val="ListParagraph"/>
        <w:widowControl/>
        <w:numPr>
          <w:ilvl w:val="1"/>
          <w:numId w:val="1"/>
        </w:numPr>
      </w:pPr>
      <w:r w:rsidRPr="00016F04">
        <w:t xml:space="preserve">The PBAC </w:t>
      </w:r>
      <w:r w:rsidR="00B070D1">
        <w:t xml:space="preserve">considered that the incremental cost per QALY gained of </w:t>
      </w:r>
      <w:r w:rsidR="00EB71F8">
        <w:t>$45,000 - $75,000</w:t>
      </w:r>
      <w:r w:rsidR="00B070D1">
        <w:t xml:space="preserve"> for </w:t>
      </w:r>
      <w:proofErr w:type="spellStart"/>
      <w:r w:rsidR="00B070D1">
        <w:t>obinutuzumab</w:t>
      </w:r>
      <w:proofErr w:type="spellEnd"/>
      <w:r w:rsidR="00B070D1">
        <w:t xml:space="preserve"> plus </w:t>
      </w:r>
      <w:proofErr w:type="spellStart"/>
      <w:r w:rsidR="00B070D1">
        <w:t>bendamustine</w:t>
      </w:r>
      <w:proofErr w:type="spellEnd"/>
      <w:r w:rsidR="00B070D1">
        <w:t xml:space="preserve"> followed by </w:t>
      </w:r>
      <w:proofErr w:type="spellStart"/>
      <w:r w:rsidR="00B070D1">
        <w:t>obinutuzumab</w:t>
      </w:r>
      <w:proofErr w:type="spellEnd"/>
      <w:r w:rsidR="00B070D1">
        <w:t xml:space="preserve"> maintenance, over best supportive care, presented in the submission’s base case analysis</w:t>
      </w:r>
      <w:r w:rsidR="005228B3">
        <w:t>,</w:t>
      </w:r>
      <w:r w:rsidR="00B070D1">
        <w:t xml:space="preserve"> was highly uncertain and was likely to be significantly underestimated due to several issues with the economic model, including:</w:t>
      </w:r>
    </w:p>
    <w:p w:rsidR="00B070D1" w:rsidRDefault="003C7180" w:rsidP="00B070D1">
      <w:pPr>
        <w:pStyle w:val="ListParagraph"/>
        <w:widowControl/>
        <w:numPr>
          <w:ilvl w:val="0"/>
          <w:numId w:val="19"/>
        </w:numPr>
      </w:pPr>
      <w:proofErr w:type="gramStart"/>
      <w:r>
        <w:t>t</w:t>
      </w:r>
      <w:r w:rsidR="00B070D1">
        <w:t>he</w:t>
      </w:r>
      <w:proofErr w:type="gramEnd"/>
      <w:r w:rsidR="00B070D1">
        <w:t xml:space="preserve"> significant uncertainty created as a result of extrapolating PFS</w:t>
      </w:r>
      <w:r w:rsidR="0090517B">
        <w:t xml:space="preserve"> from immature data, which likely biased the </w:t>
      </w:r>
      <w:r w:rsidR="008C1DA8">
        <w:t xml:space="preserve">estimates </w:t>
      </w:r>
      <w:r w:rsidR="0090517B">
        <w:t xml:space="preserve">in favour of </w:t>
      </w:r>
      <w:proofErr w:type="spellStart"/>
      <w:r w:rsidR="0090517B">
        <w:t>obinutuzumab</w:t>
      </w:r>
      <w:proofErr w:type="spellEnd"/>
      <w:r w:rsidR="0090517B">
        <w:t xml:space="preserve">. </w:t>
      </w:r>
      <w:r w:rsidR="008C1DA8">
        <w:t xml:space="preserve">The PBAC considered that </w:t>
      </w:r>
      <w:r w:rsidR="0090517B">
        <w:t>the fitted p</w:t>
      </w:r>
      <w:r w:rsidR="00286845">
        <w:t xml:space="preserve">arametric curve </w:t>
      </w:r>
      <w:r w:rsidR="008C1DA8">
        <w:t xml:space="preserve">for the </w:t>
      </w:r>
      <w:proofErr w:type="spellStart"/>
      <w:r w:rsidR="00624FAA">
        <w:t>obinutuzumab</w:t>
      </w:r>
      <w:proofErr w:type="spellEnd"/>
      <w:r w:rsidR="00624FAA">
        <w:t xml:space="preserve"> plus </w:t>
      </w:r>
      <w:proofErr w:type="spellStart"/>
      <w:r w:rsidR="00624FAA">
        <w:t>bendamustine</w:t>
      </w:r>
      <w:proofErr w:type="spellEnd"/>
      <w:r w:rsidR="008C1DA8">
        <w:t xml:space="preserve"> arm was unlikely to </w:t>
      </w:r>
      <w:r w:rsidR="00286845">
        <w:t>reliably</w:t>
      </w:r>
      <w:r w:rsidR="0090517B">
        <w:t xml:space="preserve"> predict PFS post cessation of </w:t>
      </w:r>
      <w:proofErr w:type="spellStart"/>
      <w:r w:rsidR="0090517B">
        <w:t>obinutuzumab</w:t>
      </w:r>
      <w:proofErr w:type="spellEnd"/>
      <w:r w:rsidR="0090517B">
        <w:t xml:space="preserve"> maintenance </w:t>
      </w:r>
      <w:r w:rsidR="008C1DA8">
        <w:t>and in the trial</w:t>
      </w:r>
      <w:r w:rsidR="0090517B">
        <w:t xml:space="preserve"> approximately 18% of patients in the </w:t>
      </w:r>
      <w:proofErr w:type="spellStart"/>
      <w:r w:rsidR="0090517B">
        <w:t>obinutuzumab</w:t>
      </w:r>
      <w:proofErr w:type="spellEnd"/>
      <w:r w:rsidR="0090517B">
        <w:t xml:space="preserve"> plus </w:t>
      </w:r>
      <w:proofErr w:type="spellStart"/>
      <w:r w:rsidR="0090517B">
        <w:t>bendamustine</w:t>
      </w:r>
      <w:proofErr w:type="spellEnd"/>
      <w:r w:rsidR="0090517B">
        <w:t xml:space="preserve"> arm were still receiving </w:t>
      </w:r>
      <w:proofErr w:type="spellStart"/>
      <w:r w:rsidR="00286845">
        <w:t>obinutuzumab</w:t>
      </w:r>
      <w:proofErr w:type="spellEnd"/>
      <w:r w:rsidR="00286845">
        <w:t xml:space="preserve"> maintenance</w:t>
      </w:r>
      <w:r w:rsidR="0090517B">
        <w:t xml:space="preserve"> at the time of the most recent data analysis</w:t>
      </w:r>
      <w:r w:rsidR="00BD7734">
        <w:t xml:space="preserve">. The PBAC considered that it would have been more appropriate to allow for earlier convergence of the PFS curves, consistent with the waning of the </w:t>
      </w:r>
      <w:proofErr w:type="spellStart"/>
      <w:r w:rsidR="00BD7734">
        <w:t>obinutuzumab</w:t>
      </w:r>
      <w:proofErr w:type="spellEnd"/>
      <w:r w:rsidR="00BD7734">
        <w:t xml:space="preserve"> maintenance effect</w:t>
      </w:r>
      <w:r>
        <w:t>;</w:t>
      </w:r>
    </w:p>
    <w:p w:rsidR="00C46A46" w:rsidRDefault="004A7BDC" w:rsidP="00C46A46">
      <w:pPr>
        <w:pStyle w:val="ListParagraph"/>
        <w:numPr>
          <w:ilvl w:val="0"/>
          <w:numId w:val="19"/>
        </w:numPr>
      </w:pPr>
      <w:r>
        <w:t>the submission used a 15-</w:t>
      </w:r>
      <w:r w:rsidR="003C7180">
        <w:t>year time horizon, however</w:t>
      </w:r>
      <w:r>
        <w:t>, the PBAC considered that a 10-</w:t>
      </w:r>
      <w:r w:rsidR="003C7180">
        <w:t xml:space="preserve">year time horizon was more appropriate </w:t>
      </w:r>
      <w:r w:rsidR="00042959">
        <w:t xml:space="preserve">given the </w:t>
      </w:r>
      <w:r w:rsidR="009B63E8">
        <w:t>relative</w:t>
      </w:r>
      <w:r w:rsidR="00042959">
        <w:t xml:space="preserve"> poor prognosis</w:t>
      </w:r>
      <w:r w:rsidR="009B63E8">
        <w:t xml:space="preserve"> of patients with follicular lymphoma that is refractor to rituximab</w:t>
      </w:r>
      <w:r w:rsidR="003C7180">
        <w:t>;</w:t>
      </w:r>
    </w:p>
    <w:p w:rsidR="00D62EAF" w:rsidRDefault="003C7180" w:rsidP="00C46A46">
      <w:pPr>
        <w:pStyle w:val="ListParagraph"/>
        <w:numPr>
          <w:ilvl w:val="0"/>
          <w:numId w:val="19"/>
        </w:numPr>
      </w:pPr>
      <w:proofErr w:type="gramStart"/>
      <w:r>
        <w:t>the</w:t>
      </w:r>
      <w:proofErr w:type="gramEnd"/>
      <w:r>
        <w:t xml:space="preserve"> submission used the price of </w:t>
      </w:r>
      <w:proofErr w:type="spellStart"/>
      <w:r>
        <w:t>bendamustine</w:t>
      </w:r>
      <w:proofErr w:type="spellEnd"/>
      <w:r>
        <w:t xml:space="preserve"> as a proxy for the cost of best supportive care</w:t>
      </w:r>
      <w:r w:rsidR="00C46A46">
        <w:t xml:space="preserve">. </w:t>
      </w:r>
      <w:r w:rsidR="009D2D01">
        <w:t xml:space="preserve">However, </w:t>
      </w:r>
      <w:proofErr w:type="spellStart"/>
      <w:r w:rsidR="009D2D01">
        <w:t>b</w:t>
      </w:r>
      <w:r w:rsidR="00C46A46">
        <w:t>endamustine</w:t>
      </w:r>
      <w:proofErr w:type="spellEnd"/>
      <w:r w:rsidR="00C46A46">
        <w:t xml:space="preserve"> was </w:t>
      </w:r>
      <w:r w:rsidR="00C46A46" w:rsidRPr="006D1B60">
        <w:t>previously</w:t>
      </w:r>
      <w:r w:rsidR="00C46A46">
        <w:t xml:space="preserve"> </w:t>
      </w:r>
      <w:r w:rsidR="00C46A46" w:rsidRPr="006D1B60">
        <w:t>not</w:t>
      </w:r>
      <w:r w:rsidR="00C46A46">
        <w:t xml:space="preserve"> considered </w:t>
      </w:r>
      <w:r w:rsidR="00C46A46" w:rsidRPr="006D1B60">
        <w:t xml:space="preserve">cost-effective </w:t>
      </w:r>
      <w:r w:rsidR="00C46A46">
        <w:t>for indolent non-Hodgkin</w:t>
      </w:r>
      <w:r w:rsidR="009D2D01">
        <w:t>’s</w:t>
      </w:r>
      <w:r w:rsidR="00C46A46">
        <w:t xml:space="preserve"> lymphoma (of which follicular lymphoma is a subset)</w:t>
      </w:r>
      <w:r w:rsidR="00C46A46" w:rsidRPr="006D1B60">
        <w:t xml:space="preserve"> </w:t>
      </w:r>
      <w:r w:rsidR="00C46A46">
        <w:t>in the rituximab-refractory setting</w:t>
      </w:r>
      <w:r w:rsidR="009D2D01">
        <w:t xml:space="preserve"> and is not PBS-listed for this population </w:t>
      </w:r>
      <w:r w:rsidR="00C46A46" w:rsidRPr="005D5FF8">
        <w:t>(</w:t>
      </w:r>
      <w:proofErr w:type="spellStart"/>
      <w:r w:rsidR="00C46A46" w:rsidRPr="005D5FF8">
        <w:t>Bendamustine</w:t>
      </w:r>
      <w:proofErr w:type="spellEnd"/>
      <w:r w:rsidR="00C46A46" w:rsidRPr="005D5FF8">
        <w:t xml:space="preserve"> PSD, March 2015</w:t>
      </w:r>
      <w:r w:rsidR="00C46A46">
        <w:t xml:space="preserve"> PBAC meeting</w:t>
      </w:r>
      <w:r w:rsidR="00C46A46" w:rsidRPr="005D5FF8">
        <w:t>)</w:t>
      </w:r>
      <w:r w:rsidR="00C46A46">
        <w:t xml:space="preserve">. </w:t>
      </w:r>
      <w:r w:rsidR="004A7BDC">
        <w:t>Therefore</w:t>
      </w:r>
      <w:r w:rsidR="00C46A46">
        <w:t xml:space="preserve">, the PBAC considered that </w:t>
      </w:r>
      <w:r w:rsidR="009D2D01">
        <w:t xml:space="preserve">the cost of </w:t>
      </w:r>
      <w:proofErr w:type="spellStart"/>
      <w:r w:rsidR="009D2D01">
        <w:t>bendamustine</w:t>
      </w:r>
      <w:proofErr w:type="spellEnd"/>
      <w:r w:rsidR="009D2D01">
        <w:t xml:space="preserve"> should not be incorporated into the economic evaluation and that </w:t>
      </w:r>
      <w:r w:rsidR="00C46A46">
        <w:t>the cost for best supportive care would be more appropriately represented by a PBS-subsidised treatment that is currently used in Australian clinical practice to treat rituximab</w:t>
      </w:r>
      <w:r w:rsidR="0030023A">
        <w:t>-</w:t>
      </w:r>
      <w:r w:rsidR="00C46A46">
        <w:t>refractory follicular lymphoma, e.g. 6 cycles of CHOP.</w:t>
      </w:r>
    </w:p>
    <w:p w:rsidR="00016F04" w:rsidRDefault="00016F04" w:rsidP="00C46A46"/>
    <w:p w:rsidR="00860177" w:rsidRDefault="00860177" w:rsidP="00860177">
      <w:pPr>
        <w:pStyle w:val="ListParagraph"/>
        <w:widowControl/>
        <w:numPr>
          <w:ilvl w:val="1"/>
          <w:numId w:val="1"/>
        </w:numPr>
      </w:pPr>
      <w:r w:rsidRPr="00860177">
        <w:lastRenderedPageBreak/>
        <w:t>The PBAC noted the s</w:t>
      </w:r>
      <w:r w:rsidR="00BD4A80">
        <w:t>ubmission</w:t>
      </w:r>
      <w:r w:rsidRPr="00860177">
        <w:t xml:space="preserve">’s offer of a risk share arrangement as means to </w:t>
      </w:r>
      <w:r w:rsidR="00BD4A80">
        <w:t>mitigate</w:t>
      </w:r>
      <w:r w:rsidRPr="00860177">
        <w:t xml:space="preserve"> </w:t>
      </w:r>
      <w:r>
        <w:t xml:space="preserve">uncertainties </w:t>
      </w:r>
      <w:r w:rsidR="00CB128C">
        <w:t xml:space="preserve">in </w:t>
      </w:r>
      <w:r w:rsidR="00BD4A80">
        <w:t xml:space="preserve">the </w:t>
      </w:r>
      <w:r w:rsidR="00CB128C">
        <w:t>financial estimates</w:t>
      </w:r>
      <w:r w:rsidR="00BD4A80">
        <w:t>, but that the lev</w:t>
      </w:r>
      <w:r w:rsidR="00581824">
        <w:t>el of rebate was not specified.</w:t>
      </w:r>
    </w:p>
    <w:p w:rsidR="00860177" w:rsidRDefault="00860177" w:rsidP="00860177">
      <w:pPr>
        <w:pStyle w:val="ListParagraph"/>
      </w:pPr>
    </w:p>
    <w:p w:rsidR="00BD7734" w:rsidRDefault="007A3464" w:rsidP="00BD7734">
      <w:pPr>
        <w:pStyle w:val="ListParagraph"/>
        <w:widowControl/>
        <w:numPr>
          <w:ilvl w:val="1"/>
          <w:numId w:val="1"/>
        </w:numPr>
      </w:pPr>
      <w:r>
        <w:t>The</w:t>
      </w:r>
      <w:r w:rsidR="00016F04">
        <w:t xml:space="preserve"> PBAC </w:t>
      </w:r>
      <w:r w:rsidR="00D16ED6">
        <w:t xml:space="preserve">considered that any resubmission should be a </w:t>
      </w:r>
      <w:r w:rsidR="0056593C">
        <w:t xml:space="preserve">major </w:t>
      </w:r>
      <w:r w:rsidR="00D26850">
        <w:t>submission</w:t>
      </w:r>
      <w:r w:rsidR="00D16ED6">
        <w:t xml:space="preserve"> to allow for evaluation of a</w:t>
      </w:r>
      <w:r w:rsidR="009B63E8">
        <w:t xml:space="preserve"> revised</w:t>
      </w:r>
      <w:r w:rsidR="00D16ED6">
        <w:t xml:space="preserve"> economic model, which addresses the issues raised by the PBAC.</w:t>
      </w:r>
      <w:bookmarkStart w:id="33" w:name="_GoBack"/>
      <w:bookmarkEnd w:id="33"/>
    </w:p>
    <w:p w:rsidR="00D26850" w:rsidRDefault="00D26850" w:rsidP="00BD7734"/>
    <w:p w:rsidR="00D26850" w:rsidRPr="005C290A" w:rsidRDefault="0056593C" w:rsidP="00D26850">
      <w:pPr>
        <w:pStyle w:val="ListParagraph"/>
        <w:widowControl/>
        <w:numPr>
          <w:ilvl w:val="1"/>
          <w:numId w:val="1"/>
        </w:numPr>
      </w:pPr>
      <w:r>
        <w:t xml:space="preserve">The PBAC noted that this submission is eligible for an </w:t>
      </w:r>
      <w:r w:rsidR="00C81D79">
        <w:t>I</w:t>
      </w:r>
      <w:r>
        <w:t xml:space="preserve">ndependent </w:t>
      </w:r>
      <w:r w:rsidR="00C81D79">
        <w:t>R</w:t>
      </w:r>
      <w:r>
        <w:t>eview.</w:t>
      </w:r>
    </w:p>
    <w:p w:rsidR="00D51758" w:rsidRPr="004E43FD" w:rsidRDefault="00D51758" w:rsidP="005D5FF8">
      <w:pPr>
        <w:rPr>
          <w:b/>
          <w:bCs/>
          <w:szCs w:val="22"/>
          <w:lang w:val="en-GB"/>
        </w:rPr>
      </w:pPr>
    </w:p>
    <w:p w:rsidR="005D5FF8" w:rsidRPr="004E43FD" w:rsidRDefault="005D5FF8" w:rsidP="005D5FF8">
      <w:pPr>
        <w:rPr>
          <w:b/>
          <w:bCs/>
          <w:szCs w:val="22"/>
          <w:lang w:val="en-GB"/>
        </w:rPr>
      </w:pPr>
      <w:r w:rsidRPr="004E43FD">
        <w:rPr>
          <w:b/>
          <w:bCs/>
          <w:szCs w:val="22"/>
          <w:lang w:val="en-GB"/>
        </w:rPr>
        <w:t>Outcome:</w:t>
      </w:r>
    </w:p>
    <w:p w:rsidR="00336FFF" w:rsidRDefault="005D5FF8" w:rsidP="00D51758">
      <w:pPr>
        <w:rPr>
          <w:bCs/>
          <w:szCs w:val="22"/>
          <w:lang w:val="en-GB"/>
        </w:rPr>
      </w:pPr>
      <w:r w:rsidRPr="004E43FD">
        <w:rPr>
          <w:bCs/>
          <w:szCs w:val="22"/>
          <w:lang w:val="en-GB"/>
        </w:rPr>
        <w:t>Rejected</w:t>
      </w:r>
    </w:p>
    <w:p w:rsidR="005E727C" w:rsidRDefault="005E727C" w:rsidP="00D51758">
      <w:pPr>
        <w:rPr>
          <w:bCs/>
          <w:szCs w:val="22"/>
          <w:lang w:val="en-GB"/>
        </w:rPr>
      </w:pPr>
    </w:p>
    <w:p w:rsidR="005E727C" w:rsidRDefault="005E727C" w:rsidP="00D51758">
      <w:pPr>
        <w:rPr>
          <w:bCs/>
          <w:szCs w:val="22"/>
          <w:lang w:val="en-GB"/>
        </w:rPr>
      </w:pPr>
    </w:p>
    <w:p w:rsidR="005E727C" w:rsidRPr="00570D4E" w:rsidRDefault="005E727C" w:rsidP="005E727C">
      <w:pPr>
        <w:pStyle w:val="PBACheading10"/>
        <w:numPr>
          <w:ilvl w:val="0"/>
          <w:numId w:val="1"/>
        </w:numPr>
      </w:pPr>
      <w:r w:rsidRPr="00485DD3">
        <w:t>Context for Decision</w:t>
      </w:r>
    </w:p>
    <w:p w:rsidR="005E727C" w:rsidRDefault="005E727C" w:rsidP="005E727C">
      <w:pPr>
        <w:ind w:left="426"/>
      </w:pPr>
    </w:p>
    <w:p w:rsidR="005E727C" w:rsidRDefault="005E727C" w:rsidP="005E727C">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E727C" w:rsidRDefault="005E727C" w:rsidP="005E727C">
      <w:pPr>
        <w:ind w:left="426"/>
      </w:pPr>
    </w:p>
    <w:p w:rsidR="005E727C" w:rsidRPr="00570D4E" w:rsidRDefault="005E727C" w:rsidP="005E727C">
      <w:pPr>
        <w:pStyle w:val="PBACheading10"/>
        <w:numPr>
          <w:ilvl w:val="0"/>
          <w:numId w:val="1"/>
        </w:numPr>
      </w:pPr>
      <w:r w:rsidRPr="00485DD3">
        <w:t>Sponsor’s Comment</w:t>
      </w:r>
    </w:p>
    <w:p w:rsidR="005E727C" w:rsidRDefault="005E727C" w:rsidP="005E727C">
      <w:pPr>
        <w:ind w:left="426"/>
        <w:rPr>
          <w:bCs/>
          <w:highlight w:val="yellow"/>
          <w:lang w:val="en-GB"/>
        </w:rPr>
      </w:pPr>
    </w:p>
    <w:p w:rsidR="005E727C" w:rsidRDefault="005E727C" w:rsidP="005E727C">
      <w:pPr>
        <w:spacing w:after="120"/>
        <w:ind w:left="709"/>
        <w:rPr>
          <w:bCs/>
        </w:rPr>
      </w:pPr>
      <w:r w:rsidRPr="003035CC">
        <w:rPr>
          <w:bCs/>
        </w:rPr>
        <w:t>The sponsor had no comment.</w:t>
      </w:r>
    </w:p>
    <w:p w:rsidR="005E727C" w:rsidRPr="00D51758" w:rsidRDefault="005E727C" w:rsidP="00D51758">
      <w:pPr>
        <w:rPr>
          <w:bCs/>
          <w:szCs w:val="22"/>
          <w:lang w:val="en-GB"/>
        </w:rPr>
      </w:pPr>
    </w:p>
    <w:sectPr w:rsidR="005E727C" w:rsidRPr="00D51758" w:rsidSect="003430F2">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C027BC" w15:done="0"/>
  <w15:commentEx w15:paraId="0F4ECA6C" w15:paraIdParent="1BC027BC" w15:done="0"/>
  <w15:commentEx w15:paraId="69578A1E" w15:done="0"/>
  <w15:commentEx w15:paraId="6032EE4C" w15:paraIdParent="69578A1E" w15:done="0"/>
  <w15:commentEx w15:paraId="3A2D6ABC" w15:done="0"/>
  <w15:commentEx w15:paraId="32DB8517" w15:done="0"/>
  <w15:commentEx w15:paraId="17D5913D" w15:paraIdParent="32DB8517" w15:done="0"/>
  <w15:commentEx w15:paraId="704A16B6" w15:done="0"/>
  <w15:commentEx w15:paraId="15241E00" w15:paraIdParent="704A16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B60" w:rsidRDefault="00330B60" w:rsidP="00124A51">
      <w:r>
        <w:separator/>
      </w:r>
    </w:p>
  </w:endnote>
  <w:endnote w:type="continuationSeparator" w:id="0">
    <w:p w:rsidR="00330B60" w:rsidRDefault="00330B60" w:rsidP="00124A51">
      <w:r>
        <w:continuationSeparator/>
      </w:r>
    </w:p>
  </w:endnote>
  <w:endnote w:type="continuationNotice" w:id="1">
    <w:p w:rsidR="00330B60" w:rsidRDefault="00330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60" w:rsidRDefault="00330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66353"/>
      <w:docPartObj>
        <w:docPartGallery w:val="Page Numbers (Bottom of Page)"/>
        <w:docPartUnique/>
      </w:docPartObj>
    </w:sdtPr>
    <w:sdtEndPr>
      <w:rPr>
        <w:noProof/>
      </w:rPr>
    </w:sdtEndPr>
    <w:sdtContent>
      <w:p w:rsidR="00330B60" w:rsidRDefault="00330B60" w:rsidP="005E727C">
        <w:pPr>
          <w:pStyle w:val="Footer"/>
          <w:jc w:val="center"/>
        </w:pPr>
      </w:p>
      <w:p w:rsidR="00330B60" w:rsidRPr="005E727C" w:rsidRDefault="00330B60" w:rsidP="005E727C">
        <w:pPr>
          <w:pStyle w:val="Footer"/>
          <w:jc w:val="center"/>
        </w:pPr>
        <w:r>
          <w:fldChar w:fldCharType="begin"/>
        </w:r>
        <w:r>
          <w:instrText xml:space="preserve"> PAGE   \* MERGEFORMAT </w:instrText>
        </w:r>
        <w:r>
          <w:fldChar w:fldCharType="separate"/>
        </w:r>
        <w:r w:rsidR="00581824">
          <w:rPr>
            <w:noProof/>
          </w:rPr>
          <w:t>26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60" w:rsidRDefault="00330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B60" w:rsidRDefault="00330B60" w:rsidP="00124A51">
      <w:r>
        <w:separator/>
      </w:r>
    </w:p>
  </w:footnote>
  <w:footnote w:type="continuationSeparator" w:id="0">
    <w:p w:rsidR="00330B60" w:rsidRDefault="00330B60" w:rsidP="00124A51">
      <w:r>
        <w:continuationSeparator/>
      </w:r>
    </w:p>
  </w:footnote>
  <w:footnote w:type="continuationNotice" w:id="1">
    <w:p w:rsidR="00330B60" w:rsidRDefault="00330B60"/>
  </w:footnote>
  <w:footnote w:id="2">
    <w:p w:rsidR="00330B60" w:rsidRDefault="00330B60">
      <w:pPr>
        <w:pStyle w:val="FootnoteText"/>
      </w:pPr>
      <w:r>
        <w:rPr>
          <w:rStyle w:val="FootnoteReference"/>
        </w:rPr>
        <w:footnoteRef/>
      </w:r>
      <w:r>
        <w:t xml:space="preserve"> The term “refractory” was changed to “rituximab-refractory” throughout the restriction table, per PBAC advice, November 2016.</w:t>
      </w:r>
    </w:p>
  </w:footnote>
  <w:footnote w:id="3">
    <w:p w:rsidR="00330B60" w:rsidRPr="008204E8" w:rsidRDefault="00330B60">
      <w:pPr>
        <w:pStyle w:val="FootnoteText"/>
        <w:rPr>
          <w:sz w:val="16"/>
          <w:szCs w:val="16"/>
        </w:rPr>
      </w:pPr>
      <w:r w:rsidRPr="008204E8">
        <w:rPr>
          <w:rStyle w:val="FootnoteReference"/>
          <w:sz w:val="16"/>
          <w:szCs w:val="16"/>
        </w:rPr>
        <w:footnoteRef/>
      </w:r>
      <w:r w:rsidRPr="008204E8">
        <w:rPr>
          <w:sz w:val="16"/>
          <w:szCs w:val="16"/>
        </w:rPr>
        <w:t xml:space="preserve"> </w:t>
      </w:r>
      <w:r w:rsidRPr="008204E8">
        <w:rPr>
          <w:snapToGrid/>
          <w:sz w:val="16"/>
          <w:szCs w:val="16"/>
          <w:lang w:eastAsia="en-AU"/>
        </w:rPr>
        <w:t>Annals of Oncology 25 (Supplement 3): iii76–iii82, 2014</w:t>
      </w:r>
    </w:p>
  </w:footnote>
  <w:footnote w:id="4">
    <w:p w:rsidR="00330B60" w:rsidRPr="0090285D" w:rsidRDefault="00330B60" w:rsidP="00461846">
      <w:pPr>
        <w:pStyle w:val="FootnoteText"/>
      </w:pPr>
      <w:r w:rsidRPr="0090285D">
        <w:rPr>
          <w:rStyle w:val="FootnoteReference"/>
        </w:rPr>
        <w:footnoteRef/>
      </w:r>
      <w:r w:rsidRPr="0090285D">
        <w:t xml:space="preserve"> </w:t>
      </w:r>
      <w:proofErr w:type="spellStart"/>
      <w:r w:rsidRPr="0090285D">
        <w:t>Obinutuzumab</w:t>
      </w:r>
      <w:proofErr w:type="spellEnd"/>
      <w:r w:rsidRPr="0090285D">
        <w:t xml:space="preserve"> PSD, March 2015 PBAC meeting</w:t>
      </w:r>
    </w:p>
  </w:footnote>
  <w:footnote w:id="5">
    <w:p w:rsidR="00330B60" w:rsidRPr="00B2390F" w:rsidRDefault="00330B60" w:rsidP="00B2390F">
      <w:pPr>
        <w:keepNext/>
        <w:widowControl/>
        <w:rPr>
          <w:bCs/>
          <w:sz w:val="16"/>
          <w:lang w:val="en-US"/>
        </w:rPr>
      </w:pPr>
      <w:r w:rsidRPr="00B2390F">
        <w:rPr>
          <w:rStyle w:val="FootnoteReference"/>
          <w:sz w:val="16"/>
        </w:rPr>
        <w:footnoteRef/>
      </w:r>
      <w:r w:rsidRPr="00B2390F">
        <w:rPr>
          <w:sz w:val="16"/>
        </w:rPr>
        <w:t xml:space="preserve"> </w:t>
      </w:r>
      <w:r w:rsidRPr="00B2390F">
        <w:rPr>
          <w:bCs/>
          <w:sz w:val="16"/>
          <w:lang w:val="en-US"/>
        </w:rPr>
        <w:t xml:space="preserve">Update Clinical Study Report – GAO4753g/GO01297 - An open-label, multicenter, randomized, Phase III study to investigate the efficacy and safety of </w:t>
      </w:r>
      <w:proofErr w:type="spellStart"/>
      <w:r w:rsidRPr="00B2390F">
        <w:rPr>
          <w:bCs/>
          <w:sz w:val="16"/>
          <w:lang w:val="en-US"/>
        </w:rPr>
        <w:t>bendamustine</w:t>
      </w:r>
      <w:proofErr w:type="spellEnd"/>
      <w:r w:rsidRPr="00B2390F">
        <w:rPr>
          <w:bCs/>
          <w:sz w:val="16"/>
          <w:lang w:val="en-US"/>
        </w:rPr>
        <w:t xml:space="preserve"> compared with </w:t>
      </w:r>
      <w:proofErr w:type="spellStart"/>
      <w:r w:rsidRPr="00B2390F">
        <w:rPr>
          <w:bCs/>
          <w:sz w:val="16"/>
          <w:lang w:val="en-US"/>
        </w:rPr>
        <w:t>bendamustine</w:t>
      </w:r>
      <w:proofErr w:type="spellEnd"/>
      <w:r w:rsidRPr="00B2390F">
        <w:rPr>
          <w:bCs/>
          <w:sz w:val="16"/>
          <w:lang w:val="en-US"/>
        </w:rPr>
        <w:t xml:space="preserve"> + RO5072759 (GA101) in patients with rituximab-refractory, indolent non-Hodgkin lymphoma. </w:t>
      </w:r>
      <w:proofErr w:type="gramStart"/>
      <w:r w:rsidRPr="00B2390F">
        <w:rPr>
          <w:bCs/>
          <w:sz w:val="16"/>
          <w:lang w:val="en-US"/>
        </w:rPr>
        <w:t>Research Report Number 1067639.</w:t>
      </w:r>
      <w:proofErr w:type="gramEnd"/>
    </w:p>
    <w:p w:rsidR="00330B60" w:rsidRDefault="00330B60" w:rsidP="00B06A3D">
      <w:pPr>
        <w:pStyle w:val="FootnoteText"/>
      </w:pPr>
    </w:p>
  </w:footnote>
  <w:footnote w:id="6">
    <w:p w:rsidR="00330B60" w:rsidRPr="00FE789D" w:rsidRDefault="00330B60">
      <w:pPr>
        <w:pStyle w:val="FootnoteText"/>
      </w:pPr>
      <w:r w:rsidRPr="00FE789D">
        <w:rPr>
          <w:rStyle w:val="FootnoteReference"/>
        </w:rPr>
        <w:footnoteRef/>
      </w:r>
      <w:r w:rsidRPr="00FE789D">
        <w:t xml:space="preserve"> </w:t>
      </w:r>
      <w:r w:rsidRPr="00FE789D">
        <w:rPr>
          <w:bCs/>
          <w:lang w:val="en-US"/>
        </w:rPr>
        <w:t xml:space="preserve">Van </w:t>
      </w:r>
      <w:proofErr w:type="spellStart"/>
      <w:r w:rsidRPr="00FE789D">
        <w:rPr>
          <w:bCs/>
          <w:lang w:val="en-US"/>
        </w:rPr>
        <w:t>Oers</w:t>
      </w:r>
      <w:proofErr w:type="spellEnd"/>
      <w:r w:rsidRPr="00FE789D">
        <w:rPr>
          <w:bCs/>
          <w:lang w:val="en-US"/>
        </w:rPr>
        <w:t xml:space="preserve"> et al, J </w:t>
      </w:r>
      <w:proofErr w:type="spellStart"/>
      <w:r w:rsidRPr="00FE789D">
        <w:rPr>
          <w:bCs/>
          <w:lang w:val="en-US"/>
        </w:rPr>
        <w:t>Clin</w:t>
      </w:r>
      <w:proofErr w:type="spellEnd"/>
      <w:r w:rsidRPr="00FE789D">
        <w:rPr>
          <w:bCs/>
          <w:lang w:val="en-US"/>
        </w:rPr>
        <w:t xml:space="preserve"> </w:t>
      </w:r>
      <w:proofErr w:type="spellStart"/>
      <w:r w:rsidRPr="00FE789D">
        <w:rPr>
          <w:bCs/>
          <w:lang w:val="en-US"/>
        </w:rPr>
        <w:t>Oncol</w:t>
      </w:r>
      <w:proofErr w:type="spellEnd"/>
      <w:r w:rsidRPr="00FE789D">
        <w:rPr>
          <w:bCs/>
          <w:lang w:val="en-US"/>
        </w:rPr>
        <w:t>. 2010 Jun</w:t>
      </w:r>
      <w:r>
        <w:rPr>
          <w:bCs/>
          <w:lang w:val="en-US"/>
        </w:rPr>
        <w:t>e</w:t>
      </w:r>
      <w:r w:rsidRPr="00FE789D">
        <w:rPr>
          <w:bCs/>
          <w:lang w:val="en-US"/>
        </w:rPr>
        <w:t xml:space="preserve"> 10; 28(17): 2853–2858.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60" w:rsidRDefault="00330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60" w:rsidRDefault="00330B60" w:rsidP="00EC26D5">
    <w:pPr>
      <w:tabs>
        <w:tab w:val="left" w:pos="142"/>
        <w:tab w:val="right" w:pos="9027"/>
      </w:tabs>
      <w:jc w:val="center"/>
      <w:rPr>
        <w:i/>
        <w:color w:val="D9D9D9" w:themeColor="background1" w:themeShade="D9"/>
      </w:rPr>
    </w:pPr>
    <w:r>
      <w:rPr>
        <w:i/>
        <w:color w:val="D9D9D9" w:themeColor="background1" w:themeShade="D9"/>
      </w:rPr>
      <w:t>Public Summary Document</w:t>
    </w:r>
    <w:r w:rsidRPr="00EC26D5">
      <w:rPr>
        <w:i/>
        <w:color w:val="D9D9D9" w:themeColor="background1" w:themeShade="D9"/>
      </w:rPr>
      <w:t xml:space="preserve"> – November 2016 PBAC Meeting</w:t>
    </w:r>
  </w:p>
  <w:p w:rsidR="00330B60" w:rsidRPr="00EC26D5" w:rsidRDefault="00330B60" w:rsidP="00EC26D5">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60" w:rsidRDefault="00330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C11708"/>
    <w:multiLevelType w:val="hybridMultilevel"/>
    <w:tmpl w:val="7358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BD55A7"/>
    <w:multiLevelType w:val="hybridMultilevel"/>
    <w:tmpl w:val="44D63AAC"/>
    <w:lvl w:ilvl="0" w:tplc="0C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3B3FC6"/>
    <w:multiLevelType w:val="hybridMultilevel"/>
    <w:tmpl w:val="C5CCC436"/>
    <w:lvl w:ilvl="0" w:tplc="ECF88CD6">
      <w:start w:val="1"/>
      <w:numFmt w:val="bullet"/>
      <w:pStyle w:val="List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015D12"/>
    <w:multiLevelType w:val="hybridMultilevel"/>
    <w:tmpl w:val="6616E4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317B95"/>
    <w:multiLevelType w:val="hybridMultilevel"/>
    <w:tmpl w:val="8C065106"/>
    <w:lvl w:ilvl="0" w:tplc="0C090001">
      <w:start w:val="1"/>
      <w:numFmt w:val="bullet"/>
      <w:lvlText w:val=""/>
      <w:lvlJc w:val="left"/>
      <w:pPr>
        <w:ind w:left="1502" w:hanging="360"/>
      </w:pPr>
      <w:rPr>
        <w:rFonts w:ascii="Symbol" w:hAnsi="Symbol" w:hint="default"/>
      </w:rPr>
    </w:lvl>
    <w:lvl w:ilvl="1" w:tplc="0C090003">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7">
    <w:nsid w:val="23261C6A"/>
    <w:multiLevelType w:val="hybridMultilevel"/>
    <w:tmpl w:val="7250BFF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F1F9A"/>
    <w:multiLevelType w:val="hybridMultilevel"/>
    <w:tmpl w:val="39E215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7E663DF"/>
    <w:multiLevelType w:val="hybridMultilevel"/>
    <w:tmpl w:val="EA6244E4"/>
    <w:lvl w:ilvl="0" w:tplc="E13AFAD2">
      <w:start w:val="7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713A2A"/>
    <w:multiLevelType w:val="hybridMultilevel"/>
    <w:tmpl w:val="15966F0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35070DFF"/>
    <w:multiLevelType w:val="hybridMultilevel"/>
    <w:tmpl w:val="38C4466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EA91E6D"/>
    <w:multiLevelType w:val="hybridMultilevel"/>
    <w:tmpl w:val="521683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024AFB"/>
    <w:multiLevelType w:val="hybridMultilevel"/>
    <w:tmpl w:val="63647A5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C23895"/>
    <w:multiLevelType w:val="singleLevel"/>
    <w:tmpl w:val="D2BE4148"/>
    <w:lvl w:ilvl="0">
      <w:start w:val="1"/>
      <w:numFmt w:val="bullet"/>
      <w:pStyle w:val="TableDash"/>
      <w:lvlText w:val="–"/>
      <w:lvlJc w:val="left"/>
      <w:pPr>
        <w:tabs>
          <w:tab w:val="num" w:pos="713"/>
        </w:tabs>
        <w:ind w:left="566" w:hanging="216"/>
      </w:pPr>
      <w:rPr>
        <w:rFonts w:ascii="Times New Roman" w:hAnsi="Times New Roman" w:cs="Times New Roman" w:hint="default"/>
        <w:sz w:val="20"/>
        <w:szCs w:val="20"/>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0C6D4C"/>
    <w:multiLevelType w:val="hybridMultilevel"/>
    <w:tmpl w:val="5BCAE2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B8255FD"/>
    <w:multiLevelType w:val="hybridMultilevel"/>
    <w:tmpl w:val="DC9246DE"/>
    <w:lvl w:ilvl="0" w:tplc="0C090001">
      <w:start w:val="1"/>
      <w:numFmt w:val="bullet"/>
      <w:lvlText w:val=""/>
      <w:lvlJc w:val="left"/>
      <w:pPr>
        <w:ind w:left="786" w:hanging="360"/>
      </w:pPr>
      <w:rPr>
        <w:rFonts w:ascii="Symbol" w:hAnsi="Symbol" w:hint="default"/>
      </w:rPr>
    </w:lvl>
    <w:lvl w:ilvl="1" w:tplc="F488CFD6">
      <w:numFmt w:val="bullet"/>
      <w:lvlText w:val="-"/>
      <w:lvlJc w:val="left"/>
      <w:pPr>
        <w:ind w:left="1506" w:hanging="360"/>
      </w:pPr>
      <w:rPr>
        <w:rFonts w:ascii="Times New Roman" w:eastAsia="Times New Roman" w:hAnsi="Times New Roman" w:cs="Times New Roman"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nsid w:val="75BF79A1"/>
    <w:multiLevelType w:val="hybridMultilevel"/>
    <w:tmpl w:val="DF508C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784D033C"/>
    <w:multiLevelType w:val="multilevel"/>
    <w:tmpl w:val="B9F20074"/>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numFmt w:val="bullet"/>
      <w:lvlText w:val="-"/>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43"/>
      <w:numFmt w:val="bullet"/>
      <w:lvlText w:val="-"/>
      <w:lvlJc w:val="left"/>
      <w:pPr>
        <w:ind w:left="1440" w:hanging="1440"/>
      </w:pPr>
      <w:rPr>
        <w:rFonts w:ascii="Arial" w:eastAsia="Times New Roman" w:hAnsi="Arial" w:cs="Aria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5"/>
  </w:num>
  <w:num w:numId="3">
    <w:abstractNumId w:val="4"/>
  </w:num>
  <w:num w:numId="4">
    <w:abstractNumId w:val="11"/>
  </w:num>
  <w:num w:numId="5">
    <w:abstractNumId w:val="5"/>
  </w:num>
  <w:num w:numId="6">
    <w:abstractNumId w:val="12"/>
  </w:num>
  <w:num w:numId="7">
    <w:abstractNumId w:val="6"/>
  </w:num>
  <w:num w:numId="8">
    <w:abstractNumId w:val="18"/>
  </w:num>
  <w:num w:numId="9">
    <w:abstractNumId w:val="3"/>
  </w:num>
  <w:num w:numId="10">
    <w:abstractNumId w:val="7"/>
  </w:num>
  <w:num w:numId="11">
    <w:abstractNumId w:val="1"/>
  </w:num>
  <w:num w:numId="12">
    <w:abstractNumId w:val="9"/>
  </w:num>
  <w:num w:numId="13">
    <w:abstractNumId w:val="13"/>
  </w:num>
  <w:num w:numId="14">
    <w:abstractNumId w:val="16"/>
  </w:num>
  <w:num w:numId="15">
    <w:abstractNumId w:val="2"/>
  </w:num>
  <w:num w:numId="16">
    <w:abstractNumId w:val="0"/>
  </w:num>
  <w:num w:numId="17">
    <w:abstractNumId w:val="8"/>
  </w:num>
  <w:num w:numId="18">
    <w:abstractNumId w:val="20"/>
  </w:num>
  <w:num w:numId="19">
    <w:abstractNumId w:val="17"/>
  </w:num>
  <w:num w:numId="20">
    <w:abstractNumId w:val="19"/>
  </w:num>
  <w:num w:numId="21">
    <w:abstractNumId w:val="14"/>
  </w:num>
  <w:num w:numId="22">
    <w:abstractNumId w:val="10"/>
  </w:num>
  <w:numIdMacAtCleanup w:val="1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AC"/>
    <w:rsid w:val="00000343"/>
    <w:rsid w:val="00000790"/>
    <w:rsid w:val="0000110B"/>
    <w:rsid w:val="00001306"/>
    <w:rsid w:val="00003499"/>
    <w:rsid w:val="000036E2"/>
    <w:rsid w:val="00005569"/>
    <w:rsid w:val="00005F41"/>
    <w:rsid w:val="000079F4"/>
    <w:rsid w:val="00010FC8"/>
    <w:rsid w:val="000113A2"/>
    <w:rsid w:val="0001308E"/>
    <w:rsid w:val="00013247"/>
    <w:rsid w:val="00013D9B"/>
    <w:rsid w:val="00015886"/>
    <w:rsid w:val="0001612A"/>
    <w:rsid w:val="000162EF"/>
    <w:rsid w:val="0001639D"/>
    <w:rsid w:val="00016F04"/>
    <w:rsid w:val="00017894"/>
    <w:rsid w:val="0001795E"/>
    <w:rsid w:val="00017CF7"/>
    <w:rsid w:val="000201B1"/>
    <w:rsid w:val="00021C8E"/>
    <w:rsid w:val="00021D8E"/>
    <w:rsid w:val="0002225F"/>
    <w:rsid w:val="00023763"/>
    <w:rsid w:val="0002466A"/>
    <w:rsid w:val="000259F9"/>
    <w:rsid w:val="0002695A"/>
    <w:rsid w:val="00027457"/>
    <w:rsid w:val="00030CD7"/>
    <w:rsid w:val="00031F55"/>
    <w:rsid w:val="00034C3D"/>
    <w:rsid w:val="00035A2D"/>
    <w:rsid w:val="00035E87"/>
    <w:rsid w:val="000378C3"/>
    <w:rsid w:val="00040727"/>
    <w:rsid w:val="00040895"/>
    <w:rsid w:val="00041FB7"/>
    <w:rsid w:val="00042959"/>
    <w:rsid w:val="00043C37"/>
    <w:rsid w:val="000444A6"/>
    <w:rsid w:val="00044BED"/>
    <w:rsid w:val="000455CD"/>
    <w:rsid w:val="000469B2"/>
    <w:rsid w:val="00047A7C"/>
    <w:rsid w:val="00047C3C"/>
    <w:rsid w:val="000517CE"/>
    <w:rsid w:val="000541A8"/>
    <w:rsid w:val="00054620"/>
    <w:rsid w:val="000546D7"/>
    <w:rsid w:val="00057A81"/>
    <w:rsid w:val="00057F82"/>
    <w:rsid w:val="00061B3C"/>
    <w:rsid w:val="00062771"/>
    <w:rsid w:val="000630C8"/>
    <w:rsid w:val="00063290"/>
    <w:rsid w:val="00065C92"/>
    <w:rsid w:val="00066759"/>
    <w:rsid w:val="00066B14"/>
    <w:rsid w:val="00070B85"/>
    <w:rsid w:val="00071248"/>
    <w:rsid w:val="000720B9"/>
    <w:rsid w:val="000720F1"/>
    <w:rsid w:val="00076BF8"/>
    <w:rsid w:val="00077FDB"/>
    <w:rsid w:val="000801CB"/>
    <w:rsid w:val="000801D2"/>
    <w:rsid w:val="0008080E"/>
    <w:rsid w:val="000812CA"/>
    <w:rsid w:val="00081715"/>
    <w:rsid w:val="00081CF6"/>
    <w:rsid w:val="0008280B"/>
    <w:rsid w:val="000837D2"/>
    <w:rsid w:val="00083B52"/>
    <w:rsid w:val="00090C7E"/>
    <w:rsid w:val="000917D3"/>
    <w:rsid w:val="00093E16"/>
    <w:rsid w:val="00093F6B"/>
    <w:rsid w:val="0009443A"/>
    <w:rsid w:val="000947B9"/>
    <w:rsid w:val="00094DB2"/>
    <w:rsid w:val="000953E9"/>
    <w:rsid w:val="0009556F"/>
    <w:rsid w:val="00095BBA"/>
    <w:rsid w:val="00096EC9"/>
    <w:rsid w:val="00096F84"/>
    <w:rsid w:val="000979E9"/>
    <w:rsid w:val="000A0566"/>
    <w:rsid w:val="000A1477"/>
    <w:rsid w:val="000A1A22"/>
    <w:rsid w:val="000A30DF"/>
    <w:rsid w:val="000A3742"/>
    <w:rsid w:val="000A394D"/>
    <w:rsid w:val="000A524B"/>
    <w:rsid w:val="000A6194"/>
    <w:rsid w:val="000A6665"/>
    <w:rsid w:val="000A6D8A"/>
    <w:rsid w:val="000B0425"/>
    <w:rsid w:val="000B1744"/>
    <w:rsid w:val="000B4048"/>
    <w:rsid w:val="000B4424"/>
    <w:rsid w:val="000B445E"/>
    <w:rsid w:val="000B5BD0"/>
    <w:rsid w:val="000B6944"/>
    <w:rsid w:val="000B715C"/>
    <w:rsid w:val="000B7C28"/>
    <w:rsid w:val="000C415D"/>
    <w:rsid w:val="000C6C9F"/>
    <w:rsid w:val="000C791B"/>
    <w:rsid w:val="000D0D4D"/>
    <w:rsid w:val="000D1BFC"/>
    <w:rsid w:val="000D3F8A"/>
    <w:rsid w:val="000D603C"/>
    <w:rsid w:val="000E35F6"/>
    <w:rsid w:val="000E3DCE"/>
    <w:rsid w:val="000E54FF"/>
    <w:rsid w:val="000E7DFA"/>
    <w:rsid w:val="000F054D"/>
    <w:rsid w:val="000F0EDA"/>
    <w:rsid w:val="000F4BB8"/>
    <w:rsid w:val="000F4FB3"/>
    <w:rsid w:val="000F61C0"/>
    <w:rsid w:val="000F6411"/>
    <w:rsid w:val="000F6A65"/>
    <w:rsid w:val="000F7127"/>
    <w:rsid w:val="00100F8A"/>
    <w:rsid w:val="00103432"/>
    <w:rsid w:val="0010614F"/>
    <w:rsid w:val="0011032E"/>
    <w:rsid w:val="00112C96"/>
    <w:rsid w:val="00113179"/>
    <w:rsid w:val="0011348B"/>
    <w:rsid w:val="00113653"/>
    <w:rsid w:val="00113FDE"/>
    <w:rsid w:val="00114031"/>
    <w:rsid w:val="0011789A"/>
    <w:rsid w:val="0012090E"/>
    <w:rsid w:val="00120AF3"/>
    <w:rsid w:val="00120EAB"/>
    <w:rsid w:val="00121799"/>
    <w:rsid w:val="001222FC"/>
    <w:rsid w:val="0012292E"/>
    <w:rsid w:val="00123008"/>
    <w:rsid w:val="00124A51"/>
    <w:rsid w:val="00124A85"/>
    <w:rsid w:val="001257A5"/>
    <w:rsid w:val="00125E8C"/>
    <w:rsid w:val="00126621"/>
    <w:rsid w:val="00127BC5"/>
    <w:rsid w:val="00127F9B"/>
    <w:rsid w:val="001301E9"/>
    <w:rsid w:val="00130BAB"/>
    <w:rsid w:val="00132942"/>
    <w:rsid w:val="00133135"/>
    <w:rsid w:val="0013363D"/>
    <w:rsid w:val="0013461F"/>
    <w:rsid w:val="00137645"/>
    <w:rsid w:val="001378E5"/>
    <w:rsid w:val="001379D1"/>
    <w:rsid w:val="0014015A"/>
    <w:rsid w:val="00140E5F"/>
    <w:rsid w:val="00140E99"/>
    <w:rsid w:val="0014135B"/>
    <w:rsid w:val="00142A52"/>
    <w:rsid w:val="00142FFE"/>
    <w:rsid w:val="0014364E"/>
    <w:rsid w:val="00144BB0"/>
    <w:rsid w:val="00144EF9"/>
    <w:rsid w:val="00145540"/>
    <w:rsid w:val="001456B0"/>
    <w:rsid w:val="00145ADD"/>
    <w:rsid w:val="00146911"/>
    <w:rsid w:val="00147568"/>
    <w:rsid w:val="00151F56"/>
    <w:rsid w:val="0015420C"/>
    <w:rsid w:val="0015651C"/>
    <w:rsid w:val="0015696F"/>
    <w:rsid w:val="00157130"/>
    <w:rsid w:val="00157385"/>
    <w:rsid w:val="00161281"/>
    <w:rsid w:val="00161FF5"/>
    <w:rsid w:val="0016213C"/>
    <w:rsid w:val="00162225"/>
    <w:rsid w:val="00162913"/>
    <w:rsid w:val="001635ED"/>
    <w:rsid w:val="00163EFF"/>
    <w:rsid w:val="00165E19"/>
    <w:rsid w:val="001661FB"/>
    <w:rsid w:val="00170005"/>
    <w:rsid w:val="00172E62"/>
    <w:rsid w:val="001733DF"/>
    <w:rsid w:val="00174CE2"/>
    <w:rsid w:val="00174D62"/>
    <w:rsid w:val="00175175"/>
    <w:rsid w:val="001758EC"/>
    <w:rsid w:val="001769C5"/>
    <w:rsid w:val="00177716"/>
    <w:rsid w:val="00177AD4"/>
    <w:rsid w:val="00180093"/>
    <w:rsid w:val="00180879"/>
    <w:rsid w:val="00181F6B"/>
    <w:rsid w:val="001834A3"/>
    <w:rsid w:val="00184E6C"/>
    <w:rsid w:val="00185681"/>
    <w:rsid w:val="0018752F"/>
    <w:rsid w:val="001908D3"/>
    <w:rsid w:val="00190C21"/>
    <w:rsid w:val="00192788"/>
    <w:rsid w:val="00193132"/>
    <w:rsid w:val="001951BE"/>
    <w:rsid w:val="00195222"/>
    <w:rsid w:val="00195805"/>
    <w:rsid w:val="00195A3F"/>
    <w:rsid w:val="001975D8"/>
    <w:rsid w:val="001975F5"/>
    <w:rsid w:val="001A0AAA"/>
    <w:rsid w:val="001A142B"/>
    <w:rsid w:val="001A16E0"/>
    <w:rsid w:val="001A32FD"/>
    <w:rsid w:val="001A3A36"/>
    <w:rsid w:val="001A478C"/>
    <w:rsid w:val="001A4CF3"/>
    <w:rsid w:val="001A63FF"/>
    <w:rsid w:val="001A7969"/>
    <w:rsid w:val="001A7B7C"/>
    <w:rsid w:val="001B3443"/>
    <w:rsid w:val="001B34A8"/>
    <w:rsid w:val="001B41F9"/>
    <w:rsid w:val="001B46A6"/>
    <w:rsid w:val="001B5F20"/>
    <w:rsid w:val="001B7FE4"/>
    <w:rsid w:val="001C0D34"/>
    <w:rsid w:val="001C5D9B"/>
    <w:rsid w:val="001C67B3"/>
    <w:rsid w:val="001C6E66"/>
    <w:rsid w:val="001C7763"/>
    <w:rsid w:val="001C7F72"/>
    <w:rsid w:val="001D168B"/>
    <w:rsid w:val="001D2D41"/>
    <w:rsid w:val="001D578E"/>
    <w:rsid w:val="001D5E8A"/>
    <w:rsid w:val="001E0C1B"/>
    <w:rsid w:val="001E1226"/>
    <w:rsid w:val="001E1D08"/>
    <w:rsid w:val="001E1F15"/>
    <w:rsid w:val="001E238E"/>
    <w:rsid w:val="001E2B1E"/>
    <w:rsid w:val="001E2B7B"/>
    <w:rsid w:val="001E2EB5"/>
    <w:rsid w:val="001E498A"/>
    <w:rsid w:val="001E52EB"/>
    <w:rsid w:val="001E5350"/>
    <w:rsid w:val="001E5A99"/>
    <w:rsid w:val="001E740C"/>
    <w:rsid w:val="001F1235"/>
    <w:rsid w:val="001F18FA"/>
    <w:rsid w:val="001F1CB3"/>
    <w:rsid w:val="001F2CBC"/>
    <w:rsid w:val="001F34AC"/>
    <w:rsid w:val="001F3A50"/>
    <w:rsid w:val="001F3C99"/>
    <w:rsid w:val="001F443A"/>
    <w:rsid w:val="001F493E"/>
    <w:rsid w:val="001F580A"/>
    <w:rsid w:val="001F7361"/>
    <w:rsid w:val="001F7BC9"/>
    <w:rsid w:val="001F7DEA"/>
    <w:rsid w:val="002008A1"/>
    <w:rsid w:val="002008D0"/>
    <w:rsid w:val="002029F2"/>
    <w:rsid w:val="0020385F"/>
    <w:rsid w:val="002039D2"/>
    <w:rsid w:val="00204858"/>
    <w:rsid w:val="00204D77"/>
    <w:rsid w:val="00205E4F"/>
    <w:rsid w:val="00205FD6"/>
    <w:rsid w:val="0020608F"/>
    <w:rsid w:val="00206BF7"/>
    <w:rsid w:val="00207021"/>
    <w:rsid w:val="002079B7"/>
    <w:rsid w:val="00207D00"/>
    <w:rsid w:val="002105C1"/>
    <w:rsid w:val="00212306"/>
    <w:rsid w:val="00212C4C"/>
    <w:rsid w:val="0021333A"/>
    <w:rsid w:val="002160C2"/>
    <w:rsid w:val="00217054"/>
    <w:rsid w:val="0022028E"/>
    <w:rsid w:val="00221FF3"/>
    <w:rsid w:val="00222D30"/>
    <w:rsid w:val="0022338B"/>
    <w:rsid w:val="0022391E"/>
    <w:rsid w:val="00223B49"/>
    <w:rsid w:val="00223D55"/>
    <w:rsid w:val="00224BFF"/>
    <w:rsid w:val="00224DD4"/>
    <w:rsid w:val="0022668C"/>
    <w:rsid w:val="002268E6"/>
    <w:rsid w:val="00226DBF"/>
    <w:rsid w:val="00227B07"/>
    <w:rsid w:val="002309CC"/>
    <w:rsid w:val="00230F56"/>
    <w:rsid w:val="0023155E"/>
    <w:rsid w:val="0023236D"/>
    <w:rsid w:val="002330E1"/>
    <w:rsid w:val="0023390E"/>
    <w:rsid w:val="0023498A"/>
    <w:rsid w:val="0023605B"/>
    <w:rsid w:val="00237478"/>
    <w:rsid w:val="00243763"/>
    <w:rsid w:val="00244D9A"/>
    <w:rsid w:val="00246C0A"/>
    <w:rsid w:val="00251271"/>
    <w:rsid w:val="002514E2"/>
    <w:rsid w:val="0025412A"/>
    <w:rsid w:val="00254DCF"/>
    <w:rsid w:val="0025534B"/>
    <w:rsid w:val="00255BB7"/>
    <w:rsid w:val="0025756A"/>
    <w:rsid w:val="0025782A"/>
    <w:rsid w:val="00257C61"/>
    <w:rsid w:val="00260074"/>
    <w:rsid w:val="00260129"/>
    <w:rsid w:val="00262A87"/>
    <w:rsid w:val="0026307C"/>
    <w:rsid w:val="002646A3"/>
    <w:rsid w:val="00265548"/>
    <w:rsid w:val="00265A0F"/>
    <w:rsid w:val="00266A35"/>
    <w:rsid w:val="00267FA0"/>
    <w:rsid w:val="0027017A"/>
    <w:rsid w:val="002704BA"/>
    <w:rsid w:val="00271E6E"/>
    <w:rsid w:val="002721C6"/>
    <w:rsid w:val="0027433C"/>
    <w:rsid w:val="00274954"/>
    <w:rsid w:val="00275C5A"/>
    <w:rsid w:val="00281014"/>
    <w:rsid w:val="002812B2"/>
    <w:rsid w:val="002843B5"/>
    <w:rsid w:val="002843F7"/>
    <w:rsid w:val="0028628C"/>
    <w:rsid w:val="00286845"/>
    <w:rsid w:val="0028700F"/>
    <w:rsid w:val="0028765F"/>
    <w:rsid w:val="0029181F"/>
    <w:rsid w:val="002928E7"/>
    <w:rsid w:val="00294176"/>
    <w:rsid w:val="00294B32"/>
    <w:rsid w:val="00295E3C"/>
    <w:rsid w:val="00297407"/>
    <w:rsid w:val="002A0C2D"/>
    <w:rsid w:val="002A14AB"/>
    <w:rsid w:val="002A20F3"/>
    <w:rsid w:val="002A2CA7"/>
    <w:rsid w:val="002A3B5D"/>
    <w:rsid w:val="002A3E57"/>
    <w:rsid w:val="002A42F1"/>
    <w:rsid w:val="002A50AE"/>
    <w:rsid w:val="002A7B7F"/>
    <w:rsid w:val="002B1C1F"/>
    <w:rsid w:val="002B205C"/>
    <w:rsid w:val="002B2E25"/>
    <w:rsid w:val="002B432F"/>
    <w:rsid w:val="002B50E9"/>
    <w:rsid w:val="002B53FA"/>
    <w:rsid w:val="002B621A"/>
    <w:rsid w:val="002B630E"/>
    <w:rsid w:val="002B66C1"/>
    <w:rsid w:val="002B6CCE"/>
    <w:rsid w:val="002B7921"/>
    <w:rsid w:val="002C02CD"/>
    <w:rsid w:val="002C05DB"/>
    <w:rsid w:val="002C1115"/>
    <w:rsid w:val="002C1753"/>
    <w:rsid w:val="002C2729"/>
    <w:rsid w:val="002C2775"/>
    <w:rsid w:val="002C27C1"/>
    <w:rsid w:val="002C293E"/>
    <w:rsid w:val="002C34C6"/>
    <w:rsid w:val="002C3C61"/>
    <w:rsid w:val="002C3FE5"/>
    <w:rsid w:val="002C5F8A"/>
    <w:rsid w:val="002C77C4"/>
    <w:rsid w:val="002D01F1"/>
    <w:rsid w:val="002D057B"/>
    <w:rsid w:val="002D086C"/>
    <w:rsid w:val="002D2344"/>
    <w:rsid w:val="002D2AAF"/>
    <w:rsid w:val="002D2EFC"/>
    <w:rsid w:val="002D4218"/>
    <w:rsid w:val="002D4F87"/>
    <w:rsid w:val="002D5751"/>
    <w:rsid w:val="002D619A"/>
    <w:rsid w:val="002E2CB7"/>
    <w:rsid w:val="002E48FF"/>
    <w:rsid w:val="002E499D"/>
    <w:rsid w:val="002E4D63"/>
    <w:rsid w:val="002E6461"/>
    <w:rsid w:val="002E69BA"/>
    <w:rsid w:val="002E739D"/>
    <w:rsid w:val="002F0FA2"/>
    <w:rsid w:val="002F1E6C"/>
    <w:rsid w:val="002F2644"/>
    <w:rsid w:val="002F387F"/>
    <w:rsid w:val="002F3EC2"/>
    <w:rsid w:val="002F5DF7"/>
    <w:rsid w:val="002F6FD5"/>
    <w:rsid w:val="0030023A"/>
    <w:rsid w:val="00301017"/>
    <w:rsid w:val="00303D33"/>
    <w:rsid w:val="003055E7"/>
    <w:rsid w:val="003060F8"/>
    <w:rsid w:val="003062A1"/>
    <w:rsid w:val="0030786C"/>
    <w:rsid w:val="0031031A"/>
    <w:rsid w:val="00310981"/>
    <w:rsid w:val="003120F2"/>
    <w:rsid w:val="00312F0B"/>
    <w:rsid w:val="00314306"/>
    <w:rsid w:val="00314535"/>
    <w:rsid w:val="0031470E"/>
    <w:rsid w:val="00315498"/>
    <w:rsid w:val="0031660D"/>
    <w:rsid w:val="00316863"/>
    <w:rsid w:val="00317489"/>
    <w:rsid w:val="00320178"/>
    <w:rsid w:val="0032142D"/>
    <w:rsid w:val="00323EDB"/>
    <w:rsid w:val="003242A1"/>
    <w:rsid w:val="003273D8"/>
    <w:rsid w:val="00330B60"/>
    <w:rsid w:val="00331086"/>
    <w:rsid w:val="003312D1"/>
    <w:rsid w:val="00332F31"/>
    <w:rsid w:val="00333EBD"/>
    <w:rsid w:val="003345A0"/>
    <w:rsid w:val="00335887"/>
    <w:rsid w:val="00336197"/>
    <w:rsid w:val="003366C9"/>
    <w:rsid w:val="00336FFF"/>
    <w:rsid w:val="003371B0"/>
    <w:rsid w:val="0034129E"/>
    <w:rsid w:val="003413FE"/>
    <w:rsid w:val="00342B3C"/>
    <w:rsid w:val="003430F2"/>
    <w:rsid w:val="0034377E"/>
    <w:rsid w:val="00343922"/>
    <w:rsid w:val="00345421"/>
    <w:rsid w:val="00345CA2"/>
    <w:rsid w:val="003512A4"/>
    <w:rsid w:val="00352476"/>
    <w:rsid w:val="00352C07"/>
    <w:rsid w:val="00354422"/>
    <w:rsid w:val="0035547D"/>
    <w:rsid w:val="0035620E"/>
    <w:rsid w:val="0036110E"/>
    <w:rsid w:val="00362A40"/>
    <w:rsid w:val="003634EF"/>
    <w:rsid w:val="00365172"/>
    <w:rsid w:val="00367FF0"/>
    <w:rsid w:val="003724CE"/>
    <w:rsid w:val="00373C15"/>
    <w:rsid w:val="00374A5D"/>
    <w:rsid w:val="00375C8B"/>
    <w:rsid w:val="003772B2"/>
    <w:rsid w:val="00382FAC"/>
    <w:rsid w:val="0038365C"/>
    <w:rsid w:val="003839B6"/>
    <w:rsid w:val="00383ED6"/>
    <w:rsid w:val="00384B3F"/>
    <w:rsid w:val="0038510E"/>
    <w:rsid w:val="00386E10"/>
    <w:rsid w:val="00387141"/>
    <w:rsid w:val="00387B7F"/>
    <w:rsid w:val="00387FAD"/>
    <w:rsid w:val="00390FD9"/>
    <w:rsid w:val="003958C2"/>
    <w:rsid w:val="003965C0"/>
    <w:rsid w:val="00396FD0"/>
    <w:rsid w:val="003A043A"/>
    <w:rsid w:val="003A0955"/>
    <w:rsid w:val="003A0A91"/>
    <w:rsid w:val="003A133C"/>
    <w:rsid w:val="003A16BD"/>
    <w:rsid w:val="003A1A7A"/>
    <w:rsid w:val="003A20D3"/>
    <w:rsid w:val="003A3F83"/>
    <w:rsid w:val="003A512E"/>
    <w:rsid w:val="003A5E69"/>
    <w:rsid w:val="003A6266"/>
    <w:rsid w:val="003B38F3"/>
    <w:rsid w:val="003B4FAC"/>
    <w:rsid w:val="003B7105"/>
    <w:rsid w:val="003B797B"/>
    <w:rsid w:val="003C34D5"/>
    <w:rsid w:val="003C43B2"/>
    <w:rsid w:val="003C4C1E"/>
    <w:rsid w:val="003C6AC9"/>
    <w:rsid w:val="003C7180"/>
    <w:rsid w:val="003D00F2"/>
    <w:rsid w:val="003D0B36"/>
    <w:rsid w:val="003D0D82"/>
    <w:rsid w:val="003D1828"/>
    <w:rsid w:val="003D2422"/>
    <w:rsid w:val="003D2993"/>
    <w:rsid w:val="003D32D8"/>
    <w:rsid w:val="003D36AE"/>
    <w:rsid w:val="003D3B47"/>
    <w:rsid w:val="003D3FD2"/>
    <w:rsid w:val="003E16C6"/>
    <w:rsid w:val="003E1EAC"/>
    <w:rsid w:val="003E4918"/>
    <w:rsid w:val="003E5B8C"/>
    <w:rsid w:val="003E6F0F"/>
    <w:rsid w:val="003E722D"/>
    <w:rsid w:val="003E7832"/>
    <w:rsid w:val="003E7E85"/>
    <w:rsid w:val="003F07BD"/>
    <w:rsid w:val="003F4156"/>
    <w:rsid w:val="003F5DD0"/>
    <w:rsid w:val="003F5ECF"/>
    <w:rsid w:val="003F6D18"/>
    <w:rsid w:val="003F7868"/>
    <w:rsid w:val="003F7A21"/>
    <w:rsid w:val="0040000A"/>
    <w:rsid w:val="00403725"/>
    <w:rsid w:val="00403EBE"/>
    <w:rsid w:val="00404211"/>
    <w:rsid w:val="00406693"/>
    <w:rsid w:val="0040718E"/>
    <w:rsid w:val="0040780A"/>
    <w:rsid w:val="00410708"/>
    <w:rsid w:val="004107E1"/>
    <w:rsid w:val="00410EC7"/>
    <w:rsid w:val="00412AC9"/>
    <w:rsid w:val="00412BDE"/>
    <w:rsid w:val="00412D61"/>
    <w:rsid w:val="004133F2"/>
    <w:rsid w:val="00414476"/>
    <w:rsid w:val="00416EC8"/>
    <w:rsid w:val="00417638"/>
    <w:rsid w:val="00417C76"/>
    <w:rsid w:val="004201A8"/>
    <w:rsid w:val="00420B9F"/>
    <w:rsid w:val="00420E4C"/>
    <w:rsid w:val="0042363E"/>
    <w:rsid w:val="00424701"/>
    <w:rsid w:val="0042663D"/>
    <w:rsid w:val="00427E92"/>
    <w:rsid w:val="004301D5"/>
    <w:rsid w:val="0043086C"/>
    <w:rsid w:val="004315B2"/>
    <w:rsid w:val="004319F8"/>
    <w:rsid w:val="00431DDF"/>
    <w:rsid w:val="00433044"/>
    <w:rsid w:val="00434CA9"/>
    <w:rsid w:val="004350FC"/>
    <w:rsid w:val="00435F12"/>
    <w:rsid w:val="00436064"/>
    <w:rsid w:val="00436F66"/>
    <w:rsid w:val="00440517"/>
    <w:rsid w:val="00442929"/>
    <w:rsid w:val="00443969"/>
    <w:rsid w:val="004443A7"/>
    <w:rsid w:val="004445EC"/>
    <w:rsid w:val="00444D15"/>
    <w:rsid w:val="004464EB"/>
    <w:rsid w:val="004465B8"/>
    <w:rsid w:val="00447012"/>
    <w:rsid w:val="004470B8"/>
    <w:rsid w:val="004479BF"/>
    <w:rsid w:val="004509E6"/>
    <w:rsid w:val="00451114"/>
    <w:rsid w:val="00452E63"/>
    <w:rsid w:val="00453B1C"/>
    <w:rsid w:val="00454180"/>
    <w:rsid w:val="004547F5"/>
    <w:rsid w:val="00454D57"/>
    <w:rsid w:val="00455D45"/>
    <w:rsid w:val="00457EAE"/>
    <w:rsid w:val="00461846"/>
    <w:rsid w:val="00462BD0"/>
    <w:rsid w:val="00464062"/>
    <w:rsid w:val="00464476"/>
    <w:rsid w:val="00464595"/>
    <w:rsid w:val="00464FA2"/>
    <w:rsid w:val="00465352"/>
    <w:rsid w:val="004653C0"/>
    <w:rsid w:val="00465849"/>
    <w:rsid w:val="00466C1A"/>
    <w:rsid w:val="004671B8"/>
    <w:rsid w:val="00467676"/>
    <w:rsid w:val="00470C32"/>
    <w:rsid w:val="0047157C"/>
    <w:rsid w:val="004716ED"/>
    <w:rsid w:val="004719D9"/>
    <w:rsid w:val="004722C0"/>
    <w:rsid w:val="004724D9"/>
    <w:rsid w:val="004734ED"/>
    <w:rsid w:val="00473B81"/>
    <w:rsid w:val="00473D19"/>
    <w:rsid w:val="004744B4"/>
    <w:rsid w:val="004750D7"/>
    <w:rsid w:val="00477458"/>
    <w:rsid w:val="00480869"/>
    <w:rsid w:val="00483272"/>
    <w:rsid w:val="004866F6"/>
    <w:rsid w:val="004867E2"/>
    <w:rsid w:val="00486B8F"/>
    <w:rsid w:val="0049099E"/>
    <w:rsid w:val="00491780"/>
    <w:rsid w:val="0049198A"/>
    <w:rsid w:val="00491B3A"/>
    <w:rsid w:val="00491FC3"/>
    <w:rsid w:val="00492CFD"/>
    <w:rsid w:val="00495F44"/>
    <w:rsid w:val="004962D2"/>
    <w:rsid w:val="00496426"/>
    <w:rsid w:val="004A0DA1"/>
    <w:rsid w:val="004A1A4E"/>
    <w:rsid w:val="004A21E0"/>
    <w:rsid w:val="004A31F0"/>
    <w:rsid w:val="004A6597"/>
    <w:rsid w:val="004A731F"/>
    <w:rsid w:val="004A7412"/>
    <w:rsid w:val="004A764D"/>
    <w:rsid w:val="004A7BDC"/>
    <w:rsid w:val="004B033F"/>
    <w:rsid w:val="004B05D6"/>
    <w:rsid w:val="004B1B98"/>
    <w:rsid w:val="004B1CB4"/>
    <w:rsid w:val="004B2F18"/>
    <w:rsid w:val="004B309E"/>
    <w:rsid w:val="004B3626"/>
    <w:rsid w:val="004B3DDB"/>
    <w:rsid w:val="004B4148"/>
    <w:rsid w:val="004B44FD"/>
    <w:rsid w:val="004B5A1E"/>
    <w:rsid w:val="004B5CFC"/>
    <w:rsid w:val="004B654A"/>
    <w:rsid w:val="004B7EEA"/>
    <w:rsid w:val="004C08F1"/>
    <w:rsid w:val="004C1DFA"/>
    <w:rsid w:val="004C288F"/>
    <w:rsid w:val="004C37F9"/>
    <w:rsid w:val="004C4AED"/>
    <w:rsid w:val="004C6B30"/>
    <w:rsid w:val="004C7E5A"/>
    <w:rsid w:val="004D0C1D"/>
    <w:rsid w:val="004D1892"/>
    <w:rsid w:val="004D41C8"/>
    <w:rsid w:val="004D55D1"/>
    <w:rsid w:val="004D5BC0"/>
    <w:rsid w:val="004D7FA8"/>
    <w:rsid w:val="004E0EB8"/>
    <w:rsid w:val="004E2ADC"/>
    <w:rsid w:val="004E2E4B"/>
    <w:rsid w:val="004E3381"/>
    <w:rsid w:val="004E3B9D"/>
    <w:rsid w:val="004E43B2"/>
    <w:rsid w:val="004E43FD"/>
    <w:rsid w:val="004E5C6D"/>
    <w:rsid w:val="004E6576"/>
    <w:rsid w:val="004F1847"/>
    <w:rsid w:val="004F1D02"/>
    <w:rsid w:val="004F22EC"/>
    <w:rsid w:val="004F2679"/>
    <w:rsid w:val="004F3BF8"/>
    <w:rsid w:val="004F54FF"/>
    <w:rsid w:val="004F623F"/>
    <w:rsid w:val="004F648D"/>
    <w:rsid w:val="004F7865"/>
    <w:rsid w:val="00500F47"/>
    <w:rsid w:val="00501C33"/>
    <w:rsid w:val="0050222E"/>
    <w:rsid w:val="00502B68"/>
    <w:rsid w:val="0050312F"/>
    <w:rsid w:val="00503E30"/>
    <w:rsid w:val="00504506"/>
    <w:rsid w:val="0050514E"/>
    <w:rsid w:val="005058C2"/>
    <w:rsid w:val="00505F83"/>
    <w:rsid w:val="00506928"/>
    <w:rsid w:val="00506A1A"/>
    <w:rsid w:val="00506CE5"/>
    <w:rsid w:val="00507400"/>
    <w:rsid w:val="00507CE6"/>
    <w:rsid w:val="00510B78"/>
    <w:rsid w:val="00511826"/>
    <w:rsid w:val="00512555"/>
    <w:rsid w:val="00512791"/>
    <w:rsid w:val="00512B1F"/>
    <w:rsid w:val="005152B5"/>
    <w:rsid w:val="00515649"/>
    <w:rsid w:val="005160D7"/>
    <w:rsid w:val="005164FE"/>
    <w:rsid w:val="00516BDD"/>
    <w:rsid w:val="00521319"/>
    <w:rsid w:val="00521BCE"/>
    <w:rsid w:val="0052253E"/>
    <w:rsid w:val="005228B3"/>
    <w:rsid w:val="0052337D"/>
    <w:rsid w:val="00523C28"/>
    <w:rsid w:val="0053016A"/>
    <w:rsid w:val="00530FE5"/>
    <w:rsid w:val="00532A38"/>
    <w:rsid w:val="00533BBF"/>
    <w:rsid w:val="005353C3"/>
    <w:rsid w:val="00536FD3"/>
    <w:rsid w:val="00542A56"/>
    <w:rsid w:val="00543FB7"/>
    <w:rsid w:val="00545374"/>
    <w:rsid w:val="0054543A"/>
    <w:rsid w:val="00545595"/>
    <w:rsid w:val="005455AA"/>
    <w:rsid w:val="005462CD"/>
    <w:rsid w:val="00546348"/>
    <w:rsid w:val="0055198B"/>
    <w:rsid w:val="00551AD6"/>
    <w:rsid w:val="00552BD3"/>
    <w:rsid w:val="00553EC4"/>
    <w:rsid w:val="0055475C"/>
    <w:rsid w:val="00555109"/>
    <w:rsid w:val="00557433"/>
    <w:rsid w:val="00560EC5"/>
    <w:rsid w:val="00563AC9"/>
    <w:rsid w:val="00564FDF"/>
    <w:rsid w:val="00565666"/>
    <w:rsid w:val="0056593C"/>
    <w:rsid w:val="00565AEE"/>
    <w:rsid w:val="0056696F"/>
    <w:rsid w:val="005678D0"/>
    <w:rsid w:val="005702A0"/>
    <w:rsid w:val="0057080D"/>
    <w:rsid w:val="00572B0F"/>
    <w:rsid w:val="00573891"/>
    <w:rsid w:val="00574B4B"/>
    <w:rsid w:val="00575C37"/>
    <w:rsid w:val="00575C75"/>
    <w:rsid w:val="00575D8D"/>
    <w:rsid w:val="0057649C"/>
    <w:rsid w:val="00576972"/>
    <w:rsid w:val="0057706F"/>
    <w:rsid w:val="00581824"/>
    <w:rsid w:val="00581FC5"/>
    <w:rsid w:val="00582DE8"/>
    <w:rsid w:val="00583699"/>
    <w:rsid w:val="00584FF3"/>
    <w:rsid w:val="0058603E"/>
    <w:rsid w:val="0058651C"/>
    <w:rsid w:val="00586E37"/>
    <w:rsid w:val="00586E77"/>
    <w:rsid w:val="00587B27"/>
    <w:rsid w:val="00590328"/>
    <w:rsid w:val="005910EF"/>
    <w:rsid w:val="0059141D"/>
    <w:rsid w:val="00591507"/>
    <w:rsid w:val="005920A4"/>
    <w:rsid w:val="00592179"/>
    <w:rsid w:val="00592341"/>
    <w:rsid w:val="00594D69"/>
    <w:rsid w:val="005951D9"/>
    <w:rsid w:val="00595B2B"/>
    <w:rsid w:val="005A61A2"/>
    <w:rsid w:val="005B28E2"/>
    <w:rsid w:val="005B3BBF"/>
    <w:rsid w:val="005B5695"/>
    <w:rsid w:val="005B5857"/>
    <w:rsid w:val="005B5B76"/>
    <w:rsid w:val="005B5CC6"/>
    <w:rsid w:val="005B6640"/>
    <w:rsid w:val="005C1B83"/>
    <w:rsid w:val="005C1FC5"/>
    <w:rsid w:val="005C26A7"/>
    <w:rsid w:val="005C290A"/>
    <w:rsid w:val="005C346B"/>
    <w:rsid w:val="005C3D41"/>
    <w:rsid w:val="005C4C89"/>
    <w:rsid w:val="005C59BD"/>
    <w:rsid w:val="005C5B5D"/>
    <w:rsid w:val="005C6FBB"/>
    <w:rsid w:val="005D030A"/>
    <w:rsid w:val="005D035E"/>
    <w:rsid w:val="005D044D"/>
    <w:rsid w:val="005D15FE"/>
    <w:rsid w:val="005D18AD"/>
    <w:rsid w:val="005D2C70"/>
    <w:rsid w:val="005D4856"/>
    <w:rsid w:val="005D5654"/>
    <w:rsid w:val="005D5FF8"/>
    <w:rsid w:val="005D60AD"/>
    <w:rsid w:val="005D6919"/>
    <w:rsid w:val="005E0C58"/>
    <w:rsid w:val="005E384F"/>
    <w:rsid w:val="005E3BBB"/>
    <w:rsid w:val="005E47EE"/>
    <w:rsid w:val="005E510B"/>
    <w:rsid w:val="005E575E"/>
    <w:rsid w:val="005E64D9"/>
    <w:rsid w:val="005E727C"/>
    <w:rsid w:val="005E73C0"/>
    <w:rsid w:val="005F2706"/>
    <w:rsid w:val="005F5ADC"/>
    <w:rsid w:val="005F62E2"/>
    <w:rsid w:val="005F6A8F"/>
    <w:rsid w:val="005F745D"/>
    <w:rsid w:val="005F7BBC"/>
    <w:rsid w:val="006024D7"/>
    <w:rsid w:val="00603005"/>
    <w:rsid w:val="00605481"/>
    <w:rsid w:val="00606254"/>
    <w:rsid w:val="00607669"/>
    <w:rsid w:val="00607768"/>
    <w:rsid w:val="00610787"/>
    <w:rsid w:val="00610CF7"/>
    <w:rsid w:val="00612670"/>
    <w:rsid w:val="00612F97"/>
    <w:rsid w:val="006139D9"/>
    <w:rsid w:val="00616802"/>
    <w:rsid w:val="00616C0B"/>
    <w:rsid w:val="00616DB8"/>
    <w:rsid w:val="00617D38"/>
    <w:rsid w:val="00617E12"/>
    <w:rsid w:val="00617E84"/>
    <w:rsid w:val="00621477"/>
    <w:rsid w:val="00624FAA"/>
    <w:rsid w:val="0062537C"/>
    <w:rsid w:val="006257AE"/>
    <w:rsid w:val="00626FF6"/>
    <w:rsid w:val="0062751E"/>
    <w:rsid w:val="00631966"/>
    <w:rsid w:val="00631A2F"/>
    <w:rsid w:val="00631D6B"/>
    <w:rsid w:val="00631D9A"/>
    <w:rsid w:val="00632800"/>
    <w:rsid w:val="00632AFF"/>
    <w:rsid w:val="006332A2"/>
    <w:rsid w:val="00633A8B"/>
    <w:rsid w:val="006344BB"/>
    <w:rsid w:val="0063479F"/>
    <w:rsid w:val="00634F55"/>
    <w:rsid w:val="00635609"/>
    <w:rsid w:val="006364A1"/>
    <w:rsid w:val="00636F61"/>
    <w:rsid w:val="00637BFD"/>
    <w:rsid w:val="006425FB"/>
    <w:rsid w:val="00642F9B"/>
    <w:rsid w:val="0064314F"/>
    <w:rsid w:val="00646279"/>
    <w:rsid w:val="006462AC"/>
    <w:rsid w:val="00646A5B"/>
    <w:rsid w:val="006471CC"/>
    <w:rsid w:val="0065079F"/>
    <w:rsid w:val="006507A7"/>
    <w:rsid w:val="006513D4"/>
    <w:rsid w:val="00653BDB"/>
    <w:rsid w:val="00655168"/>
    <w:rsid w:val="00655983"/>
    <w:rsid w:val="0066039C"/>
    <w:rsid w:val="00660C6A"/>
    <w:rsid w:val="00661167"/>
    <w:rsid w:val="00661768"/>
    <w:rsid w:val="00661FFB"/>
    <w:rsid w:val="006620F2"/>
    <w:rsid w:val="006633DA"/>
    <w:rsid w:val="00665605"/>
    <w:rsid w:val="00665B93"/>
    <w:rsid w:val="00666823"/>
    <w:rsid w:val="006677A7"/>
    <w:rsid w:val="00667849"/>
    <w:rsid w:val="00667ABF"/>
    <w:rsid w:val="00670841"/>
    <w:rsid w:val="00671C69"/>
    <w:rsid w:val="00674E42"/>
    <w:rsid w:val="00675DE4"/>
    <w:rsid w:val="00676CB8"/>
    <w:rsid w:val="006773DC"/>
    <w:rsid w:val="00680806"/>
    <w:rsid w:val="00680DB1"/>
    <w:rsid w:val="00682112"/>
    <w:rsid w:val="00682B20"/>
    <w:rsid w:val="00682F10"/>
    <w:rsid w:val="006832C6"/>
    <w:rsid w:val="0068446C"/>
    <w:rsid w:val="00684BE1"/>
    <w:rsid w:val="00684D39"/>
    <w:rsid w:val="006856CB"/>
    <w:rsid w:val="006872BA"/>
    <w:rsid w:val="00687D77"/>
    <w:rsid w:val="006917D7"/>
    <w:rsid w:val="0069196C"/>
    <w:rsid w:val="0069249C"/>
    <w:rsid w:val="006930DB"/>
    <w:rsid w:val="00693276"/>
    <w:rsid w:val="006932EE"/>
    <w:rsid w:val="006939D1"/>
    <w:rsid w:val="00694A4A"/>
    <w:rsid w:val="00694BEF"/>
    <w:rsid w:val="00694F44"/>
    <w:rsid w:val="006956B2"/>
    <w:rsid w:val="006971E7"/>
    <w:rsid w:val="00697749"/>
    <w:rsid w:val="006978C2"/>
    <w:rsid w:val="006A4A8B"/>
    <w:rsid w:val="006A6C62"/>
    <w:rsid w:val="006A6E42"/>
    <w:rsid w:val="006A761E"/>
    <w:rsid w:val="006A7728"/>
    <w:rsid w:val="006A7F37"/>
    <w:rsid w:val="006B2A1F"/>
    <w:rsid w:val="006B4148"/>
    <w:rsid w:val="006B482F"/>
    <w:rsid w:val="006B4F14"/>
    <w:rsid w:val="006C2A8E"/>
    <w:rsid w:val="006C314D"/>
    <w:rsid w:val="006C3BF4"/>
    <w:rsid w:val="006C4668"/>
    <w:rsid w:val="006C4A23"/>
    <w:rsid w:val="006C6747"/>
    <w:rsid w:val="006C6E13"/>
    <w:rsid w:val="006D0950"/>
    <w:rsid w:val="006D1B60"/>
    <w:rsid w:val="006D2C11"/>
    <w:rsid w:val="006D3C7D"/>
    <w:rsid w:val="006D3DC9"/>
    <w:rsid w:val="006D4E62"/>
    <w:rsid w:val="006D589D"/>
    <w:rsid w:val="006D5D5F"/>
    <w:rsid w:val="006D777A"/>
    <w:rsid w:val="006D7FD3"/>
    <w:rsid w:val="006E1592"/>
    <w:rsid w:val="006E2BB4"/>
    <w:rsid w:val="006E308F"/>
    <w:rsid w:val="006E5D42"/>
    <w:rsid w:val="006E76A2"/>
    <w:rsid w:val="006E787F"/>
    <w:rsid w:val="006F0FC9"/>
    <w:rsid w:val="006F1EE2"/>
    <w:rsid w:val="006F2EB1"/>
    <w:rsid w:val="006F3221"/>
    <w:rsid w:val="006F337D"/>
    <w:rsid w:val="006F63A5"/>
    <w:rsid w:val="006F6816"/>
    <w:rsid w:val="0070010B"/>
    <w:rsid w:val="007012E2"/>
    <w:rsid w:val="00702496"/>
    <w:rsid w:val="007025ED"/>
    <w:rsid w:val="0070276E"/>
    <w:rsid w:val="00702F8F"/>
    <w:rsid w:val="007030D9"/>
    <w:rsid w:val="00703141"/>
    <w:rsid w:val="00703870"/>
    <w:rsid w:val="00704A75"/>
    <w:rsid w:val="00705510"/>
    <w:rsid w:val="007055CA"/>
    <w:rsid w:val="00705CF1"/>
    <w:rsid w:val="007101AD"/>
    <w:rsid w:val="00710C6B"/>
    <w:rsid w:val="00711117"/>
    <w:rsid w:val="00711339"/>
    <w:rsid w:val="007113A3"/>
    <w:rsid w:val="0071183D"/>
    <w:rsid w:val="00711A36"/>
    <w:rsid w:val="0071253A"/>
    <w:rsid w:val="0071399A"/>
    <w:rsid w:val="00713A01"/>
    <w:rsid w:val="00714192"/>
    <w:rsid w:val="007141EC"/>
    <w:rsid w:val="00714FC9"/>
    <w:rsid w:val="00716118"/>
    <w:rsid w:val="00716D6B"/>
    <w:rsid w:val="00716D90"/>
    <w:rsid w:val="007171ED"/>
    <w:rsid w:val="007172AD"/>
    <w:rsid w:val="00720632"/>
    <w:rsid w:val="00722AC2"/>
    <w:rsid w:val="0072355B"/>
    <w:rsid w:val="0072414D"/>
    <w:rsid w:val="0072416F"/>
    <w:rsid w:val="00725C0E"/>
    <w:rsid w:val="0072646E"/>
    <w:rsid w:val="00726AD6"/>
    <w:rsid w:val="00726CA1"/>
    <w:rsid w:val="00727CEB"/>
    <w:rsid w:val="00733125"/>
    <w:rsid w:val="00735328"/>
    <w:rsid w:val="0073685B"/>
    <w:rsid w:val="00737DD2"/>
    <w:rsid w:val="00740130"/>
    <w:rsid w:val="00740D4B"/>
    <w:rsid w:val="00741D1A"/>
    <w:rsid w:val="00742A63"/>
    <w:rsid w:val="00743077"/>
    <w:rsid w:val="0074323D"/>
    <w:rsid w:val="007436D0"/>
    <w:rsid w:val="007463E9"/>
    <w:rsid w:val="007469DF"/>
    <w:rsid w:val="00750207"/>
    <w:rsid w:val="00751309"/>
    <w:rsid w:val="007520A3"/>
    <w:rsid w:val="007529A1"/>
    <w:rsid w:val="00752C0F"/>
    <w:rsid w:val="007540B1"/>
    <w:rsid w:val="00755D52"/>
    <w:rsid w:val="00755F47"/>
    <w:rsid w:val="007579F7"/>
    <w:rsid w:val="0076039B"/>
    <w:rsid w:val="0076090A"/>
    <w:rsid w:val="0076091A"/>
    <w:rsid w:val="00761334"/>
    <w:rsid w:val="007618D6"/>
    <w:rsid w:val="0076332F"/>
    <w:rsid w:val="00764A4C"/>
    <w:rsid w:val="00764B4A"/>
    <w:rsid w:val="00765942"/>
    <w:rsid w:val="00765C61"/>
    <w:rsid w:val="00767F74"/>
    <w:rsid w:val="00770A22"/>
    <w:rsid w:val="007724B4"/>
    <w:rsid w:val="0077264A"/>
    <w:rsid w:val="00775C7B"/>
    <w:rsid w:val="00775F7A"/>
    <w:rsid w:val="00777D16"/>
    <w:rsid w:val="00777D1A"/>
    <w:rsid w:val="0078124C"/>
    <w:rsid w:val="00781374"/>
    <w:rsid w:val="007813AD"/>
    <w:rsid w:val="007815F4"/>
    <w:rsid w:val="00781737"/>
    <w:rsid w:val="00782DCB"/>
    <w:rsid w:val="00783279"/>
    <w:rsid w:val="0078361B"/>
    <w:rsid w:val="007846B4"/>
    <w:rsid w:val="00784B1F"/>
    <w:rsid w:val="00784F74"/>
    <w:rsid w:val="00785AF8"/>
    <w:rsid w:val="00785C7E"/>
    <w:rsid w:val="00790EC9"/>
    <w:rsid w:val="0079284B"/>
    <w:rsid w:val="00792A37"/>
    <w:rsid w:val="007935D1"/>
    <w:rsid w:val="0079360B"/>
    <w:rsid w:val="00794B30"/>
    <w:rsid w:val="00794C12"/>
    <w:rsid w:val="00795ADC"/>
    <w:rsid w:val="007A016C"/>
    <w:rsid w:val="007A0A12"/>
    <w:rsid w:val="007A1C22"/>
    <w:rsid w:val="007A3464"/>
    <w:rsid w:val="007A37B8"/>
    <w:rsid w:val="007A5492"/>
    <w:rsid w:val="007A6BF4"/>
    <w:rsid w:val="007A7435"/>
    <w:rsid w:val="007A75EB"/>
    <w:rsid w:val="007B03C7"/>
    <w:rsid w:val="007B11B0"/>
    <w:rsid w:val="007B1E3E"/>
    <w:rsid w:val="007B251D"/>
    <w:rsid w:val="007B317A"/>
    <w:rsid w:val="007B38A2"/>
    <w:rsid w:val="007B3F31"/>
    <w:rsid w:val="007B53B0"/>
    <w:rsid w:val="007B6F33"/>
    <w:rsid w:val="007B77D1"/>
    <w:rsid w:val="007B7DD9"/>
    <w:rsid w:val="007C0C39"/>
    <w:rsid w:val="007C0EA7"/>
    <w:rsid w:val="007C24F4"/>
    <w:rsid w:val="007C28C3"/>
    <w:rsid w:val="007C361D"/>
    <w:rsid w:val="007C65BB"/>
    <w:rsid w:val="007C6F53"/>
    <w:rsid w:val="007D0B38"/>
    <w:rsid w:val="007D1295"/>
    <w:rsid w:val="007D1C74"/>
    <w:rsid w:val="007D2DB5"/>
    <w:rsid w:val="007D3FE2"/>
    <w:rsid w:val="007D4341"/>
    <w:rsid w:val="007D48A2"/>
    <w:rsid w:val="007D4F10"/>
    <w:rsid w:val="007D50F8"/>
    <w:rsid w:val="007D6B03"/>
    <w:rsid w:val="007D6EF8"/>
    <w:rsid w:val="007E078F"/>
    <w:rsid w:val="007E3E20"/>
    <w:rsid w:val="007E783E"/>
    <w:rsid w:val="007E7E00"/>
    <w:rsid w:val="007F0FA2"/>
    <w:rsid w:val="007F1017"/>
    <w:rsid w:val="007F1C50"/>
    <w:rsid w:val="007F295B"/>
    <w:rsid w:val="007F3D51"/>
    <w:rsid w:val="007F4754"/>
    <w:rsid w:val="007F4A3F"/>
    <w:rsid w:val="007F6249"/>
    <w:rsid w:val="007F68C6"/>
    <w:rsid w:val="00800367"/>
    <w:rsid w:val="00800DBF"/>
    <w:rsid w:val="008010E3"/>
    <w:rsid w:val="00801108"/>
    <w:rsid w:val="00803C53"/>
    <w:rsid w:val="008041E5"/>
    <w:rsid w:val="00804A6B"/>
    <w:rsid w:val="00805142"/>
    <w:rsid w:val="008058E4"/>
    <w:rsid w:val="00807A8B"/>
    <w:rsid w:val="008104AD"/>
    <w:rsid w:val="00810C68"/>
    <w:rsid w:val="008111B8"/>
    <w:rsid w:val="008113DB"/>
    <w:rsid w:val="00811BE6"/>
    <w:rsid w:val="00812149"/>
    <w:rsid w:val="00813951"/>
    <w:rsid w:val="00814751"/>
    <w:rsid w:val="008148AF"/>
    <w:rsid w:val="008158F4"/>
    <w:rsid w:val="008166EF"/>
    <w:rsid w:val="00816980"/>
    <w:rsid w:val="00816C42"/>
    <w:rsid w:val="008204E8"/>
    <w:rsid w:val="008220C6"/>
    <w:rsid w:val="008264EB"/>
    <w:rsid w:val="00833542"/>
    <w:rsid w:val="00833B05"/>
    <w:rsid w:val="008364F3"/>
    <w:rsid w:val="008365E5"/>
    <w:rsid w:val="00837BEE"/>
    <w:rsid w:val="00837E69"/>
    <w:rsid w:val="0084043C"/>
    <w:rsid w:val="00840689"/>
    <w:rsid w:val="008407FF"/>
    <w:rsid w:val="00840C08"/>
    <w:rsid w:val="00840CA2"/>
    <w:rsid w:val="00841232"/>
    <w:rsid w:val="00841C68"/>
    <w:rsid w:val="00841E4C"/>
    <w:rsid w:val="00843323"/>
    <w:rsid w:val="00844137"/>
    <w:rsid w:val="008446AD"/>
    <w:rsid w:val="00846EDE"/>
    <w:rsid w:val="008511BD"/>
    <w:rsid w:val="008517DE"/>
    <w:rsid w:val="00852029"/>
    <w:rsid w:val="008522EA"/>
    <w:rsid w:val="00853C5E"/>
    <w:rsid w:val="0085449E"/>
    <w:rsid w:val="008547F5"/>
    <w:rsid w:val="008561B3"/>
    <w:rsid w:val="00856641"/>
    <w:rsid w:val="00856E9A"/>
    <w:rsid w:val="008579F9"/>
    <w:rsid w:val="00860177"/>
    <w:rsid w:val="008608DF"/>
    <w:rsid w:val="00862356"/>
    <w:rsid w:val="00862502"/>
    <w:rsid w:val="008631D8"/>
    <w:rsid w:val="008700A4"/>
    <w:rsid w:val="00871CF3"/>
    <w:rsid w:val="00872375"/>
    <w:rsid w:val="00872F3E"/>
    <w:rsid w:val="00873D70"/>
    <w:rsid w:val="0087531D"/>
    <w:rsid w:val="00876E56"/>
    <w:rsid w:val="00880435"/>
    <w:rsid w:val="00880B5B"/>
    <w:rsid w:val="00880E65"/>
    <w:rsid w:val="00880E9D"/>
    <w:rsid w:val="00882874"/>
    <w:rsid w:val="00883787"/>
    <w:rsid w:val="00884BFA"/>
    <w:rsid w:val="00884FF3"/>
    <w:rsid w:val="008858FB"/>
    <w:rsid w:val="00886036"/>
    <w:rsid w:val="0088619D"/>
    <w:rsid w:val="00891AD5"/>
    <w:rsid w:val="008921F6"/>
    <w:rsid w:val="008922CF"/>
    <w:rsid w:val="008924E3"/>
    <w:rsid w:val="00892CD5"/>
    <w:rsid w:val="00893015"/>
    <w:rsid w:val="00894489"/>
    <w:rsid w:val="00895273"/>
    <w:rsid w:val="00895D7C"/>
    <w:rsid w:val="008963A5"/>
    <w:rsid w:val="008A2E0D"/>
    <w:rsid w:val="008A2F1D"/>
    <w:rsid w:val="008A3C3E"/>
    <w:rsid w:val="008A4367"/>
    <w:rsid w:val="008A54D4"/>
    <w:rsid w:val="008A597D"/>
    <w:rsid w:val="008A79DE"/>
    <w:rsid w:val="008B6D5A"/>
    <w:rsid w:val="008B7D7E"/>
    <w:rsid w:val="008C05EC"/>
    <w:rsid w:val="008C1DA8"/>
    <w:rsid w:val="008C2090"/>
    <w:rsid w:val="008C3373"/>
    <w:rsid w:val="008C3B67"/>
    <w:rsid w:val="008C4322"/>
    <w:rsid w:val="008C6E03"/>
    <w:rsid w:val="008C6FA3"/>
    <w:rsid w:val="008C7677"/>
    <w:rsid w:val="008C7E5F"/>
    <w:rsid w:val="008C7ECB"/>
    <w:rsid w:val="008D0B92"/>
    <w:rsid w:val="008D1F4D"/>
    <w:rsid w:val="008D4ED4"/>
    <w:rsid w:val="008D567F"/>
    <w:rsid w:val="008D5735"/>
    <w:rsid w:val="008D7A27"/>
    <w:rsid w:val="008E0101"/>
    <w:rsid w:val="008E03B1"/>
    <w:rsid w:val="008E0C21"/>
    <w:rsid w:val="008E0F5D"/>
    <w:rsid w:val="008E10BC"/>
    <w:rsid w:val="008E1B9E"/>
    <w:rsid w:val="008E2A2D"/>
    <w:rsid w:val="008E384C"/>
    <w:rsid w:val="008E4907"/>
    <w:rsid w:val="008E4F29"/>
    <w:rsid w:val="008E53BE"/>
    <w:rsid w:val="008F120A"/>
    <w:rsid w:val="008F1CC9"/>
    <w:rsid w:val="008F2EF9"/>
    <w:rsid w:val="008F414A"/>
    <w:rsid w:val="008F44E9"/>
    <w:rsid w:val="008F48EB"/>
    <w:rsid w:val="008F4A5B"/>
    <w:rsid w:val="008F4F0B"/>
    <w:rsid w:val="008F7C58"/>
    <w:rsid w:val="0090285D"/>
    <w:rsid w:val="00903DDC"/>
    <w:rsid w:val="00904767"/>
    <w:rsid w:val="0090517B"/>
    <w:rsid w:val="009062A5"/>
    <w:rsid w:val="009064A2"/>
    <w:rsid w:val="0091048B"/>
    <w:rsid w:val="0091062A"/>
    <w:rsid w:val="00910CED"/>
    <w:rsid w:val="00910F77"/>
    <w:rsid w:val="00911272"/>
    <w:rsid w:val="009129AC"/>
    <w:rsid w:val="00912F83"/>
    <w:rsid w:val="00912F8F"/>
    <w:rsid w:val="009131C3"/>
    <w:rsid w:val="00913311"/>
    <w:rsid w:val="0091699A"/>
    <w:rsid w:val="00916CBD"/>
    <w:rsid w:val="00917246"/>
    <w:rsid w:val="00917B2C"/>
    <w:rsid w:val="00917CA2"/>
    <w:rsid w:val="00921DDB"/>
    <w:rsid w:val="00922713"/>
    <w:rsid w:val="009239F9"/>
    <w:rsid w:val="00923A26"/>
    <w:rsid w:val="00926BAE"/>
    <w:rsid w:val="00927678"/>
    <w:rsid w:val="0093053A"/>
    <w:rsid w:val="00931946"/>
    <w:rsid w:val="00931F09"/>
    <w:rsid w:val="00932ABE"/>
    <w:rsid w:val="0093413D"/>
    <w:rsid w:val="009354B8"/>
    <w:rsid w:val="0093786B"/>
    <w:rsid w:val="00940D0D"/>
    <w:rsid w:val="009411E6"/>
    <w:rsid w:val="00941A84"/>
    <w:rsid w:val="00941E41"/>
    <w:rsid w:val="00942980"/>
    <w:rsid w:val="0094781C"/>
    <w:rsid w:val="00947882"/>
    <w:rsid w:val="00950EAB"/>
    <w:rsid w:val="0095310A"/>
    <w:rsid w:val="00953D2C"/>
    <w:rsid w:val="00954122"/>
    <w:rsid w:val="00954C5D"/>
    <w:rsid w:val="0095510C"/>
    <w:rsid w:val="00957384"/>
    <w:rsid w:val="00960B25"/>
    <w:rsid w:val="00961272"/>
    <w:rsid w:val="00962002"/>
    <w:rsid w:val="00962CB9"/>
    <w:rsid w:val="00963997"/>
    <w:rsid w:val="00964312"/>
    <w:rsid w:val="00964A7B"/>
    <w:rsid w:val="00965405"/>
    <w:rsid w:val="0096679D"/>
    <w:rsid w:val="009667BB"/>
    <w:rsid w:val="00967FA5"/>
    <w:rsid w:val="009716B5"/>
    <w:rsid w:val="0097471C"/>
    <w:rsid w:val="00975FD8"/>
    <w:rsid w:val="009761A7"/>
    <w:rsid w:val="00977639"/>
    <w:rsid w:val="00980760"/>
    <w:rsid w:val="00981F7C"/>
    <w:rsid w:val="00981FCC"/>
    <w:rsid w:val="009820CB"/>
    <w:rsid w:val="00982C1D"/>
    <w:rsid w:val="00983E57"/>
    <w:rsid w:val="00986434"/>
    <w:rsid w:val="009874FA"/>
    <w:rsid w:val="00987ECF"/>
    <w:rsid w:val="009900DF"/>
    <w:rsid w:val="009911F5"/>
    <w:rsid w:val="0099183F"/>
    <w:rsid w:val="00991904"/>
    <w:rsid w:val="00992F47"/>
    <w:rsid w:val="00994DCD"/>
    <w:rsid w:val="00996119"/>
    <w:rsid w:val="00996B1A"/>
    <w:rsid w:val="00997E0E"/>
    <w:rsid w:val="009A04E2"/>
    <w:rsid w:val="009A054B"/>
    <w:rsid w:val="009A0E52"/>
    <w:rsid w:val="009A164B"/>
    <w:rsid w:val="009A16E6"/>
    <w:rsid w:val="009A1F49"/>
    <w:rsid w:val="009A3AF7"/>
    <w:rsid w:val="009A53DD"/>
    <w:rsid w:val="009A5482"/>
    <w:rsid w:val="009A5DD1"/>
    <w:rsid w:val="009A72AA"/>
    <w:rsid w:val="009B02BE"/>
    <w:rsid w:val="009B0D11"/>
    <w:rsid w:val="009B0EDC"/>
    <w:rsid w:val="009B0EFF"/>
    <w:rsid w:val="009B1D64"/>
    <w:rsid w:val="009B33CE"/>
    <w:rsid w:val="009B3E26"/>
    <w:rsid w:val="009B5583"/>
    <w:rsid w:val="009B63E8"/>
    <w:rsid w:val="009B687C"/>
    <w:rsid w:val="009C0E8B"/>
    <w:rsid w:val="009C19B6"/>
    <w:rsid w:val="009C66ED"/>
    <w:rsid w:val="009D0D91"/>
    <w:rsid w:val="009D0F83"/>
    <w:rsid w:val="009D12D5"/>
    <w:rsid w:val="009D219A"/>
    <w:rsid w:val="009D2D01"/>
    <w:rsid w:val="009D2F4C"/>
    <w:rsid w:val="009D42CA"/>
    <w:rsid w:val="009D4319"/>
    <w:rsid w:val="009D51B6"/>
    <w:rsid w:val="009D5B91"/>
    <w:rsid w:val="009D7016"/>
    <w:rsid w:val="009D76A6"/>
    <w:rsid w:val="009E1052"/>
    <w:rsid w:val="009E160C"/>
    <w:rsid w:val="009E32FD"/>
    <w:rsid w:val="009E4C07"/>
    <w:rsid w:val="009E4D9F"/>
    <w:rsid w:val="009E7C43"/>
    <w:rsid w:val="009F10F3"/>
    <w:rsid w:val="009F1605"/>
    <w:rsid w:val="009F272C"/>
    <w:rsid w:val="009F2A61"/>
    <w:rsid w:val="009F437C"/>
    <w:rsid w:val="009F48B7"/>
    <w:rsid w:val="009F4E04"/>
    <w:rsid w:val="009F4F51"/>
    <w:rsid w:val="009F6891"/>
    <w:rsid w:val="009F6DF5"/>
    <w:rsid w:val="009F7E29"/>
    <w:rsid w:val="00A03D43"/>
    <w:rsid w:val="00A04000"/>
    <w:rsid w:val="00A04380"/>
    <w:rsid w:val="00A04A21"/>
    <w:rsid w:val="00A061EB"/>
    <w:rsid w:val="00A06C90"/>
    <w:rsid w:val="00A10F5E"/>
    <w:rsid w:val="00A12249"/>
    <w:rsid w:val="00A1242A"/>
    <w:rsid w:val="00A12937"/>
    <w:rsid w:val="00A13948"/>
    <w:rsid w:val="00A13FE9"/>
    <w:rsid w:val="00A14990"/>
    <w:rsid w:val="00A165AA"/>
    <w:rsid w:val="00A17346"/>
    <w:rsid w:val="00A17BFC"/>
    <w:rsid w:val="00A209C5"/>
    <w:rsid w:val="00A21BF7"/>
    <w:rsid w:val="00A22CF2"/>
    <w:rsid w:val="00A2325D"/>
    <w:rsid w:val="00A2464A"/>
    <w:rsid w:val="00A27AEC"/>
    <w:rsid w:val="00A31990"/>
    <w:rsid w:val="00A32F8A"/>
    <w:rsid w:val="00A33A99"/>
    <w:rsid w:val="00A34AF6"/>
    <w:rsid w:val="00A35D16"/>
    <w:rsid w:val="00A36880"/>
    <w:rsid w:val="00A36EEA"/>
    <w:rsid w:val="00A373DF"/>
    <w:rsid w:val="00A407DD"/>
    <w:rsid w:val="00A41455"/>
    <w:rsid w:val="00A414A1"/>
    <w:rsid w:val="00A41635"/>
    <w:rsid w:val="00A419E5"/>
    <w:rsid w:val="00A42454"/>
    <w:rsid w:val="00A43048"/>
    <w:rsid w:val="00A43C59"/>
    <w:rsid w:val="00A43CB0"/>
    <w:rsid w:val="00A45B53"/>
    <w:rsid w:val="00A50ECD"/>
    <w:rsid w:val="00A51268"/>
    <w:rsid w:val="00A52729"/>
    <w:rsid w:val="00A52BF1"/>
    <w:rsid w:val="00A53675"/>
    <w:rsid w:val="00A56B6A"/>
    <w:rsid w:val="00A578DC"/>
    <w:rsid w:val="00A57F6D"/>
    <w:rsid w:val="00A62612"/>
    <w:rsid w:val="00A63EF8"/>
    <w:rsid w:val="00A64CB5"/>
    <w:rsid w:val="00A64F8A"/>
    <w:rsid w:val="00A656AC"/>
    <w:rsid w:val="00A667CB"/>
    <w:rsid w:val="00A6725B"/>
    <w:rsid w:val="00A719B4"/>
    <w:rsid w:val="00A7249B"/>
    <w:rsid w:val="00A72DE3"/>
    <w:rsid w:val="00A73613"/>
    <w:rsid w:val="00A75568"/>
    <w:rsid w:val="00A7709B"/>
    <w:rsid w:val="00A77BFC"/>
    <w:rsid w:val="00A808B8"/>
    <w:rsid w:val="00A82DC0"/>
    <w:rsid w:val="00A845DF"/>
    <w:rsid w:val="00A86E8B"/>
    <w:rsid w:val="00A86F34"/>
    <w:rsid w:val="00A92A17"/>
    <w:rsid w:val="00A93072"/>
    <w:rsid w:val="00A93D8D"/>
    <w:rsid w:val="00A94794"/>
    <w:rsid w:val="00A948B9"/>
    <w:rsid w:val="00A95709"/>
    <w:rsid w:val="00A959D8"/>
    <w:rsid w:val="00AA0E25"/>
    <w:rsid w:val="00AA4E41"/>
    <w:rsid w:val="00AA4E74"/>
    <w:rsid w:val="00AA5983"/>
    <w:rsid w:val="00AA5BAC"/>
    <w:rsid w:val="00AA6EE2"/>
    <w:rsid w:val="00AA6FDA"/>
    <w:rsid w:val="00AA7093"/>
    <w:rsid w:val="00AB042A"/>
    <w:rsid w:val="00AB0FBE"/>
    <w:rsid w:val="00AB15E1"/>
    <w:rsid w:val="00AB26A5"/>
    <w:rsid w:val="00AB2D34"/>
    <w:rsid w:val="00AB3430"/>
    <w:rsid w:val="00AB4BED"/>
    <w:rsid w:val="00AB5159"/>
    <w:rsid w:val="00AB6D91"/>
    <w:rsid w:val="00AB72B1"/>
    <w:rsid w:val="00AB7CFA"/>
    <w:rsid w:val="00AC0DA4"/>
    <w:rsid w:val="00AC1244"/>
    <w:rsid w:val="00AC2BB9"/>
    <w:rsid w:val="00AC3288"/>
    <w:rsid w:val="00AC3484"/>
    <w:rsid w:val="00AC3F24"/>
    <w:rsid w:val="00AC5096"/>
    <w:rsid w:val="00AD349B"/>
    <w:rsid w:val="00AD3AE1"/>
    <w:rsid w:val="00AD4B67"/>
    <w:rsid w:val="00AD69E9"/>
    <w:rsid w:val="00AE114D"/>
    <w:rsid w:val="00AE14E5"/>
    <w:rsid w:val="00AE32E9"/>
    <w:rsid w:val="00AE3540"/>
    <w:rsid w:val="00AE5687"/>
    <w:rsid w:val="00AE5A59"/>
    <w:rsid w:val="00AE759E"/>
    <w:rsid w:val="00AF161C"/>
    <w:rsid w:val="00AF1851"/>
    <w:rsid w:val="00AF2946"/>
    <w:rsid w:val="00AF2DDB"/>
    <w:rsid w:val="00AF35D3"/>
    <w:rsid w:val="00AF4392"/>
    <w:rsid w:val="00AF5215"/>
    <w:rsid w:val="00AF6CE8"/>
    <w:rsid w:val="00B00243"/>
    <w:rsid w:val="00B0076D"/>
    <w:rsid w:val="00B00BA9"/>
    <w:rsid w:val="00B0192E"/>
    <w:rsid w:val="00B01CC8"/>
    <w:rsid w:val="00B01DBC"/>
    <w:rsid w:val="00B03539"/>
    <w:rsid w:val="00B050CC"/>
    <w:rsid w:val="00B05E17"/>
    <w:rsid w:val="00B06A3D"/>
    <w:rsid w:val="00B070B2"/>
    <w:rsid w:val="00B070D1"/>
    <w:rsid w:val="00B10711"/>
    <w:rsid w:val="00B10F8D"/>
    <w:rsid w:val="00B169A6"/>
    <w:rsid w:val="00B16F14"/>
    <w:rsid w:val="00B17337"/>
    <w:rsid w:val="00B20EF3"/>
    <w:rsid w:val="00B213EF"/>
    <w:rsid w:val="00B21E53"/>
    <w:rsid w:val="00B22B2B"/>
    <w:rsid w:val="00B2390F"/>
    <w:rsid w:val="00B25BB9"/>
    <w:rsid w:val="00B278FE"/>
    <w:rsid w:val="00B35E79"/>
    <w:rsid w:val="00B362BB"/>
    <w:rsid w:val="00B40079"/>
    <w:rsid w:val="00B4034C"/>
    <w:rsid w:val="00B40748"/>
    <w:rsid w:val="00B41E5B"/>
    <w:rsid w:val="00B421BA"/>
    <w:rsid w:val="00B4246C"/>
    <w:rsid w:val="00B42851"/>
    <w:rsid w:val="00B4514D"/>
    <w:rsid w:val="00B471CB"/>
    <w:rsid w:val="00B4727A"/>
    <w:rsid w:val="00B50B9F"/>
    <w:rsid w:val="00B50DB8"/>
    <w:rsid w:val="00B52DA0"/>
    <w:rsid w:val="00B53905"/>
    <w:rsid w:val="00B54B5B"/>
    <w:rsid w:val="00B555DA"/>
    <w:rsid w:val="00B5562E"/>
    <w:rsid w:val="00B565C8"/>
    <w:rsid w:val="00B57000"/>
    <w:rsid w:val="00B579E0"/>
    <w:rsid w:val="00B605ED"/>
    <w:rsid w:val="00B60939"/>
    <w:rsid w:val="00B60AFD"/>
    <w:rsid w:val="00B60BF3"/>
    <w:rsid w:val="00B618CA"/>
    <w:rsid w:val="00B61C7F"/>
    <w:rsid w:val="00B62715"/>
    <w:rsid w:val="00B629FE"/>
    <w:rsid w:val="00B64B80"/>
    <w:rsid w:val="00B64E07"/>
    <w:rsid w:val="00B6781B"/>
    <w:rsid w:val="00B71714"/>
    <w:rsid w:val="00B71D33"/>
    <w:rsid w:val="00B71DA1"/>
    <w:rsid w:val="00B72B93"/>
    <w:rsid w:val="00B73C95"/>
    <w:rsid w:val="00B74D6C"/>
    <w:rsid w:val="00B77112"/>
    <w:rsid w:val="00B7741E"/>
    <w:rsid w:val="00B80626"/>
    <w:rsid w:val="00B80DDC"/>
    <w:rsid w:val="00B818A4"/>
    <w:rsid w:val="00B8239D"/>
    <w:rsid w:val="00B8326F"/>
    <w:rsid w:val="00B832AE"/>
    <w:rsid w:val="00B835BB"/>
    <w:rsid w:val="00B83E7F"/>
    <w:rsid w:val="00B84A84"/>
    <w:rsid w:val="00B84C8C"/>
    <w:rsid w:val="00B84CA4"/>
    <w:rsid w:val="00B84F6C"/>
    <w:rsid w:val="00B85294"/>
    <w:rsid w:val="00B8649C"/>
    <w:rsid w:val="00B870B4"/>
    <w:rsid w:val="00B8721F"/>
    <w:rsid w:val="00B8795F"/>
    <w:rsid w:val="00B87ACB"/>
    <w:rsid w:val="00B908EC"/>
    <w:rsid w:val="00B9210B"/>
    <w:rsid w:val="00B92D0B"/>
    <w:rsid w:val="00B935E3"/>
    <w:rsid w:val="00B9434A"/>
    <w:rsid w:val="00B94945"/>
    <w:rsid w:val="00B95F0B"/>
    <w:rsid w:val="00BA0ACB"/>
    <w:rsid w:val="00BA3638"/>
    <w:rsid w:val="00BA3664"/>
    <w:rsid w:val="00BA46DB"/>
    <w:rsid w:val="00BB0AB7"/>
    <w:rsid w:val="00BB14D6"/>
    <w:rsid w:val="00BB190C"/>
    <w:rsid w:val="00BB249C"/>
    <w:rsid w:val="00BB2A8E"/>
    <w:rsid w:val="00BB2CA0"/>
    <w:rsid w:val="00BB3071"/>
    <w:rsid w:val="00BB3A9A"/>
    <w:rsid w:val="00BB46BC"/>
    <w:rsid w:val="00BB4812"/>
    <w:rsid w:val="00BB5BDF"/>
    <w:rsid w:val="00BB666A"/>
    <w:rsid w:val="00BB7405"/>
    <w:rsid w:val="00BC0F68"/>
    <w:rsid w:val="00BC3949"/>
    <w:rsid w:val="00BC3D6C"/>
    <w:rsid w:val="00BC6AED"/>
    <w:rsid w:val="00BC6D62"/>
    <w:rsid w:val="00BC6DCB"/>
    <w:rsid w:val="00BC71E6"/>
    <w:rsid w:val="00BD084E"/>
    <w:rsid w:val="00BD422A"/>
    <w:rsid w:val="00BD45EE"/>
    <w:rsid w:val="00BD46EE"/>
    <w:rsid w:val="00BD4A80"/>
    <w:rsid w:val="00BD535D"/>
    <w:rsid w:val="00BD5ED6"/>
    <w:rsid w:val="00BD6CF3"/>
    <w:rsid w:val="00BD7734"/>
    <w:rsid w:val="00BE1046"/>
    <w:rsid w:val="00BE13C9"/>
    <w:rsid w:val="00BE1B64"/>
    <w:rsid w:val="00BE1F6F"/>
    <w:rsid w:val="00BE2180"/>
    <w:rsid w:val="00BE2C5A"/>
    <w:rsid w:val="00BE3EEF"/>
    <w:rsid w:val="00BE4275"/>
    <w:rsid w:val="00BE4BD1"/>
    <w:rsid w:val="00BE4DF9"/>
    <w:rsid w:val="00BF052E"/>
    <w:rsid w:val="00BF13E3"/>
    <w:rsid w:val="00BF187E"/>
    <w:rsid w:val="00BF1CE0"/>
    <w:rsid w:val="00BF2433"/>
    <w:rsid w:val="00BF2542"/>
    <w:rsid w:val="00BF2C77"/>
    <w:rsid w:val="00BF2E0A"/>
    <w:rsid w:val="00BF3ACE"/>
    <w:rsid w:val="00BF496A"/>
    <w:rsid w:val="00BF61C9"/>
    <w:rsid w:val="00C0063D"/>
    <w:rsid w:val="00C00EF8"/>
    <w:rsid w:val="00C01703"/>
    <w:rsid w:val="00C02632"/>
    <w:rsid w:val="00C04A7D"/>
    <w:rsid w:val="00C104FF"/>
    <w:rsid w:val="00C10669"/>
    <w:rsid w:val="00C10F0D"/>
    <w:rsid w:val="00C12C3D"/>
    <w:rsid w:val="00C16929"/>
    <w:rsid w:val="00C20467"/>
    <w:rsid w:val="00C20DC6"/>
    <w:rsid w:val="00C2130E"/>
    <w:rsid w:val="00C216EA"/>
    <w:rsid w:val="00C25418"/>
    <w:rsid w:val="00C25D9C"/>
    <w:rsid w:val="00C25DE3"/>
    <w:rsid w:val="00C2602C"/>
    <w:rsid w:val="00C268FB"/>
    <w:rsid w:val="00C277A1"/>
    <w:rsid w:val="00C30497"/>
    <w:rsid w:val="00C31649"/>
    <w:rsid w:val="00C318AE"/>
    <w:rsid w:val="00C3220B"/>
    <w:rsid w:val="00C32C47"/>
    <w:rsid w:val="00C32C6D"/>
    <w:rsid w:val="00C3450C"/>
    <w:rsid w:val="00C36026"/>
    <w:rsid w:val="00C40385"/>
    <w:rsid w:val="00C40730"/>
    <w:rsid w:val="00C41DE6"/>
    <w:rsid w:val="00C44BF2"/>
    <w:rsid w:val="00C457E9"/>
    <w:rsid w:val="00C46A46"/>
    <w:rsid w:val="00C47050"/>
    <w:rsid w:val="00C50624"/>
    <w:rsid w:val="00C51A95"/>
    <w:rsid w:val="00C51BD9"/>
    <w:rsid w:val="00C54A08"/>
    <w:rsid w:val="00C556CC"/>
    <w:rsid w:val="00C55D6C"/>
    <w:rsid w:val="00C56917"/>
    <w:rsid w:val="00C56E5A"/>
    <w:rsid w:val="00C6190E"/>
    <w:rsid w:val="00C61C7A"/>
    <w:rsid w:val="00C632E3"/>
    <w:rsid w:val="00C636E9"/>
    <w:rsid w:val="00C637AA"/>
    <w:rsid w:val="00C64B46"/>
    <w:rsid w:val="00C65576"/>
    <w:rsid w:val="00C66165"/>
    <w:rsid w:val="00C67137"/>
    <w:rsid w:val="00C71735"/>
    <w:rsid w:val="00C71D75"/>
    <w:rsid w:val="00C750C8"/>
    <w:rsid w:val="00C752EF"/>
    <w:rsid w:val="00C7575A"/>
    <w:rsid w:val="00C76AB5"/>
    <w:rsid w:val="00C8185D"/>
    <w:rsid w:val="00C81D79"/>
    <w:rsid w:val="00C8213F"/>
    <w:rsid w:val="00C838C5"/>
    <w:rsid w:val="00C846C3"/>
    <w:rsid w:val="00C84CAC"/>
    <w:rsid w:val="00C8547C"/>
    <w:rsid w:val="00C8586D"/>
    <w:rsid w:val="00C859BF"/>
    <w:rsid w:val="00C86456"/>
    <w:rsid w:val="00C8797A"/>
    <w:rsid w:val="00C909CC"/>
    <w:rsid w:val="00C91A19"/>
    <w:rsid w:val="00C91BF9"/>
    <w:rsid w:val="00C91DCB"/>
    <w:rsid w:val="00C927AF"/>
    <w:rsid w:val="00C938CF"/>
    <w:rsid w:val="00C95D97"/>
    <w:rsid w:val="00C96198"/>
    <w:rsid w:val="00C97782"/>
    <w:rsid w:val="00C977B0"/>
    <w:rsid w:val="00CA1F0B"/>
    <w:rsid w:val="00CA464E"/>
    <w:rsid w:val="00CA4762"/>
    <w:rsid w:val="00CA5245"/>
    <w:rsid w:val="00CA7B09"/>
    <w:rsid w:val="00CB044E"/>
    <w:rsid w:val="00CB0D2A"/>
    <w:rsid w:val="00CB0FA5"/>
    <w:rsid w:val="00CB128C"/>
    <w:rsid w:val="00CB23E2"/>
    <w:rsid w:val="00CB4CBE"/>
    <w:rsid w:val="00CB5B1A"/>
    <w:rsid w:val="00CC3149"/>
    <w:rsid w:val="00CC6B9F"/>
    <w:rsid w:val="00CD09FA"/>
    <w:rsid w:val="00CD15AB"/>
    <w:rsid w:val="00CD385C"/>
    <w:rsid w:val="00CD4361"/>
    <w:rsid w:val="00CD4E9F"/>
    <w:rsid w:val="00CD6ADC"/>
    <w:rsid w:val="00CD6C4A"/>
    <w:rsid w:val="00CD781C"/>
    <w:rsid w:val="00CD7FF9"/>
    <w:rsid w:val="00CE0374"/>
    <w:rsid w:val="00CE074D"/>
    <w:rsid w:val="00CE0FE8"/>
    <w:rsid w:val="00CE3FB7"/>
    <w:rsid w:val="00CE5604"/>
    <w:rsid w:val="00CE607A"/>
    <w:rsid w:val="00CE6274"/>
    <w:rsid w:val="00CE6888"/>
    <w:rsid w:val="00CE69C4"/>
    <w:rsid w:val="00CF24F8"/>
    <w:rsid w:val="00CF456B"/>
    <w:rsid w:val="00CF47E9"/>
    <w:rsid w:val="00CF53F8"/>
    <w:rsid w:val="00CF5A22"/>
    <w:rsid w:val="00CF61E6"/>
    <w:rsid w:val="00CF7CD5"/>
    <w:rsid w:val="00D0058D"/>
    <w:rsid w:val="00D01E68"/>
    <w:rsid w:val="00D0262E"/>
    <w:rsid w:val="00D02636"/>
    <w:rsid w:val="00D04692"/>
    <w:rsid w:val="00D0473E"/>
    <w:rsid w:val="00D0475D"/>
    <w:rsid w:val="00D04F9F"/>
    <w:rsid w:val="00D05539"/>
    <w:rsid w:val="00D05695"/>
    <w:rsid w:val="00D110BD"/>
    <w:rsid w:val="00D116CB"/>
    <w:rsid w:val="00D11932"/>
    <w:rsid w:val="00D14DF0"/>
    <w:rsid w:val="00D15BDC"/>
    <w:rsid w:val="00D16A6F"/>
    <w:rsid w:val="00D16EC8"/>
    <w:rsid w:val="00D16ED6"/>
    <w:rsid w:val="00D17D6C"/>
    <w:rsid w:val="00D20BCB"/>
    <w:rsid w:val="00D21872"/>
    <w:rsid w:val="00D21F7D"/>
    <w:rsid w:val="00D22258"/>
    <w:rsid w:val="00D2272A"/>
    <w:rsid w:val="00D23B5C"/>
    <w:rsid w:val="00D24E9F"/>
    <w:rsid w:val="00D26850"/>
    <w:rsid w:val="00D26CC4"/>
    <w:rsid w:val="00D271F0"/>
    <w:rsid w:val="00D31794"/>
    <w:rsid w:val="00D31FCD"/>
    <w:rsid w:val="00D35181"/>
    <w:rsid w:val="00D357FF"/>
    <w:rsid w:val="00D360F2"/>
    <w:rsid w:val="00D3695F"/>
    <w:rsid w:val="00D36C30"/>
    <w:rsid w:val="00D36CB3"/>
    <w:rsid w:val="00D36F0C"/>
    <w:rsid w:val="00D40EFA"/>
    <w:rsid w:val="00D41E83"/>
    <w:rsid w:val="00D431C7"/>
    <w:rsid w:val="00D43826"/>
    <w:rsid w:val="00D446FC"/>
    <w:rsid w:val="00D459C9"/>
    <w:rsid w:val="00D47347"/>
    <w:rsid w:val="00D50BFA"/>
    <w:rsid w:val="00D51758"/>
    <w:rsid w:val="00D51C01"/>
    <w:rsid w:val="00D52293"/>
    <w:rsid w:val="00D53B20"/>
    <w:rsid w:val="00D54C6B"/>
    <w:rsid w:val="00D563FA"/>
    <w:rsid w:val="00D57E54"/>
    <w:rsid w:val="00D61295"/>
    <w:rsid w:val="00D61483"/>
    <w:rsid w:val="00D61FF7"/>
    <w:rsid w:val="00D62EAF"/>
    <w:rsid w:val="00D654AF"/>
    <w:rsid w:val="00D6563B"/>
    <w:rsid w:val="00D6728A"/>
    <w:rsid w:val="00D72153"/>
    <w:rsid w:val="00D724B5"/>
    <w:rsid w:val="00D729BD"/>
    <w:rsid w:val="00D72E54"/>
    <w:rsid w:val="00D744D3"/>
    <w:rsid w:val="00D75167"/>
    <w:rsid w:val="00D76A44"/>
    <w:rsid w:val="00D8007D"/>
    <w:rsid w:val="00D81A80"/>
    <w:rsid w:val="00D81E80"/>
    <w:rsid w:val="00D8204F"/>
    <w:rsid w:val="00D82149"/>
    <w:rsid w:val="00D83F47"/>
    <w:rsid w:val="00D84E40"/>
    <w:rsid w:val="00D86869"/>
    <w:rsid w:val="00D8735D"/>
    <w:rsid w:val="00D8760E"/>
    <w:rsid w:val="00D87CDC"/>
    <w:rsid w:val="00D90447"/>
    <w:rsid w:val="00D913E3"/>
    <w:rsid w:val="00D92478"/>
    <w:rsid w:val="00D93753"/>
    <w:rsid w:val="00D93FD9"/>
    <w:rsid w:val="00D959C5"/>
    <w:rsid w:val="00D97505"/>
    <w:rsid w:val="00D97BCA"/>
    <w:rsid w:val="00DA0CAE"/>
    <w:rsid w:val="00DA4B64"/>
    <w:rsid w:val="00DA4D17"/>
    <w:rsid w:val="00DA4D58"/>
    <w:rsid w:val="00DA630F"/>
    <w:rsid w:val="00DA6B3E"/>
    <w:rsid w:val="00DA77A5"/>
    <w:rsid w:val="00DA7906"/>
    <w:rsid w:val="00DB04CA"/>
    <w:rsid w:val="00DB17A9"/>
    <w:rsid w:val="00DB17C4"/>
    <w:rsid w:val="00DB2831"/>
    <w:rsid w:val="00DB3455"/>
    <w:rsid w:val="00DB4830"/>
    <w:rsid w:val="00DB57F1"/>
    <w:rsid w:val="00DB7FE5"/>
    <w:rsid w:val="00DC0F7C"/>
    <w:rsid w:val="00DC1726"/>
    <w:rsid w:val="00DC25A6"/>
    <w:rsid w:val="00DC27D8"/>
    <w:rsid w:val="00DC2923"/>
    <w:rsid w:val="00DC33AE"/>
    <w:rsid w:val="00DC38F3"/>
    <w:rsid w:val="00DC432C"/>
    <w:rsid w:val="00DC4B7A"/>
    <w:rsid w:val="00DC52AA"/>
    <w:rsid w:val="00DC5501"/>
    <w:rsid w:val="00DC5C95"/>
    <w:rsid w:val="00DC6A45"/>
    <w:rsid w:val="00DC7341"/>
    <w:rsid w:val="00DD1894"/>
    <w:rsid w:val="00DD2943"/>
    <w:rsid w:val="00DD3F28"/>
    <w:rsid w:val="00DD4537"/>
    <w:rsid w:val="00DD47AF"/>
    <w:rsid w:val="00DD4E15"/>
    <w:rsid w:val="00DD5F1C"/>
    <w:rsid w:val="00DD62A0"/>
    <w:rsid w:val="00DD6872"/>
    <w:rsid w:val="00DE1191"/>
    <w:rsid w:val="00DE1C4E"/>
    <w:rsid w:val="00DE28E2"/>
    <w:rsid w:val="00DE310C"/>
    <w:rsid w:val="00DE32C9"/>
    <w:rsid w:val="00DE4FCB"/>
    <w:rsid w:val="00DE61AC"/>
    <w:rsid w:val="00DE6449"/>
    <w:rsid w:val="00DE6D38"/>
    <w:rsid w:val="00DE701E"/>
    <w:rsid w:val="00DF07C0"/>
    <w:rsid w:val="00DF1BDC"/>
    <w:rsid w:val="00DF295D"/>
    <w:rsid w:val="00DF310D"/>
    <w:rsid w:val="00DF3D83"/>
    <w:rsid w:val="00DF5D2B"/>
    <w:rsid w:val="00E02C4B"/>
    <w:rsid w:val="00E03D9E"/>
    <w:rsid w:val="00E05CD5"/>
    <w:rsid w:val="00E05E06"/>
    <w:rsid w:val="00E06752"/>
    <w:rsid w:val="00E0771C"/>
    <w:rsid w:val="00E0790B"/>
    <w:rsid w:val="00E10149"/>
    <w:rsid w:val="00E11134"/>
    <w:rsid w:val="00E1136E"/>
    <w:rsid w:val="00E12D37"/>
    <w:rsid w:val="00E12FF2"/>
    <w:rsid w:val="00E13A79"/>
    <w:rsid w:val="00E16372"/>
    <w:rsid w:val="00E1724D"/>
    <w:rsid w:val="00E17892"/>
    <w:rsid w:val="00E2049F"/>
    <w:rsid w:val="00E20ED6"/>
    <w:rsid w:val="00E21358"/>
    <w:rsid w:val="00E223E6"/>
    <w:rsid w:val="00E2249B"/>
    <w:rsid w:val="00E22A0D"/>
    <w:rsid w:val="00E2343C"/>
    <w:rsid w:val="00E23C8F"/>
    <w:rsid w:val="00E2569C"/>
    <w:rsid w:val="00E25AFF"/>
    <w:rsid w:val="00E2771E"/>
    <w:rsid w:val="00E30335"/>
    <w:rsid w:val="00E313D7"/>
    <w:rsid w:val="00E3292C"/>
    <w:rsid w:val="00E33AB9"/>
    <w:rsid w:val="00E34529"/>
    <w:rsid w:val="00E35707"/>
    <w:rsid w:val="00E35D74"/>
    <w:rsid w:val="00E371C6"/>
    <w:rsid w:val="00E37569"/>
    <w:rsid w:val="00E406C9"/>
    <w:rsid w:val="00E41884"/>
    <w:rsid w:val="00E41E30"/>
    <w:rsid w:val="00E43D70"/>
    <w:rsid w:val="00E450AD"/>
    <w:rsid w:val="00E46683"/>
    <w:rsid w:val="00E46FB0"/>
    <w:rsid w:val="00E47B2C"/>
    <w:rsid w:val="00E5036B"/>
    <w:rsid w:val="00E50397"/>
    <w:rsid w:val="00E503C4"/>
    <w:rsid w:val="00E51560"/>
    <w:rsid w:val="00E53DE7"/>
    <w:rsid w:val="00E548E5"/>
    <w:rsid w:val="00E54D0D"/>
    <w:rsid w:val="00E55424"/>
    <w:rsid w:val="00E55BB5"/>
    <w:rsid w:val="00E6044C"/>
    <w:rsid w:val="00E62298"/>
    <w:rsid w:val="00E63F6B"/>
    <w:rsid w:val="00E645CB"/>
    <w:rsid w:val="00E64FAB"/>
    <w:rsid w:val="00E65369"/>
    <w:rsid w:val="00E65E79"/>
    <w:rsid w:val="00E67416"/>
    <w:rsid w:val="00E67A38"/>
    <w:rsid w:val="00E718B6"/>
    <w:rsid w:val="00E7194C"/>
    <w:rsid w:val="00E71EC5"/>
    <w:rsid w:val="00E72037"/>
    <w:rsid w:val="00E72172"/>
    <w:rsid w:val="00E72238"/>
    <w:rsid w:val="00E73581"/>
    <w:rsid w:val="00E73EC8"/>
    <w:rsid w:val="00E74642"/>
    <w:rsid w:val="00E746C8"/>
    <w:rsid w:val="00E772C4"/>
    <w:rsid w:val="00E800CE"/>
    <w:rsid w:val="00E81050"/>
    <w:rsid w:val="00E8121F"/>
    <w:rsid w:val="00E81DC3"/>
    <w:rsid w:val="00E82339"/>
    <w:rsid w:val="00E82DE9"/>
    <w:rsid w:val="00E83BDF"/>
    <w:rsid w:val="00E8432C"/>
    <w:rsid w:val="00E84CF2"/>
    <w:rsid w:val="00E84E07"/>
    <w:rsid w:val="00E85DBB"/>
    <w:rsid w:val="00E87571"/>
    <w:rsid w:val="00E87AA4"/>
    <w:rsid w:val="00E87D9A"/>
    <w:rsid w:val="00E91246"/>
    <w:rsid w:val="00E920F0"/>
    <w:rsid w:val="00E92126"/>
    <w:rsid w:val="00E946A0"/>
    <w:rsid w:val="00E94D8F"/>
    <w:rsid w:val="00E94FD4"/>
    <w:rsid w:val="00E9603D"/>
    <w:rsid w:val="00E96E39"/>
    <w:rsid w:val="00E96E87"/>
    <w:rsid w:val="00E975BF"/>
    <w:rsid w:val="00E979F5"/>
    <w:rsid w:val="00EA2884"/>
    <w:rsid w:val="00EA2ABF"/>
    <w:rsid w:val="00EA2E4D"/>
    <w:rsid w:val="00EA3864"/>
    <w:rsid w:val="00EA3E26"/>
    <w:rsid w:val="00EA4D5D"/>
    <w:rsid w:val="00EA5700"/>
    <w:rsid w:val="00EA6B91"/>
    <w:rsid w:val="00EA76F2"/>
    <w:rsid w:val="00EB026B"/>
    <w:rsid w:val="00EB15B6"/>
    <w:rsid w:val="00EB35CE"/>
    <w:rsid w:val="00EB46A3"/>
    <w:rsid w:val="00EB4916"/>
    <w:rsid w:val="00EB71F8"/>
    <w:rsid w:val="00EB72B5"/>
    <w:rsid w:val="00EC00C9"/>
    <w:rsid w:val="00EC124A"/>
    <w:rsid w:val="00EC22DC"/>
    <w:rsid w:val="00EC26D5"/>
    <w:rsid w:val="00EC33CB"/>
    <w:rsid w:val="00EC403D"/>
    <w:rsid w:val="00EC4D41"/>
    <w:rsid w:val="00EC58B2"/>
    <w:rsid w:val="00EC5D38"/>
    <w:rsid w:val="00ED039C"/>
    <w:rsid w:val="00ED0E02"/>
    <w:rsid w:val="00ED2257"/>
    <w:rsid w:val="00ED23C0"/>
    <w:rsid w:val="00ED3244"/>
    <w:rsid w:val="00ED36C8"/>
    <w:rsid w:val="00ED3807"/>
    <w:rsid w:val="00ED52B1"/>
    <w:rsid w:val="00ED56B1"/>
    <w:rsid w:val="00ED6136"/>
    <w:rsid w:val="00ED6B45"/>
    <w:rsid w:val="00ED7807"/>
    <w:rsid w:val="00ED7D85"/>
    <w:rsid w:val="00EE07D3"/>
    <w:rsid w:val="00EE0FE1"/>
    <w:rsid w:val="00EE24AB"/>
    <w:rsid w:val="00EE36EB"/>
    <w:rsid w:val="00EE4119"/>
    <w:rsid w:val="00EE4328"/>
    <w:rsid w:val="00EE4D87"/>
    <w:rsid w:val="00EE6B47"/>
    <w:rsid w:val="00EE72B7"/>
    <w:rsid w:val="00EE7F00"/>
    <w:rsid w:val="00EF238F"/>
    <w:rsid w:val="00EF2D51"/>
    <w:rsid w:val="00EF3F47"/>
    <w:rsid w:val="00EF3F6F"/>
    <w:rsid w:val="00EF4274"/>
    <w:rsid w:val="00EF4558"/>
    <w:rsid w:val="00EF580B"/>
    <w:rsid w:val="00EF5B52"/>
    <w:rsid w:val="00EF62D1"/>
    <w:rsid w:val="00EF673A"/>
    <w:rsid w:val="00F004A2"/>
    <w:rsid w:val="00F014B8"/>
    <w:rsid w:val="00F02C43"/>
    <w:rsid w:val="00F03505"/>
    <w:rsid w:val="00F067A2"/>
    <w:rsid w:val="00F070AE"/>
    <w:rsid w:val="00F10560"/>
    <w:rsid w:val="00F116C7"/>
    <w:rsid w:val="00F11DF2"/>
    <w:rsid w:val="00F11E74"/>
    <w:rsid w:val="00F127E4"/>
    <w:rsid w:val="00F12892"/>
    <w:rsid w:val="00F1492D"/>
    <w:rsid w:val="00F16D4B"/>
    <w:rsid w:val="00F1735D"/>
    <w:rsid w:val="00F17696"/>
    <w:rsid w:val="00F17A66"/>
    <w:rsid w:val="00F20624"/>
    <w:rsid w:val="00F22B1E"/>
    <w:rsid w:val="00F24837"/>
    <w:rsid w:val="00F2575F"/>
    <w:rsid w:val="00F25D75"/>
    <w:rsid w:val="00F2617F"/>
    <w:rsid w:val="00F2712B"/>
    <w:rsid w:val="00F27A76"/>
    <w:rsid w:val="00F31031"/>
    <w:rsid w:val="00F33DE9"/>
    <w:rsid w:val="00F33F39"/>
    <w:rsid w:val="00F34308"/>
    <w:rsid w:val="00F35403"/>
    <w:rsid w:val="00F35AAC"/>
    <w:rsid w:val="00F35D1C"/>
    <w:rsid w:val="00F3619A"/>
    <w:rsid w:val="00F37E66"/>
    <w:rsid w:val="00F40E9A"/>
    <w:rsid w:val="00F41970"/>
    <w:rsid w:val="00F41BCA"/>
    <w:rsid w:val="00F42740"/>
    <w:rsid w:val="00F42AD8"/>
    <w:rsid w:val="00F4625E"/>
    <w:rsid w:val="00F46CB6"/>
    <w:rsid w:val="00F475BA"/>
    <w:rsid w:val="00F5016E"/>
    <w:rsid w:val="00F55654"/>
    <w:rsid w:val="00F55E73"/>
    <w:rsid w:val="00F562FA"/>
    <w:rsid w:val="00F57D28"/>
    <w:rsid w:val="00F57D43"/>
    <w:rsid w:val="00F60092"/>
    <w:rsid w:val="00F621CD"/>
    <w:rsid w:val="00F62762"/>
    <w:rsid w:val="00F6308E"/>
    <w:rsid w:val="00F63DB3"/>
    <w:rsid w:val="00F646F4"/>
    <w:rsid w:val="00F672A7"/>
    <w:rsid w:val="00F70C70"/>
    <w:rsid w:val="00F71536"/>
    <w:rsid w:val="00F71E90"/>
    <w:rsid w:val="00F733B5"/>
    <w:rsid w:val="00F734C0"/>
    <w:rsid w:val="00F7412E"/>
    <w:rsid w:val="00F75CD5"/>
    <w:rsid w:val="00F75D04"/>
    <w:rsid w:val="00F766E7"/>
    <w:rsid w:val="00F778AC"/>
    <w:rsid w:val="00F779BF"/>
    <w:rsid w:val="00F8068F"/>
    <w:rsid w:val="00F80E5D"/>
    <w:rsid w:val="00F82522"/>
    <w:rsid w:val="00F826D5"/>
    <w:rsid w:val="00F82709"/>
    <w:rsid w:val="00F8333D"/>
    <w:rsid w:val="00F851CE"/>
    <w:rsid w:val="00F87D8B"/>
    <w:rsid w:val="00F90A5B"/>
    <w:rsid w:val="00F911BF"/>
    <w:rsid w:val="00F92B6C"/>
    <w:rsid w:val="00F92BE8"/>
    <w:rsid w:val="00F936A1"/>
    <w:rsid w:val="00F97427"/>
    <w:rsid w:val="00F97A78"/>
    <w:rsid w:val="00F97B53"/>
    <w:rsid w:val="00FA0450"/>
    <w:rsid w:val="00FA0835"/>
    <w:rsid w:val="00FA24E7"/>
    <w:rsid w:val="00FA2C9F"/>
    <w:rsid w:val="00FA2E61"/>
    <w:rsid w:val="00FA3225"/>
    <w:rsid w:val="00FA5596"/>
    <w:rsid w:val="00FA7DA3"/>
    <w:rsid w:val="00FB2D64"/>
    <w:rsid w:val="00FB2FCB"/>
    <w:rsid w:val="00FB3DC2"/>
    <w:rsid w:val="00FB469E"/>
    <w:rsid w:val="00FB498A"/>
    <w:rsid w:val="00FB5356"/>
    <w:rsid w:val="00FB5696"/>
    <w:rsid w:val="00FB6201"/>
    <w:rsid w:val="00FB66B8"/>
    <w:rsid w:val="00FB6A21"/>
    <w:rsid w:val="00FC1074"/>
    <w:rsid w:val="00FC1884"/>
    <w:rsid w:val="00FC1F98"/>
    <w:rsid w:val="00FC249F"/>
    <w:rsid w:val="00FC24CD"/>
    <w:rsid w:val="00FC3F37"/>
    <w:rsid w:val="00FC5B8C"/>
    <w:rsid w:val="00FC7C55"/>
    <w:rsid w:val="00FD0F1C"/>
    <w:rsid w:val="00FD2040"/>
    <w:rsid w:val="00FD2100"/>
    <w:rsid w:val="00FD319E"/>
    <w:rsid w:val="00FD3DB1"/>
    <w:rsid w:val="00FD3DDE"/>
    <w:rsid w:val="00FD444D"/>
    <w:rsid w:val="00FD446D"/>
    <w:rsid w:val="00FD4484"/>
    <w:rsid w:val="00FD4C6A"/>
    <w:rsid w:val="00FD4EBA"/>
    <w:rsid w:val="00FD6418"/>
    <w:rsid w:val="00FD6593"/>
    <w:rsid w:val="00FD7DA5"/>
    <w:rsid w:val="00FE15DF"/>
    <w:rsid w:val="00FE3D64"/>
    <w:rsid w:val="00FE4F07"/>
    <w:rsid w:val="00FE5CEA"/>
    <w:rsid w:val="00FE5D11"/>
    <w:rsid w:val="00FE6D41"/>
    <w:rsid w:val="00FE72FC"/>
    <w:rsid w:val="00FE789D"/>
    <w:rsid w:val="00FE7A7F"/>
    <w:rsid w:val="00FF05F7"/>
    <w:rsid w:val="00FF1071"/>
    <w:rsid w:val="00FF2665"/>
    <w:rsid w:val="00FF2EE9"/>
    <w:rsid w:val="00FF3D9F"/>
    <w:rsid w:val="00FF3DCF"/>
    <w:rsid w:val="00FF40AF"/>
    <w:rsid w:val="00FF40C0"/>
    <w:rsid w:val="00FF4426"/>
    <w:rsid w:val="00FF4603"/>
    <w:rsid w:val="00FF4B27"/>
    <w:rsid w:val="00FF5AA3"/>
    <w:rsid w:val="00FF623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765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22D30"/>
    <w:pPr>
      <w:numPr>
        <w:numId w:val="1"/>
      </w:numPr>
      <w:outlineLvl w:val="0"/>
    </w:pPr>
    <w:rPr>
      <w:rFonts w:ascii="Arial" w:hAnsi="Arial" w:cs="Arial"/>
      <w:b/>
      <w:snapToGrid w:val="0"/>
      <w:sz w:val="22"/>
      <w:szCs w:val="22"/>
      <w:lang w:eastAsia="en-US"/>
    </w:rPr>
  </w:style>
  <w:style w:type="character" w:customStyle="1" w:styleId="TableTextChar0">
    <w:name w:val="TableText Char"/>
    <w:basedOn w:val="DefaultParagraphFont"/>
    <w:link w:val="TableText0"/>
    <w:uiPriority w:val="3"/>
    <w:rsid w:val="0066039C"/>
    <w:rPr>
      <w:rFonts w:ascii="Arial Narrow" w:hAnsi="Arial Narrow" w:cs="Arial Narrow"/>
      <w:lang w:eastAsia="en-US"/>
    </w:rPr>
  </w:style>
  <w:style w:type="paragraph" w:customStyle="1" w:styleId="TableHeadingRow">
    <w:name w:val="TableHeadingRow"/>
    <w:basedOn w:val="Normal"/>
    <w:uiPriority w:val="3"/>
    <w:qFormat/>
    <w:rsid w:val="00616C0B"/>
    <w:pPr>
      <w:keepNext/>
      <w:widowControl/>
      <w:spacing w:before="20" w:after="20"/>
      <w:jc w:val="left"/>
    </w:pPr>
    <w:rPr>
      <w:rFonts w:ascii="Calibri" w:hAnsi="Calibri" w:cstheme="minorHAnsi"/>
      <w:b/>
      <w:snapToGrid/>
      <w:sz w:val="20"/>
    </w:rPr>
  </w:style>
  <w:style w:type="paragraph" w:customStyle="1" w:styleId="TableDash">
    <w:name w:val="TableDash"/>
    <w:basedOn w:val="Normal"/>
    <w:uiPriority w:val="99"/>
    <w:rsid w:val="00EF3F47"/>
    <w:pPr>
      <w:keepNext/>
      <w:widowControl/>
      <w:numPr>
        <w:numId w:val="2"/>
      </w:numPr>
      <w:tabs>
        <w:tab w:val="clear" w:pos="713"/>
        <w:tab w:val="num" w:pos="578"/>
      </w:tabs>
      <w:spacing w:before="20" w:after="20"/>
      <w:ind w:left="431"/>
      <w:jc w:val="left"/>
    </w:pPr>
    <w:rPr>
      <w:rFonts w:ascii="Calibri" w:hAnsi="Calibri" w:cstheme="minorHAnsi"/>
      <w:bCs/>
      <w:snapToGrid/>
      <w:sz w:val="20"/>
    </w:rPr>
  </w:style>
  <w:style w:type="paragraph" w:styleId="ListBullet">
    <w:name w:val="List Bullet"/>
    <w:basedOn w:val="Normal"/>
    <w:uiPriority w:val="4"/>
    <w:qFormat/>
    <w:rsid w:val="002A3E57"/>
    <w:pPr>
      <w:widowControl/>
      <w:numPr>
        <w:numId w:val="3"/>
      </w:numPr>
      <w:tabs>
        <w:tab w:val="clear" w:pos="360"/>
      </w:tabs>
      <w:spacing w:after="240" w:line="288" w:lineRule="auto"/>
      <w:ind w:left="426" w:hanging="426"/>
      <w:contextualSpacing/>
    </w:pPr>
    <w:rPr>
      <w:rFonts w:ascii="Calibri" w:eastAsiaTheme="minorEastAsia" w:hAnsi="Calibri" w:cstheme="minorBidi"/>
      <w:snapToGrid/>
      <w:szCs w:val="22"/>
      <w:lang w:val="en-US" w:eastAsia="zh-CN"/>
    </w:rPr>
  </w:style>
  <w:style w:type="paragraph" w:customStyle="1" w:styleId="TableNotes">
    <w:name w:val="TableNotes"/>
    <w:basedOn w:val="Normal"/>
    <w:next w:val="Normal"/>
    <w:uiPriority w:val="3"/>
    <w:qFormat/>
    <w:rsid w:val="00D23B5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Heading3Char">
    <w:name w:val="Heading 3 Char"/>
    <w:basedOn w:val="DefaultParagraphFont"/>
    <w:link w:val="Heading3"/>
    <w:rsid w:val="007C28C3"/>
    <w:rPr>
      <w:rFonts w:ascii="Arial" w:hAnsi="Arial" w:cs="Arial"/>
      <w:snapToGrid w:val="0"/>
      <w:sz w:val="22"/>
      <w:u w:val="single"/>
      <w:lang w:eastAsia="en-US"/>
    </w:rPr>
  </w:style>
  <w:style w:type="paragraph" w:customStyle="1" w:styleId="TableText1left">
    <w:name w:val="Table Text 1 (left)"/>
    <w:basedOn w:val="Normal"/>
    <w:link w:val="TableText1leftChar"/>
    <w:qFormat/>
    <w:rsid w:val="00C846C3"/>
    <w:pPr>
      <w:widowControl/>
      <w:spacing w:before="40" w:after="40"/>
      <w:jc w:val="left"/>
    </w:pPr>
    <w:rPr>
      <w:rFonts w:ascii="Times New Roman" w:eastAsia="SimSun" w:hAnsi="Times New Roman" w:cs="Times New Roman"/>
      <w:noProof/>
      <w:snapToGrid/>
      <w:sz w:val="20"/>
      <w:lang w:val="en-GB"/>
    </w:rPr>
  </w:style>
  <w:style w:type="character" w:customStyle="1" w:styleId="TableText1leftChar">
    <w:name w:val="Table Text 1 (left) Char"/>
    <w:link w:val="TableText1left"/>
    <w:rsid w:val="00C846C3"/>
    <w:rPr>
      <w:rFonts w:eastAsia="SimSun"/>
      <w:noProof/>
      <w:lang w:val="en-GB" w:eastAsia="en-US"/>
    </w:rPr>
  </w:style>
  <w:style w:type="table" w:customStyle="1" w:styleId="TableGrid5">
    <w:name w:val="Table Grid5"/>
    <w:basedOn w:val="TableNormal"/>
    <w:next w:val="TableGrid"/>
    <w:uiPriority w:val="59"/>
    <w:rsid w:val="00D2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locked/>
    <w:rsid w:val="00453B1C"/>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639D"/>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0036E2"/>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425FB"/>
    <w:rPr>
      <w:sz w:val="20"/>
    </w:rPr>
  </w:style>
  <w:style w:type="character" w:customStyle="1" w:styleId="FootnoteTextChar">
    <w:name w:val="Footnote Text Char"/>
    <w:basedOn w:val="DefaultParagraphFont"/>
    <w:link w:val="FootnoteText"/>
    <w:semiHidden/>
    <w:rsid w:val="006425FB"/>
    <w:rPr>
      <w:rFonts w:ascii="Arial" w:hAnsi="Arial" w:cs="Arial"/>
      <w:snapToGrid w:val="0"/>
      <w:lang w:eastAsia="en-US"/>
    </w:rPr>
  </w:style>
  <w:style w:type="character" w:styleId="FootnoteReference">
    <w:name w:val="footnote reference"/>
    <w:basedOn w:val="DefaultParagraphFont"/>
    <w:semiHidden/>
    <w:unhideWhenUsed/>
    <w:rsid w:val="006425FB"/>
    <w:rPr>
      <w:vertAlign w:val="superscript"/>
    </w:rPr>
  </w:style>
  <w:style w:type="paragraph" w:customStyle="1" w:styleId="p1">
    <w:name w:val="p1"/>
    <w:basedOn w:val="Normal"/>
    <w:rsid w:val="00666823"/>
    <w:pPr>
      <w:widowControl/>
      <w:jc w:val="left"/>
    </w:pPr>
    <w:rPr>
      <w:rFonts w:ascii="Times" w:hAnsi="Times" w:cs="Times New Roman"/>
      <w:snapToGrid/>
      <w:color w:val="FFFFFF"/>
      <w:sz w:val="13"/>
      <w:szCs w:val="13"/>
      <w:lang w:val="en-GB" w:eastAsia="en-GB"/>
    </w:rPr>
  </w:style>
  <w:style w:type="character" w:customStyle="1" w:styleId="s1">
    <w:name w:val="s1"/>
    <w:basedOn w:val="DefaultParagraphFont"/>
    <w:rsid w:val="00666823"/>
    <w:rPr>
      <w:rFonts w:ascii="Helvetica" w:hAnsi="Helvetica" w:hint="default"/>
      <w:sz w:val="13"/>
      <w:szCs w:val="13"/>
    </w:rPr>
  </w:style>
  <w:style w:type="paragraph" w:styleId="EndnoteText">
    <w:name w:val="endnote text"/>
    <w:basedOn w:val="Normal"/>
    <w:link w:val="EndnoteTextChar"/>
    <w:semiHidden/>
    <w:unhideWhenUsed/>
    <w:rsid w:val="008204E8"/>
    <w:rPr>
      <w:sz w:val="20"/>
    </w:rPr>
  </w:style>
  <w:style w:type="character" w:customStyle="1" w:styleId="EndnoteTextChar">
    <w:name w:val="Endnote Text Char"/>
    <w:basedOn w:val="DefaultParagraphFont"/>
    <w:link w:val="EndnoteText"/>
    <w:semiHidden/>
    <w:rsid w:val="008204E8"/>
    <w:rPr>
      <w:rFonts w:ascii="Arial" w:hAnsi="Arial" w:cs="Arial"/>
      <w:snapToGrid w:val="0"/>
      <w:lang w:eastAsia="en-US"/>
    </w:rPr>
  </w:style>
  <w:style w:type="character" w:styleId="EndnoteReference">
    <w:name w:val="endnote reference"/>
    <w:basedOn w:val="DefaultParagraphFont"/>
    <w:semiHidden/>
    <w:unhideWhenUsed/>
    <w:rsid w:val="008204E8"/>
    <w:rPr>
      <w:vertAlign w:val="superscript"/>
    </w:rPr>
  </w:style>
  <w:style w:type="paragraph" w:customStyle="1" w:styleId="PBACheading10">
    <w:name w:val="PBAC heading 1"/>
    <w:qFormat/>
    <w:rsid w:val="005E727C"/>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2" w:qFormat="1"/>
    <w:lsdException w:name="annotation reference" w:uiPriority="99" w:qFormat="1"/>
    <w:lsdException w:name="List Bullet" w:uiPriority="4"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765F"/>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22D30"/>
    <w:pPr>
      <w:numPr>
        <w:numId w:val="1"/>
      </w:numPr>
      <w:outlineLvl w:val="0"/>
    </w:pPr>
    <w:rPr>
      <w:rFonts w:ascii="Arial" w:hAnsi="Arial" w:cs="Arial"/>
      <w:b/>
      <w:snapToGrid w:val="0"/>
      <w:sz w:val="22"/>
      <w:szCs w:val="22"/>
      <w:lang w:eastAsia="en-US"/>
    </w:rPr>
  </w:style>
  <w:style w:type="character" w:customStyle="1" w:styleId="TableTextChar0">
    <w:name w:val="TableText Char"/>
    <w:basedOn w:val="DefaultParagraphFont"/>
    <w:link w:val="TableText0"/>
    <w:uiPriority w:val="3"/>
    <w:rsid w:val="0066039C"/>
    <w:rPr>
      <w:rFonts w:ascii="Arial Narrow" w:hAnsi="Arial Narrow" w:cs="Arial Narrow"/>
      <w:lang w:eastAsia="en-US"/>
    </w:rPr>
  </w:style>
  <w:style w:type="paragraph" w:customStyle="1" w:styleId="TableHeadingRow">
    <w:name w:val="TableHeadingRow"/>
    <w:basedOn w:val="Normal"/>
    <w:uiPriority w:val="3"/>
    <w:qFormat/>
    <w:rsid w:val="00616C0B"/>
    <w:pPr>
      <w:keepNext/>
      <w:widowControl/>
      <w:spacing w:before="20" w:after="20"/>
      <w:jc w:val="left"/>
    </w:pPr>
    <w:rPr>
      <w:rFonts w:ascii="Calibri" w:hAnsi="Calibri" w:cstheme="minorHAnsi"/>
      <w:b/>
      <w:snapToGrid/>
      <w:sz w:val="20"/>
    </w:rPr>
  </w:style>
  <w:style w:type="paragraph" w:customStyle="1" w:styleId="TableDash">
    <w:name w:val="TableDash"/>
    <w:basedOn w:val="Normal"/>
    <w:uiPriority w:val="99"/>
    <w:rsid w:val="00EF3F47"/>
    <w:pPr>
      <w:keepNext/>
      <w:widowControl/>
      <w:numPr>
        <w:numId w:val="2"/>
      </w:numPr>
      <w:tabs>
        <w:tab w:val="clear" w:pos="713"/>
        <w:tab w:val="num" w:pos="578"/>
      </w:tabs>
      <w:spacing w:before="20" w:after="20"/>
      <w:ind w:left="431"/>
      <w:jc w:val="left"/>
    </w:pPr>
    <w:rPr>
      <w:rFonts w:ascii="Calibri" w:hAnsi="Calibri" w:cstheme="minorHAnsi"/>
      <w:bCs/>
      <w:snapToGrid/>
      <w:sz w:val="20"/>
    </w:rPr>
  </w:style>
  <w:style w:type="paragraph" w:styleId="ListBullet">
    <w:name w:val="List Bullet"/>
    <w:basedOn w:val="Normal"/>
    <w:uiPriority w:val="4"/>
    <w:qFormat/>
    <w:rsid w:val="002A3E57"/>
    <w:pPr>
      <w:widowControl/>
      <w:numPr>
        <w:numId w:val="3"/>
      </w:numPr>
      <w:tabs>
        <w:tab w:val="clear" w:pos="360"/>
      </w:tabs>
      <w:spacing w:after="240" w:line="288" w:lineRule="auto"/>
      <w:ind w:left="426" w:hanging="426"/>
      <w:contextualSpacing/>
    </w:pPr>
    <w:rPr>
      <w:rFonts w:ascii="Calibri" w:eastAsiaTheme="minorEastAsia" w:hAnsi="Calibri" w:cstheme="minorBidi"/>
      <w:snapToGrid/>
      <w:szCs w:val="22"/>
      <w:lang w:val="en-US" w:eastAsia="zh-CN"/>
    </w:rPr>
  </w:style>
  <w:style w:type="paragraph" w:customStyle="1" w:styleId="TableNotes">
    <w:name w:val="TableNotes"/>
    <w:basedOn w:val="Normal"/>
    <w:next w:val="Normal"/>
    <w:uiPriority w:val="3"/>
    <w:qFormat/>
    <w:rsid w:val="00D23B5C"/>
    <w:pPr>
      <w:widowControl/>
      <w:tabs>
        <w:tab w:val="left" w:pos="1134"/>
      </w:tabs>
      <w:ind w:left="1134" w:hanging="1134"/>
      <w:jc w:val="left"/>
    </w:pPr>
    <w:rPr>
      <w:rFonts w:ascii="Calibri" w:eastAsiaTheme="minorEastAsia" w:hAnsi="Calibri" w:cstheme="minorBidi"/>
      <w:snapToGrid/>
      <w:sz w:val="18"/>
      <w:szCs w:val="18"/>
    </w:rPr>
  </w:style>
  <w:style w:type="character" w:customStyle="1" w:styleId="Heading3Char">
    <w:name w:val="Heading 3 Char"/>
    <w:basedOn w:val="DefaultParagraphFont"/>
    <w:link w:val="Heading3"/>
    <w:rsid w:val="007C28C3"/>
    <w:rPr>
      <w:rFonts w:ascii="Arial" w:hAnsi="Arial" w:cs="Arial"/>
      <w:snapToGrid w:val="0"/>
      <w:sz w:val="22"/>
      <w:u w:val="single"/>
      <w:lang w:eastAsia="en-US"/>
    </w:rPr>
  </w:style>
  <w:style w:type="paragraph" w:customStyle="1" w:styleId="TableText1left">
    <w:name w:val="Table Text 1 (left)"/>
    <w:basedOn w:val="Normal"/>
    <w:link w:val="TableText1leftChar"/>
    <w:qFormat/>
    <w:rsid w:val="00C846C3"/>
    <w:pPr>
      <w:widowControl/>
      <w:spacing w:before="40" w:after="40"/>
      <w:jc w:val="left"/>
    </w:pPr>
    <w:rPr>
      <w:rFonts w:ascii="Times New Roman" w:eastAsia="SimSun" w:hAnsi="Times New Roman" w:cs="Times New Roman"/>
      <w:noProof/>
      <w:snapToGrid/>
      <w:sz w:val="20"/>
      <w:lang w:val="en-GB"/>
    </w:rPr>
  </w:style>
  <w:style w:type="character" w:customStyle="1" w:styleId="TableText1leftChar">
    <w:name w:val="Table Text 1 (left) Char"/>
    <w:link w:val="TableText1left"/>
    <w:rsid w:val="00C846C3"/>
    <w:rPr>
      <w:rFonts w:eastAsia="SimSun"/>
      <w:noProof/>
      <w:lang w:val="en-GB" w:eastAsia="en-US"/>
    </w:rPr>
  </w:style>
  <w:style w:type="table" w:customStyle="1" w:styleId="TableGrid5">
    <w:name w:val="Table Grid5"/>
    <w:basedOn w:val="TableNormal"/>
    <w:next w:val="TableGrid"/>
    <w:uiPriority w:val="59"/>
    <w:rsid w:val="00D21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72"/>
    <w:locked/>
    <w:rsid w:val="00453B1C"/>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639D"/>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0036E2"/>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425FB"/>
    <w:rPr>
      <w:sz w:val="20"/>
    </w:rPr>
  </w:style>
  <w:style w:type="character" w:customStyle="1" w:styleId="FootnoteTextChar">
    <w:name w:val="Footnote Text Char"/>
    <w:basedOn w:val="DefaultParagraphFont"/>
    <w:link w:val="FootnoteText"/>
    <w:semiHidden/>
    <w:rsid w:val="006425FB"/>
    <w:rPr>
      <w:rFonts w:ascii="Arial" w:hAnsi="Arial" w:cs="Arial"/>
      <w:snapToGrid w:val="0"/>
      <w:lang w:eastAsia="en-US"/>
    </w:rPr>
  </w:style>
  <w:style w:type="character" w:styleId="FootnoteReference">
    <w:name w:val="footnote reference"/>
    <w:basedOn w:val="DefaultParagraphFont"/>
    <w:semiHidden/>
    <w:unhideWhenUsed/>
    <w:rsid w:val="006425FB"/>
    <w:rPr>
      <w:vertAlign w:val="superscript"/>
    </w:rPr>
  </w:style>
  <w:style w:type="paragraph" w:customStyle="1" w:styleId="p1">
    <w:name w:val="p1"/>
    <w:basedOn w:val="Normal"/>
    <w:rsid w:val="00666823"/>
    <w:pPr>
      <w:widowControl/>
      <w:jc w:val="left"/>
    </w:pPr>
    <w:rPr>
      <w:rFonts w:ascii="Times" w:hAnsi="Times" w:cs="Times New Roman"/>
      <w:snapToGrid/>
      <w:color w:val="FFFFFF"/>
      <w:sz w:val="13"/>
      <w:szCs w:val="13"/>
      <w:lang w:val="en-GB" w:eastAsia="en-GB"/>
    </w:rPr>
  </w:style>
  <w:style w:type="character" w:customStyle="1" w:styleId="s1">
    <w:name w:val="s1"/>
    <w:basedOn w:val="DefaultParagraphFont"/>
    <w:rsid w:val="00666823"/>
    <w:rPr>
      <w:rFonts w:ascii="Helvetica" w:hAnsi="Helvetica" w:hint="default"/>
      <w:sz w:val="13"/>
      <w:szCs w:val="13"/>
    </w:rPr>
  </w:style>
  <w:style w:type="paragraph" w:styleId="EndnoteText">
    <w:name w:val="endnote text"/>
    <w:basedOn w:val="Normal"/>
    <w:link w:val="EndnoteTextChar"/>
    <w:semiHidden/>
    <w:unhideWhenUsed/>
    <w:rsid w:val="008204E8"/>
    <w:rPr>
      <w:sz w:val="20"/>
    </w:rPr>
  </w:style>
  <w:style w:type="character" w:customStyle="1" w:styleId="EndnoteTextChar">
    <w:name w:val="Endnote Text Char"/>
    <w:basedOn w:val="DefaultParagraphFont"/>
    <w:link w:val="EndnoteText"/>
    <w:semiHidden/>
    <w:rsid w:val="008204E8"/>
    <w:rPr>
      <w:rFonts w:ascii="Arial" w:hAnsi="Arial" w:cs="Arial"/>
      <w:snapToGrid w:val="0"/>
      <w:lang w:eastAsia="en-US"/>
    </w:rPr>
  </w:style>
  <w:style w:type="character" w:styleId="EndnoteReference">
    <w:name w:val="endnote reference"/>
    <w:basedOn w:val="DefaultParagraphFont"/>
    <w:semiHidden/>
    <w:unhideWhenUsed/>
    <w:rsid w:val="008204E8"/>
    <w:rPr>
      <w:vertAlign w:val="superscript"/>
    </w:rPr>
  </w:style>
  <w:style w:type="paragraph" w:customStyle="1" w:styleId="PBACheading10">
    <w:name w:val="PBAC heading 1"/>
    <w:qFormat/>
    <w:rsid w:val="005E727C"/>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241">
      <w:bodyDiv w:val="1"/>
      <w:marLeft w:val="0"/>
      <w:marRight w:val="0"/>
      <w:marTop w:val="0"/>
      <w:marBottom w:val="0"/>
      <w:divBdr>
        <w:top w:val="none" w:sz="0" w:space="0" w:color="auto"/>
        <w:left w:val="none" w:sz="0" w:space="0" w:color="auto"/>
        <w:bottom w:val="none" w:sz="0" w:space="0" w:color="auto"/>
        <w:right w:val="none" w:sz="0" w:space="0" w:color="auto"/>
      </w:divBdr>
    </w:div>
    <w:div w:id="36854714">
      <w:bodyDiv w:val="1"/>
      <w:marLeft w:val="0"/>
      <w:marRight w:val="0"/>
      <w:marTop w:val="0"/>
      <w:marBottom w:val="0"/>
      <w:divBdr>
        <w:top w:val="none" w:sz="0" w:space="0" w:color="auto"/>
        <w:left w:val="none" w:sz="0" w:space="0" w:color="auto"/>
        <w:bottom w:val="none" w:sz="0" w:space="0" w:color="auto"/>
        <w:right w:val="none" w:sz="0" w:space="0" w:color="auto"/>
      </w:divBdr>
    </w:div>
    <w:div w:id="86073482">
      <w:bodyDiv w:val="1"/>
      <w:marLeft w:val="0"/>
      <w:marRight w:val="0"/>
      <w:marTop w:val="0"/>
      <w:marBottom w:val="0"/>
      <w:divBdr>
        <w:top w:val="none" w:sz="0" w:space="0" w:color="auto"/>
        <w:left w:val="none" w:sz="0" w:space="0" w:color="auto"/>
        <w:bottom w:val="none" w:sz="0" w:space="0" w:color="auto"/>
        <w:right w:val="none" w:sz="0" w:space="0" w:color="auto"/>
      </w:divBdr>
    </w:div>
    <w:div w:id="155582698">
      <w:bodyDiv w:val="1"/>
      <w:marLeft w:val="0"/>
      <w:marRight w:val="0"/>
      <w:marTop w:val="0"/>
      <w:marBottom w:val="0"/>
      <w:divBdr>
        <w:top w:val="none" w:sz="0" w:space="0" w:color="auto"/>
        <w:left w:val="none" w:sz="0" w:space="0" w:color="auto"/>
        <w:bottom w:val="none" w:sz="0" w:space="0" w:color="auto"/>
        <w:right w:val="none" w:sz="0" w:space="0" w:color="auto"/>
      </w:divBdr>
    </w:div>
    <w:div w:id="259527020">
      <w:bodyDiv w:val="1"/>
      <w:marLeft w:val="0"/>
      <w:marRight w:val="0"/>
      <w:marTop w:val="0"/>
      <w:marBottom w:val="0"/>
      <w:divBdr>
        <w:top w:val="none" w:sz="0" w:space="0" w:color="auto"/>
        <w:left w:val="none" w:sz="0" w:space="0" w:color="auto"/>
        <w:bottom w:val="none" w:sz="0" w:space="0" w:color="auto"/>
        <w:right w:val="none" w:sz="0" w:space="0" w:color="auto"/>
      </w:divBdr>
    </w:div>
    <w:div w:id="413357077">
      <w:bodyDiv w:val="1"/>
      <w:marLeft w:val="0"/>
      <w:marRight w:val="0"/>
      <w:marTop w:val="0"/>
      <w:marBottom w:val="0"/>
      <w:divBdr>
        <w:top w:val="none" w:sz="0" w:space="0" w:color="auto"/>
        <w:left w:val="none" w:sz="0" w:space="0" w:color="auto"/>
        <w:bottom w:val="none" w:sz="0" w:space="0" w:color="auto"/>
        <w:right w:val="none" w:sz="0" w:space="0" w:color="auto"/>
      </w:divBdr>
    </w:div>
    <w:div w:id="510878082">
      <w:bodyDiv w:val="1"/>
      <w:marLeft w:val="0"/>
      <w:marRight w:val="0"/>
      <w:marTop w:val="0"/>
      <w:marBottom w:val="0"/>
      <w:divBdr>
        <w:top w:val="none" w:sz="0" w:space="0" w:color="auto"/>
        <w:left w:val="none" w:sz="0" w:space="0" w:color="auto"/>
        <w:bottom w:val="none" w:sz="0" w:space="0" w:color="auto"/>
        <w:right w:val="none" w:sz="0" w:space="0" w:color="auto"/>
      </w:divBdr>
    </w:div>
    <w:div w:id="700858294">
      <w:bodyDiv w:val="1"/>
      <w:marLeft w:val="0"/>
      <w:marRight w:val="0"/>
      <w:marTop w:val="0"/>
      <w:marBottom w:val="0"/>
      <w:divBdr>
        <w:top w:val="none" w:sz="0" w:space="0" w:color="auto"/>
        <w:left w:val="none" w:sz="0" w:space="0" w:color="auto"/>
        <w:bottom w:val="none" w:sz="0" w:space="0" w:color="auto"/>
        <w:right w:val="none" w:sz="0" w:space="0" w:color="auto"/>
      </w:divBdr>
    </w:div>
    <w:div w:id="721488401">
      <w:bodyDiv w:val="1"/>
      <w:marLeft w:val="0"/>
      <w:marRight w:val="0"/>
      <w:marTop w:val="0"/>
      <w:marBottom w:val="0"/>
      <w:divBdr>
        <w:top w:val="none" w:sz="0" w:space="0" w:color="auto"/>
        <w:left w:val="none" w:sz="0" w:space="0" w:color="auto"/>
        <w:bottom w:val="none" w:sz="0" w:space="0" w:color="auto"/>
        <w:right w:val="none" w:sz="0" w:space="0" w:color="auto"/>
      </w:divBdr>
    </w:div>
    <w:div w:id="821583383">
      <w:bodyDiv w:val="1"/>
      <w:marLeft w:val="0"/>
      <w:marRight w:val="0"/>
      <w:marTop w:val="0"/>
      <w:marBottom w:val="0"/>
      <w:divBdr>
        <w:top w:val="none" w:sz="0" w:space="0" w:color="auto"/>
        <w:left w:val="none" w:sz="0" w:space="0" w:color="auto"/>
        <w:bottom w:val="none" w:sz="0" w:space="0" w:color="auto"/>
        <w:right w:val="none" w:sz="0" w:space="0" w:color="auto"/>
      </w:divBdr>
    </w:div>
    <w:div w:id="940913056">
      <w:bodyDiv w:val="1"/>
      <w:marLeft w:val="0"/>
      <w:marRight w:val="0"/>
      <w:marTop w:val="0"/>
      <w:marBottom w:val="0"/>
      <w:divBdr>
        <w:top w:val="none" w:sz="0" w:space="0" w:color="auto"/>
        <w:left w:val="none" w:sz="0" w:space="0" w:color="auto"/>
        <w:bottom w:val="none" w:sz="0" w:space="0" w:color="auto"/>
        <w:right w:val="none" w:sz="0" w:space="0" w:color="auto"/>
      </w:divBdr>
    </w:div>
    <w:div w:id="1025206585">
      <w:bodyDiv w:val="1"/>
      <w:marLeft w:val="0"/>
      <w:marRight w:val="0"/>
      <w:marTop w:val="0"/>
      <w:marBottom w:val="0"/>
      <w:divBdr>
        <w:top w:val="none" w:sz="0" w:space="0" w:color="auto"/>
        <w:left w:val="none" w:sz="0" w:space="0" w:color="auto"/>
        <w:bottom w:val="none" w:sz="0" w:space="0" w:color="auto"/>
        <w:right w:val="none" w:sz="0" w:space="0" w:color="auto"/>
      </w:divBdr>
    </w:div>
    <w:div w:id="1040938800">
      <w:bodyDiv w:val="1"/>
      <w:marLeft w:val="0"/>
      <w:marRight w:val="0"/>
      <w:marTop w:val="0"/>
      <w:marBottom w:val="0"/>
      <w:divBdr>
        <w:top w:val="none" w:sz="0" w:space="0" w:color="auto"/>
        <w:left w:val="none" w:sz="0" w:space="0" w:color="auto"/>
        <w:bottom w:val="none" w:sz="0" w:space="0" w:color="auto"/>
        <w:right w:val="none" w:sz="0" w:space="0" w:color="auto"/>
      </w:divBdr>
    </w:div>
    <w:div w:id="1067726267">
      <w:bodyDiv w:val="1"/>
      <w:marLeft w:val="0"/>
      <w:marRight w:val="0"/>
      <w:marTop w:val="0"/>
      <w:marBottom w:val="0"/>
      <w:divBdr>
        <w:top w:val="none" w:sz="0" w:space="0" w:color="auto"/>
        <w:left w:val="none" w:sz="0" w:space="0" w:color="auto"/>
        <w:bottom w:val="none" w:sz="0" w:space="0" w:color="auto"/>
        <w:right w:val="none" w:sz="0" w:space="0" w:color="auto"/>
      </w:divBdr>
    </w:div>
    <w:div w:id="1166703209">
      <w:bodyDiv w:val="1"/>
      <w:marLeft w:val="0"/>
      <w:marRight w:val="0"/>
      <w:marTop w:val="0"/>
      <w:marBottom w:val="0"/>
      <w:divBdr>
        <w:top w:val="none" w:sz="0" w:space="0" w:color="auto"/>
        <w:left w:val="none" w:sz="0" w:space="0" w:color="auto"/>
        <w:bottom w:val="none" w:sz="0" w:space="0" w:color="auto"/>
        <w:right w:val="none" w:sz="0" w:space="0" w:color="auto"/>
      </w:divBdr>
    </w:div>
    <w:div w:id="1232353240">
      <w:bodyDiv w:val="1"/>
      <w:marLeft w:val="0"/>
      <w:marRight w:val="0"/>
      <w:marTop w:val="0"/>
      <w:marBottom w:val="0"/>
      <w:divBdr>
        <w:top w:val="none" w:sz="0" w:space="0" w:color="auto"/>
        <w:left w:val="none" w:sz="0" w:space="0" w:color="auto"/>
        <w:bottom w:val="none" w:sz="0" w:space="0" w:color="auto"/>
        <w:right w:val="none" w:sz="0" w:space="0" w:color="auto"/>
      </w:divBdr>
    </w:div>
    <w:div w:id="1243680318">
      <w:bodyDiv w:val="1"/>
      <w:marLeft w:val="0"/>
      <w:marRight w:val="0"/>
      <w:marTop w:val="0"/>
      <w:marBottom w:val="0"/>
      <w:divBdr>
        <w:top w:val="none" w:sz="0" w:space="0" w:color="auto"/>
        <w:left w:val="none" w:sz="0" w:space="0" w:color="auto"/>
        <w:bottom w:val="none" w:sz="0" w:space="0" w:color="auto"/>
        <w:right w:val="none" w:sz="0" w:space="0" w:color="auto"/>
      </w:divBdr>
    </w:div>
    <w:div w:id="1305887095">
      <w:bodyDiv w:val="1"/>
      <w:marLeft w:val="0"/>
      <w:marRight w:val="0"/>
      <w:marTop w:val="0"/>
      <w:marBottom w:val="0"/>
      <w:divBdr>
        <w:top w:val="none" w:sz="0" w:space="0" w:color="auto"/>
        <w:left w:val="none" w:sz="0" w:space="0" w:color="auto"/>
        <w:bottom w:val="none" w:sz="0" w:space="0" w:color="auto"/>
        <w:right w:val="none" w:sz="0" w:space="0" w:color="auto"/>
      </w:divBdr>
    </w:div>
    <w:div w:id="1394086578">
      <w:bodyDiv w:val="1"/>
      <w:marLeft w:val="0"/>
      <w:marRight w:val="0"/>
      <w:marTop w:val="0"/>
      <w:marBottom w:val="0"/>
      <w:divBdr>
        <w:top w:val="none" w:sz="0" w:space="0" w:color="auto"/>
        <w:left w:val="none" w:sz="0" w:space="0" w:color="auto"/>
        <w:bottom w:val="none" w:sz="0" w:space="0" w:color="auto"/>
        <w:right w:val="none" w:sz="0" w:space="0" w:color="auto"/>
      </w:divBdr>
    </w:div>
    <w:div w:id="1625891161">
      <w:bodyDiv w:val="1"/>
      <w:marLeft w:val="0"/>
      <w:marRight w:val="0"/>
      <w:marTop w:val="0"/>
      <w:marBottom w:val="0"/>
      <w:divBdr>
        <w:top w:val="none" w:sz="0" w:space="0" w:color="auto"/>
        <w:left w:val="none" w:sz="0" w:space="0" w:color="auto"/>
        <w:bottom w:val="none" w:sz="0" w:space="0" w:color="auto"/>
        <w:right w:val="none" w:sz="0" w:space="0" w:color="auto"/>
      </w:divBdr>
    </w:div>
    <w:div w:id="1638607947">
      <w:bodyDiv w:val="1"/>
      <w:marLeft w:val="0"/>
      <w:marRight w:val="0"/>
      <w:marTop w:val="0"/>
      <w:marBottom w:val="0"/>
      <w:divBdr>
        <w:top w:val="none" w:sz="0" w:space="0" w:color="auto"/>
        <w:left w:val="none" w:sz="0" w:space="0" w:color="auto"/>
        <w:bottom w:val="none" w:sz="0" w:space="0" w:color="auto"/>
        <w:right w:val="none" w:sz="0" w:space="0" w:color="auto"/>
      </w:divBdr>
    </w:div>
    <w:div w:id="1780949053">
      <w:bodyDiv w:val="1"/>
      <w:marLeft w:val="0"/>
      <w:marRight w:val="0"/>
      <w:marTop w:val="0"/>
      <w:marBottom w:val="0"/>
      <w:divBdr>
        <w:top w:val="none" w:sz="0" w:space="0" w:color="auto"/>
        <w:left w:val="none" w:sz="0" w:space="0" w:color="auto"/>
        <w:bottom w:val="none" w:sz="0" w:space="0" w:color="auto"/>
        <w:right w:val="none" w:sz="0" w:space="0" w:color="auto"/>
      </w:divBdr>
    </w:div>
    <w:div w:id="1786539209">
      <w:bodyDiv w:val="1"/>
      <w:marLeft w:val="0"/>
      <w:marRight w:val="0"/>
      <w:marTop w:val="0"/>
      <w:marBottom w:val="0"/>
      <w:divBdr>
        <w:top w:val="none" w:sz="0" w:space="0" w:color="auto"/>
        <w:left w:val="none" w:sz="0" w:space="0" w:color="auto"/>
        <w:bottom w:val="none" w:sz="0" w:space="0" w:color="auto"/>
        <w:right w:val="none" w:sz="0" w:space="0" w:color="auto"/>
      </w:divBdr>
    </w:div>
    <w:div w:id="1822378994">
      <w:bodyDiv w:val="1"/>
      <w:marLeft w:val="0"/>
      <w:marRight w:val="0"/>
      <w:marTop w:val="0"/>
      <w:marBottom w:val="0"/>
      <w:divBdr>
        <w:top w:val="none" w:sz="0" w:space="0" w:color="auto"/>
        <w:left w:val="none" w:sz="0" w:space="0" w:color="auto"/>
        <w:bottom w:val="none" w:sz="0" w:space="0" w:color="auto"/>
        <w:right w:val="none" w:sz="0" w:space="0" w:color="auto"/>
      </w:divBdr>
    </w:div>
    <w:div w:id="1831827943">
      <w:bodyDiv w:val="1"/>
      <w:marLeft w:val="0"/>
      <w:marRight w:val="0"/>
      <w:marTop w:val="0"/>
      <w:marBottom w:val="0"/>
      <w:divBdr>
        <w:top w:val="none" w:sz="0" w:space="0" w:color="auto"/>
        <w:left w:val="none" w:sz="0" w:space="0" w:color="auto"/>
        <w:bottom w:val="none" w:sz="0" w:space="0" w:color="auto"/>
        <w:right w:val="none" w:sz="0" w:space="0" w:color="auto"/>
      </w:divBdr>
    </w:div>
    <w:div w:id="1902250291">
      <w:bodyDiv w:val="1"/>
      <w:marLeft w:val="0"/>
      <w:marRight w:val="0"/>
      <w:marTop w:val="0"/>
      <w:marBottom w:val="0"/>
      <w:divBdr>
        <w:top w:val="none" w:sz="0" w:space="0" w:color="auto"/>
        <w:left w:val="none" w:sz="0" w:space="0" w:color="auto"/>
        <w:bottom w:val="none" w:sz="0" w:space="0" w:color="auto"/>
        <w:right w:val="none" w:sz="0" w:space="0" w:color="auto"/>
      </w:divBdr>
    </w:div>
    <w:div w:id="2024434358">
      <w:bodyDiv w:val="1"/>
      <w:marLeft w:val="0"/>
      <w:marRight w:val="0"/>
      <w:marTop w:val="0"/>
      <w:marBottom w:val="0"/>
      <w:divBdr>
        <w:top w:val="none" w:sz="0" w:space="0" w:color="auto"/>
        <w:left w:val="none" w:sz="0" w:space="0" w:color="auto"/>
        <w:bottom w:val="none" w:sz="0" w:space="0" w:color="auto"/>
        <w:right w:val="none" w:sz="0" w:space="0" w:color="auto"/>
      </w:divBdr>
    </w:div>
    <w:div w:id="21068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794F-D8B3-4893-8EE5-89B2EC9E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9291</Words>
  <Characters>55246</Characters>
  <Application>Microsoft Office Word</Application>
  <DocSecurity>0</DocSecurity>
  <Lines>460</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2017-02-13T22:31:00Z</dcterms:created>
  <dcterms:modified xsi:type="dcterms:W3CDTF">2017-02-17T00:01:00Z</dcterms:modified>
</cp:coreProperties>
</file>