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D2" w:rsidRPr="00842E44" w:rsidRDefault="00950FD2" w:rsidP="00486F31">
      <w:pPr>
        <w:pStyle w:val="Heading1"/>
        <w:spacing w:before="0" w:after="0"/>
        <w:ind w:left="720" w:hanging="720"/>
        <w:jc w:val="left"/>
        <w:rPr>
          <w:rFonts w:ascii="Arial" w:hAnsi="Arial" w:cs="Arial"/>
          <w:i w:val="0"/>
          <w:caps w:val="0"/>
          <w:sz w:val="28"/>
        </w:rPr>
      </w:pPr>
      <w:bookmarkStart w:id="0" w:name="_Toc392858189"/>
      <w:bookmarkStart w:id="1" w:name="_Toc431891720"/>
      <w:bookmarkStart w:id="2" w:name="_Toc236559503"/>
      <w:bookmarkStart w:id="3" w:name="_Toc276476854"/>
      <w:bookmarkStart w:id="4" w:name="_Toc276479890"/>
      <w:bookmarkStart w:id="5" w:name="_Toc276741787"/>
      <w:bookmarkStart w:id="6" w:name="_Toc277608304"/>
      <w:bookmarkStart w:id="7" w:name="_Toc277611869"/>
      <w:r>
        <w:rPr>
          <w:rFonts w:ascii="Arial" w:hAnsi="Arial" w:cs="Arial"/>
          <w:i w:val="0"/>
          <w:sz w:val="28"/>
        </w:rPr>
        <w:t>6.05</w:t>
      </w:r>
      <w:r w:rsidR="00882E48">
        <w:rPr>
          <w:rFonts w:ascii="Arial" w:hAnsi="Arial" w:cs="Arial"/>
          <w:i w:val="0"/>
          <w:sz w:val="28"/>
        </w:rPr>
        <w:tab/>
      </w:r>
      <w:r>
        <w:rPr>
          <w:rFonts w:ascii="Arial" w:hAnsi="Arial" w:cs="Arial"/>
          <w:i w:val="0"/>
          <w:sz w:val="28"/>
        </w:rPr>
        <w:t>PEMBROLIZUMAB</w:t>
      </w:r>
      <w:proofErr w:type="gramStart"/>
      <w:r w:rsidRPr="0042747D">
        <w:rPr>
          <w:rFonts w:ascii="Arial" w:hAnsi="Arial" w:cs="Arial"/>
          <w:i w:val="0"/>
          <w:sz w:val="28"/>
        </w:rPr>
        <w:t>,</w:t>
      </w:r>
      <w:proofErr w:type="gramEnd"/>
      <w:r w:rsidR="00842E44">
        <w:rPr>
          <w:rFonts w:ascii="Arial" w:hAnsi="Arial" w:cs="Arial"/>
          <w:i w:val="0"/>
          <w:caps w:val="0"/>
          <w:sz w:val="28"/>
        </w:rPr>
        <w:br/>
      </w:r>
      <w:r>
        <w:rPr>
          <w:rFonts w:ascii="Arial" w:hAnsi="Arial" w:cs="Arial"/>
          <w:i w:val="0"/>
          <w:caps w:val="0"/>
          <w:sz w:val="28"/>
        </w:rPr>
        <w:t>Powder for injection 50</w:t>
      </w:r>
      <w:r w:rsidR="00F841F2">
        <w:rPr>
          <w:rFonts w:ascii="Arial" w:hAnsi="Arial" w:cs="Arial"/>
          <w:i w:val="0"/>
          <w:caps w:val="0"/>
          <w:sz w:val="28"/>
        </w:rPr>
        <w:t> </w:t>
      </w:r>
      <w:r>
        <w:rPr>
          <w:rFonts w:ascii="Arial" w:hAnsi="Arial" w:cs="Arial"/>
          <w:i w:val="0"/>
          <w:caps w:val="0"/>
          <w:sz w:val="28"/>
        </w:rPr>
        <w:t>mg</w:t>
      </w:r>
      <w:r w:rsidR="00613273">
        <w:rPr>
          <w:rFonts w:ascii="Arial" w:hAnsi="Arial" w:cs="Arial"/>
          <w:i w:val="0"/>
          <w:caps w:val="0"/>
          <w:sz w:val="28"/>
        </w:rPr>
        <w:t>, 1 vial</w:t>
      </w:r>
      <w:r w:rsidRPr="0042747D">
        <w:rPr>
          <w:rFonts w:ascii="Arial" w:hAnsi="Arial" w:cs="Arial"/>
          <w:i w:val="0"/>
          <w:caps w:val="0"/>
          <w:sz w:val="28"/>
        </w:rPr>
        <w:br/>
      </w:r>
      <w:proofErr w:type="spellStart"/>
      <w:r w:rsidR="00613273">
        <w:rPr>
          <w:rFonts w:ascii="Arial" w:hAnsi="Arial" w:cs="Arial"/>
          <w:i w:val="0"/>
          <w:sz w:val="28"/>
        </w:rPr>
        <w:t>K</w:t>
      </w:r>
      <w:r w:rsidR="00143E6D" w:rsidRPr="00143E6D">
        <w:rPr>
          <w:rFonts w:ascii="Arial" w:hAnsi="Arial" w:cs="Arial"/>
          <w:i w:val="0"/>
          <w:caps w:val="0"/>
          <w:sz w:val="28"/>
        </w:rPr>
        <w:t>eytruda</w:t>
      </w:r>
      <w:proofErr w:type="spellEnd"/>
      <w:r w:rsidRPr="0042747D">
        <w:rPr>
          <w:rFonts w:ascii="Arial" w:hAnsi="Arial" w:cs="Arial"/>
          <w:i w:val="0"/>
          <w:caps w:val="0"/>
          <w:sz w:val="28"/>
          <w:vertAlign w:val="superscript"/>
        </w:rPr>
        <w:t>®</w:t>
      </w:r>
      <w:r w:rsidRPr="0042747D">
        <w:rPr>
          <w:rFonts w:ascii="Arial" w:hAnsi="Arial" w:cs="Arial"/>
          <w:i w:val="0"/>
          <w:sz w:val="28"/>
        </w:rPr>
        <w:t xml:space="preserve">, </w:t>
      </w:r>
      <w:r w:rsidRPr="0042747D">
        <w:rPr>
          <w:rFonts w:ascii="Arial" w:hAnsi="Arial" w:cs="Arial"/>
          <w:i w:val="0"/>
          <w:sz w:val="28"/>
        </w:rPr>
        <w:br/>
      </w:r>
      <w:r w:rsidR="00613273" w:rsidRPr="00613273">
        <w:rPr>
          <w:rFonts w:ascii="Arial" w:hAnsi="Arial" w:cs="Arial"/>
          <w:i w:val="0"/>
          <w:caps w:val="0"/>
          <w:sz w:val="28"/>
        </w:rPr>
        <w:t xml:space="preserve">Merck Sharp &amp; Dohme (AU) </w:t>
      </w:r>
      <w:r w:rsidRPr="0042747D">
        <w:rPr>
          <w:rFonts w:ascii="Arial" w:hAnsi="Arial" w:cs="Arial"/>
          <w:i w:val="0"/>
          <w:caps w:val="0"/>
          <w:sz w:val="28"/>
        </w:rPr>
        <w:t>Pty Ltd</w:t>
      </w:r>
      <w:r w:rsidR="00365DD9">
        <w:rPr>
          <w:rFonts w:ascii="Arial" w:hAnsi="Arial" w:cs="Arial"/>
          <w:i w:val="0"/>
          <w:caps w:val="0"/>
          <w:sz w:val="28"/>
        </w:rPr>
        <w:t>.</w:t>
      </w:r>
    </w:p>
    <w:p w:rsidR="004F7866" w:rsidRPr="00882E48" w:rsidRDefault="004F7866" w:rsidP="00882E48">
      <w:pPr>
        <w:rPr>
          <w:rFonts w:ascii="Arial" w:hAnsi="Arial" w:cs="Arial"/>
          <w:sz w:val="22"/>
          <w:szCs w:val="22"/>
        </w:rPr>
      </w:pPr>
    </w:p>
    <w:p w:rsidR="00F841F2" w:rsidRPr="00F841F2" w:rsidRDefault="00F841F2" w:rsidP="00F841F2">
      <w:pPr>
        <w:rPr>
          <w:rFonts w:ascii="Arial" w:hAnsi="Arial" w:cs="Arial"/>
          <w:sz w:val="22"/>
          <w:szCs w:val="22"/>
        </w:rPr>
      </w:pPr>
    </w:p>
    <w:p w:rsidR="0095055D" w:rsidRPr="00384D39" w:rsidRDefault="0095055D" w:rsidP="009C3A29">
      <w:pPr>
        <w:pStyle w:val="PBACHeading10"/>
        <w:numPr>
          <w:ilvl w:val="0"/>
          <w:numId w:val="4"/>
        </w:numPr>
        <w:outlineLvl w:val="0"/>
      </w:pPr>
      <w:r w:rsidRPr="00384D39">
        <w:t xml:space="preserve">Purpose of </w:t>
      </w:r>
      <w:bookmarkEnd w:id="0"/>
      <w:r w:rsidRPr="00384D39">
        <w:t>submission</w:t>
      </w:r>
    </w:p>
    <w:p w:rsidR="0095055D" w:rsidRPr="00384D39" w:rsidRDefault="0095055D" w:rsidP="00A36DD4">
      <w:pPr>
        <w:rPr>
          <w:rFonts w:ascii="Arial" w:hAnsi="Arial" w:cs="Arial"/>
          <w:sz w:val="22"/>
          <w:szCs w:val="22"/>
        </w:rPr>
      </w:pPr>
    </w:p>
    <w:p w:rsidR="0095055D" w:rsidRPr="00384D39" w:rsidRDefault="0095055D" w:rsidP="009C3A29">
      <w:pPr>
        <w:pStyle w:val="ListParagraph"/>
        <w:numPr>
          <w:ilvl w:val="1"/>
          <w:numId w:val="3"/>
        </w:numPr>
        <w:ind w:left="709"/>
        <w:rPr>
          <w:rFonts w:ascii="Arial" w:hAnsi="Arial" w:cs="Arial"/>
          <w:sz w:val="22"/>
          <w:szCs w:val="22"/>
        </w:rPr>
      </w:pPr>
      <w:r w:rsidRPr="00384D39">
        <w:rPr>
          <w:rFonts w:ascii="Arial" w:hAnsi="Arial" w:cs="Arial"/>
          <w:sz w:val="22"/>
          <w:szCs w:val="22"/>
        </w:rPr>
        <w:t xml:space="preserve">The submission requested a Section 100 (Efficient Funding of Chemotherapy) Authority Required listing for the treatment of locally advanced or metastatic </w:t>
      </w:r>
      <w:r w:rsidR="006E2940">
        <w:rPr>
          <w:rFonts w:ascii="Arial" w:hAnsi="Arial" w:cs="Arial"/>
          <w:sz w:val="22"/>
          <w:szCs w:val="22"/>
        </w:rPr>
        <w:t>non-small cell lung cancer (</w:t>
      </w:r>
      <w:r w:rsidRPr="00384D39">
        <w:rPr>
          <w:rFonts w:ascii="Arial" w:hAnsi="Arial" w:cs="Arial"/>
          <w:sz w:val="22"/>
          <w:szCs w:val="22"/>
        </w:rPr>
        <w:t>NSCLC</w:t>
      </w:r>
      <w:r w:rsidR="006E2940">
        <w:rPr>
          <w:rFonts w:ascii="Arial" w:hAnsi="Arial" w:cs="Arial"/>
          <w:sz w:val="22"/>
          <w:szCs w:val="22"/>
        </w:rPr>
        <w:t>)</w:t>
      </w:r>
      <w:r w:rsidRPr="00384D39">
        <w:rPr>
          <w:rFonts w:ascii="Arial" w:hAnsi="Arial" w:cs="Arial"/>
          <w:sz w:val="22"/>
          <w:szCs w:val="22"/>
        </w:rPr>
        <w:t xml:space="preserve"> in patients who have evidence of high expression of </w:t>
      </w:r>
      <w:r w:rsidR="006E2940">
        <w:rPr>
          <w:rFonts w:ascii="Arial" w:hAnsi="Arial" w:cs="Arial"/>
          <w:sz w:val="22"/>
          <w:szCs w:val="22"/>
        </w:rPr>
        <w:t>programmed death ligand 1 (</w:t>
      </w:r>
      <w:r w:rsidRPr="00384D39">
        <w:rPr>
          <w:rFonts w:ascii="Arial" w:hAnsi="Arial" w:cs="Arial"/>
          <w:sz w:val="22"/>
          <w:szCs w:val="22"/>
        </w:rPr>
        <w:t>PD-L1</w:t>
      </w:r>
      <w:r w:rsidR="006E2940">
        <w:rPr>
          <w:rFonts w:ascii="Arial" w:hAnsi="Arial" w:cs="Arial"/>
          <w:sz w:val="22"/>
          <w:szCs w:val="22"/>
        </w:rPr>
        <w:t>)</w:t>
      </w:r>
      <w:r w:rsidRPr="00384D39">
        <w:rPr>
          <w:rFonts w:ascii="Arial" w:hAnsi="Arial" w:cs="Arial"/>
          <w:sz w:val="22"/>
          <w:szCs w:val="22"/>
        </w:rPr>
        <w:t>, defined as a</w:t>
      </w:r>
      <w:r w:rsidR="00842E44">
        <w:rPr>
          <w:rFonts w:ascii="Arial" w:hAnsi="Arial" w:cs="Arial"/>
          <w:sz w:val="22"/>
          <w:szCs w:val="22"/>
        </w:rPr>
        <w:t xml:space="preserve"> tumour proportion score</w:t>
      </w:r>
      <w:r w:rsidRPr="00384D39">
        <w:rPr>
          <w:rFonts w:ascii="Arial" w:hAnsi="Arial" w:cs="Arial"/>
          <w:sz w:val="22"/>
          <w:szCs w:val="22"/>
        </w:rPr>
        <w:t xml:space="preserve"> </w:t>
      </w:r>
      <w:r w:rsidR="00842E44">
        <w:rPr>
          <w:rFonts w:ascii="Arial" w:hAnsi="Arial" w:cs="Arial"/>
          <w:sz w:val="22"/>
          <w:szCs w:val="22"/>
        </w:rPr>
        <w:t>(</w:t>
      </w:r>
      <w:r w:rsidRPr="00384D39">
        <w:rPr>
          <w:rFonts w:ascii="Arial" w:hAnsi="Arial" w:cs="Arial"/>
          <w:sz w:val="22"/>
          <w:szCs w:val="22"/>
        </w:rPr>
        <w:t>TPS</w:t>
      </w:r>
      <w:r w:rsidR="00842E44">
        <w:rPr>
          <w:rFonts w:ascii="Arial" w:hAnsi="Arial" w:cs="Arial"/>
          <w:sz w:val="22"/>
          <w:szCs w:val="22"/>
        </w:rPr>
        <w:t>)</w:t>
      </w:r>
      <w:r w:rsidRPr="00384D39">
        <w:rPr>
          <w:rFonts w:ascii="Arial" w:hAnsi="Arial" w:cs="Arial"/>
          <w:sz w:val="22"/>
          <w:szCs w:val="22"/>
        </w:rPr>
        <w:t xml:space="preserve"> ≥50%.</w:t>
      </w:r>
      <w:bookmarkStart w:id="8" w:name="_GoBack"/>
      <w:bookmarkEnd w:id="8"/>
    </w:p>
    <w:p w:rsidR="0095055D" w:rsidRDefault="0095055D" w:rsidP="00C565A6">
      <w:pPr>
        <w:pStyle w:val="ListParagraph"/>
        <w:ind w:left="0" w:firstLine="0"/>
        <w:rPr>
          <w:rFonts w:ascii="Arial" w:hAnsi="Arial" w:cs="Arial"/>
          <w:sz w:val="22"/>
          <w:szCs w:val="22"/>
        </w:rPr>
      </w:pPr>
    </w:p>
    <w:p w:rsidR="00F841F2" w:rsidRPr="00F841F2" w:rsidRDefault="00F841F2" w:rsidP="00C565A6">
      <w:pPr>
        <w:pStyle w:val="ListParagraph"/>
        <w:ind w:left="0" w:firstLine="0"/>
        <w:rPr>
          <w:rFonts w:ascii="Arial" w:hAnsi="Arial" w:cs="Arial"/>
          <w:sz w:val="22"/>
          <w:szCs w:val="22"/>
        </w:rPr>
      </w:pPr>
    </w:p>
    <w:bookmarkEnd w:id="1"/>
    <w:p w:rsidR="0095055D" w:rsidRDefault="0095055D" w:rsidP="009C3A29">
      <w:pPr>
        <w:pStyle w:val="PBACHeading10"/>
        <w:numPr>
          <w:ilvl w:val="0"/>
          <w:numId w:val="4"/>
        </w:numPr>
        <w:outlineLvl w:val="0"/>
      </w:pPr>
      <w:r w:rsidRPr="00BC236F">
        <w:t>Requested listing</w:t>
      </w:r>
    </w:p>
    <w:p w:rsidR="00F079EE" w:rsidRPr="00F841F2" w:rsidRDefault="00F079EE" w:rsidP="00F841F2">
      <w:pPr>
        <w:pStyle w:val="PBACHeading10"/>
        <w:rPr>
          <w:b w:val="0"/>
        </w:rPr>
      </w:pPr>
    </w:p>
    <w:p w:rsidR="0095055D" w:rsidRPr="00384D39" w:rsidRDefault="0095055D" w:rsidP="009C3A29">
      <w:pPr>
        <w:numPr>
          <w:ilvl w:val="1"/>
          <w:numId w:val="3"/>
        </w:numPr>
        <w:ind w:left="709" w:hanging="709"/>
        <w:contextualSpacing/>
        <w:rPr>
          <w:rFonts w:ascii="Arial" w:hAnsi="Arial" w:cs="Arial"/>
          <w:sz w:val="22"/>
        </w:rPr>
      </w:pPr>
      <w:bookmarkStart w:id="9" w:name="_Toc431891721"/>
      <w:r w:rsidRPr="00384D39">
        <w:rPr>
          <w:rFonts w:ascii="Arial" w:hAnsi="Arial" w:cs="Arial"/>
          <w:sz w:val="22"/>
        </w:rPr>
        <w:t>The requested PBS listing is shown below. The requested listing is for patients who have evidence of high PD-L1 expression (TPS ≥</w:t>
      </w:r>
      <w:r w:rsidR="00C565A6" w:rsidRPr="00384D39">
        <w:rPr>
          <w:rFonts w:ascii="Arial" w:hAnsi="Arial" w:cs="Arial"/>
          <w:sz w:val="22"/>
        </w:rPr>
        <w:t>50%).</w:t>
      </w:r>
    </w:p>
    <w:p w:rsidR="0095055D" w:rsidRPr="007629BE" w:rsidRDefault="0095055D" w:rsidP="007629BE">
      <w:pPr>
        <w:rPr>
          <w:rFonts w:ascii="Arial" w:hAnsi="Arial" w:cs="Arial"/>
          <w:sz w:val="22"/>
          <w:szCs w:val="22"/>
        </w:rPr>
      </w:pPr>
    </w:p>
    <w:tbl>
      <w:tblPr>
        <w:tblW w:w="4524" w:type="pct"/>
        <w:tblInd w:w="817" w:type="dxa"/>
        <w:tblLayout w:type="fixed"/>
        <w:tblCellMar>
          <w:left w:w="57" w:type="dxa"/>
          <w:right w:w="57" w:type="dxa"/>
        </w:tblCellMar>
        <w:tblLook w:val="0000" w:firstRow="0" w:lastRow="0" w:firstColumn="0" w:lastColumn="0" w:noHBand="0" w:noVBand="0"/>
      </w:tblPr>
      <w:tblGrid>
        <w:gridCol w:w="2070"/>
        <w:gridCol w:w="172"/>
        <w:gridCol w:w="698"/>
        <w:gridCol w:w="1118"/>
        <w:gridCol w:w="1682"/>
        <w:gridCol w:w="984"/>
        <w:gridCol w:w="1547"/>
      </w:tblGrid>
      <w:tr w:rsidR="00976942" w:rsidRPr="008942CB" w:rsidTr="008942CB">
        <w:trPr>
          <w:cantSplit/>
          <w:trHeight w:val="471"/>
        </w:trPr>
        <w:tc>
          <w:tcPr>
            <w:tcW w:w="1355" w:type="pct"/>
            <w:gridSpan w:val="2"/>
            <w:tcBorders>
              <w:bottom w:val="single" w:sz="4" w:space="0" w:color="auto"/>
            </w:tcBorders>
          </w:tcPr>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Name, Restriction,</w:t>
            </w:r>
          </w:p>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Manner of administration and form</w:t>
            </w:r>
          </w:p>
        </w:tc>
        <w:tc>
          <w:tcPr>
            <w:tcW w:w="422" w:type="pct"/>
            <w:tcBorders>
              <w:bottom w:val="single" w:sz="4" w:space="0" w:color="auto"/>
            </w:tcBorders>
          </w:tcPr>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Max.</w:t>
            </w:r>
          </w:p>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Qty</w:t>
            </w:r>
          </w:p>
        </w:tc>
        <w:tc>
          <w:tcPr>
            <w:tcW w:w="676" w:type="pct"/>
            <w:tcBorders>
              <w:bottom w:val="single" w:sz="4" w:space="0" w:color="auto"/>
            </w:tcBorders>
          </w:tcPr>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№.of</w:t>
            </w:r>
          </w:p>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Rpts</w:t>
            </w:r>
          </w:p>
        </w:tc>
        <w:tc>
          <w:tcPr>
            <w:tcW w:w="1017" w:type="pct"/>
            <w:tcBorders>
              <w:bottom w:val="single" w:sz="4" w:space="0" w:color="auto"/>
            </w:tcBorders>
          </w:tcPr>
          <w:p w:rsidR="0095055D" w:rsidRPr="008942CB" w:rsidRDefault="0095055D" w:rsidP="00A36DD4">
            <w:pPr>
              <w:keepNext/>
              <w:spacing w:before="40" w:after="40"/>
              <w:rPr>
                <w:rFonts w:ascii="Arial Narrow" w:hAnsi="Arial Narrow"/>
                <w:sz w:val="20"/>
                <w:szCs w:val="20"/>
              </w:rPr>
            </w:pPr>
            <w:r w:rsidRPr="008942CB">
              <w:rPr>
                <w:rFonts w:ascii="Arial Narrow" w:hAnsi="Arial Narrow"/>
                <w:sz w:val="20"/>
                <w:szCs w:val="20"/>
              </w:rPr>
              <w:t>Dispensed Price for Max. Qty</w:t>
            </w:r>
          </w:p>
        </w:tc>
        <w:tc>
          <w:tcPr>
            <w:tcW w:w="1529" w:type="pct"/>
            <w:gridSpan w:val="2"/>
            <w:tcBorders>
              <w:bottom w:val="single" w:sz="4" w:space="0" w:color="auto"/>
            </w:tcBorders>
          </w:tcPr>
          <w:p w:rsidR="0095055D" w:rsidRPr="008942CB" w:rsidRDefault="0095055D" w:rsidP="00A36DD4">
            <w:pPr>
              <w:keepNext/>
              <w:spacing w:before="40" w:after="40"/>
              <w:jc w:val="left"/>
              <w:rPr>
                <w:rFonts w:ascii="Arial Narrow" w:hAnsi="Arial Narrow"/>
                <w:sz w:val="20"/>
                <w:szCs w:val="20"/>
                <w:lang w:val="fr-FR"/>
              </w:rPr>
            </w:pPr>
            <w:r w:rsidRPr="008942CB">
              <w:rPr>
                <w:rFonts w:ascii="Arial Narrow" w:hAnsi="Arial Narrow"/>
                <w:sz w:val="20"/>
                <w:szCs w:val="20"/>
              </w:rPr>
              <w:t>Proprietary Name and Manufacturer</w:t>
            </w:r>
          </w:p>
        </w:tc>
      </w:tr>
      <w:tr w:rsidR="00976942" w:rsidRPr="008942CB" w:rsidTr="008942CB">
        <w:trPr>
          <w:cantSplit/>
          <w:trHeight w:val="389"/>
        </w:trPr>
        <w:tc>
          <w:tcPr>
            <w:tcW w:w="1355" w:type="pct"/>
            <w:gridSpan w:val="2"/>
          </w:tcPr>
          <w:p w:rsidR="0095055D" w:rsidRPr="008942CB" w:rsidRDefault="0095055D" w:rsidP="00A36DD4">
            <w:pPr>
              <w:keepNext/>
              <w:spacing w:before="40" w:after="40"/>
              <w:ind w:right="-57"/>
              <w:rPr>
                <w:rFonts w:ascii="Arial Narrow" w:hAnsi="Arial Narrow"/>
                <w:sz w:val="20"/>
                <w:szCs w:val="20"/>
              </w:rPr>
            </w:pPr>
            <w:r w:rsidRPr="008942CB">
              <w:rPr>
                <w:rFonts w:ascii="Arial Narrow" w:hAnsi="Arial Narrow"/>
                <w:sz w:val="20"/>
                <w:szCs w:val="20"/>
              </w:rPr>
              <w:t>PEMBROLIZUMAB</w:t>
            </w:r>
          </w:p>
          <w:p w:rsidR="0095055D" w:rsidRPr="008942CB" w:rsidRDefault="0095055D" w:rsidP="00A36DD4">
            <w:pPr>
              <w:keepNext/>
              <w:spacing w:before="40" w:after="40"/>
              <w:ind w:right="-57"/>
              <w:rPr>
                <w:rFonts w:ascii="Arial Narrow" w:hAnsi="Arial Narrow"/>
                <w:sz w:val="20"/>
                <w:szCs w:val="20"/>
              </w:rPr>
            </w:pPr>
            <w:r w:rsidRPr="008942CB">
              <w:rPr>
                <w:rFonts w:ascii="Arial Narrow" w:hAnsi="Arial Narrow"/>
                <w:sz w:val="20"/>
                <w:szCs w:val="20"/>
              </w:rPr>
              <w:t>50</w:t>
            </w:r>
            <w:r w:rsidR="00C565A6" w:rsidRPr="008942CB">
              <w:rPr>
                <w:rFonts w:ascii="Arial Narrow" w:hAnsi="Arial Narrow"/>
                <w:sz w:val="20"/>
                <w:szCs w:val="20"/>
              </w:rPr>
              <w:t> </w:t>
            </w:r>
            <w:r w:rsidRPr="008942CB">
              <w:rPr>
                <w:rFonts w:ascii="Arial Narrow" w:hAnsi="Arial Narrow"/>
                <w:sz w:val="20"/>
                <w:szCs w:val="20"/>
              </w:rPr>
              <w:t>mg injection: powder for, 1 vial</w:t>
            </w:r>
          </w:p>
        </w:tc>
        <w:tc>
          <w:tcPr>
            <w:tcW w:w="422" w:type="pct"/>
          </w:tcPr>
          <w:p w:rsidR="0095055D" w:rsidRPr="008942CB" w:rsidRDefault="0095055D" w:rsidP="00A36DD4">
            <w:pPr>
              <w:keepNext/>
              <w:spacing w:before="40" w:after="40"/>
              <w:ind w:right="-57"/>
              <w:rPr>
                <w:rFonts w:ascii="Arial Narrow" w:hAnsi="Arial Narrow"/>
                <w:sz w:val="20"/>
                <w:szCs w:val="20"/>
              </w:rPr>
            </w:pPr>
            <w:r w:rsidRPr="008942CB">
              <w:rPr>
                <w:rFonts w:ascii="Arial Narrow" w:hAnsi="Arial Narrow"/>
                <w:sz w:val="20"/>
                <w:szCs w:val="20"/>
              </w:rPr>
              <w:t>240</w:t>
            </w:r>
            <w:r w:rsidR="00C565A6" w:rsidRPr="008942CB">
              <w:rPr>
                <w:rFonts w:ascii="Arial Narrow" w:hAnsi="Arial Narrow"/>
                <w:sz w:val="20"/>
                <w:szCs w:val="20"/>
              </w:rPr>
              <w:t> </w:t>
            </w:r>
            <w:r w:rsidRPr="008942CB">
              <w:rPr>
                <w:rFonts w:ascii="Arial Narrow" w:hAnsi="Arial Narrow"/>
                <w:sz w:val="20"/>
                <w:szCs w:val="20"/>
              </w:rPr>
              <w:t>mg</w:t>
            </w:r>
          </w:p>
        </w:tc>
        <w:tc>
          <w:tcPr>
            <w:tcW w:w="676" w:type="pct"/>
          </w:tcPr>
          <w:p w:rsidR="00CE123C" w:rsidRPr="008942CB" w:rsidRDefault="0095055D" w:rsidP="00A36DD4">
            <w:pPr>
              <w:keepNext/>
              <w:spacing w:before="40" w:after="40"/>
              <w:ind w:right="-57"/>
              <w:rPr>
                <w:rFonts w:ascii="Arial Narrow" w:hAnsi="Arial Narrow"/>
                <w:sz w:val="20"/>
                <w:szCs w:val="20"/>
              </w:rPr>
            </w:pPr>
            <w:r w:rsidRPr="008942CB">
              <w:rPr>
                <w:rFonts w:ascii="Arial Narrow" w:hAnsi="Arial Narrow"/>
                <w:sz w:val="20"/>
                <w:szCs w:val="20"/>
              </w:rPr>
              <w:t>5</w:t>
            </w:r>
            <w:r w:rsidR="00CE123C" w:rsidRPr="008942CB">
              <w:rPr>
                <w:rFonts w:ascii="Arial Narrow" w:hAnsi="Arial Narrow"/>
                <w:sz w:val="20"/>
                <w:szCs w:val="20"/>
              </w:rPr>
              <w:t xml:space="preserve"> (initial)</w:t>
            </w:r>
          </w:p>
          <w:p w:rsidR="00CE123C" w:rsidRPr="008942CB" w:rsidRDefault="00CE123C" w:rsidP="00A36DD4">
            <w:pPr>
              <w:keepNext/>
              <w:spacing w:before="40" w:after="40"/>
              <w:ind w:right="-57"/>
              <w:rPr>
                <w:rFonts w:ascii="Arial Narrow" w:hAnsi="Arial Narrow"/>
                <w:sz w:val="20"/>
                <w:szCs w:val="20"/>
              </w:rPr>
            </w:pPr>
            <w:r w:rsidRPr="008942CB">
              <w:rPr>
                <w:rFonts w:ascii="Arial Narrow" w:hAnsi="Arial Narrow"/>
                <w:sz w:val="20"/>
                <w:szCs w:val="20"/>
              </w:rPr>
              <w:t>7 (continuing)</w:t>
            </w:r>
          </w:p>
        </w:tc>
        <w:tc>
          <w:tcPr>
            <w:tcW w:w="1017" w:type="pct"/>
          </w:tcPr>
          <w:p w:rsidR="0095055D" w:rsidRPr="008942CB" w:rsidRDefault="0095055D" w:rsidP="00A36DD4">
            <w:pPr>
              <w:keepNext/>
              <w:spacing w:before="40" w:after="40"/>
              <w:ind w:right="-57"/>
              <w:rPr>
                <w:rFonts w:ascii="Arial Narrow" w:hAnsi="Arial Narrow"/>
                <w:i/>
                <w:sz w:val="20"/>
                <w:szCs w:val="20"/>
              </w:rPr>
            </w:pPr>
            <w:r w:rsidRPr="008942CB">
              <w:rPr>
                <w:rFonts w:ascii="Arial Narrow" w:hAnsi="Arial Narrow"/>
                <w:sz w:val="20"/>
                <w:szCs w:val="20"/>
              </w:rPr>
              <w:t>$</w:t>
            </w:r>
            <w:r w:rsidR="00153EAE">
              <w:rPr>
                <w:rFonts w:ascii="Arial Narrow" w:hAnsi="Arial Narrow"/>
                <w:noProof/>
                <w:color w:val="000000"/>
                <w:sz w:val="20"/>
                <w:szCs w:val="20"/>
                <w:highlight w:val="black"/>
              </w:rPr>
              <w:t>'''''''''''''''''''''''''</w:t>
            </w:r>
            <w:r w:rsidRPr="008942CB">
              <w:rPr>
                <w:rFonts w:ascii="Arial Narrow" w:hAnsi="Arial Narrow"/>
                <w:sz w:val="20"/>
                <w:szCs w:val="20"/>
              </w:rPr>
              <w:t xml:space="preserve"> (private)</w:t>
            </w:r>
          </w:p>
          <w:p w:rsidR="0095055D" w:rsidRPr="008942CB" w:rsidRDefault="0095055D" w:rsidP="00A36DD4">
            <w:pPr>
              <w:keepNext/>
              <w:spacing w:before="40" w:after="40"/>
              <w:ind w:right="-57"/>
              <w:rPr>
                <w:rFonts w:ascii="Arial Narrow" w:hAnsi="Arial Narrow"/>
                <w:i/>
                <w:sz w:val="20"/>
                <w:szCs w:val="20"/>
              </w:rPr>
            </w:pPr>
            <w:r w:rsidRPr="008942CB">
              <w:rPr>
                <w:rFonts w:ascii="Arial Narrow" w:hAnsi="Arial Narrow"/>
                <w:sz w:val="20"/>
                <w:szCs w:val="20"/>
              </w:rPr>
              <w:t>$</w:t>
            </w:r>
            <w:r w:rsidR="00153EAE">
              <w:rPr>
                <w:rFonts w:ascii="Arial Narrow" w:hAnsi="Arial Narrow"/>
                <w:noProof/>
                <w:color w:val="000000"/>
                <w:sz w:val="20"/>
                <w:szCs w:val="20"/>
                <w:highlight w:val="black"/>
              </w:rPr>
              <w:t>''''''''''''''''''''''</w:t>
            </w:r>
            <w:r w:rsidRPr="008942CB">
              <w:rPr>
                <w:rFonts w:ascii="Arial Narrow" w:hAnsi="Arial Narrow"/>
                <w:sz w:val="20"/>
                <w:szCs w:val="20"/>
              </w:rPr>
              <w:t xml:space="preserve"> (public)</w:t>
            </w:r>
          </w:p>
        </w:tc>
        <w:tc>
          <w:tcPr>
            <w:tcW w:w="595" w:type="pct"/>
          </w:tcPr>
          <w:p w:rsidR="0095055D" w:rsidRPr="008942CB" w:rsidRDefault="0095055D" w:rsidP="00A36DD4">
            <w:pPr>
              <w:keepNext/>
              <w:spacing w:before="40" w:after="40"/>
              <w:ind w:right="-57"/>
              <w:rPr>
                <w:rFonts w:ascii="Arial Narrow" w:hAnsi="Arial Narrow"/>
                <w:sz w:val="20"/>
                <w:szCs w:val="20"/>
              </w:rPr>
            </w:pPr>
            <w:proofErr w:type="spellStart"/>
            <w:r w:rsidRPr="008942CB">
              <w:rPr>
                <w:rFonts w:ascii="Arial Narrow" w:hAnsi="Arial Narrow"/>
                <w:sz w:val="20"/>
                <w:szCs w:val="20"/>
              </w:rPr>
              <w:t>Keytruda</w:t>
            </w:r>
            <w:proofErr w:type="spellEnd"/>
            <w:r w:rsidRPr="008942CB">
              <w:rPr>
                <w:rFonts w:ascii="Arial Narrow" w:hAnsi="Arial Narrow"/>
                <w:sz w:val="20"/>
                <w:szCs w:val="20"/>
                <w:vertAlign w:val="superscript"/>
              </w:rPr>
              <w:t>®</w:t>
            </w:r>
          </w:p>
        </w:tc>
        <w:tc>
          <w:tcPr>
            <w:tcW w:w="934" w:type="pct"/>
          </w:tcPr>
          <w:p w:rsidR="0095055D" w:rsidRPr="008942CB" w:rsidRDefault="00CE123C" w:rsidP="00A36DD4">
            <w:pPr>
              <w:keepNext/>
              <w:spacing w:before="40" w:after="40"/>
              <w:ind w:right="-57"/>
              <w:rPr>
                <w:rFonts w:ascii="Arial Narrow" w:hAnsi="Arial Narrow"/>
                <w:sz w:val="20"/>
                <w:szCs w:val="20"/>
              </w:rPr>
            </w:pPr>
            <w:r w:rsidRPr="008942CB">
              <w:rPr>
                <w:rFonts w:ascii="Arial Narrow" w:hAnsi="Arial Narrow"/>
                <w:sz w:val="20"/>
                <w:szCs w:val="20"/>
              </w:rPr>
              <w:t xml:space="preserve">Merck Sharp &amp; </w:t>
            </w:r>
            <w:r w:rsidR="0095055D" w:rsidRPr="008942CB">
              <w:rPr>
                <w:rFonts w:ascii="Arial Narrow" w:hAnsi="Arial Narrow"/>
                <w:sz w:val="20"/>
                <w:szCs w:val="20"/>
              </w:rPr>
              <w:t>Dohme (AU) Pty Ltd</w:t>
            </w:r>
          </w:p>
        </w:tc>
      </w:tr>
      <w:tr w:rsidR="0095055D" w:rsidRPr="008942CB" w:rsidTr="008942CB">
        <w:trPr>
          <w:cantSplit/>
        </w:trPr>
        <w:tc>
          <w:tcPr>
            <w:tcW w:w="5000" w:type="pct"/>
            <w:gridSpan w:val="7"/>
          </w:tcPr>
          <w:p w:rsidR="0095055D" w:rsidRPr="008942CB" w:rsidRDefault="0095055D" w:rsidP="00A36DD4">
            <w:pPr>
              <w:keepNext/>
              <w:spacing w:before="40" w:after="40"/>
              <w:rPr>
                <w:rFonts w:ascii="Arial Narrow" w:hAnsi="Arial Narrow"/>
                <w:b/>
                <w:sz w:val="20"/>
                <w:szCs w:val="20"/>
                <w:u w:val="single"/>
              </w:rPr>
            </w:pPr>
            <w:r w:rsidRPr="008942CB">
              <w:rPr>
                <w:rFonts w:ascii="Arial Narrow" w:hAnsi="Arial Narrow"/>
                <w:b/>
                <w:sz w:val="20"/>
                <w:szCs w:val="20"/>
                <w:u w:val="single"/>
              </w:rPr>
              <w:t>Treatment phase: initial treatment</w:t>
            </w:r>
          </w:p>
        </w:tc>
      </w:tr>
      <w:tr w:rsidR="0095055D" w:rsidRPr="008942CB" w:rsidTr="008942CB">
        <w:trPr>
          <w:cantSplit/>
          <w:trHeight w:val="275"/>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C565A6">
            <w:pPr>
              <w:spacing w:before="40" w:after="40"/>
              <w:rPr>
                <w:rFonts w:ascii="Arial Narrow" w:hAnsi="Arial Narrow"/>
                <w:b/>
                <w:sz w:val="20"/>
                <w:szCs w:val="20"/>
              </w:rPr>
            </w:pPr>
            <w:r w:rsidRPr="008942CB">
              <w:rPr>
                <w:rFonts w:ascii="Arial Narrow" w:hAnsi="Arial Narrow"/>
                <w:b/>
                <w:sz w:val="20"/>
                <w:szCs w:val="20"/>
              </w:rPr>
              <w:t xml:space="preserve">Category / </w:t>
            </w:r>
            <w:r w:rsidR="00C565A6" w:rsidRPr="008942CB">
              <w:rPr>
                <w:rFonts w:ascii="Arial Narrow" w:hAnsi="Arial Narrow"/>
                <w:b/>
                <w:sz w:val="20"/>
                <w:szCs w:val="20"/>
              </w:rPr>
              <w:t>p</w:t>
            </w:r>
            <w:r w:rsidRPr="008942CB">
              <w:rPr>
                <w:rFonts w:ascii="Arial Narrow" w:hAnsi="Arial Narrow"/>
                <w:b/>
                <w:sz w:val="20"/>
                <w:szCs w:val="20"/>
              </w:rPr>
              <w:t>rogram</w:t>
            </w:r>
            <w:r w:rsidR="00C565A6" w:rsidRPr="008942CB">
              <w:rPr>
                <w:rFonts w:ascii="Arial Narrow" w:hAnsi="Arial Narrow"/>
                <w:b/>
                <w:sz w:val="20"/>
                <w:szCs w:val="20"/>
              </w:rPr>
              <w:t>:</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Section 100 – Efficient funding of chemotherapy</w:t>
            </w:r>
          </w:p>
        </w:tc>
      </w:tr>
      <w:tr w:rsidR="0095055D" w:rsidRPr="008942CB" w:rsidTr="008942CB">
        <w:trPr>
          <w:cantSplit/>
          <w:trHeight w:val="360"/>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C565A6">
            <w:pPr>
              <w:spacing w:before="40" w:after="40"/>
              <w:rPr>
                <w:rFonts w:ascii="Arial Narrow" w:hAnsi="Arial Narrow"/>
                <w:b/>
                <w:sz w:val="20"/>
                <w:szCs w:val="20"/>
              </w:rPr>
            </w:pPr>
            <w:r w:rsidRPr="008942CB">
              <w:rPr>
                <w:rFonts w:ascii="Arial Narrow" w:hAnsi="Arial Narrow"/>
                <w:b/>
                <w:sz w:val="20"/>
                <w:szCs w:val="20"/>
              </w:rPr>
              <w:t>Prescriber type:</w:t>
            </w:r>
          </w:p>
        </w:tc>
        <w:tc>
          <w:tcPr>
            <w:tcW w:w="3749" w:type="pct"/>
            <w:gridSpan w:val="6"/>
            <w:tcBorders>
              <w:top w:val="single" w:sz="4" w:space="0" w:color="auto"/>
              <w:left w:val="single" w:sz="4" w:space="0" w:color="auto"/>
              <w:bottom w:val="single" w:sz="4" w:space="0" w:color="auto"/>
              <w:right w:val="single" w:sz="4" w:space="0" w:color="auto"/>
            </w:tcBorders>
          </w:tcPr>
          <w:p w:rsidR="008942CB" w:rsidRDefault="0095055D" w:rsidP="00E0744B">
            <w:pPr>
              <w:spacing w:before="40" w:after="40"/>
              <w:rPr>
                <w:rFonts w:ascii="Arial Narrow" w:hAnsi="Arial Narrow"/>
                <w:sz w:val="20"/>
                <w:szCs w:val="20"/>
              </w:rPr>
            </w:pPr>
            <w:r w:rsidRPr="008942CB">
              <w:rPr>
                <w:rFonts w:ascii="Arial Narrow" w:hAnsi="Arial Narrow"/>
                <w:sz w:val="20"/>
                <w:szCs w:val="20"/>
              </w:rPr>
              <w:fldChar w:fldCharType="begin">
                <w:ffData>
                  <w:name w:val="Check1"/>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 xml:space="preserve">Dental  </w:t>
            </w:r>
            <w:r w:rsidRPr="008942CB">
              <w:rPr>
                <w:rFonts w:ascii="Arial Narrow" w:hAnsi="Arial Narrow"/>
                <w:sz w:val="20"/>
                <w:szCs w:val="20"/>
              </w:rPr>
              <w:fldChar w:fldCharType="begin">
                <w:ffData>
                  <w:name w:val=""/>
                  <w:enabled/>
                  <w:calcOnExit w:val="0"/>
                  <w:checkBox>
                    <w:sizeAuto/>
                    <w:default w:val="1"/>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 xml:space="preserve">Medical Practitioners  </w:t>
            </w:r>
            <w:r w:rsidRPr="008942CB">
              <w:rPr>
                <w:rFonts w:ascii="Arial Narrow" w:hAnsi="Arial Narrow"/>
                <w:sz w:val="20"/>
                <w:szCs w:val="20"/>
              </w:rPr>
              <w:fldChar w:fldCharType="begin">
                <w:ffData>
                  <w:name w:val="Check3"/>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 xml:space="preserve">Nurse practitioners  </w:t>
            </w:r>
            <w:r w:rsidRPr="008942CB">
              <w:rPr>
                <w:rFonts w:ascii="Arial Narrow" w:hAnsi="Arial Narrow"/>
                <w:sz w:val="20"/>
                <w:szCs w:val="20"/>
              </w:rPr>
              <w:fldChar w:fldCharType="begin">
                <w:ffData>
                  <w:name w:val=""/>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Optometrists</w:t>
            </w:r>
            <w:r w:rsidR="008942CB">
              <w:rPr>
                <w:rFonts w:ascii="Arial Narrow" w:hAnsi="Arial Narrow"/>
                <w:sz w:val="20"/>
                <w:szCs w:val="20"/>
              </w:rPr>
              <w:t xml:space="preserve"> </w:t>
            </w:r>
          </w:p>
          <w:p w:rsidR="0095055D" w:rsidRPr="008942CB" w:rsidRDefault="0095055D" w:rsidP="00E0744B">
            <w:pPr>
              <w:spacing w:before="40" w:after="40"/>
              <w:rPr>
                <w:rFonts w:ascii="Arial Narrow" w:hAnsi="Arial Narrow"/>
                <w:sz w:val="20"/>
                <w:szCs w:val="20"/>
              </w:rPr>
            </w:pPr>
            <w:r w:rsidRPr="008942CB">
              <w:rPr>
                <w:rFonts w:ascii="Arial Narrow" w:hAnsi="Arial Narrow"/>
                <w:sz w:val="20"/>
                <w:szCs w:val="20"/>
              </w:rPr>
              <w:fldChar w:fldCharType="begin">
                <w:ffData>
                  <w:name w:val="Check5"/>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Midwives</w:t>
            </w:r>
          </w:p>
        </w:tc>
      </w:tr>
      <w:tr w:rsidR="0095055D" w:rsidRPr="008942CB" w:rsidTr="008942CB">
        <w:trPr>
          <w:cantSplit/>
          <w:trHeight w:val="175"/>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Episodicity:</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w:t>
            </w:r>
          </w:p>
        </w:tc>
      </w:tr>
      <w:tr w:rsidR="0095055D" w:rsidRPr="008942CB" w:rsidTr="008942CB">
        <w:trPr>
          <w:cantSplit/>
          <w:trHeight w:val="223"/>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Severity:</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Stage IIIB (locally advanced) or Stage IV (metastatic)</w:t>
            </w:r>
          </w:p>
        </w:tc>
      </w:tr>
      <w:tr w:rsidR="0095055D" w:rsidRPr="008942CB" w:rsidTr="008942CB">
        <w:trPr>
          <w:cantSplit/>
          <w:trHeight w:val="285"/>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Condition:</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Non-small cell lung cancer (NSCLC)</w:t>
            </w:r>
          </w:p>
        </w:tc>
      </w:tr>
      <w:tr w:rsidR="0095055D" w:rsidRPr="008942CB" w:rsidTr="008942CB">
        <w:trPr>
          <w:cantSplit/>
          <w:trHeight w:val="191"/>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PBS Indication:</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Stage IIIB (locally advanced) or Stage IV (metastatic) NSCLC</w:t>
            </w:r>
          </w:p>
        </w:tc>
      </w:tr>
      <w:tr w:rsidR="0095055D" w:rsidRPr="008942CB" w:rsidTr="008942CB">
        <w:trPr>
          <w:cantSplit/>
          <w:trHeight w:val="239"/>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i/>
                <w:sz w:val="20"/>
                <w:szCs w:val="20"/>
              </w:rPr>
            </w:pPr>
            <w:r w:rsidRPr="008942CB">
              <w:rPr>
                <w:rFonts w:ascii="Arial Narrow" w:hAnsi="Arial Narrow"/>
                <w:b/>
                <w:sz w:val="20"/>
                <w:szCs w:val="20"/>
              </w:rPr>
              <w:t>Treatment phase:</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Initial treatment</w:t>
            </w:r>
          </w:p>
        </w:tc>
      </w:tr>
      <w:tr w:rsidR="0095055D" w:rsidRPr="008942CB" w:rsidTr="008942CB">
        <w:trPr>
          <w:cantSplit/>
          <w:trHeight w:val="360"/>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C565A6" w:rsidP="00C565A6">
            <w:pPr>
              <w:spacing w:before="40" w:after="40"/>
              <w:jc w:val="left"/>
              <w:rPr>
                <w:rFonts w:ascii="Arial Narrow" w:hAnsi="Arial Narrow"/>
                <w:b/>
                <w:sz w:val="20"/>
                <w:szCs w:val="20"/>
              </w:rPr>
            </w:pPr>
            <w:r w:rsidRPr="008942CB">
              <w:rPr>
                <w:rFonts w:ascii="Arial Narrow" w:hAnsi="Arial Narrow"/>
                <w:b/>
                <w:sz w:val="20"/>
                <w:szCs w:val="20"/>
              </w:rPr>
              <w:t>Restriction l</w:t>
            </w:r>
            <w:r w:rsidR="0095055D" w:rsidRPr="008942CB">
              <w:rPr>
                <w:rFonts w:ascii="Arial Narrow" w:hAnsi="Arial Narrow"/>
                <w:b/>
                <w:sz w:val="20"/>
                <w:szCs w:val="20"/>
              </w:rPr>
              <w:t xml:space="preserve">evel / </w:t>
            </w:r>
            <w:r w:rsidRPr="008942CB">
              <w:rPr>
                <w:rFonts w:ascii="Arial Narrow" w:hAnsi="Arial Narrow"/>
                <w:b/>
                <w:sz w:val="20"/>
                <w:szCs w:val="20"/>
              </w:rPr>
              <w:t>m</w:t>
            </w:r>
            <w:r w:rsidR="0095055D" w:rsidRPr="008942CB">
              <w:rPr>
                <w:rFonts w:ascii="Arial Narrow" w:hAnsi="Arial Narrow"/>
                <w:b/>
                <w:sz w:val="20"/>
                <w:szCs w:val="20"/>
              </w:rPr>
              <w:t>ethod:</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Check1"/>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Restricted benefit</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Authority Required - In Writing</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Check3"/>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Authority Required - Telephone</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Authority Required – Emergency</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Check5"/>
                  <w:enabled/>
                  <w:calcOnExit w:val="0"/>
                  <w:checkBox>
                    <w:sizeAuto/>
                    <w:default w:val="0"/>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Authority Required - Electronic</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fldChar w:fldCharType="begin">
                <w:ffData>
                  <w:name w:val=""/>
                  <w:enabled/>
                  <w:calcOnExit w:val="0"/>
                  <w:checkBox>
                    <w:sizeAuto/>
                    <w:default w:val="1"/>
                  </w:checkBox>
                </w:ffData>
              </w:fldChar>
            </w:r>
            <w:r w:rsidRPr="008942CB">
              <w:rPr>
                <w:rFonts w:ascii="Arial Narrow" w:hAnsi="Arial Narrow"/>
                <w:sz w:val="20"/>
                <w:szCs w:val="20"/>
              </w:rPr>
              <w:instrText xml:space="preserve"> FORMCHECKBOX </w:instrText>
            </w:r>
            <w:r w:rsidR="009B1CE6">
              <w:rPr>
                <w:rFonts w:ascii="Arial Narrow" w:hAnsi="Arial Narrow"/>
                <w:sz w:val="20"/>
                <w:szCs w:val="20"/>
              </w:rPr>
            </w:r>
            <w:r w:rsidR="009B1CE6">
              <w:rPr>
                <w:rFonts w:ascii="Arial Narrow" w:hAnsi="Arial Narrow"/>
                <w:sz w:val="20"/>
                <w:szCs w:val="20"/>
              </w:rPr>
              <w:fldChar w:fldCharType="separate"/>
            </w:r>
            <w:r w:rsidRPr="008942CB">
              <w:rPr>
                <w:rFonts w:ascii="Arial Narrow" w:hAnsi="Arial Narrow"/>
                <w:sz w:val="20"/>
                <w:szCs w:val="20"/>
              </w:rPr>
              <w:fldChar w:fldCharType="end"/>
            </w:r>
            <w:r w:rsidRPr="008942CB">
              <w:rPr>
                <w:rFonts w:ascii="Arial Narrow" w:hAnsi="Arial Narrow"/>
                <w:sz w:val="20"/>
                <w:szCs w:val="20"/>
              </w:rPr>
              <w:t>Streamlined</w:t>
            </w:r>
          </w:p>
        </w:tc>
      </w:tr>
      <w:tr w:rsidR="0095055D" w:rsidRPr="008942CB" w:rsidTr="008942CB">
        <w:trPr>
          <w:cantSplit/>
          <w:trHeight w:val="360"/>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lastRenderedPageBreak/>
              <w:t>Clinical criteria:</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Treatment must be the sole PBS-subsidised therapy for this condition,</w:t>
            </w:r>
          </w:p>
          <w:p w:rsidR="0095055D" w:rsidRPr="008942CB" w:rsidRDefault="0095055D" w:rsidP="00A36DD4">
            <w:pPr>
              <w:spacing w:before="40" w:after="40"/>
              <w:rPr>
                <w:rFonts w:ascii="Arial Narrow" w:hAnsi="Arial Narrow"/>
                <w:sz w:val="20"/>
                <w:szCs w:val="20"/>
              </w:rPr>
            </w:pPr>
            <w:r w:rsidRPr="008942CB">
              <w:rPr>
                <w:rFonts w:ascii="Arial Narrow" w:hAnsi="Arial Narrow"/>
                <w:b/>
                <w:sz w:val="20"/>
                <w:szCs w:val="20"/>
              </w:rPr>
              <w:t>AND</w:t>
            </w:r>
            <w:r w:rsidRPr="008942CB">
              <w:rPr>
                <w:rFonts w:ascii="Arial Narrow" w:hAnsi="Arial Narrow"/>
                <w:sz w:val="20"/>
                <w:szCs w:val="20"/>
              </w:rPr>
              <w:t xml:space="preserve"> </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 xml:space="preserve">The condition must have progressed following treatment with a platinum-based chemotherapy agent unless contraindicated or not tolerated according to the TGA approved Product Information; </w:t>
            </w:r>
          </w:p>
          <w:p w:rsidR="0095055D" w:rsidRPr="008942CB" w:rsidRDefault="0095055D" w:rsidP="00A36DD4">
            <w:pPr>
              <w:spacing w:before="40" w:after="40"/>
              <w:rPr>
                <w:rFonts w:ascii="Arial Narrow" w:hAnsi="Arial Narrow"/>
                <w:sz w:val="20"/>
                <w:szCs w:val="20"/>
              </w:rPr>
            </w:pPr>
            <w:r w:rsidRPr="008942CB">
              <w:rPr>
                <w:rFonts w:ascii="Arial Narrow" w:hAnsi="Arial Narrow"/>
                <w:b/>
                <w:sz w:val="20"/>
                <w:szCs w:val="20"/>
              </w:rPr>
              <w:t>AND</w:t>
            </w:r>
            <w:r w:rsidRPr="008942CB">
              <w:rPr>
                <w:rFonts w:ascii="Arial Narrow" w:hAnsi="Arial Narrow"/>
                <w:sz w:val="20"/>
                <w:szCs w:val="20"/>
              </w:rPr>
              <w:t xml:space="preserve"> </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The condition must have progressed following treatment with an epidermal growth factor receptor (EGFR) tyrosine kinase inhibitor (TKI) (if eligible) unless contraindicated or not tolerated according to the TGA approved Product Information;</w:t>
            </w:r>
          </w:p>
          <w:p w:rsidR="0095055D" w:rsidRPr="008942CB" w:rsidRDefault="0095055D" w:rsidP="00A36DD4">
            <w:pPr>
              <w:spacing w:before="40" w:after="40"/>
              <w:rPr>
                <w:rFonts w:ascii="Arial Narrow" w:hAnsi="Arial Narrow"/>
                <w:sz w:val="20"/>
                <w:szCs w:val="20"/>
              </w:rPr>
            </w:pPr>
            <w:r w:rsidRPr="008942CB">
              <w:rPr>
                <w:rFonts w:ascii="Arial Narrow" w:hAnsi="Arial Narrow"/>
                <w:b/>
                <w:sz w:val="20"/>
                <w:szCs w:val="20"/>
              </w:rPr>
              <w:t>AND</w:t>
            </w:r>
            <w:r w:rsidRPr="008942CB">
              <w:rPr>
                <w:rFonts w:ascii="Arial Narrow" w:hAnsi="Arial Narrow"/>
                <w:sz w:val="20"/>
                <w:szCs w:val="20"/>
              </w:rPr>
              <w:t xml:space="preserve"> </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 xml:space="preserve">The condition must have progressed following treatment with </w:t>
            </w:r>
            <w:proofErr w:type="spellStart"/>
            <w:r w:rsidRPr="008942CB">
              <w:rPr>
                <w:rFonts w:ascii="Arial Narrow" w:hAnsi="Arial Narrow"/>
                <w:sz w:val="20"/>
                <w:szCs w:val="20"/>
              </w:rPr>
              <w:t>crizotinib</w:t>
            </w:r>
            <w:proofErr w:type="spellEnd"/>
            <w:r w:rsidRPr="008942CB">
              <w:rPr>
                <w:rFonts w:ascii="Arial Narrow" w:hAnsi="Arial Narrow"/>
                <w:sz w:val="20"/>
                <w:szCs w:val="20"/>
              </w:rPr>
              <w:t xml:space="preserve"> (if eligible) unless contraindicated or not tolerated according to the TGA approved Product Information,</w:t>
            </w:r>
          </w:p>
          <w:p w:rsidR="0095055D" w:rsidRPr="008942CB" w:rsidRDefault="0095055D" w:rsidP="00A36DD4">
            <w:pPr>
              <w:spacing w:before="40" w:after="40"/>
              <w:rPr>
                <w:rFonts w:ascii="Arial Narrow" w:hAnsi="Arial Narrow"/>
                <w:sz w:val="20"/>
                <w:szCs w:val="20"/>
              </w:rPr>
            </w:pPr>
            <w:r w:rsidRPr="008942CB">
              <w:rPr>
                <w:rFonts w:ascii="Arial Narrow" w:hAnsi="Arial Narrow"/>
                <w:b/>
                <w:sz w:val="20"/>
                <w:szCs w:val="20"/>
              </w:rPr>
              <w:t>AND</w:t>
            </w:r>
            <w:r w:rsidRPr="008942CB">
              <w:rPr>
                <w:rFonts w:ascii="Arial Narrow" w:hAnsi="Arial Narrow"/>
                <w:sz w:val="20"/>
                <w:szCs w:val="20"/>
              </w:rPr>
              <w:t xml:space="preserve"> </w:t>
            </w:r>
          </w:p>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The treatment must not exceed a total of 6 doses at a maximum dose of 2mg per kg every 3 weeks.</w:t>
            </w:r>
          </w:p>
        </w:tc>
      </w:tr>
      <w:tr w:rsidR="0095055D" w:rsidRPr="008942CB" w:rsidTr="008942CB">
        <w:trPr>
          <w:cantSplit/>
          <w:trHeight w:val="360"/>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Population criteria:</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The patient must have evidence of high expression of programmed death ligand 1 (PD-L1), defined as 50% (or greater) positive cells by immunohistochemistry testing.</w:t>
            </w:r>
          </w:p>
        </w:tc>
      </w:tr>
      <w:tr w:rsidR="0095055D" w:rsidRPr="008942CB" w:rsidTr="008942CB">
        <w:trPr>
          <w:cantSplit/>
          <w:trHeight w:val="360"/>
        </w:trPr>
        <w:tc>
          <w:tcPr>
            <w:tcW w:w="1251" w:type="pct"/>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b/>
                <w:sz w:val="20"/>
                <w:szCs w:val="20"/>
              </w:rPr>
            </w:pPr>
            <w:r w:rsidRPr="008942CB">
              <w:rPr>
                <w:rFonts w:ascii="Arial Narrow" w:hAnsi="Arial Narrow"/>
                <w:b/>
                <w:sz w:val="20"/>
                <w:szCs w:val="20"/>
              </w:rPr>
              <w:t>Administrative Advice</w:t>
            </w:r>
          </w:p>
        </w:tc>
        <w:tc>
          <w:tcPr>
            <w:tcW w:w="3749" w:type="pct"/>
            <w:gridSpan w:val="6"/>
            <w:tcBorders>
              <w:top w:val="single" w:sz="4" w:space="0" w:color="auto"/>
              <w:left w:val="single" w:sz="4" w:space="0" w:color="auto"/>
              <w:bottom w:val="single" w:sz="4" w:space="0" w:color="auto"/>
              <w:right w:val="single" w:sz="4" w:space="0" w:color="auto"/>
            </w:tcBorders>
          </w:tcPr>
          <w:p w:rsidR="0095055D" w:rsidRPr="008942CB" w:rsidRDefault="0095055D" w:rsidP="00A36DD4">
            <w:pPr>
              <w:spacing w:before="40" w:after="40"/>
              <w:rPr>
                <w:rFonts w:ascii="Arial Narrow" w:hAnsi="Arial Narrow"/>
                <w:sz w:val="20"/>
                <w:szCs w:val="20"/>
              </w:rPr>
            </w:pPr>
            <w:r w:rsidRPr="008942CB">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95055D" w:rsidRPr="007629BE" w:rsidRDefault="0095055D" w:rsidP="007629BE">
      <w:pPr>
        <w:pStyle w:val="ListParagraph"/>
        <w:ind w:left="0" w:firstLine="0"/>
        <w:rPr>
          <w:rFonts w:ascii="Arial" w:hAnsi="Arial" w:cs="Arial"/>
          <w:sz w:val="22"/>
          <w:szCs w:val="22"/>
        </w:rPr>
      </w:pPr>
    </w:p>
    <w:tbl>
      <w:tblPr>
        <w:tblW w:w="4491" w:type="pct"/>
        <w:tblInd w:w="878" w:type="dxa"/>
        <w:tblLook w:val="0000" w:firstRow="0" w:lastRow="0" w:firstColumn="0" w:lastColumn="0" w:noHBand="0" w:noVBand="0"/>
      </w:tblPr>
      <w:tblGrid>
        <w:gridCol w:w="2031"/>
        <w:gridCol w:w="6271"/>
      </w:tblGrid>
      <w:tr w:rsidR="0095055D" w:rsidRPr="00243494" w:rsidTr="008942CB">
        <w:trPr>
          <w:cantSplit/>
        </w:trPr>
        <w:tc>
          <w:tcPr>
            <w:tcW w:w="5000" w:type="pct"/>
            <w:gridSpan w:val="2"/>
          </w:tcPr>
          <w:p w:rsidR="0095055D" w:rsidRPr="00243494" w:rsidRDefault="0095055D" w:rsidP="00A36DD4">
            <w:pPr>
              <w:keepNext/>
              <w:spacing w:before="40" w:after="40"/>
              <w:rPr>
                <w:rFonts w:ascii="Arial Narrow" w:hAnsi="Arial Narrow"/>
                <w:b/>
                <w:sz w:val="20"/>
                <w:szCs w:val="20"/>
                <w:u w:val="single"/>
              </w:rPr>
            </w:pPr>
            <w:r w:rsidRPr="00243494">
              <w:rPr>
                <w:rFonts w:ascii="Arial Narrow" w:hAnsi="Arial Narrow"/>
                <w:b/>
                <w:sz w:val="20"/>
                <w:szCs w:val="20"/>
                <w:u w:val="single"/>
              </w:rPr>
              <w:t>Treatment phase: continuing treatment</w:t>
            </w:r>
          </w:p>
        </w:tc>
      </w:tr>
      <w:tr w:rsidR="0095055D" w:rsidRPr="00243494" w:rsidTr="008942CB">
        <w:trPr>
          <w:cantSplit/>
          <w:trHeight w:val="201"/>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C565A6" w:rsidP="00A36DD4">
            <w:pPr>
              <w:spacing w:before="40" w:after="40"/>
              <w:rPr>
                <w:rFonts w:ascii="Arial Narrow" w:hAnsi="Arial Narrow"/>
                <w:b/>
                <w:sz w:val="20"/>
              </w:rPr>
            </w:pPr>
            <w:r>
              <w:rPr>
                <w:rFonts w:ascii="Arial Narrow" w:hAnsi="Arial Narrow"/>
                <w:b/>
                <w:sz w:val="20"/>
              </w:rPr>
              <w:t>Category / p</w:t>
            </w:r>
            <w:r w:rsidR="0095055D" w:rsidRPr="00243494">
              <w:rPr>
                <w:rFonts w:ascii="Arial Narrow" w:hAnsi="Arial Narrow"/>
                <w:b/>
                <w:sz w:val="20"/>
              </w:rPr>
              <w:t>rogram</w:t>
            </w:r>
            <w:r>
              <w:rPr>
                <w:rFonts w:ascii="Arial Narrow" w:hAnsi="Arial Narrow"/>
                <w:b/>
                <w:sz w:val="20"/>
              </w:rPr>
              <w:t>:</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Section 100 – Efficient funding of chemotherapy</w:t>
            </w:r>
          </w:p>
        </w:tc>
      </w:tr>
      <w:tr w:rsidR="0095055D" w:rsidRPr="00243494" w:rsidTr="008942CB">
        <w:trPr>
          <w:cantSplit/>
          <w:trHeight w:val="360"/>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C565A6">
            <w:pPr>
              <w:spacing w:before="40" w:after="40"/>
              <w:rPr>
                <w:rFonts w:ascii="Arial Narrow" w:hAnsi="Arial Narrow"/>
                <w:b/>
                <w:sz w:val="20"/>
              </w:rPr>
            </w:pPr>
            <w:r w:rsidRPr="00243494">
              <w:rPr>
                <w:rFonts w:ascii="Arial Narrow" w:hAnsi="Arial Narrow"/>
                <w:b/>
                <w:sz w:val="20"/>
              </w:rPr>
              <w:t>Prescriber type:</w:t>
            </w:r>
          </w:p>
        </w:tc>
        <w:tc>
          <w:tcPr>
            <w:tcW w:w="3777" w:type="pct"/>
            <w:tcBorders>
              <w:top w:val="single" w:sz="4" w:space="0" w:color="auto"/>
              <w:left w:val="single" w:sz="4" w:space="0" w:color="auto"/>
              <w:bottom w:val="single" w:sz="4" w:space="0" w:color="auto"/>
              <w:right w:val="single" w:sz="4" w:space="0" w:color="auto"/>
            </w:tcBorders>
          </w:tcPr>
          <w:p w:rsidR="008942CB" w:rsidRDefault="0095055D" w:rsidP="009E555F">
            <w:pPr>
              <w:spacing w:before="40" w:after="40"/>
              <w:rPr>
                <w:rFonts w:ascii="Arial Narrow" w:hAnsi="Arial Narrow"/>
                <w:sz w:val="20"/>
              </w:rPr>
            </w:pPr>
            <w:r w:rsidRPr="00243494">
              <w:rPr>
                <w:rFonts w:ascii="Arial Narrow" w:hAnsi="Arial Narrow"/>
                <w:sz w:val="20"/>
              </w:rPr>
              <w:fldChar w:fldCharType="begin">
                <w:ffData>
                  <w:name w:val="Check1"/>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 xml:space="preserve">Dental  </w:t>
            </w:r>
            <w:r w:rsidRPr="00243494">
              <w:rPr>
                <w:rFonts w:ascii="Arial Narrow" w:hAnsi="Arial Narrow"/>
                <w:sz w:val="20"/>
              </w:rPr>
              <w:fldChar w:fldCharType="begin">
                <w:ffData>
                  <w:name w:val=""/>
                  <w:enabled/>
                  <w:calcOnExit w:val="0"/>
                  <w:checkBox>
                    <w:sizeAuto/>
                    <w:default w:val="1"/>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 xml:space="preserve">Medical Practitioners  </w:t>
            </w:r>
            <w:r w:rsidRPr="00243494">
              <w:rPr>
                <w:rFonts w:ascii="Arial Narrow" w:hAnsi="Arial Narrow"/>
                <w:sz w:val="20"/>
              </w:rPr>
              <w:fldChar w:fldCharType="begin">
                <w:ffData>
                  <w:name w:val="Check3"/>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 xml:space="preserve">Nurse practitioners  </w:t>
            </w:r>
            <w:r w:rsidRPr="00243494">
              <w:rPr>
                <w:rFonts w:ascii="Arial Narrow" w:hAnsi="Arial Narrow"/>
                <w:sz w:val="20"/>
              </w:rPr>
              <w:fldChar w:fldCharType="begin">
                <w:ffData>
                  <w:name w:val=""/>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Optometrists</w:t>
            </w:r>
            <w:r w:rsidR="009E555F">
              <w:rPr>
                <w:rFonts w:ascii="Arial Narrow" w:hAnsi="Arial Narrow"/>
                <w:sz w:val="20"/>
              </w:rPr>
              <w:t xml:space="preserve"> </w:t>
            </w:r>
          </w:p>
          <w:p w:rsidR="0095055D" w:rsidRPr="00243494" w:rsidRDefault="0095055D" w:rsidP="009E555F">
            <w:pPr>
              <w:spacing w:before="40" w:after="40"/>
              <w:rPr>
                <w:rFonts w:ascii="Arial Narrow" w:hAnsi="Arial Narrow"/>
                <w:sz w:val="20"/>
              </w:rPr>
            </w:pPr>
            <w:r w:rsidRPr="00243494">
              <w:rPr>
                <w:rFonts w:ascii="Arial Narrow" w:hAnsi="Arial Narrow"/>
                <w:sz w:val="20"/>
              </w:rPr>
              <w:fldChar w:fldCharType="begin">
                <w:ffData>
                  <w:name w:val="Check5"/>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Midwives</w:t>
            </w:r>
          </w:p>
        </w:tc>
      </w:tr>
      <w:tr w:rsidR="0095055D" w:rsidRPr="00243494" w:rsidTr="008942CB">
        <w:trPr>
          <w:cantSplit/>
          <w:trHeight w:val="143"/>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b/>
                <w:sz w:val="20"/>
              </w:rPr>
            </w:pPr>
            <w:r w:rsidRPr="00243494">
              <w:rPr>
                <w:rFonts w:ascii="Arial Narrow" w:hAnsi="Arial Narrow"/>
                <w:b/>
                <w:sz w:val="20"/>
              </w:rPr>
              <w:t>Episodicity:</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w:t>
            </w:r>
          </w:p>
        </w:tc>
      </w:tr>
      <w:tr w:rsidR="0095055D" w:rsidRPr="00243494" w:rsidTr="008942CB">
        <w:trPr>
          <w:cantSplit/>
          <w:trHeight w:val="106"/>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b/>
                <w:sz w:val="20"/>
              </w:rPr>
            </w:pPr>
            <w:r w:rsidRPr="00243494">
              <w:rPr>
                <w:rFonts w:ascii="Arial Narrow" w:hAnsi="Arial Narrow"/>
                <w:b/>
                <w:sz w:val="20"/>
              </w:rPr>
              <w:t>Severity:</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Stage IIIB (locally advanced) or Stage IV (metastatic)</w:t>
            </w:r>
          </w:p>
        </w:tc>
      </w:tr>
      <w:tr w:rsidR="0095055D" w:rsidRPr="00243494" w:rsidTr="008942CB">
        <w:trPr>
          <w:cantSplit/>
          <w:trHeight w:val="67"/>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b/>
                <w:sz w:val="20"/>
              </w:rPr>
            </w:pPr>
            <w:r w:rsidRPr="00243494">
              <w:rPr>
                <w:rFonts w:ascii="Arial Narrow" w:hAnsi="Arial Narrow"/>
                <w:b/>
                <w:sz w:val="20"/>
              </w:rPr>
              <w:t>Condition:</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Non-small cell lung cancer (NSCLC)</w:t>
            </w:r>
          </w:p>
        </w:tc>
      </w:tr>
      <w:tr w:rsidR="0095055D" w:rsidRPr="00243494" w:rsidTr="008942CB">
        <w:trPr>
          <w:cantSplit/>
          <w:trHeight w:val="171"/>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b/>
                <w:sz w:val="20"/>
              </w:rPr>
            </w:pPr>
            <w:r w:rsidRPr="00243494">
              <w:rPr>
                <w:rFonts w:ascii="Arial Narrow" w:hAnsi="Arial Narrow"/>
                <w:b/>
                <w:sz w:val="20"/>
              </w:rPr>
              <w:t>PBS Indication:</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Stage IIIB (locally advanced) or Stage IV (metastatic) NSCLC</w:t>
            </w:r>
          </w:p>
        </w:tc>
      </w:tr>
      <w:tr w:rsidR="0095055D" w:rsidRPr="00243494" w:rsidTr="008942CB">
        <w:trPr>
          <w:cantSplit/>
          <w:trHeight w:val="275"/>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i/>
                <w:sz w:val="20"/>
              </w:rPr>
            </w:pPr>
            <w:r w:rsidRPr="00243494">
              <w:rPr>
                <w:rFonts w:ascii="Arial Narrow" w:hAnsi="Arial Narrow"/>
                <w:b/>
                <w:sz w:val="20"/>
              </w:rPr>
              <w:t>Treatment phase:</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Continuing treatment</w:t>
            </w:r>
          </w:p>
        </w:tc>
      </w:tr>
      <w:tr w:rsidR="0095055D" w:rsidRPr="00243494" w:rsidTr="008942CB">
        <w:trPr>
          <w:cantSplit/>
          <w:trHeight w:val="360"/>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C565A6" w:rsidP="00C565A6">
            <w:pPr>
              <w:spacing w:before="40" w:after="40"/>
              <w:rPr>
                <w:rFonts w:ascii="Arial Narrow" w:hAnsi="Arial Narrow"/>
                <w:b/>
                <w:sz w:val="20"/>
              </w:rPr>
            </w:pPr>
            <w:r>
              <w:rPr>
                <w:rFonts w:ascii="Arial Narrow" w:hAnsi="Arial Narrow"/>
                <w:b/>
                <w:sz w:val="20"/>
              </w:rPr>
              <w:t>Restriction l</w:t>
            </w:r>
            <w:r w:rsidR="0095055D" w:rsidRPr="00243494">
              <w:rPr>
                <w:rFonts w:ascii="Arial Narrow" w:hAnsi="Arial Narrow"/>
                <w:b/>
                <w:sz w:val="20"/>
              </w:rPr>
              <w:t xml:space="preserve">evel / </w:t>
            </w:r>
            <w:r>
              <w:rPr>
                <w:rFonts w:ascii="Arial Narrow" w:hAnsi="Arial Narrow"/>
                <w:b/>
                <w:sz w:val="20"/>
              </w:rPr>
              <w:t>m</w:t>
            </w:r>
            <w:r w:rsidR="0095055D" w:rsidRPr="00243494">
              <w:rPr>
                <w:rFonts w:ascii="Arial Narrow" w:hAnsi="Arial Narrow"/>
                <w:b/>
                <w:sz w:val="20"/>
              </w:rPr>
              <w:t>ethod:</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Check1"/>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Restricted benefit</w:t>
            </w:r>
          </w:p>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Authority Required - In Writing</w:t>
            </w:r>
          </w:p>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Check3"/>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Authority Required - Telephone</w:t>
            </w:r>
          </w:p>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Authority Required – Emergency</w:t>
            </w:r>
          </w:p>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Check5"/>
                  <w:enabled/>
                  <w:calcOnExit w:val="0"/>
                  <w:checkBox>
                    <w:sizeAuto/>
                    <w:default w:val="0"/>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Authority Required - Electronic</w:t>
            </w:r>
          </w:p>
          <w:p w:rsidR="0095055D" w:rsidRPr="00243494" w:rsidRDefault="0095055D" w:rsidP="00A36DD4">
            <w:pPr>
              <w:spacing w:before="40" w:after="40"/>
              <w:rPr>
                <w:rFonts w:ascii="Arial Narrow" w:hAnsi="Arial Narrow"/>
                <w:sz w:val="20"/>
              </w:rPr>
            </w:pPr>
            <w:r w:rsidRPr="00243494">
              <w:rPr>
                <w:rFonts w:ascii="Arial Narrow" w:hAnsi="Arial Narrow"/>
                <w:sz w:val="20"/>
              </w:rPr>
              <w:fldChar w:fldCharType="begin">
                <w:ffData>
                  <w:name w:val=""/>
                  <w:enabled/>
                  <w:calcOnExit w:val="0"/>
                  <w:checkBox>
                    <w:sizeAuto/>
                    <w:default w:val="1"/>
                  </w:checkBox>
                </w:ffData>
              </w:fldChar>
            </w:r>
            <w:r w:rsidRPr="00243494">
              <w:rPr>
                <w:rFonts w:ascii="Arial Narrow" w:hAnsi="Arial Narrow"/>
                <w:sz w:val="20"/>
              </w:rPr>
              <w:instrText xml:space="preserve"> FORMCHECKBOX </w:instrText>
            </w:r>
            <w:r w:rsidR="009B1CE6">
              <w:rPr>
                <w:rFonts w:ascii="Arial Narrow" w:hAnsi="Arial Narrow"/>
                <w:sz w:val="20"/>
              </w:rPr>
            </w:r>
            <w:r w:rsidR="009B1CE6">
              <w:rPr>
                <w:rFonts w:ascii="Arial Narrow" w:hAnsi="Arial Narrow"/>
                <w:sz w:val="20"/>
              </w:rPr>
              <w:fldChar w:fldCharType="separate"/>
            </w:r>
            <w:r w:rsidRPr="00243494">
              <w:rPr>
                <w:rFonts w:ascii="Arial Narrow" w:hAnsi="Arial Narrow"/>
                <w:sz w:val="20"/>
              </w:rPr>
              <w:fldChar w:fldCharType="end"/>
            </w:r>
            <w:r w:rsidRPr="00243494">
              <w:rPr>
                <w:rFonts w:ascii="Arial Narrow" w:hAnsi="Arial Narrow"/>
                <w:sz w:val="20"/>
              </w:rPr>
              <w:t>Streamlined</w:t>
            </w:r>
          </w:p>
        </w:tc>
      </w:tr>
      <w:tr w:rsidR="0095055D" w:rsidRPr="00243494" w:rsidTr="008942CB">
        <w:trPr>
          <w:cantSplit/>
          <w:trHeight w:val="360"/>
        </w:trPr>
        <w:tc>
          <w:tcPr>
            <w:tcW w:w="1223"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b/>
                <w:sz w:val="20"/>
              </w:rPr>
            </w:pPr>
            <w:r w:rsidRPr="00243494">
              <w:rPr>
                <w:rFonts w:ascii="Arial Narrow" w:hAnsi="Arial Narrow"/>
                <w:b/>
                <w:sz w:val="20"/>
              </w:rPr>
              <w:lastRenderedPageBreak/>
              <w:t>Clinical criteria:</w:t>
            </w:r>
          </w:p>
        </w:tc>
        <w:tc>
          <w:tcPr>
            <w:tcW w:w="3777" w:type="pct"/>
            <w:tcBorders>
              <w:top w:val="single" w:sz="4" w:space="0" w:color="auto"/>
              <w:left w:val="single" w:sz="4" w:space="0" w:color="auto"/>
              <w:bottom w:val="single" w:sz="4" w:space="0" w:color="auto"/>
              <w:right w:val="single" w:sz="4" w:space="0" w:color="auto"/>
            </w:tcBorders>
          </w:tcPr>
          <w:p w:rsidR="0095055D" w:rsidRPr="00243494" w:rsidRDefault="0095055D" w:rsidP="00A36DD4">
            <w:pPr>
              <w:spacing w:before="40" w:after="40"/>
              <w:rPr>
                <w:rFonts w:ascii="Arial Narrow" w:hAnsi="Arial Narrow"/>
                <w:sz w:val="20"/>
              </w:rPr>
            </w:pPr>
            <w:r w:rsidRPr="00243494">
              <w:rPr>
                <w:rFonts w:ascii="Arial Narrow" w:hAnsi="Arial Narrow"/>
                <w:sz w:val="20"/>
              </w:rPr>
              <w:t>Treatment must be the sole PBS-subsidised therapy for this condition</w:t>
            </w:r>
          </w:p>
          <w:p w:rsidR="0095055D" w:rsidRPr="00243494" w:rsidRDefault="0095055D" w:rsidP="00A36DD4">
            <w:pPr>
              <w:spacing w:before="40" w:after="40"/>
              <w:rPr>
                <w:rFonts w:ascii="Arial Narrow" w:hAnsi="Arial Narrow"/>
                <w:b/>
                <w:sz w:val="20"/>
              </w:rPr>
            </w:pPr>
            <w:r w:rsidRPr="00243494">
              <w:rPr>
                <w:rFonts w:ascii="Arial Narrow" w:hAnsi="Arial Narrow"/>
                <w:b/>
                <w:sz w:val="20"/>
              </w:rPr>
              <w:t xml:space="preserve">AND </w:t>
            </w:r>
          </w:p>
          <w:p w:rsidR="0095055D" w:rsidRPr="00243494" w:rsidRDefault="0095055D" w:rsidP="00A36DD4">
            <w:pPr>
              <w:spacing w:before="40" w:after="40"/>
              <w:rPr>
                <w:rFonts w:ascii="Arial Narrow" w:hAnsi="Arial Narrow"/>
                <w:sz w:val="20"/>
              </w:rPr>
            </w:pPr>
            <w:r w:rsidRPr="00243494">
              <w:rPr>
                <w:rFonts w:ascii="Arial Narrow" w:hAnsi="Arial Narrow"/>
                <w:sz w:val="20"/>
              </w:rPr>
              <w:t>Patient must have previously been issued with an authority prescription for this drug for this condition,</w:t>
            </w:r>
          </w:p>
          <w:p w:rsidR="0095055D" w:rsidRPr="00243494" w:rsidRDefault="0095055D" w:rsidP="00A36DD4">
            <w:pPr>
              <w:spacing w:before="40" w:after="40"/>
              <w:rPr>
                <w:rFonts w:ascii="Arial Narrow" w:hAnsi="Arial Narrow"/>
                <w:b/>
                <w:sz w:val="20"/>
              </w:rPr>
            </w:pPr>
            <w:r w:rsidRPr="00243494">
              <w:rPr>
                <w:rFonts w:ascii="Arial Narrow" w:hAnsi="Arial Narrow"/>
                <w:b/>
                <w:sz w:val="20"/>
              </w:rPr>
              <w:t xml:space="preserve">AND </w:t>
            </w:r>
          </w:p>
          <w:p w:rsidR="0095055D" w:rsidRPr="00243494" w:rsidRDefault="0095055D" w:rsidP="00A36DD4">
            <w:pPr>
              <w:spacing w:before="40" w:after="40"/>
              <w:rPr>
                <w:rFonts w:ascii="Arial Narrow" w:hAnsi="Arial Narrow"/>
                <w:sz w:val="20"/>
              </w:rPr>
            </w:pPr>
            <w:r w:rsidRPr="00243494">
              <w:rPr>
                <w:rFonts w:ascii="Arial Narrow" w:hAnsi="Arial Narrow"/>
                <w:sz w:val="20"/>
              </w:rPr>
              <w:t xml:space="preserve">Patient must have stable or responding disease. </w:t>
            </w:r>
          </w:p>
          <w:p w:rsidR="0095055D" w:rsidRPr="00243494" w:rsidRDefault="0095055D" w:rsidP="00A36DD4">
            <w:pPr>
              <w:spacing w:before="40" w:after="40"/>
              <w:rPr>
                <w:rFonts w:ascii="Arial Narrow" w:hAnsi="Arial Narrow"/>
                <w:b/>
                <w:sz w:val="20"/>
              </w:rPr>
            </w:pPr>
            <w:r w:rsidRPr="00243494">
              <w:rPr>
                <w:rFonts w:ascii="Arial Narrow" w:hAnsi="Arial Narrow"/>
                <w:b/>
                <w:sz w:val="20"/>
              </w:rPr>
              <w:t xml:space="preserve">AND </w:t>
            </w:r>
          </w:p>
          <w:p w:rsidR="0095055D" w:rsidRPr="00243494" w:rsidRDefault="0095055D" w:rsidP="00A36DD4">
            <w:pPr>
              <w:spacing w:before="40" w:after="40"/>
              <w:rPr>
                <w:rFonts w:ascii="Arial Narrow" w:hAnsi="Arial Narrow"/>
                <w:sz w:val="20"/>
              </w:rPr>
            </w:pPr>
            <w:r w:rsidRPr="00243494">
              <w:rPr>
                <w:rFonts w:ascii="Arial Narrow" w:hAnsi="Arial Narrow"/>
                <w:sz w:val="20"/>
              </w:rPr>
              <w:t>The treatment must not exceed a maximum dose of 2 mg per kg every 3 weeks.</w:t>
            </w:r>
          </w:p>
        </w:tc>
      </w:tr>
    </w:tbl>
    <w:p w:rsidR="0095055D" w:rsidRPr="007629BE" w:rsidRDefault="0095055D" w:rsidP="00A36DD4">
      <w:pPr>
        <w:rPr>
          <w:rFonts w:ascii="Arial" w:hAnsi="Arial" w:cs="Arial"/>
          <w:sz w:val="22"/>
          <w:szCs w:val="22"/>
        </w:rPr>
      </w:pPr>
    </w:p>
    <w:p w:rsidR="00A74260" w:rsidRPr="00A74260" w:rsidRDefault="0095055D" w:rsidP="009C3A29">
      <w:pPr>
        <w:numPr>
          <w:ilvl w:val="1"/>
          <w:numId w:val="3"/>
        </w:numPr>
        <w:ind w:left="709" w:hanging="709"/>
        <w:contextualSpacing/>
        <w:rPr>
          <w:rFonts w:ascii="Arial" w:hAnsi="Arial" w:cs="Arial"/>
          <w:snapToGrid w:val="0"/>
          <w:sz w:val="22"/>
          <w:szCs w:val="22"/>
        </w:rPr>
      </w:pPr>
      <w:r w:rsidRPr="00384D39">
        <w:rPr>
          <w:rFonts w:ascii="Arial" w:hAnsi="Arial" w:cs="Arial"/>
          <w:sz w:val="22"/>
        </w:rPr>
        <w:t xml:space="preserve">Ongoing trials of pembrolizumab </w:t>
      </w:r>
      <w:proofErr w:type="spellStart"/>
      <w:r w:rsidRPr="00384D39">
        <w:rPr>
          <w:rFonts w:ascii="Arial" w:hAnsi="Arial" w:cs="Arial"/>
          <w:sz w:val="22"/>
        </w:rPr>
        <w:t>vs</w:t>
      </w:r>
      <w:proofErr w:type="spellEnd"/>
      <w:r w:rsidRPr="00384D39">
        <w:rPr>
          <w:rFonts w:ascii="Arial" w:hAnsi="Arial" w:cs="Arial"/>
          <w:sz w:val="22"/>
        </w:rPr>
        <w:t xml:space="preserve"> platinum-based chemotherapy in the first-line NSCLC setting (KN-042 and KN-024) are administering pembrolizumab as a</w:t>
      </w:r>
      <w:r w:rsidR="00636175">
        <w:rPr>
          <w:rFonts w:ascii="Arial" w:hAnsi="Arial" w:cs="Arial"/>
          <w:sz w:val="22"/>
        </w:rPr>
        <w:t xml:space="preserve"> </w:t>
      </w:r>
      <w:r w:rsidR="00636175" w:rsidRPr="00384D39">
        <w:rPr>
          <w:rFonts w:ascii="Arial" w:hAnsi="Arial" w:cs="Arial"/>
          <w:sz w:val="22"/>
        </w:rPr>
        <w:t>200</w:t>
      </w:r>
      <w:r w:rsidR="00636175">
        <w:rPr>
          <w:rFonts w:ascii="Arial" w:hAnsi="Arial" w:cs="Arial"/>
          <w:sz w:val="22"/>
        </w:rPr>
        <w:t> </w:t>
      </w:r>
      <w:r w:rsidR="00636175" w:rsidRPr="00384D39">
        <w:rPr>
          <w:rFonts w:ascii="Arial" w:hAnsi="Arial" w:cs="Arial"/>
          <w:sz w:val="22"/>
        </w:rPr>
        <w:t>mg</w:t>
      </w:r>
      <w:r w:rsidRPr="00384D39">
        <w:rPr>
          <w:rFonts w:ascii="Arial" w:hAnsi="Arial" w:cs="Arial"/>
          <w:sz w:val="22"/>
        </w:rPr>
        <w:t xml:space="preserve"> fixed dose</w:t>
      </w:r>
      <w:r w:rsidR="00636175">
        <w:rPr>
          <w:rFonts w:ascii="Arial" w:hAnsi="Arial" w:cs="Arial"/>
          <w:sz w:val="22"/>
        </w:rPr>
        <w:t xml:space="preserve"> regimen</w:t>
      </w:r>
      <w:r w:rsidRPr="00384D39">
        <w:rPr>
          <w:rFonts w:ascii="Arial" w:hAnsi="Arial" w:cs="Arial"/>
          <w:sz w:val="22"/>
        </w:rPr>
        <w:t xml:space="preserve">. </w:t>
      </w:r>
      <w:r w:rsidR="00446266">
        <w:rPr>
          <w:rFonts w:ascii="Arial" w:hAnsi="Arial" w:cs="Arial"/>
          <w:sz w:val="22"/>
        </w:rPr>
        <w:t>Therefore a</w:t>
      </w:r>
      <w:r w:rsidRPr="00384D39">
        <w:rPr>
          <w:rFonts w:ascii="Arial" w:hAnsi="Arial" w:cs="Arial"/>
          <w:sz w:val="22"/>
        </w:rPr>
        <w:t xml:space="preserve"> future change in dosage recommendations in NSCLC and across other indications</w:t>
      </w:r>
      <w:r w:rsidR="00446266">
        <w:rPr>
          <w:rFonts w:ascii="Arial" w:hAnsi="Arial" w:cs="Arial"/>
          <w:sz w:val="22"/>
        </w:rPr>
        <w:t xml:space="preserve"> is possible</w:t>
      </w:r>
      <w:r w:rsidRPr="00384D39">
        <w:rPr>
          <w:rFonts w:ascii="Arial" w:hAnsi="Arial" w:cs="Arial"/>
          <w:sz w:val="22"/>
        </w:rPr>
        <w:t xml:space="preserve">. </w:t>
      </w:r>
      <w:r w:rsidR="00A74260">
        <w:rPr>
          <w:rFonts w:ascii="Arial" w:hAnsi="Arial" w:cs="Arial"/>
          <w:sz w:val="22"/>
        </w:rPr>
        <w:t>The PBAC noted that the 2</w:t>
      </w:r>
      <w:r w:rsidR="002B262C">
        <w:rPr>
          <w:rFonts w:ascii="Arial" w:hAnsi="Arial" w:cs="Arial"/>
          <w:sz w:val="22"/>
        </w:rPr>
        <w:t> </w:t>
      </w:r>
      <w:r w:rsidR="00A74260">
        <w:rPr>
          <w:rFonts w:ascii="Arial" w:hAnsi="Arial" w:cs="Arial"/>
          <w:sz w:val="22"/>
        </w:rPr>
        <w:t>mg/kg dose of pembrolizumab may be superseded by a flat dose of 200</w:t>
      </w:r>
      <w:r w:rsidR="002B262C">
        <w:rPr>
          <w:rFonts w:ascii="Arial" w:hAnsi="Arial" w:cs="Arial"/>
          <w:sz w:val="22"/>
        </w:rPr>
        <w:t> </w:t>
      </w:r>
      <w:r w:rsidR="00A74260">
        <w:rPr>
          <w:rFonts w:ascii="Arial" w:hAnsi="Arial" w:cs="Arial"/>
          <w:sz w:val="22"/>
        </w:rPr>
        <w:t>mg, which would be higher than the average dose per patient</w:t>
      </w:r>
      <w:r w:rsidR="009B4332">
        <w:rPr>
          <w:rFonts w:ascii="Arial" w:hAnsi="Arial" w:cs="Arial"/>
          <w:sz w:val="22"/>
        </w:rPr>
        <w:t xml:space="preserve"> based on 2</w:t>
      </w:r>
      <w:r w:rsidR="002B262C">
        <w:rPr>
          <w:rFonts w:ascii="Arial" w:hAnsi="Arial" w:cs="Arial"/>
          <w:sz w:val="22"/>
        </w:rPr>
        <w:t> </w:t>
      </w:r>
      <w:r w:rsidR="009B4332">
        <w:rPr>
          <w:rFonts w:ascii="Arial" w:hAnsi="Arial" w:cs="Arial"/>
          <w:sz w:val="22"/>
        </w:rPr>
        <w:t>mg/kg dosing</w:t>
      </w:r>
      <w:r w:rsidR="00A74260">
        <w:rPr>
          <w:rFonts w:ascii="Arial" w:hAnsi="Arial" w:cs="Arial"/>
          <w:sz w:val="22"/>
        </w:rPr>
        <w:t xml:space="preserve"> (</w:t>
      </w:r>
      <w:r w:rsidR="002B262C">
        <w:rPr>
          <w:rFonts w:ascii="Arial" w:hAnsi="Arial" w:cs="Arial"/>
          <w:sz w:val="22"/>
        </w:rPr>
        <w:t xml:space="preserve">i.e. 140 mg </w:t>
      </w:r>
      <w:r w:rsidR="00A74260">
        <w:rPr>
          <w:rFonts w:ascii="Arial" w:hAnsi="Arial" w:cs="Arial"/>
          <w:sz w:val="22"/>
        </w:rPr>
        <w:t>assuming a 70</w:t>
      </w:r>
      <w:r w:rsidR="002B262C">
        <w:rPr>
          <w:rFonts w:ascii="Arial" w:hAnsi="Arial" w:cs="Arial"/>
          <w:sz w:val="22"/>
        </w:rPr>
        <w:t> </w:t>
      </w:r>
      <w:r w:rsidR="00A74260">
        <w:rPr>
          <w:rFonts w:ascii="Arial" w:hAnsi="Arial" w:cs="Arial"/>
          <w:sz w:val="22"/>
        </w:rPr>
        <w:t>kg patient),</w:t>
      </w:r>
      <w:r w:rsidR="009B4332">
        <w:rPr>
          <w:rFonts w:ascii="Arial" w:hAnsi="Arial" w:cs="Arial"/>
          <w:sz w:val="22"/>
        </w:rPr>
        <w:t xml:space="preserve"> and thus </w:t>
      </w:r>
      <w:r w:rsidR="00A74260">
        <w:rPr>
          <w:rFonts w:ascii="Arial" w:hAnsi="Arial" w:cs="Arial"/>
          <w:sz w:val="22"/>
        </w:rPr>
        <w:t>increase the incremental cost effectiveness ratio (ICER) of pembrolizumab.</w:t>
      </w:r>
    </w:p>
    <w:bookmarkEnd w:id="9"/>
    <w:p w:rsidR="00446266" w:rsidRPr="00963FD5" w:rsidRDefault="00446266" w:rsidP="00963FD5">
      <w:pPr>
        <w:pStyle w:val="ListParagraph"/>
        <w:ind w:left="0" w:firstLine="0"/>
        <w:rPr>
          <w:rFonts w:ascii="Arial" w:hAnsi="Arial" w:cs="Arial"/>
          <w:bCs/>
          <w:sz w:val="22"/>
          <w:szCs w:val="22"/>
          <w:lang w:eastAsia="en-AU"/>
        </w:rPr>
      </w:pPr>
    </w:p>
    <w:p w:rsidR="0095055D" w:rsidRPr="00963FD5" w:rsidRDefault="00DD7937" w:rsidP="00384D39">
      <w:pPr>
        <w:pStyle w:val="Heading2"/>
        <w:keepNext w:val="0"/>
        <w:spacing w:before="0" w:beforeAutospacing="0" w:after="0" w:afterAutospacing="0"/>
        <w:ind w:left="0" w:firstLine="0"/>
        <w:rPr>
          <w:rFonts w:ascii="Arial" w:hAnsi="Arial" w:cs="Arial"/>
          <w:b/>
          <w:sz w:val="22"/>
          <w:szCs w:val="22"/>
        </w:rPr>
      </w:pPr>
      <w:bookmarkStart w:id="10" w:name="_Toc431891722"/>
      <w:bookmarkStart w:id="11" w:name="_Toc461627083"/>
      <w:r w:rsidRPr="00963FD5">
        <w:rPr>
          <w:rFonts w:ascii="Arial" w:hAnsi="Arial" w:cs="Arial"/>
          <w:b/>
          <w:sz w:val="22"/>
          <w:szCs w:val="22"/>
        </w:rPr>
        <w:t>A</w:t>
      </w:r>
      <w:r w:rsidR="0095055D" w:rsidRPr="00963FD5">
        <w:rPr>
          <w:rFonts w:ascii="Arial" w:hAnsi="Arial" w:cs="Arial"/>
          <w:b/>
          <w:sz w:val="22"/>
          <w:szCs w:val="22"/>
        </w:rPr>
        <w:t>lternative listing options</w:t>
      </w:r>
      <w:bookmarkEnd w:id="10"/>
      <w:bookmarkEnd w:id="11"/>
    </w:p>
    <w:p w:rsidR="00384D39" w:rsidRPr="00963FD5" w:rsidRDefault="00384D39" w:rsidP="00384D39">
      <w:pPr>
        <w:rPr>
          <w:rFonts w:ascii="Arial" w:hAnsi="Arial" w:cs="Arial"/>
          <w:sz w:val="22"/>
          <w:szCs w:val="22"/>
        </w:rPr>
      </w:pPr>
    </w:p>
    <w:p w:rsidR="00A74260" w:rsidRDefault="0095055D" w:rsidP="009C3A29">
      <w:pPr>
        <w:pStyle w:val="ListParagraph"/>
        <w:numPr>
          <w:ilvl w:val="1"/>
          <w:numId w:val="3"/>
        </w:numPr>
        <w:ind w:left="720"/>
        <w:rPr>
          <w:rFonts w:ascii="Arial" w:hAnsi="Arial" w:cs="Arial"/>
          <w:sz w:val="22"/>
          <w:szCs w:val="22"/>
        </w:rPr>
      </w:pPr>
      <w:r w:rsidRPr="00675587">
        <w:rPr>
          <w:rFonts w:ascii="Arial" w:hAnsi="Arial" w:cs="Arial"/>
          <w:sz w:val="22"/>
          <w:szCs w:val="22"/>
        </w:rPr>
        <w:t xml:space="preserve">Eligibility for PBS-subsidised pembrolizumab </w:t>
      </w:r>
      <w:r w:rsidR="00375B7A" w:rsidRPr="00675587">
        <w:rPr>
          <w:rFonts w:ascii="Arial" w:hAnsi="Arial" w:cs="Arial"/>
          <w:sz w:val="22"/>
          <w:szCs w:val="22"/>
        </w:rPr>
        <w:t>wa</w:t>
      </w:r>
      <w:r w:rsidRPr="00675587">
        <w:rPr>
          <w:rFonts w:ascii="Arial" w:hAnsi="Arial" w:cs="Arial"/>
          <w:sz w:val="22"/>
          <w:szCs w:val="22"/>
        </w:rPr>
        <w:t xml:space="preserve">s proposed to be dependent on </w:t>
      </w:r>
      <w:r w:rsidR="00375B7A" w:rsidRPr="00675587">
        <w:rPr>
          <w:rFonts w:ascii="Arial" w:hAnsi="Arial" w:cs="Arial"/>
          <w:sz w:val="22"/>
          <w:szCs w:val="22"/>
        </w:rPr>
        <w:t>high</w:t>
      </w:r>
      <w:r w:rsidRPr="00675587">
        <w:rPr>
          <w:rFonts w:ascii="Arial" w:hAnsi="Arial" w:cs="Arial"/>
          <w:sz w:val="22"/>
          <w:szCs w:val="22"/>
        </w:rPr>
        <w:t xml:space="preserve"> PD-L1 expression in tumour samples (TPS ≥50%). Patients </w:t>
      </w:r>
      <w:r w:rsidR="00375B7A" w:rsidRPr="00675587">
        <w:rPr>
          <w:rFonts w:ascii="Arial" w:hAnsi="Arial" w:cs="Arial"/>
          <w:sz w:val="22"/>
          <w:szCs w:val="22"/>
        </w:rPr>
        <w:t>with no evidence of</w:t>
      </w:r>
      <w:r w:rsidRPr="00675587">
        <w:rPr>
          <w:rFonts w:ascii="Arial" w:hAnsi="Arial" w:cs="Arial"/>
          <w:sz w:val="22"/>
          <w:szCs w:val="22"/>
        </w:rPr>
        <w:t xml:space="preserve"> </w:t>
      </w:r>
      <w:r w:rsidR="00976942" w:rsidRPr="00675587">
        <w:rPr>
          <w:rFonts w:ascii="Arial" w:hAnsi="Arial" w:cs="Arial"/>
          <w:sz w:val="22"/>
          <w:szCs w:val="22"/>
        </w:rPr>
        <w:t xml:space="preserve">PD-L1 expression (TPS </w:t>
      </w:r>
      <w:r w:rsidR="00963FD5" w:rsidRPr="00675587">
        <w:rPr>
          <w:rFonts w:ascii="Arial" w:hAnsi="Arial" w:cs="Arial"/>
          <w:sz w:val="22"/>
          <w:szCs w:val="22"/>
        </w:rPr>
        <w:t xml:space="preserve">&lt;1%) </w:t>
      </w:r>
      <w:r w:rsidR="00976942" w:rsidRPr="00675587">
        <w:rPr>
          <w:rFonts w:ascii="Arial" w:hAnsi="Arial" w:cs="Arial"/>
          <w:sz w:val="22"/>
          <w:szCs w:val="22"/>
        </w:rPr>
        <w:t xml:space="preserve">or low </w:t>
      </w:r>
      <w:r w:rsidRPr="00675587">
        <w:rPr>
          <w:rFonts w:ascii="Arial" w:hAnsi="Arial" w:cs="Arial"/>
          <w:sz w:val="22"/>
          <w:szCs w:val="22"/>
        </w:rPr>
        <w:t>PD-L1 expressi</w:t>
      </w:r>
      <w:r w:rsidR="00375B7A" w:rsidRPr="00675587">
        <w:rPr>
          <w:rFonts w:ascii="Arial" w:hAnsi="Arial" w:cs="Arial"/>
          <w:sz w:val="22"/>
          <w:szCs w:val="22"/>
        </w:rPr>
        <w:t>on</w:t>
      </w:r>
      <w:r w:rsidRPr="00675587">
        <w:rPr>
          <w:rFonts w:ascii="Arial" w:hAnsi="Arial" w:cs="Arial"/>
          <w:sz w:val="22"/>
          <w:szCs w:val="22"/>
        </w:rPr>
        <w:t xml:space="preserve"> (TPS 1‒49%) </w:t>
      </w:r>
      <w:r w:rsidR="00375B7A" w:rsidRPr="00675587">
        <w:rPr>
          <w:rFonts w:ascii="Arial" w:hAnsi="Arial" w:cs="Arial"/>
          <w:sz w:val="22"/>
          <w:szCs w:val="22"/>
        </w:rPr>
        <w:t>were</w:t>
      </w:r>
      <w:r w:rsidRPr="00675587">
        <w:rPr>
          <w:rFonts w:ascii="Arial" w:hAnsi="Arial" w:cs="Arial"/>
          <w:sz w:val="22"/>
          <w:szCs w:val="22"/>
        </w:rPr>
        <w:t xml:space="preserve"> proposed to be ineligible. The sponsor </w:t>
      </w:r>
      <w:r w:rsidR="00963FD5" w:rsidRPr="00675587">
        <w:rPr>
          <w:rFonts w:ascii="Arial" w:hAnsi="Arial" w:cs="Arial"/>
          <w:sz w:val="22"/>
          <w:szCs w:val="22"/>
        </w:rPr>
        <w:t>expressed preparedness to consider</w:t>
      </w:r>
      <w:r w:rsidRPr="00675587">
        <w:rPr>
          <w:rFonts w:ascii="Arial" w:hAnsi="Arial" w:cs="Arial"/>
          <w:sz w:val="22"/>
          <w:szCs w:val="22"/>
        </w:rPr>
        <w:t xml:space="preserve"> a population whose tumours express TPS ≥1% PD-L1 (that is</w:t>
      </w:r>
      <w:r w:rsidR="00375B7A" w:rsidRPr="00675587">
        <w:rPr>
          <w:rFonts w:ascii="Arial" w:hAnsi="Arial" w:cs="Arial"/>
          <w:sz w:val="22"/>
          <w:szCs w:val="22"/>
        </w:rPr>
        <w:t>,</w:t>
      </w:r>
      <w:r w:rsidRPr="00675587">
        <w:rPr>
          <w:rFonts w:ascii="Arial" w:hAnsi="Arial" w:cs="Arial"/>
          <w:sz w:val="22"/>
          <w:szCs w:val="22"/>
        </w:rPr>
        <w:t xml:space="preserve"> regardless of</w:t>
      </w:r>
      <w:r w:rsidR="00463605" w:rsidRPr="00675587">
        <w:rPr>
          <w:rFonts w:ascii="Arial" w:hAnsi="Arial" w:cs="Arial"/>
          <w:sz w:val="22"/>
          <w:szCs w:val="22"/>
        </w:rPr>
        <w:t xml:space="preserve"> the</w:t>
      </w:r>
      <w:r w:rsidRPr="00675587">
        <w:rPr>
          <w:rFonts w:ascii="Arial" w:hAnsi="Arial" w:cs="Arial"/>
          <w:sz w:val="22"/>
          <w:szCs w:val="22"/>
        </w:rPr>
        <w:t xml:space="preserve"> </w:t>
      </w:r>
      <w:r w:rsidR="00375B7A" w:rsidRPr="00675587">
        <w:rPr>
          <w:rFonts w:ascii="Arial" w:hAnsi="Arial" w:cs="Arial"/>
          <w:sz w:val="22"/>
          <w:szCs w:val="22"/>
        </w:rPr>
        <w:t xml:space="preserve">level </w:t>
      </w:r>
      <w:r w:rsidRPr="00675587">
        <w:rPr>
          <w:rFonts w:ascii="Arial" w:hAnsi="Arial" w:cs="Arial"/>
          <w:sz w:val="22"/>
          <w:szCs w:val="22"/>
        </w:rPr>
        <w:t xml:space="preserve">of </w:t>
      </w:r>
      <w:r w:rsidR="00463605" w:rsidRPr="00675587">
        <w:rPr>
          <w:rFonts w:ascii="Arial" w:hAnsi="Arial" w:cs="Arial"/>
          <w:sz w:val="22"/>
          <w:szCs w:val="22"/>
        </w:rPr>
        <w:t>PD-L1 expression</w:t>
      </w:r>
      <w:r w:rsidRPr="00675587">
        <w:rPr>
          <w:rFonts w:ascii="Arial" w:hAnsi="Arial" w:cs="Arial"/>
          <w:sz w:val="22"/>
          <w:szCs w:val="22"/>
        </w:rPr>
        <w:t xml:space="preserve">), </w:t>
      </w:r>
      <w:r w:rsidR="00463605" w:rsidRPr="00675587">
        <w:rPr>
          <w:rFonts w:ascii="Arial" w:hAnsi="Arial" w:cs="Arial"/>
          <w:sz w:val="22"/>
          <w:szCs w:val="22"/>
        </w:rPr>
        <w:t>if it was</w:t>
      </w:r>
      <w:r w:rsidRPr="00675587">
        <w:rPr>
          <w:rFonts w:ascii="Arial" w:hAnsi="Arial" w:cs="Arial"/>
          <w:sz w:val="22"/>
          <w:szCs w:val="22"/>
        </w:rPr>
        <w:t xml:space="preserve"> deemed to be more appropriate for PBS </w:t>
      </w:r>
      <w:r w:rsidR="00375B7A" w:rsidRPr="00675587">
        <w:rPr>
          <w:rFonts w:ascii="Arial" w:hAnsi="Arial" w:cs="Arial"/>
          <w:sz w:val="22"/>
          <w:szCs w:val="22"/>
        </w:rPr>
        <w:t>listing</w:t>
      </w:r>
      <w:r w:rsidRPr="00675587">
        <w:rPr>
          <w:rFonts w:ascii="Arial" w:hAnsi="Arial" w:cs="Arial"/>
          <w:sz w:val="22"/>
          <w:szCs w:val="22"/>
        </w:rPr>
        <w:t xml:space="preserve">. The key trial included </w:t>
      </w:r>
      <w:r w:rsidR="00463605" w:rsidRPr="00675587">
        <w:rPr>
          <w:rFonts w:ascii="Arial" w:hAnsi="Arial" w:cs="Arial"/>
          <w:sz w:val="22"/>
          <w:szCs w:val="22"/>
        </w:rPr>
        <w:t>in</w:t>
      </w:r>
      <w:r w:rsidRPr="00675587">
        <w:rPr>
          <w:rFonts w:ascii="Arial" w:hAnsi="Arial" w:cs="Arial"/>
          <w:sz w:val="22"/>
          <w:szCs w:val="22"/>
        </w:rPr>
        <w:t xml:space="preserve"> </w:t>
      </w:r>
      <w:r w:rsidR="00375B7A" w:rsidRPr="00675587">
        <w:rPr>
          <w:rFonts w:ascii="Arial" w:hAnsi="Arial" w:cs="Arial"/>
          <w:sz w:val="22"/>
          <w:szCs w:val="22"/>
        </w:rPr>
        <w:t>this</w:t>
      </w:r>
      <w:r w:rsidRPr="00675587">
        <w:rPr>
          <w:rFonts w:ascii="Arial" w:hAnsi="Arial" w:cs="Arial"/>
          <w:sz w:val="22"/>
          <w:szCs w:val="22"/>
        </w:rPr>
        <w:t xml:space="preserve"> submission (KN-010) only enrolled patients whose tumours expressed PD-L1</w:t>
      </w:r>
      <w:r w:rsidR="00463605" w:rsidRPr="00675587">
        <w:rPr>
          <w:rFonts w:ascii="Arial" w:hAnsi="Arial" w:cs="Arial"/>
          <w:sz w:val="22"/>
          <w:szCs w:val="22"/>
        </w:rPr>
        <w:t xml:space="preserve"> (TPS ≥1%)</w:t>
      </w:r>
      <w:r w:rsidR="00EF109C" w:rsidRPr="00675587">
        <w:rPr>
          <w:rFonts w:ascii="Arial" w:hAnsi="Arial" w:cs="Arial"/>
          <w:sz w:val="22"/>
          <w:szCs w:val="22"/>
        </w:rPr>
        <w:t>,</w:t>
      </w:r>
      <w:r w:rsidRPr="00675587">
        <w:rPr>
          <w:rFonts w:ascii="Arial" w:hAnsi="Arial" w:cs="Arial"/>
          <w:sz w:val="22"/>
          <w:szCs w:val="22"/>
        </w:rPr>
        <w:t xml:space="preserve"> with the </w:t>
      </w:r>
      <w:proofErr w:type="spellStart"/>
      <w:r w:rsidRPr="00675587">
        <w:rPr>
          <w:rFonts w:ascii="Arial" w:hAnsi="Arial" w:cs="Arial"/>
          <w:sz w:val="22"/>
          <w:szCs w:val="22"/>
        </w:rPr>
        <w:t>prespecified</w:t>
      </w:r>
      <w:proofErr w:type="spellEnd"/>
      <w:r w:rsidRPr="00675587">
        <w:rPr>
          <w:rFonts w:ascii="Arial" w:hAnsi="Arial" w:cs="Arial"/>
          <w:sz w:val="22"/>
          <w:szCs w:val="22"/>
        </w:rPr>
        <w:t xml:space="preserve"> </w:t>
      </w:r>
      <w:r w:rsidR="00963FD5" w:rsidRPr="00675587">
        <w:rPr>
          <w:rFonts w:ascii="Arial" w:hAnsi="Arial" w:cs="Arial"/>
          <w:sz w:val="22"/>
          <w:szCs w:val="22"/>
        </w:rPr>
        <w:t>subgroup</w:t>
      </w:r>
      <w:r w:rsidRPr="00675587">
        <w:rPr>
          <w:rFonts w:ascii="Arial" w:hAnsi="Arial" w:cs="Arial"/>
          <w:sz w:val="22"/>
          <w:szCs w:val="22"/>
        </w:rPr>
        <w:t xml:space="preserve"> analysis of </w:t>
      </w:r>
      <w:r w:rsidR="00463605" w:rsidRPr="00675587">
        <w:rPr>
          <w:rFonts w:ascii="Arial" w:hAnsi="Arial" w:cs="Arial"/>
          <w:sz w:val="22"/>
          <w:szCs w:val="22"/>
        </w:rPr>
        <w:t>overall survival (</w:t>
      </w:r>
      <w:r w:rsidRPr="00675587">
        <w:rPr>
          <w:rFonts w:ascii="Arial" w:hAnsi="Arial" w:cs="Arial"/>
          <w:sz w:val="22"/>
          <w:szCs w:val="22"/>
        </w:rPr>
        <w:t>OS</w:t>
      </w:r>
      <w:r w:rsidR="00463605" w:rsidRPr="00675587">
        <w:rPr>
          <w:rFonts w:ascii="Arial" w:hAnsi="Arial" w:cs="Arial"/>
          <w:sz w:val="22"/>
          <w:szCs w:val="22"/>
        </w:rPr>
        <w:t>)</w:t>
      </w:r>
      <w:r w:rsidRPr="00675587">
        <w:rPr>
          <w:rFonts w:ascii="Arial" w:hAnsi="Arial" w:cs="Arial"/>
          <w:sz w:val="22"/>
          <w:szCs w:val="22"/>
        </w:rPr>
        <w:t xml:space="preserve"> in the TPS ≥50% stratum.</w:t>
      </w:r>
    </w:p>
    <w:p w:rsidR="00A74260" w:rsidRDefault="00A74260" w:rsidP="00D719D6">
      <w:pPr>
        <w:pStyle w:val="ListParagraph"/>
        <w:ind w:left="0" w:firstLine="0"/>
        <w:rPr>
          <w:rFonts w:ascii="Arial" w:hAnsi="Arial" w:cs="Arial"/>
          <w:sz w:val="22"/>
          <w:szCs w:val="22"/>
        </w:rPr>
      </w:pPr>
    </w:p>
    <w:p w:rsidR="0095055D" w:rsidRPr="00675587" w:rsidRDefault="00463605" w:rsidP="009C3A29">
      <w:pPr>
        <w:pStyle w:val="ListParagraph"/>
        <w:numPr>
          <w:ilvl w:val="1"/>
          <w:numId w:val="3"/>
        </w:numPr>
        <w:ind w:left="720"/>
        <w:rPr>
          <w:rFonts w:ascii="Arial" w:hAnsi="Arial" w:cs="Arial"/>
          <w:sz w:val="22"/>
          <w:szCs w:val="22"/>
        </w:rPr>
      </w:pPr>
      <w:r w:rsidRPr="00675587">
        <w:rPr>
          <w:rFonts w:ascii="Arial" w:hAnsi="Arial" w:cs="Arial"/>
          <w:sz w:val="22"/>
          <w:szCs w:val="22"/>
        </w:rPr>
        <w:t>As</w:t>
      </w:r>
      <w:r w:rsidR="0095055D" w:rsidRPr="00675587">
        <w:rPr>
          <w:rFonts w:ascii="Arial" w:hAnsi="Arial" w:cs="Arial"/>
          <w:sz w:val="22"/>
          <w:szCs w:val="22"/>
        </w:rPr>
        <w:t xml:space="preserve"> PD-L1 expression is a continuum</w:t>
      </w:r>
      <w:r w:rsidRPr="00675587">
        <w:rPr>
          <w:rFonts w:ascii="Arial" w:hAnsi="Arial" w:cs="Arial"/>
          <w:sz w:val="22"/>
          <w:szCs w:val="22"/>
        </w:rPr>
        <w:t>,</w:t>
      </w:r>
      <w:r w:rsidR="0095055D" w:rsidRPr="00675587">
        <w:rPr>
          <w:rFonts w:ascii="Arial" w:hAnsi="Arial" w:cs="Arial"/>
          <w:sz w:val="22"/>
          <w:szCs w:val="22"/>
        </w:rPr>
        <w:t xml:space="preserve"> nominating a </w:t>
      </w:r>
      <w:r w:rsidR="001A373C">
        <w:rPr>
          <w:rFonts w:ascii="Arial" w:hAnsi="Arial" w:cs="Arial"/>
          <w:sz w:val="22"/>
          <w:szCs w:val="22"/>
        </w:rPr>
        <w:t xml:space="preserve">threshold </w:t>
      </w:r>
      <w:r w:rsidR="0095055D" w:rsidRPr="00675587">
        <w:rPr>
          <w:rFonts w:ascii="Arial" w:hAnsi="Arial" w:cs="Arial"/>
          <w:sz w:val="22"/>
          <w:szCs w:val="22"/>
        </w:rPr>
        <w:t xml:space="preserve">to reflect a </w:t>
      </w:r>
      <w:r w:rsidR="002077D2">
        <w:rPr>
          <w:rFonts w:ascii="Arial" w:hAnsi="Arial" w:cs="Arial"/>
          <w:sz w:val="22"/>
          <w:szCs w:val="22"/>
        </w:rPr>
        <w:t>“</w:t>
      </w:r>
      <w:r w:rsidR="0095055D" w:rsidRPr="00675587">
        <w:rPr>
          <w:rFonts w:ascii="Arial" w:hAnsi="Arial" w:cs="Arial"/>
          <w:sz w:val="22"/>
          <w:szCs w:val="22"/>
        </w:rPr>
        <w:t>biomarker positive</w:t>
      </w:r>
      <w:r w:rsidR="002077D2">
        <w:rPr>
          <w:rFonts w:ascii="Arial" w:hAnsi="Arial" w:cs="Arial"/>
          <w:sz w:val="22"/>
          <w:szCs w:val="22"/>
        </w:rPr>
        <w:t>”</w:t>
      </w:r>
      <w:r w:rsidR="0095055D" w:rsidRPr="00675587">
        <w:rPr>
          <w:rFonts w:ascii="Arial" w:hAnsi="Arial" w:cs="Arial"/>
          <w:sz w:val="22"/>
          <w:szCs w:val="22"/>
        </w:rPr>
        <w:t xml:space="preserve"> </w:t>
      </w:r>
      <w:r w:rsidR="002077D2">
        <w:rPr>
          <w:rFonts w:ascii="Arial" w:hAnsi="Arial" w:cs="Arial"/>
          <w:sz w:val="22"/>
          <w:szCs w:val="22"/>
        </w:rPr>
        <w:t xml:space="preserve">TPS </w:t>
      </w:r>
      <w:r w:rsidR="0095055D" w:rsidRPr="00675587">
        <w:rPr>
          <w:rFonts w:ascii="Arial" w:hAnsi="Arial" w:cs="Arial"/>
          <w:sz w:val="22"/>
          <w:szCs w:val="22"/>
        </w:rPr>
        <w:t xml:space="preserve">for a predictive effect </w:t>
      </w:r>
      <w:r w:rsidRPr="00675587">
        <w:rPr>
          <w:rFonts w:ascii="Arial" w:hAnsi="Arial" w:cs="Arial"/>
          <w:sz w:val="22"/>
          <w:szCs w:val="22"/>
        </w:rPr>
        <w:t>was</w:t>
      </w:r>
      <w:r w:rsidR="0095055D" w:rsidRPr="00675587">
        <w:rPr>
          <w:rFonts w:ascii="Arial" w:hAnsi="Arial" w:cs="Arial"/>
          <w:sz w:val="22"/>
          <w:szCs w:val="22"/>
        </w:rPr>
        <w:t xml:space="preserve"> arbitrary and </w:t>
      </w:r>
      <w:r w:rsidRPr="00675587">
        <w:rPr>
          <w:rFonts w:ascii="Arial" w:hAnsi="Arial" w:cs="Arial"/>
          <w:sz w:val="22"/>
          <w:szCs w:val="22"/>
        </w:rPr>
        <w:t>may</w:t>
      </w:r>
      <w:r w:rsidR="0095055D" w:rsidRPr="00675587">
        <w:rPr>
          <w:rFonts w:ascii="Arial" w:hAnsi="Arial" w:cs="Arial"/>
          <w:sz w:val="22"/>
          <w:szCs w:val="22"/>
        </w:rPr>
        <w:t xml:space="preserve"> change </w:t>
      </w:r>
      <w:r w:rsidRPr="00675587">
        <w:rPr>
          <w:rFonts w:ascii="Arial" w:hAnsi="Arial" w:cs="Arial"/>
          <w:sz w:val="22"/>
          <w:szCs w:val="22"/>
        </w:rPr>
        <w:t xml:space="preserve">with evolving </w:t>
      </w:r>
      <w:r w:rsidR="0095055D" w:rsidRPr="00675587">
        <w:rPr>
          <w:rFonts w:ascii="Arial" w:hAnsi="Arial" w:cs="Arial"/>
          <w:sz w:val="22"/>
          <w:szCs w:val="22"/>
        </w:rPr>
        <w:t>clinical data.</w:t>
      </w:r>
      <w:r w:rsidRPr="00675587">
        <w:rPr>
          <w:rFonts w:ascii="Arial" w:hAnsi="Arial" w:cs="Arial"/>
          <w:sz w:val="22"/>
          <w:szCs w:val="22"/>
        </w:rPr>
        <w:t xml:space="preserve"> </w:t>
      </w:r>
      <w:r w:rsidR="00E250D7" w:rsidRPr="00675587">
        <w:rPr>
          <w:rFonts w:ascii="Arial" w:hAnsi="Arial" w:cs="Arial"/>
          <w:sz w:val="22"/>
          <w:szCs w:val="22"/>
        </w:rPr>
        <w:t>The Pre-Sub-Committee Response (PSCR</w:t>
      </w:r>
      <w:r w:rsidR="002E75AA" w:rsidRPr="00675587">
        <w:rPr>
          <w:rFonts w:ascii="Arial" w:hAnsi="Arial" w:cs="Arial"/>
          <w:sz w:val="22"/>
          <w:szCs w:val="22"/>
        </w:rPr>
        <w:t>, p8</w:t>
      </w:r>
      <w:r w:rsidR="00E250D7" w:rsidRPr="00675587">
        <w:rPr>
          <w:rFonts w:ascii="Arial" w:hAnsi="Arial" w:cs="Arial"/>
          <w:sz w:val="22"/>
          <w:szCs w:val="22"/>
        </w:rPr>
        <w:t xml:space="preserve">) acknowledged that PD-L1 expression is a continuum, however it argued that the TPS ≥50% point was clinically validated in the KN-010 trial and was not an arbitrary choice. </w:t>
      </w:r>
      <w:r w:rsidR="00EF109C" w:rsidRPr="00675587">
        <w:rPr>
          <w:rFonts w:ascii="Arial" w:hAnsi="Arial" w:cs="Arial"/>
          <w:sz w:val="22"/>
          <w:szCs w:val="22"/>
        </w:rPr>
        <w:t>The ESC</w:t>
      </w:r>
      <w:r w:rsidR="00173899" w:rsidRPr="00675587">
        <w:rPr>
          <w:rFonts w:ascii="Arial" w:hAnsi="Arial" w:cs="Arial"/>
          <w:sz w:val="22"/>
          <w:szCs w:val="22"/>
        </w:rPr>
        <w:t>s</w:t>
      </w:r>
      <w:r w:rsidR="00EF109C" w:rsidRPr="00675587">
        <w:rPr>
          <w:rFonts w:ascii="Arial" w:hAnsi="Arial" w:cs="Arial"/>
          <w:sz w:val="22"/>
          <w:szCs w:val="22"/>
        </w:rPr>
        <w:t xml:space="preserve"> agreed with the commentary that the TPS ≥50%</w:t>
      </w:r>
      <w:r w:rsidR="00543306" w:rsidRPr="00675587">
        <w:rPr>
          <w:rFonts w:ascii="Arial" w:hAnsi="Arial" w:cs="Arial"/>
          <w:sz w:val="22"/>
          <w:szCs w:val="22"/>
        </w:rPr>
        <w:t xml:space="preserve"> </w:t>
      </w:r>
      <w:r w:rsidR="00D0739F" w:rsidRPr="00675587">
        <w:rPr>
          <w:rFonts w:ascii="Arial" w:hAnsi="Arial" w:cs="Arial"/>
          <w:sz w:val="22"/>
          <w:szCs w:val="22"/>
        </w:rPr>
        <w:t>threshold</w:t>
      </w:r>
      <w:r w:rsidR="00543306" w:rsidRPr="00675587">
        <w:rPr>
          <w:rFonts w:ascii="Arial" w:hAnsi="Arial" w:cs="Arial"/>
          <w:sz w:val="22"/>
          <w:szCs w:val="22"/>
        </w:rPr>
        <w:t xml:space="preserve"> </w:t>
      </w:r>
      <w:r w:rsidR="000D1A0B" w:rsidRPr="00675587">
        <w:rPr>
          <w:rFonts w:ascii="Arial" w:hAnsi="Arial" w:cs="Arial"/>
          <w:sz w:val="22"/>
          <w:szCs w:val="22"/>
        </w:rPr>
        <w:t xml:space="preserve">to be </w:t>
      </w:r>
      <w:r w:rsidR="00543306" w:rsidRPr="00675587">
        <w:rPr>
          <w:rFonts w:ascii="Arial" w:hAnsi="Arial" w:cs="Arial"/>
          <w:sz w:val="22"/>
          <w:szCs w:val="22"/>
        </w:rPr>
        <w:t>eligib</w:t>
      </w:r>
      <w:r w:rsidR="000D1A0B" w:rsidRPr="00675587">
        <w:rPr>
          <w:rFonts w:ascii="Arial" w:hAnsi="Arial" w:cs="Arial"/>
          <w:sz w:val="22"/>
          <w:szCs w:val="22"/>
        </w:rPr>
        <w:t>le for pembrolizumab treatment in NSCLC</w:t>
      </w:r>
      <w:r w:rsidR="00543306" w:rsidRPr="00675587">
        <w:rPr>
          <w:rFonts w:ascii="Arial" w:hAnsi="Arial" w:cs="Arial"/>
          <w:sz w:val="22"/>
          <w:szCs w:val="22"/>
        </w:rPr>
        <w:t xml:space="preserve"> </w:t>
      </w:r>
      <w:r w:rsidR="00EF109C" w:rsidRPr="00675587">
        <w:rPr>
          <w:rFonts w:ascii="Arial" w:hAnsi="Arial" w:cs="Arial"/>
          <w:sz w:val="22"/>
          <w:szCs w:val="22"/>
        </w:rPr>
        <w:t xml:space="preserve">was arbitrary and </w:t>
      </w:r>
      <w:r w:rsidR="00E250D7" w:rsidRPr="00675587">
        <w:rPr>
          <w:rFonts w:ascii="Arial" w:hAnsi="Arial" w:cs="Arial"/>
          <w:sz w:val="22"/>
          <w:szCs w:val="22"/>
        </w:rPr>
        <w:t xml:space="preserve">considered that this </w:t>
      </w:r>
      <w:r w:rsidR="00D0739F" w:rsidRPr="00675587">
        <w:rPr>
          <w:rFonts w:ascii="Arial" w:hAnsi="Arial" w:cs="Arial"/>
          <w:sz w:val="22"/>
          <w:szCs w:val="22"/>
        </w:rPr>
        <w:t>threshold</w:t>
      </w:r>
      <w:r w:rsidR="00EF109C" w:rsidRPr="00675587">
        <w:rPr>
          <w:rFonts w:ascii="Arial" w:hAnsi="Arial" w:cs="Arial"/>
          <w:sz w:val="22"/>
          <w:szCs w:val="22"/>
        </w:rPr>
        <w:t xml:space="preserve"> </w:t>
      </w:r>
      <w:r w:rsidR="000D1A0B" w:rsidRPr="00675587">
        <w:rPr>
          <w:rFonts w:ascii="Arial" w:hAnsi="Arial" w:cs="Arial"/>
          <w:sz w:val="22"/>
          <w:szCs w:val="22"/>
        </w:rPr>
        <w:t xml:space="preserve">would </w:t>
      </w:r>
      <w:r w:rsidR="00EF109C" w:rsidRPr="00675587">
        <w:rPr>
          <w:rFonts w:ascii="Arial" w:hAnsi="Arial" w:cs="Arial"/>
          <w:sz w:val="22"/>
          <w:szCs w:val="22"/>
        </w:rPr>
        <w:t xml:space="preserve">exclude patients who </w:t>
      </w:r>
      <w:r w:rsidR="000D1A0B" w:rsidRPr="00675587">
        <w:rPr>
          <w:rFonts w:ascii="Arial" w:hAnsi="Arial" w:cs="Arial"/>
          <w:sz w:val="22"/>
          <w:szCs w:val="22"/>
        </w:rPr>
        <w:t>express</w:t>
      </w:r>
      <w:r w:rsidR="00EF109C" w:rsidRPr="00675587">
        <w:rPr>
          <w:rFonts w:ascii="Arial" w:hAnsi="Arial" w:cs="Arial"/>
          <w:sz w:val="22"/>
          <w:szCs w:val="22"/>
        </w:rPr>
        <w:t xml:space="preserve"> </w:t>
      </w:r>
      <w:r w:rsidR="004D64EB" w:rsidRPr="00675587">
        <w:rPr>
          <w:rFonts w:ascii="Arial" w:hAnsi="Arial" w:cs="Arial"/>
          <w:sz w:val="22"/>
          <w:szCs w:val="22"/>
        </w:rPr>
        <w:t>lower levels of PD-L1</w:t>
      </w:r>
      <w:r w:rsidR="00963FD5" w:rsidRPr="00675587">
        <w:rPr>
          <w:rFonts w:ascii="Arial" w:hAnsi="Arial" w:cs="Arial"/>
          <w:sz w:val="22"/>
          <w:szCs w:val="22"/>
        </w:rPr>
        <w:t>,</w:t>
      </w:r>
      <w:r w:rsidR="004D64EB" w:rsidRPr="00675587">
        <w:rPr>
          <w:rFonts w:ascii="Arial" w:hAnsi="Arial" w:cs="Arial"/>
          <w:sz w:val="22"/>
          <w:szCs w:val="22"/>
        </w:rPr>
        <w:t xml:space="preserve"> but nonetheless </w:t>
      </w:r>
      <w:r w:rsidR="00D0739F" w:rsidRPr="00675587">
        <w:rPr>
          <w:rFonts w:ascii="Arial" w:hAnsi="Arial" w:cs="Arial"/>
          <w:sz w:val="22"/>
          <w:szCs w:val="22"/>
        </w:rPr>
        <w:t xml:space="preserve">would </w:t>
      </w:r>
      <w:r w:rsidR="00EF109C" w:rsidRPr="00675587">
        <w:rPr>
          <w:rFonts w:ascii="Arial" w:hAnsi="Arial" w:cs="Arial"/>
          <w:sz w:val="22"/>
          <w:szCs w:val="22"/>
        </w:rPr>
        <w:t>benefit from</w:t>
      </w:r>
      <w:r w:rsidR="00095672" w:rsidRPr="00675587">
        <w:rPr>
          <w:rFonts w:ascii="Arial" w:hAnsi="Arial" w:cs="Arial"/>
          <w:sz w:val="22"/>
          <w:szCs w:val="22"/>
        </w:rPr>
        <w:t xml:space="preserve"> pembrolizumab</w:t>
      </w:r>
      <w:r w:rsidR="004D64EB" w:rsidRPr="00675587">
        <w:rPr>
          <w:rFonts w:ascii="Arial" w:hAnsi="Arial" w:cs="Arial"/>
          <w:sz w:val="22"/>
          <w:szCs w:val="22"/>
        </w:rPr>
        <w:t xml:space="preserve"> treatment</w:t>
      </w:r>
      <w:r w:rsidR="00EF109C" w:rsidRPr="00675587">
        <w:rPr>
          <w:rFonts w:ascii="Arial" w:hAnsi="Arial" w:cs="Arial"/>
          <w:sz w:val="22"/>
          <w:szCs w:val="22"/>
        </w:rPr>
        <w:t>.</w:t>
      </w:r>
      <w:r w:rsidR="00ED345A">
        <w:rPr>
          <w:rFonts w:ascii="Arial" w:hAnsi="Arial" w:cs="Arial"/>
          <w:sz w:val="22"/>
          <w:szCs w:val="22"/>
        </w:rPr>
        <w:t xml:space="preserve"> The pre-PBAC response </w:t>
      </w:r>
      <w:r w:rsidR="00015A30">
        <w:rPr>
          <w:rFonts w:ascii="Arial" w:hAnsi="Arial" w:cs="Arial"/>
          <w:sz w:val="22"/>
          <w:szCs w:val="22"/>
        </w:rPr>
        <w:t xml:space="preserve">(p.3) </w:t>
      </w:r>
      <w:r w:rsidR="00ED345A">
        <w:rPr>
          <w:rFonts w:ascii="Arial" w:hAnsi="Arial" w:cs="Arial"/>
          <w:sz w:val="22"/>
          <w:szCs w:val="22"/>
        </w:rPr>
        <w:t xml:space="preserve">stated that the </w:t>
      </w:r>
      <w:r w:rsidR="00ED345A" w:rsidRPr="00675587">
        <w:rPr>
          <w:rFonts w:ascii="Arial" w:hAnsi="Arial" w:cs="Arial"/>
          <w:sz w:val="22"/>
          <w:szCs w:val="22"/>
        </w:rPr>
        <w:t>TPS ≥50%</w:t>
      </w:r>
      <w:r w:rsidR="00ED345A">
        <w:rPr>
          <w:rFonts w:ascii="Arial" w:hAnsi="Arial" w:cs="Arial"/>
          <w:sz w:val="22"/>
          <w:szCs w:val="22"/>
        </w:rPr>
        <w:t xml:space="preserve"> threshold was chosen to balance ease of implementation and improve the positive predictive value of the test while maintaining an acceptable negative predictive value, on the basis of the receiver operating characteristic (ROC) curve analysis. </w:t>
      </w:r>
      <w:r w:rsidR="00540EB3">
        <w:rPr>
          <w:rFonts w:ascii="Arial" w:hAnsi="Arial" w:cs="Arial"/>
          <w:sz w:val="22"/>
          <w:szCs w:val="22"/>
        </w:rPr>
        <w:t xml:space="preserve">The PBAC expressed concerns about the rationale for using a </w:t>
      </w:r>
      <w:r w:rsidR="00540EB3" w:rsidRPr="00675587">
        <w:rPr>
          <w:rFonts w:ascii="Arial" w:hAnsi="Arial" w:cs="Arial"/>
          <w:sz w:val="22"/>
          <w:szCs w:val="22"/>
        </w:rPr>
        <w:t>TPS ≥50%</w:t>
      </w:r>
      <w:r w:rsidR="00540EB3">
        <w:rPr>
          <w:rFonts w:ascii="Arial" w:hAnsi="Arial" w:cs="Arial"/>
          <w:sz w:val="22"/>
          <w:szCs w:val="22"/>
        </w:rPr>
        <w:t xml:space="preserve"> threshold simply on the basis that this point gives equal weight to sensitivity and specificity. The PBAC considered that alternative thresholds could be selected on the basis of different preferences for under- and over-treatment.</w:t>
      </w:r>
    </w:p>
    <w:p w:rsidR="0095055D" w:rsidRPr="00675587" w:rsidRDefault="0095055D" w:rsidP="00C565A6">
      <w:pPr>
        <w:pStyle w:val="ListParagraph"/>
        <w:ind w:left="0" w:firstLine="0"/>
        <w:rPr>
          <w:rFonts w:ascii="Arial" w:hAnsi="Arial" w:cs="Arial"/>
          <w:sz w:val="22"/>
          <w:szCs w:val="22"/>
        </w:rPr>
      </w:pPr>
    </w:p>
    <w:p w:rsidR="0095055D" w:rsidRPr="005C537E" w:rsidRDefault="0095055D" w:rsidP="005C537E">
      <w:pPr>
        <w:pStyle w:val="ListParagraph"/>
        <w:numPr>
          <w:ilvl w:val="1"/>
          <w:numId w:val="3"/>
        </w:numPr>
        <w:ind w:left="720"/>
        <w:rPr>
          <w:rFonts w:ascii="Arial" w:hAnsi="Arial" w:cs="Arial"/>
          <w:sz w:val="22"/>
          <w:szCs w:val="22"/>
        </w:rPr>
      </w:pPr>
      <w:r w:rsidRPr="00675587">
        <w:rPr>
          <w:rFonts w:ascii="Arial" w:hAnsi="Arial" w:cs="Arial"/>
          <w:sz w:val="22"/>
          <w:szCs w:val="22"/>
        </w:rPr>
        <w:t xml:space="preserve">Two ongoing trials in the first-line NSCLC setting (KN-024 and KN-042) comparing pembrolizumab with platinum-based chemotherapies in </w:t>
      </w:r>
      <w:r w:rsidRPr="00675587">
        <w:rPr>
          <w:rFonts w:ascii="Arial" w:hAnsi="Arial" w:cs="Arial"/>
          <w:sz w:val="22"/>
          <w:szCs w:val="22"/>
          <w:u w:val="single"/>
        </w:rPr>
        <w:t xml:space="preserve">treatment-naïve patients, </w:t>
      </w:r>
      <w:r w:rsidRPr="00675587">
        <w:rPr>
          <w:rFonts w:ascii="Arial" w:hAnsi="Arial" w:cs="Arial"/>
          <w:sz w:val="22"/>
          <w:szCs w:val="22"/>
        </w:rPr>
        <w:t xml:space="preserve">only enrolled patients whose tumours express PD-L1. Similar to the KN-010 trial, the </w:t>
      </w:r>
      <w:r w:rsidRPr="00675587">
        <w:rPr>
          <w:rFonts w:ascii="Arial" w:hAnsi="Arial" w:cs="Arial"/>
          <w:sz w:val="22"/>
          <w:szCs w:val="22"/>
        </w:rPr>
        <w:lastRenderedPageBreak/>
        <w:t xml:space="preserve">KN-042 trial only enrolled patients with a PD-L1 TPS of ≥1% (with the </w:t>
      </w:r>
      <w:proofErr w:type="spellStart"/>
      <w:r w:rsidRPr="00675587">
        <w:rPr>
          <w:rFonts w:ascii="Arial" w:hAnsi="Arial" w:cs="Arial"/>
          <w:sz w:val="22"/>
          <w:szCs w:val="22"/>
        </w:rPr>
        <w:t>prespecified</w:t>
      </w:r>
      <w:proofErr w:type="spellEnd"/>
      <w:r w:rsidRPr="00675587">
        <w:rPr>
          <w:rFonts w:ascii="Arial" w:hAnsi="Arial" w:cs="Arial"/>
          <w:sz w:val="22"/>
          <w:szCs w:val="22"/>
        </w:rPr>
        <w:t xml:space="preserve"> primary analysis also based on the PD-L1 TPS ≥50% stratum). The KN</w:t>
      </w:r>
      <w:r w:rsidR="00C565A6" w:rsidRPr="00675587">
        <w:rPr>
          <w:rFonts w:ascii="Arial" w:hAnsi="Arial" w:cs="Arial"/>
          <w:sz w:val="22"/>
          <w:szCs w:val="22"/>
        </w:rPr>
        <w:t>-</w:t>
      </w:r>
      <w:r w:rsidRPr="00675587">
        <w:rPr>
          <w:rFonts w:ascii="Arial" w:hAnsi="Arial" w:cs="Arial"/>
          <w:sz w:val="22"/>
          <w:szCs w:val="22"/>
        </w:rPr>
        <w:t>024 trial was restricted only to</w:t>
      </w:r>
      <w:r w:rsidR="002077D2">
        <w:rPr>
          <w:rFonts w:ascii="Arial" w:hAnsi="Arial" w:cs="Arial"/>
          <w:sz w:val="22"/>
          <w:szCs w:val="22"/>
        </w:rPr>
        <w:t xml:space="preserve"> patients with a PD-L1 TPS of ≥</w:t>
      </w:r>
      <w:r w:rsidRPr="00675587">
        <w:rPr>
          <w:rFonts w:ascii="Arial" w:hAnsi="Arial" w:cs="Arial"/>
          <w:sz w:val="22"/>
          <w:szCs w:val="22"/>
        </w:rPr>
        <w:t>50%.</w:t>
      </w:r>
    </w:p>
    <w:p w:rsidR="0095055D" w:rsidRPr="00675587" w:rsidRDefault="0095055D" w:rsidP="00A36DD4">
      <w:pPr>
        <w:rPr>
          <w:rFonts w:ascii="Arial" w:hAnsi="Arial" w:cs="Arial"/>
          <w:sz w:val="22"/>
          <w:szCs w:val="22"/>
        </w:rPr>
      </w:pPr>
      <w:bookmarkStart w:id="12" w:name="_Toc431891723"/>
    </w:p>
    <w:p w:rsidR="0095055D" w:rsidRPr="00675587" w:rsidRDefault="0095055D" w:rsidP="009C3A29">
      <w:pPr>
        <w:pStyle w:val="ListParagraph"/>
        <w:numPr>
          <w:ilvl w:val="1"/>
          <w:numId w:val="3"/>
        </w:numPr>
        <w:ind w:left="720"/>
        <w:rPr>
          <w:rFonts w:ascii="Arial" w:hAnsi="Arial" w:cs="Arial"/>
          <w:sz w:val="22"/>
          <w:szCs w:val="22"/>
        </w:rPr>
      </w:pPr>
      <w:r w:rsidRPr="00675587">
        <w:rPr>
          <w:rFonts w:ascii="Arial" w:hAnsi="Arial" w:cs="Arial"/>
          <w:sz w:val="22"/>
          <w:szCs w:val="22"/>
        </w:rPr>
        <w:t>The requested restriction did not specify performance status (PS), although the key trial only included patients with an Eastern Cooperative Oncology Group (ECOG) PS of 0 or 1.</w:t>
      </w:r>
      <w:r w:rsidR="00015A30">
        <w:rPr>
          <w:rFonts w:ascii="Arial" w:hAnsi="Arial" w:cs="Arial"/>
          <w:sz w:val="22"/>
          <w:szCs w:val="22"/>
        </w:rPr>
        <w:t xml:space="preserve"> The PBAC considered that </w:t>
      </w:r>
      <w:r w:rsidR="00D719D6">
        <w:rPr>
          <w:rFonts w:ascii="Arial" w:hAnsi="Arial" w:cs="Arial"/>
          <w:sz w:val="22"/>
          <w:szCs w:val="22"/>
        </w:rPr>
        <w:t xml:space="preserve">any PBS restriction would require that </w:t>
      </w:r>
      <w:r w:rsidR="00015A30">
        <w:rPr>
          <w:rFonts w:ascii="Arial" w:hAnsi="Arial" w:cs="Arial"/>
          <w:sz w:val="22"/>
          <w:szCs w:val="22"/>
        </w:rPr>
        <w:t xml:space="preserve">patients initiating on pembrolizumab </w:t>
      </w:r>
      <w:r w:rsidR="00D719D6">
        <w:rPr>
          <w:rFonts w:ascii="Arial" w:hAnsi="Arial" w:cs="Arial"/>
          <w:sz w:val="22"/>
          <w:szCs w:val="22"/>
        </w:rPr>
        <w:t xml:space="preserve">would </w:t>
      </w:r>
      <w:r w:rsidR="00015A30">
        <w:rPr>
          <w:rFonts w:ascii="Arial" w:hAnsi="Arial" w:cs="Arial"/>
          <w:sz w:val="22"/>
          <w:szCs w:val="22"/>
        </w:rPr>
        <w:t>have a PS of 0 or 1.</w:t>
      </w:r>
    </w:p>
    <w:p w:rsidR="0095055D" w:rsidRPr="00675587" w:rsidRDefault="0095055D" w:rsidP="00A36DD4">
      <w:pPr>
        <w:rPr>
          <w:rFonts w:ascii="Arial" w:hAnsi="Arial" w:cs="Arial"/>
          <w:sz w:val="22"/>
          <w:szCs w:val="22"/>
        </w:rPr>
      </w:pPr>
    </w:p>
    <w:p w:rsidR="00925C1F" w:rsidRDefault="0095055D" w:rsidP="009C3A29">
      <w:pPr>
        <w:pStyle w:val="ListParagraph"/>
        <w:numPr>
          <w:ilvl w:val="1"/>
          <w:numId w:val="3"/>
        </w:numPr>
        <w:ind w:left="720"/>
        <w:rPr>
          <w:rFonts w:ascii="Arial" w:hAnsi="Arial" w:cs="Arial"/>
          <w:sz w:val="22"/>
          <w:szCs w:val="22"/>
        </w:rPr>
      </w:pPr>
      <w:r w:rsidRPr="00925C1F">
        <w:rPr>
          <w:rFonts w:ascii="Arial" w:hAnsi="Arial" w:cs="Arial"/>
          <w:sz w:val="22"/>
          <w:szCs w:val="22"/>
        </w:rPr>
        <w:t>The</w:t>
      </w:r>
      <w:r w:rsidR="00E250D7" w:rsidRPr="00925C1F">
        <w:rPr>
          <w:rFonts w:ascii="Arial" w:hAnsi="Arial" w:cs="Arial"/>
          <w:sz w:val="22"/>
          <w:szCs w:val="22"/>
        </w:rPr>
        <w:t xml:space="preserve"> submission did not </w:t>
      </w:r>
      <w:r w:rsidR="00540EB3">
        <w:rPr>
          <w:rFonts w:ascii="Arial" w:hAnsi="Arial" w:cs="Arial"/>
          <w:sz w:val="22"/>
          <w:szCs w:val="22"/>
        </w:rPr>
        <w:t>show</w:t>
      </w:r>
      <w:r w:rsidRPr="00925C1F">
        <w:rPr>
          <w:rFonts w:ascii="Arial" w:hAnsi="Arial" w:cs="Arial"/>
          <w:sz w:val="22"/>
          <w:szCs w:val="22"/>
        </w:rPr>
        <w:t xml:space="preserve"> that patients who fail a specific PD-L1 inhibitor would experience clinical benefit from another PD-1/PD-L1 inhibitor. </w:t>
      </w:r>
      <w:r w:rsidR="00925C1F" w:rsidRPr="00925C1F">
        <w:rPr>
          <w:rFonts w:ascii="Arial" w:hAnsi="Arial" w:cs="Arial"/>
          <w:sz w:val="22"/>
          <w:szCs w:val="22"/>
        </w:rPr>
        <w:t xml:space="preserve">The PBAC </w:t>
      </w:r>
      <w:r w:rsidR="00540EB3">
        <w:rPr>
          <w:rFonts w:ascii="Arial" w:hAnsi="Arial" w:cs="Arial"/>
          <w:sz w:val="22"/>
          <w:szCs w:val="22"/>
        </w:rPr>
        <w:t xml:space="preserve">therefore </w:t>
      </w:r>
      <w:r w:rsidR="00925C1F" w:rsidRPr="00925C1F">
        <w:rPr>
          <w:rFonts w:ascii="Arial" w:hAnsi="Arial" w:cs="Arial"/>
          <w:sz w:val="22"/>
          <w:szCs w:val="22"/>
        </w:rPr>
        <w:t>considered that</w:t>
      </w:r>
      <w:r w:rsidR="00D719D6">
        <w:rPr>
          <w:rFonts w:ascii="Arial" w:hAnsi="Arial" w:cs="Arial"/>
          <w:sz w:val="22"/>
          <w:szCs w:val="22"/>
        </w:rPr>
        <w:t>,</w:t>
      </w:r>
      <w:r w:rsidR="00925C1F" w:rsidRPr="00925C1F">
        <w:rPr>
          <w:rFonts w:ascii="Arial" w:hAnsi="Arial" w:cs="Arial"/>
          <w:sz w:val="22"/>
          <w:szCs w:val="22"/>
        </w:rPr>
        <w:t xml:space="preserve"> if another PD-1/PD-L1 inhibitor became PBS-listed</w:t>
      </w:r>
      <w:r w:rsidR="00925C1F">
        <w:rPr>
          <w:rFonts w:ascii="Arial" w:hAnsi="Arial" w:cs="Arial"/>
          <w:sz w:val="22"/>
          <w:szCs w:val="22"/>
        </w:rPr>
        <w:t xml:space="preserve"> for NSCLC</w:t>
      </w:r>
      <w:r w:rsidR="00925C1F" w:rsidRPr="00925C1F">
        <w:rPr>
          <w:rFonts w:ascii="Arial" w:hAnsi="Arial" w:cs="Arial"/>
          <w:sz w:val="22"/>
          <w:szCs w:val="22"/>
        </w:rPr>
        <w:t xml:space="preserve">, </w:t>
      </w:r>
      <w:r w:rsidR="00D719D6">
        <w:rPr>
          <w:rFonts w:ascii="Arial" w:hAnsi="Arial" w:cs="Arial"/>
          <w:sz w:val="22"/>
          <w:szCs w:val="22"/>
        </w:rPr>
        <w:t>any</w:t>
      </w:r>
      <w:r w:rsidR="00925C1F" w:rsidRPr="00925C1F">
        <w:rPr>
          <w:rFonts w:ascii="Arial" w:hAnsi="Arial" w:cs="Arial"/>
          <w:sz w:val="22"/>
          <w:szCs w:val="22"/>
        </w:rPr>
        <w:t xml:space="preserve"> </w:t>
      </w:r>
      <w:r w:rsidR="00540EB3">
        <w:rPr>
          <w:rFonts w:ascii="Arial" w:hAnsi="Arial" w:cs="Arial"/>
          <w:sz w:val="22"/>
          <w:szCs w:val="22"/>
        </w:rPr>
        <w:t xml:space="preserve">future </w:t>
      </w:r>
      <w:r w:rsidR="00925C1F" w:rsidRPr="00925C1F">
        <w:rPr>
          <w:rFonts w:ascii="Arial" w:hAnsi="Arial" w:cs="Arial"/>
          <w:sz w:val="22"/>
          <w:szCs w:val="22"/>
        </w:rPr>
        <w:t xml:space="preserve">restriction for pembrolizumab would need to state that the patient must not have received </w:t>
      </w:r>
      <w:r w:rsidR="00925C1F">
        <w:rPr>
          <w:rFonts w:ascii="Arial" w:hAnsi="Arial" w:cs="Arial"/>
          <w:sz w:val="22"/>
          <w:szCs w:val="22"/>
        </w:rPr>
        <w:t xml:space="preserve">prior </w:t>
      </w:r>
      <w:r w:rsidR="00925C1F" w:rsidRPr="00925C1F">
        <w:rPr>
          <w:rFonts w:ascii="Arial" w:hAnsi="Arial" w:cs="Arial"/>
          <w:sz w:val="22"/>
          <w:szCs w:val="22"/>
        </w:rPr>
        <w:t>treatment with another PD-1/PD-L1 inhibitor for NSCLC.</w:t>
      </w:r>
    </w:p>
    <w:p w:rsidR="002B262C" w:rsidRDefault="002B262C" w:rsidP="007629BE">
      <w:pPr>
        <w:pStyle w:val="ListParagraph"/>
        <w:ind w:left="0" w:firstLine="0"/>
        <w:rPr>
          <w:rFonts w:ascii="Arial" w:hAnsi="Arial" w:cs="Arial"/>
          <w:sz w:val="22"/>
          <w:szCs w:val="22"/>
        </w:rPr>
      </w:pPr>
    </w:p>
    <w:p w:rsidR="002B262C" w:rsidRPr="002B262C" w:rsidRDefault="00884EA0" w:rsidP="009C3A29">
      <w:pPr>
        <w:pStyle w:val="ListParagraph"/>
        <w:numPr>
          <w:ilvl w:val="1"/>
          <w:numId w:val="3"/>
        </w:numPr>
        <w:ind w:left="720"/>
        <w:rPr>
          <w:rFonts w:ascii="Arial" w:hAnsi="Arial" w:cs="Arial"/>
          <w:sz w:val="22"/>
          <w:szCs w:val="22"/>
        </w:rPr>
      </w:pPr>
      <w:r>
        <w:rPr>
          <w:rFonts w:ascii="Arial" w:hAnsi="Arial" w:cs="Arial"/>
          <w:sz w:val="22"/>
          <w:szCs w:val="22"/>
        </w:rPr>
        <w:t>The p</w:t>
      </w:r>
      <w:r w:rsidR="002B262C" w:rsidRPr="002B262C">
        <w:rPr>
          <w:rFonts w:ascii="Arial" w:hAnsi="Arial" w:cs="Arial"/>
          <w:sz w:val="22"/>
          <w:szCs w:val="22"/>
        </w:rPr>
        <w:t xml:space="preserve">re-PBAC </w:t>
      </w:r>
      <w:r w:rsidR="002077D2">
        <w:rPr>
          <w:rFonts w:ascii="Arial" w:hAnsi="Arial" w:cs="Arial"/>
          <w:sz w:val="22"/>
          <w:szCs w:val="22"/>
        </w:rPr>
        <w:t>r</w:t>
      </w:r>
      <w:r w:rsidR="002B262C">
        <w:rPr>
          <w:rFonts w:ascii="Arial" w:hAnsi="Arial" w:cs="Arial"/>
          <w:sz w:val="22"/>
          <w:szCs w:val="22"/>
        </w:rPr>
        <w:t xml:space="preserve">esponse </w:t>
      </w:r>
      <w:r w:rsidR="002B262C" w:rsidRPr="002B262C">
        <w:rPr>
          <w:rFonts w:ascii="Arial" w:hAnsi="Arial" w:cs="Arial"/>
          <w:sz w:val="22"/>
          <w:szCs w:val="22"/>
        </w:rPr>
        <w:t xml:space="preserve">(p4) </w:t>
      </w:r>
      <w:r w:rsidR="002B262C">
        <w:rPr>
          <w:rFonts w:ascii="Arial" w:hAnsi="Arial" w:cs="Arial"/>
          <w:sz w:val="22"/>
          <w:szCs w:val="22"/>
        </w:rPr>
        <w:t xml:space="preserve">further proposed </w:t>
      </w:r>
      <w:r w:rsidR="002B262C" w:rsidRPr="002B262C">
        <w:rPr>
          <w:rFonts w:ascii="Arial" w:hAnsi="Arial" w:cs="Arial"/>
          <w:sz w:val="22"/>
          <w:szCs w:val="22"/>
        </w:rPr>
        <w:t>that patients should cease pembro</w:t>
      </w:r>
      <w:r w:rsidR="002B262C">
        <w:rPr>
          <w:rFonts w:ascii="Arial" w:hAnsi="Arial" w:cs="Arial"/>
          <w:sz w:val="22"/>
          <w:szCs w:val="22"/>
        </w:rPr>
        <w:t>lizumab</w:t>
      </w:r>
      <w:r w:rsidR="002B262C" w:rsidRPr="002B262C">
        <w:rPr>
          <w:rFonts w:ascii="Arial" w:hAnsi="Arial" w:cs="Arial"/>
          <w:sz w:val="22"/>
          <w:szCs w:val="22"/>
        </w:rPr>
        <w:t xml:space="preserve"> after 35 administrations (approx</w:t>
      </w:r>
      <w:r w:rsidR="002B262C">
        <w:rPr>
          <w:rFonts w:ascii="Arial" w:hAnsi="Arial" w:cs="Arial"/>
          <w:sz w:val="22"/>
          <w:szCs w:val="22"/>
        </w:rPr>
        <w:t>imately</w:t>
      </w:r>
      <w:r w:rsidR="002B262C" w:rsidRPr="002B262C">
        <w:rPr>
          <w:rFonts w:ascii="Arial" w:hAnsi="Arial" w:cs="Arial"/>
          <w:sz w:val="22"/>
          <w:szCs w:val="22"/>
        </w:rPr>
        <w:t xml:space="preserve"> 2 years</w:t>
      </w:r>
      <w:r w:rsidR="002B262C">
        <w:rPr>
          <w:rFonts w:ascii="Arial" w:hAnsi="Arial" w:cs="Arial"/>
          <w:sz w:val="22"/>
          <w:szCs w:val="22"/>
        </w:rPr>
        <w:t>’ duration of therapy</w:t>
      </w:r>
      <w:r w:rsidR="002B262C" w:rsidRPr="002B262C">
        <w:rPr>
          <w:rFonts w:ascii="Arial" w:hAnsi="Arial" w:cs="Arial"/>
          <w:sz w:val="22"/>
          <w:szCs w:val="22"/>
        </w:rPr>
        <w:t>), as per the KN-010 protocol</w:t>
      </w:r>
      <w:r w:rsidR="002B262C">
        <w:rPr>
          <w:rFonts w:ascii="Arial" w:hAnsi="Arial" w:cs="Arial"/>
          <w:sz w:val="22"/>
          <w:szCs w:val="22"/>
        </w:rPr>
        <w:t xml:space="preserve">, which would need to be reflected in the continuing treatment phase of any PBS </w:t>
      </w:r>
      <w:r w:rsidR="002B262C" w:rsidRPr="002B262C">
        <w:rPr>
          <w:rFonts w:ascii="Arial" w:hAnsi="Arial" w:cs="Arial"/>
          <w:sz w:val="22"/>
          <w:szCs w:val="22"/>
        </w:rPr>
        <w:t>restrict</w:t>
      </w:r>
      <w:r w:rsidR="002B262C">
        <w:rPr>
          <w:rFonts w:ascii="Arial" w:hAnsi="Arial" w:cs="Arial"/>
          <w:sz w:val="22"/>
          <w:szCs w:val="22"/>
        </w:rPr>
        <w:t>i</w:t>
      </w:r>
      <w:r w:rsidR="002B262C" w:rsidRPr="002B262C">
        <w:rPr>
          <w:rFonts w:ascii="Arial" w:hAnsi="Arial" w:cs="Arial"/>
          <w:sz w:val="22"/>
          <w:szCs w:val="22"/>
        </w:rPr>
        <w:t xml:space="preserve">on </w:t>
      </w:r>
      <w:r w:rsidR="002B262C">
        <w:rPr>
          <w:rFonts w:ascii="Arial" w:hAnsi="Arial" w:cs="Arial"/>
          <w:sz w:val="22"/>
          <w:szCs w:val="22"/>
        </w:rPr>
        <w:t>and reinforced in a risk sharing arrangement.</w:t>
      </w:r>
    </w:p>
    <w:p w:rsidR="0095055D" w:rsidRPr="00963FD5" w:rsidRDefault="0095055D" w:rsidP="00A36DD4">
      <w:pPr>
        <w:rPr>
          <w:rFonts w:ascii="Arial" w:hAnsi="Arial" w:cs="Arial"/>
          <w:sz w:val="22"/>
          <w:szCs w:val="22"/>
        </w:rPr>
      </w:pPr>
    </w:p>
    <w:p w:rsidR="00AC2A2D" w:rsidRDefault="00AC2A2D" w:rsidP="00AC2A2D">
      <w:pPr>
        <w:pStyle w:val="ListParagraph"/>
        <w:ind w:left="709" w:firstLine="0"/>
        <w:rPr>
          <w:rFonts w:ascii="Arial" w:hAnsi="Arial"/>
          <w:i/>
          <w:sz w:val="22"/>
          <w:szCs w:val="22"/>
        </w:rPr>
      </w:pPr>
      <w:r w:rsidRPr="00015A30">
        <w:rPr>
          <w:rFonts w:ascii="Arial" w:hAnsi="Arial"/>
          <w:i/>
          <w:sz w:val="22"/>
          <w:szCs w:val="22"/>
        </w:rPr>
        <w:t>For more detail on PBAC’s view, see section 7 “PBAC outcome”</w:t>
      </w:r>
      <w:r w:rsidR="002B262C">
        <w:rPr>
          <w:rFonts w:ascii="Arial" w:hAnsi="Arial"/>
          <w:i/>
          <w:sz w:val="22"/>
          <w:szCs w:val="22"/>
        </w:rPr>
        <w:t>.</w:t>
      </w:r>
    </w:p>
    <w:p w:rsidR="00FC55C7" w:rsidRDefault="00FC55C7" w:rsidP="00A36DD4">
      <w:pPr>
        <w:rPr>
          <w:rFonts w:ascii="Arial" w:hAnsi="Arial" w:cs="Arial"/>
          <w:sz w:val="22"/>
          <w:szCs w:val="22"/>
        </w:rPr>
      </w:pPr>
    </w:p>
    <w:p w:rsidR="00AC2A2D" w:rsidRPr="00963FD5" w:rsidRDefault="00AC2A2D" w:rsidP="00A36DD4">
      <w:pPr>
        <w:rPr>
          <w:rFonts w:ascii="Arial" w:hAnsi="Arial" w:cs="Arial"/>
          <w:sz w:val="22"/>
          <w:szCs w:val="22"/>
        </w:rPr>
      </w:pPr>
    </w:p>
    <w:p w:rsidR="0095055D" w:rsidRPr="00963FD5" w:rsidRDefault="0095055D" w:rsidP="009C3A29">
      <w:pPr>
        <w:pStyle w:val="PBACHeading10"/>
        <w:numPr>
          <w:ilvl w:val="0"/>
          <w:numId w:val="4"/>
        </w:numPr>
        <w:outlineLvl w:val="0"/>
      </w:pPr>
      <w:r w:rsidRPr="00963FD5">
        <w:t>Background</w:t>
      </w:r>
    </w:p>
    <w:p w:rsidR="00384D39" w:rsidRPr="00963FD5" w:rsidRDefault="00384D39" w:rsidP="00FC55C7">
      <w:pPr>
        <w:rPr>
          <w:rFonts w:ascii="Arial" w:hAnsi="Arial" w:cs="Arial"/>
          <w:sz w:val="22"/>
          <w:szCs w:val="22"/>
        </w:rPr>
      </w:pPr>
    </w:p>
    <w:p w:rsidR="004B4A70" w:rsidRPr="00853EF2" w:rsidRDefault="00D9653E" w:rsidP="009C3A29">
      <w:pPr>
        <w:pStyle w:val="ListParagraph"/>
        <w:numPr>
          <w:ilvl w:val="1"/>
          <w:numId w:val="4"/>
        </w:numPr>
        <w:ind w:left="709" w:hanging="709"/>
        <w:rPr>
          <w:rFonts w:ascii="Arial" w:hAnsi="Arial" w:cs="Arial"/>
          <w:sz w:val="22"/>
        </w:rPr>
      </w:pPr>
      <w:r w:rsidRPr="00853EF2">
        <w:rPr>
          <w:rFonts w:ascii="Arial" w:hAnsi="Arial" w:cs="Arial"/>
          <w:b/>
          <w:sz w:val="22"/>
        </w:rPr>
        <w:t>TGA status at the time of PBAC</w:t>
      </w:r>
      <w:r w:rsidR="000272A6" w:rsidRPr="00853EF2">
        <w:rPr>
          <w:rFonts w:ascii="Arial" w:hAnsi="Arial" w:cs="Arial"/>
          <w:b/>
          <w:sz w:val="22"/>
        </w:rPr>
        <w:t xml:space="preserve"> meeting</w:t>
      </w:r>
      <w:r w:rsidRPr="00853EF2">
        <w:rPr>
          <w:rFonts w:ascii="Arial" w:hAnsi="Arial" w:cs="Arial"/>
          <w:b/>
          <w:sz w:val="22"/>
        </w:rPr>
        <w:t xml:space="preserve">: </w:t>
      </w:r>
      <w:r w:rsidR="004B4A70" w:rsidRPr="00853EF2">
        <w:rPr>
          <w:rFonts w:ascii="Arial" w:hAnsi="Arial" w:cs="Arial"/>
          <w:sz w:val="22"/>
        </w:rPr>
        <w:t xml:space="preserve">Pembrolizumab was approved by the TGA for unresectable or metastatic melanoma in April 2015. The sponsor submitted an application to the TGA under the TGA/PBAC parallel process to extend the indication for pembrolizumab for the treatment of NSCLC in the later-line setting. </w:t>
      </w:r>
      <w:r w:rsidR="00853EF2" w:rsidRPr="00853EF2">
        <w:rPr>
          <w:rFonts w:ascii="Arial" w:hAnsi="Arial" w:cs="Arial"/>
          <w:sz w:val="22"/>
        </w:rPr>
        <w:t>T</w:t>
      </w:r>
      <w:r w:rsidR="00CF7D3B" w:rsidRPr="00853EF2">
        <w:rPr>
          <w:rFonts w:ascii="Arial" w:hAnsi="Arial" w:cs="Arial"/>
          <w:sz w:val="22"/>
        </w:rPr>
        <w:t>he TGA Delegate’s Overview w</w:t>
      </w:r>
      <w:r w:rsidR="00853EF2" w:rsidRPr="00853EF2">
        <w:rPr>
          <w:rFonts w:ascii="Arial" w:hAnsi="Arial" w:cs="Arial"/>
          <w:sz w:val="22"/>
        </w:rPr>
        <w:t>as not received by the</w:t>
      </w:r>
      <w:r w:rsidR="00CF7D3B" w:rsidRPr="00853EF2">
        <w:rPr>
          <w:rFonts w:ascii="Arial" w:hAnsi="Arial" w:cs="Arial"/>
          <w:sz w:val="22"/>
        </w:rPr>
        <w:t xml:space="preserve"> time </w:t>
      </w:r>
      <w:r w:rsidR="00853EF2" w:rsidRPr="00853EF2">
        <w:rPr>
          <w:rFonts w:ascii="Arial" w:hAnsi="Arial" w:cs="Arial"/>
          <w:sz w:val="22"/>
        </w:rPr>
        <w:t>of</w:t>
      </w:r>
      <w:r w:rsidR="00CF7D3B" w:rsidRPr="00853EF2">
        <w:rPr>
          <w:rFonts w:ascii="Arial" w:hAnsi="Arial" w:cs="Arial"/>
          <w:sz w:val="22"/>
        </w:rPr>
        <w:t xml:space="preserve"> </w:t>
      </w:r>
      <w:r w:rsidR="00963FD5" w:rsidRPr="00853EF2">
        <w:rPr>
          <w:rFonts w:ascii="Arial" w:hAnsi="Arial" w:cs="Arial"/>
          <w:sz w:val="22"/>
        </w:rPr>
        <w:t>the November 2016 PBAC meeting.</w:t>
      </w:r>
    </w:p>
    <w:p w:rsidR="004B4A70" w:rsidRPr="00675587" w:rsidRDefault="004B4A70" w:rsidP="00963FD5">
      <w:pPr>
        <w:pStyle w:val="ListParagraph"/>
        <w:ind w:left="0" w:firstLine="0"/>
        <w:rPr>
          <w:rFonts w:ascii="Arial" w:hAnsi="Arial" w:cs="Arial"/>
          <w:sz w:val="22"/>
        </w:rPr>
      </w:pPr>
    </w:p>
    <w:p w:rsidR="00963FD5" w:rsidRPr="00675587" w:rsidRDefault="00CF7D3B" w:rsidP="009C3A29">
      <w:pPr>
        <w:pStyle w:val="ListParagraph"/>
        <w:numPr>
          <w:ilvl w:val="1"/>
          <w:numId w:val="4"/>
        </w:numPr>
        <w:ind w:left="709" w:hanging="709"/>
        <w:rPr>
          <w:rFonts w:ascii="Arial" w:hAnsi="Arial" w:cs="Arial"/>
          <w:sz w:val="22"/>
        </w:rPr>
      </w:pPr>
      <w:r w:rsidRPr="00675587">
        <w:rPr>
          <w:rFonts w:ascii="Arial" w:hAnsi="Arial" w:cs="Arial"/>
          <w:sz w:val="22"/>
        </w:rPr>
        <w:t xml:space="preserve">Pembrolizumab is currently PBS-subsidised for the treatment of </w:t>
      </w:r>
      <w:r w:rsidR="00F9434C" w:rsidRPr="00675587">
        <w:rPr>
          <w:rFonts w:ascii="Arial" w:hAnsi="Arial" w:cs="Arial"/>
          <w:sz w:val="22"/>
        </w:rPr>
        <w:t>unresectable Stage III or Stage IV malignant melanoma</w:t>
      </w:r>
      <w:r w:rsidRPr="00675587">
        <w:rPr>
          <w:rFonts w:ascii="Arial" w:hAnsi="Arial" w:cs="Arial"/>
          <w:sz w:val="22"/>
        </w:rPr>
        <w:t xml:space="preserve">. </w:t>
      </w:r>
      <w:r w:rsidR="004B4A70" w:rsidRPr="00675587">
        <w:rPr>
          <w:rFonts w:ascii="Arial" w:hAnsi="Arial" w:cs="Arial"/>
          <w:sz w:val="22"/>
        </w:rPr>
        <w:t>This is the first consideration by the PBAC of pembrolizumab for the treatment of later-line NSCLC in patients who express PD-L1 at TPS ≥50%.</w:t>
      </w:r>
    </w:p>
    <w:p w:rsidR="00963FD5" w:rsidRPr="00675587" w:rsidRDefault="00963FD5" w:rsidP="00963FD5">
      <w:pPr>
        <w:pStyle w:val="ListParagraph"/>
        <w:ind w:left="0" w:firstLine="0"/>
        <w:rPr>
          <w:rFonts w:ascii="Arial" w:hAnsi="Arial" w:cs="Arial"/>
          <w:sz w:val="22"/>
        </w:rPr>
      </w:pPr>
    </w:p>
    <w:p w:rsidR="00963FD5" w:rsidRPr="00675587" w:rsidRDefault="00963FD5" w:rsidP="009C3A29">
      <w:pPr>
        <w:pStyle w:val="ListParagraph"/>
        <w:numPr>
          <w:ilvl w:val="1"/>
          <w:numId w:val="4"/>
        </w:numPr>
        <w:ind w:left="709" w:hanging="709"/>
        <w:rPr>
          <w:rFonts w:ascii="Arial" w:hAnsi="Arial" w:cs="Arial"/>
          <w:sz w:val="22"/>
        </w:rPr>
      </w:pPr>
      <w:r w:rsidRPr="00675587">
        <w:rPr>
          <w:rFonts w:ascii="Arial" w:hAnsi="Arial" w:cs="Arial"/>
          <w:sz w:val="22"/>
        </w:rPr>
        <w:t xml:space="preserve">The submission to PBAC was part of an integrated </w:t>
      </w:r>
      <w:proofErr w:type="spellStart"/>
      <w:r w:rsidR="00D41407">
        <w:rPr>
          <w:rFonts w:ascii="Arial" w:hAnsi="Arial" w:cs="Arial"/>
          <w:sz w:val="22"/>
        </w:rPr>
        <w:t>codependent</w:t>
      </w:r>
      <w:proofErr w:type="spellEnd"/>
      <w:r w:rsidR="00D41407">
        <w:rPr>
          <w:rFonts w:ascii="Arial" w:hAnsi="Arial" w:cs="Arial"/>
          <w:sz w:val="22"/>
        </w:rPr>
        <w:t xml:space="preserve"> </w:t>
      </w:r>
      <w:r w:rsidRPr="00675587">
        <w:rPr>
          <w:rFonts w:ascii="Arial" w:hAnsi="Arial" w:cs="Arial"/>
          <w:sz w:val="22"/>
        </w:rPr>
        <w:t xml:space="preserve">submission, which also included a submission to the Medical Services Advisory Committee (MSAC) for the </w:t>
      </w:r>
      <w:proofErr w:type="spellStart"/>
      <w:r w:rsidRPr="00675587">
        <w:rPr>
          <w:rFonts w:ascii="Arial" w:hAnsi="Arial" w:cs="Arial"/>
          <w:sz w:val="22"/>
        </w:rPr>
        <w:t>codependent</w:t>
      </w:r>
      <w:proofErr w:type="spellEnd"/>
      <w:r w:rsidRPr="00675587">
        <w:rPr>
          <w:rFonts w:ascii="Arial" w:hAnsi="Arial" w:cs="Arial"/>
          <w:sz w:val="22"/>
        </w:rPr>
        <w:t xml:space="preserve"> PD-L</w:t>
      </w:r>
      <w:r w:rsidR="00B86773" w:rsidRPr="00675587">
        <w:rPr>
          <w:rFonts w:ascii="Arial" w:hAnsi="Arial" w:cs="Arial"/>
          <w:sz w:val="22"/>
        </w:rPr>
        <w:t>1</w:t>
      </w:r>
      <w:r w:rsidRPr="00675587">
        <w:rPr>
          <w:rFonts w:ascii="Arial" w:hAnsi="Arial" w:cs="Arial"/>
          <w:sz w:val="22"/>
        </w:rPr>
        <w:t xml:space="preserve"> immunohistochemistry test</w:t>
      </w:r>
      <w:r w:rsidR="009E6D1F">
        <w:rPr>
          <w:rFonts w:ascii="Arial" w:hAnsi="Arial" w:cs="Arial"/>
          <w:sz w:val="22"/>
        </w:rPr>
        <w:t>, and thus was considered by a joint meeting of the PBAC’s Economics Sub-Committee and MSAC’s Evaluation Sub-Committee (the ESCs)</w:t>
      </w:r>
      <w:r w:rsidRPr="00675587">
        <w:rPr>
          <w:rFonts w:ascii="Arial" w:hAnsi="Arial" w:cs="Arial"/>
          <w:sz w:val="22"/>
        </w:rPr>
        <w:t>.</w:t>
      </w:r>
    </w:p>
    <w:p w:rsidR="00AC2A2D" w:rsidRDefault="00AC2A2D" w:rsidP="00357741">
      <w:pPr>
        <w:pStyle w:val="Paragraphheading1"/>
        <w:rPr>
          <w:rFonts w:ascii="Arial" w:hAnsi="Arial"/>
          <w:i w:val="0"/>
          <w:sz w:val="22"/>
          <w:szCs w:val="22"/>
        </w:rPr>
      </w:pPr>
    </w:p>
    <w:p w:rsidR="00B86773" w:rsidRPr="00963FD5" w:rsidRDefault="00B86773" w:rsidP="00357741">
      <w:pPr>
        <w:pStyle w:val="Paragraphheading1"/>
        <w:rPr>
          <w:rFonts w:ascii="Arial" w:hAnsi="Arial"/>
          <w:i w:val="0"/>
          <w:sz w:val="22"/>
          <w:szCs w:val="22"/>
        </w:rPr>
      </w:pPr>
    </w:p>
    <w:p w:rsidR="00357741" w:rsidRPr="00407F2D" w:rsidRDefault="00357741" w:rsidP="009C3A29">
      <w:pPr>
        <w:pStyle w:val="PBACHeading10"/>
        <w:numPr>
          <w:ilvl w:val="0"/>
          <w:numId w:val="4"/>
        </w:numPr>
        <w:outlineLvl w:val="0"/>
      </w:pPr>
      <w:bookmarkStart w:id="13" w:name="_Toc441061713"/>
      <w:bookmarkStart w:id="14" w:name="_Toc431891727"/>
      <w:bookmarkEnd w:id="12"/>
      <w:r w:rsidRPr="00407F2D">
        <w:t>Clinical place for the proposed therapy</w:t>
      </w:r>
      <w:bookmarkEnd w:id="13"/>
    </w:p>
    <w:bookmarkEnd w:id="14"/>
    <w:p w:rsidR="0095055D" w:rsidRPr="00B86773" w:rsidRDefault="0095055D" w:rsidP="00C565A6">
      <w:pPr>
        <w:pStyle w:val="ListParagraph"/>
        <w:ind w:left="0" w:firstLine="0"/>
        <w:rPr>
          <w:rFonts w:ascii="Arial" w:hAnsi="Arial" w:cs="Arial"/>
          <w:sz w:val="22"/>
          <w:szCs w:val="22"/>
        </w:rPr>
      </w:pPr>
    </w:p>
    <w:p w:rsidR="0055367D" w:rsidRDefault="00B04CC2" w:rsidP="009C3A29">
      <w:pPr>
        <w:pStyle w:val="ListParagraph"/>
        <w:numPr>
          <w:ilvl w:val="1"/>
          <w:numId w:val="3"/>
        </w:numPr>
        <w:ind w:left="720"/>
        <w:rPr>
          <w:rFonts w:ascii="Arial" w:hAnsi="Arial" w:cs="Arial"/>
          <w:sz w:val="22"/>
          <w:szCs w:val="22"/>
        </w:rPr>
      </w:pPr>
      <w:r w:rsidRPr="00B04CC2">
        <w:rPr>
          <w:rFonts w:ascii="Arial" w:hAnsi="Arial" w:cs="Arial"/>
          <w:sz w:val="22"/>
          <w:szCs w:val="22"/>
        </w:rPr>
        <w:t>NSCLC comprises approximately 15%-25% of the squamous histologic subtype and 75%-85% of the non-squamous histologic subtype. The “non-squamous” subgroup includes adenocarcinoma and large cell carcinoma</w:t>
      </w:r>
      <w:r>
        <w:rPr>
          <w:rFonts w:ascii="Arial" w:hAnsi="Arial" w:cs="Arial"/>
          <w:sz w:val="22"/>
          <w:szCs w:val="22"/>
        </w:rPr>
        <w:t>.</w:t>
      </w:r>
    </w:p>
    <w:p w:rsidR="0055367D" w:rsidRDefault="0055367D" w:rsidP="00B86773">
      <w:pPr>
        <w:pStyle w:val="ListParagraph"/>
        <w:ind w:left="0" w:firstLine="0"/>
        <w:rPr>
          <w:rFonts w:ascii="Arial" w:hAnsi="Arial" w:cs="Arial"/>
          <w:sz w:val="22"/>
          <w:szCs w:val="22"/>
        </w:rPr>
      </w:pPr>
    </w:p>
    <w:p w:rsidR="00DD7937" w:rsidRPr="00D5196A" w:rsidRDefault="00DD7937" w:rsidP="009C3A29">
      <w:pPr>
        <w:pStyle w:val="ListParagraph"/>
        <w:numPr>
          <w:ilvl w:val="1"/>
          <w:numId w:val="3"/>
        </w:numPr>
        <w:ind w:left="720"/>
        <w:rPr>
          <w:rFonts w:ascii="Arial" w:hAnsi="Arial" w:cs="Arial"/>
          <w:sz w:val="22"/>
          <w:szCs w:val="22"/>
        </w:rPr>
      </w:pPr>
      <w:r w:rsidRPr="00384D39">
        <w:rPr>
          <w:rFonts w:ascii="Arial" w:hAnsi="Arial" w:cs="Arial"/>
          <w:sz w:val="22"/>
          <w:szCs w:val="22"/>
        </w:rPr>
        <w:t>The proposed use of pem</w:t>
      </w:r>
      <w:r w:rsidR="00D5196A">
        <w:rPr>
          <w:rFonts w:ascii="Arial" w:hAnsi="Arial" w:cs="Arial"/>
          <w:sz w:val="22"/>
          <w:szCs w:val="22"/>
        </w:rPr>
        <w:t xml:space="preserve">brolizumab is for 1) </w:t>
      </w:r>
      <w:r w:rsidRPr="00384D39">
        <w:rPr>
          <w:rFonts w:ascii="Arial" w:hAnsi="Arial" w:cs="Arial"/>
          <w:sz w:val="22"/>
          <w:szCs w:val="22"/>
        </w:rPr>
        <w:t xml:space="preserve">second-line </w:t>
      </w:r>
      <w:r w:rsidR="00D5196A">
        <w:rPr>
          <w:rFonts w:ascii="Arial" w:hAnsi="Arial" w:cs="Arial"/>
          <w:sz w:val="22"/>
          <w:szCs w:val="22"/>
        </w:rPr>
        <w:t>treatment</w:t>
      </w:r>
      <w:r w:rsidRPr="00384D39">
        <w:rPr>
          <w:rFonts w:ascii="Arial" w:hAnsi="Arial" w:cs="Arial"/>
          <w:sz w:val="22"/>
          <w:szCs w:val="22"/>
        </w:rPr>
        <w:t xml:space="preserve"> </w:t>
      </w:r>
      <w:r w:rsidR="00D5196A">
        <w:rPr>
          <w:rFonts w:ascii="Arial" w:hAnsi="Arial" w:cs="Arial"/>
          <w:sz w:val="22"/>
          <w:szCs w:val="22"/>
        </w:rPr>
        <w:t xml:space="preserve">in </w:t>
      </w:r>
      <w:r w:rsidRPr="00384D39">
        <w:rPr>
          <w:rFonts w:ascii="Arial" w:hAnsi="Arial" w:cs="Arial"/>
          <w:sz w:val="22"/>
          <w:szCs w:val="22"/>
        </w:rPr>
        <w:t>patients who do not have EGFR mutations and would have progressed from first-line platinum-based chemotherapy (most squamous and some non</w:t>
      </w:r>
      <w:r w:rsidR="00D5196A">
        <w:rPr>
          <w:rFonts w:ascii="Arial" w:hAnsi="Arial" w:cs="Arial"/>
          <w:sz w:val="22"/>
          <w:szCs w:val="22"/>
        </w:rPr>
        <w:t xml:space="preserve">-squamous patients) and 2) </w:t>
      </w:r>
      <w:r w:rsidRPr="00384D39">
        <w:rPr>
          <w:rFonts w:ascii="Arial" w:hAnsi="Arial" w:cs="Arial"/>
          <w:sz w:val="22"/>
          <w:szCs w:val="22"/>
        </w:rPr>
        <w:t xml:space="preserve">third-line treatment for the subset of non-squamous patients with specific genetic mutations such as EGFR mutations and ALK translocation (15-20%), who would have progressed following both first-line </w:t>
      </w:r>
      <w:r w:rsidR="003D3A81" w:rsidRPr="003D3A81">
        <w:rPr>
          <w:rFonts w:ascii="Arial" w:hAnsi="Arial" w:cs="Arial"/>
          <w:sz w:val="22"/>
          <w:szCs w:val="22"/>
        </w:rPr>
        <w:t>tyrosine kinase inhibitor</w:t>
      </w:r>
      <w:r w:rsidR="003D3A81">
        <w:rPr>
          <w:rFonts w:ascii="Arial" w:hAnsi="Arial" w:cs="Arial"/>
          <w:sz w:val="22"/>
          <w:szCs w:val="22"/>
        </w:rPr>
        <w:t xml:space="preserve"> (</w:t>
      </w:r>
      <w:r w:rsidRPr="00384D39">
        <w:rPr>
          <w:rFonts w:ascii="Arial" w:hAnsi="Arial" w:cs="Arial"/>
          <w:sz w:val="22"/>
          <w:szCs w:val="22"/>
        </w:rPr>
        <w:t>TKI</w:t>
      </w:r>
      <w:r w:rsidR="003D3A81">
        <w:rPr>
          <w:rFonts w:ascii="Arial" w:hAnsi="Arial" w:cs="Arial"/>
          <w:sz w:val="22"/>
          <w:szCs w:val="22"/>
        </w:rPr>
        <w:t>)</w:t>
      </w:r>
      <w:r w:rsidRPr="00384D39">
        <w:rPr>
          <w:rFonts w:ascii="Arial" w:hAnsi="Arial" w:cs="Arial"/>
          <w:sz w:val="22"/>
          <w:szCs w:val="22"/>
        </w:rPr>
        <w:t xml:space="preserve"> therapy and second-line platinum-based chemotherapy. Several other molecules which inhibit the PD-1/PD-L1 axis include </w:t>
      </w:r>
      <w:proofErr w:type="spellStart"/>
      <w:r w:rsidRPr="00384D39">
        <w:rPr>
          <w:rFonts w:ascii="Arial" w:hAnsi="Arial" w:cs="Arial"/>
          <w:sz w:val="22"/>
          <w:szCs w:val="22"/>
        </w:rPr>
        <w:t>nivolumab</w:t>
      </w:r>
      <w:proofErr w:type="spellEnd"/>
      <w:r w:rsidRPr="00384D39">
        <w:rPr>
          <w:rFonts w:ascii="Arial" w:hAnsi="Arial" w:cs="Arial"/>
          <w:sz w:val="22"/>
          <w:szCs w:val="22"/>
        </w:rPr>
        <w:t xml:space="preserve"> (another PD-1 inhibitor), </w:t>
      </w:r>
      <w:proofErr w:type="spellStart"/>
      <w:r w:rsidRPr="00384D39">
        <w:rPr>
          <w:rFonts w:ascii="Arial" w:hAnsi="Arial" w:cs="Arial"/>
          <w:sz w:val="22"/>
          <w:szCs w:val="22"/>
        </w:rPr>
        <w:t>atezolizumab</w:t>
      </w:r>
      <w:proofErr w:type="spellEnd"/>
      <w:r w:rsidRPr="00384D39">
        <w:rPr>
          <w:rFonts w:ascii="Arial" w:hAnsi="Arial" w:cs="Arial"/>
          <w:sz w:val="22"/>
          <w:szCs w:val="22"/>
        </w:rPr>
        <w:t xml:space="preserve"> and </w:t>
      </w:r>
      <w:proofErr w:type="spellStart"/>
      <w:r w:rsidRPr="00384D39">
        <w:rPr>
          <w:rFonts w:ascii="Arial" w:hAnsi="Arial" w:cs="Arial"/>
          <w:sz w:val="22"/>
          <w:szCs w:val="22"/>
        </w:rPr>
        <w:t>durvalumab</w:t>
      </w:r>
      <w:proofErr w:type="spellEnd"/>
      <w:r w:rsidRPr="00384D39">
        <w:rPr>
          <w:rFonts w:ascii="Arial" w:hAnsi="Arial" w:cs="Arial"/>
          <w:sz w:val="22"/>
          <w:szCs w:val="22"/>
        </w:rPr>
        <w:t xml:space="preserve"> (PD-L1 inhibitors).</w:t>
      </w:r>
    </w:p>
    <w:p w:rsidR="0055367D" w:rsidRDefault="0055367D" w:rsidP="00B86773">
      <w:pPr>
        <w:pStyle w:val="ListParagraph"/>
        <w:ind w:left="0" w:firstLine="0"/>
        <w:rPr>
          <w:rFonts w:ascii="Arial" w:hAnsi="Arial" w:cs="Arial"/>
          <w:sz w:val="22"/>
        </w:rPr>
      </w:pPr>
    </w:p>
    <w:p w:rsidR="0055367D" w:rsidRPr="00675587" w:rsidRDefault="0055367D" w:rsidP="009C3A29">
      <w:pPr>
        <w:pStyle w:val="ListParagraph"/>
        <w:numPr>
          <w:ilvl w:val="1"/>
          <w:numId w:val="3"/>
        </w:numPr>
        <w:ind w:left="709"/>
        <w:rPr>
          <w:rFonts w:ascii="Arial" w:hAnsi="Arial" w:cs="Arial"/>
          <w:sz w:val="22"/>
        </w:rPr>
      </w:pPr>
      <w:r w:rsidRPr="00675587">
        <w:rPr>
          <w:rFonts w:ascii="Arial" w:hAnsi="Arial" w:cs="Arial"/>
          <w:sz w:val="22"/>
        </w:rPr>
        <w:t>The clinical management algorithm for the intended use of the PD-L1 test and pembrolizumab</w:t>
      </w:r>
      <w:r w:rsidR="00D5196A" w:rsidRPr="00675587">
        <w:rPr>
          <w:rFonts w:ascii="Arial" w:hAnsi="Arial" w:cs="Arial"/>
          <w:sz w:val="22"/>
        </w:rPr>
        <w:t xml:space="preserve"> proposed by the submission</w:t>
      </w:r>
      <w:r w:rsidRPr="00675587">
        <w:rPr>
          <w:rFonts w:ascii="Arial" w:hAnsi="Arial" w:cs="Arial"/>
          <w:sz w:val="22"/>
        </w:rPr>
        <w:t xml:space="preserve"> is presented in </w:t>
      </w:r>
      <w:r w:rsidR="006405DD" w:rsidRPr="0055367D">
        <w:rPr>
          <w:rFonts w:ascii="Arial Narrow" w:hAnsi="Arial Narrow" w:cs="Arial"/>
        </w:rPr>
        <w:t xml:space="preserve">Figure </w:t>
      </w:r>
      <w:r w:rsidR="006405DD">
        <w:rPr>
          <w:rFonts w:ascii="Arial Narrow" w:hAnsi="Arial Narrow" w:cs="Arial"/>
          <w:noProof/>
        </w:rPr>
        <w:t>1</w:t>
      </w:r>
      <w:r w:rsidR="00D5196A" w:rsidRPr="00675587">
        <w:rPr>
          <w:rFonts w:ascii="Arial" w:hAnsi="Arial" w:cs="Arial"/>
          <w:sz w:val="22"/>
        </w:rPr>
        <w:t>.</w:t>
      </w:r>
      <w:r w:rsidR="00EF6061" w:rsidRPr="00675587">
        <w:rPr>
          <w:rFonts w:ascii="Arial" w:hAnsi="Arial" w:cs="Arial"/>
          <w:sz w:val="22"/>
        </w:rPr>
        <w:t xml:space="preserve"> The ESCs noted that the PSCR </w:t>
      </w:r>
      <w:r w:rsidR="000C6F18" w:rsidRPr="00675587">
        <w:rPr>
          <w:rFonts w:ascii="Arial" w:hAnsi="Arial" w:cs="Arial"/>
          <w:sz w:val="22"/>
        </w:rPr>
        <w:t xml:space="preserve">(p.1) </w:t>
      </w:r>
      <w:r w:rsidR="00EF6061" w:rsidRPr="00675587">
        <w:rPr>
          <w:rFonts w:ascii="Arial" w:hAnsi="Arial" w:cs="Arial"/>
          <w:sz w:val="22"/>
        </w:rPr>
        <w:t>confirmed that the intention is that testing would occur at the time of diagnosis, independent of stage of disease.</w:t>
      </w:r>
    </w:p>
    <w:p w:rsidR="0055367D" w:rsidRPr="00675587" w:rsidRDefault="0055367D" w:rsidP="00B86773">
      <w:pPr>
        <w:pStyle w:val="ListParagraph"/>
        <w:ind w:left="0" w:firstLine="0"/>
        <w:rPr>
          <w:rFonts w:ascii="Arial" w:hAnsi="Arial" w:cs="Arial"/>
          <w:sz w:val="22"/>
        </w:rPr>
      </w:pPr>
    </w:p>
    <w:p w:rsidR="0055367D" w:rsidRPr="0055367D" w:rsidRDefault="0055367D" w:rsidP="008942CB">
      <w:pPr>
        <w:pStyle w:val="Caption"/>
        <w:keepNext/>
        <w:ind w:firstLine="709"/>
        <w:rPr>
          <w:rFonts w:ascii="Arial Narrow" w:hAnsi="Arial Narrow" w:cs="Arial"/>
        </w:rPr>
      </w:pPr>
      <w:bookmarkStart w:id="15" w:name="_Ref463604097"/>
      <w:r w:rsidRPr="0055367D">
        <w:rPr>
          <w:rFonts w:ascii="Arial Narrow" w:hAnsi="Arial Narrow" w:cs="Arial"/>
        </w:rPr>
        <w:t xml:space="preserve">Figure </w:t>
      </w:r>
      <w:r w:rsidR="006405DD">
        <w:rPr>
          <w:rFonts w:ascii="Arial Narrow" w:hAnsi="Arial Narrow" w:cs="Arial"/>
          <w:noProof/>
        </w:rPr>
        <w:t>1</w:t>
      </w:r>
      <w:bookmarkEnd w:id="15"/>
      <w:r w:rsidRPr="0055367D">
        <w:rPr>
          <w:rFonts w:ascii="Arial Narrow" w:hAnsi="Arial Narrow" w:cs="Arial"/>
        </w:rPr>
        <w:t xml:space="preserve">: Proposed treatment algorithm in Stage </w:t>
      </w:r>
      <w:proofErr w:type="spellStart"/>
      <w:r w:rsidRPr="0055367D">
        <w:rPr>
          <w:rFonts w:ascii="Arial Narrow" w:hAnsi="Arial Narrow" w:cs="Arial"/>
        </w:rPr>
        <w:t>IIIb</w:t>
      </w:r>
      <w:proofErr w:type="spellEnd"/>
      <w:r w:rsidRPr="0055367D">
        <w:rPr>
          <w:rFonts w:ascii="Arial Narrow" w:hAnsi="Arial Narrow" w:cs="Arial"/>
        </w:rPr>
        <w:t>/IV NSCLC for pembrolizumab and the PD-L1 test</w:t>
      </w:r>
    </w:p>
    <w:p w:rsidR="0055367D" w:rsidRPr="00DD7937" w:rsidRDefault="00F12F8C" w:rsidP="008942CB">
      <w:pPr>
        <w:pStyle w:val="ListParagraph"/>
        <w:ind w:left="0" w:firstLine="709"/>
        <w:rPr>
          <w:rFonts w:ascii="Arial" w:hAnsi="Arial" w:cs="Arial"/>
          <w:sz w:val="22"/>
        </w:rPr>
      </w:pPr>
      <w:r>
        <w:rPr>
          <w:noProof/>
          <w:lang w:eastAsia="en-AU"/>
        </w:rPr>
        <w:drawing>
          <wp:inline distT="0" distB="0" distL="0" distR="0">
            <wp:extent cx="5295900" cy="2419350"/>
            <wp:effectExtent l="0" t="0" r="0" b="0"/>
            <wp:docPr id="1" name="Picture 1" title="Proposed treatment algorithm in Stage IIIb/IV NSCLC for pembrolizumab and the PD-L1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419350"/>
                    </a:xfrm>
                    <a:prstGeom prst="rect">
                      <a:avLst/>
                    </a:prstGeom>
                    <a:noFill/>
                    <a:ln>
                      <a:noFill/>
                    </a:ln>
                  </pic:spPr>
                </pic:pic>
              </a:graphicData>
            </a:graphic>
          </wp:inline>
        </w:drawing>
      </w:r>
    </w:p>
    <w:p w:rsidR="0055367D" w:rsidRDefault="0055367D" w:rsidP="008942CB">
      <w:pPr>
        <w:pStyle w:val="TableFooter"/>
        <w:ind w:left="851"/>
      </w:pPr>
      <w:r>
        <w:t>ALK = anaplastic lymphoma kinase; EGFR = epidermal growth factor receptor; NSCLC = non-small cell lung cancer; PD-L1 = programmed death ligand-1</w:t>
      </w:r>
      <w:r w:rsidR="00802E2E">
        <w:t>.</w:t>
      </w:r>
    </w:p>
    <w:p w:rsidR="0055367D" w:rsidRDefault="0055367D" w:rsidP="008942CB">
      <w:pPr>
        <w:pStyle w:val="TableFooter"/>
        <w:ind w:left="851"/>
      </w:pPr>
      <w:proofErr w:type="gramStart"/>
      <w:r w:rsidRPr="00802E2E">
        <w:rPr>
          <w:vertAlign w:val="superscript"/>
        </w:rPr>
        <w:t>1</w:t>
      </w:r>
      <w:r>
        <w:t xml:space="preserve"> Non-squamous or not otherwise specified </w:t>
      </w:r>
      <w:proofErr w:type="spellStart"/>
      <w:r>
        <w:t>histologies</w:t>
      </w:r>
      <w:proofErr w:type="spellEnd"/>
      <w:proofErr w:type="gramEnd"/>
      <w:r>
        <w:t xml:space="preserve"> only</w:t>
      </w:r>
    </w:p>
    <w:p w:rsidR="0055367D" w:rsidRDefault="0055367D" w:rsidP="008942CB">
      <w:pPr>
        <w:pStyle w:val="TableFooter"/>
        <w:ind w:left="851"/>
      </w:pPr>
      <w:r w:rsidRPr="00802E2E">
        <w:rPr>
          <w:vertAlign w:val="superscript"/>
        </w:rPr>
        <w:t>2</w:t>
      </w:r>
      <w:r>
        <w:t xml:space="preserve"> Squamous </w:t>
      </w:r>
      <w:r w:rsidR="00802E2E">
        <w:t xml:space="preserve">or prior </w:t>
      </w:r>
      <w:proofErr w:type="spellStart"/>
      <w:r w:rsidR="00802E2E">
        <w:t>pemetrexed</w:t>
      </w:r>
      <w:proofErr w:type="spellEnd"/>
      <w:r w:rsidR="00802E2E">
        <w:t xml:space="preserve"> maintenance</w:t>
      </w:r>
    </w:p>
    <w:p w:rsidR="0055367D" w:rsidRDefault="0055367D" w:rsidP="008942CB">
      <w:pPr>
        <w:pStyle w:val="TableFooter"/>
        <w:ind w:left="851"/>
      </w:pPr>
      <w:r w:rsidRPr="00802E2E">
        <w:rPr>
          <w:vertAlign w:val="superscript"/>
        </w:rPr>
        <w:t>3</w:t>
      </w:r>
      <w:r>
        <w:t xml:space="preserve"> Non-squamous if no prior maintenance </w:t>
      </w:r>
      <w:proofErr w:type="gramStart"/>
      <w:r>
        <w:t>therapy</w:t>
      </w:r>
      <w:proofErr w:type="gramEnd"/>
    </w:p>
    <w:p w:rsidR="0055367D" w:rsidRDefault="0055367D" w:rsidP="008942CB">
      <w:pPr>
        <w:pStyle w:val="TableFooter"/>
        <w:ind w:left="851"/>
      </w:pPr>
      <w:r>
        <w:t>Source: Figure A.5-2, p6</w:t>
      </w:r>
      <w:r w:rsidR="00AE7CA1">
        <w:t>5</w:t>
      </w:r>
      <w:r>
        <w:t xml:space="preserve"> of the submission</w:t>
      </w:r>
    </w:p>
    <w:p w:rsidR="00AC2A2D" w:rsidRDefault="00AC2A2D" w:rsidP="0055367D">
      <w:pPr>
        <w:pStyle w:val="ListParagraph"/>
        <w:ind w:left="0" w:firstLine="0"/>
        <w:rPr>
          <w:rFonts w:ascii="Arial" w:hAnsi="Arial" w:cs="Arial"/>
          <w:sz w:val="22"/>
        </w:rPr>
      </w:pPr>
    </w:p>
    <w:p w:rsidR="00193333" w:rsidRPr="00B86773" w:rsidRDefault="00193333" w:rsidP="0055367D">
      <w:pPr>
        <w:pStyle w:val="ListParagraph"/>
        <w:ind w:left="0" w:firstLine="0"/>
        <w:rPr>
          <w:rFonts w:ascii="Arial" w:hAnsi="Arial" w:cs="Arial"/>
          <w:sz w:val="22"/>
        </w:rPr>
      </w:pPr>
    </w:p>
    <w:p w:rsidR="0014359C" w:rsidRPr="00BC236F" w:rsidRDefault="0014359C" w:rsidP="009C3A29">
      <w:pPr>
        <w:pStyle w:val="PBACHeading10"/>
        <w:numPr>
          <w:ilvl w:val="0"/>
          <w:numId w:val="4"/>
        </w:numPr>
        <w:outlineLvl w:val="0"/>
      </w:pPr>
      <w:bookmarkStart w:id="16" w:name="_Toc431891737"/>
      <w:r w:rsidRPr="00BC236F">
        <w:t>Comparator</w:t>
      </w:r>
    </w:p>
    <w:bookmarkEnd w:id="16"/>
    <w:p w:rsidR="0095055D" w:rsidRPr="00B86773" w:rsidRDefault="0095055D" w:rsidP="00275DAF">
      <w:pPr>
        <w:pStyle w:val="ListParagraph"/>
        <w:ind w:left="0" w:firstLine="0"/>
        <w:rPr>
          <w:rFonts w:ascii="Arial" w:hAnsi="Arial" w:cs="Arial"/>
          <w:sz w:val="22"/>
          <w:szCs w:val="22"/>
        </w:rPr>
      </w:pPr>
    </w:p>
    <w:p w:rsidR="0095055D" w:rsidRPr="00675587" w:rsidRDefault="0095055D" w:rsidP="009C3A29">
      <w:pPr>
        <w:pStyle w:val="ListParagraph"/>
        <w:numPr>
          <w:ilvl w:val="1"/>
          <w:numId w:val="3"/>
        </w:numPr>
        <w:ind w:left="720"/>
        <w:rPr>
          <w:rFonts w:ascii="Arial" w:hAnsi="Arial" w:cs="Arial"/>
          <w:sz w:val="22"/>
        </w:rPr>
      </w:pPr>
      <w:r w:rsidRPr="00675587">
        <w:rPr>
          <w:rFonts w:ascii="Arial" w:hAnsi="Arial" w:cs="Arial"/>
          <w:sz w:val="22"/>
        </w:rPr>
        <w:t xml:space="preserve">The submission nominated </w:t>
      </w:r>
      <w:proofErr w:type="spellStart"/>
      <w:r w:rsidRPr="00675587">
        <w:rPr>
          <w:rFonts w:ascii="Arial" w:hAnsi="Arial" w:cs="Arial"/>
          <w:sz w:val="22"/>
        </w:rPr>
        <w:t>docetaxel</w:t>
      </w:r>
      <w:proofErr w:type="spellEnd"/>
      <w:r w:rsidRPr="00675587">
        <w:rPr>
          <w:rFonts w:ascii="Arial" w:hAnsi="Arial" w:cs="Arial"/>
          <w:sz w:val="22"/>
        </w:rPr>
        <w:t xml:space="preserve"> as the main comparator for patients with squamous NSCLC and </w:t>
      </w:r>
      <w:proofErr w:type="spellStart"/>
      <w:r w:rsidRPr="00675587">
        <w:rPr>
          <w:rFonts w:ascii="Arial" w:hAnsi="Arial" w:cs="Arial"/>
          <w:sz w:val="22"/>
        </w:rPr>
        <w:t>pemetrexed</w:t>
      </w:r>
      <w:proofErr w:type="spellEnd"/>
      <w:r w:rsidRPr="00675587">
        <w:rPr>
          <w:rFonts w:ascii="Arial" w:hAnsi="Arial" w:cs="Arial"/>
          <w:sz w:val="22"/>
        </w:rPr>
        <w:t xml:space="preserve"> as the main comparator for patients with non-squamous NSCLC. This is consistent with previous PBAC considerations of </w:t>
      </w:r>
      <w:proofErr w:type="spellStart"/>
      <w:r w:rsidRPr="00675587">
        <w:rPr>
          <w:rFonts w:ascii="Arial" w:hAnsi="Arial" w:cs="Arial"/>
          <w:sz w:val="22"/>
        </w:rPr>
        <w:t>nivolumab</w:t>
      </w:r>
      <w:proofErr w:type="spellEnd"/>
      <w:r w:rsidRPr="00675587">
        <w:rPr>
          <w:rFonts w:ascii="Arial" w:hAnsi="Arial" w:cs="Arial"/>
          <w:sz w:val="22"/>
        </w:rPr>
        <w:t xml:space="preserve"> for both squamous and non-squamous NSCLC (March 2016) and of </w:t>
      </w:r>
      <w:proofErr w:type="spellStart"/>
      <w:r w:rsidRPr="00675587">
        <w:rPr>
          <w:rFonts w:ascii="Arial" w:hAnsi="Arial" w:cs="Arial"/>
          <w:sz w:val="22"/>
        </w:rPr>
        <w:t>nintedanib</w:t>
      </w:r>
      <w:proofErr w:type="spellEnd"/>
      <w:r w:rsidRPr="00675587">
        <w:rPr>
          <w:rFonts w:ascii="Arial" w:hAnsi="Arial" w:cs="Arial"/>
          <w:sz w:val="22"/>
        </w:rPr>
        <w:t xml:space="preserve"> (March 2015), </w:t>
      </w:r>
      <w:proofErr w:type="spellStart"/>
      <w:r w:rsidRPr="00675587">
        <w:rPr>
          <w:rFonts w:ascii="Arial" w:hAnsi="Arial" w:cs="Arial"/>
          <w:sz w:val="22"/>
        </w:rPr>
        <w:t>crizotinib</w:t>
      </w:r>
      <w:proofErr w:type="spellEnd"/>
      <w:r w:rsidRPr="00675587">
        <w:rPr>
          <w:rFonts w:ascii="Arial" w:hAnsi="Arial" w:cs="Arial"/>
          <w:sz w:val="22"/>
        </w:rPr>
        <w:t xml:space="preserve"> (November 2013) and </w:t>
      </w:r>
      <w:proofErr w:type="spellStart"/>
      <w:r w:rsidRPr="00675587">
        <w:rPr>
          <w:rFonts w:ascii="Arial" w:hAnsi="Arial" w:cs="Arial"/>
          <w:sz w:val="22"/>
        </w:rPr>
        <w:t>erlotinib</w:t>
      </w:r>
      <w:proofErr w:type="spellEnd"/>
      <w:r w:rsidRPr="00675587">
        <w:rPr>
          <w:rFonts w:ascii="Arial" w:hAnsi="Arial" w:cs="Arial"/>
          <w:sz w:val="22"/>
        </w:rPr>
        <w:t xml:space="preserve"> (July 2006) for non-squamous NSCLC.</w:t>
      </w:r>
    </w:p>
    <w:p w:rsidR="0095055D" w:rsidRPr="00675587" w:rsidRDefault="0095055D" w:rsidP="00275DAF">
      <w:pPr>
        <w:pStyle w:val="ListParagraph"/>
        <w:ind w:left="0" w:firstLine="0"/>
        <w:rPr>
          <w:rFonts w:ascii="Arial" w:hAnsi="Arial" w:cs="Arial"/>
          <w:sz w:val="22"/>
        </w:rPr>
      </w:pPr>
    </w:p>
    <w:p w:rsidR="00825A50" w:rsidRPr="00675587" w:rsidRDefault="0095055D" w:rsidP="009C3A29">
      <w:pPr>
        <w:pStyle w:val="ListParagraph"/>
        <w:numPr>
          <w:ilvl w:val="1"/>
          <w:numId w:val="3"/>
        </w:numPr>
        <w:ind w:left="720"/>
        <w:rPr>
          <w:rFonts w:ascii="Arial" w:hAnsi="Arial" w:cs="Arial"/>
          <w:sz w:val="22"/>
        </w:rPr>
      </w:pPr>
      <w:r w:rsidRPr="00675587">
        <w:rPr>
          <w:rFonts w:ascii="Arial" w:hAnsi="Arial" w:cs="Arial"/>
          <w:sz w:val="22"/>
        </w:rPr>
        <w:t xml:space="preserve">Although </w:t>
      </w:r>
      <w:proofErr w:type="spellStart"/>
      <w:r w:rsidRPr="00675587">
        <w:rPr>
          <w:rFonts w:ascii="Arial" w:hAnsi="Arial" w:cs="Arial"/>
          <w:sz w:val="22"/>
        </w:rPr>
        <w:t>pemetrexed</w:t>
      </w:r>
      <w:proofErr w:type="spellEnd"/>
      <w:r w:rsidRPr="00675587">
        <w:rPr>
          <w:rFonts w:ascii="Arial" w:hAnsi="Arial" w:cs="Arial"/>
          <w:sz w:val="22"/>
        </w:rPr>
        <w:t xml:space="preserve"> as maintenance therapy in NSCLC has not been assessed as being cost-effective in NSCLC, this form of therapy with </w:t>
      </w:r>
      <w:proofErr w:type="spellStart"/>
      <w:r w:rsidRPr="00675587">
        <w:rPr>
          <w:rFonts w:ascii="Arial" w:hAnsi="Arial" w:cs="Arial"/>
          <w:sz w:val="22"/>
        </w:rPr>
        <w:t>pemetrexed</w:t>
      </w:r>
      <w:proofErr w:type="spellEnd"/>
      <w:r w:rsidRPr="00675587">
        <w:rPr>
          <w:rFonts w:ascii="Arial" w:hAnsi="Arial" w:cs="Arial"/>
          <w:sz w:val="22"/>
        </w:rPr>
        <w:t xml:space="preserve"> is currently used in clinical practice, as its use is not explicitly excluded by its PBS restriction and as per recommendations in current Cancer Council </w:t>
      </w:r>
      <w:r w:rsidR="00705E2D">
        <w:rPr>
          <w:rFonts w:ascii="Arial" w:hAnsi="Arial" w:cs="Arial"/>
          <w:sz w:val="22"/>
        </w:rPr>
        <w:t xml:space="preserve">Australia </w:t>
      </w:r>
      <w:r w:rsidRPr="00675587">
        <w:rPr>
          <w:rFonts w:ascii="Arial" w:hAnsi="Arial" w:cs="Arial"/>
          <w:sz w:val="22"/>
        </w:rPr>
        <w:t>Guidelines</w:t>
      </w:r>
      <w:r w:rsidRPr="00675587">
        <w:rPr>
          <w:rStyle w:val="FootnoteReference"/>
          <w:rFonts w:ascii="Arial" w:hAnsi="Arial" w:cs="Arial"/>
          <w:sz w:val="22"/>
        </w:rPr>
        <w:footnoteReference w:id="1"/>
      </w:r>
      <w:r w:rsidRPr="00675587">
        <w:rPr>
          <w:rFonts w:ascii="Arial" w:hAnsi="Arial" w:cs="Arial"/>
          <w:sz w:val="22"/>
        </w:rPr>
        <w:t xml:space="preserve">. If patients have previously been treated with </w:t>
      </w:r>
      <w:proofErr w:type="spellStart"/>
      <w:r w:rsidRPr="00675587">
        <w:rPr>
          <w:rFonts w:ascii="Arial" w:hAnsi="Arial" w:cs="Arial"/>
          <w:sz w:val="22"/>
        </w:rPr>
        <w:t>pemetrexed</w:t>
      </w:r>
      <w:proofErr w:type="spellEnd"/>
      <w:r w:rsidRPr="00675587">
        <w:rPr>
          <w:rFonts w:ascii="Arial" w:hAnsi="Arial" w:cs="Arial"/>
          <w:sz w:val="22"/>
        </w:rPr>
        <w:t xml:space="preserve"> as maintenance therapy, it is likely that a different agent such as </w:t>
      </w:r>
      <w:proofErr w:type="spellStart"/>
      <w:r w:rsidRPr="00675587">
        <w:rPr>
          <w:rFonts w:ascii="Arial" w:hAnsi="Arial" w:cs="Arial"/>
          <w:sz w:val="22"/>
        </w:rPr>
        <w:t>docetaxel</w:t>
      </w:r>
      <w:proofErr w:type="spellEnd"/>
      <w:r w:rsidRPr="00675587">
        <w:rPr>
          <w:rFonts w:ascii="Arial" w:hAnsi="Arial" w:cs="Arial"/>
          <w:sz w:val="22"/>
        </w:rPr>
        <w:t xml:space="preserve"> would be used</w:t>
      </w:r>
      <w:r w:rsidR="00E168D1">
        <w:rPr>
          <w:rFonts w:ascii="Arial" w:hAnsi="Arial" w:cs="Arial"/>
          <w:sz w:val="22"/>
        </w:rPr>
        <w:t xml:space="preserve"> as </w:t>
      </w:r>
      <w:r w:rsidR="00B04CC2">
        <w:rPr>
          <w:rFonts w:ascii="Arial" w:hAnsi="Arial" w:cs="Arial"/>
          <w:sz w:val="22"/>
        </w:rPr>
        <w:t xml:space="preserve">the </w:t>
      </w:r>
      <w:r w:rsidR="00E168D1">
        <w:rPr>
          <w:rFonts w:ascii="Arial" w:hAnsi="Arial" w:cs="Arial"/>
          <w:sz w:val="22"/>
        </w:rPr>
        <w:t>next line of chemotherapy</w:t>
      </w:r>
      <w:r w:rsidRPr="00675587">
        <w:rPr>
          <w:rFonts w:ascii="Arial" w:hAnsi="Arial" w:cs="Arial"/>
          <w:sz w:val="22"/>
        </w:rPr>
        <w:t>. The KN-010 trial provides direct evidence for this comparison.</w:t>
      </w:r>
    </w:p>
    <w:p w:rsidR="00825A50" w:rsidRPr="00675587" w:rsidRDefault="00825A50" w:rsidP="00B86773">
      <w:pPr>
        <w:pStyle w:val="ListParagraph"/>
        <w:ind w:left="0" w:firstLine="0"/>
        <w:rPr>
          <w:rFonts w:ascii="Arial" w:hAnsi="Arial" w:cs="Arial"/>
          <w:sz w:val="22"/>
        </w:rPr>
      </w:pPr>
    </w:p>
    <w:p w:rsidR="0095055D" w:rsidRPr="00675587" w:rsidRDefault="00825A50" w:rsidP="009C3A29">
      <w:pPr>
        <w:pStyle w:val="ListParagraph"/>
        <w:numPr>
          <w:ilvl w:val="1"/>
          <w:numId w:val="3"/>
        </w:numPr>
        <w:ind w:left="720"/>
        <w:rPr>
          <w:rFonts w:ascii="Arial" w:hAnsi="Arial" w:cs="Arial"/>
          <w:sz w:val="22"/>
        </w:rPr>
      </w:pPr>
      <w:r w:rsidRPr="00675587">
        <w:rPr>
          <w:rFonts w:ascii="Arial" w:hAnsi="Arial" w:cs="Arial"/>
          <w:sz w:val="22"/>
        </w:rPr>
        <w:t xml:space="preserve">The PSCR argued that </w:t>
      </w:r>
      <w:proofErr w:type="spellStart"/>
      <w:r w:rsidRPr="00675587">
        <w:rPr>
          <w:rFonts w:ascii="Arial" w:hAnsi="Arial" w:cs="Arial"/>
          <w:sz w:val="22"/>
        </w:rPr>
        <w:t>docetaxel</w:t>
      </w:r>
      <w:proofErr w:type="spellEnd"/>
      <w:r w:rsidRPr="00675587">
        <w:rPr>
          <w:rFonts w:ascii="Arial" w:hAnsi="Arial" w:cs="Arial"/>
          <w:sz w:val="22"/>
        </w:rPr>
        <w:t xml:space="preserve"> is not supported as a main comparator</w:t>
      </w:r>
      <w:r w:rsidR="00072C3C" w:rsidRPr="00675587">
        <w:rPr>
          <w:rFonts w:ascii="Arial" w:hAnsi="Arial" w:cs="Arial"/>
          <w:sz w:val="22"/>
        </w:rPr>
        <w:t xml:space="preserve"> in patients with non-squamous NSCLC</w:t>
      </w:r>
      <w:r w:rsidRPr="00675587">
        <w:rPr>
          <w:rFonts w:ascii="Arial" w:hAnsi="Arial" w:cs="Arial"/>
          <w:sz w:val="22"/>
        </w:rPr>
        <w:t xml:space="preserve">, on the basis of the PBAC’s views on the </w:t>
      </w:r>
      <w:proofErr w:type="spellStart"/>
      <w:r w:rsidRPr="00675587">
        <w:rPr>
          <w:rFonts w:ascii="Arial" w:hAnsi="Arial" w:cs="Arial"/>
          <w:sz w:val="22"/>
        </w:rPr>
        <w:t>nivolumab</w:t>
      </w:r>
      <w:proofErr w:type="spellEnd"/>
      <w:r w:rsidRPr="00675587">
        <w:rPr>
          <w:rFonts w:ascii="Arial" w:hAnsi="Arial" w:cs="Arial"/>
          <w:sz w:val="22"/>
        </w:rPr>
        <w:t xml:space="preserve"> submission (non-squamous NSCLC, March 2016) and results from an Australian observational study (PIVOTAL) undertaken in NSCLC patients initiated on therapy between 2011 and 2013. </w:t>
      </w:r>
      <w:r w:rsidR="00625B33" w:rsidRPr="00675587">
        <w:rPr>
          <w:rFonts w:ascii="Arial" w:hAnsi="Arial" w:cs="Arial"/>
          <w:sz w:val="22"/>
        </w:rPr>
        <w:t>However, the PSCR also stated (p4) that, “</w:t>
      </w:r>
      <w:r w:rsidR="005C537E">
        <w:rPr>
          <w:rFonts w:ascii="Arial" w:hAnsi="Arial" w:cs="Arial"/>
          <w:sz w:val="22"/>
        </w:rPr>
        <w:t xml:space="preserve">in international jurisdictions </w:t>
      </w:r>
      <w:r w:rsidR="00625B33" w:rsidRPr="00675587">
        <w:rPr>
          <w:rFonts w:ascii="Arial" w:hAnsi="Arial" w:cs="Arial"/>
          <w:sz w:val="22"/>
        </w:rPr>
        <w:t xml:space="preserve">access to </w:t>
      </w:r>
      <w:proofErr w:type="spellStart"/>
      <w:r w:rsidR="00625B33" w:rsidRPr="00675587">
        <w:rPr>
          <w:rFonts w:ascii="Arial" w:hAnsi="Arial" w:cs="Arial"/>
          <w:sz w:val="22"/>
        </w:rPr>
        <w:t>pemetrexed</w:t>
      </w:r>
      <w:proofErr w:type="spellEnd"/>
      <w:r w:rsidR="00625B33" w:rsidRPr="00675587">
        <w:rPr>
          <w:rFonts w:ascii="Arial" w:hAnsi="Arial" w:cs="Arial"/>
          <w:sz w:val="22"/>
        </w:rPr>
        <w:t xml:space="preserve"> has evolved in line with international clinical guidelines, and is now used first-line as part of a platinum doublet; consequently, </w:t>
      </w:r>
      <w:proofErr w:type="spellStart"/>
      <w:r w:rsidR="00625B33" w:rsidRPr="00675587">
        <w:rPr>
          <w:rFonts w:ascii="Arial" w:hAnsi="Arial" w:cs="Arial"/>
          <w:sz w:val="22"/>
        </w:rPr>
        <w:t>docetaxel</w:t>
      </w:r>
      <w:proofErr w:type="spellEnd"/>
      <w:r w:rsidR="00625B33" w:rsidRPr="00675587">
        <w:rPr>
          <w:rFonts w:ascii="Arial" w:hAnsi="Arial" w:cs="Arial"/>
          <w:sz w:val="22"/>
        </w:rPr>
        <w:t xml:space="preserve"> is the main second-line therapy that is used.”</w:t>
      </w:r>
    </w:p>
    <w:p w:rsidR="009B7B94" w:rsidRPr="00675587" w:rsidRDefault="009B7B94" w:rsidP="00B86773">
      <w:pPr>
        <w:pStyle w:val="ListParagraph"/>
        <w:ind w:left="0" w:firstLine="0"/>
        <w:rPr>
          <w:rFonts w:ascii="Arial" w:hAnsi="Arial" w:cs="Arial"/>
          <w:sz w:val="22"/>
        </w:rPr>
      </w:pPr>
    </w:p>
    <w:p w:rsidR="009B7B94" w:rsidRPr="00015A30" w:rsidRDefault="009B7B94" w:rsidP="009C3A29">
      <w:pPr>
        <w:pStyle w:val="ListParagraph"/>
        <w:numPr>
          <w:ilvl w:val="1"/>
          <w:numId w:val="3"/>
        </w:numPr>
        <w:ind w:left="709"/>
        <w:rPr>
          <w:rFonts w:ascii="Arial" w:hAnsi="Arial" w:cs="Arial"/>
          <w:i/>
          <w:sz w:val="22"/>
        </w:rPr>
      </w:pPr>
      <w:r w:rsidRPr="00675587">
        <w:rPr>
          <w:rFonts w:ascii="Arial" w:hAnsi="Arial" w:cs="Arial"/>
          <w:sz w:val="22"/>
          <w:szCs w:val="22"/>
        </w:rPr>
        <w:t>The ESC</w:t>
      </w:r>
      <w:r w:rsidR="00F01BA7" w:rsidRPr="00675587">
        <w:rPr>
          <w:rFonts w:ascii="Arial" w:hAnsi="Arial" w:cs="Arial"/>
          <w:sz w:val="22"/>
          <w:szCs w:val="22"/>
        </w:rPr>
        <w:t>s</w:t>
      </w:r>
      <w:r w:rsidRPr="00675587">
        <w:rPr>
          <w:rFonts w:ascii="Arial" w:hAnsi="Arial" w:cs="Arial"/>
          <w:sz w:val="22"/>
          <w:szCs w:val="22"/>
        </w:rPr>
        <w:t xml:space="preserve"> noted that in some clinical settings, </w:t>
      </w:r>
      <w:proofErr w:type="spellStart"/>
      <w:r w:rsidRPr="00675587">
        <w:rPr>
          <w:rFonts w:ascii="Arial" w:hAnsi="Arial" w:cs="Arial"/>
          <w:sz w:val="22"/>
          <w:szCs w:val="22"/>
        </w:rPr>
        <w:t>pemetrexed</w:t>
      </w:r>
      <w:proofErr w:type="spellEnd"/>
      <w:r w:rsidRPr="00675587">
        <w:rPr>
          <w:rFonts w:ascii="Arial" w:hAnsi="Arial" w:cs="Arial"/>
          <w:sz w:val="22"/>
          <w:szCs w:val="22"/>
        </w:rPr>
        <w:t xml:space="preserve"> is used as maintenance therapy in non-squamous NSCLC and hence would be</w:t>
      </w:r>
      <w:r w:rsidR="00271EF6" w:rsidRPr="00675587">
        <w:rPr>
          <w:rFonts w:ascii="Arial" w:hAnsi="Arial" w:cs="Arial"/>
          <w:sz w:val="22"/>
          <w:szCs w:val="22"/>
        </w:rPr>
        <w:t xml:space="preserve"> considered as part of first-</w:t>
      </w:r>
      <w:r w:rsidRPr="00675587">
        <w:rPr>
          <w:rFonts w:ascii="Arial" w:hAnsi="Arial" w:cs="Arial"/>
          <w:sz w:val="22"/>
          <w:szCs w:val="22"/>
        </w:rPr>
        <w:t>line therapy following initial platinum-based chemotherapy. I</w:t>
      </w:r>
      <w:r w:rsidR="00B86773" w:rsidRPr="00675587">
        <w:rPr>
          <w:rFonts w:ascii="Arial" w:hAnsi="Arial" w:cs="Arial"/>
          <w:sz w:val="22"/>
          <w:szCs w:val="22"/>
        </w:rPr>
        <w:t>f a s</w:t>
      </w:r>
      <w:r w:rsidR="00893AE0" w:rsidRPr="00675587">
        <w:rPr>
          <w:rFonts w:ascii="Arial" w:hAnsi="Arial" w:cs="Arial"/>
          <w:sz w:val="22"/>
          <w:szCs w:val="22"/>
        </w:rPr>
        <w:t>ubsequent</w:t>
      </w:r>
      <w:r w:rsidR="00B86773" w:rsidRPr="00675587">
        <w:rPr>
          <w:rFonts w:ascii="Arial" w:hAnsi="Arial" w:cs="Arial"/>
          <w:sz w:val="22"/>
          <w:szCs w:val="22"/>
        </w:rPr>
        <w:t xml:space="preserve"> cycle of platinum-based chemotherapy </w:t>
      </w:r>
      <w:r w:rsidR="00507190" w:rsidRPr="00675587">
        <w:rPr>
          <w:rFonts w:ascii="Arial" w:hAnsi="Arial" w:cs="Arial"/>
          <w:sz w:val="22"/>
          <w:szCs w:val="22"/>
        </w:rPr>
        <w:t xml:space="preserve">with </w:t>
      </w:r>
      <w:proofErr w:type="spellStart"/>
      <w:r w:rsidR="00507190" w:rsidRPr="00675587">
        <w:rPr>
          <w:rFonts w:ascii="Arial" w:hAnsi="Arial" w:cs="Arial"/>
          <w:sz w:val="22"/>
          <w:szCs w:val="22"/>
        </w:rPr>
        <w:t>pemetrexed</w:t>
      </w:r>
      <w:proofErr w:type="spellEnd"/>
      <w:r w:rsidR="00507190" w:rsidRPr="00675587">
        <w:rPr>
          <w:rFonts w:ascii="Arial" w:hAnsi="Arial" w:cs="Arial"/>
          <w:sz w:val="22"/>
          <w:szCs w:val="22"/>
        </w:rPr>
        <w:t xml:space="preserve"> as maintenance </w:t>
      </w:r>
      <w:r w:rsidR="00B86773" w:rsidRPr="00675587">
        <w:rPr>
          <w:rFonts w:ascii="Arial" w:hAnsi="Arial" w:cs="Arial"/>
          <w:sz w:val="22"/>
          <w:szCs w:val="22"/>
        </w:rPr>
        <w:t xml:space="preserve">were not to be used </w:t>
      </w:r>
      <w:r w:rsidR="00507190" w:rsidRPr="00675587">
        <w:rPr>
          <w:rFonts w:ascii="Arial" w:hAnsi="Arial" w:cs="Arial"/>
          <w:sz w:val="22"/>
          <w:szCs w:val="22"/>
        </w:rPr>
        <w:t>i</w:t>
      </w:r>
      <w:r w:rsidRPr="00675587">
        <w:rPr>
          <w:rFonts w:ascii="Arial" w:hAnsi="Arial" w:cs="Arial"/>
          <w:sz w:val="22"/>
          <w:szCs w:val="22"/>
        </w:rPr>
        <w:t xml:space="preserve">n this situation, </w:t>
      </w:r>
      <w:r w:rsidR="00507190" w:rsidRPr="00675587">
        <w:rPr>
          <w:rFonts w:ascii="Arial" w:hAnsi="Arial" w:cs="Arial"/>
          <w:sz w:val="22"/>
          <w:szCs w:val="22"/>
        </w:rPr>
        <w:t xml:space="preserve">then </w:t>
      </w:r>
      <w:proofErr w:type="spellStart"/>
      <w:r w:rsidRPr="00675587">
        <w:rPr>
          <w:rFonts w:ascii="Arial" w:hAnsi="Arial" w:cs="Arial"/>
          <w:sz w:val="22"/>
          <w:szCs w:val="22"/>
        </w:rPr>
        <w:t>docetaxel</w:t>
      </w:r>
      <w:proofErr w:type="spellEnd"/>
      <w:r w:rsidRPr="00675587">
        <w:rPr>
          <w:rFonts w:ascii="Arial" w:hAnsi="Arial" w:cs="Arial"/>
          <w:sz w:val="22"/>
          <w:szCs w:val="22"/>
        </w:rPr>
        <w:t xml:space="preserve"> might be used as the second</w:t>
      </w:r>
      <w:r w:rsidR="00271EF6" w:rsidRPr="00675587">
        <w:rPr>
          <w:rFonts w:ascii="Arial" w:hAnsi="Arial" w:cs="Arial"/>
          <w:sz w:val="22"/>
          <w:szCs w:val="22"/>
        </w:rPr>
        <w:t>-</w:t>
      </w:r>
      <w:r w:rsidRPr="00675587">
        <w:rPr>
          <w:rFonts w:ascii="Arial" w:hAnsi="Arial" w:cs="Arial"/>
          <w:sz w:val="22"/>
          <w:szCs w:val="22"/>
        </w:rPr>
        <w:t>line therapy</w:t>
      </w:r>
      <w:r w:rsidR="00B86773" w:rsidRPr="00675587">
        <w:rPr>
          <w:rFonts w:ascii="Arial" w:hAnsi="Arial" w:cs="Arial"/>
          <w:sz w:val="22"/>
          <w:szCs w:val="22"/>
        </w:rPr>
        <w:t xml:space="preserve"> </w:t>
      </w:r>
      <w:r w:rsidRPr="00675587">
        <w:rPr>
          <w:rFonts w:ascii="Arial" w:hAnsi="Arial" w:cs="Arial"/>
          <w:sz w:val="22"/>
          <w:szCs w:val="22"/>
        </w:rPr>
        <w:t xml:space="preserve">and </w:t>
      </w:r>
      <w:r w:rsidR="00507190" w:rsidRPr="00675587">
        <w:rPr>
          <w:rFonts w:ascii="Arial" w:hAnsi="Arial" w:cs="Arial"/>
          <w:sz w:val="22"/>
          <w:szCs w:val="22"/>
        </w:rPr>
        <w:t>so c</w:t>
      </w:r>
      <w:r w:rsidRPr="00675587">
        <w:rPr>
          <w:rFonts w:ascii="Arial" w:hAnsi="Arial" w:cs="Arial"/>
          <w:sz w:val="22"/>
          <w:szCs w:val="22"/>
        </w:rPr>
        <w:t xml:space="preserve">ould also be a relevant comparator for patients with </w:t>
      </w:r>
      <w:r w:rsidR="00507190" w:rsidRPr="00675587">
        <w:rPr>
          <w:rFonts w:ascii="Arial" w:hAnsi="Arial" w:cs="Arial"/>
          <w:sz w:val="22"/>
          <w:szCs w:val="22"/>
        </w:rPr>
        <w:t>non-squamous NSCLC.</w:t>
      </w:r>
    </w:p>
    <w:p w:rsidR="00015A30" w:rsidRPr="007629BE" w:rsidRDefault="00015A30" w:rsidP="007629BE">
      <w:pPr>
        <w:pStyle w:val="ListParagraph"/>
        <w:ind w:left="0" w:firstLine="0"/>
        <w:rPr>
          <w:rFonts w:ascii="Arial" w:hAnsi="Arial" w:cs="Arial"/>
          <w:sz w:val="22"/>
        </w:rPr>
      </w:pPr>
    </w:p>
    <w:p w:rsidR="00015A30" w:rsidRPr="00675587" w:rsidRDefault="00015A30" w:rsidP="009C3A29">
      <w:pPr>
        <w:pStyle w:val="ListParagraph"/>
        <w:numPr>
          <w:ilvl w:val="1"/>
          <w:numId w:val="3"/>
        </w:numPr>
        <w:ind w:left="709"/>
        <w:rPr>
          <w:rFonts w:ascii="Arial" w:hAnsi="Arial" w:cs="Arial"/>
          <w:i/>
          <w:sz w:val="22"/>
        </w:rPr>
      </w:pPr>
      <w:r>
        <w:rPr>
          <w:rFonts w:ascii="Arial" w:hAnsi="Arial" w:cs="Arial"/>
          <w:sz w:val="22"/>
        </w:rPr>
        <w:t>The PBAC considered that</w:t>
      </w:r>
      <w:r w:rsidR="007D6316">
        <w:rPr>
          <w:rFonts w:ascii="Arial" w:hAnsi="Arial" w:cs="Arial"/>
          <w:sz w:val="22"/>
        </w:rPr>
        <w:t xml:space="preserve">, consistent with its March 2016 consideration for </w:t>
      </w:r>
      <w:proofErr w:type="spellStart"/>
      <w:r w:rsidR="007D6316">
        <w:rPr>
          <w:rFonts w:ascii="Arial" w:hAnsi="Arial" w:cs="Arial"/>
          <w:sz w:val="22"/>
        </w:rPr>
        <w:t>nivolumab</w:t>
      </w:r>
      <w:proofErr w:type="spellEnd"/>
      <w:r w:rsidR="007D6316">
        <w:rPr>
          <w:rFonts w:ascii="Arial" w:hAnsi="Arial" w:cs="Arial"/>
          <w:sz w:val="22"/>
        </w:rPr>
        <w:t xml:space="preserve"> in the same patient setting,</w:t>
      </w:r>
      <w:r>
        <w:rPr>
          <w:rFonts w:ascii="Arial" w:hAnsi="Arial" w:cs="Arial"/>
          <w:sz w:val="22"/>
        </w:rPr>
        <w:t xml:space="preserve"> </w:t>
      </w:r>
      <w:proofErr w:type="spellStart"/>
      <w:r>
        <w:rPr>
          <w:rFonts w:ascii="Arial" w:hAnsi="Arial" w:cs="Arial"/>
          <w:sz w:val="22"/>
        </w:rPr>
        <w:t>docetaxel</w:t>
      </w:r>
      <w:proofErr w:type="spellEnd"/>
      <w:r>
        <w:rPr>
          <w:rFonts w:ascii="Arial" w:hAnsi="Arial" w:cs="Arial"/>
          <w:sz w:val="22"/>
        </w:rPr>
        <w:t xml:space="preserve"> and </w:t>
      </w:r>
      <w:proofErr w:type="spellStart"/>
      <w:r>
        <w:rPr>
          <w:rFonts w:ascii="Arial" w:hAnsi="Arial" w:cs="Arial"/>
          <w:sz w:val="22"/>
        </w:rPr>
        <w:t>pemetrexed</w:t>
      </w:r>
      <w:proofErr w:type="spellEnd"/>
      <w:r>
        <w:rPr>
          <w:rFonts w:ascii="Arial" w:hAnsi="Arial" w:cs="Arial"/>
          <w:sz w:val="22"/>
        </w:rPr>
        <w:t xml:space="preserve"> were the appropriate main comparators for patients with squamous and non-squamous NSCLC respectively.</w:t>
      </w:r>
    </w:p>
    <w:p w:rsidR="0095055D" w:rsidRPr="00D719D6" w:rsidRDefault="0095055D" w:rsidP="00275DAF">
      <w:pPr>
        <w:pStyle w:val="ListParagraph"/>
        <w:ind w:left="0" w:firstLine="0"/>
        <w:rPr>
          <w:rFonts w:ascii="Arial" w:hAnsi="Arial" w:cs="Arial"/>
          <w:sz w:val="22"/>
          <w:szCs w:val="22"/>
        </w:rPr>
      </w:pPr>
    </w:p>
    <w:p w:rsidR="00AC2A2D" w:rsidRPr="00675587" w:rsidRDefault="00AC2A2D" w:rsidP="00AC2A2D">
      <w:pPr>
        <w:pStyle w:val="ListParagraph"/>
        <w:ind w:left="709" w:firstLine="0"/>
        <w:rPr>
          <w:rFonts w:ascii="Arial" w:hAnsi="Arial"/>
          <w:i/>
          <w:sz w:val="22"/>
          <w:szCs w:val="22"/>
        </w:rPr>
      </w:pPr>
      <w:r w:rsidRPr="00015A30">
        <w:rPr>
          <w:rFonts w:ascii="Arial" w:hAnsi="Arial"/>
          <w:i/>
          <w:sz w:val="22"/>
          <w:szCs w:val="22"/>
        </w:rPr>
        <w:t>For more detail on PBAC’s view, see section 7 “PBAC outcome”</w:t>
      </w:r>
      <w:r w:rsidR="002B262C">
        <w:rPr>
          <w:rFonts w:ascii="Arial" w:hAnsi="Arial"/>
          <w:i/>
          <w:sz w:val="22"/>
          <w:szCs w:val="22"/>
        </w:rPr>
        <w:t>.</w:t>
      </w:r>
    </w:p>
    <w:p w:rsidR="00210DDC" w:rsidRPr="00D719D6" w:rsidRDefault="00210DDC" w:rsidP="00275DAF">
      <w:pPr>
        <w:pStyle w:val="ListParagraph"/>
        <w:ind w:left="0" w:firstLine="0"/>
        <w:rPr>
          <w:rFonts w:ascii="Arial" w:hAnsi="Arial" w:cs="Arial"/>
          <w:sz w:val="22"/>
          <w:szCs w:val="22"/>
        </w:rPr>
      </w:pPr>
    </w:p>
    <w:p w:rsidR="00AC2A2D" w:rsidRPr="00507190" w:rsidRDefault="00AC2A2D" w:rsidP="00275DAF">
      <w:pPr>
        <w:pStyle w:val="ListParagraph"/>
        <w:ind w:left="0" w:firstLine="0"/>
        <w:rPr>
          <w:rFonts w:ascii="Arial" w:hAnsi="Arial" w:cs="Arial"/>
          <w:sz w:val="22"/>
          <w:szCs w:val="22"/>
        </w:rPr>
      </w:pPr>
    </w:p>
    <w:p w:rsidR="0014359C" w:rsidRPr="00BC236F" w:rsidRDefault="0014359C" w:rsidP="009C3A29">
      <w:pPr>
        <w:pStyle w:val="PBACHeading10"/>
        <w:numPr>
          <w:ilvl w:val="0"/>
          <w:numId w:val="4"/>
        </w:numPr>
        <w:outlineLvl w:val="0"/>
      </w:pPr>
      <w:bookmarkStart w:id="17" w:name="_Toc431891738"/>
      <w:r w:rsidRPr="00BC236F">
        <w:t>Consideration of the evidence</w:t>
      </w:r>
    </w:p>
    <w:p w:rsidR="0014359C" w:rsidRDefault="0014359C" w:rsidP="0014359C">
      <w:pPr>
        <w:pStyle w:val="Paragraphheading1"/>
        <w:rPr>
          <w:rFonts w:ascii="Arial" w:hAnsi="Arial"/>
          <w:i w:val="0"/>
          <w:sz w:val="22"/>
          <w:szCs w:val="22"/>
        </w:rPr>
      </w:pPr>
    </w:p>
    <w:p w:rsidR="00AC2A2D" w:rsidRPr="006A6767" w:rsidRDefault="00AC2A2D" w:rsidP="00AC2A2D">
      <w:pPr>
        <w:pStyle w:val="Heading2"/>
        <w:spacing w:before="0" w:beforeAutospacing="0" w:after="0" w:afterAutospacing="0"/>
        <w:rPr>
          <w:rFonts w:ascii="Arial" w:hAnsi="Arial" w:cs="Arial"/>
          <w:b/>
          <w:snapToGrid w:val="0"/>
          <w:sz w:val="22"/>
          <w:szCs w:val="22"/>
        </w:rPr>
      </w:pPr>
      <w:r w:rsidRPr="006A6767">
        <w:rPr>
          <w:rFonts w:ascii="Arial" w:hAnsi="Arial" w:cs="Arial"/>
          <w:b/>
          <w:snapToGrid w:val="0"/>
          <w:sz w:val="22"/>
          <w:szCs w:val="22"/>
        </w:rPr>
        <w:t>Sponsor hearing</w:t>
      </w:r>
    </w:p>
    <w:p w:rsidR="00AC2A2D" w:rsidRPr="007629BE" w:rsidRDefault="00AC2A2D" w:rsidP="007629BE">
      <w:pPr>
        <w:pStyle w:val="ListParagraph"/>
        <w:ind w:left="0" w:firstLine="0"/>
        <w:rPr>
          <w:rFonts w:ascii="Arial" w:hAnsi="Arial" w:cs="Arial"/>
          <w:snapToGrid w:val="0"/>
          <w:sz w:val="22"/>
          <w:szCs w:val="22"/>
        </w:rPr>
      </w:pPr>
    </w:p>
    <w:p w:rsidR="006A6767" w:rsidRPr="00262335" w:rsidRDefault="00AC2A2D" w:rsidP="009C3A29">
      <w:pPr>
        <w:widowControl w:val="0"/>
        <w:numPr>
          <w:ilvl w:val="1"/>
          <w:numId w:val="3"/>
        </w:numPr>
        <w:ind w:left="720"/>
        <w:contextualSpacing/>
        <w:rPr>
          <w:rFonts w:ascii="Arial" w:hAnsi="Arial" w:cs="Arial"/>
          <w:bCs/>
          <w:snapToGrid w:val="0"/>
          <w:sz w:val="22"/>
          <w:szCs w:val="22"/>
        </w:rPr>
      </w:pPr>
      <w:r w:rsidRPr="00262335">
        <w:rPr>
          <w:rFonts w:ascii="Arial" w:hAnsi="Arial" w:cs="Arial"/>
          <w:bCs/>
          <w:snapToGrid w:val="0"/>
          <w:sz w:val="22"/>
          <w:szCs w:val="22"/>
        </w:rPr>
        <w:t>The sponsor requ</w:t>
      </w:r>
      <w:r w:rsidR="007629BE">
        <w:rPr>
          <w:rFonts w:ascii="Arial" w:hAnsi="Arial" w:cs="Arial"/>
          <w:bCs/>
          <w:snapToGrid w:val="0"/>
          <w:sz w:val="22"/>
          <w:szCs w:val="22"/>
        </w:rPr>
        <w:t xml:space="preserve">ested a hearing for this item. </w:t>
      </w:r>
      <w:r w:rsidRPr="00262335">
        <w:rPr>
          <w:rFonts w:ascii="Arial" w:hAnsi="Arial" w:cs="Arial"/>
          <w:bCs/>
          <w:snapToGrid w:val="0"/>
          <w:sz w:val="22"/>
          <w:szCs w:val="22"/>
        </w:rPr>
        <w:t xml:space="preserve">The clinician presented </w:t>
      </w:r>
      <w:r w:rsidR="006A6767" w:rsidRPr="00262335">
        <w:rPr>
          <w:rFonts w:ascii="Arial" w:hAnsi="Arial" w:cs="Arial"/>
          <w:bCs/>
          <w:snapToGrid w:val="0"/>
          <w:sz w:val="22"/>
          <w:szCs w:val="22"/>
        </w:rPr>
        <w:t xml:space="preserve">the rationale for selecting the PD-L1 expression threshold of 50%, and reiterated the submission’s </w:t>
      </w:r>
      <w:r w:rsidR="000A291C" w:rsidRPr="00262335">
        <w:rPr>
          <w:rFonts w:ascii="Arial" w:hAnsi="Arial" w:cs="Arial"/>
          <w:bCs/>
          <w:snapToGrid w:val="0"/>
          <w:sz w:val="22"/>
          <w:szCs w:val="22"/>
        </w:rPr>
        <w:t>claim of overall survival</w:t>
      </w:r>
      <w:r w:rsidR="006A6767" w:rsidRPr="00262335">
        <w:rPr>
          <w:rFonts w:ascii="Arial" w:hAnsi="Arial" w:cs="Arial"/>
          <w:bCs/>
          <w:snapToGrid w:val="0"/>
          <w:sz w:val="22"/>
          <w:szCs w:val="22"/>
        </w:rPr>
        <w:t xml:space="preserve"> benefit</w:t>
      </w:r>
      <w:r w:rsidR="000A291C" w:rsidRPr="00262335">
        <w:rPr>
          <w:rFonts w:ascii="Arial" w:hAnsi="Arial" w:cs="Arial"/>
          <w:bCs/>
          <w:snapToGrid w:val="0"/>
          <w:sz w:val="22"/>
          <w:szCs w:val="22"/>
        </w:rPr>
        <w:t xml:space="preserve"> and superior safety profile </w:t>
      </w:r>
      <w:r w:rsidR="006A6767" w:rsidRPr="00262335">
        <w:rPr>
          <w:rFonts w:ascii="Arial" w:hAnsi="Arial" w:cs="Arial"/>
          <w:bCs/>
          <w:snapToGrid w:val="0"/>
          <w:sz w:val="22"/>
          <w:szCs w:val="22"/>
        </w:rPr>
        <w:t>with pembrolizumab treatment</w:t>
      </w:r>
      <w:r w:rsidR="000A291C" w:rsidRPr="00262335">
        <w:rPr>
          <w:rFonts w:ascii="Arial" w:hAnsi="Arial" w:cs="Arial"/>
          <w:bCs/>
          <w:snapToGrid w:val="0"/>
          <w:sz w:val="22"/>
          <w:szCs w:val="22"/>
        </w:rPr>
        <w:t xml:space="preserve"> over chemotherapy</w:t>
      </w:r>
      <w:r w:rsidR="006A6767" w:rsidRPr="00262335">
        <w:rPr>
          <w:rFonts w:ascii="Arial" w:hAnsi="Arial" w:cs="Arial"/>
          <w:bCs/>
          <w:snapToGrid w:val="0"/>
          <w:sz w:val="22"/>
          <w:szCs w:val="22"/>
        </w:rPr>
        <w:t xml:space="preserve">. The clinician </w:t>
      </w:r>
      <w:r w:rsidR="00F66CDE">
        <w:rPr>
          <w:rFonts w:ascii="Arial" w:hAnsi="Arial" w:cs="Arial"/>
          <w:bCs/>
          <w:snapToGrid w:val="0"/>
          <w:sz w:val="22"/>
          <w:szCs w:val="22"/>
        </w:rPr>
        <w:t>indicate</w:t>
      </w:r>
      <w:r w:rsidR="006A6767" w:rsidRPr="00262335">
        <w:rPr>
          <w:rFonts w:ascii="Arial" w:hAnsi="Arial" w:cs="Arial"/>
          <w:bCs/>
          <w:snapToGrid w:val="0"/>
          <w:sz w:val="22"/>
          <w:szCs w:val="22"/>
        </w:rPr>
        <w:t xml:space="preserve">d that the TPS ≥50% threshold was prospectively determined </w:t>
      </w:r>
      <w:r w:rsidR="00540EB3">
        <w:rPr>
          <w:rFonts w:ascii="Arial" w:hAnsi="Arial" w:cs="Arial"/>
          <w:bCs/>
          <w:snapToGrid w:val="0"/>
          <w:sz w:val="22"/>
          <w:szCs w:val="22"/>
        </w:rPr>
        <w:t xml:space="preserve">from </w:t>
      </w:r>
      <w:r w:rsidR="006A6767" w:rsidRPr="00262335">
        <w:rPr>
          <w:rFonts w:ascii="Arial" w:hAnsi="Arial" w:cs="Arial"/>
          <w:bCs/>
          <w:snapToGrid w:val="0"/>
          <w:sz w:val="22"/>
          <w:szCs w:val="22"/>
        </w:rPr>
        <w:t>a receiver operating ch</w:t>
      </w:r>
      <w:r w:rsidR="000A291C" w:rsidRPr="00262335">
        <w:rPr>
          <w:rFonts w:ascii="Arial" w:hAnsi="Arial" w:cs="Arial"/>
          <w:bCs/>
          <w:snapToGrid w:val="0"/>
          <w:sz w:val="22"/>
          <w:szCs w:val="22"/>
        </w:rPr>
        <w:t>aracteristic (ROC) curve</w:t>
      </w:r>
      <w:r w:rsidR="007629BE">
        <w:rPr>
          <w:rFonts w:ascii="Arial" w:hAnsi="Arial" w:cs="Arial"/>
          <w:bCs/>
          <w:snapToGrid w:val="0"/>
          <w:sz w:val="22"/>
          <w:szCs w:val="22"/>
        </w:rPr>
        <w:t xml:space="preserve"> generated </w:t>
      </w:r>
      <w:r w:rsidR="00540EB3">
        <w:rPr>
          <w:rFonts w:ascii="Arial" w:hAnsi="Arial" w:cs="Arial"/>
          <w:bCs/>
          <w:snapToGrid w:val="0"/>
          <w:sz w:val="22"/>
          <w:szCs w:val="22"/>
        </w:rPr>
        <w:t xml:space="preserve">using data </w:t>
      </w:r>
      <w:r w:rsidR="007629BE">
        <w:rPr>
          <w:rFonts w:ascii="Arial" w:hAnsi="Arial" w:cs="Arial"/>
          <w:bCs/>
          <w:snapToGrid w:val="0"/>
          <w:sz w:val="22"/>
          <w:szCs w:val="22"/>
        </w:rPr>
        <w:t>from</w:t>
      </w:r>
      <w:r w:rsidR="006A6767" w:rsidRPr="00262335">
        <w:rPr>
          <w:rFonts w:ascii="Arial" w:hAnsi="Arial" w:cs="Arial"/>
          <w:bCs/>
          <w:snapToGrid w:val="0"/>
          <w:sz w:val="22"/>
          <w:szCs w:val="22"/>
        </w:rPr>
        <w:t xml:space="preserve"> the KN-001 trial.</w:t>
      </w:r>
    </w:p>
    <w:p w:rsidR="00AC2A2D" w:rsidRPr="001A04A4" w:rsidRDefault="00AC2A2D" w:rsidP="00853EF2">
      <w:pPr>
        <w:widowControl w:val="0"/>
        <w:contextualSpacing/>
        <w:rPr>
          <w:rFonts w:ascii="Arial" w:hAnsi="Arial" w:cs="Arial"/>
          <w:bCs/>
          <w:snapToGrid w:val="0"/>
          <w:sz w:val="22"/>
          <w:szCs w:val="22"/>
        </w:rPr>
      </w:pPr>
    </w:p>
    <w:p w:rsidR="00AC2A2D" w:rsidRPr="001A04A4" w:rsidRDefault="00AC2A2D" w:rsidP="00AC2A2D">
      <w:pPr>
        <w:pStyle w:val="Heading2"/>
        <w:spacing w:before="0" w:beforeAutospacing="0" w:after="0" w:afterAutospacing="0"/>
        <w:rPr>
          <w:rFonts w:ascii="Arial" w:hAnsi="Arial" w:cs="Arial"/>
          <w:b/>
          <w:snapToGrid w:val="0"/>
          <w:sz w:val="22"/>
          <w:szCs w:val="22"/>
        </w:rPr>
      </w:pPr>
      <w:r w:rsidRPr="001A04A4">
        <w:rPr>
          <w:rFonts w:ascii="Arial" w:hAnsi="Arial" w:cs="Arial"/>
          <w:b/>
          <w:snapToGrid w:val="0"/>
          <w:sz w:val="22"/>
          <w:szCs w:val="22"/>
        </w:rPr>
        <w:t>Consumer comments</w:t>
      </w:r>
    </w:p>
    <w:p w:rsidR="00AC2A2D" w:rsidRPr="00596634" w:rsidRDefault="00AC2A2D" w:rsidP="00AC2A2D">
      <w:pPr>
        <w:rPr>
          <w:rFonts w:ascii="Arial" w:hAnsi="Arial" w:cs="Arial"/>
          <w:snapToGrid w:val="0"/>
          <w:sz w:val="22"/>
          <w:szCs w:val="22"/>
        </w:rPr>
      </w:pPr>
    </w:p>
    <w:p w:rsidR="001A04A4" w:rsidRPr="00262335" w:rsidRDefault="00AC2A2D" w:rsidP="009C3A29">
      <w:pPr>
        <w:widowControl w:val="0"/>
        <w:numPr>
          <w:ilvl w:val="1"/>
          <w:numId w:val="3"/>
        </w:numPr>
        <w:ind w:left="720"/>
        <w:contextualSpacing/>
        <w:rPr>
          <w:rFonts w:ascii="Arial" w:hAnsi="Arial" w:cs="Arial"/>
          <w:bCs/>
          <w:snapToGrid w:val="0"/>
          <w:sz w:val="22"/>
          <w:szCs w:val="22"/>
        </w:rPr>
      </w:pPr>
      <w:r w:rsidRPr="00262335">
        <w:rPr>
          <w:rFonts w:ascii="Arial" w:hAnsi="Arial" w:cs="Arial"/>
          <w:bCs/>
          <w:snapToGrid w:val="0"/>
          <w:sz w:val="22"/>
          <w:szCs w:val="22"/>
        </w:rPr>
        <w:t xml:space="preserve">The PBAC noted and welcomed the input from </w:t>
      </w:r>
      <w:r w:rsidR="001A04A4" w:rsidRPr="00262335">
        <w:rPr>
          <w:rFonts w:ascii="Arial" w:hAnsi="Arial" w:cs="Arial"/>
          <w:bCs/>
          <w:snapToGrid w:val="0"/>
          <w:sz w:val="22"/>
          <w:szCs w:val="22"/>
        </w:rPr>
        <w:t xml:space="preserve">one </w:t>
      </w:r>
      <w:r w:rsidRPr="00262335">
        <w:rPr>
          <w:rFonts w:ascii="Arial" w:hAnsi="Arial" w:cs="Arial"/>
          <w:bCs/>
          <w:snapToGrid w:val="0"/>
          <w:sz w:val="22"/>
          <w:szCs w:val="22"/>
        </w:rPr>
        <w:t xml:space="preserve">individual and </w:t>
      </w:r>
      <w:r w:rsidR="00884EA0">
        <w:rPr>
          <w:rFonts w:ascii="Arial" w:hAnsi="Arial" w:cs="Arial"/>
          <w:bCs/>
          <w:snapToGrid w:val="0"/>
          <w:sz w:val="22"/>
          <w:szCs w:val="22"/>
        </w:rPr>
        <w:t>three</w:t>
      </w:r>
      <w:r w:rsidR="001A04A4" w:rsidRPr="00262335">
        <w:rPr>
          <w:rFonts w:ascii="Arial" w:hAnsi="Arial" w:cs="Arial"/>
          <w:bCs/>
          <w:snapToGrid w:val="0"/>
          <w:sz w:val="22"/>
          <w:szCs w:val="22"/>
        </w:rPr>
        <w:t xml:space="preserve"> </w:t>
      </w:r>
      <w:r w:rsidRPr="00262335">
        <w:rPr>
          <w:rFonts w:ascii="Arial" w:hAnsi="Arial" w:cs="Arial"/>
          <w:bCs/>
          <w:snapToGrid w:val="0"/>
          <w:sz w:val="22"/>
          <w:szCs w:val="22"/>
        </w:rPr>
        <w:t xml:space="preserve">organisations via the Consumer Comments facility on the PBS website. </w:t>
      </w:r>
      <w:r w:rsidR="001A04A4" w:rsidRPr="00262335">
        <w:rPr>
          <w:rFonts w:ascii="Arial" w:hAnsi="Arial" w:cs="Arial"/>
          <w:bCs/>
          <w:snapToGrid w:val="0"/>
          <w:sz w:val="22"/>
          <w:szCs w:val="22"/>
        </w:rPr>
        <w:t>The comments described the clinical need for and value of treatments for patients with NSCLC.</w:t>
      </w:r>
    </w:p>
    <w:p w:rsidR="00AC2A2D" w:rsidRPr="00262335" w:rsidRDefault="00AC2A2D" w:rsidP="00AC2A2D">
      <w:pPr>
        <w:contextualSpacing/>
        <w:rPr>
          <w:rFonts w:ascii="Arial" w:hAnsi="Arial" w:cs="Arial"/>
          <w:bCs/>
          <w:snapToGrid w:val="0"/>
          <w:sz w:val="22"/>
          <w:szCs w:val="22"/>
        </w:rPr>
      </w:pPr>
    </w:p>
    <w:p w:rsidR="00AC2A2D" w:rsidRPr="00F66CDE" w:rsidRDefault="000A72AE" w:rsidP="009C3A29">
      <w:pPr>
        <w:widowControl w:val="0"/>
        <w:numPr>
          <w:ilvl w:val="1"/>
          <w:numId w:val="3"/>
        </w:numPr>
        <w:ind w:left="709"/>
        <w:contextualSpacing/>
        <w:rPr>
          <w:rFonts w:ascii="Arial" w:hAnsi="Arial" w:cs="Arial"/>
          <w:bCs/>
          <w:snapToGrid w:val="0"/>
          <w:sz w:val="22"/>
          <w:szCs w:val="22"/>
        </w:rPr>
      </w:pPr>
      <w:r w:rsidRPr="000A72AE">
        <w:rPr>
          <w:rFonts w:ascii="Arial" w:hAnsi="Arial" w:cs="Arial"/>
          <w:bCs/>
          <w:snapToGrid w:val="0"/>
          <w:sz w:val="22"/>
          <w:szCs w:val="22"/>
        </w:rPr>
        <w:t xml:space="preserve">The PBAC noted the input received from the Medical Oncology Group of Australia (MOGA) and the Lung Foundation of Australia, both providing strong support for </w:t>
      </w:r>
      <w:r>
        <w:rPr>
          <w:rFonts w:ascii="Arial" w:hAnsi="Arial" w:cs="Arial"/>
          <w:bCs/>
          <w:snapToGrid w:val="0"/>
          <w:sz w:val="22"/>
          <w:szCs w:val="22"/>
        </w:rPr>
        <w:t>pembrolizumab. The MOGA</w:t>
      </w:r>
      <w:r w:rsidR="00DA703E" w:rsidRPr="00F66CDE">
        <w:rPr>
          <w:rFonts w:ascii="Arial" w:hAnsi="Arial" w:cs="Arial"/>
          <w:bCs/>
          <w:snapToGrid w:val="0"/>
          <w:sz w:val="22"/>
          <w:szCs w:val="22"/>
        </w:rPr>
        <w:t xml:space="preserve"> </w:t>
      </w:r>
      <w:r w:rsidR="00B5516F" w:rsidRPr="00F66CDE">
        <w:rPr>
          <w:rFonts w:ascii="Arial" w:hAnsi="Arial" w:cs="Arial"/>
          <w:bCs/>
          <w:snapToGrid w:val="0"/>
          <w:sz w:val="22"/>
          <w:szCs w:val="22"/>
        </w:rPr>
        <w:t>presented</w:t>
      </w:r>
      <w:r w:rsidR="00DA703E" w:rsidRPr="00F66CDE">
        <w:rPr>
          <w:rFonts w:ascii="Arial" w:hAnsi="Arial" w:cs="Arial"/>
          <w:bCs/>
          <w:snapToGrid w:val="0"/>
          <w:sz w:val="22"/>
          <w:szCs w:val="22"/>
        </w:rPr>
        <w:t xml:space="preserve"> the European Society for Medical Oncology Magnitude of Clinical Benefit Scale</w:t>
      </w:r>
      <w:r w:rsidR="00DA703E" w:rsidRPr="00F66CDE" w:rsidDel="001A04A4">
        <w:rPr>
          <w:rFonts w:ascii="Arial" w:hAnsi="Arial" w:cs="Arial"/>
          <w:bCs/>
          <w:snapToGrid w:val="0"/>
          <w:sz w:val="22"/>
          <w:szCs w:val="22"/>
        </w:rPr>
        <w:t xml:space="preserve"> </w:t>
      </w:r>
      <w:r w:rsidR="00DA703E" w:rsidRPr="00F66CDE">
        <w:rPr>
          <w:rFonts w:ascii="Arial" w:hAnsi="Arial" w:cs="Arial"/>
          <w:bCs/>
          <w:snapToGrid w:val="0"/>
          <w:sz w:val="22"/>
          <w:szCs w:val="22"/>
        </w:rPr>
        <w:t>(ESMO-MCBS) for the PD-L1 TPS ≥50%</w:t>
      </w:r>
      <w:r w:rsidR="00B5516F" w:rsidRPr="00F66CDE">
        <w:rPr>
          <w:rFonts w:ascii="Arial" w:hAnsi="Arial" w:cs="Arial"/>
          <w:bCs/>
          <w:snapToGrid w:val="0"/>
          <w:sz w:val="22"/>
          <w:szCs w:val="22"/>
        </w:rPr>
        <w:t xml:space="preserve"> and TPS ≥1% populations as 5 and 3 respectively</w:t>
      </w:r>
      <w:r w:rsidR="00F66CDE" w:rsidRPr="00F66CDE">
        <w:rPr>
          <w:rFonts w:ascii="Arial" w:hAnsi="Arial" w:cs="Arial"/>
          <w:bCs/>
          <w:snapToGrid w:val="0"/>
          <w:sz w:val="22"/>
          <w:szCs w:val="22"/>
        </w:rPr>
        <w:t xml:space="preserve"> (out of a maximum of 5, where 5 and 4 represent the grades with substantial improvement)</w:t>
      </w:r>
      <w:r w:rsidR="00F66CDE" w:rsidRPr="00F66CDE">
        <w:rPr>
          <w:rFonts w:ascii="Arial" w:hAnsi="Arial" w:cs="Arial"/>
          <w:bCs/>
          <w:snapToGrid w:val="0"/>
          <w:sz w:val="22"/>
          <w:szCs w:val="22"/>
          <w:vertAlign w:val="superscript"/>
        </w:rPr>
        <w:footnoteReference w:customMarkFollows="1" w:id="2"/>
        <w:t>[1]</w:t>
      </w:r>
      <w:r w:rsidR="00F66CDE" w:rsidRPr="00F66CDE">
        <w:rPr>
          <w:rFonts w:ascii="Arial" w:hAnsi="Arial" w:cs="Arial"/>
          <w:bCs/>
          <w:snapToGrid w:val="0"/>
          <w:sz w:val="22"/>
          <w:szCs w:val="22"/>
        </w:rPr>
        <w:t xml:space="preserve">, based on a comparison between pembrolizumab and </w:t>
      </w:r>
      <w:proofErr w:type="spellStart"/>
      <w:r w:rsidR="00F66CDE" w:rsidRPr="00F66CDE">
        <w:rPr>
          <w:rFonts w:ascii="Arial" w:hAnsi="Arial" w:cs="Arial"/>
          <w:bCs/>
          <w:snapToGrid w:val="0"/>
          <w:sz w:val="22"/>
          <w:szCs w:val="22"/>
        </w:rPr>
        <w:t>docetaxel</w:t>
      </w:r>
      <w:proofErr w:type="spellEnd"/>
      <w:r w:rsidR="00F66CDE" w:rsidRPr="00F66CDE">
        <w:rPr>
          <w:rFonts w:ascii="Arial" w:hAnsi="Arial" w:cs="Arial"/>
          <w:bCs/>
          <w:snapToGrid w:val="0"/>
          <w:sz w:val="22"/>
          <w:szCs w:val="22"/>
        </w:rPr>
        <w:t>.</w:t>
      </w:r>
      <w:r w:rsidR="00F66CDE">
        <w:rPr>
          <w:rFonts w:ascii="Arial" w:hAnsi="Arial" w:cs="Arial"/>
          <w:bCs/>
          <w:snapToGrid w:val="0"/>
          <w:sz w:val="22"/>
          <w:szCs w:val="22"/>
        </w:rPr>
        <w:t xml:space="preserve"> </w:t>
      </w:r>
      <w:r w:rsidR="00AC2A2D" w:rsidRPr="00F66CDE">
        <w:rPr>
          <w:rFonts w:ascii="Arial" w:hAnsi="Arial" w:cs="Arial"/>
          <w:bCs/>
          <w:snapToGrid w:val="0"/>
          <w:sz w:val="22"/>
          <w:szCs w:val="22"/>
        </w:rPr>
        <w:t>The PBAC</w:t>
      </w:r>
      <w:r w:rsidR="00DA703E" w:rsidRPr="00F66CDE">
        <w:rPr>
          <w:rFonts w:ascii="Arial" w:hAnsi="Arial" w:cs="Arial"/>
          <w:bCs/>
          <w:snapToGrid w:val="0"/>
          <w:sz w:val="22"/>
          <w:szCs w:val="22"/>
        </w:rPr>
        <w:t xml:space="preserve"> also</w:t>
      </w:r>
      <w:r w:rsidR="00AC2A2D" w:rsidRPr="00F66CDE">
        <w:rPr>
          <w:rFonts w:ascii="Arial" w:hAnsi="Arial" w:cs="Arial"/>
          <w:bCs/>
          <w:snapToGrid w:val="0"/>
          <w:sz w:val="22"/>
          <w:szCs w:val="22"/>
        </w:rPr>
        <w:t xml:space="preserve"> noted the advice received from </w:t>
      </w:r>
      <w:r w:rsidR="001A04A4" w:rsidRPr="00F66CDE">
        <w:rPr>
          <w:rFonts w:ascii="Arial" w:hAnsi="Arial" w:cs="Arial"/>
          <w:bCs/>
          <w:snapToGrid w:val="0"/>
          <w:sz w:val="22"/>
          <w:szCs w:val="22"/>
        </w:rPr>
        <w:t>the Royal College of Pathologists of Australia</w:t>
      </w:r>
      <w:r w:rsidR="00B5516F" w:rsidRPr="00F66CDE">
        <w:rPr>
          <w:rFonts w:ascii="Arial" w:hAnsi="Arial" w:cs="Arial"/>
          <w:bCs/>
          <w:snapToGrid w:val="0"/>
          <w:sz w:val="22"/>
          <w:szCs w:val="22"/>
        </w:rPr>
        <w:t xml:space="preserve"> (RCPA)</w:t>
      </w:r>
      <w:r w:rsidR="001A04A4" w:rsidRPr="00F66CDE">
        <w:rPr>
          <w:rFonts w:ascii="Arial" w:hAnsi="Arial" w:cs="Arial"/>
          <w:bCs/>
          <w:snapToGrid w:val="0"/>
          <w:sz w:val="22"/>
          <w:szCs w:val="22"/>
        </w:rPr>
        <w:t xml:space="preserve">, which expressed concern regarding issues with the reproducibility, robustness and equivalence of PD-L1 testing using different PD-L1 antibodies across different assays. </w:t>
      </w:r>
      <w:r w:rsidR="000D7BEC" w:rsidRPr="00F66CDE">
        <w:rPr>
          <w:rFonts w:ascii="Arial" w:hAnsi="Arial" w:cs="Arial"/>
          <w:bCs/>
          <w:snapToGrid w:val="0"/>
          <w:sz w:val="22"/>
          <w:szCs w:val="22"/>
        </w:rPr>
        <w:t>The RCPA also</w:t>
      </w:r>
      <w:r w:rsidR="00262335" w:rsidRPr="00F66CDE">
        <w:rPr>
          <w:rFonts w:ascii="Arial" w:hAnsi="Arial" w:cs="Arial"/>
          <w:bCs/>
          <w:snapToGrid w:val="0"/>
          <w:sz w:val="22"/>
          <w:szCs w:val="22"/>
        </w:rPr>
        <w:t xml:space="preserve"> stated that PD-L1 expression had been shown to be inducible and dynamic, and that the RCPA do not endorse use of PD-L1 as a biomarker.</w:t>
      </w:r>
    </w:p>
    <w:p w:rsidR="00AC2A2D" w:rsidRPr="00507190" w:rsidRDefault="00AC2A2D" w:rsidP="0014359C">
      <w:pPr>
        <w:pStyle w:val="Paragraphheading1"/>
        <w:rPr>
          <w:rFonts w:ascii="Arial" w:hAnsi="Arial"/>
          <w:i w:val="0"/>
          <w:sz w:val="22"/>
          <w:szCs w:val="22"/>
        </w:rPr>
      </w:pPr>
    </w:p>
    <w:p w:rsidR="0014359C" w:rsidRPr="008A2B3C" w:rsidRDefault="0014359C" w:rsidP="0014359C">
      <w:pPr>
        <w:pStyle w:val="Heading2"/>
        <w:spacing w:before="0" w:beforeAutospacing="0" w:after="0" w:afterAutospacing="0"/>
        <w:rPr>
          <w:rFonts w:ascii="Arial" w:hAnsi="Arial" w:cs="Arial"/>
          <w:b/>
          <w:bCs w:val="0"/>
          <w:snapToGrid w:val="0"/>
          <w:sz w:val="22"/>
          <w:szCs w:val="20"/>
          <w:lang w:eastAsia="en-US"/>
        </w:rPr>
      </w:pPr>
      <w:r w:rsidRPr="008A2B3C">
        <w:rPr>
          <w:rFonts w:ascii="Arial" w:hAnsi="Arial" w:cs="Arial"/>
          <w:b/>
          <w:bCs w:val="0"/>
          <w:snapToGrid w:val="0"/>
          <w:sz w:val="22"/>
          <w:szCs w:val="20"/>
          <w:lang w:eastAsia="en-US"/>
        </w:rPr>
        <w:t>Clinical trials</w:t>
      </w:r>
    </w:p>
    <w:bookmarkEnd w:id="17"/>
    <w:p w:rsidR="0095055D" w:rsidRPr="0055361A" w:rsidRDefault="0095055D" w:rsidP="00275DAF">
      <w:pPr>
        <w:pStyle w:val="ListParagraph"/>
        <w:ind w:left="0" w:firstLine="0"/>
        <w:rPr>
          <w:rFonts w:ascii="Arial" w:hAnsi="Arial" w:cs="Arial"/>
          <w:sz w:val="22"/>
          <w:szCs w:val="22"/>
        </w:rPr>
      </w:pPr>
    </w:p>
    <w:p w:rsidR="0095055D" w:rsidRDefault="0095055D" w:rsidP="009C3A29">
      <w:pPr>
        <w:pStyle w:val="ListParagraph"/>
        <w:numPr>
          <w:ilvl w:val="1"/>
          <w:numId w:val="3"/>
        </w:numPr>
        <w:ind w:left="720"/>
        <w:rPr>
          <w:rFonts w:ascii="Arial" w:hAnsi="Arial" w:cs="Arial"/>
          <w:sz w:val="22"/>
        </w:rPr>
      </w:pPr>
      <w:bookmarkStart w:id="18" w:name="_Toc431891739"/>
      <w:r w:rsidRPr="00FC55C7">
        <w:rPr>
          <w:rFonts w:ascii="Arial" w:hAnsi="Arial" w:cs="Arial"/>
          <w:sz w:val="22"/>
        </w:rPr>
        <w:t xml:space="preserve">The key features of the included evidence are summarised in Table </w:t>
      </w:r>
      <w:r w:rsidR="005A4EAB">
        <w:rPr>
          <w:rFonts w:ascii="Arial" w:hAnsi="Arial" w:cs="Arial"/>
          <w:sz w:val="22"/>
        </w:rPr>
        <w:t>1</w:t>
      </w:r>
      <w:r w:rsidRPr="00FC55C7">
        <w:rPr>
          <w:rFonts w:ascii="Arial" w:hAnsi="Arial" w:cs="Arial"/>
          <w:sz w:val="22"/>
        </w:rPr>
        <w:t xml:space="preserve">. The trial protocol titles and citations of corresponding publications are summarised in Table </w:t>
      </w:r>
      <w:r w:rsidR="005A4EAB">
        <w:rPr>
          <w:rFonts w:ascii="Arial" w:hAnsi="Arial" w:cs="Arial"/>
          <w:sz w:val="22"/>
        </w:rPr>
        <w:t>2</w:t>
      </w:r>
      <w:r w:rsidRPr="00FC55C7">
        <w:rPr>
          <w:rFonts w:ascii="Arial" w:hAnsi="Arial" w:cs="Arial"/>
          <w:sz w:val="22"/>
        </w:rPr>
        <w:t>.</w:t>
      </w:r>
    </w:p>
    <w:p w:rsidR="0095055D" w:rsidRPr="00507190" w:rsidRDefault="0095055D" w:rsidP="00A36DD4">
      <w:pPr>
        <w:rPr>
          <w:rFonts w:ascii="Arial" w:hAnsi="Arial" w:cs="Arial"/>
          <w:sz w:val="22"/>
          <w:szCs w:val="22"/>
        </w:rPr>
      </w:pPr>
    </w:p>
    <w:p w:rsidR="0095055D" w:rsidRPr="004F7851" w:rsidRDefault="0095055D" w:rsidP="00910477">
      <w:pPr>
        <w:pStyle w:val="TableHeading0"/>
        <w:ind w:firstLine="720"/>
      </w:pPr>
      <w:r w:rsidRPr="000406A2">
        <w:t xml:space="preserve">Table </w:t>
      </w:r>
      <w:r w:rsidR="005A4EAB">
        <w:t>1</w:t>
      </w:r>
      <w:r w:rsidRPr="004F7851">
        <w:t>: Key features of the included evidence</w:t>
      </w:r>
    </w:p>
    <w:tbl>
      <w:tblPr>
        <w:tblW w:w="460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419"/>
        <w:gridCol w:w="2797"/>
        <w:gridCol w:w="1551"/>
        <w:gridCol w:w="1949"/>
        <w:gridCol w:w="866"/>
      </w:tblGrid>
      <w:tr w:rsidR="008333A1" w:rsidRPr="004F7851" w:rsidTr="00491FAE">
        <w:tc>
          <w:tcPr>
            <w:tcW w:w="440" w:type="pct"/>
            <w:tcBorders>
              <w:bottom w:val="single" w:sz="4" w:space="0" w:color="auto"/>
            </w:tcBorders>
            <w:shd w:val="clear" w:color="auto" w:fill="auto"/>
            <w:vAlign w:val="center"/>
          </w:tcPr>
          <w:p w:rsidR="0095055D" w:rsidRPr="004F7851" w:rsidRDefault="0095055D" w:rsidP="00A36DD4">
            <w:pPr>
              <w:keepNext/>
              <w:rPr>
                <w:rFonts w:ascii="Arial Narrow" w:hAnsi="Arial Narrow"/>
                <w:b/>
                <w:sz w:val="20"/>
                <w:lang w:val="en-US"/>
              </w:rPr>
            </w:pPr>
            <w:r w:rsidRPr="004F7851">
              <w:rPr>
                <w:rFonts w:ascii="Arial Narrow" w:hAnsi="Arial Narrow"/>
                <w:b/>
                <w:sz w:val="20"/>
                <w:lang w:val="en-US"/>
              </w:rPr>
              <w:t>Trial</w:t>
            </w:r>
          </w:p>
        </w:tc>
        <w:tc>
          <w:tcPr>
            <w:tcW w:w="252" w:type="pct"/>
            <w:tcBorders>
              <w:bottom w:val="single" w:sz="4" w:space="0" w:color="auto"/>
            </w:tcBorders>
            <w:shd w:val="clear" w:color="auto" w:fill="auto"/>
            <w:vAlign w:val="center"/>
          </w:tcPr>
          <w:p w:rsidR="0095055D" w:rsidRPr="004F7851" w:rsidRDefault="0095055D" w:rsidP="00A36DD4">
            <w:pPr>
              <w:keepNext/>
              <w:jc w:val="center"/>
              <w:rPr>
                <w:rFonts w:ascii="Arial Narrow" w:hAnsi="Arial Narrow"/>
                <w:b/>
                <w:sz w:val="20"/>
                <w:lang w:val="en-US"/>
              </w:rPr>
            </w:pPr>
            <w:r w:rsidRPr="004F7851">
              <w:rPr>
                <w:rFonts w:ascii="Arial Narrow" w:hAnsi="Arial Narrow"/>
                <w:b/>
                <w:sz w:val="20"/>
                <w:lang w:val="en-US"/>
              </w:rPr>
              <w:t>N</w:t>
            </w:r>
          </w:p>
        </w:tc>
        <w:tc>
          <w:tcPr>
            <w:tcW w:w="1682" w:type="pct"/>
            <w:tcBorders>
              <w:bottom w:val="single" w:sz="4" w:space="0" w:color="auto"/>
            </w:tcBorders>
            <w:shd w:val="clear" w:color="auto" w:fill="auto"/>
            <w:vAlign w:val="center"/>
          </w:tcPr>
          <w:p w:rsidR="0095055D" w:rsidRPr="004F7851" w:rsidRDefault="0095055D" w:rsidP="00A36DD4">
            <w:pPr>
              <w:keepNext/>
              <w:jc w:val="center"/>
              <w:rPr>
                <w:rFonts w:ascii="Arial Narrow" w:hAnsi="Arial Narrow"/>
                <w:b/>
                <w:sz w:val="20"/>
                <w:lang w:val="en-US"/>
              </w:rPr>
            </w:pPr>
            <w:r w:rsidRPr="004F7851">
              <w:rPr>
                <w:rFonts w:ascii="Arial Narrow" w:hAnsi="Arial Narrow"/>
                <w:b/>
                <w:sz w:val="20"/>
                <w:lang w:val="en-US"/>
              </w:rPr>
              <w:t>Design/ duration</w:t>
            </w:r>
          </w:p>
        </w:tc>
        <w:tc>
          <w:tcPr>
            <w:tcW w:w="933" w:type="pct"/>
            <w:tcBorders>
              <w:bottom w:val="single" w:sz="4" w:space="0" w:color="auto"/>
            </w:tcBorders>
            <w:shd w:val="clear" w:color="auto" w:fill="auto"/>
            <w:vAlign w:val="center"/>
          </w:tcPr>
          <w:p w:rsidR="0095055D" w:rsidRPr="004F7851" w:rsidRDefault="0095055D" w:rsidP="00A36DD4">
            <w:pPr>
              <w:keepNext/>
              <w:jc w:val="center"/>
              <w:rPr>
                <w:rFonts w:ascii="Arial Narrow" w:hAnsi="Arial Narrow"/>
                <w:b/>
                <w:sz w:val="20"/>
                <w:lang w:val="en-US"/>
              </w:rPr>
            </w:pPr>
            <w:r w:rsidRPr="004F7851">
              <w:rPr>
                <w:rFonts w:ascii="Arial Narrow" w:hAnsi="Arial Narrow"/>
                <w:b/>
                <w:sz w:val="20"/>
                <w:lang w:val="en-US"/>
              </w:rPr>
              <w:t>Patient population</w:t>
            </w:r>
          </w:p>
        </w:tc>
        <w:tc>
          <w:tcPr>
            <w:tcW w:w="1172" w:type="pct"/>
            <w:tcBorders>
              <w:bottom w:val="single" w:sz="4" w:space="0" w:color="auto"/>
            </w:tcBorders>
            <w:shd w:val="clear" w:color="auto" w:fill="auto"/>
            <w:vAlign w:val="center"/>
          </w:tcPr>
          <w:p w:rsidR="0095055D" w:rsidRPr="004F7851" w:rsidRDefault="0095055D" w:rsidP="00A36DD4">
            <w:pPr>
              <w:keepNext/>
              <w:jc w:val="center"/>
              <w:rPr>
                <w:rFonts w:ascii="Arial Narrow" w:hAnsi="Arial Narrow"/>
                <w:b/>
                <w:sz w:val="20"/>
                <w:lang w:val="en-US"/>
              </w:rPr>
            </w:pPr>
            <w:r w:rsidRPr="004F7851">
              <w:rPr>
                <w:rFonts w:ascii="Arial Narrow" w:hAnsi="Arial Narrow"/>
                <w:b/>
                <w:sz w:val="20"/>
                <w:lang w:val="en-US"/>
              </w:rPr>
              <w:t>Outcome(s)</w:t>
            </w:r>
          </w:p>
        </w:tc>
        <w:tc>
          <w:tcPr>
            <w:tcW w:w="521" w:type="pct"/>
            <w:tcBorders>
              <w:bottom w:val="single" w:sz="4" w:space="0" w:color="auto"/>
            </w:tcBorders>
            <w:shd w:val="clear" w:color="auto" w:fill="auto"/>
            <w:vAlign w:val="center"/>
          </w:tcPr>
          <w:p w:rsidR="0095055D" w:rsidRPr="004F7851" w:rsidRDefault="0095055D" w:rsidP="00A36DD4">
            <w:pPr>
              <w:keepNext/>
              <w:jc w:val="center"/>
              <w:rPr>
                <w:rFonts w:ascii="Arial Narrow" w:hAnsi="Arial Narrow"/>
                <w:b/>
                <w:sz w:val="20"/>
                <w:lang w:val="en-US"/>
              </w:rPr>
            </w:pPr>
            <w:r w:rsidRPr="004F7851">
              <w:rPr>
                <w:rFonts w:ascii="Arial Narrow" w:hAnsi="Arial Narrow"/>
                <w:b/>
                <w:sz w:val="20"/>
                <w:lang w:val="en-US"/>
              </w:rPr>
              <w:t xml:space="preserve">Use in </w:t>
            </w:r>
            <w:proofErr w:type="spellStart"/>
            <w:r w:rsidRPr="004F7851">
              <w:rPr>
                <w:rFonts w:ascii="Arial Narrow" w:hAnsi="Arial Narrow"/>
                <w:b/>
                <w:sz w:val="20"/>
                <w:lang w:val="en-US"/>
              </w:rPr>
              <w:t>modelled</w:t>
            </w:r>
            <w:proofErr w:type="spellEnd"/>
            <w:r w:rsidRPr="004F7851">
              <w:rPr>
                <w:rFonts w:ascii="Arial Narrow" w:hAnsi="Arial Narrow"/>
                <w:b/>
                <w:sz w:val="20"/>
                <w:lang w:val="en-US"/>
              </w:rPr>
              <w:t xml:space="preserve"> evaluation</w:t>
            </w:r>
          </w:p>
        </w:tc>
      </w:tr>
      <w:tr w:rsidR="0095055D" w:rsidRPr="004F7851" w:rsidTr="00491FAE">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5055D" w:rsidRPr="004F7851" w:rsidRDefault="0095055D" w:rsidP="00A36DD4">
            <w:pPr>
              <w:keepNext/>
              <w:rPr>
                <w:rFonts w:ascii="Arial Narrow" w:hAnsi="Arial Narrow"/>
                <w:b/>
                <w:sz w:val="20"/>
                <w:lang w:val="en-US"/>
              </w:rPr>
            </w:pPr>
            <w:r w:rsidRPr="004F7851">
              <w:rPr>
                <w:rFonts w:ascii="Arial Narrow" w:hAnsi="Arial Narrow"/>
                <w:b/>
                <w:sz w:val="20"/>
                <w:lang w:val="en-US"/>
              </w:rPr>
              <w:t xml:space="preserve">Direct comparison between pembrolizumab and </w:t>
            </w:r>
            <w:proofErr w:type="spellStart"/>
            <w:r w:rsidRPr="004F7851">
              <w:rPr>
                <w:rFonts w:ascii="Arial Narrow" w:hAnsi="Arial Narrow"/>
                <w:b/>
                <w:sz w:val="20"/>
                <w:lang w:val="en-US"/>
              </w:rPr>
              <w:t>docetaxel</w:t>
            </w:r>
            <w:proofErr w:type="spellEnd"/>
            <w:r w:rsidRPr="004F7851">
              <w:rPr>
                <w:rFonts w:ascii="Arial Narrow" w:hAnsi="Arial Narrow"/>
                <w:b/>
                <w:sz w:val="20"/>
                <w:lang w:val="en-US"/>
              </w:rPr>
              <w:t xml:space="preserve"> in PD-L1 positive NSCLC </w:t>
            </w:r>
          </w:p>
        </w:tc>
      </w:tr>
      <w:tr w:rsidR="008333A1" w:rsidRPr="004F7851" w:rsidTr="00491FAE">
        <w:tc>
          <w:tcPr>
            <w:tcW w:w="440" w:type="pct"/>
            <w:tcBorders>
              <w:top w:val="single" w:sz="4" w:space="0" w:color="auto"/>
            </w:tcBorders>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KN-010</w:t>
            </w:r>
          </w:p>
        </w:tc>
        <w:tc>
          <w:tcPr>
            <w:tcW w:w="252" w:type="pct"/>
            <w:tcBorders>
              <w:top w:val="single" w:sz="4" w:space="0" w:color="auto"/>
            </w:tcBorders>
            <w:shd w:val="clear" w:color="auto" w:fill="auto"/>
          </w:tcPr>
          <w:p w:rsidR="0095055D" w:rsidRPr="004F7851" w:rsidRDefault="0095055D" w:rsidP="00A36DD4">
            <w:pPr>
              <w:keepNext/>
              <w:jc w:val="center"/>
              <w:rPr>
                <w:rFonts w:ascii="Arial Narrow" w:hAnsi="Arial Narrow"/>
                <w:sz w:val="20"/>
                <w:lang w:val="en-US"/>
              </w:rPr>
            </w:pPr>
            <w:r w:rsidRPr="004F7851">
              <w:rPr>
                <w:rFonts w:ascii="Arial Narrow" w:hAnsi="Arial Narrow"/>
                <w:sz w:val="20"/>
                <w:lang w:val="en-US"/>
              </w:rPr>
              <w:t>1034</w:t>
            </w:r>
          </w:p>
        </w:tc>
        <w:tc>
          <w:tcPr>
            <w:tcW w:w="1682" w:type="pct"/>
            <w:tcBorders>
              <w:top w:val="single" w:sz="4" w:space="0" w:color="auto"/>
            </w:tcBorders>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R (1:1:1), OL, MC</w:t>
            </w:r>
          </w:p>
          <w:p w:rsidR="0095055D" w:rsidRPr="004F7851" w:rsidRDefault="0095055D" w:rsidP="00A36DD4">
            <w:pPr>
              <w:keepNext/>
              <w:numPr>
                <w:ilvl w:val="0"/>
                <w:numId w:val="2"/>
              </w:numPr>
              <w:tabs>
                <w:tab w:val="clear" w:pos="720"/>
              </w:tabs>
              <w:ind w:left="254" w:hanging="198"/>
              <w:contextualSpacing/>
              <w:jc w:val="left"/>
              <w:rPr>
                <w:rFonts w:ascii="Arial Narrow" w:hAnsi="Arial Narrow"/>
                <w:sz w:val="20"/>
                <w:lang w:val="en-US"/>
              </w:rPr>
            </w:pPr>
            <w:r w:rsidRPr="004F7851">
              <w:rPr>
                <w:rFonts w:ascii="Arial Narrow" w:hAnsi="Arial Narrow"/>
                <w:sz w:val="20"/>
                <w:lang w:val="en-US"/>
              </w:rPr>
              <w:t>pembrolizumab 2</w:t>
            </w:r>
            <w:r>
              <w:rPr>
                <w:rFonts w:ascii="Arial Narrow" w:hAnsi="Arial Narrow"/>
                <w:sz w:val="20"/>
                <w:lang w:val="en-US"/>
              </w:rPr>
              <w:t> mg/kg</w:t>
            </w:r>
            <w:r w:rsidRPr="004F7851">
              <w:rPr>
                <w:rFonts w:ascii="Arial Narrow" w:hAnsi="Arial Narrow"/>
                <w:sz w:val="20"/>
                <w:lang w:val="en-US"/>
              </w:rPr>
              <w:t xml:space="preserve"> Q3W </w:t>
            </w:r>
          </w:p>
          <w:p w:rsidR="0095055D" w:rsidRPr="004F7851" w:rsidRDefault="0095055D" w:rsidP="00A36DD4">
            <w:pPr>
              <w:keepNext/>
              <w:numPr>
                <w:ilvl w:val="0"/>
                <w:numId w:val="2"/>
              </w:numPr>
              <w:tabs>
                <w:tab w:val="clear" w:pos="720"/>
              </w:tabs>
              <w:ind w:left="254" w:hanging="198"/>
              <w:contextualSpacing/>
              <w:jc w:val="left"/>
              <w:rPr>
                <w:rFonts w:ascii="Arial Narrow" w:hAnsi="Arial Narrow"/>
                <w:sz w:val="20"/>
                <w:lang w:val="en-US"/>
              </w:rPr>
            </w:pPr>
            <w:r w:rsidRPr="004F7851">
              <w:rPr>
                <w:rFonts w:ascii="Arial Narrow" w:hAnsi="Arial Narrow"/>
                <w:sz w:val="20"/>
                <w:lang w:val="en-US"/>
              </w:rPr>
              <w:t>pembrolizumab 10</w:t>
            </w:r>
            <w:r>
              <w:rPr>
                <w:rFonts w:ascii="Arial Narrow" w:hAnsi="Arial Narrow"/>
                <w:sz w:val="20"/>
                <w:lang w:val="en-US"/>
              </w:rPr>
              <w:t> mg/kg</w:t>
            </w:r>
            <w:r w:rsidRPr="004F7851">
              <w:rPr>
                <w:rFonts w:ascii="Arial Narrow" w:hAnsi="Arial Narrow"/>
                <w:sz w:val="20"/>
                <w:lang w:val="en-US"/>
              </w:rPr>
              <w:t xml:space="preserve"> Q3W </w:t>
            </w:r>
          </w:p>
          <w:p w:rsidR="0095055D" w:rsidRPr="004F7851" w:rsidRDefault="0095055D" w:rsidP="00A36DD4">
            <w:pPr>
              <w:keepNext/>
              <w:numPr>
                <w:ilvl w:val="0"/>
                <w:numId w:val="2"/>
              </w:numPr>
              <w:tabs>
                <w:tab w:val="clear" w:pos="720"/>
              </w:tabs>
              <w:ind w:left="254" w:hanging="198"/>
              <w:contextualSpacing/>
              <w:jc w:val="left"/>
              <w:rPr>
                <w:rFonts w:ascii="Arial Narrow" w:hAnsi="Arial Narrow"/>
                <w:sz w:val="20"/>
                <w:lang w:val="en-US"/>
              </w:rPr>
            </w:pPr>
            <w:proofErr w:type="spellStart"/>
            <w:r w:rsidRPr="004F7851">
              <w:rPr>
                <w:rFonts w:ascii="Arial Narrow" w:hAnsi="Arial Narrow"/>
                <w:sz w:val="20"/>
                <w:lang w:val="en-US"/>
              </w:rPr>
              <w:t>Docetaxel</w:t>
            </w:r>
            <w:proofErr w:type="spellEnd"/>
            <w:r w:rsidRPr="004F7851">
              <w:rPr>
                <w:rFonts w:ascii="Arial Narrow" w:hAnsi="Arial Narrow"/>
                <w:sz w:val="20"/>
                <w:lang w:val="en-US"/>
              </w:rPr>
              <w:t xml:space="preserve"> 75</w:t>
            </w:r>
            <w:r>
              <w:rPr>
                <w:rFonts w:ascii="Arial Narrow" w:hAnsi="Arial Narrow"/>
                <w:sz w:val="20"/>
                <w:lang w:val="en-US"/>
              </w:rPr>
              <w:t> mg/m</w:t>
            </w:r>
            <w:r w:rsidRPr="004F7851">
              <w:rPr>
                <w:rFonts w:ascii="Arial Narrow" w:hAnsi="Arial Narrow"/>
                <w:sz w:val="20"/>
                <w:vertAlign w:val="superscript"/>
                <w:lang w:val="en-US"/>
              </w:rPr>
              <w:t>2</w:t>
            </w:r>
            <w:r w:rsidRPr="004F7851">
              <w:rPr>
                <w:rFonts w:ascii="Arial Narrow" w:hAnsi="Arial Narrow"/>
                <w:sz w:val="20"/>
                <w:lang w:val="en-US"/>
              </w:rPr>
              <w:t xml:space="preserve"> Q3W</w:t>
            </w:r>
          </w:p>
          <w:p w:rsidR="0095055D" w:rsidRPr="004F7851" w:rsidRDefault="0095055D" w:rsidP="00A36DD4">
            <w:pPr>
              <w:keepNext/>
              <w:jc w:val="left"/>
              <w:rPr>
                <w:rFonts w:ascii="Arial Narrow" w:hAnsi="Arial Narrow"/>
                <w:sz w:val="20"/>
                <w:lang w:val="en-US"/>
              </w:rPr>
            </w:pPr>
            <w:r w:rsidRPr="004F7851">
              <w:rPr>
                <w:rFonts w:ascii="Arial Narrow" w:hAnsi="Arial Narrow"/>
                <w:sz w:val="20"/>
                <w:u w:val="single"/>
                <w:lang w:val="en-US"/>
              </w:rPr>
              <w:t>Stratification</w:t>
            </w:r>
            <w:r w:rsidRPr="004F7851">
              <w:rPr>
                <w:rFonts w:ascii="Arial Narrow" w:hAnsi="Arial Narrow"/>
                <w:sz w:val="20"/>
                <w:lang w:val="en-US"/>
              </w:rPr>
              <w:t xml:space="preserve">: by ECOG, region (east Asia </w:t>
            </w:r>
            <w:proofErr w:type="spellStart"/>
            <w:r w:rsidRPr="004F7851">
              <w:rPr>
                <w:rFonts w:ascii="Arial Narrow" w:hAnsi="Arial Narrow"/>
                <w:sz w:val="20"/>
                <w:lang w:val="en-US"/>
              </w:rPr>
              <w:t>vs</w:t>
            </w:r>
            <w:proofErr w:type="spellEnd"/>
            <w:r w:rsidRPr="004F7851">
              <w:rPr>
                <w:rFonts w:ascii="Arial Narrow" w:hAnsi="Arial Narrow"/>
                <w:sz w:val="20"/>
                <w:lang w:val="en-US"/>
              </w:rPr>
              <w:t xml:space="preserve"> non East Asia) and extent of PD-L1 expression (TPC </w:t>
            </w:r>
            <w:r>
              <w:rPr>
                <w:rFonts w:ascii="Arial Narrow" w:hAnsi="Arial Narrow"/>
                <w:sz w:val="20"/>
                <w:lang w:val="en-US"/>
              </w:rPr>
              <w:t>1</w:t>
            </w:r>
            <w:r>
              <w:rPr>
                <w:rFonts w:ascii="Arial" w:hAnsi="Arial" w:cs="Arial"/>
                <w:sz w:val="20"/>
                <w:lang w:val="en-US"/>
              </w:rPr>
              <w:t>‒</w:t>
            </w:r>
            <w:r>
              <w:rPr>
                <w:rFonts w:ascii="Arial Narrow" w:hAnsi="Arial Narrow"/>
                <w:sz w:val="20"/>
                <w:lang w:val="en-US"/>
              </w:rPr>
              <w:t>49</w:t>
            </w:r>
            <w:r w:rsidRPr="004F7851">
              <w:rPr>
                <w:rFonts w:ascii="Arial Narrow" w:hAnsi="Arial Narrow"/>
                <w:sz w:val="20"/>
                <w:lang w:val="en-US"/>
              </w:rPr>
              <w:t xml:space="preserve">% </w:t>
            </w:r>
            <w:proofErr w:type="spellStart"/>
            <w:r w:rsidRPr="004F7851">
              <w:rPr>
                <w:rFonts w:ascii="Arial Narrow" w:hAnsi="Arial Narrow"/>
                <w:sz w:val="20"/>
                <w:lang w:val="en-US"/>
              </w:rPr>
              <w:t>vs</w:t>
            </w:r>
            <w:proofErr w:type="spellEnd"/>
            <w:r w:rsidRPr="004F7851">
              <w:rPr>
                <w:rFonts w:ascii="Arial Narrow" w:hAnsi="Arial Narrow"/>
                <w:sz w:val="20"/>
                <w:lang w:val="en-US"/>
              </w:rPr>
              <w:t xml:space="preserve"> ≥50%).</w:t>
            </w:r>
          </w:p>
          <w:p w:rsidR="0095055D" w:rsidRPr="004F7851" w:rsidRDefault="0095055D" w:rsidP="00A36DD4">
            <w:pPr>
              <w:keepNext/>
              <w:jc w:val="left"/>
              <w:rPr>
                <w:rFonts w:ascii="Arial Narrow" w:hAnsi="Arial Narrow"/>
                <w:sz w:val="20"/>
                <w:lang w:val="en-US"/>
              </w:rPr>
            </w:pPr>
          </w:p>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Treat for 24 months or until disease progression.</w:t>
            </w:r>
          </w:p>
        </w:tc>
        <w:tc>
          <w:tcPr>
            <w:tcW w:w="933" w:type="pct"/>
            <w:tcBorders>
              <w:top w:val="single" w:sz="4" w:space="0" w:color="auto"/>
            </w:tcBorders>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 xml:space="preserve">PD-L1 positive Stage </w:t>
            </w:r>
            <w:proofErr w:type="spellStart"/>
            <w:r w:rsidRPr="004F7851">
              <w:rPr>
                <w:rFonts w:ascii="Arial Narrow" w:hAnsi="Arial Narrow"/>
                <w:sz w:val="20"/>
                <w:lang w:val="en-US"/>
              </w:rPr>
              <w:t>IIIb</w:t>
            </w:r>
            <w:proofErr w:type="spellEnd"/>
            <w:r w:rsidRPr="004F7851">
              <w:rPr>
                <w:rFonts w:ascii="Arial Narrow" w:hAnsi="Arial Narrow"/>
                <w:sz w:val="20"/>
                <w:lang w:val="en-US"/>
              </w:rPr>
              <w:t>/IV NSCLC who had progressive disease following platinum doublet and EGFR / ALK targeted therapy, if applicable</w:t>
            </w:r>
          </w:p>
        </w:tc>
        <w:tc>
          <w:tcPr>
            <w:tcW w:w="1172" w:type="pct"/>
            <w:tcBorders>
              <w:top w:val="single" w:sz="4" w:space="0" w:color="auto"/>
            </w:tcBorders>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OS in PD-L1 positive (</w:t>
            </w:r>
            <w:r>
              <w:rPr>
                <w:rFonts w:ascii="Arial Narrow" w:hAnsi="Arial Narrow"/>
                <w:sz w:val="20"/>
                <w:lang w:val="en-US"/>
              </w:rPr>
              <w:t xml:space="preserve">TPS </w:t>
            </w:r>
            <w:r w:rsidRPr="004F7851">
              <w:rPr>
                <w:rFonts w:ascii="Arial Narrow" w:hAnsi="Arial Narrow"/>
                <w:sz w:val="20"/>
                <w:lang w:val="en-US"/>
              </w:rPr>
              <w:t>≥1%) and in PD-L1 strongly positive (</w:t>
            </w:r>
            <w:r>
              <w:rPr>
                <w:rFonts w:ascii="Arial Narrow" w:hAnsi="Arial Narrow"/>
                <w:sz w:val="20"/>
                <w:lang w:val="en-US"/>
              </w:rPr>
              <w:t xml:space="preserve">TPS </w:t>
            </w:r>
            <w:r w:rsidRPr="004F7851">
              <w:rPr>
                <w:rFonts w:ascii="Arial Narrow" w:hAnsi="Arial Narrow"/>
                <w:sz w:val="20"/>
                <w:lang w:val="en-US"/>
              </w:rPr>
              <w:t xml:space="preserve">≥50%) </w:t>
            </w:r>
          </w:p>
          <w:p w:rsidR="0095055D" w:rsidRPr="004F7851" w:rsidRDefault="0095055D" w:rsidP="00A36DD4">
            <w:pPr>
              <w:keepNext/>
              <w:jc w:val="left"/>
              <w:rPr>
                <w:rFonts w:ascii="Arial Narrow" w:hAnsi="Arial Narrow"/>
                <w:sz w:val="20"/>
                <w:lang w:val="en-US"/>
              </w:rPr>
            </w:pPr>
          </w:p>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PFS in PD-L1 positive (</w:t>
            </w:r>
            <w:r>
              <w:rPr>
                <w:rFonts w:ascii="Arial Narrow" w:hAnsi="Arial Narrow"/>
                <w:sz w:val="20"/>
                <w:lang w:val="en-US"/>
              </w:rPr>
              <w:t xml:space="preserve">TPS </w:t>
            </w:r>
            <w:r w:rsidRPr="004F7851">
              <w:rPr>
                <w:rFonts w:ascii="Arial Narrow" w:hAnsi="Arial Narrow"/>
                <w:sz w:val="20"/>
                <w:lang w:val="en-US"/>
              </w:rPr>
              <w:t>≥1%) and in PD-L1 strongly positive (</w:t>
            </w:r>
            <w:r>
              <w:rPr>
                <w:rFonts w:ascii="Arial Narrow" w:hAnsi="Arial Narrow"/>
                <w:sz w:val="20"/>
                <w:lang w:val="en-US"/>
              </w:rPr>
              <w:t xml:space="preserve">TPS </w:t>
            </w:r>
            <w:r w:rsidRPr="004F7851">
              <w:rPr>
                <w:rFonts w:ascii="Arial Narrow" w:hAnsi="Arial Narrow"/>
                <w:sz w:val="20"/>
                <w:lang w:val="en-US"/>
              </w:rPr>
              <w:t xml:space="preserve">≥50%) </w:t>
            </w:r>
          </w:p>
          <w:p w:rsidR="0095055D" w:rsidRPr="004F7851" w:rsidRDefault="0095055D" w:rsidP="00A36DD4">
            <w:pPr>
              <w:keepNext/>
              <w:jc w:val="left"/>
              <w:rPr>
                <w:rFonts w:ascii="Arial Narrow" w:hAnsi="Arial Narrow"/>
                <w:sz w:val="20"/>
                <w:lang w:val="en-US"/>
              </w:rPr>
            </w:pPr>
          </w:p>
          <w:p w:rsidR="0095055D" w:rsidRPr="004F7851" w:rsidRDefault="0095055D" w:rsidP="00A36DD4">
            <w:pPr>
              <w:keepNext/>
              <w:jc w:val="left"/>
              <w:rPr>
                <w:rFonts w:ascii="Arial Narrow" w:hAnsi="Arial Narrow"/>
                <w:sz w:val="20"/>
                <w:lang w:val="en-US"/>
              </w:rPr>
            </w:pPr>
            <w:r>
              <w:rPr>
                <w:rFonts w:ascii="Arial Narrow" w:hAnsi="Arial Narrow"/>
                <w:sz w:val="20"/>
                <w:lang w:val="en-US"/>
              </w:rPr>
              <w:t xml:space="preserve">Safety and tolerability </w:t>
            </w:r>
            <w:r w:rsidRPr="004F7851">
              <w:rPr>
                <w:rFonts w:ascii="Arial Narrow" w:hAnsi="Arial Narrow"/>
                <w:sz w:val="20"/>
                <w:lang w:val="en-US"/>
              </w:rPr>
              <w:t>in PD-L1 positive (</w:t>
            </w:r>
            <w:r>
              <w:rPr>
                <w:rFonts w:ascii="Arial Narrow" w:hAnsi="Arial Narrow"/>
                <w:sz w:val="20"/>
                <w:lang w:val="en-US"/>
              </w:rPr>
              <w:t xml:space="preserve">TPS </w:t>
            </w:r>
            <w:r w:rsidRPr="004F7851">
              <w:rPr>
                <w:rFonts w:ascii="Arial Narrow" w:hAnsi="Arial Narrow"/>
                <w:sz w:val="20"/>
                <w:lang w:val="en-US"/>
              </w:rPr>
              <w:t>≥1%) and in PD-L1 strongly positive (</w:t>
            </w:r>
            <w:r>
              <w:rPr>
                <w:rFonts w:ascii="Arial Narrow" w:hAnsi="Arial Narrow"/>
                <w:sz w:val="20"/>
                <w:lang w:val="en-US"/>
              </w:rPr>
              <w:t xml:space="preserve">TPS </w:t>
            </w:r>
            <w:r w:rsidRPr="004F7851">
              <w:rPr>
                <w:rFonts w:ascii="Arial Narrow" w:hAnsi="Arial Narrow"/>
                <w:sz w:val="20"/>
                <w:lang w:val="en-US"/>
              </w:rPr>
              <w:t xml:space="preserve">≥50%) </w:t>
            </w:r>
          </w:p>
        </w:tc>
        <w:tc>
          <w:tcPr>
            <w:tcW w:w="521" w:type="pct"/>
            <w:tcBorders>
              <w:top w:val="single" w:sz="4" w:space="0" w:color="auto"/>
            </w:tcBorders>
            <w:shd w:val="clear" w:color="auto" w:fill="auto"/>
          </w:tcPr>
          <w:p w:rsidR="0095055D" w:rsidRPr="004F7851" w:rsidRDefault="0095055D" w:rsidP="00A36DD4">
            <w:pPr>
              <w:keepNext/>
              <w:jc w:val="left"/>
              <w:rPr>
                <w:rFonts w:ascii="Arial Narrow" w:hAnsi="Arial Narrow"/>
                <w:sz w:val="20"/>
                <w:lang w:val="en-US"/>
              </w:rPr>
            </w:pPr>
            <w:r>
              <w:rPr>
                <w:rFonts w:ascii="Arial Narrow" w:hAnsi="Arial Narrow"/>
                <w:sz w:val="20"/>
                <w:lang w:val="en-US"/>
              </w:rPr>
              <w:t>Used</w:t>
            </w:r>
          </w:p>
        </w:tc>
      </w:tr>
      <w:tr w:rsidR="0095055D" w:rsidRPr="004F7851" w:rsidTr="00491FAE">
        <w:tc>
          <w:tcPr>
            <w:tcW w:w="5000" w:type="pct"/>
            <w:gridSpan w:val="6"/>
            <w:tcBorders>
              <w:top w:val="single" w:sz="4" w:space="0" w:color="auto"/>
            </w:tcBorders>
            <w:shd w:val="clear" w:color="auto" w:fill="auto"/>
          </w:tcPr>
          <w:p w:rsidR="0095055D" w:rsidRPr="004F7851" w:rsidRDefault="0095055D" w:rsidP="00A36DD4">
            <w:pPr>
              <w:keepNext/>
              <w:rPr>
                <w:rFonts w:ascii="Arial Narrow" w:hAnsi="Arial Narrow"/>
                <w:b/>
                <w:sz w:val="20"/>
                <w:highlight w:val="yellow"/>
                <w:lang w:val="en-US"/>
              </w:rPr>
            </w:pPr>
            <w:r w:rsidRPr="004F7851">
              <w:rPr>
                <w:rFonts w:ascii="Arial Narrow" w:hAnsi="Arial Narrow"/>
                <w:b/>
                <w:sz w:val="20"/>
                <w:lang w:val="en-US"/>
              </w:rPr>
              <w:t xml:space="preserve">Indirect comparison between KN-010 (pembrolizumab, PD-L1 positive) and </w:t>
            </w:r>
            <w:proofErr w:type="spellStart"/>
            <w:r w:rsidRPr="004F7851">
              <w:rPr>
                <w:rFonts w:ascii="Arial Narrow" w:hAnsi="Arial Narrow"/>
                <w:b/>
                <w:sz w:val="20"/>
                <w:lang w:val="en-US"/>
              </w:rPr>
              <w:t>Scagliotti</w:t>
            </w:r>
            <w:proofErr w:type="spellEnd"/>
            <w:r w:rsidRPr="004F7851">
              <w:rPr>
                <w:rFonts w:ascii="Arial Narrow" w:hAnsi="Arial Narrow"/>
                <w:b/>
                <w:sz w:val="20"/>
                <w:lang w:val="en-US"/>
              </w:rPr>
              <w:t xml:space="preserve"> (</w:t>
            </w:r>
            <w:proofErr w:type="spellStart"/>
            <w:r w:rsidRPr="004F7851">
              <w:rPr>
                <w:rFonts w:ascii="Arial Narrow" w:hAnsi="Arial Narrow"/>
                <w:b/>
                <w:sz w:val="20"/>
                <w:lang w:val="en-US"/>
              </w:rPr>
              <w:t>pemetrexed</w:t>
            </w:r>
            <w:proofErr w:type="spellEnd"/>
            <w:r w:rsidRPr="004F7851">
              <w:rPr>
                <w:rFonts w:ascii="Arial Narrow" w:hAnsi="Arial Narrow"/>
                <w:b/>
                <w:sz w:val="20"/>
                <w:lang w:val="en-US"/>
              </w:rPr>
              <w:t xml:space="preserve">, non-PD-L1 selected) using </w:t>
            </w:r>
            <w:proofErr w:type="spellStart"/>
            <w:r w:rsidRPr="004F7851">
              <w:rPr>
                <w:rFonts w:ascii="Arial Narrow" w:hAnsi="Arial Narrow"/>
                <w:b/>
                <w:sz w:val="20"/>
                <w:lang w:val="en-US"/>
              </w:rPr>
              <w:t>docetaxel</w:t>
            </w:r>
            <w:proofErr w:type="spellEnd"/>
            <w:r w:rsidRPr="004F7851">
              <w:rPr>
                <w:rFonts w:ascii="Arial Narrow" w:hAnsi="Arial Narrow"/>
                <w:b/>
                <w:sz w:val="20"/>
                <w:lang w:val="en-US"/>
              </w:rPr>
              <w:t xml:space="preserve"> as the common reference </w:t>
            </w:r>
          </w:p>
        </w:tc>
      </w:tr>
      <w:tr w:rsidR="008333A1" w:rsidRPr="004F7851" w:rsidTr="00491FAE">
        <w:tc>
          <w:tcPr>
            <w:tcW w:w="440" w:type="pct"/>
            <w:shd w:val="clear" w:color="auto" w:fill="auto"/>
          </w:tcPr>
          <w:p w:rsidR="0095055D" w:rsidRPr="004F7851" w:rsidRDefault="0095055D" w:rsidP="00A36DD4">
            <w:pPr>
              <w:keepNext/>
              <w:jc w:val="left"/>
              <w:rPr>
                <w:rFonts w:ascii="Arial Narrow" w:hAnsi="Arial Narrow"/>
                <w:sz w:val="20"/>
                <w:lang w:val="en-US"/>
              </w:rPr>
            </w:pPr>
            <w:proofErr w:type="spellStart"/>
            <w:r>
              <w:rPr>
                <w:rFonts w:ascii="Arial Narrow" w:hAnsi="Arial Narrow"/>
                <w:sz w:val="20"/>
                <w:lang w:val="en-US"/>
              </w:rPr>
              <w:t>Scagliotti</w:t>
            </w:r>
            <w:proofErr w:type="spellEnd"/>
            <w:r>
              <w:rPr>
                <w:rFonts w:ascii="Arial Narrow" w:hAnsi="Arial Narrow"/>
                <w:sz w:val="20"/>
                <w:lang w:val="en-US"/>
              </w:rPr>
              <w:t xml:space="preserve"> et al, 2009</w:t>
            </w:r>
            <w:r w:rsidRPr="004F7851">
              <w:rPr>
                <w:rFonts w:ascii="Arial Narrow" w:hAnsi="Arial Narrow"/>
                <w:sz w:val="20"/>
                <w:lang w:val="en-US"/>
              </w:rPr>
              <w:t>.</w:t>
            </w:r>
          </w:p>
        </w:tc>
        <w:tc>
          <w:tcPr>
            <w:tcW w:w="252" w:type="pct"/>
            <w:shd w:val="clear" w:color="auto" w:fill="auto"/>
          </w:tcPr>
          <w:p w:rsidR="0095055D" w:rsidRPr="004F7851" w:rsidRDefault="0095055D" w:rsidP="00A36DD4">
            <w:pPr>
              <w:keepNext/>
              <w:jc w:val="center"/>
              <w:rPr>
                <w:rFonts w:ascii="Arial Narrow" w:hAnsi="Arial Narrow"/>
                <w:sz w:val="20"/>
                <w:lang w:val="en-US"/>
              </w:rPr>
            </w:pPr>
            <w:r w:rsidRPr="004F7851">
              <w:rPr>
                <w:rFonts w:ascii="Arial Narrow" w:hAnsi="Arial Narrow"/>
                <w:sz w:val="20"/>
                <w:lang w:val="en-US"/>
              </w:rPr>
              <w:t>571</w:t>
            </w:r>
          </w:p>
        </w:tc>
        <w:tc>
          <w:tcPr>
            <w:tcW w:w="1682" w:type="pct"/>
            <w:shd w:val="clear" w:color="auto" w:fill="auto"/>
          </w:tcPr>
          <w:p w:rsidR="0095055D" w:rsidRDefault="0095055D" w:rsidP="00A36DD4">
            <w:pPr>
              <w:keepNext/>
              <w:jc w:val="left"/>
              <w:rPr>
                <w:rFonts w:ascii="Arial Narrow" w:hAnsi="Arial Narrow"/>
                <w:sz w:val="20"/>
                <w:lang w:val="en-US"/>
              </w:rPr>
            </w:pPr>
            <w:r>
              <w:rPr>
                <w:rFonts w:ascii="Arial Narrow" w:hAnsi="Arial Narrow"/>
                <w:sz w:val="20"/>
                <w:lang w:val="en-US"/>
              </w:rPr>
              <w:t>R</w:t>
            </w:r>
            <w:r w:rsidRPr="004F7851">
              <w:rPr>
                <w:rFonts w:ascii="Arial Narrow" w:hAnsi="Arial Narrow"/>
                <w:sz w:val="20"/>
                <w:lang w:val="en-US"/>
              </w:rPr>
              <w:t xml:space="preserve">etrospective analyses (by histology subgroups) of </w:t>
            </w:r>
            <w:r w:rsidR="009612E6" w:rsidRPr="009612E6">
              <w:rPr>
                <w:rFonts w:ascii="Arial Narrow" w:hAnsi="Arial Narrow"/>
                <w:sz w:val="20"/>
                <w:lang w:val="en-US"/>
              </w:rPr>
              <w:t xml:space="preserve">a previously published trial </w:t>
            </w:r>
            <w:r w:rsidR="009612E6">
              <w:rPr>
                <w:rFonts w:ascii="Arial Narrow" w:hAnsi="Arial Narrow"/>
                <w:sz w:val="20"/>
                <w:lang w:val="en-US"/>
              </w:rPr>
              <w:t>(</w:t>
            </w:r>
            <w:r w:rsidRPr="004F7851">
              <w:rPr>
                <w:rFonts w:ascii="Arial Narrow" w:hAnsi="Arial Narrow"/>
                <w:sz w:val="20"/>
                <w:lang w:val="en-US"/>
              </w:rPr>
              <w:t>Hanna 2004</w:t>
            </w:r>
            <w:r w:rsidR="009612E6">
              <w:rPr>
                <w:rFonts w:ascii="Arial Narrow" w:hAnsi="Arial Narrow"/>
                <w:sz w:val="20"/>
                <w:lang w:val="en-US"/>
              </w:rPr>
              <w:t>)</w:t>
            </w:r>
            <w:r w:rsidRPr="004F7851">
              <w:rPr>
                <w:rFonts w:ascii="Arial Narrow" w:hAnsi="Arial Narrow"/>
                <w:sz w:val="20"/>
                <w:lang w:val="en-US"/>
              </w:rPr>
              <w:t>.</w:t>
            </w:r>
          </w:p>
          <w:p w:rsidR="0095055D" w:rsidRPr="004F7851" w:rsidRDefault="0095055D" w:rsidP="00A36DD4">
            <w:pPr>
              <w:keepNext/>
              <w:jc w:val="left"/>
              <w:rPr>
                <w:rFonts w:ascii="Arial Narrow" w:hAnsi="Arial Narrow"/>
                <w:sz w:val="20"/>
                <w:lang w:val="en-US"/>
              </w:rPr>
            </w:pPr>
            <w:r w:rsidRPr="004F7851">
              <w:rPr>
                <w:rFonts w:ascii="Arial Narrow" w:hAnsi="Arial Narrow"/>
                <w:sz w:val="20"/>
                <w:u w:val="single"/>
                <w:lang w:val="en-US"/>
              </w:rPr>
              <w:t>Hanna</w:t>
            </w:r>
            <w:r w:rsidRPr="004F7851">
              <w:rPr>
                <w:rFonts w:ascii="Arial Narrow" w:hAnsi="Arial Narrow"/>
                <w:sz w:val="20"/>
                <w:lang w:val="en-US"/>
              </w:rPr>
              <w:t>: R, OL</w:t>
            </w:r>
          </w:p>
          <w:p w:rsidR="0095055D" w:rsidRPr="004F7851" w:rsidRDefault="0095055D" w:rsidP="009C3A29">
            <w:pPr>
              <w:keepNext/>
              <w:numPr>
                <w:ilvl w:val="0"/>
                <w:numId w:val="8"/>
              </w:numPr>
              <w:ind w:left="256" w:hanging="256"/>
              <w:contextualSpacing/>
              <w:jc w:val="left"/>
              <w:rPr>
                <w:rFonts w:ascii="Arial Narrow" w:hAnsi="Arial Narrow"/>
                <w:sz w:val="20"/>
                <w:lang w:val="en-US"/>
              </w:rPr>
            </w:pPr>
            <w:proofErr w:type="spellStart"/>
            <w:r w:rsidRPr="004F7851">
              <w:rPr>
                <w:rFonts w:ascii="Arial Narrow" w:hAnsi="Arial Narrow"/>
                <w:sz w:val="20"/>
                <w:lang w:val="en-US"/>
              </w:rPr>
              <w:t>Pemetrexed</w:t>
            </w:r>
            <w:proofErr w:type="spellEnd"/>
            <w:r w:rsidRPr="004F7851">
              <w:rPr>
                <w:rFonts w:ascii="Arial Narrow" w:hAnsi="Arial Narrow"/>
                <w:sz w:val="20"/>
                <w:lang w:val="en-US"/>
              </w:rPr>
              <w:t xml:space="preserve"> 500</w:t>
            </w:r>
            <w:r>
              <w:rPr>
                <w:rFonts w:ascii="Arial Narrow" w:hAnsi="Arial Narrow"/>
                <w:sz w:val="20"/>
                <w:lang w:val="en-US"/>
              </w:rPr>
              <w:t> mg/m</w:t>
            </w:r>
            <w:r w:rsidRPr="004F7851">
              <w:rPr>
                <w:rFonts w:ascii="Arial Narrow" w:hAnsi="Arial Narrow"/>
                <w:sz w:val="20"/>
                <w:vertAlign w:val="superscript"/>
                <w:lang w:val="en-US"/>
              </w:rPr>
              <w:t>2</w:t>
            </w:r>
            <w:r w:rsidRPr="004F7851">
              <w:rPr>
                <w:rFonts w:ascii="Arial Narrow" w:hAnsi="Arial Narrow"/>
                <w:sz w:val="20"/>
                <w:lang w:val="en-US"/>
              </w:rPr>
              <w:t xml:space="preserve"> Q3W</w:t>
            </w:r>
          </w:p>
          <w:p w:rsidR="0095055D" w:rsidRPr="004F7851" w:rsidRDefault="0095055D" w:rsidP="009C3A29">
            <w:pPr>
              <w:keepNext/>
              <w:numPr>
                <w:ilvl w:val="0"/>
                <w:numId w:val="8"/>
              </w:numPr>
              <w:ind w:left="256" w:hanging="256"/>
              <w:contextualSpacing/>
              <w:jc w:val="left"/>
              <w:rPr>
                <w:rFonts w:ascii="Arial Narrow" w:hAnsi="Arial Narrow"/>
                <w:sz w:val="20"/>
                <w:lang w:val="en-US"/>
              </w:rPr>
            </w:pPr>
            <w:proofErr w:type="spellStart"/>
            <w:r w:rsidRPr="004F7851">
              <w:rPr>
                <w:rFonts w:ascii="Arial Narrow" w:hAnsi="Arial Narrow"/>
                <w:sz w:val="20"/>
                <w:lang w:val="en-US"/>
              </w:rPr>
              <w:t>Docetaxel</w:t>
            </w:r>
            <w:proofErr w:type="spellEnd"/>
            <w:r w:rsidRPr="004F7851">
              <w:rPr>
                <w:rFonts w:ascii="Arial Narrow" w:hAnsi="Arial Narrow"/>
                <w:sz w:val="20"/>
                <w:lang w:val="en-US"/>
              </w:rPr>
              <w:t xml:space="preserve"> 500</w:t>
            </w:r>
            <w:r>
              <w:rPr>
                <w:rFonts w:ascii="Arial Narrow" w:hAnsi="Arial Narrow"/>
                <w:sz w:val="20"/>
                <w:lang w:val="en-US"/>
              </w:rPr>
              <w:t> mg/m</w:t>
            </w:r>
            <w:r w:rsidRPr="004F7851">
              <w:rPr>
                <w:rFonts w:ascii="Arial Narrow" w:hAnsi="Arial Narrow"/>
                <w:sz w:val="20"/>
                <w:vertAlign w:val="superscript"/>
                <w:lang w:val="en-US"/>
              </w:rPr>
              <w:t>2</w:t>
            </w:r>
            <w:r w:rsidRPr="004F7851">
              <w:rPr>
                <w:rFonts w:ascii="Arial Narrow" w:hAnsi="Arial Narrow"/>
                <w:sz w:val="20"/>
                <w:lang w:val="en-US"/>
              </w:rPr>
              <w:t xml:space="preserve"> Q3W Median follow-up for all patients was 7.5 months.</w:t>
            </w:r>
          </w:p>
        </w:tc>
        <w:tc>
          <w:tcPr>
            <w:tcW w:w="933" w:type="pct"/>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Confirmed Stage III/IV NSCLC, progressive disease after treatment with 1 prior chemotherapy (not specified as platinum)</w:t>
            </w:r>
          </w:p>
        </w:tc>
        <w:tc>
          <w:tcPr>
            <w:tcW w:w="1172" w:type="pct"/>
            <w:shd w:val="clear" w:color="auto" w:fill="auto"/>
          </w:tcPr>
          <w:p w:rsidR="0095055D" w:rsidRPr="004F7851" w:rsidRDefault="0095055D" w:rsidP="00A36DD4">
            <w:pPr>
              <w:keepNext/>
              <w:jc w:val="left"/>
              <w:rPr>
                <w:rFonts w:ascii="Arial Narrow" w:hAnsi="Arial Narrow"/>
                <w:sz w:val="20"/>
                <w:lang w:val="en-US"/>
              </w:rPr>
            </w:pPr>
            <w:r w:rsidRPr="004F7851">
              <w:rPr>
                <w:rFonts w:ascii="Arial Narrow" w:hAnsi="Arial Narrow"/>
                <w:sz w:val="20"/>
                <w:lang w:val="en-US"/>
              </w:rPr>
              <w:t>OS, ORR, CR.</w:t>
            </w:r>
          </w:p>
        </w:tc>
        <w:tc>
          <w:tcPr>
            <w:tcW w:w="521" w:type="pct"/>
            <w:shd w:val="clear" w:color="auto" w:fill="auto"/>
          </w:tcPr>
          <w:p w:rsidR="0095055D" w:rsidRPr="004F7851" w:rsidRDefault="0095055D" w:rsidP="00A36DD4">
            <w:pPr>
              <w:keepNext/>
              <w:jc w:val="left"/>
              <w:rPr>
                <w:rFonts w:ascii="Arial Narrow" w:hAnsi="Arial Narrow"/>
                <w:sz w:val="20"/>
                <w:lang w:val="en-US"/>
              </w:rPr>
            </w:pPr>
            <w:r>
              <w:rPr>
                <w:rFonts w:ascii="Arial Narrow" w:hAnsi="Arial Narrow"/>
                <w:sz w:val="20"/>
                <w:lang w:val="en-US"/>
              </w:rPr>
              <w:t>Used</w:t>
            </w:r>
          </w:p>
        </w:tc>
      </w:tr>
    </w:tbl>
    <w:p w:rsidR="0095055D" w:rsidRDefault="0095055D" w:rsidP="00910477">
      <w:pPr>
        <w:pStyle w:val="TableFooter"/>
        <w:ind w:left="709"/>
      </w:pPr>
      <w:r w:rsidRPr="00F46CE8">
        <w:t>ALK</w:t>
      </w:r>
      <w:r>
        <w:t xml:space="preserve"> </w:t>
      </w:r>
      <w:r w:rsidRPr="00F46CE8">
        <w:t>=</w:t>
      </w:r>
      <w:r>
        <w:t xml:space="preserve"> </w:t>
      </w:r>
      <w:r w:rsidRPr="00F46CE8">
        <w:t xml:space="preserve">anaplastic lymphoma kinase; </w:t>
      </w:r>
      <w:r w:rsidRPr="004F7851">
        <w:t xml:space="preserve">CR = complete response; </w:t>
      </w:r>
      <w:r w:rsidRPr="00A62830">
        <w:t>ECOG = Eastern Cooperative Oncology Group</w:t>
      </w:r>
      <w:r>
        <w:t>;</w:t>
      </w:r>
      <w:r w:rsidRPr="00A62830">
        <w:t xml:space="preserve"> </w:t>
      </w:r>
      <w:r w:rsidRPr="00F46CE8">
        <w:t>EGFR</w:t>
      </w:r>
      <w:r>
        <w:t xml:space="preserve"> </w:t>
      </w:r>
      <w:r w:rsidRPr="00F46CE8">
        <w:t>=</w:t>
      </w:r>
      <w:r>
        <w:t xml:space="preserve"> </w:t>
      </w:r>
      <w:r w:rsidRPr="00F46CE8">
        <w:t xml:space="preserve">epidermal growth factor receptor; </w:t>
      </w:r>
      <w:r w:rsidRPr="004F7851">
        <w:t>MC</w:t>
      </w:r>
      <w:r>
        <w:t xml:space="preserve"> </w:t>
      </w:r>
      <w:r w:rsidRPr="004F7851">
        <w:t>=</w:t>
      </w:r>
      <w:r>
        <w:t xml:space="preserve"> </w:t>
      </w:r>
      <w:r w:rsidRPr="004F7851">
        <w:t>multi-centre; OL</w:t>
      </w:r>
      <w:r>
        <w:t xml:space="preserve"> </w:t>
      </w:r>
      <w:r w:rsidRPr="004F7851">
        <w:t>=</w:t>
      </w:r>
      <w:r>
        <w:t xml:space="preserve"> </w:t>
      </w:r>
      <w:r w:rsidRPr="004F7851">
        <w:t>open label; ORR = objective response rate; OS</w:t>
      </w:r>
      <w:r>
        <w:t xml:space="preserve"> </w:t>
      </w:r>
      <w:r w:rsidRPr="004F7851">
        <w:t>=</w:t>
      </w:r>
      <w:r>
        <w:t xml:space="preserve"> </w:t>
      </w:r>
      <w:r w:rsidRPr="004F7851">
        <w:t>overall survival; PFS</w:t>
      </w:r>
      <w:r>
        <w:t xml:space="preserve"> </w:t>
      </w:r>
      <w:r w:rsidRPr="004F7851">
        <w:t>=</w:t>
      </w:r>
      <w:r>
        <w:t xml:space="preserve"> </w:t>
      </w:r>
      <w:r w:rsidRPr="004F7851">
        <w:t>progression-free survival; Q3W = every three weeks; R (1:1:1)</w:t>
      </w:r>
      <w:r>
        <w:t xml:space="preserve"> </w:t>
      </w:r>
      <w:r w:rsidRPr="004F7851">
        <w:t>=</w:t>
      </w:r>
      <w:r>
        <w:t xml:space="preserve"> </w:t>
      </w:r>
      <w:r w:rsidRPr="004F7851">
        <w:t>randomised 1 to 1 to 1 ratio</w:t>
      </w:r>
      <w:r>
        <w:t>;</w:t>
      </w:r>
      <w:r w:rsidRPr="007A3813">
        <w:t xml:space="preserve"> </w:t>
      </w:r>
      <w:r>
        <w:t>TPS = tumour</w:t>
      </w:r>
      <w:r w:rsidRPr="004F7851">
        <w:t xml:space="preserve"> proportion score</w:t>
      </w:r>
      <w:r>
        <w:t>.</w:t>
      </w:r>
      <w:r w:rsidR="00491FAE">
        <w:t xml:space="preserve"> </w:t>
      </w:r>
      <w:r w:rsidRPr="004F7851">
        <w:t xml:space="preserve">Source: compiled during the evaluation from the submission, KN-0101 clinical study report and </w:t>
      </w:r>
      <w:proofErr w:type="spellStart"/>
      <w:r w:rsidRPr="004F7851">
        <w:t>Sc</w:t>
      </w:r>
      <w:r w:rsidR="00802E2E">
        <w:t>agliotti</w:t>
      </w:r>
      <w:proofErr w:type="spellEnd"/>
      <w:r w:rsidR="00802E2E">
        <w:t xml:space="preserve"> and Hanna publications</w:t>
      </w:r>
    </w:p>
    <w:p w:rsidR="000928B2" w:rsidRPr="00596634" w:rsidRDefault="000928B2" w:rsidP="000928B2">
      <w:pPr>
        <w:rPr>
          <w:rFonts w:ascii="Arial" w:hAnsi="Arial" w:cs="Arial"/>
          <w:snapToGrid w:val="0"/>
          <w:sz w:val="22"/>
          <w:szCs w:val="22"/>
        </w:rPr>
      </w:pPr>
    </w:p>
    <w:p w:rsidR="0095055D" w:rsidRPr="004F7851" w:rsidRDefault="0095055D" w:rsidP="00910477">
      <w:pPr>
        <w:pStyle w:val="TableHeading0"/>
        <w:ind w:firstLine="709"/>
        <w:rPr>
          <w:snapToGrid w:val="0"/>
        </w:rPr>
      </w:pPr>
      <w:r w:rsidRPr="000406A2">
        <w:rPr>
          <w:snapToGrid w:val="0"/>
        </w:rPr>
        <w:t xml:space="preserve">Table </w:t>
      </w:r>
      <w:r w:rsidR="005A4EAB">
        <w:rPr>
          <w:snapToGrid w:val="0"/>
        </w:rPr>
        <w:t>2</w:t>
      </w:r>
      <w:r>
        <w:rPr>
          <w:snapToGrid w:val="0"/>
        </w:rPr>
        <w:t xml:space="preserve">: </w:t>
      </w:r>
      <w:r w:rsidRPr="004F7851">
        <w:rPr>
          <w:snapToGrid w:val="0"/>
        </w:rPr>
        <w:t>Trials and associated reports presented in the submission</w:t>
      </w:r>
    </w:p>
    <w:tbl>
      <w:tblPr>
        <w:tblW w:w="4603"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7"/>
        <w:gridCol w:w="5812"/>
        <w:gridCol w:w="1813"/>
      </w:tblGrid>
      <w:tr w:rsidR="0095055D" w:rsidRPr="004F7851" w:rsidTr="00910477">
        <w:tc>
          <w:tcPr>
            <w:tcW w:w="441" w:type="pct"/>
          </w:tcPr>
          <w:p w:rsidR="0095055D" w:rsidRPr="004F7851" w:rsidRDefault="0095055D" w:rsidP="00A36DD4">
            <w:pPr>
              <w:keepNext/>
              <w:jc w:val="left"/>
              <w:rPr>
                <w:rFonts w:ascii="Arial Narrow" w:hAnsi="Arial Narrow"/>
                <w:b/>
                <w:sz w:val="20"/>
              </w:rPr>
            </w:pPr>
            <w:r w:rsidRPr="004F7851">
              <w:rPr>
                <w:rFonts w:ascii="Arial Narrow" w:hAnsi="Arial Narrow"/>
                <w:b/>
                <w:sz w:val="20"/>
              </w:rPr>
              <w:t>Trial ID</w:t>
            </w:r>
          </w:p>
        </w:tc>
        <w:tc>
          <w:tcPr>
            <w:tcW w:w="3475" w:type="pct"/>
          </w:tcPr>
          <w:p w:rsidR="0095055D" w:rsidRPr="004F7851" w:rsidRDefault="0095055D" w:rsidP="00A36DD4">
            <w:pPr>
              <w:keepNext/>
              <w:jc w:val="center"/>
              <w:rPr>
                <w:rFonts w:ascii="Arial Narrow" w:hAnsi="Arial Narrow"/>
                <w:b/>
                <w:sz w:val="20"/>
              </w:rPr>
            </w:pPr>
            <w:r w:rsidRPr="004F7851">
              <w:rPr>
                <w:rFonts w:ascii="Arial Narrow" w:hAnsi="Arial Narrow"/>
                <w:b/>
                <w:sz w:val="20"/>
              </w:rPr>
              <w:t>Protocol title/ Publication title</w:t>
            </w:r>
          </w:p>
        </w:tc>
        <w:tc>
          <w:tcPr>
            <w:tcW w:w="1083" w:type="pct"/>
          </w:tcPr>
          <w:p w:rsidR="0095055D" w:rsidRPr="004F7851" w:rsidRDefault="0095055D" w:rsidP="00A36DD4">
            <w:pPr>
              <w:keepNext/>
              <w:jc w:val="center"/>
              <w:rPr>
                <w:rFonts w:ascii="Arial Narrow" w:hAnsi="Arial Narrow"/>
                <w:b/>
                <w:sz w:val="20"/>
              </w:rPr>
            </w:pPr>
            <w:r w:rsidRPr="004F7851">
              <w:rPr>
                <w:rFonts w:ascii="Arial Narrow" w:hAnsi="Arial Narrow"/>
                <w:b/>
                <w:sz w:val="20"/>
              </w:rPr>
              <w:t>Publication citation</w:t>
            </w:r>
          </w:p>
        </w:tc>
      </w:tr>
      <w:tr w:rsidR="0095055D" w:rsidRPr="004F7851" w:rsidTr="00910477">
        <w:tc>
          <w:tcPr>
            <w:tcW w:w="5000" w:type="pct"/>
            <w:gridSpan w:val="3"/>
          </w:tcPr>
          <w:p w:rsidR="0095055D" w:rsidRPr="004F7851" w:rsidRDefault="0095055D" w:rsidP="00A36DD4">
            <w:pPr>
              <w:keepNext/>
              <w:jc w:val="left"/>
              <w:rPr>
                <w:rFonts w:ascii="Arial Narrow" w:hAnsi="Arial Narrow"/>
                <w:b/>
                <w:sz w:val="20"/>
              </w:rPr>
            </w:pPr>
            <w:r w:rsidRPr="004F7851">
              <w:rPr>
                <w:rFonts w:ascii="Arial Narrow" w:hAnsi="Arial Narrow"/>
                <w:b/>
                <w:sz w:val="20"/>
              </w:rPr>
              <w:t xml:space="preserve">Direct randomised trial comparing pembrolizumab with </w:t>
            </w:r>
            <w:proofErr w:type="spellStart"/>
            <w:r w:rsidRPr="004F7851">
              <w:rPr>
                <w:rFonts w:ascii="Arial Narrow" w:hAnsi="Arial Narrow"/>
                <w:b/>
                <w:sz w:val="20"/>
              </w:rPr>
              <w:t>docetaxel</w:t>
            </w:r>
            <w:proofErr w:type="spellEnd"/>
          </w:p>
        </w:tc>
      </w:tr>
      <w:tr w:rsidR="0095055D" w:rsidRPr="004F7851" w:rsidTr="00910477">
        <w:tc>
          <w:tcPr>
            <w:tcW w:w="441" w:type="pct"/>
          </w:tcPr>
          <w:p w:rsidR="0095055D" w:rsidRPr="004F7851" w:rsidRDefault="0095055D" w:rsidP="00A36DD4">
            <w:pPr>
              <w:jc w:val="left"/>
              <w:rPr>
                <w:rFonts w:ascii="Arial Narrow" w:hAnsi="Arial Narrow"/>
                <w:sz w:val="20"/>
              </w:rPr>
            </w:pPr>
            <w:r w:rsidRPr="003521AC">
              <w:rPr>
                <w:rFonts w:ascii="Arial Narrow" w:hAnsi="Arial Narrow" w:cs="Arial"/>
                <w:sz w:val="20"/>
                <w:szCs w:val="20"/>
                <w:lang w:eastAsia="en-AU"/>
              </w:rPr>
              <w:t>KN-010</w:t>
            </w:r>
          </w:p>
        </w:tc>
        <w:tc>
          <w:tcPr>
            <w:tcW w:w="3475" w:type="pct"/>
            <w:tcBorders>
              <w:top w:val="single" w:sz="4" w:space="0" w:color="auto"/>
              <w:left w:val="single" w:sz="4" w:space="0" w:color="auto"/>
              <w:bottom w:val="single" w:sz="4" w:space="0" w:color="auto"/>
              <w:right w:val="single" w:sz="4" w:space="0" w:color="auto"/>
            </w:tcBorders>
          </w:tcPr>
          <w:p w:rsidR="0095055D" w:rsidRPr="004F7851" w:rsidRDefault="0095055D" w:rsidP="00A36DD4">
            <w:pPr>
              <w:keepNext/>
              <w:widowControl w:val="0"/>
              <w:jc w:val="left"/>
              <w:rPr>
                <w:rFonts w:ascii="Arial Narrow" w:hAnsi="Arial Narrow"/>
                <w:b/>
                <w:sz w:val="20"/>
                <w:szCs w:val="20"/>
              </w:rPr>
            </w:pPr>
            <w:r w:rsidRPr="004F7851">
              <w:rPr>
                <w:rFonts w:ascii="Arial Narrow" w:hAnsi="Arial Narrow"/>
                <w:b/>
                <w:sz w:val="20"/>
                <w:szCs w:val="20"/>
              </w:rPr>
              <w:t>Clinical Study Report Protocol KN-010</w:t>
            </w:r>
          </w:p>
          <w:p w:rsidR="0095055D" w:rsidRPr="00303115" w:rsidRDefault="0095055D" w:rsidP="00A36DD4">
            <w:pPr>
              <w:keepNext/>
              <w:widowControl w:val="0"/>
              <w:jc w:val="left"/>
              <w:rPr>
                <w:rFonts w:ascii="Arial Narrow" w:hAnsi="Arial Narrow"/>
                <w:sz w:val="20"/>
                <w:szCs w:val="20"/>
              </w:rPr>
            </w:pPr>
            <w:r w:rsidRPr="004F7851">
              <w:rPr>
                <w:rFonts w:ascii="Arial Narrow" w:hAnsi="Arial Narrow"/>
                <w:sz w:val="20"/>
                <w:szCs w:val="20"/>
              </w:rPr>
              <w:t xml:space="preserve">A Phase II/III randomised trial of two doses of pembrolizumab/SCH900475 (pembrolizumab) versus </w:t>
            </w:r>
            <w:proofErr w:type="spellStart"/>
            <w:r w:rsidRPr="004F7851">
              <w:rPr>
                <w:rFonts w:ascii="Arial Narrow" w:hAnsi="Arial Narrow"/>
                <w:sz w:val="20"/>
                <w:szCs w:val="20"/>
              </w:rPr>
              <w:t>docetaxel</w:t>
            </w:r>
            <w:proofErr w:type="spellEnd"/>
            <w:r w:rsidRPr="004F7851">
              <w:rPr>
                <w:rFonts w:ascii="Arial Narrow" w:hAnsi="Arial Narrow"/>
                <w:sz w:val="20"/>
                <w:szCs w:val="20"/>
              </w:rPr>
              <w:t xml:space="preserve"> in previously treated subjects with NSCLC. CSR Identification P010V01. </w:t>
            </w:r>
            <w:proofErr w:type="gramStart"/>
            <w:r w:rsidRPr="004F7851">
              <w:rPr>
                <w:rFonts w:ascii="Arial Narrow" w:hAnsi="Arial Narrow"/>
                <w:sz w:val="20"/>
                <w:szCs w:val="20"/>
              </w:rPr>
              <w:t>Database lock</w:t>
            </w:r>
            <w:proofErr w:type="gramEnd"/>
            <w:r w:rsidRPr="004F7851">
              <w:rPr>
                <w:rFonts w:ascii="Arial Narrow" w:hAnsi="Arial Narrow"/>
                <w:sz w:val="20"/>
                <w:szCs w:val="20"/>
              </w:rPr>
              <w:t xml:space="preserve"> 23-Oct-2015.</w:t>
            </w:r>
          </w:p>
          <w:p w:rsidR="0095055D" w:rsidRPr="004F7851" w:rsidRDefault="0095055D" w:rsidP="00A36DD4">
            <w:pPr>
              <w:widowControl w:val="0"/>
              <w:jc w:val="left"/>
              <w:rPr>
                <w:rFonts w:ascii="Arial Narrow" w:hAnsi="Arial Narrow"/>
                <w:sz w:val="20"/>
                <w:szCs w:val="20"/>
                <w:highlight w:val="yellow"/>
              </w:rPr>
            </w:pPr>
          </w:p>
          <w:p w:rsidR="0095055D" w:rsidRPr="004F7851" w:rsidRDefault="0095055D" w:rsidP="00A36DD4">
            <w:pPr>
              <w:widowControl w:val="0"/>
              <w:jc w:val="left"/>
              <w:rPr>
                <w:rFonts w:ascii="Arial Narrow" w:hAnsi="Arial Narrow"/>
                <w:sz w:val="20"/>
                <w:szCs w:val="20"/>
                <w:u w:val="single"/>
              </w:rPr>
            </w:pPr>
            <w:r w:rsidRPr="004F7851">
              <w:rPr>
                <w:rFonts w:ascii="Arial Narrow" w:hAnsi="Arial Narrow"/>
                <w:sz w:val="20"/>
                <w:szCs w:val="20"/>
                <w:u w:val="single"/>
              </w:rPr>
              <w:t>Publications</w:t>
            </w:r>
          </w:p>
          <w:p w:rsidR="0095055D" w:rsidRPr="004F7851" w:rsidRDefault="0095055D" w:rsidP="00A36DD4">
            <w:pPr>
              <w:widowControl w:val="0"/>
              <w:jc w:val="left"/>
              <w:rPr>
                <w:rFonts w:ascii="Arial Narrow" w:hAnsi="Arial Narrow"/>
                <w:sz w:val="20"/>
                <w:szCs w:val="20"/>
              </w:rPr>
            </w:pPr>
            <w:proofErr w:type="spellStart"/>
            <w:r w:rsidRPr="004F7851">
              <w:rPr>
                <w:rFonts w:ascii="Arial Narrow" w:hAnsi="Arial Narrow"/>
                <w:sz w:val="20"/>
                <w:szCs w:val="20"/>
              </w:rPr>
              <w:t>Herbst</w:t>
            </w:r>
            <w:proofErr w:type="spellEnd"/>
            <w:r w:rsidRPr="004F7851">
              <w:rPr>
                <w:rFonts w:ascii="Arial Narrow" w:hAnsi="Arial Narrow"/>
                <w:sz w:val="20"/>
                <w:szCs w:val="20"/>
              </w:rPr>
              <w:t xml:space="preserve"> RS, </w:t>
            </w:r>
            <w:proofErr w:type="spellStart"/>
            <w:r w:rsidRPr="004F7851">
              <w:rPr>
                <w:rFonts w:ascii="Arial Narrow" w:hAnsi="Arial Narrow"/>
                <w:sz w:val="20"/>
                <w:szCs w:val="20"/>
              </w:rPr>
              <w:t>Gurpide</w:t>
            </w:r>
            <w:proofErr w:type="spellEnd"/>
            <w:r w:rsidRPr="004F7851">
              <w:rPr>
                <w:rFonts w:ascii="Arial Narrow" w:hAnsi="Arial Narrow"/>
                <w:sz w:val="20"/>
                <w:szCs w:val="20"/>
              </w:rPr>
              <w:t xml:space="preserve"> A, </w:t>
            </w:r>
            <w:proofErr w:type="spellStart"/>
            <w:r w:rsidRPr="004F7851">
              <w:rPr>
                <w:rFonts w:ascii="Arial Narrow" w:hAnsi="Arial Narrow"/>
                <w:sz w:val="20"/>
                <w:szCs w:val="20"/>
              </w:rPr>
              <w:t>Surmont</w:t>
            </w:r>
            <w:proofErr w:type="spellEnd"/>
            <w:r w:rsidRPr="004F7851">
              <w:rPr>
                <w:rFonts w:ascii="Arial Narrow" w:hAnsi="Arial Narrow"/>
                <w:sz w:val="20"/>
                <w:szCs w:val="20"/>
              </w:rPr>
              <w:t xml:space="preserve"> V et al. A phase II/III randomised trial of two doses of pembrolizumab versus </w:t>
            </w:r>
            <w:proofErr w:type="spellStart"/>
            <w:r w:rsidRPr="004F7851">
              <w:rPr>
                <w:rFonts w:ascii="Arial Narrow" w:hAnsi="Arial Narrow"/>
                <w:sz w:val="20"/>
                <w:szCs w:val="20"/>
              </w:rPr>
              <w:t>docetaxel</w:t>
            </w:r>
            <w:proofErr w:type="spellEnd"/>
            <w:r w:rsidRPr="004F7851">
              <w:rPr>
                <w:rFonts w:ascii="Arial Narrow" w:hAnsi="Arial Narrow"/>
                <w:sz w:val="20"/>
                <w:szCs w:val="20"/>
              </w:rPr>
              <w:t xml:space="preserve"> in previously treated subjects w</w:t>
            </w:r>
            <w:r w:rsidR="006D17F7">
              <w:rPr>
                <w:rFonts w:ascii="Arial Narrow" w:hAnsi="Arial Narrow"/>
                <w:sz w:val="20"/>
                <w:szCs w:val="20"/>
              </w:rPr>
              <w:t>ith non-small cell lung cancer.</w:t>
            </w:r>
          </w:p>
          <w:p w:rsidR="0095055D" w:rsidRPr="004F7851" w:rsidRDefault="0095055D" w:rsidP="00A36DD4">
            <w:pPr>
              <w:widowControl w:val="0"/>
              <w:jc w:val="left"/>
              <w:rPr>
                <w:rFonts w:ascii="Arial Narrow" w:hAnsi="Arial Narrow"/>
                <w:sz w:val="20"/>
                <w:szCs w:val="20"/>
              </w:rPr>
            </w:pPr>
          </w:p>
          <w:p w:rsidR="0095055D" w:rsidRPr="004F7851" w:rsidRDefault="0095055D" w:rsidP="00A36DD4">
            <w:pPr>
              <w:spacing w:after="120"/>
              <w:rPr>
                <w:rFonts w:ascii="Arial Narrow" w:hAnsi="Arial Narrow"/>
                <w:i/>
                <w:sz w:val="20"/>
                <w:highlight w:val="yellow"/>
              </w:rPr>
            </w:pPr>
            <w:proofErr w:type="spellStart"/>
            <w:r w:rsidRPr="004F7851">
              <w:rPr>
                <w:rFonts w:ascii="Arial Narrow" w:hAnsi="Arial Narrow"/>
                <w:sz w:val="20"/>
                <w:szCs w:val="20"/>
              </w:rPr>
              <w:t>Herbst</w:t>
            </w:r>
            <w:proofErr w:type="spellEnd"/>
            <w:r w:rsidRPr="004F7851">
              <w:rPr>
                <w:rFonts w:ascii="Arial Narrow" w:hAnsi="Arial Narrow"/>
                <w:sz w:val="20"/>
                <w:szCs w:val="20"/>
              </w:rPr>
              <w:t xml:space="preserve">, RS et al. Pembrolizumab versus </w:t>
            </w:r>
            <w:proofErr w:type="spellStart"/>
            <w:r w:rsidRPr="004F7851">
              <w:rPr>
                <w:rFonts w:ascii="Arial Narrow" w:hAnsi="Arial Narrow"/>
                <w:sz w:val="20"/>
                <w:szCs w:val="20"/>
              </w:rPr>
              <w:t>docetaxel</w:t>
            </w:r>
            <w:proofErr w:type="spellEnd"/>
            <w:r w:rsidRPr="004F7851">
              <w:rPr>
                <w:rFonts w:ascii="Arial Narrow" w:hAnsi="Arial Narrow"/>
                <w:sz w:val="20"/>
                <w:szCs w:val="20"/>
              </w:rPr>
              <w:t xml:space="preserve"> for previously treated, PD-L1-positive, advanced non-small-cell lung cancer (KEYNOTE-010): a randomised controlled trial.</w:t>
            </w:r>
          </w:p>
        </w:tc>
        <w:tc>
          <w:tcPr>
            <w:tcW w:w="1083" w:type="pct"/>
            <w:tcBorders>
              <w:top w:val="single" w:sz="4" w:space="0" w:color="auto"/>
              <w:left w:val="single" w:sz="4" w:space="0" w:color="auto"/>
              <w:bottom w:val="single" w:sz="4" w:space="0" w:color="auto"/>
              <w:right w:val="single" w:sz="4" w:space="0" w:color="auto"/>
            </w:tcBorders>
          </w:tcPr>
          <w:p w:rsidR="006D17F7" w:rsidRDefault="006D17F7" w:rsidP="00A36DD4">
            <w:pPr>
              <w:widowControl w:val="0"/>
              <w:jc w:val="left"/>
              <w:rPr>
                <w:rFonts w:ascii="Arial Narrow" w:hAnsi="Arial Narrow"/>
                <w:sz w:val="20"/>
                <w:szCs w:val="20"/>
              </w:rPr>
            </w:pPr>
          </w:p>
          <w:p w:rsidR="0095055D" w:rsidRPr="004F7851" w:rsidRDefault="0095055D" w:rsidP="00A36DD4">
            <w:pPr>
              <w:widowControl w:val="0"/>
              <w:jc w:val="left"/>
              <w:rPr>
                <w:rFonts w:ascii="Arial Narrow" w:hAnsi="Arial Narrow"/>
                <w:sz w:val="20"/>
                <w:szCs w:val="20"/>
              </w:rPr>
            </w:pPr>
            <w:r w:rsidRPr="004F7851">
              <w:rPr>
                <w:rFonts w:ascii="Arial Narrow" w:hAnsi="Arial Narrow"/>
                <w:sz w:val="20"/>
                <w:szCs w:val="20"/>
              </w:rPr>
              <w:t>Clinical Study Report. 10 December 2015</w:t>
            </w:r>
          </w:p>
          <w:p w:rsidR="0095055D" w:rsidRPr="004F7851" w:rsidRDefault="0095055D" w:rsidP="00A36DD4">
            <w:pPr>
              <w:widowControl w:val="0"/>
              <w:jc w:val="left"/>
              <w:rPr>
                <w:rFonts w:ascii="Arial Narrow" w:hAnsi="Arial Narrow"/>
                <w:sz w:val="20"/>
                <w:szCs w:val="20"/>
              </w:rPr>
            </w:pPr>
          </w:p>
          <w:p w:rsidR="0095055D" w:rsidRDefault="0095055D" w:rsidP="00A36DD4">
            <w:pPr>
              <w:widowControl w:val="0"/>
              <w:jc w:val="left"/>
              <w:rPr>
                <w:rFonts w:ascii="Arial Narrow" w:hAnsi="Arial Narrow"/>
                <w:i/>
                <w:sz w:val="20"/>
                <w:szCs w:val="20"/>
              </w:rPr>
            </w:pPr>
          </w:p>
          <w:p w:rsidR="006D17F7" w:rsidRPr="004F7851" w:rsidRDefault="006D17F7" w:rsidP="00A36DD4">
            <w:pPr>
              <w:widowControl w:val="0"/>
              <w:jc w:val="left"/>
              <w:rPr>
                <w:rFonts w:ascii="Arial Narrow" w:hAnsi="Arial Narrow"/>
                <w:i/>
                <w:sz w:val="20"/>
                <w:szCs w:val="20"/>
              </w:rPr>
            </w:pPr>
          </w:p>
          <w:p w:rsidR="0095055D" w:rsidRPr="004F7851" w:rsidRDefault="0095055D" w:rsidP="00A36DD4">
            <w:pPr>
              <w:widowControl w:val="0"/>
              <w:jc w:val="left"/>
              <w:rPr>
                <w:rFonts w:ascii="Arial Narrow" w:hAnsi="Arial Narrow"/>
                <w:sz w:val="20"/>
                <w:szCs w:val="20"/>
              </w:rPr>
            </w:pPr>
            <w:r w:rsidRPr="004F7851">
              <w:rPr>
                <w:rFonts w:ascii="Arial Narrow" w:hAnsi="Arial Narrow"/>
                <w:i/>
                <w:sz w:val="20"/>
                <w:szCs w:val="20"/>
              </w:rPr>
              <w:t>Journal of Clinical Oncology,</w:t>
            </w:r>
            <w:r w:rsidRPr="004F7851">
              <w:rPr>
                <w:rFonts w:ascii="Arial Narrow" w:hAnsi="Arial Narrow"/>
                <w:sz w:val="20"/>
                <w:szCs w:val="20"/>
              </w:rPr>
              <w:t xml:space="preserve"> 2014;32</w:t>
            </w:r>
            <w:r w:rsidR="0055361A">
              <w:rPr>
                <w:rFonts w:ascii="Arial Narrow" w:hAnsi="Arial Narrow"/>
                <w:sz w:val="20"/>
                <w:szCs w:val="20"/>
              </w:rPr>
              <w:t xml:space="preserve">:5s </w:t>
            </w:r>
            <w:r w:rsidRPr="004F7851">
              <w:rPr>
                <w:rFonts w:ascii="Arial Narrow" w:hAnsi="Arial Narrow"/>
                <w:sz w:val="20"/>
                <w:szCs w:val="20"/>
              </w:rPr>
              <w:t>(</w:t>
            </w:r>
            <w:proofErr w:type="spellStart"/>
            <w:r w:rsidR="0055361A">
              <w:rPr>
                <w:rFonts w:ascii="Arial Narrow" w:hAnsi="Arial Narrow"/>
                <w:sz w:val="20"/>
                <w:szCs w:val="20"/>
              </w:rPr>
              <w:t>suppl</w:t>
            </w:r>
            <w:proofErr w:type="spellEnd"/>
            <w:r w:rsidR="0055361A">
              <w:rPr>
                <w:rFonts w:ascii="Arial Narrow" w:hAnsi="Arial Narrow"/>
                <w:sz w:val="20"/>
                <w:szCs w:val="20"/>
              </w:rPr>
              <w:t xml:space="preserve">; </w:t>
            </w:r>
            <w:proofErr w:type="spellStart"/>
            <w:r w:rsidR="0055361A">
              <w:rPr>
                <w:rFonts w:ascii="Arial Narrow" w:hAnsi="Arial Narrow"/>
                <w:sz w:val="20"/>
                <w:szCs w:val="20"/>
              </w:rPr>
              <w:t>abstr</w:t>
            </w:r>
            <w:proofErr w:type="spellEnd"/>
            <w:r w:rsidR="0055361A">
              <w:rPr>
                <w:rFonts w:ascii="Arial Narrow" w:hAnsi="Arial Narrow"/>
                <w:sz w:val="20"/>
                <w:szCs w:val="20"/>
              </w:rPr>
              <w:t xml:space="preserve"> TPS8124)</w:t>
            </w:r>
          </w:p>
          <w:p w:rsidR="0095055D" w:rsidRPr="004F7851" w:rsidRDefault="0095055D" w:rsidP="00A36DD4">
            <w:pPr>
              <w:widowControl w:val="0"/>
              <w:jc w:val="left"/>
              <w:rPr>
                <w:rFonts w:ascii="Arial Narrow" w:hAnsi="Arial Narrow"/>
                <w:sz w:val="20"/>
                <w:szCs w:val="20"/>
              </w:rPr>
            </w:pPr>
          </w:p>
          <w:p w:rsidR="0095055D" w:rsidRPr="004F7851" w:rsidRDefault="0095055D" w:rsidP="00A36DD4">
            <w:pPr>
              <w:jc w:val="left"/>
              <w:rPr>
                <w:rFonts w:ascii="Arial Narrow" w:hAnsi="Arial Narrow"/>
                <w:sz w:val="20"/>
              </w:rPr>
            </w:pPr>
            <w:r w:rsidRPr="004F7851">
              <w:rPr>
                <w:rFonts w:ascii="Arial Narrow" w:hAnsi="Arial Narrow"/>
                <w:i/>
                <w:sz w:val="20"/>
                <w:szCs w:val="20"/>
              </w:rPr>
              <w:t>The Lancet</w:t>
            </w:r>
            <w:r w:rsidRPr="004F7851">
              <w:rPr>
                <w:rFonts w:ascii="Arial Narrow" w:hAnsi="Arial Narrow"/>
                <w:sz w:val="20"/>
                <w:szCs w:val="20"/>
              </w:rPr>
              <w:t xml:space="preserve"> 2015. December 19, 2015. Published online http://dx.doi.org/10.1016/S0140-6736(15)01281-7</w:t>
            </w:r>
          </w:p>
        </w:tc>
      </w:tr>
      <w:tr w:rsidR="0095055D" w:rsidRPr="004F7851" w:rsidTr="00910477">
        <w:tc>
          <w:tcPr>
            <w:tcW w:w="5000" w:type="pct"/>
            <w:gridSpan w:val="3"/>
            <w:tcBorders>
              <w:right w:val="single" w:sz="4" w:space="0" w:color="auto"/>
            </w:tcBorders>
          </w:tcPr>
          <w:p w:rsidR="0095055D" w:rsidRPr="004F7851" w:rsidRDefault="0095055D" w:rsidP="00A36DD4">
            <w:pPr>
              <w:jc w:val="left"/>
              <w:rPr>
                <w:rFonts w:ascii="Arial Narrow" w:hAnsi="Arial Narrow"/>
                <w:b/>
                <w:sz w:val="20"/>
              </w:rPr>
            </w:pPr>
            <w:r w:rsidRPr="004F7851">
              <w:rPr>
                <w:rFonts w:ascii="Arial Narrow" w:hAnsi="Arial Narrow"/>
                <w:b/>
                <w:sz w:val="20"/>
              </w:rPr>
              <w:t xml:space="preserve">Indirect comparison between pembrolizumab and </w:t>
            </w:r>
            <w:proofErr w:type="spellStart"/>
            <w:r w:rsidRPr="004F7851">
              <w:rPr>
                <w:rFonts w:ascii="Arial Narrow" w:hAnsi="Arial Narrow"/>
                <w:b/>
                <w:sz w:val="20"/>
              </w:rPr>
              <w:t>pemetrexed</w:t>
            </w:r>
            <w:proofErr w:type="spellEnd"/>
            <w:r w:rsidRPr="004F7851">
              <w:rPr>
                <w:rFonts w:ascii="Arial Narrow" w:hAnsi="Arial Narrow"/>
                <w:b/>
                <w:sz w:val="20"/>
              </w:rPr>
              <w:t xml:space="preserve"> (common reference of </w:t>
            </w:r>
            <w:proofErr w:type="spellStart"/>
            <w:r w:rsidRPr="004F7851">
              <w:rPr>
                <w:rFonts w:ascii="Arial Narrow" w:hAnsi="Arial Narrow"/>
                <w:b/>
                <w:sz w:val="20"/>
              </w:rPr>
              <w:t>docetaxel</w:t>
            </w:r>
            <w:proofErr w:type="spellEnd"/>
            <w:r w:rsidRPr="004F7851">
              <w:rPr>
                <w:rFonts w:ascii="Arial Narrow" w:hAnsi="Arial Narrow"/>
                <w:b/>
                <w:sz w:val="20"/>
              </w:rPr>
              <w:t>)</w:t>
            </w:r>
          </w:p>
        </w:tc>
      </w:tr>
      <w:tr w:rsidR="0095055D" w:rsidRPr="004F7851" w:rsidTr="00910477">
        <w:tc>
          <w:tcPr>
            <w:tcW w:w="5000" w:type="pct"/>
            <w:gridSpan w:val="3"/>
            <w:tcBorders>
              <w:right w:val="single" w:sz="4" w:space="0" w:color="auto"/>
            </w:tcBorders>
          </w:tcPr>
          <w:p w:rsidR="0095055D" w:rsidRPr="004F7851" w:rsidRDefault="0095055D" w:rsidP="00A36DD4">
            <w:pPr>
              <w:widowControl w:val="0"/>
              <w:jc w:val="left"/>
              <w:rPr>
                <w:rFonts w:ascii="Arial Narrow" w:hAnsi="Arial Narrow"/>
                <w:i/>
                <w:sz w:val="20"/>
                <w:szCs w:val="20"/>
              </w:rPr>
            </w:pPr>
            <w:r w:rsidRPr="004F7851">
              <w:rPr>
                <w:rFonts w:ascii="Arial Narrow" w:hAnsi="Arial Narrow"/>
                <w:i/>
                <w:sz w:val="20"/>
                <w:szCs w:val="20"/>
              </w:rPr>
              <w:t>Proposed medicine: Pembrolizumab</w:t>
            </w:r>
          </w:p>
        </w:tc>
      </w:tr>
      <w:tr w:rsidR="0095055D" w:rsidRPr="004F7851" w:rsidTr="00910477">
        <w:tc>
          <w:tcPr>
            <w:tcW w:w="441" w:type="pct"/>
          </w:tcPr>
          <w:p w:rsidR="0095055D" w:rsidRPr="004F7851" w:rsidRDefault="0095055D" w:rsidP="00A36DD4">
            <w:pPr>
              <w:jc w:val="left"/>
              <w:rPr>
                <w:rFonts w:ascii="Arial Narrow" w:hAnsi="Arial Narrow"/>
                <w:sz w:val="20"/>
                <w:szCs w:val="20"/>
              </w:rPr>
            </w:pPr>
            <w:r w:rsidRPr="004F7851">
              <w:rPr>
                <w:rFonts w:ascii="Arial Narrow" w:hAnsi="Arial Narrow"/>
                <w:sz w:val="20"/>
                <w:szCs w:val="20"/>
              </w:rPr>
              <w:t>KN</w:t>
            </w:r>
            <w:r>
              <w:rPr>
                <w:rFonts w:ascii="Arial Narrow" w:hAnsi="Arial Narrow"/>
                <w:sz w:val="20"/>
                <w:szCs w:val="20"/>
              </w:rPr>
              <w:t>-</w:t>
            </w:r>
            <w:r w:rsidRPr="004F7851">
              <w:rPr>
                <w:rFonts w:ascii="Arial Narrow" w:hAnsi="Arial Narrow"/>
                <w:sz w:val="20"/>
                <w:szCs w:val="20"/>
              </w:rPr>
              <w:t>010</w:t>
            </w:r>
          </w:p>
        </w:tc>
        <w:tc>
          <w:tcPr>
            <w:tcW w:w="4559" w:type="pct"/>
            <w:gridSpan w:val="2"/>
            <w:tcBorders>
              <w:top w:val="single" w:sz="4" w:space="0" w:color="auto"/>
              <w:left w:val="single" w:sz="4" w:space="0" w:color="auto"/>
              <w:bottom w:val="single" w:sz="4" w:space="0" w:color="auto"/>
              <w:right w:val="single" w:sz="4" w:space="0" w:color="auto"/>
            </w:tcBorders>
          </w:tcPr>
          <w:p w:rsidR="0095055D" w:rsidRPr="004F7851" w:rsidRDefault="0095055D" w:rsidP="00A36DD4">
            <w:pPr>
              <w:widowControl w:val="0"/>
              <w:jc w:val="left"/>
              <w:rPr>
                <w:rFonts w:ascii="Arial Narrow" w:hAnsi="Arial Narrow"/>
                <w:sz w:val="20"/>
                <w:szCs w:val="20"/>
              </w:rPr>
            </w:pPr>
            <w:r w:rsidRPr="004F7851">
              <w:rPr>
                <w:rFonts w:ascii="Arial Narrow" w:hAnsi="Arial Narrow"/>
                <w:b/>
                <w:sz w:val="20"/>
                <w:szCs w:val="20"/>
              </w:rPr>
              <w:t>Refer to KN</w:t>
            </w:r>
            <w:r>
              <w:rPr>
                <w:rFonts w:ascii="Arial Narrow" w:hAnsi="Arial Narrow"/>
                <w:b/>
                <w:sz w:val="20"/>
                <w:szCs w:val="20"/>
              </w:rPr>
              <w:t>-</w:t>
            </w:r>
            <w:r w:rsidRPr="004F7851">
              <w:rPr>
                <w:rFonts w:ascii="Arial Narrow" w:hAnsi="Arial Narrow"/>
                <w:b/>
                <w:sz w:val="20"/>
                <w:szCs w:val="20"/>
              </w:rPr>
              <w:t>010 above</w:t>
            </w:r>
          </w:p>
        </w:tc>
      </w:tr>
      <w:tr w:rsidR="0095055D" w:rsidRPr="004F7851" w:rsidTr="00910477">
        <w:tc>
          <w:tcPr>
            <w:tcW w:w="5000" w:type="pct"/>
            <w:gridSpan w:val="3"/>
            <w:tcBorders>
              <w:right w:val="single" w:sz="4" w:space="0" w:color="auto"/>
            </w:tcBorders>
          </w:tcPr>
          <w:p w:rsidR="0095055D" w:rsidRPr="004F7851" w:rsidRDefault="0095055D" w:rsidP="00A36DD4">
            <w:pPr>
              <w:widowControl w:val="0"/>
              <w:jc w:val="left"/>
              <w:rPr>
                <w:rFonts w:ascii="Arial Narrow" w:hAnsi="Arial Narrow"/>
                <w:i/>
                <w:sz w:val="20"/>
                <w:szCs w:val="20"/>
              </w:rPr>
            </w:pPr>
            <w:r w:rsidRPr="004F7851">
              <w:rPr>
                <w:rFonts w:ascii="Arial Narrow" w:hAnsi="Arial Narrow"/>
                <w:i/>
                <w:sz w:val="20"/>
                <w:szCs w:val="20"/>
              </w:rPr>
              <w:t xml:space="preserve">Comparator: </w:t>
            </w:r>
            <w:proofErr w:type="spellStart"/>
            <w:r w:rsidRPr="004F7851">
              <w:rPr>
                <w:rFonts w:ascii="Arial Narrow" w:hAnsi="Arial Narrow"/>
                <w:i/>
                <w:sz w:val="20"/>
                <w:szCs w:val="20"/>
              </w:rPr>
              <w:t>Pemetrexed</w:t>
            </w:r>
            <w:proofErr w:type="spellEnd"/>
          </w:p>
        </w:tc>
      </w:tr>
      <w:tr w:rsidR="0095055D" w:rsidRPr="004F7851" w:rsidTr="00910477">
        <w:trPr>
          <w:trHeight w:val="2277"/>
        </w:trPr>
        <w:tc>
          <w:tcPr>
            <w:tcW w:w="441" w:type="pct"/>
            <w:tcBorders>
              <w:top w:val="single" w:sz="4" w:space="0" w:color="auto"/>
              <w:left w:val="single" w:sz="4" w:space="0" w:color="auto"/>
              <w:bottom w:val="single" w:sz="4" w:space="0" w:color="auto"/>
              <w:right w:val="single" w:sz="4" w:space="0" w:color="auto"/>
            </w:tcBorders>
          </w:tcPr>
          <w:p w:rsidR="0095055D" w:rsidRPr="004F7851" w:rsidRDefault="0095055D" w:rsidP="00A36DD4">
            <w:pPr>
              <w:keepNext/>
              <w:rPr>
                <w:rFonts w:ascii="Arial Narrow" w:hAnsi="Arial Narrow" w:cs="Arial"/>
                <w:sz w:val="20"/>
                <w:szCs w:val="20"/>
                <w:lang w:eastAsia="en-AU"/>
              </w:rPr>
            </w:pPr>
            <w:r w:rsidRPr="004F7851">
              <w:rPr>
                <w:rFonts w:ascii="Arial Narrow" w:hAnsi="Arial Narrow" w:cs="Arial"/>
                <w:sz w:val="20"/>
                <w:szCs w:val="20"/>
                <w:lang w:eastAsia="en-AU"/>
              </w:rPr>
              <w:t>Hanna (2004)</w:t>
            </w:r>
          </w:p>
          <w:p w:rsidR="0095055D" w:rsidRPr="004F7851" w:rsidRDefault="0095055D" w:rsidP="00A36DD4">
            <w:pPr>
              <w:keepNext/>
              <w:rPr>
                <w:rFonts w:ascii="Arial Narrow" w:hAnsi="Arial Narrow" w:cs="Arial"/>
                <w:sz w:val="20"/>
                <w:szCs w:val="20"/>
                <w:lang w:eastAsia="en-AU"/>
              </w:rPr>
            </w:pPr>
          </w:p>
          <w:p w:rsidR="0095055D" w:rsidRPr="004F7851" w:rsidRDefault="0095055D" w:rsidP="00A36DD4">
            <w:pPr>
              <w:keepNext/>
              <w:rPr>
                <w:rFonts w:ascii="Arial Narrow" w:hAnsi="Arial Narrow" w:cs="Arial"/>
                <w:sz w:val="20"/>
                <w:szCs w:val="20"/>
                <w:lang w:eastAsia="en-AU"/>
              </w:rPr>
            </w:pPr>
          </w:p>
          <w:p w:rsidR="0095055D" w:rsidRPr="004F7851" w:rsidRDefault="0095055D" w:rsidP="00B24457">
            <w:pPr>
              <w:keepNext/>
              <w:rPr>
                <w:rFonts w:ascii="Arial Narrow" w:hAnsi="Arial Narrow"/>
              </w:rPr>
            </w:pPr>
            <w:proofErr w:type="spellStart"/>
            <w:r w:rsidRPr="004F7851">
              <w:rPr>
                <w:rFonts w:ascii="Arial Narrow" w:hAnsi="Arial Narrow" w:cs="Arial"/>
                <w:sz w:val="20"/>
                <w:szCs w:val="20"/>
                <w:lang w:eastAsia="en-AU"/>
              </w:rPr>
              <w:t>Scagliotti</w:t>
            </w:r>
            <w:proofErr w:type="spellEnd"/>
            <w:r w:rsidRPr="004F7851">
              <w:rPr>
                <w:rFonts w:ascii="Arial Narrow" w:hAnsi="Arial Narrow" w:cs="Arial"/>
                <w:sz w:val="20"/>
                <w:szCs w:val="20"/>
                <w:lang w:eastAsia="en-AU"/>
              </w:rPr>
              <w:t xml:space="preserve"> (2009)</w:t>
            </w:r>
          </w:p>
        </w:tc>
        <w:tc>
          <w:tcPr>
            <w:tcW w:w="3475" w:type="pct"/>
            <w:tcBorders>
              <w:top w:val="single" w:sz="4" w:space="0" w:color="auto"/>
              <w:left w:val="single" w:sz="4" w:space="0" w:color="auto"/>
              <w:bottom w:val="single" w:sz="4" w:space="0" w:color="auto"/>
              <w:right w:val="single" w:sz="4" w:space="0" w:color="auto"/>
            </w:tcBorders>
          </w:tcPr>
          <w:p w:rsidR="0095055D" w:rsidRPr="004F7851" w:rsidRDefault="0095055D" w:rsidP="00A36DD4">
            <w:pPr>
              <w:keepNext/>
              <w:widowControl w:val="0"/>
              <w:jc w:val="left"/>
              <w:rPr>
                <w:rFonts w:ascii="Arial Narrow" w:hAnsi="Arial Narrow"/>
                <w:sz w:val="20"/>
                <w:szCs w:val="20"/>
              </w:rPr>
            </w:pPr>
            <w:r w:rsidRPr="004F7851">
              <w:rPr>
                <w:rFonts w:ascii="Arial Narrow" w:hAnsi="Arial Narrow"/>
                <w:sz w:val="20"/>
                <w:szCs w:val="20"/>
              </w:rPr>
              <w:t xml:space="preserve">Hanna N, Shepherd FA, Fossella FV et al. Randomised Phase III trial of </w:t>
            </w:r>
            <w:proofErr w:type="spellStart"/>
            <w:r w:rsidRPr="004F7851">
              <w:rPr>
                <w:rFonts w:ascii="Arial Narrow" w:hAnsi="Arial Narrow"/>
                <w:sz w:val="20"/>
                <w:szCs w:val="20"/>
              </w:rPr>
              <w:t>pemetrexed</w:t>
            </w:r>
            <w:proofErr w:type="spellEnd"/>
            <w:r w:rsidRPr="004F7851">
              <w:rPr>
                <w:rFonts w:ascii="Arial Narrow" w:hAnsi="Arial Narrow"/>
                <w:sz w:val="20"/>
                <w:szCs w:val="20"/>
              </w:rPr>
              <w:t xml:space="preserve"> versus </w:t>
            </w:r>
            <w:proofErr w:type="spellStart"/>
            <w:r w:rsidRPr="004F7851">
              <w:rPr>
                <w:rFonts w:ascii="Arial Narrow" w:hAnsi="Arial Narrow"/>
                <w:sz w:val="20"/>
                <w:szCs w:val="20"/>
              </w:rPr>
              <w:t>docetaxel</w:t>
            </w:r>
            <w:proofErr w:type="spellEnd"/>
            <w:r w:rsidRPr="004F7851">
              <w:rPr>
                <w:rFonts w:ascii="Arial Narrow" w:hAnsi="Arial Narrow"/>
                <w:sz w:val="20"/>
                <w:szCs w:val="20"/>
              </w:rPr>
              <w:t xml:space="preserve"> in patients with non-small cell lung cancer previously treated with chemotherapy. </w:t>
            </w:r>
          </w:p>
          <w:p w:rsidR="003521AC" w:rsidRPr="004F7851" w:rsidRDefault="003521AC" w:rsidP="00A36DD4">
            <w:pPr>
              <w:keepNext/>
              <w:widowControl w:val="0"/>
              <w:jc w:val="left"/>
              <w:rPr>
                <w:rFonts w:ascii="Arial Narrow" w:hAnsi="Arial Narrow"/>
                <w:sz w:val="20"/>
                <w:szCs w:val="20"/>
              </w:rPr>
            </w:pPr>
          </w:p>
          <w:p w:rsidR="0095055D" w:rsidRPr="004F7851" w:rsidRDefault="0095055D" w:rsidP="00A36DD4">
            <w:pPr>
              <w:keepNext/>
              <w:widowControl w:val="0"/>
              <w:jc w:val="left"/>
              <w:rPr>
                <w:rFonts w:ascii="Arial Narrow" w:hAnsi="Arial Narrow"/>
                <w:sz w:val="20"/>
                <w:szCs w:val="20"/>
              </w:rPr>
            </w:pPr>
            <w:proofErr w:type="spellStart"/>
            <w:r w:rsidRPr="004F7851">
              <w:rPr>
                <w:rFonts w:ascii="Arial Narrow" w:hAnsi="Arial Narrow"/>
                <w:sz w:val="20"/>
                <w:szCs w:val="20"/>
              </w:rPr>
              <w:t>Scagliotti</w:t>
            </w:r>
            <w:proofErr w:type="spellEnd"/>
            <w:r w:rsidRPr="004F7851">
              <w:rPr>
                <w:rFonts w:ascii="Arial Narrow" w:hAnsi="Arial Narrow"/>
                <w:sz w:val="20"/>
                <w:szCs w:val="20"/>
              </w:rPr>
              <w:t xml:space="preserve"> G, Hanna, N, Fossella, F et al. The differential efficacy of </w:t>
            </w:r>
            <w:proofErr w:type="spellStart"/>
            <w:r w:rsidRPr="004F7851">
              <w:rPr>
                <w:rFonts w:ascii="Arial Narrow" w:hAnsi="Arial Narrow"/>
                <w:sz w:val="20"/>
                <w:szCs w:val="20"/>
              </w:rPr>
              <w:t>pemetrexed</w:t>
            </w:r>
            <w:proofErr w:type="spellEnd"/>
            <w:r w:rsidRPr="004F7851">
              <w:rPr>
                <w:rFonts w:ascii="Arial Narrow" w:hAnsi="Arial Narrow"/>
                <w:sz w:val="20"/>
                <w:szCs w:val="20"/>
              </w:rPr>
              <w:t xml:space="preserve"> according to NSCLC histology: a review of two Phase III studies.</w:t>
            </w:r>
          </w:p>
          <w:p w:rsidR="0095055D" w:rsidRPr="004F7851" w:rsidRDefault="0095055D" w:rsidP="00A36DD4">
            <w:pPr>
              <w:keepNext/>
              <w:widowControl w:val="0"/>
              <w:jc w:val="left"/>
              <w:rPr>
                <w:rFonts w:ascii="Arial Narrow" w:hAnsi="Arial Narrow"/>
                <w:sz w:val="20"/>
                <w:szCs w:val="20"/>
              </w:rPr>
            </w:pPr>
          </w:p>
          <w:p w:rsidR="0095055D" w:rsidRPr="00B939B7" w:rsidRDefault="0095055D" w:rsidP="00A36DD4">
            <w:pPr>
              <w:keepNext/>
              <w:widowControl w:val="0"/>
              <w:jc w:val="left"/>
              <w:rPr>
                <w:rFonts w:ascii="Arial Narrow" w:hAnsi="Arial Narrow"/>
                <w:sz w:val="20"/>
                <w:szCs w:val="20"/>
              </w:rPr>
            </w:pPr>
            <w:proofErr w:type="spellStart"/>
            <w:r w:rsidRPr="004F7851">
              <w:rPr>
                <w:rFonts w:ascii="Arial Narrow" w:hAnsi="Arial Narrow"/>
                <w:sz w:val="20"/>
                <w:szCs w:val="20"/>
              </w:rPr>
              <w:t>Scagliotti</w:t>
            </w:r>
            <w:proofErr w:type="spellEnd"/>
            <w:r w:rsidRPr="004F7851">
              <w:rPr>
                <w:rFonts w:ascii="Arial Narrow" w:hAnsi="Arial Narrow"/>
                <w:sz w:val="20"/>
                <w:szCs w:val="20"/>
              </w:rPr>
              <w:t xml:space="preserve"> G, </w:t>
            </w:r>
            <w:proofErr w:type="spellStart"/>
            <w:r w:rsidRPr="004F7851">
              <w:rPr>
                <w:rFonts w:ascii="Arial Narrow" w:hAnsi="Arial Narrow"/>
                <w:sz w:val="20"/>
                <w:szCs w:val="20"/>
              </w:rPr>
              <w:t>Brodowicz</w:t>
            </w:r>
            <w:proofErr w:type="spellEnd"/>
            <w:r w:rsidRPr="004F7851">
              <w:rPr>
                <w:rFonts w:ascii="Arial Narrow" w:hAnsi="Arial Narrow"/>
                <w:sz w:val="20"/>
                <w:szCs w:val="20"/>
              </w:rPr>
              <w:t xml:space="preserve"> T, </w:t>
            </w:r>
            <w:proofErr w:type="spellStart"/>
            <w:r w:rsidRPr="004F7851">
              <w:rPr>
                <w:rFonts w:ascii="Arial Narrow" w:hAnsi="Arial Narrow"/>
                <w:sz w:val="20"/>
                <w:szCs w:val="20"/>
              </w:rPr>
              <w:t>Shedherd</w:t>
            </w:r>
            <w:proofErr w:type="spellEnd"/>
            <w:r w:rsidRPr="004F7851">
              <w:rPr>
                <w:rFonts w:ascii="Arial Narrow" w:hAnsi="Arial Narrow"/>
                <w:sz w:val="20"/>
                <w:szCs w:val="20"/>
              </w:rPr>
              <w:t xml:space="preserve"> FA et al. Treatment by histology interaction analyses in three phase III trials show superiority of </w:t>
            </w:r>
            <w:proofErr w:type="spellStart"/>
            <w:r w:rsidRPr="004F7851">
              <w:rPr>
                <w:rFonts w:ascii="Arial Narrow" w:hAnsi="Arial Narrow"/>
                <w:sz w:val="20"/>
                <w:szCs w:val="20"/>
              </w:rPr>
              <w:t>pemetrexed</w:t>
            </w:r>
            <w:proofErr w:type="spellEnd"/>
            <w:r w:rsidRPr="004F7851">
              <w:rPr>
                <w:rFonts w:ascii="Arial Narrow" w:hAnsi="Arial Narrow"/>
                <w:sz w:val="20"/>
                <w:szCs w:val="20"/>
              </w:rPr>
              <w:t xml:space="preserve"> in non-squam</w:t>
            </w:r>
            <w:r w:rsidR="006D17F7">
              <w:rPr>
                <w:rFonts w:ascii="Arial Narrow" w:hAnsi="Arial Narrow"/>
                <w:sz w:val="20"/>
                <w:szCs w:val="20"/>
              </w:rPr>
              <w:t>ous non-small cell lung cancer.</w:t>
            </w:r>
          </w:p>
        </w:tc>
        <w:tc>
          <w:tcPr>
            <w:tcW w:w="1083" w:type="pct"/>
            <w:tcBorders>
              <w:top w:val="single" w:sz="4" w:space="0" w:color="auto"/>
              <w:left w:val="single" w:sz="4" w:space="0" w:color="auto"/>
              <w:bottom w:val="single" w:sz="4" w:space="0" w:color="auto"/>
              <w:right w:val="single" w:sz="4" w:space="0" w:color="auto"/>
            </w:tcBorders>
          </w:tcPr>
          <w:p w:rsidR="0095055D" w:rsidRPr="004F7851" w:rsidRDefault="0095055D" w:rsidP="00A36DD4">
            <w:pPr>
              <w:keepNext/>
              <w:rPr>
                <w:rFonts w:ascii="Arial Narrow" w:hAnsi="Arial Narrow" w:cs="Arial Narrow"/>
                <w:sz w:val="20"/>
                <w:szCs w:val="20"/>
              </w:rPr>
            </w:pPr>
            <w:r w:rsidRPr="004F7851">
              <w:rPr>
                <w:rFonts w:ascii="Arial Narrow" w:hAnsi="Arial Narrow" w:cs="Arial Narrow"/>
                <w:i/>
                <w:sz w:val="20"/>
                <w:szCs w:val="20"/>
              </w:rPr>
              <w:t>Journal of Clinical Oncology</w:t>
            </w:r>
            <w:r w:rsidRPr="004F7851">
              <w:rPr>
                <w:rFonts w:ascii="Arial Narrow" w:hAnsi="Arial Narrow" w:cs="Arial Narrow"/>
                <w:sz w:val="20"/>
                <w:szCs w:val="20"/>
              </w:rPr>
              <w:t>, 2004; 22 (9): 1589-1597.</w:t>
            </w:r>
          </w:p>
          <w:p w:rsidR="0095055D" w:rsidRPr="004F7851" w:rsidRDefault="0095055D" w:rsidP="00A36DD4">
            <w:pPr>
              <w:keepNext/>
              <w:rPr>
                <w:rFonts w:ascii="Arial Narrow" w:hAnsi="Arial Narrow" w:cs="Arial Narrow"/>
                <w:sz w:val="20"/>
                <w:szCs w:val="20"/>
              </w:rPr>
            </w:pPr>
          </w:p>
          <w:p w:rsidR="0095055D" w:rsidRPr="004F7851" w:rsidRDefault="0095055D" w:rsidP="00A36DD4">
            <w:pPr>
              <w:widowControl w:val="0"/>
              <w:jc w:val="left"/>
              <w:rPr>
                <w:rFonts w:ascii="Arial Narrow" w:hAnsi="Arial Narrow"/>
                <w:sz w:val="20"/>
                <w:szCs w:val="20"/>
              </w:rPr>
            </w:pPr>
          </w:p>
          <w:p w:rsidR="0095055D" w:rsidRPr="004F7851" w:rsidRDefault="0095055D" w:rsidP="00A36DD4">
            <w:pPr>
              <w:widowControl w:val="0"/>
              <w:jc w:val="left"/>
              <w:rPr>
                <w:rFonts w:ascii="Arial Narrow" w:hAnsi="Arial Narrow"/>
                <w:sz w:val="20"/>
                <w:szCs w:val="20"/>
              </w:rPr>
            </w:pPr>
            <w:r w:rsidRPr="004F7851">
              <w:rPr>
                <w:rFonts w:ascii="Arial Narrow" w:hAnsi="Arial Narrow"/>
                <w:i/>
                <w:sz w:val="20"/>
                <w:szCs w:val="20"/>
              </w:rPr>
              <w:t>The Oncologist</w:t>
            </w:r>
            <w:r w:rsidR="006D17F7">
              <w:rPr>
                <w:rFonts w:ascii="Arial Narrow" w:hAnsi="Arial Narrow"/>
                <w:sz w:val="20"/>
                <w:szCs w:val="20"/>
              </w:rPr>
              <w:t>, 2009; 14: 253-263</w:t>
            </w:r>
          </w:p>
          <w:p w:rsidR="0095055D" w:rsidRPr="004F7851" w:rsidRDefault="0095055D" w:rsidP="00A36DD4">
            <w:pPr>
              <w:widowControl w:val="0"/>
              <w:jc w:val="left"/>
              <w:rPr>
                <w:rFonts w:ascii="Arial Narrow" w:hAnsi="Arial Narrow"/>
                <w:sz w:val="20"/>
                <w:szCs w:val="20"/>
              </w:rPr>
            </w:pPr>
          </w:p>
          <w:p w:rsidR="0095055D" w:rsidRPr="004F7851" w:rsidRDefault="0095055D" w:rsidP="00A36DD4">
            <w:pPr>
              <w:widowControl w:val="0"/>
              <w:jc w:val="left"/>
              <w:rPr>
                <w:rFonts w:ascii="Arial Narrow" w:hAnsi="Arial Narrow"/>
                <w:sz w:val="20"/>
                <w:szCs w:val="20"/>
              </w:rPr>
            </w:pPr>
            <w:r w:rsidRPr="004F7851">
              <w:rPr>
                <w:rFonts w:ascii="Arial Narrow" w:hAnsi="Arial Narrow"/>
                <w:i/>
                <w:sz w:val="20"/>
                <w:szCs w:val="20"/>
              </w:rPr>
              <w:t xml:space="preserve">J </w:t>
            </w:r>
            <w:proofErr w:type="spellStart"/>
            <w:r w:rsidRPr="004F7851">
              <w:rPr>
                <w:rFonts w:ascii="Arial Narrow" w:hAnsi="Arial Narrow"/>
                <w:i/>
                <w:sz w:val="20"/>
                <w:szCs w:val="20"/>
              </w:rPr>
              <w:t>Thorac</w:t>
            </w:r>
            <w:proofErr w:type="spellEnd"/>
            <w:r w:rsidRPr="004F7851">
              <w:rPr>
                <w:rFonts w:ascii="Arial Narrow" w:hAnsi="Arial Narrow"/>
                <w:i/>
                <w:sz w:val="20"/>
                <w:szCs w:val="20"/>
              </w:rPr>
              <w:t xml:space="preserve"> </w:t>
            </w:r>
            <w:proofErr w:type="spellStart"/>
            <w:r w:rsidRPr="004F7851">
              <w:rPr>
                <w:rFonts w:ascii="Arial Narrow" w:hAnsi="Arial Narrow"/>
                <w:i/>
                <w:sz w:val="20"/>
                <w:szCs w:val="20"/>
              </w:rPr>
              <w:t>Oncol</w:t>
            </w:r>
            <w:proofErr w:type="spellEnd"/>
            <w:r w:rsidRPr="004F7851">
              <w:rPr>
                <w:rFonts w:ascii="Arial Narrow" w:hAnsi="Arial Narrow"/>
                <w:sz w:val="20"/>
                <w:szCs w:val="20"/>
              </w:rPr>
              <w:t>, 2011; 6(1) 64-70</w:t>
            </w:r>
          </w:p>
        </w:tc>
      </w:tr>
    </w:tbl>
    <w:p w:rsidR="0095055D" w:rsidRPr="004F7851" w:rsidRDefault="0095055D" w:rsidP="00910477">
      <w:pPr>
        <w:ind w:firstLine="720"/>
        <w:rPr>
          <w:rFonts w:ascii="Arial Narrow" w:hAnsi="Arial Narrow"/>
          <w:sz w:val="18"/>
          <w:szCs w:val="18"/>
        </w:rPr>
      </w:pPr>
      <w:r w:rsidRPr="004F7851">
        <w:rPr>
          <w:rFonts w:ascii="Arial Narrow" w:hAnsi="Arial Narrow"/>
          <w:sz w:val="18"/>
          <w:szCs w:val="18"/>
        </w:rPr>
        <w:t>Source: Tables B.1.3 and B.1.6</w:t>
      </w:r>
      <w:r w:rsidR="00802E2E">
        <w:rPr>
          <w:rFonts w:ascii="Arial Narrow" w:hAnsi="Arial Narrow"/>
          <w:sz w:val="18"/>
          <w:szCs w:val="18"/>
        </w:rPr>
        <w:t>, pp73-8 of the main submission</w:t>
      </w:r>
    </w:p>
    <w:p w:rsidR="000D7BEC" w:rsidRPr="000D7BEC" w:rsidRDefault="000D7BEC" w:rsidP="00596634">
      <w:pPr>
        <w:pStyle w:val="ListParagraph"/>
        <w:ind w:left="0" w:firstLine="0"/>
        <w:rPr>
          <w:rFonts w:ascii="Arial" w:hAnsi="Arial" w:cs="Arial"/>
          <w:sz w:val="22"/>
        </w:rPr>
      </w:pPr>
    </w:p>
    <w:p w:rsidR="000D7BEC" w:rsidRDefault="000D7BEC" w:rsidP="009C3A29">
      <w:pPr>
        <w:pStyle w:val="ListParagraph"/>
        <w:numPr>
          <w:ilvl w:val="1"/>
          <w:numId w:val="3"/>
        </w:numPr>
        <w:ind w:left="720"/>
        <w:rPr>
          <w:rFonts w:ascii="Arial" w:hAnsi="Arial" w:cs="Arial"/>
          <w:sz w:val="22"/>
        </w:rPr>
      </w:pPr>
      <w:r>
        <w:rPr>
          <w:rFonts w:ascii="Arial" w:hAnsi="Arial" w:cs="Arial"/>
          <w:sz w:val="22"/>
        </w:rPr>
        <w:t>The overall risk of bias associated with the included evidence is summarised in Table 3.</w:t>
      </w:r>
    </w:p>
    <w:p w:rsidR="00596634" w:rsidRPr="00FC55C7" w:rsidRDefault="00596634" w:rsidP="00596634">
      <w:pPr>
        <w:pStyle w:val="ListParagraph"/>
        <w:ind w:left="0" w:firstLine="0"/>
        <w:rPr>
          <w:rFonts w:ascii="Arial" w:hAnsi="Arial" w:cs="Arial"/>
          <w:sz w:val="22"/>
        </w:rPr>
      </w:pPr>
    </w:p>
    <w:p w:rsidR="0095055D" w:rsidRPr="004F7851" w:rsidRDefault="00491FAE" w:rsidP="00491FAE">
      <w:pPr>
        <w:pStyle w:val="TableHeading0"/>
        <w:ind w:firstLine="720"/>
      </w:pPr>
      <w:r>
        <w:br w:type="page"/>
      </w:r>
      <w:r w:rsidR="0095055D" w:rsidRPr="000406A2">
        <w:t xml:space="preserve">Table </w:t>
      </w:r>
      <w:r w:rsidR="005A4EAB">
        <w:t>3</w:t>
      </w:r>
      <w:r w:rsidR="0095055D">
        <w:t xml:space="preserve">: </w:t>
      </w:r>
      <w:r w:rsidR="0095055D" w:rsidRPr="004F7851">
        <w:t>Overall risk of bias associated with the included evidence</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86"/>
        <w:gridCol w:w="6378"/>
      </w:tblGrid>
      <w:tr w:rsidR="0095055D" w:rsidRPr="00933F74" w:rsidTr="00491FAE">
        <w:trPr>
          <w:trHeight w:val="20"/>
        </w:trPr>
        <w:tc>
          <w:tcPr>
            <w:tcW w:w="1187" w:type="pct"/>
            <w:shd w:val="clear" w:color="auto" w:fill="auto"/>
          </w:tcPr>
          <w:p w:rsidR="0095055D" w:rsidRPr="00933F74" w:rsidRDefault="0095055D" w:rsidP="00025906">
            <w:pPr>
              <w:keepNext/>
              <w:jc w:val="left"/>
              <w:rPr>
                <w:rFonts w:ascii="Arial Narrow" w:hAnsi="Arial Narrow"/>
                <w:sz w:val="20"/>
                <w:lang w:eastAsia="en-AU"/>
              </w:rPr>
            </w:pPr>
            <w:r w:rsidRPr="00933F74">
              <w:rPr>
                <w:rFonts w:ascii="Arial Narrow" w:hAnsi="Arial Narrow"/>
                <w:sz w:val="20"/>
                <w:lang w:eastAsia="en-AU"/>
              </w:rPr>
              <w:t xml:space="preserve"> </w:t>
            </w:r>
          </w:p>
        </w:tc>
        <w:tc>
          <w:tcPr>
            <w:tcW w:w="3813" w:type="pct"/>
            <w:shd w:val="clear" w:color="auto" w:fill="auto"/>
          </w:tcPr>
          <w:p w:rsidR="0095055D" w:rsidRPr="00933F74" w:rsidRDefault="0095055D" w:rsidP="00025906">
            <w:pPr>
              <w:keepNext/>
              <w:jc w:val="left"/>
              <w:rPr>
                <w:rFonts w:ascii="Arial Narrow" w:hAnsi="Arial Narrow"/>
                <w:b/>
                <w:sz w:val="20"/>
                <w:u w:val="single"/>
                <w:lang w:eastAsia="en-AU"/>
              </w:rPr>
            </w:pPr>
            <w:r w:rsidRPr="00933F74">
              <w:rPr>
                <w:rFonts w:ascii="Arial Narrow" w:hAnsi="Arial Narrow"/>
                <w:b/>
                <w:sz w:val="20"/>
                <w:szCs w:val="20"/>
                <w:lang w:eastAsia="en-AU"/>
              </w:rPr>
              <w:t>Overall risk of bias in clinical trials</w:t>
            </w:r>
          </w:p>
        </w:tc>
      </w:tr>
      <w:tr w:rsidR="0095055D" w:rsidRPr="00933F74" w:rsidTr="00491FAE">
        <w:trPr>
          <w:trHeight w:val="20"/>
        </w:trPr>
        <w:tc>
          <w:tcPr>
            <w:tcW w:w="1187" w:type="pct"/>
            <w:shd w:val="clear" w:color="auto" w:fill="auto"/>
          </w:tcPr>
          <w:p w:rsidR="0095055D" w:rsidRPr="00933F74" w:rsidRDefault="0095055D" w:rsidP="00025906">
            <w:pPr>
              <w:jc w:val="left"/>
              <w:rPr>
                <w:rFonts w:ascii="Arial Narrow" w:hAnsi="Arial Narrow"/>
                <w:sz w:val="20"/>
                <w:lang w:eastAsia="en-AU"/>
              </w:rPr>
            </w:pPr>
            <w:r w:rsidRPr="00933F74">
              <w:rPr>
                <w:rFonts w:ascii="Arial Narrow" w:hAnsi="Arial Narrow"/>
                <w:sz w:val="20"/>
                <w:lang w:eastAsia="en-AU"/>
              </w:rPr>
              <w:t xml:space="preserve">Direct comparison between pembrolizumab and </w:t>
            </w:r>
            <w:proofErr w:type="spellStart"/>
            <w:r w:rsidRPr="00933F74">
              <w:rPr>
                <w:rFonts w:ascii="Arial Narrow" w:hAnsi="Arial Narrow"/>
                <w:sz w:val="20"/>
                <w:lang w:eastAsia="en-AU"/>
              </w:rPr>
              <w:t>docetaxel</w:t>
            </w:r>
            <w:proofErr w:type="spellEnd"/>
          </w:p>
          <w:p w:rsidR="0095055D" w:rsidRPr="00933F74" w:rsidRDefault="0095055D" w:rsidP="00025906">
            <w:pPr>
              <w:jc w:val="left"/>
              <w:rPr>
                <w:rFonts w:ascii="Arial Narrow" w:hAnsi="Arial Narrow"/>
                <w:sz w:val="20"/>
                <w:lang w:eastAsia="en-AU"/>
              </w:rPr>
            </w:pPr>
            <w:r w:rsidRPr="00933F74">
              <w:rPr>
                <w:rFonts w:ascii="Arial Narrow" w:hAnsi="Arial Narrow"/>
                <w:sz w:val="20"/>
                <w:lang w:eastAsia="en-AU"/>
              </w:rPr>
              <w:t>KN-010 (randomisation was stratified by TPS 1</w:t>
            </w:r>
            <w:r w:rsidRPr="00933F74">
              <w:rPr>
                <w:rFonts w:ascii="Arial" w:hAnsi="Arial" w:cs="Arial"/>
                <w:sz w:val="20"/>
                <w:lang w:eastAsia="en-AU"/>
              </w:rPr>
              <w:t>‒</w:t>
            </w:r>
            <w:r w:rsidRPr="00933F74">
              <w:rPr>
                <w:rFonts w:ascii="Arial Narrow" w:hAnsi="Arial Narrow"/>
                <w:sz w:val="20"/>
                <w:lang w:eastAsia="en-AU"/>
              </w:rPr>
              <w:t xml:space="preserve">49% </w:t>
            </w:r>
            <w:proofErr w:type="spellStart"/>
            <w:r w:rsidRPr="00933F74">
              <w:rPr>
                <w:rFonts w:ascii="Arial Narrow" w:hAnsi="Arial Narrow"/>
                <w:sz w:val="20"/>
                <w:lang w:eastAsia="en-AU"/>
              </w:rPr>
              <w:t>vs</w:t>
            </w:r>
            <w:proofErr w:type="spellEnd"/>
            <w:r w:rsidRPr="00933F74">
              <w:rPr>
                <w:rFonts w:ascii="Arial Narrow" w:hAnsi="Arial Narrow"/>
                <w:sz w:val="20"/>
                <w:lang w:eastAsia="en-AU"/>
              </w:rPr>
              <w:t xml:space="preserve"> TPS ≥50%)</w:t>
            </w:r>
          </w:p>
        </w:tc>
        <w:tc>
          <w:tcPr>
            <w:tcW w:w="3813" w:type="pct"/>
            <w:shd w:val="clear" w:color="auto" w:fill="auto"/>
          </w:tcPr>
          <w:p w:rsidR="0095055D" w:rsidRPr="00933F74" w:rsidRDefault="0095055D" w:rsidP="00025906">
            <w:pPr>
              <w:jc w:val="left"/>
              <w:rPr>
                <w:rFonts w:ascii="Arial Narrow" w:hAnsi="Arial Narrow"/>
                <w:sz w:val="20"/>
                <w:u w:val="single"/>
                <w:lang w:eastAsia="en-AU"/>
              </w:rPr>
            </w:pPr>
            <w:r w:rsidRPr="00933F74">
              <w:rPr>
                <w:rFonts w:ascii="Arial Narrow" w:hAnsi="Arial Narrow"/>
                <w:b/>
                <w:sz w:val="20"/>
                <w:u w:val="single"/>
                <w:lang w:eastAsia="en-AU"/>
              </w:rPr>
              <w:t>ITT (TPS &gt;1%)</w:t>
            </w:r>
            <w:r w:rsidRPr="0055361A">
              <w:rPr>
                <w:rFonts w:ascii="Arial Narrow" w:hAnsi="Arial Narrow"/>
                <w:sz w:val="20"/>
                <w:lang w:eastAsia="en-AU"/>
              </w:rPr>
              <w:t>:</w:t>
            </w:r>
          </w:p>
          <w:p w:rsidR="0095055D" w:rsidRPr="00933F74" w:rsidRDefault="0095055D" w:rsidP="00025906">
            <w:pPr>
              <w:jc w:val="left"/>
              <w:rPr>
                <w:rFonts w:ascii="Arial Narrow" w:hAnsi="Arial Narrow"/>
                <w:sz w:val="20"/>
                <w:lang w:eastAsia="en-AU"/>
              </w:rPr>
            </w:pPr>
            <w:r w:rsidRPr="00933F74">
              <w:rPr>
                <w:rFonts w:ascii="Arial Narrow" w:hAnsi="Arial Narrow"/>
                <w:sz w:val="20"/>
                <w:lang w:eastAsia="en-AU"/>
              </w:rPr>
              <w:t xml:space="preserve">Low risk of bias for outcome of OS (No treatment switching from </w:t>
            </w:r>
            <w:proofErr w:type="spellStart"/>
            <w:r w:rsidRPr="00933F74">
              <w:rPr>
                <w:rFonts w:ascii="Arial Narrow" w:hAnsi="Arial Narrow"/>
                <w:sz w:val="20"/>
                <w:lang w:eastAsia="en-AU"/>
              </w:rPr>
              <w:t>docetaxel</w:t>
            </w:r>
            <w:proofErr w:type="spellEnd"/>
            <w:r w:rsidRPr="00933F74">
              <w:rPr>
                <w:rFonts w:ascii="Arial Narrow" w:hAnsi="Arial Narrow"/>
                <w:sz w:val="20"/>
                <w:lang w:eastAsia="en-AU"/>
              </w:rPr>
              <w:t xml:space="preserve"> to pembrolizumab was permitted).</w:t>
            </w:r>
          </w:p>
          <w:p w:rsidR="0095055D" w:rsidRPr="00933F74" w:rsidRDefault="0095055D" w:rsidP="00025906">
            <w:pPr>
              <w:jc w:val="left"/>
              <w:rPr>
                <w:rFonts w:ascii="Arial Narrow" w:hAnsi="Arial Narrow"/>
                <w:sz w:val="20"/>
                <w:lang w:eastAsia="en-AU"/>
              </w:rPr>
            </w:pPr>
            <w:r w:rsidRPr="00933F74">
              <w:rPr>
                <w:rFonts w:ascii="Arial Narrow" w:hAnsi="Arial Narrow"/>
                <w:sz w:val="20"/>
                <w:lang w:eastAsia="en-AU"/>
              </w:rPr>
              <w:t>High for adverse events and quality of life (open-label)</w:t>
            </w:r>
          </w:p>
          <w:p w:rsidR="0095055D" w:rsidRPr="0055361A" w:rsidRDefault="0095055D" w:rsidP="00025906">
            <w:pPr>
              <w:jc w:val="left"/>
              <w:rPr>
                <w:rFonts w:ascii="Arial Narrow" w:hAnsi="Arial Narrow"/>
                <w:sz w:val="20"/>
                <w:lang w:eastAsia="en-AU"/>
              </w:rPr>
            </w:pPr>
          </w:p>
          <w:p w:rsidR="0095055D" w:rsidRPr="0055361A" w:rsidRDefault="0095055D" w:rsidP="00025906">
            <w:pPr>
              <w:jc w:val="left"/>
              <w:rPr>
                <w:rFonts w:ascii="Arial Narrow" w:hAnsi="Arial Narrow"/>
                <w:sz w:val="20"/>
                <w:lang w:eastAsia="en-AU"/>
              </w:rPr>
            </w:pPr>
            <w:r w:rsidRPr="00933F74">
              <w:rPr>
                <w:rFonts w:ascii="Arial Narrow" w:hAnsi="Arial Narrow"/>
                <w:b/>
                <w:sz w:val="20"/>
                <w:lang w:eastAsia="en-AU"/>
              </w:rPr>
              <w:t>Squamous TPS ≥50% subgroup</w:t>
            </w:r>
            <w:r w:rsidR="0055361A">
              <w:rPr>
                <w:rFonts w:ascii="Arial Narrow" w:hAnsi="Arial Narrow"/>
                <w:sz w:val="20"/>
                <w:lang w:eastAsia="en-AU"/>
              </w:rPr>
              <w:t>:</w:t>
            </w:r>
          </w:p>
          <w:p w:rsidR="0095055D" w:rsidRPr="00933F74" w:rsidRDefault="0095055D" w:rsidP="00025906">
            <w:pPr>
              <w:jc w:val="left"/>
              <w:rPr>
                <w:rFonts w:ascii="Arial Narrow" w:hAnsi="Arial Narrow"/>
                <w:b/>
                <w:sz w:val="20"/>
                <w:u w:val="single"/>
                <w:lang w:eastAsia="en-AU"/>
              </w:rPr>
            </w:pPr>
            <w:r w:rsidRPr="00933F74">
              <w:rPr>
                <w:rFonts w:ascii="Arial Narrow" w:hAnsi="Arial Narrow"/>
                <w:sz w:val="20"/>
                <w:lang w:eastAsia="en-AU"/>
              </w:rPr>
              <w:t>High risk of bias and imprecision for all outcomes due to small sample size and imbalances in baseline characteristics.</w:t>
            </w:r>
          </w:p>
        </w:tc>
      </w:tr>
      <w:tr w:rsidR="0095055D" w:rsidRPr="00933F74" w:rsidTr="00491FAE">
        <w:trPr>
          <w:trHeight w:val="20"/>
        </w:trPr>
        <w:tc>
          <w:tcPr>
            <w:tcW w:w="1187" w:type="pct"/>
            <w:shd w:val="clear" w:color="auto" w:fill="auto"/>
          </w:tcPr>
          <w:p w:rsidR="0095055D" w:rsidRPr="00933F74" w:rsidRDefault="0095055D" w:rsidP="00025906">
            <w:pPr>
              <w:jc w:val="left"/>
              <w:rPr>
                <w:rFonts w:ascii="Arial Narrow" w:hAnsi="Arial Narrow"/>
                <w:sz w:val="20"/>
                <w:szCs w:val="20"/>
                <w:lang w:eastAsia="en-AU"/>
              </w:rPr>
            </w:pPr>
            <w:r w:rsidRPr="00933F74">
              <w:rPr>
                <w:rFonts w:ascii="Arial Narrow" w:hAnsi="Arial Narrow"/>
                <w:sz w:val="20"/>
                <w:lang w:eastAsia="en-AU"/>
              </w:rPr>
              <w:t xml:space="preserve">Indirect comparison between pembrolizumab and </w:t>
            </w:r>
            <w:proofErr w:type="spellStart"/>
            <w:r w:rsidRPr="00933F74">
              <w:rPr>
                <w:rFonts w:ascii="Arial Narrow" w:hAnsi="Arial Narrow"/>
                <w:sz w:val="20"/>
                <w:lang w:eastAsia="en-AU"/>
              </w:rPr>
              <w:t>pemetrexed</w:t>
            </w:r>
            <w:proofErr w:type="spellEnd"/>
            <w:r w:rsidRPr="00933F74">
              <w:rPr>
                <w:rFonts w:ascii="Arial Narrow" w:hAnsi="Arial Narrow"/>
                <w:sz w:val="20"/>
                <w:lang w:eastAsia="en-AU"/>
              </w:rPr>
              <w:t xml:space="preserve"> using </w:t>
            </w:r>
            <w:proofErr w:type="spellStart"/>
            <w:r w:rsidRPr="00933F74">
              <w:rPr>
                <w:rFonts w:ascii="Arial Narrow" w:hAnsi="Arial Narrow"/>
                <w:sz w:val="20"/>
                <w:lang w:eastAsia="en-AU"/>
              </w:rPr>
              <w:t>docetaxel</w:t>
            </w:r>
            <w:proofErr w:type="spellEnd"/>
            <w:r w:rsidRPr="00933F74">
              <w:rPr>
                <w:rFonts w:ascii="Arial Narrow" w:hAnsi="Arial Narrow"/>
                <w:sz w:val="20"/>
                <w:lang w:eastAsia="en-AU"/>
              </w:rPr>
              <w:t xml:space="preserve"> as the common reference.</w:t>
            </w:r>
          </w:p>
        </w:tc>
        <w:tc>
          <w:tcPr>
            <w:tcW w:w="3813" w:type="pct"/>
            <w:shd w:val="clear" w:color="auto" w:fill="auto"/>
          </w:tcPr>
          <w:p w:rsidR="0095055D" w:rsidRPr="00933F74" w:rsidRDefault="0095055D" w:rsidP="00025906">
            <w:pPr>
              <w:jc w:val="left"/>
              <w:rPr>
                <w:rFonts w:ascii="Arial Narrow" w:hAnsi="Arial Narrow"/>
                <w:b/>
                <w:sz w:val="20"/>
                <w:u w:val="single"/>
                <w:lang w:eastAsia="en-AU"/>
              </w:rPr>
            </w:pPr>
            <w:r w:rsidRPr="00933F74">
              <w:rPr>
                <w:rFonts w:ascii="Arial Narrow" w:hAnsi="Arial Narrow"/>
                <w:b/>
                <w:sz w:val="20"/>
                <w:u w:val="single"/>
                <w:lang w:eastAsia="en-AU"/>
              </w:rPr>
              <w:t>Only exploratory non-squamous subgroup analysis available</w:t>
            </w:r>
          </w:p>
          <w:p w:rsidR="0095055D" w:rsidRPr="00933F74" w:rsidRDefault="0095055D" w:rsidP="009612E6">
            <w:pPr>
              <w:jc w:val="left"/>
              <w:rPr>
                <w:rFonts w:ascii="Arial Narrow" w:hAnsi="Arial Narrow"/>
                <w:sz w:val="20"/>
                <w:szCs w:val="20"/>
                <w:lang w:eastAsia="en-AU"/>
              </w:rPr>
            </w:pPr>
            <w:r w:rsidRPr="00933F74">
              <w:rPr>
                <w:rFonts w:ascii="Arial Narrow" w:hAnsi="Arial Narrow"/>
                <w:sz w:val="20"/>
                <w:lang w:eastAsia="en-AU"/>
              </w:rPr>
              <w:t xml:space="preserve">High risk of bias for all analyses. Data for </w:t>
            </w:r>
            <w:proofErr w:type="spellStart"/>
            <w:r w:rsidRPr="00933F74">
              <w:rPr>
                <w:rFonts w:ascii="Arial Narrow" w:hAnsi="Arial Narrow"/>
                <w:sz w:val="20"/>
                <w:lang w:eastAsia="en-AU"/>
              </w:rPr>
              <w:t>pemetrexed</w:t>
            </w:r>
            <w:proofErr w:type="spellEnd"/>
            <w:r w:rsidRPr="00933F74">
              <w:rPr>
                <w:rFonts w:ascii="Arial Narrow" w:hAnsi="Arial Narrow"/>
                <w:sz w:val="20"/>
                <w:lang w:eastAsia="en-AU"/>
              </w:rPr>
              <w:t xml:space="preserve"> were sourced from retrospective analyses of histology subgroups (</w:t>
            </w:r>
            <w:proofErr w:type="spellStart"/>
            <w:r w:rsidRPr="00933F74">
              <w:rPr>
                <w:rFonts w:ascii="Arial Narrow" w:hAnsi="Arial Narrow"/>
                <w:sz w:val="20"/>
                <w:lang w:eastAsia="en-AU"/>
              </w:rPr>
              <w:t>Scagliotti</w:t>
            </w:r>
            <w:proofErr w:type="spellEnd"/>
            <w:r w:rsidRPr="00933F74">
              <w:rPr>
                <w:rFonts w:ascii="Arial Narrow" w:hAnsi="Arial Narrow"/>
                <w:sz w:val="20"/>
                <w:lang w:eastAsia="en-AU"/>
              </w:rPr>
              <w:t xml:space="preserve"> 2009) from the </w:t>
            </w:r>
            <w:r w:rsidR="009612E6" w:rsidRPr="009612E6">
              <w:rPr>
                <w:rFonts w:ascii="Arial Narrow" w:hAnsi="Arial Narrow"/>
                <w:sz w:val="20"/>
                <w:lang w:eastAsia="en-AU"/>
              </w:rPr>
              <w:t xml:space="preserve">previously published trial </w:t>
            </w:r>
            <w:r w:rsidR="009612E6">
              <w:rPr>
                <w:rFonts w:ascii="Arial Narrow" w:hAnsi="Arial Narrow"/>
                <w:sz w:val="20"/>
                <w:lang w:eastAsia="en-AU"/>
              </w:rPr>
              <w:t>(</w:t>
            </w:r>
            <w:r w:rsidRPr="00933F74">
              <w:rPr>
                <w:rFonts w:ascii="Arial Narrow" w:hAnsi="Arial Narrow"/>
                <w:sz w:val="20"/>
                <w:lang w:eastAsia="en-AU"/>
              </w:rPr>
              <w:t>Hanna 2004</w:t>
            </w:r>
            <w:r w:rsidR="009612E6">
              <w:rPr>
                <w:rFonts w:ascii="Arial Narrow" w:hAnsi="Arial Narrow"/>
                <w:sz w:val="20"/>
                <w:lang w:eastAsia="en-AU"/>
              </w:rPr>
              <w:t>)</w:t>
            </w:r>
            <w:r w:rsidRPr="00933F74">
              <w:rPr>
                <w:rFonts w:ascii="Arial Narrow" w:hAnsi="Arial Narrow"/>
                <w:sz w:val="20"/>
                <w:lang w:eastAsia="en-AU"/>
              </w:rPr>
              <w:t>. There are important transitivity concerns with the indirect comparisons which include baseline disease characteristics and time lag between the KN-010 trial and the Hanna trial.</w:t>
            </w:r>
          </w:p>
        </w:tc>
      </w:tr>
    </w:tbl>
    <w:p w:rsidR="0095055D" w:rsidRPr="00933F74" w:rsidRDefault="0095055D" w:rsidP="00491FAE">
      <w:pPr>
        <w:ind w:left="851" w:hanging="142"/>
        <w:contextualSpacing/>
        <w:rPr>
          <w:rFonts w:ascii="Arial Narrow" w:hAnsi="Arial Narrow"/>
          <w:sz w:val="18"/>
          <w:szCs w:val="18"/>
        </w:rPr>
      </w:pPr>
      <w:r w:rsidRPr="00933F74">
        <w:rPr>
          <w:rFonts w:ascii="Arial Narrow" w:hAnsi="Arial Narrow"/>
          <w:sz w:val="18"/>
          <w:szCs w:val="18"/>
        </w:rPr>
        <w:t>ITT = intention-to-treat; OS = overall survival; TPS = tumour proportion score.</w:t>
      </w:r>
    </w:p>
    <w:p w:rsidR="0095055D" w:rsidRDefault="0095055D" w:rsidP="00491FAE">
      <w:pPr>
        <w:ind w:left="851" w:hanging="142"/>
        <w:contextualSpacing/>
        <w:rPr>
          <w:rFonts w:ascii="Arial Narrow" w:hAnsi="Arial Narrow"/>
          <w:sz w:val="18"/>
          <w:szCs w:val="18"/>
        </w:rPr>
      </w:pPr>
      <w:r w:rsidRPr="00933F74">
        <w:rPr>
          <w:rFonts w:ascii="Arial Narrow" w:hAnsi="Arial Narrow"/>
          <w:sz w:val="18"/>
          <w:szCs w:val="18"/>
        </w:rPr>
        <w:t>Source: Constructed during the evaluation</w:t>
      </w:r>
    </w:p>
    <w:p w:rsidR="00596634" w:rsidRPr="00596634" w:rsidRDefault="00596634" w:rsidP="00D269B2">
      <w:pPr>
        <w:contextualSpacing/>
        <w:rPr>
          <w:rFonts w:ascii="Arial" w:hAnsi="Arial" w:cs="Arial"/>
          <w:sz w:val="22"/>
          <w:szCs w:val="22"/>
        </w:rPr>
      </w:pPr>
    </w:p>
    <w:p w:rsidR="0014359C" w:rsidRPr="00936175" w:rsidRDefault="0014359C" w:rsidP="00596634">
      <w:pPr>
        <w:pStyle w:val="Heading2"/>
        <w:spacing w:before="0" w:beforeAutospacing="0" w:after="0" w:afterAutospacing="0"/>
        <w:rPr>
          <w:rFonts w:ascii="Arial" w:hAnsi="Arial" w:cs="Arial"/>
          <w:b/>
          <w:sz w:val="22"/>
          <w:szCs w:val="22"/>
        </w:rPr>
      </w:pPr>
      <w:bookmarkStart w:id="19" w:name="_Toc439845556"/>
      <w:bookmarkStart w:id="20" w:name="_Toc461627088"/>
      <w:r w:rsidRPr="00936175">
        <w:rPr>
          <w:rFonts w:ascii="Arial" w:hAnsi="Arial" w:cs="Arial"/>
          <w:b/>
          <w:sz w:val="22"/>
          <w:szCs w:val="22"/>
        </w:rPr>
        <w:t xml:space="preserve">Comparative </w:t>
      </w:r>
      <w:bookmarkEnd w:id="19"/>
      <w:r>
        <w:rPr>
          <w:rFonts w:ascii="Arial" w:hAnsi="Arial" w:cs="Arial"/>
          <w:b/>
          <w:sz w:val="22"/>
          <w:szCs w:val="22"/>
        </w:rPr>
        <w:t>effectiveness</w:t>
      </w:r>
    </w:p>
    <w:bookmarkEnd w:id="18"/>
    <w:bookmarkEnd w:id="20"/>
    <w:p w:rsidR="00596634" w:rsidRPr="00596634" w:rsidRDefault="00596634" w:rsidP="004B427D"/>
    <w:p w:rsidR="0095055D" w:rsidRPr="00920219" w:rsidRDefault="0095055D" w:rsidP="00596634">
      <w:pPr>
        <w:pStyle w:val="Heading4"/>
        <w:spacing w:before="0" w:after="0"/>
        <w:rPr>
          <w:rFonts w:ascii="Arial" w:hAnsi="Arial" w:cs="Arial"/>
          <w:b w:val="0"/>
          <w:i w:val="0"/>
          <w:sz w:val="22"/>
          <w:u w:val="single"/>
        </w:rPr>
      </w:pPr>
      <w:r w:rsidRPr="00920219">
        <w:rPr>
          <w:rFonts w:ascii="Arial" w:hAnsi="Arial" w:cs="Arial"/>
          <w:b w:val="0"/>
          <w:i w:val="0"/>
          <w:sz w:val="22"/>
          <w:u w:val="single"/>
        </w:rPr>
        <w:t xml:space="preserve">Direct comparison between pembrolizumab and </w:t>
      </w:r>
      <w:proofErr w:type="spellStart"/>
      <w:r w:rsidRPr="00920219">
        <w:rPr>
          <w:rFonts w:ascii="Arial" w:hAnsi="Arial" w:cs="Arial"/>
          <w:b w:val="0"/>
          <w:i w:val="0"/>
          <w:sz w:val="22"/>
          <w:u w:val="single"/>
        </w:rPr>
        <w:t>docetaxel</w:t>
      </w:r>
      <w:proofErr w:type="spellEnd"/>
    </w:p>
    <w:p w:rsidR="00596634" w:rsidRDefault="00596634" w:rsidP="00596634">
      <w:pPr>
        <w:pStyle w:val="ListParagraph"/>
        <w:ind w:left="0" w:firstLine="0"/>
        <w:rPr>
          <w:rFonts w:ascii="Arial" w:hAnsi="Arial" w:cs="Arial"/>
          <w:snapToGrid w:val="0"/>
          <w:sz w:val="22"/>
          <w:szCs w:val="20"/>
        </w:rPr>
      </w:pPr>
    </w:p>
    <w:p w:rsidR="0095055D" w:rsidRPr="00920219" w:rsidRDefault="0095055D" w:rsidP="009C3A29">
      <w:pPr>
        <w:pStyle w:val="ListParagraph"/>
        <w:numPr>
          <w:ilvl w:val="1"/>
          <w:numId w:val="3"/>
        </w:numPr>
        <w:ind w:left="709"/>
        <w:rPr>
          <w:rFonts w:ascii="Arial" w:hAnsi="Arial" w:cs="Arial"/>
          <w:snapToGrid w:val="0"/>
          <w:sz w:val="22"/>
          <w:szCs w:val="20"/>
        </w:rPr>
      </w:pPr>
      <w:r w:rsidRPr="00920219">
        <w:rPr>
          <w:rFonts w:ascii="Arial" w:hAnsi="Arial" w:cs="Arial"/>
          <w:snapToGrid w:val="0"/>
          <w:sz w:val="22"/>
          <w:szCs w:val="20"/>
        </w:rPr>
        <w:t xml:space="preserve">As there was minimal confounding of OS by treatment switching (as per </w:t>
      </w:r>
      <w:r w:rsidR="00BF7C7A">
        <w:rPr>
          <w:rFonts w:ascii="Arial" w:hAnsi="Arial" w:cs="Arial"/>
          <w:snapToGrid w:val="0"/>
          <w:sz w:val="22"/>
          <w:szCs w:val="20"/>
        </w:rPr>
        <w:t xml:space="preserve">the </w:t>
      </w:r>
      <w:r w:rsidR="00F43994" w:rsidRPr="00920219">
        <w:rPr>
          <w:rFonts w:ascii="Arial" w:hAnsi="Arial" w:cs="Arial"/>
          <w:snapToGrid w:val="0"/>
          <w:sz w:val="22"/>
          <w:szCs w:val="20"/>
        </w:rPr>
        <w:t>trial</w:t>
      </w:r>
      <w:r w:rsidRPr="00920219">
        <w:rPr>
          <w:rFonts w:ascii="Arial" w:hAnsi="Arial" w:cs="Arial"/>
          <w:snapToGrid w:val="0"/>
          <w:sz w:val="22"/>
          <w:szCs w:val="20"/>
        </w:rPr>
        <w:t xml:space="preserve"> protocol), the OS results </w:t>
      </w:r>
      <w:r w:rsidR="00F43994" w:rsidRPr="00920219">
        <w:rPr>
          <w:rFonts w:ascii="Arial" w:hAnsi="Arial" w:cs="Arial"/>
          <w:snapToGrid w:val="0"/>
          <w:sz w:val="22"/>
          <w:szCs w:val="20"/>
        </w:rPr>
        <w:t>were</w:t>
      </w:r>
      <w:r w:rsidRPr="00920219">
        <w:rPr>
          <w:rFonts w:ascii="Arial" w:hAnsi="Arial" w:cs="Arial"/>
          <w:snapToGrid w:val="0"/>
          <w:sz w:val="22"/>
          <w:szCs w:val="20"/>
        </w:rPr>
        <w:t xml:space="preserve"> the primary and more relevant analyses of treatment effectiveness.</w:t>
      </w:r>
    </w:p>
    <w:p w:rsidR="0095055D" w:rsidRPr="00B24457" w:rsidRDefault="0095055D" w:rsidP="00A36DD4">
      <w:pPr>
        <w:rPr>
          <w:rFonts w:ascii="Arial" w:eastAsia="Calibri" w:hAnsi="Arial" w:cs="Arial"/>
          <w:sz w:val="22"/>
          <w:szCs w:val="22"/>
          <w:lang w:eastAsia="en-GB"/>
        </w:rPr>
      </w:pPr>
    </w:p>
    <w:p w:rsidR="0095055D" w:rsidRPr="00920219" w:rsidRDefault="007656C1" w:rsidP="009C3A29">
      <w:pPr>
        <w:pStyle w:val="ListParagraph"/>
        <w:numPr>
          <w:ilvl w:val="1"/>
          <w:numId w:val="3"/>
        </w:numPr>
        <w:ind w:left="709"/>
        <w:rPr>
          <w:rFonts w:ascii="Arial" w:hAnsi="Arial" w:cs="Arial"/>
          <w:sz w:val="22"/>
        </w:rPr>
      </w:pPr>
      <w:r w:rsidRPr="00920219">
        <w:rPr>
          <w:rFonts w:ascii="Arial" w:hAnsi="Arial" w:cs="Arial"/>
          <w:sz w:val="22"/>
        </w:rPr>
        <w:t>The</w:t>
      </w:r>
      <w:r w:rsidR="0095055D" w:rsidRPr="00920219">
        <w:rPr>
          <w:rFonts w:ascii="Arial" w:hAnsi="Arial" w:cs="Arial"/>
          <w:sz w:val="22"/>
        </w:rPr>
        <w:t xml:space="preserve"> OS </w:t>
      </w:r>
      <w:r w:rsidRPr="00920219">
        <w:rPr>
          <w:rFonts w:ascii="Arial" w:hAnsi="Arial" w:cs="Arial"/>
          <w:sz w:val="22"/>
        </w:rPr>
        <w:t xml:space="preserve">results </w:t>
      </w:r>
      <w:r w:rsidR="0095055D" w:rsidRPr="00920219">
        <w:rPr>
          <w:rFonts w:ascii="Arial" w:hAnsi="Arial" w:cs="Arial"/>
          <w:sz w:val="22"/>
        </w:rPr>
        <w:t xml:space="preserve">from the KN-010 trial </w:t>
      </w:r>
      <w:r w:rsidRPr="00920219">
        <w:rPr>
          <w:rFonts w:ascii="Arial" w:hAnsi="Arial" w:cs="Arial"/>
          <w:sz w:val="22"/>
        </w:rPr>
        <w:t>for</w:t>
      </w:r>
      <w:r w:rsidR="0095055D" w:rsidRPr="00920219">
        <w:rPr>
          <w:rFonts w:ascii="Arial" w:hAnsi="Arial" w:cs="Arial"/>
          <w:sz w:val="22"/>
        </w:rPr>
        <w:t xml:space="preserve"> </w:t>
      </w:r>
      <w:r w:rsidRPr="00920219">
        <w:rPr>
          <w:rFonts w:ascii="Arial" w:hAnsi="Arial" w:cs="Arial"/>
          <w:sz w:val="22"/>
        </w:rPr>
        <w:t>the ITT population (</w:t>
      </w:r>
      <w:r w:rsidR="0095055D" w:rsidRPr="00920219">
        <w:rPr>
          <w:rFonts w:ascii="Arial" w:hAnsi="Arial" w:cs="Arial"/>
          <w:sz w:val="22"/>
        </w:rPr>
        <w:t>all PD-L1 positive</w:t>
      </w:r>
      <w:r w:rsidRPr="00920219">
        <w:rPr>
          <w:rFonts w:ascii="Arial" w:hAnsi="Arial" w:cs="Arial"/>
          <w:sz w:val="22"/>
        </w:rPr>
        <w:t xml:space="preserve">, </w:t>
      </w:r>
      <w:r w:rsidR="0095055D" w:rsidRPr="00920219">
        <w:rPr>
          <w:rFonts w:ascii="Arial" w:hAnsi="Arial" w:cs="Arial"/>
          <w:sz w:val="22"/>
        </w:rPr>
        <w:t>TPS ≥1%),</w:t>
      </w:r>
      <w:r w:rsidRPr="00920219">
        <w:rPr>
          <w:rFonts w:ascii="Arial" w:hAnsi="Arial" w:cs="Arial"/>
          <w:sz w:val="22"/>
        </w:rPr>
        <w:t xml:space="preserve"> and</w:t>
      </w:r>
      <w:r w:rsidR="0095055D" w:rsidRPr="00920219">
        <w:rPr>
          <w:rFonts w:ascii="Arial" w:hAnsi="Arial" w:cs="Arial"/>
          <w:sz w:val="22"/>
        </w:rPr>
        <w:t xml:space="preserve"> </w:t>
      </w:r>
      <w:r w:rsidR="00B24457">
        <w:rPr>
          <w:rFonts w:ascii="Arial" w:hAnsi="Arial" w:cs="Arial"/>
          <w:sz w:val="22"/>
        </w:rPr>
        <w:t xml:space="preserve">for the </w:t>
      </w:r>
      <w:r w:rsidR="005F5612" w:rsidRPr="00920219">
        <w:rPr>
          <w:rFonts w:ascii="Arial" w:hAnsi="Arial" w:cs="Arial"/>
          <w:sz w:val="22"/>
        </w:rPr>
        <w:t>weakly</w:t>
      </w:r>
      <w:r w:rsidR="0095055D" w:rsidRPr="00920219">
        <w:rPr>
          <w:rFonts w:ascii="Arial" w:hAnsi="Arial" w:cs="Arial"/>
          <w:sz w:val="22"/>
        </w:rPr>
        <w:t xml:space="preserve"> (TPS 1‒49%) and </w:t>
      </w:r>
      <w:r w:rsidR="005F5612" w:rsidRPr="00920219">
        <w:rPr>
          <w:rFonts w:ascii="Arial" w:hAnsi="Arial" w:cs="Arial"/>
          <w:sz w:val="22"/>
        </w:rPr>
        <w:t>strongly</w:t>
      </w:r>
      <w:r w:rsidR="0095055D" w:rsidRPr="00920219">
        <w:rPr>
          <w:rFonts w:ascii="Arial" w:hAnsi="Arial" w:cs="Arial"/>
          <w:sz w:val="22"/>
        </w:rPr>
        <w:t xml:space="preserve"> (TPS ≥50%) </w:t>
      </w:r>
      <w:r w:rsidRPr="00920219">
        <w:rPr>
          <w:rFonts w:ascii="Arial" w:hAnsi="Arial" w:cs="Arial"/>
          <w:sz w:val="22"/>
        </w:rPr>
        <w:t xml:space="preserve">PD-L1 </w:t>
      </w:r>
      <w:r w:rsidR="005F5612" w:rsidRPr="00920219">
        <w:rPr>
          <w:rFonts w:ascii="Arial" w:hAnsi="Arial" w:cs="Arial"/>
          <w:sz w:val="22"/>
        </w:rPr>
        <w:t>positive</w:t>
      </w:r>
      <w:r w:rsidRPr="00920219">
        <w:rPr>
          <w:rFonts w:ascii="Arial" w:hAnsi="Arial" w:cs="Arial"/>
          <w:sz w:val="22"/>
        </w:rPr>
        <w:t xml:space="preserve"> subgroups</w:t>
      </w:r>
      <w:r w:rsidR="006307AA">
        <w:rPr>
          <w:rFonts w:ascii="Arial" w:hAnsi="Arial" w:cs="Arial"/>
          <w:sz w:val="22"/>
        </w:rPr>
        <w:t xml:space="preserve"> are presented in Table 4</w:t>
      </w:r>
      <w:r w:rsidR="0095055D" w:rsidRPr="00920219">
        <w:rPr>
          <w:rFonts w:ascii="Arial" w:hAnsi="Arial" w:cs="Arial"/>
          <w:sz w:val="22"/>
        </w:rPr>
        <w:t xml:space="preserve">. The </w:t>
      </w:r>
      <w:r w:rsidR="00AA0CE0" w:rsidRPr="00920219">
        <w:rPr>
          <w:rFonts w:ascii="Arial" w:hAnsi="Arial" w:cs="Arial"/>
          <w:sz w:val="22"/>
        </w:rPr>
        <w:t xml:space="preserve">Kaplan-Meier curves for the ITT population </w:t>
      </w:r>
      <w:r w:rsidR="00252CD8" w:rsidRPr="00920219">
        <w:rPr>
          <w:rFonts w:ascii="Arial" w:hAnsi="Arial" w:cs="Arial"/>
          <w:sz w:val="22"/>
        </w:rPr>
        <w:t>are</w:t>
      </w:r>
      <w:r w:rsidR="00F1175B" w:rsidRPr="00920219">
        <w:rPr>
          <w:rFonts w:ascii="Arial" w:hAnsi="Arial" w:cs="Arial"/>
          <w:sz w:val="22"/>
        </w:rPr>
        <w:t xml:space="preserve"> presented in Figure </w:t>
      </w:r>
      <w:r w:rsidR="006307AA">
        <w:rPr>
          <w:rFonts w:ascii="Arial" w:hAnsi="Arial" w:cs="Arial"/>
          <w:sz w:val="22"/>
        </w:rPr>
        <w:t>2</w:t>
      </w:r>
      <w:r w:rsidR="00F43994" w:rsidRPr="00920219">
        <w:rPr>
          <w:rFonts w:ascii="Arial" w:hAnsi="Arial" w:cs="Arial"/>
          <w:sz w:val="22"/>
        </w:rPr>
        <w:t>.</w:t>
      </w:r>
      <w:r w:rsidR="0095055D" w:rsidRPr="00920219">
        <w:rPr>
          <w:rFonts w:ascii="Arial" w:hAnsi="Arial" w:cs="Arial"/>
          <w:sz w:val="22"/>
        </w:rPr>
        <w:t xml:space="preserve"> Although the proposed dose of pembrolizumab is 2 mg/kg in the draft Product Information, the TGA has yet to make a decision </w:t>
      </w:r>
      <w:r w:rsidR="00253BE1">
        <w:rPr>
          <w:rFonts w:ascii="Arial" w:hAnsi="Arial" w:cs="Arial"/>
          <w:sz w:val="22"/>
        </w:rPr>
        <w:t>about</w:t>
      </w:r>
      <w:r w:rsidR="0095055D" w:rsidRPr="00920219">
        <w:rPr>
          <w:rFonts w:ascii="Arial" w:hAnsi="Arial" w:cs="Arial"/>
          <w:sz w:val="22"/>
        </w:rPr>
        <w:t xml:space="preserve"> the recommended </w:t>
      </w:r>
      <w:r w:rsidR="00B24457">
        <w:rPr>
          <w:rFonts w:ascii="Arial" w:hAnsi="Arial" w:cs="Arial"/>
          <w:sz w:val="22"/>
        </w:rPr>
        <w:t>dose of pembrolizumab in NSCLC.</w:t>
      </w:r>
    </w:p>
    <w:p w:rsidR="0095055D" w:rsidRPr="00B24457" w:rsidRDefault="0095055D" w:rsidP="00A36DD4">
      <w:pPr>
        <w:rPr>
          <w:rFonts w:ascii="Arial" w:hAnsi="Arial" w:cs="Arial"/>
          <w:sz w:val="22"/>
          <w:szCs w:val="22"/>
        </w:rPr>
      </w:pPr>
    </w:p>
    <w:p w:rsidR="0095055D" w:rsidRPr="002D53DE" w:rsidRDefault="0095055D" w:rsidP="00491FAE">
      <w:pPr>
        <w:pStyle w:val="TableHeading0"/>
        <w:ind w:left="709"/>
      </w:pPr>
      <w:r>
        <w:t xml:space="preserve">Table </w:t>
      </w:r>
      <w:r w:rsidR="006307AA">
        <w:t>4</w:t>
      </w:r>
      <w:r>
        <w:t xml:space="preserve">: </w:t>
      </w:r>
      <w:r w:rsidRPr="002D53DE">
        <w:t>KN-010: OS analysis by PD-L1 expression levels (</w:t>
      </w:r>
      <w:r w:rsidR="008605E8">
        <w:t>d</w:t>
      </w:r>
      <w:r w:rsidRPr="002D53DE">
        <w:t xml:space="preserve">ata </w:t>
      </w:r>
      <w:r w:rsidR="008605E8">
        <w:t>c</w:t>
      </w:r>
      <w:r w:rsidRPr="002D53DE">
        <w:t xml:space="preserve">ut-off: 30 September 2015). </w:t>
      </w:r>
      <w:r w:rsidRPr="005A4EAB">
        <w:t>Note: randomisation was stratified by TPS 1</w:t>
      </w:r>
      <w:r w:rsidRPr="005A4EAB">
        <w:rPr>
          <w:rFonts w:ascii="Arial" w:hAnsi="Arial"/>
        </w:rPr>
        <w:t>‒</w:t>
      </w:r>
      <w:r w:rsidRPr="005A4EAB">
        <w:t xml:space="preserve">49% </w:t>
      </w:r>
      <w:proofErr w:type="spellStart"/>
      <w:r w:rsidRPr="005A4EAB">
        <w:t>vs</w:t>
      </w:r>
      <w:proofErr w:type="spellEnd"/>
      <w:r w:rsidRPr="005A4EAB">
        <w:t xml:space="preserve"> ≥50%</w:t>
      </w:r>
    </w:p>
    <w:tbl>
      <w:tblPr>
        <w:tblW w:w="461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38"/>
        <w:gridCol w:w="1259"/>
        <w:gridCol w:w="1701"/>
        <w:gridCol w:w="2268"/>
        <w:gridCol w:w="1273"/>
      </w:tblGrid>
      <w:tr w:rsidR="005078DD" w:rsidRPr="007656C1" w:rsidTr="005078DD">
        <w:tc>
          <w:tcPr>
            <w:tcW w:w="1102" w:type="pct"/>
            <w:shd w:val="clear" w:color="auto" w:fill="auto"/>
            <w:vAlign w:val="center"/>
          </w:tcPr>
          <w:p w:rsidR="0095055D" w:rsidRPr="007656C1" w:rsidRDefault="0095055D" w:rsidP="00454007">
            <w:pPr>
              <w:jc w:val="left"/>
              <w:rPr>
                <w:rFonts w:ascii="Arial Narrow" w:hAnsi="Arial Narrow" w:cs="Arial Narrow"/>
                <w:b/>
                <w:sz w:val="20"/>
                <w:szCs w:val="20"/>
                <w:lang w:eastAsia="en-AU"/>
              </w:rPr>
            </w:pPr>
            <w:r w:rsidRPr="007656C1">
              <w:rPr>
                <w:rFonts w:ascii="Arial Narrow" w:hAnsi="Arial Narrow" w:cs="Arial Narrow"/>
                <w:b/>
                <w:bCs/>
                <w:sz w:val="20"/>
                <w:szCs w:val="20"/>
                <w:lang w:eastAsia="en-AU"/>
              </w:rPr>
              <w:t>Population</w:t>
            </w:r>
          </w:p>
          <w:p w:rsidR="0095055D" w:rsidRPr="007656C1" w:rsidRDefault="0095055D" w:rsidP="00454007">
            <w:pPr>
              <w:jc w:val="left"/>
              <w:rPr>
                <w:rFonts w:ascii="Arial Narrow" w:hAnsi="Arial Narrow" w:cs="Arial Narrow"/>
                <w:b/>
                <w:sz w:val="20"/>
                <w:szCs w:val="20"/>
                <w:lang w:eastAsia="en-AU"/>
              </w:rPr>
            </w:pPr>
            <w:r w:rsidRPr="007656C1">
              <w:rPr>
                <w:rFonts w:ascii="Arial Narrow" w:hAnsi="Arial Narrow" w:cs="Arial Narrow"/>
                <w:b/>
                <w:bCs/>
                <w:sz w:val="20"/>
                <w:szCs w:val="20"/>
                <w:lang w:eastAsia="en-AU"/>
              </w:rPr>
              <w:t>(Regardless of histology)</w:t>
            </w:r>
          </w:p>
        </w:tc>
        <w:tc>
          <w:tcPr>
            <w:tcW w:w="755" w:type="pct"/>
            <w:shd w:val="clear" w:color="auto" w:fill="auto"/>
            <w:vAlign w:val="center"/>
          </w:tcPr>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sz w:val="20"/>
                <w:szCs w:val="20"/>
                <w:lang w:eastAsia="en-AU"/>
              </w:rPr>
              <w:t>Pembrolizumab dose, Q3W</w:t>
            </w:r>
          </w:p>
        </w:tc>
        <w:tc>
          <w:tcPr>
            <w:tcW w:w="1020" w:type="pct"/>
            <w:shd w:val="clear" w:color="auto" w:fill="auto"/>
            <w:vAlign w:val="center"/>
          </w:tcPr>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Pembrolizumab</w:t>
            </w:r>
          </w:p>
          <w:p w:rsidR="0095055D" w:rsidRPr="007656C1" w:rsidRDefault="0095055D" w:rsidP="00454007">
            <w:pPr>
              <w:jc w:val="center"/>
              <w:rPr>
                <w:rFonts w:ascii="Arial Narrow" w:hAnsi="Arial Narrow" w:cs="Arial Narrow"/>
                <w:b/>
                <w:sz w:val="20"/>
                <w:szCs w:val="20"/>
                <w:lang w:eastAsia="en-AU"/>
              </w:rPr>
            </w:pPr>
            <w:proofErr w:type="gramStart"/>
            <w:r w:rsidRPr="007656C1">
              <w:rPr>
                <w:rFonts w:ascii="Arial Narrow" w:hAnsi="Arial Narrow" w:cs="Arial Narrow"/>
                <w:b/>
                <w:bCs/>
                <w:iCs/>
                <w:sz w:val="20"/>
                <w:szCs w:val="20"/>
                <w:lang w:eastAsia="en-AU"/>
              </w:rPr>
              <w:t>n</w:t>
            </w:r>
            <w:proofErr w:type="gramEnd"/>
            <w:r w:rsidRPr="007656C1">
              <w:rPr>
                <w:rFonts w:ascii="Arial Narrow" w:hAnsi="Arial Narrow" w:cs="Arial Narrow"/>
                <w:b/>
                <w:bCs/>
                <w:sz w:val="20"/>
                <w:szCs w:val="20"/>
                <w:lang w:eastAsia="en-AU"/>
              </w:rPr>
              <w:t xml:space="preserve"> with event/</w:t>
            </w:r>
            <w:r w:rsidRPr="007656C1">
              <w:rPr>
                <w:rFonts w:ascii="Arial Narrow" w:hAnsi="Arial Narrow" w:cs="Arial Narrow"/>
                <w:b/>
                <w:bCs/>
                <w:iCs/>
                <w:sz w:val="20"/>
                <w:szCs w:val="20"/>
                <w:lang w:eastAsia="en-AU"/>
              </w:rPr>
              <w:t>N</w:t>
            </w:r>
            <w:r w:rsidRPr="007656C1">
              <w:rPr>
                <w:rFonts w:ascii="Arial Narrow" w:hAnsi="Arial Narrow" w:cs="Arial Narrow"/>
                <w:b/>
                <w:bCs/>
                <w:sz w:val="20"/>
                <w:szCs w:val="20"/>
                <w:lang w:eastAsia="en-AU"/>
              </w:rPr>
              <w:t xml:space="preserve"> (%)</w:t>
            </w:r>
          </w:p>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Median OS</w:t>
            </w:r>
          </w:p>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months (95% CI)</w:t>
            </w:r>
          </w:p>
        </w:tc>
        <w:tc>
          <w:tcPr>
            <w:tcW w:w="1360" w:type="pct"/>
            <w:shd w:val="clear" w:color="auto" w:fill="auto"/>
            <w:vAlign w:val="center"/>
          </w:tcPr>
          <w:p w:rsidR="0095055D" w:rsidRPr="007656C1" w:rsidRDefault="0095055D" w:rsidP="00454007">
            <w:pPr>
              <w:jc w:val="center"/>
              <w:rPr>
                <w:rFonts w:ascii="Arial Narrow" w:hAnsi="Arial Narrow" w:cs="Arial Narrow"/>
                <w:b/>
                <w:sz w:val="20"/>
                <w:szCs w:val="20"/>
                <w:lang w:eastAsia="en-AU"/>
              </w:rPr>
            </w:pPr>
            <w:proofErr w:type="spellStart"/>
            <w:r w:rsidRPr="007656C1">
              <w:rPr>
                <w:rFonts w:ascii="Arial Narrow" w:hAnsi="Arial Narrow" w:cs="Arial Narrow"/>
                <w:b/>
                <w:bCs/>
                <w:sz w:val="20"/>
                <w:szCs w:val="20"/>
                <w:lang w:eastAsia="en-AU"/>
              </w:rPr>
              <w:t>Docetaxel</w:t>
            </w:r>
            <w:proofErr w:type="spellEnd"/>
            <w:r w:rsidRPr="007656C1">
              <w:rPr>
                <w:rFonts w:ascii="Arial Narrow" w:hAnsi="Arial Narrow" w:cs="Arial Narrow"/>
                <w:b/>
                <w:bCs/>
                <w:sz w:val="20"/>
                <w:szCs w:val="20"/>
                <w:lang w:eastAsia="en-AU"/>
              </w:rPr>
              <w:t xml:space="preserve"> 75 mg/m</w:t>
            </w:r>
            <w:r w:rsidRPr="007656C1">
              <w:rPr>
                <w:rFonts w:ascii="Arial Narrow" w:hAnsi="Arial Narrow" w:cs="Arial Narrow"/>
                <w:b/>
                <w:bCs/>
                <w:sz w:val="20"/>
                <w:szCs w:val="20"/>
                <w:vertAlign w:val="superscript"/>
                <w:lang w:eastAsia="en-AU"/>
              </w:rPr>
              <w:t>2</w:t>
            </w:r>
            <w:r w:rsidRPr="007656C1">
              <w:rPr>
                <w:rFonts w:ascii="Arial Narrow" w:hAnsi="Arial Narrow" w:cs="Arial Narrow"/>
                <w:b/>
                <w:bCs/>
                <w:sz w:val="20"/>
                <w:szCs w:val="20"/>
                <w:lang w:eastAsia="en-AU"/>
              </w:rPr>
              <w:t>, Q3W</w:t>
            </w:r>
          </w:p>
          <w:p w:rsidR="0095055D" w:rsidRPr="007656C1" w:rsidRDefault="0095055D" w:rsidP="00454007">
            <w:pPr>
              <w:jc w:val="center"/>
              <w:rPr>
                <w:rFonts w:ascii="Arial Narrow" w:hAnsi="Arial Narrow" w:cs="Arial Narrow"/>
                <w:b/>
                <w:sz w:val="20"/>
                <w:szCs w:val="20"/>
                <w:lang w:eastAsia="en-AU"/>
              </w:rPr>
            </w:pPr>
            <w:proofErr w:type="gramStart"/>
            <w:r w:rsidRPr="007656C1">
              <w:rPr>
                <w:rFonts w:ascii="Arial Narrow" w:hAnsi="Arial Narrow" w:cs="Arial Narrow"/>
                <w:b/>
                <w:bCs/>
                <w:iCs/>
                <w:sz w:val="20"/>
                <w:szCs w:val="20"/>
                <w:lang w:eastAsia="en-AU"/>
              </w:rPr>
              <w:t>n</w:t>
            </w:r>
            <w:proofErr w:type="gramEnd"/>
            <w:r w:rsidRPr="007656C1">
              <w:rPr>
                <w:rFonts w:ascii="Arial Narrow" w:hAnsi="Arial Narrow" w:cs="Arial Narrow"/>
                <w:b/>
                <w:bCs/>
                <w:sz w:val="20"/>
                <w:szCs w:val="20"/>
                <w:lang w:eastAsia="en-AU"/>
              </w:rPr>
              <w:t xml:space="preserve"> with event/</w:t>
            </w:r>
            <w:r w:rsidRPr="007656C1">
              <w:rPr>
                <w:rFonts w:ascii="Arial Narrow" w:hAnsi="Arial Narrow" w:cs="Arial Narrow"/>
                <w:b/>
                <w:bCs/>
                <w:iCs/>
                <w:sz w:val="20"/>
                <w:szCs w:val="20"/>
                <w:lang w:eastAsia="en-AU"/>
              </w:rPr>
              <w:t>N</w:t>
            </w:r>
            <w:r w:rsidRPr="007656C1">
              <w:rPr>
                <w:rFonts w:ascii="Arial Narrow" w:hAnsi="Arial Narrow" w:cs="Arial Narrow"/>
                <w:b/>
                <w:bCs/>
                <w:sz w:val="20"/>
                <w:szCs w:val="20"/>
                <w:lang w:eastAsia="en-AU"/>
              </w:rPr>
              <w:t xml:space="preserve"> (%)</w:t>
            </w:r>
          </w:p>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Median OS</w:t>
            </w:r>
          </w:p>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months (95% CI)</w:t>
            </w:r>
          </w:p>
        </w:tc>
        <w:tc>
          <w:tcPr>
            <w:tcW w:w="764" w:type="pct"/>
            <w:shd w:val="clear" w:color="auto" w:fill="auto"/>
            <w:vAlign w:val="center"/>
          </w:tcPr>
          <w:p w:rsidR="0095055D" w:rsidRPr="007656C1" w:rsidRDefault="0095055D" w:rsidP="00454007">
            <w:pPr>
              <w:jc w:val="center"/>
              <w:rPr>
                <w:rFonts w:ascii="Arial Narrow" w:hAnsi="Arial Narrow" w:cs="Arial Narrow"/>
                <w:b/>
                <w:bCs/>
                <w:sz w:val="20"/>
                <w:szCs w:val="20"/>
                <w:lang w:eastAsia="en-AU"/>
              </w:rPr>
            </w:pPr>
            <w:r w:rsidRPr="007656C1">
              <w:rPr>
                <w:rFonts w:ascii="Arial Narrow" w:hAnsi="Arial Narrow" w:cs="Arial Narrow"/>
                <w:b/>
                <w:bCs/>
                <w:sz w:val="20"/>
                <w:szCs w:val="20"/>
                <w:lang w:eastAsia="en-AU"/>
              </w:rPr>
              <w:t>HR (95% CI)</w:t>
            </w:r>
            <w:r w:rsidRPr="007656C1">
              <w:rPr>
                <w:rFonts w:ascii="Arial Narrow" w:hAnsi="Arial Narrow" w:cs="Arial Narrow"/>
                <w:b/>
                <w:bCs/>
                <w:sz w:val="20"/>
                <w:szCs w:val="20"/>
                <w:vertAlign w:val="superscript"/>
                <w:lang w:eastAsia="en-AU"/>
              </w:rPr>
              <w:t>1</w:t>
            </w:r>
          </w:p>
          <w:p w:rsidR="0095055D" w:rsidRPr="007656C1" w:rsidRDefault="0095055D" w:rsidP="00454007">
            <w:pPr>
              <w:jc w:val="center"/>
              <w:rPr>
                <w:rFonts w:ascii="Arial Narrow" w:hAnsi="Arial Narrow" w:cs="Arial Narrow"/>
                <w:b/>
                <w:sz w:val="20"/>
                <w:szCs w:val="20"/>
                <w:lang w:eastAsia="en-AU"/>
              </w:rPr>
            </w:pPr>
            <w:r w:rsidRPr="007656C1">
              <w:rPr>
                <w:rFonts w:ascii="Arial Narrow" w:hAnsi="Arial Narrow" w:cs="Arial Narrow"/>
                <w:b/>
                <w:bCs/>
                <w:sz w:val="20"/>
                <w:szCs w:val="20"/>
                <w:lang w:eastAsia="en-AU"/>
              </w:rPr>
              <w:t xml:space="preserve">Pembrolizumab </w:t>
            </w:r>
            <w:proofErr w:type="spellStart"/>
            <w:r w:rsidRPr="007656C1">
              <w:rPr>
                <w:rFonts w:ascii="Arial Narrow" w:hAnsi="Arial Narrow" w:cs="Arial Narrow"/>
                <w:b/>
                <w:bCs/>
                <w:sz w:val="20"/>
                <w:szCs w:val="20"/>
                <w:lang w:eastAsia="en-AU"/>
              </w:rPr>
              <w:t>vs</w:t>
            </w:r>
            <w:proofErr w:type="spellEnd"/>
            <w:r w:rsidRPr="007656C1">
              <w:rPr>
                <w:rFonts w:ascii="Arial Narrow" w:hAnsi="Arial Narrow" w:cs="Arial Narrow"/>
                <w:b/>
                <w:bCs/>
                <w:sz w:val="20"/>
                <w:szCs w:val="20"/>
                <w:lang w:eastAsia="en-AU"/>
              </w:rPr>
              <w:t xml:space="preserve"> </w:t>
            </w:r>
            <w:proofErr w:type="spellStart"/>
            <w:r w:rsidRPr="007656C1">
              <w:rPr>
                <w:rFonts w:ascii="Arial Narrow" w:hAnsi="Arial Narrow" w:cs="Arial Narrow"/>
                <w:b/>
                <w:bCs/>
                <w:sz w:val="20"/>
                <w:szCs w:val="20"/>
                <w:lang w:eastAsia="en-AU"/>
              </w:rPr>
              <w:t>docetaxel</w:t>
            </w:r>
            <w:proofErr w:type="spellEnd"/>
          </w:p>
        </w:tc>
      </w:tr>
      <w:tr w:rsidR="005078DD" w:rsidRPr="007656C1" w:rsidTr="005078DD">
        <w:tc>
          <w:tcPr>
            <w:tcW w:w="1102" w:type="pct"/>
            <w:vMerge w:val="restart"/>
            <w:shd w:val="clear" w:color="auto" w:fill="auto"/>
            <w:vAlign w:val="center"/>
          </w:tcPr>
          <w:p w:rsidR="007656C1" w:rsidRPr="007656C1" w:rsidRDefault="007656C1" w:rsidP="00454007">
            <w:pPr>
              <w:jc w:val="left"/>
              <w:rPr>
                <w:rFonts w:ascii="Arial Narrow" w:hAnsi="Arial Narrow"/>
                <w:sz w:val="20"/>
                <w:szCs w:val="20"/>
                <w:lang w:eastAsia="en-AU"/>
              </w:rPr>
            </w:pPr>
            <w:r w:rsidRPr="007656C1">
              <w:rPr>
                <w:rFonts w:ascii="Arial Narrow" w:hAnsi="Arial Narrow"/>
                <w:sz w:val="20"/>
                <w:szCs w:val="20"/>
                <w:lang w:eastAsia="en-AU"/>
              </w:rPr>
              <w:t>ITT population, TPS ≥1%</w:t>
            </w:r>
          </w:p>
          <w:p w:rsidR="0095055D" w:rsidRPr="007656C1" w:rsidRDefault="007656C1" w:rsidP="00460AAD">
            <w:pPr>
              <w:jc w:val="left"/>
              <w:rPr>
                <w:rFonts w:ascii="Arial Narrow" w:hAnsi="Arial Narrow"/>
                <w:sz w:val="20"/>
                <w:szCs w:val="20"/>
                <w:lang w:eastAsia="en-AU"/>
              </w:rPr>
            </w:pPr>
            <w:r w:rsidRPr="005F5612">
              <w:rPr>
                <w:rFonts w:ascii="Arial Narrow" w:hAnsi="Arial Narrow"/>
                <w:sz w:val="20"/>
                <w:szCs w:val="20"/>
                <w:lang w:eastAsia="en-AU"/>
              </w:rPr>
              <w:t>(</w:t>
            </w:r>
            <w:r w:rsidR="00460AAD">
              <w:rPr>
                <w:rFonts w:ascii="Arial Narrow" w:hAnsi="Arial Narrow"/>
                <w:sz w:val="20"/>
                <w:szCs w:val="20"/>
                <w:lang w:eastAsia="en-AU"/>
              </w:rPr>
              <w:t>a</w:t>
            </w:r>
            <w:r w:rsidR="0095055D" w:rsidRPr="005F5612">
              <w:rPr>
                <w:rFonts w:ascii="Arial Narrow" w:hAnsi="Arial Narrow"/>
                <w:sz w:val="20"/>
                <w:szCs w:val="20"/>
                <w:lang w:eastAsia="en-AU"/>
              </w:rPr>
              <w:t>ll PD-L1 positive)</w:t>
            </w: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2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172/344 (50.0)</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10.4 (9.4, 11.9)</w:t>
            </w:r>
          </w:p>
        </w:tc>
        <w:tc>
          <w:tcPr>
            <w:tcW w:w="1360" w:type="pct"/>
            <w:vMerge w:val="restar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193/343 (56.3)</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8.5 (7.5, 9.8)</w:t>
            </w: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0.71 (0.58, 0.88)</w:t>
            </w:r>
          </w:p>
        </w:tc>
      </w:tr>
      <w:tr w:rsidR="005078DD" w:rsidRPr="007656C1" w:rsidTr="005078DD">
        <w:tc>
          <w:tcPr>
            <w:tcW w:w="1102" w:type="pct"/>
            <w:vMerge/>
            <w:shd w:val="clear" w:color="auto" w:fill="auto"/>
            <w:vAlign w:val="center"/>
          </w:tcPr>
          <w:p w:rsidR="0095055D" w:rsidRPr="007656C1" w:rsidRDefault="0095055D" w:rsidP="00454007">
            <w:pPr>
              <w:jc w:val="left"/>
              <w:rPr>
                <w:rFonts w:ascii="Arial Narrow" w:hAnsi="Arial Narrow"/>
                <w:sz w:val="20"/>
                <w:szCs w:val="20"/>
                <w:lang w:eastAsia="en-AU"/>
              </w:rPr>
            </w:pP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156/346 (45.1)</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12.7 (10.0, 17.3)</w:t>
            </w:r>
          </w:p>
        </w:tc>
        <w:tc>
          <w:tcPr>
            <w:tcW w:w="1360" w:type="pct"/>
            <w:vMerge/>
            <w:shd w:val="clear" w:color="auto" w:fill="auto"/>
            <w:vAlign w:val="center"/>
          </w:tcPr>
          <w:p w:rsidR="0095055D" w:rsidRPr="007656C1" w:rsidRDefault="0095055D" w:rsidP="00454007">
            <w:pPr>
              <w:jc w:val="center"/>
              <w:rPr>
                <w:rFonts w:ascii="Arial Narrow" w:hAnsi="Arial Narrow"/>
                <w:sz w:val="20"/>
                <w:szCs w:val="20"/>
                <w:lang w:eastAsia="en-AU"/>
              </w:rPr>
            </w:pP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0.61 (0.49, 0.75)</w:t>
            </w:r>
          </w:p>
        </w:tc>
      </w:tr>
      <w:tr w:rsidR="005078DD" w:rsidRPr="007656C1" w:rsidTr="005078DD">
        <w:tc>
          <w:tcPr>
            <w:tcW w:w="1102" w:type="pct"/>
            <w:vMerge w:val="restart"/>
            <w:shd w:val="clear" w:color="auto" w:fill="auto"/>
            <w:vAlign w:val="center"/>
          </w:tcPr>
          <w:p w:rsidR="00454007" w:rsidRPr="007656C1" w:rsidRDefault="007656C1" w:rsidP="00454007">
            <w:pPr>
              <w:jc w:val="left"/>
              <w:rPr>
                <w:rFonts w:ascii="Arial Narrow" w:hAnsi="Arial Narrow"/>
                <w:sz w:val="20"/>
                <w:szCs w:val="20"/>
                <w:lang w:eastAsia="en-AU"/>
              </w:rPr>
            </w:pPr>
            <w:r w:rsidRPr="007656C1">
              <w:rPr>
                <w:rFonts w:ascii="Arial Narrow" w:hAnsi="Arial Narrow"/>
                <w:sz w:val="20"/>
                <w:szCs w:val="20"/>
                <w:lang w:eastAsia="en-AU"/>
              </w:rPr>
              <w:t xml:space="preserve">Subgroup, </w:t>
            </w:r>
            <w:r w:rsidR="0095055D" w:rsidRPr="007656C1">
              <w:rPr>
                <w:rFonts w:ascii="Arial Narrow" w:hAnsi="Arial Narrow"/>
                <w:sz w:val="20"/>
                <w:szCs w:val="20"/>
                <w:lang w:eastAsia="en-AU"/>
              </w:rPr>
              <w:t xml:space="preserve">TPS ≥50% </w:t>
            </w:r>
          </w:p>
          <w:p w:rsidR="0095055D" w:rsidRPr="007656C1" w:rsidRDefault="0095055D" w:rsidP="00454007">
            <w:pPr>
              <w:jc w:val="left"/>
              <w:rPr>
                <w:rFonts w:ascii="Arial Narrow" w:hAnsi="Arial Narrow"/>
                <w:sz w:val="20"/>
                <w:szCs w:val="20"/>
                <w:lang w:eastAsia="en-AU"/>
              </w:rPr>
            </w:pPr>
            <w:r w:rsidRPr="007656C1">
              <w:rPr>
                <w:rFonts w:ascii="Arial Narrow" w:hAnsi="Arial Narrow"/>
                <w:sz w:val="20"/>
                <w:szCs w:val="20"/>
                <w:lang w:eastAsia="en-AU"/>
              </w:rPr>
              <w:t>(</w:t>
            </w:r>
            <w:r w:rsidR="005F5612">
              <w:rPr>
                <w:rFonts w:ascii="Arial Narrow" w:hAnsi="Arial Narrow"/>
                <w:sz w:val="20"/>
                <w:szCs w:val="20"/>
                <w:lang w:eastAsia="en-AU"/>
              </w:rPr>
              <w:t>strongly</w:t>
            </w:r>
            <w:r w:rsidR="007656C1" w:rsidRPr="007656C1">
              <w:rPr>
                <w:rFonts w:ascii="Arial Narrow" w:hAnsi="Arial Narrow"/>
                <w:sz w:val="20"/>
                <w:szCs w:val="20"/>
                <w:lang w:eastAsia="en-AU"/>
              </w:rPr>
              <w:t xml:space="preserve"> </w:t>
            </w:r>
            <w:r w:rsidRPr="007656C1">
              <w:rPr>
                <w:rFonts w:ascii="Arial Narrow" w:hAnsi="Arial Narrow"/>
                <w:sz w:val="20"/>
                <w:szCs w:val="20"/>
                <w:lang w:eastAsia="en-AU"/>
              </w:rPr>
              <w:t>PD-L1</w:t>
            </w:r>
            <w:r w:rsidR="005F5612">
              <w:rPr>
                <w:rFonts w:ascii="Arial Narrow" w:hAnsi="Arial Narrow"/>
                <w:sz w:val="20"/>
                <w:szCs w:val="20"/>
                <w:lang w:eastAsia="en-AU"/>
              </w:rPr>
              <w:t xml:space="preserve"> positive</w:t>
            </w:r>
            <w:r w:rsidRPr="007656C1">
              <w:rPr>
                <w:rFonts w:ascii="Arial Narrow" w:hAnsi="Arial Narrow"/>
                <w:sz w:val="20"/>
                <w:szCs w:val="20"/>
                <w:lang w:eastAsia="en-AU"/>
              </w:rPr>
              <w:t>)</w:t>
            </w: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2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58/139 (41.7)</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14.9 (10.4, NR)</w:t>
            </w:r>
          </w:p>
        </w:tc>
        <w:tc>
          <w:tcPr>
            <w:tcW w:w="1360" w:type="pct"/>
            <w:vMerge w:val="restar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86/152 (56.6)</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8.2 (6.4, 10.7)</w:t>
            </w: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0.54 (0.38, 0.77)</w:t>
            </w:r>
          </w:p>
        </w:tc>
      </w:tr>
      <w:tr w:rsidR="005078DD" w:rsidRPr="007656C1" w:rsidTr="005078DD">
        <w:tc>
          <w:tcPr>
            <w:tcW w:w="1102" w:type="pct"/>
            <w:vMerge/>
            <w:shd w:val="clear" w:color="auto" w:fill="auto"/>
            <w:vAlign w:val="center"/>
          </w:tcPr>
          <w:p w:rsidR="0095055D" w:rsidRPr="007656C1" w:rsidRDefault="0095055D" w:rsidP="00454007">
            <w:pPr>
              <w:jc w:val="left"/>
              <w:rPr>
                <w:rFonts w:ascii="Arial Narrow" w:hAnsi="Arial Narrow"/>
                <w:sz w:val="20"/>
                <w:szCs w:val="20"/>
                <w:lang w:eastAsia="en-AU"/>
              </w:rPr>
            </w:pP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60/151 (39.7)</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17.3 (11.8, NR)</w:t>
            </w:r>
          </w:p>
        </w:tc>
        <w:tc>
          <w:tcPr>
            <w:tcW w:w="1360" w:type="pct"/>
            <w:vMerge/>
            <w:shd w:val="clear" w:color="auto" w:fill="auto"/>
            <w:vAlign w:val="center"/>
          </w:tcPr>
          <w:p w:rsidR="0095055D" w:rsidRPr="007656C1" w:rsidRDefault="0095055D" w:rsidP="00454007">
            <w:pPr>
              <w:jc w:val="center"/>
              <w:rPr>
                <w:rFonts w:ascii="Arial Narrow" w:hAnsi="Arial Narrow"/>
                <w:sz w:val="20"/>
                <w:szCs w:val="20"/>
                <w:lang w:eastAsia="en-AU"/>
              </w:rPr>
            </w:pP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0.50 (0.36, 0.70)</w:t>
            </w:r>
          </w:p>
        </w:tc>
      </w:tr>
      <w:tr w:rsidR="005078DD" w:rsidRPr="007656C1" w:rsidTr="005078DD">
        <w:tc>
          <w:tcPr>
            <w:tcW w:w="1102" w:type="pct"/>
            <w:vMerge w:val="restart"/>
            <w:shd w:val="clear" w:color="auto" w:fill="auto"/>
            <w:vAlign w:val="center"/>
          </w:tcPr>
          <w:p w:rsidR="00454007" w:rsidRPr="007656C1" w:rsidRDefault="007656C1" w:rsidP="00454007">
            <w:pPr>
              <w:jc w:val="left"/>
              <w:rPr>
                <w:rFonts w:ascii="Arial Narrow" w:hAnsi="Arial Narrow"/>
                <w:sz w:val="20"/>
                <w:szCs w:val="20"/>
                <w:lang w:eastAsia="en-AU"/>
              </w:rPr>
            </w:pPr>
            <w:r>
              <w:rPr>
                <w:rFonts w:ascii="Arial Narrow" w:hAnsi="Arial Narrow"/>
                <w:sz w:val="20"/>
                <w:szCs w:val="20"/>
                <w:lang w:eastAsia="en-AU"/>
              </w:rPr>
              <w:t xml:space="preserve">Subgroup, </w:t>
            </w:r>
            <w:r w:rsidR="0095055D" w:rsidRPr="007656C1">
              <w:rPr>
                <w:rFonts w:ascii="Arial Narrow" w:hAnsi="Arial Narrow"/>
                <w:sz w:val="20"/>
                <w:szCs w:val="20"/>
                <w:lang w:eastAsia="en-AU"/>
              </w:rPr>
              <w:t>TPS 1</w:t>
            </w:r>
            <w:r w:rsidR="0095055D" w:rsidRPr="007656C1">
              <w:rPr>
                <w:rFonts w:ascii="Arial" w:hAnsi="Arial" w:cs="Arial"/>
                <w:sz w:val="20"/>
                <w:szCs w:val="20"/>
                <w:lang w:eastAsia="en-AU"/>
              </w:rPr>
              <w:t>‒</w:t>
            </w:r>
            <w:r w:rsidR="0095055D" w:rsidRPr="007656C1">
              <w:rPr>
                <w:rFonts w:ascii="Arial Narrow" w:hAnsi="Arial Narrow"/>
                <w:sz w:val="20"/>
                <w:szCs w:val="20"/>
                <w:lang w:eastAsia="en-AU"/>
              </w:rPr>
              <w:t xml:space="preserve">49% </w:t>
            </w:r>
          </w:p>
          <w:p w:rsidR="0095055D" w:rsidRPr="007656C1" w:rsidRDefault="0095055D" w:rsidP="007656C1">
            <w:pPr>
              <w:jc w:val="left"/>
              <w:rPr>
                <w:rFonts w:ascii="Arial Narrow" w:hAnsi="Arial Narrow"/>
                <w:sz w:val="20"/>
                <w:szCs w:val="20"/>
                <w:lang w:eastAsia="en-AU"/>
              </w:rPr>
            </w:pPr>
            <w:r w:rsidRPr="007656C1">
              <w:rPr>
                <w:rFonts w:ascii="Arial Narrow" w:hAnsi="Arial Narrow"/>
                <w:sz w:val="20"/>
                <w:szCs w:val="20"/>
                <w:lang w:eastAsia="en-AU"/>
              </w:rPr>
              <w:t>(</w:t>
            </w:r>
            <w:r w:rsidR="005F5612">
              <w:rPr>
                <w:rFonts w:ascii="Arial Narrow" w:hAnsi="Arial Narrow"/>
                <w:sz w:val="20"/>
                <w:szCs w:val="20"/>
                <w:lang w:eastAsia="en-AU"/>
              </w:rPr>
              <w:t>weakly</w:t>
            </w:r>
            <w:r w:rsidR="007656C1">
              <w:rPr>
                <w:rFonts w:ascii="Arial Narrow" w:hAnsi="Arial Narrow"/>
                <w:sz w:val="20"/>
                <w:szCs w:val="20"/>
                <w:lang w:eastAsia="en-AU"/>
              </w:rPr>
              <w:t xml:space="preserve"> </w:t>
            </w:r>
            <w:r w:rsidRPr="007656C1">
              <w:rPr>
                <w:rFonts w:ascii="Arial Narrow" w:hAnsi="Arial Narrow"/>
                <w:sz w:val="20"/>
                <w:szCs w:val="20"/>
                <w:lang w:eastAsia="en-AU"/>
              </w:rPr>
              <w:t>PD-L1</w:t>
            </w:r>
            <w:r w:rsidR="005F5612">
              <w:rPr>
                <w:rFonts w:ascii="Arial Narrow" w:hAnsi="Arial Narrow"/>
                <w:sz w:val="20"/>
                <w:szCs w:val="20"/>
                <w:lang w:eastAsia="en-AU"/>
              </w:rPr>
              <w:t xml:space="preserve"> positive</w:t>
            </w:r>
            <w:r w:rsidRPr="007656C1">
              <w:rPr>
                <w:rFonts w:ascii="Arial Narrow" w:hAnsi="Arial Narrow"/>
                <w:sz w:val="20"/>
                <w:szCs w:val="20"/>
                <w:lang w:eastAsia="en-AU"/>
              </w:rPr>
              <w:t>)</w:t>
            </w: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2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114/205 (55.6)</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9.4 (8.7, 10.5)</w:t>
            </w:r>
          </w:p>
        </w:tc>
        <w:tc>
          <w:tcPr>
            <w:tcW w:w="1360" w:type="pct"/>
            <w:vMerge w:val="restar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107/191 (56.0)</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8.6 (7.8, 9.9)</w:t>
            </w: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0.79 (0.61, 1.04)</w:t>
            </w:r>
          </w:p>
        </w:tc>
      </w:tr>
      <w:tr w:rsidR="005078DD" w:rsidRPr="007656C1" w:rsidTr="005078DD">
        <w:tc>
          <w:tcPr>
            <w:tcW w:w="1102" w:type="pct"/>
            <w:vMerge/>
            <w:shd w:val="clear" w:color="auto" w:fill="auto"/>
            <w:vAlign w:val="center"/>
          </w:tcPr>
          <w:p w:rsidR="0095055D" w:rsidRPr="007656C1" w:rsidRDefault="0095055D" w:rsidP="00454007">
            <w:pPr>
              <w:jc w:val="left"/>
              <w:rPr>
                <w:rFonts w:ascii="Arial Narrow" w:hAnsi="Arial Narrow"/>
                <w:sz w:val="20"/>
                <w:szCs w:val="20"/>
                <w:lang w:eastAsia="en-AU"/>
              </w:rPr>
            </w:pP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 mg/kg</w:t>
            </w:r>
          </w:p>
        </w:tc>
        <w:tc>
          <w:tcPr>
            <w:tcW w:w="1020"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96/195 (49.2)</w:t>
            </w:r>
          </w:p>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10.8 (8.9, 13.3)</w:t>
            </w:r>
          </w:p>
        </w:tc>
        <w:tc>
          <w:tcPr>
            <w:tcW w:w="1360" w:type="pct"/>
            <w:vMerge/>
            <w:shd w:val="clear" w:color="auto" w:fill="auto"/>
            <w:vAlign w:val="center"/>
          </w:tcPr>
          <w:p w:rsidR="0095055D" w:rsidRPr="007656C1" w:rsidRDefault="0095055D" w:rsidP="00454007">
            <w:pPr>
              <w:jc w:val="center"/>
              <w:rPr>
                <w:rFonts w:ascii="Arial Narrow" w:hAnsi="Arial Narrow"/>
                <w:sz w:val="20"/>
                <w:szCs w:val="20"/>
                <w:lang w:eastAsia="en-AU"/>
              </w:rPr>
            </w:pPr>
          </w:p>
        </w:tc>
        <w:tc>
          <w:tcPr>
            <w:tcW w:w="764"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0.71 (0.53, 0.94)</w:t>
            </w:r>
          </w:p>
        </w:tc>
      </w:tr>
      <w:tr w:rsidR="0095055D" w:rsidRPr="007656C1" w:rsidTr="005078DD">
        <w:trPr>
          <w:trHeight w:val="766"/>
        </w:trPr>
        <w:tc>
          <w:tcPr>
            <w:tcW w:w="1102" w:type="pct"/>
            <w:shd w:val="clear" w:color="auto" w:fill="auto"/>
            <w:vAlign w:val="center"/>
          </w:tcPr>
          <w:p w:rsidR="0095055D" w:rsidRPr="007656C1" w:rsidRDefault="0095055D" w:rsidP="00454007">
            <w:pPr>
              <w:jc w:val="left"/>
              <w:rPr>
                <w:rFonts w:ascii="Arial Narrow" w:hAnsi="Arial Narrow"/>
                <w:b/>
                <w:sz w:val="20"/>
                <w:szCs w:val="20"/>
                <w:lang w:eastAsia="en-AU"/>
              </w:rPr>
            </w:pPr>
            <w:r w:rsidRPr="007656C1">
              <w:rPr>
                <w:rFonts w:ascii="Arial Narrow" w:hAnsi="Arial Narrow"/>
                <w:b/>
                <w:sz w:val="20"/>
                <w:szCs w:val="20"/>
                <w:lang w:eastAsia="en-AU"/>
              </w:rPr>
              <w:t>Test for treatment effect variation between strong and weak expression</w:t>
            </w:r>
          </w:p>
          <w:p w:rsidR="0095055D" w:rsidRPr="007656C1" w:rsidRDefault="0095055D" w:rsidP="00454007">
            <w:pPr>
              <w:jc w:val="left"/>
              <w:rPr>
                <w:rFonts w:ascii="Arial Narrow" w:hAnsi="Arial Narrow"/>
                <w:sz w:val="20"/>
                <w:szCs w:val="20"/>
                <w:lang w:eastAsia="en-AU"/>
              </w:rPr>
            </w:pPr>
            <w:r w:rsidRPr="007656C1">
              <w:rPr>
                <w:rFonts w:ascii="Arial Narrow" w:hAnsi="Arial Narrow"/>
                <w:b/>
                <w:sz w:val="20"/>
                <w:szCs w:val="20"/>
                <w:u w:val="single"/>
                <w:lang w:eastAsia="en-AU"/>
              </w:rPr>
              <w:t xml:space="preserve">TPS ≥50% </w:t>
            </w:r>
            <w:proofErr w:type="spellStart"/>
            <w:r w:rsidRPr="007656C1">
              <w:rPr>
                <w:rFonts w:ascii="Arial Narrow" w:hAnsi="Arial Narrow"/>
                <w:b/>
                <w:sz w:val="20"/>
                <w:szCs w:val="20"/>
                <w:u w:val="single"/>
                <w:lang w:eastAsia="en-AU"/>
              </w:rPr>
              <w:t>vs</w:t>
            </w:r>
            <w:proofErr w:type="spellEnd"/>
            <w:r w:rsidRPr="007656C1">
              <w:rPr>
                <w:rFonts w:ascii="Arial Narrow" w:hAnsi="Arial Narrow"/>
                <w:b/>
                <w:sz w:val="20"/>
                <w:szCs w:val="20"/>
                <w:u w:val="single"/>
                <w:lang w:eastAsia="en-AU"/>
              </w:rPr>
              <w:t xml:space="preserve"> TPS 1</w:t>
            </w:r>
            <w:r w:rsidRPr="007656C1">
              <w:rPr>
                <w:rFonts w:ascii="Arial" w:hAnsi="Arial" w:cs="Arial"/>
                <w:b/>
                <w:sz w:val="20"/>
                <w:szCs w:val="20"/>
                <w:u w:val="single"/>
                <w:lang w:eastAsia="en-AU"/>
              </w:rPr>
              <w:t>‒</w:t>
            </w:r>
            <w:r w:rsidRPr="007656C1">
              <w:rPr>
                <w:rFonts w:ascii="Arial Narrow" w:hAnsi="Arial Narrow"/>
                <w:b/>
                <w:sz w:val="20"/>
                <w:szCs w:val="20"/>
                <w:u w:val="single"/>
                <w:lang w:eastAsia="en-AU"/>
              </w:rPr>
              <w:t>49%</w:t>
            </w:r>
          </w:p>
        </w:tc>
        <w:tc>
          <w:tcPr>
            <w:tcW w:w="755" w:type="pct"/>
            <w:shd w:val="clear" w:color="auto" w:fill="auto"/>
            <w:vAlign w:val="center"/>
          </w:tcPr>
          <w:p w:rsidR="0095055D" w:rsidRPr="007656C1" w:rsidRDefault="0095055D" w:rsidP="00454007">
            <w:pPr>
              <w:jc w:val="center"/>
              <w:rPr>
                <w:rFonts w:ascii="Arial Narrow" w:hAnsi="Arial Narrow"/>
                <w:sz w:val="20"/>
                <w:szCs w:val="20"/>
                <w:lang w:eastAsia="en-AU"/>
              </w:rPr>
            </w:pPr>
            <w:r w:rsidRPr="007656C1">
              <w:rPr>
                <w:rFonts w:ascii="Arial Narrow" w:hAnsi="Arial Narrow"/>
                <w:sz w:val="20"/>
                <w:szCs w:val="20"/>
                <w:lang w:eastAsia="en-AU"/>
              </w:rPr>
              <w:t xml:space="preserve">Pembrolizumab 2mg/kg </w:t>
            </w:r>
            <w:proofErr w:type="spellStart"/>
            <w:r w:rsidRPr="007656C1">
              <w:rPr>
                <w:rFonts w:ascii="Arial Narrow" w:hAnsi="Arial Narrow"/>
                <w:sz w:val="20"/>
                <w:szCs w:val="20"/>
                <w:lang w:eastAsia="en-AU"/>
              </w:rPr>
              <w:t>vs</w:t>
            </w:r>
            <w:proofErr w:type="spellEnd"/>
            <w:r w:rsidRPr="007656C1">
              <w:rPr>
                <w:rFonts w:ascii="Arial Narrow" w:hAnsi="Arial Narrow"/>
                <w:sz w:val="20"/>
                <w:szCs w:val="20"/>
                <w:lang w:eastAsia="en-AU"/>
              </w:rPr>
              <w:t xml:space="preserve"> doc</w:t>
            </w:r>
          </w:p>
        </w:tc>
        <w:tc>
          <w:tcPr>
            <w:tcW w:w="3143" w:type="pct"/>
            <w:gridSpan w:val="3"/>
            <w:shd w:val="clear" w:color="auto" w:fill="auto"/>
            <w:vAlign w:val="center"/>
          </w:tcPr>
          <w:p w:rsidR="00462273" w:rsidRDefault="0095055D" w:rsidP="00454007">
            <w:pPr>
              <w:jc w:val="center"/>
              <w:rPr>
                <w:rFonts w:ascii="Arial Narrow" w:hAnsi="Arial Narrow"/>
                <w:b/>
                <w:sz w:val="20"/>
                <w:szCs w:val="20"/>
                <w:u w:val="single"/>
                <w:lang w:eastAsia="en-AU"/>
              </w:rPr>
            </w:pPr>
            <w:r w:rsidRPr="007656C1">
              <w:rPr>
                <w:rFonts w:ascii="Arial Narrow" w:hAnsi="Arial Narrow"/>
                <w:b/>
                <w:sz w:val="20"/>
                <w:szCs w:val="20"/>
                <w:lang w:eastAsia="en-AU"/>
              </w:rPr>
              <w:t xml:space="preserve">Pembrolizumab 2 mg/kg </w:t>
            </w:r>
            <w:proofErr w:type="spellStart"/>
            <w:r w:rsidRPr="007656C1">
              <w:rPr>
                <w:rFonts w:ascii="Arial Narrow" w:hAnsi="Arial Narrow"/>
                <w:b/>
                <w:sz w:val="20"/>
                <w:szCs w:val="20"/>
                <w:lang w:eastAsia="en-AU"/>
              </w:rPr>
              <w:t>vs</w:t>
            </w:r>
            <w:proofErr w:type="spellEnd"/>
            <w:r w:rsidRPr="007656C1">
              <w:rPr>
                <w:rFonts w:ascii="Arial Narrow" w:hAnsi="Arial Narrow"/>
                <w:b/>
                <w:sz w:val="20"/>
                <w:szCs w:val="20"/>
                <w:lang w:eastAsia="en-AU"/>
              </w:rPr>
              <w:t xml:space="preserve"> </w:t>
            </w:r>
            <w:proofErr w:type="spellStart"/>
            <w:r w:rsidRPr="007656C1">
              <w:rPr>
                <w:rFonts w:ascii="Arial Narrow" w:hAnsi="Arial Narrow"/>
                <w:b/>
                <w:sz w:val="20"/>
                <w:szCs w:val="20"/>
                <w:lang w:eastAsia="en-AU"/>
              </w:rPr>
              <w:t>docetaxel</w:t>
            </w:r>
            <w:proofErr w:type="spellEnd"/>
            <w:r w:rsidRPr="007656C1">
              <w:rPr>
                <w:rFonts w:ascii="Arial Narrow" w:hAnsi="Arial Narrow"/>
                <w:b/>
                <w:sz w:val="20"/>
                <w:szCs w:val="20"/>
                <w:lang w:eastAsia="en-AU"/>
              </w:rPr>
              <w:t xml:space="preserve"> in ≥50%</w:t>
            </w:r>
            <w:r w:rsidRPr="007656C1">
              <w:rPr>
                <w:rFonts w:ascii="Arial Narrow" w:hAnsi="Arial Narrow"/>
                <w:b/>
                <w:sz w:val="20"/>
                <w:szCs w:val="20"/>
                <w:u w:val="single"/>
                <w:lang w:eastAsia="en-AU"/>
              </w:rPr>
              <w:t xml:space="preserve"> versus </w:t>
            </w:r>
          </w:p>
          <w:p w:rsidR="0095055D" w:rsidRPr="007656C1" w:rsidRDefault="0095055D" w:rsidP="00454007">
            <w:pPr>
              <w:jc w:val="center"/>
              <w:rPr>
                <w:rFonts w:ascii="Arial Narrow" w:hAnsi="Arial Narrow"/>
                <w:b/>
                <w:sz w:val="20"/>
                <w:szCs w:val="20"/>
                <w:lang w:eastAsia="en-AU"/>
              </w:rPr>
            </w:pPr>
            <w:r w:rsidRPr="007656C1">
              <w:rPr>
                <w:rFonts w:ascii="Arial Narrow" w:hAnsi="Arial Narrow"/>
                <w:b/>
                <w:sz w:val="20"/>
                <w:szCs w:val="20"/>
                <w:lang w:eastAsia="en-AU"/>
              </w:rPr>
              <w:t xml:space="preserve">Pembrolizumab 2 mg/kg </w:t>
            </w:r>
            <w:proofErr w:type="spellStart"/>
            <w:r w:rsidRPr="007656C1">
              <w:rPr>
                <w:rFonts w:ascii="Arial Narrow" w:hAnsi="Arial Narrow"/>
                <w:b/>
                <w:sz w:val="20"/>
                <w:szCs w:val="20"/>
                <w:lang w:eastAsia="en-AU"/>
              </w:rPr>
              <w:t>vs</w:t>
            </w:r>
            <w:proofErr w:type="spellEnd"/>
            <w:r w:rsidRPr="007656C1">
              <w:rPr>
                <w:rFonts w:ascii="Arial Narrow" w:hAnsi="Arial Narrow"/>
                <w:b/>
                <w:sz w:val="20"/>
                <w:szCs w:val="20"/>
                <w:lang w:eastAsia="en-AU"/>
              </w:rPr>
              <w:t xml:space="preserve"> </w:t>
            </w:r>
            <w:proofErr w:type="spellStart"/>
            <w:r w:rsidRPr="007656C1">
              <w:rPr>
                <w:rFonts w:ascii="Arial Narrow" w:hAnsi="Arial Narrow"/>
                <w:b/>
                <w:sz w:val="20"/>
                <w:szCs w:val="20"/>
                <w:lang w:eastAsia="en-AU"/>
              </w:rPr>
              <w:t>docetaxel</w:t>
            </w:r>
            <w:proofErr w:type="spellEnd"/>
            <w:r w:rsidRPr="007656C1">
              <w:rPr>
                <w:rFonts w:ascii="Arial Narrow" w:hAnsi="Arial Narrow"/>
                <w:b/>
                <w:sz w:val="20"/>
                <w:szCs w:val="20"/>
                <w:lang w:eastAsia="en-AU"/>
              </w:rPr>
              <w:t xml:space="preserve"> in 1</w:t>
            </w:r>
            <w:r w:rsidRPr="007656C1">
              <w:rPr>
                <w:rFonts w:ascii="Arial" w:hAnsi="Arial" w:cs="Arial"/>
                <w:b/>
                <w:sz w:val="20"/>
                <w:szCs w:val="20"/>
                <w:lang w:eastAsia="en-AU"/>
              </w:rPr>
              <w:t>‒</w:t>
            </w:r>
            <w:r w:rsidRPr="007656C1">
              <w:rPr>
                <w:rFonts w:ascii="Arial Narrow" w:hAnsi="Arial Narrow"/>
                <w:b/>
                <w:sz w:val="20"/>
                <w:szCs w:val="20"/>
                <w:lang w:eastAsia="en-AU"/>
              </w:rPr>
              <w:t>49%</w:t>
            </w:r>
          </w:p>
          <w:p w:rsidR="0095055D" w:rsidRPr="007656C1" w:rsidRDefault="0095055D" w:rsidP="00454007">
            <w:pPr>
              <w:jc w:val="center"/>
              <w:rPr>
                <w:rFonts w:ascii="Arial Narrow" w:hAnsi="Arial Narrow"/>
                <w:b/>
                <w:sz w:val="20"/>
                <w:szCs w:val="20"/>
                <w:vertAlign w:val="subscript"/>
                <w:lang w:eastAsia="en-AU"/>
              </w:rPr>
            </w:pPr>
            <w:r w:rsidRPr="007656C1">
              <w:rPr>
                <w:rFonts w:ascii="Arial Narrow" w:hAnsi="Arial Narrow"/>
                <w:b/>
                <w:sz w:val="20"/>
                <w:szCs w:val="20"/>
                <w:lang w:eastAsia="en-AU"/>
              </w:rPr>
              <w:t xml:space="preserve">Ratio of HRs (95% CI): </w:t>
            </w:r>
            <w:r w:rsidR="00153EAE">
              <w:rPr>
                <w:rFonts w:ascii="Arial Narrow" w:hAnsi="Arial Narrow"/>
                <w:b/>
                <w:noProof/>
                <w:color w:val="000000"/>
                <w:sz w:val="20"/>
                <w:szCs w:val="20"/>
                <w:highlight w:val="black"/>
                <w:lang w:eastAsia="en-AU"/>
              </w:rPr>
              <w:t>'''''''''</w:t>
            </w:r>
            <w:r w:rsidRPr="007656C1">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7656C1">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7656C1">
              <w:rPr>
                <w:rFonts w:ascii="Arial Narrow" w:hAnsi="Arial Narrow"/>
                <w:b/>
                <w:sz w:val="20"/>
                <w:szCs w:val="20"/>
                <w:lang w:eastAsia="en-AU"/>
              </w:rPr>
              <w:t>)</w:t>
            </w:r>
            <w:r w:rsidRPr="007656C1">
              <w:rPr>
                <w:rFonts w:ascii="Arial Narrow" w:hAnsi="Arial Narrow"/>
                <w:sz w:val="20"/>
                <w:szCs w:val="20"/>
                <w:lang w:eastAsia="en-AU"/>
              </w:rPr>
              <w:t xml:space="preserve">; </w:t>
            </w:r>
            <w:r w:rsidRPr="007656C1">
              <w:rPr>
                <w:rFonts w:ascii="Arial Narrow" w:hAnsi="Arial Narrow"/>
                <w:b/>
                <w:sz w:val="20"/>
                <w:szCs w:val="20"/>
                <w:lang w:eastAsia="en-AU"/>
              </w:rPr>
              <w:t>p =</w:t>
            </w:r>
            <w:r w:rsidR="00153EAE">
              <w:rPr>
                <w:rFonts w:ascii="Arial Narrow" w:hAnsi="Arial Narrow"/>
                <w:b/>
                <w:noProof/>
                <w:color w:val="000000"/>
                <w:sz w:val="20"/>
                <w:szCs w:val="20"/>
                <w:highlight w:val="black"/>
                <w:lang w:eastAsia="en-AU"/>
              </w:rPr>
              <w:t xml:space="preserve"> '''''''''''</w:t>
            </w:r>
          </w:p>
        </w:tc>
      </w:tr>
    </w:tbl>
    <w:p w:rsidR="0095055D" w:rsidRPr="00232CE0" w:rsidRDefault="0095055D" w:rsidP="005078DD">
      <w:pPr>
        <w:widowControl w:val="0"/>
        <w:ind w:left="709"/>
        <w:rPr>
          <w:rFonts w:ascii="Arial Narrow" w:hAnsi="Arial Narrow" w:cs="Arial"/>
          <w:snapToGrid w:val="0"/>
          <w:sz w:val="18"/>
          <w:szCs w:val="20"/>
        </w:rPr>
      </w:pPr>
      <w:proofErr w:type="gramStart"/>
      <w:r w:rsidRPr="002D53DE">
        <w:rPr>
          <w:rFonts w:ascii="Arial Narrow" w:hAnsi="Arial Narrow" w:cs="Arial"/>
          <w:snapToGrid w:val="0"/>
          <w:sz w:val="18"/>
          <w:szCs w:val="20"/>
          <w:vertAlign w:val="superscript"/>
        </w:rPr>
        <w:t>1</w:t>
      </w:r>
      <w:r w:rsidR="00232CE0">
        <w:rPr>
          <w:rFonts w:ascii="Arial Narrow" w:hAnsi="Arial Narrow" w:cs="Arial"/>
          <w:snapToGrid w:val="0"/>
          <w:sz w:val="18"/>
          <w:szCs w:val="20"/>
          <w:vertAlign w:val="superscript"/>
        </w:rPr>
        <w:t xml:space="preserve"> </w:t>
      </w:r>
      <w:r w:rsidRPr="002D53DE">
        <w:rPr>
          <w:rFonts w:ascii="Arial Narrow" w:hAnsi="Arial Narrow" w:cs="Arial"/>
          <w:snapToGrid w:val="0"/>
          <w:sz w:val="18"/>
          <w:szCs w:val="20"/>
        </w:rPr>
        <w:t xml:space="preserve">Based on Cox regression model with treatment as a covariate stratified by ECOG (0 vs. 1), </w:t>
      </w:r>
      <w:r w:rsidR="00232CE0">
        <w:rPr>
          <w:rFonts w:ascii="Arial Narrow" w:hAnsi="Arial Narrow" w:cs="Arial"/>
          <w:snapToGrid w:val="0"/>
          <w:sz w:val="18"/>
          <w:szCs w:val="20"/>
        </w:rPr>
        <w:t>g</w:t>
      </w:r>
      <w:r w:rsidRPr="002D53DE">
        <w:rPr>
          <w:rFonts w:ascii="Arial Narrow" w:hAnsi="Arial Narrow" w:cs="Arial"/>
          <w:snapToGrid w:val="0"/>
          <w:sz w:val="18"/>
          <w:szCs w:val="20"/>
        </w:rPr>
        <w:t>eographic region (East Asian vs. non-East Asian)</w:t>
      </w:r>
      <w:r w:rsidR="00232CE0">
        <w:rPr>
          <w:rFonts w:ascii="Arial Narrow" w:hAnsi="Arial Narrow" w:cs="Arial"/>
          <w:snapToGrid w:val="0"/>
          <w:sz w:val="18"/>
          <w:szCs w:val="20"/>
        </w:rPr>
        <w:t>,</w:t>
      </w:r>
      <w:r w:rsidRPr="00232CE0">
        <w:rPr>
          <w:rFonts w:ascii="Arial Narrow" w:hAnsi="Arial Narrow" w:cs="Arial"/>
          <w:snapToGrid w:val="0"/>
          <w:sz w:val="18"/>
          <w:szCs w:val="20"/>
        </w:rPr>
        <w:t xml:space="preserve"> and PD-L1 status by TPS.</w:t>
      </w:r>
      <w:proofErr w:type="gramEnd"/>
    </w:p>
    <w:p w:rsidR="0095055D" w:rsidRPr="00232CE0" w:rsidRDefault="0095055D" w:rsidP="005078DD">
      <w:pPr>
        <w:widowControl w:val="0"/>
        <w:ind w:left="709"/>
        <w:rPr>
          <w:rFonts w:ascii="Arial Narrow" w:hAnsi="Arial Narrow" w:cs="Arial"/>
          <w:snapToGrid w:val="0"/>
          <w:sz w:val="18"/>
          <w:szCs w:val="20"/>
        </w:rPr>
      </w:pPr>
      <w:r w:rsidRPr="00232CE0">
        <w:rPr>
          <w:rFonts w:ascii="Arial Narrow" w:hAnsi="Arial Narrow" w:cs="Arial"/>
          <w:snapToGrid w:val="0"/>
          <w:sz w:val="18"/>
          <w:szCs w:val="20"/>
        </w:rPr>
        <w:t xml:space="preserve">CI = confidence interval; HR = hazard ratio; </w:t>
      </w:r>
      <w:r w:rsidR="0094730D" w:rsidRPr="00232CE0">
        <w:rPr>
          <w:rFonts w:ascii="Arial Narrow" w:eastAsia="Calibri" w:hAnsi="Arial Narrow"/>
          <w:snapToGrid w:val="0"/>
          <w:sz w:val="18"/>
          <w:szCs w:val="18"/>
        </w:rPr>
        <w:t xml:space="preserve">ITT = intention-to-treat; </w:t>
      </w:r>
      <w:r w:rsidRPr="00232CE0">
        <w:rPr>
          <w:rFonts w:ascii="Arial Narrow" w:hAnsi="Arial Narrow" w:cs="Arial"/>
          <w:snapToGrid w:val="0"/>
          <w:sz w:val="18"/>
          <w:szCs w:val="20"/>
        </w:rPr>
        <w:t>NR = not reported (assumed for the evaluation as “not reached”); Q3W = every three weeks; PD-L1 = programmed death ligand 1; TPS = tumour proportion score (% of tumour cells staining for PD-L1 expression).</w:t>
      </w:r>
    </w:p>
    <w:p w:rsidR="0095055D" w:rsidRPr="002D53DE" w:rsidRDefault="0095055D" w:rsidP="005078DD">
      <w:pPr>
        <w:widowControl w:val="0"/>
        <w:ind w:left="709"/>
        <w:rPr>
          <w:rFonts w:ascii="Arial Narrow" w:hAnsi="Arial Narrow" w:cs="Arial"/>
          <w:snapToGrid w:val="0"/>
          <w:sz w:val="18"/>
          <w:szCs w:val="20"/>
        </w:rPr>
      </w:pPr>
      <w:r w:rsidRPr="00232CE0">
        <w:rPr>
          <w:rFonts w:ascii="Arial Narrow" w:hAnsi="Arial Narrow" w:cs="Arial"/>
          <w:snapToGrid w:val="0"/>
          <w:sz w:val="18"/>
          <w:szCs w:val="20"/>
        </w:rPr>
        <w:t>Sources: Data for the 1</w:t>
      </w:r>
      <w:r w:rsidRPr="00232CE0">
        <w:rPr>
          <w:rFonts w:ascii="Arial" w:hAnsi="Arial" w:cs="Arial"/>
          <w:snapToGrid w:val="0"/>
          <w:sz w:val="18"/>
          <w:szCs w:val="20"/>
        </w:rPr>
        <w:t>‒</w:t>
      </w:r>
      <w:r w:rsidRPr="00232CE0">
        <w:rPr>
          <w:rFonts w:ascii="Arial Narrow" w:hAnsi="Arial Narrow" w:cs="Arial"/>
          <w:snapToGrid w:val="0"/>
          <w:sz w:val="18"/>
          <w:szCs w:val="20"/>
        </w:rPr>
        <w:t>49% were sourced from Table 14.2.1-7, p666 of the KN-010 clinical study report. The approach by Altman et al (2003)</w:t>
      </w:r>
      <w:r w:rsidRPr="00232CE0">
        <w:rPr>
          <w:rStyle w:val="FootnoteReference"/>
          <w:rFonts w:ascii="Arial Narrow" w:hAnsi="Arial Narrow" w:cs="Arial"/>
          <w:snapToGrid w:val="0"/>
          <w:sz w:val="18"/>
          <w:szCs w:val="20"/>
        </w:rPr>
        <w:footnoteReference w:id="3"/>
      </w:r>
      <w:r w:rsidRPr="00232CE0">
        <w:rPr>
          <w:rFonts w:ascii="Arial Narrow" w:hAnsi="Arial Narrow" w:cs="Arial"/>
          <w:snapToGrid w:val="0"/>
          <w:sz w:val="18"/>
          <w:szCs w:val="20"/>
        </w:rPr>
        <w:t xml:space="preserve"> was used to conduct tests for treatment effect variation during the evaluation. </w:t>
      </w:r>
      <w:proofErr w:type="gramStart"/>
      <w:r w:rsidRPr="00232CE0">
        <w:rPr>
          <w:rFonts w:ascii="Arial Narrow" w:hAnsi="Arial Narrow" w:cs="Arial"/>
          <w:snapToGrid w:val="0"/>
          <w:sz w:val="18"/>
          <w:szCs w:val="20"/>
        </w:rPr>
        <w:t xml:space="preserve">Data for all other PD-L1 expression strata from Tables </w:t>
      </w:r>
      <w:r w:rsidRPr="002D53DE">
        <w:rPr>
          <w:rFonts w:ascii="Arial Narrow" w:hAnsi="Arial Narrow" w:cs="Arial"/>
          <w:snapToGrid w:val="0"/>
          <w:sz w:val="18"/>
          <w:szCs w:val="20"/>
        </w:rPr>
        <w:t>B.6.1 (p109) and B.6.3 (p111) of the main submission</w:t>
      </w:r>
      <w:r w:rsidR="00460AAD">
        <w:rPr>
          <w:rFonts w:ascii="Arial Narrow" w:hAnsi="Arial Narrow" w:cs="Arial"/>
          <w:snapToGrid w:val="0"/>
          <w:sz w:val="18"/>
          <w:szCs w:val="20"/>
        </w:rPr>
        <w:t>.</w:t>
      </w:r>
      <w:proofErr w:type="gramEnd"/>
    </w:p>
    <w:p w:rsidR="00AA0CE0" w:rsidRPr="00B24457" w:rsidRDefault="00AA0CE0" w:rsidP="00AA0CE0">
      <w:pPr>
        <w:rPr>
          <w:rFonts w:ascii="Arial" w:eastAsia="Calibri" w:hAnsi="Arial" w:cs="Arial"/>
          <w:sz w:val="22"/>
          <w:szCs w:val="22"/>
          <w:highlight w:val="yellow"/>
          <w:lang w:eastAsia="en-GB"/>
        </w:rPr>
      </w:pPr>
    </w:p>
    <w:p w:rsidR="00AA0CE0" w:rsidRPr="00B24457" w:rsidRDefault="00AA0CE0" w:rsidP="005078DD">
      <w:pPr>
        <w:pStyle w:val="TableHeading0"/>
        <w:ind w:firstLine="709"/>
        <w:rPr>
          <w:b w:val="0"/>
          <w:lang w:val="en-GB"/>
        </w:rPr>
      </w:pPr>
      <w:r w:rsidRPr="00E723AB">
        <w:rPr>
          <w:lang w:val="en-GB"/>
        </w:rPr>
        <w:t xml:space="preserve">Figure </w:t>
      </w:r>
      <w:r w:rsidR="006307AA">
        <w:rPr>
          <w:lang w:val="en-GB"/>
        </w:rPr>
        <w:t>2</w:t>
      </w:r>
      <w:r w:rsidRPr="00E723AB">
        <w:rPr>
          <w:lang w:val="en-GB"/>
        </w:rPr>
        <w:t>: KN-010: Kaplan-Meier of OS</w:t>
      </w:r>
      <w:r w:rsidR="00615E0E">
        <w:rPr>
          <w:lang w:val="en-GB"/>
        </w:rPr>
        <w:t>,</w:t>
      </w:r>
      <w:r w:rsidRPr="00E723AB">
        <w:rPr>
          <w:lang w:val="en-GB"/>
        </w:rPr>
        <w:t xml:space="preserve"> ITT po</w:t>
      </w:r>
      <w:r>
        <w:rPr>
          <w:lang w:val="en-GB"/>
        </w:rPr>
        <w:t>pulation (TPS ≥</w:t>
      </w:r>
      <w:r w:rsidR="00B24457">
        <w:rPr>
          <w:lang w:val="en-GB"/>
        </w:rPr>
        <w:t>1%)</w:t>
      </w:r>
      <w:r w:rsidR="0017289B">
        <w:rPr>
          <w:lang w:val="en-GB"/>
        </w:rPr>
        <w:t xml:space="preserve">, </w:t>
      </w:r>
      <w:r w:rsidR="0017289B">
        <w:t>d</w:t>
      </w:r>
      <w:r w:rsidR="0017289B" w:rsidRPr="002D53DE">
        <w:t xml:space="preserve">ata </w:t>
      </w:r>
      <w:r w:rsidR="0017289B">
        <w:t>cut-off: 30 September 2015</w:t>
      </w:r>
    </w:p>
    <w:p w:rsidR="00AA0CE0" w:rsidRPr="00232CE0" w:rsidRDefault="00F12F8C" w:rsidP="005078DD">
      <w:pPr>
        <w:spacing w:line="276" w:lineRule="auto"/>
        <w:ind w:firstLine="709"/>
        <w:rPr>
          <w:rFonts w:ascii="Arial" w:eastAsia="Calibri" w:hAnsi="Arial" w:cs="Arial"/>
          <w:sz w:val="22"/>
          <w:szCs w:val="22"/>
        </w:rPr>
      </w:pPr>
      <w:r>
        <w:rPr>
          <w:noProof/>
          <w:lang w:eastAsia="en-AU"/>
        </w:rPr>
        <w:drawing>
          <wp:inline distT="0" distB="0" distL="0" distR="0">
            <wp:extent cx="5295900" cy="3619500"/>
            <wp:effectExtent l="0" t="0" r="0" b="0"/>
            <wp:docPr id="2" name="Picture 16" title="Kaplan-Meier of OS, ITT population (TPS ≥1%), data cut-off: 30 Septemb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l="3442" b="11075"/>
                    <a:stretch>
                      <a:fillRect/>
                    </a:stretch>
                  </pic:blipFill>
                  <pic:spPr bwMode="auto">
                    <a:xfrm>
                      <a:off x="0" y="0"/>
                      <a:ext cx="5295900" cy="3619500"/>
                    </a:xfrm>
                    <a:prstGeom prst="rect">
                      <a:avLst/>
                    </a:prstGeom>
                    <a:noFill/>
                    <a:ln>
                      <a:noFill/>
                    </a:ln>
                  </pic:spPr>
                </pic:pic>
              </a:graphicData>
            </a:graphic>
          </wp:inline>
        </w:drawing>
      </w:r>
    </w:p>
    <w:p w:rsidR="00AA0CE0" w:rsidRDefault="0094730D" w:rsidP="005078DD">
      <w:pPr>
        <w:pStyle w:val="TableFooter"/>
        <w:ind w:left="709"/>
      </w:pPr>
      <w:r w:rsidRPr="00232CE0">
        <w:rPr>
          <w:rFonts w:eastAsia="Calibri"/>
        </w:rPr>
        <w:t xml:space="preserve">ITT = intention-to-treat; </w:t>
      </w:r>
      <w:r w:rsidR="00AA0CE0">
        <w:t>TPS = tumour proportion score (% of tumour cells staining for PD-L1 expression); MK-3475 = Pembrolizumab; Q3W = every three weeks.</w:t>
      </w:r>
    </w:p>
    <w:p w:rsidR="00AA0CE0" w:rsidRPr="00FA69A6" w:rsidRDefault="00AA0CE0" w:rsidP="005078DD">
      <w:pPr>
        <w:spacing w:line="276" w:lineRule="auto"/>
        <w:ind w:left="709"/>
        <w:rPr>
          <w:rFonts w:ascii="Arial Narrow" w:eastAsia="Calibri" w:hAnsi="Arial Narrow" w:cs="Arial"/>
          <w:sz w:val="18"/>
          <w:szCs w:val="18"/>
        </w:rPr>
      </w:pPr>
      <w:r w:rsidRPr="00FA69A6">
        <w:rPr>
          <w:rFonts w:ascii="Arial Narrow" w:eastAsia="Calibri" w:hAnsi="Arial Narrow" w:cs="Arial"/>
          <w:sz w:val="18"/>
          <w:szCs w:val="18"/>
        </w:rPr>
        <w:t>Source: Figure B.6.</w:t>
      </w:r>
      <w:r w:rsidR="00232CE0">
        <w:rPr>
          <w:rFonts w:ascii="Arial Narrow" w:eastAsia="Calibri" w:hAnsi="Arial Narrow" w:cs="Arial"/>
          <w:sz w:val="18"/>
          <w:szCs w:val="18"/>
        </w:rPr>
        <w:t>3, p116 of the main submission</w:t>
      </w:r>
    </w:p>
    <w:p w:rsidR="00AA0CE0" w:rsidRPr="00B24457" w:rsidRDefault="00AA0CE0" w:rsidP="00AA0CE0">
      <w:pPr>
        <w:rPr>
          <w:rFonts w:ascii="Arial" w:hAnsi="Arial" w:cs="Arial"/>
          <w:sz w:val="22"/>
          <w:szCs w:val="22"/>
        </w:rPr>
      </w:pPr>
    </w:p>
    <w:p w:rsidR="00E950D7" w:rsidRDefault="0095055D" w:rsidP="009C3A29">
      <w:pPr>
        <w:pStyle w:val="ListParagraph"/>
        <w:numPr>
          <w:ilvl w:val="1"/>
          <w:numId w:val="3"/>
        </w:numPr>
        <w:ind w:left="709"/>
        <w:rPr>
          <w:rFonts w:ascii="Arial" w:hAnsi="Arial" w:cs="Arial"/>
          <w:sz w:val="22"/>
        </w:rPr>
      </w:pPr>
      <w:r w:rsidRPr="00FC55C7">
        <w:rPr>
          <w:rFonts w:ascii="Arial" w:hAnsi="Arial" w:cs="Arial"/>
          <w:sz w:val="22"/>
        </w:rPr>
        <w:t xml:space="preserve">Pembrolizumab 2 mg/kg was statistically significantly superior compared with </w:t>
      </w:r>
      <w:proofErr w:type="spellStart"/>
      <w:r w:rsidRPr="00FC55C7">
        <w:rPr>
          <w:rFonts w:ascii="Arial" w:hAnsi="Arial" w:cs="Arial"/>
          <w:sz w:val="22"/>
        </w:rPr>
        <w:t>docetaxel</w:t>
      </w:r>
      <w:proofErr w:type="spellEnd"/>
      <w:r w:rsidRPr="00FC55C7">
        <w:rPr>
          <w:rFonts w:ascii="Arial" w:hAnsi="Arial" w:cs="Arial"/>
          <w:sz w:val="22"/>
        </w:rPr>
        <w:t xml:space="preserve"> for the </w:t>
      </w:r>
      <w:r w:rsidR="00BD4D46">
        <w:rPr>
          <w:rFonts w:ascii="Arial" w:hAnsi="Arial" w:cs="Arial"/>
          <w:sz w:val="22"/>
        </w:rPr>
        <w:t>ITT population (</w:t>
      </w:r>
      <w:r w:rsidRPr="00FC55C7">
        <w:rPr>
          <w:rFonts w:ascii="Arial" w:hAnsi="Arial" w:cs="Arial"/>
          <w:sz w:val="22"/>
        </w:rPr>
        <w:t>all PD-L1 positive</w:t>
      </w:r>
      <w:r w:rsidR="00BD4D46">
        <w:rPr>
          <w:rFonts w:ascii="Arial" w:hAnsi="Arial" w:cs="Arial"/>
          <w:sz w:val="22"/>
        </w:rPr>
        <w:t xml:space="preserve">, </w:t>
      </w:r>
      <w:r w:rsidRPr="00FC55C7">
        <w:rPr>
          <w:rFonts w:ascii="Arial" w:hAnsi="Arial" w:cs="Arial"/>
          <w:sz w:val="22"/>
        </w:rPr>
        <w:t xml:space="preserve">TPS ≥1%: 30% reduction in risk of death) and </w:t>
      </w:r>
      <w:r w:rsidR="00BD4D46">
        <w:rPr>
          <w:rFonts w:ascii="Arial" w:hAnsi="Arial" w:cs="Arial"/>
          <w:sz w:val="22"/>
        </w:rPr>
        <w:t xml:space="preserve">the subgroup who were </w:t>
      </w:r>
      <w:r w:rsidRPr="00FC55C7">
        <w:rPr>
          <w:rFonts w:ascii="Arial" w:hAnsi="Arial" w:cs="Arial"/>
          <w:sz w:val="22"/>
        </w:rPr>
        <w:t>strongly PD-L1 positive (TPS ≥50%: 50% reduction in risk of death)</w:t>
      </w:r>
      <w:r w:rsidR="00BD4D46">
        <w:rPr>
          <w:rFonts w:ascii="Arial" w:hAnsi="Arial" w:cs="Arial"/>
          <w:sz w:val="22"/>
        </w:rPr>
        <w:t>,</w:t>
      </w:r>
      <w:r w:rsidRPr="00FC55C7">
        <w:rPr>
          <w:rFonts w:ascii="Arial" w:hAnsi="Arial" w:cs="Arial"/>
          <w:sz w:val="22"/>
        </w:rPr>
        <w:t xml:space="preserve"> when histology was not considered. The TPS ≥1% results were likely driven by the strongly PD-L1 positive subgroup. </w:t>
      </w:r>
      <w:r w:rsidR="00BD4D46">
        <w:rPr>
          <w:rFonts w:ascii="Arial" w:hAnsi="Arial" w:cs="Arial"/>
          <w:sz w:val="22"/>
        </w:rPr>
        <w:t>In the</w:t>
      </w:r>
      <w:r w:rsidRPr="00FC55C7">
        <w:rPr>
          <w:rFonts w:ascii="Arial" w:hAnsi="Arial" w:cs="Arial"/>
          <w:sz w:val="22"/>
        </w:rPr>
        <w:t xml:space="preserve"> weakly PD-L1 positive </w:t>
      </w:r>
      <w:r w:rsidR="00BD4D46">
        <w:rPr>
          <w:rFonts w:ascii="Arial" w:hAnsi="Arial" w:cs="Arial"/>
          <w:sz w:val="22"/>
        </w:rPr>
        <w:t>subgroup</w:t>
      </w:r>
      <w:r w:rsidRPr="00FC55C7">
        <w:rPr>
          <w:rFonts w:ascii="Arial" w:hAnsi="Arial" w:cs="Arial"/>
          <w:sz w:val="22"/>
        </w:rPr>
        <w:t xml:space="preserve"> (TPS 1‒49%), the </w:t>
      </w:r>
      <w:r w:rsidR="00B54739">
        <w:rPr>
          <w:rFonts w:ascii="Arial" w:hAnsi="Arial" w:cs="Arial"/>
          <w:sz w:val="22"/>
        </w:rPr>
        <w:t xml:space="preserve">gain in </w:t>
      </w:r>
      <w:r w:rsidRPr="00FC55C7">
        <w:rPr>
          <w:rFonts w:ascii="Arial" w:hAnsi="Arial" w:cs="Arial"/>
          <w:sz w:val="22"/>
        </w:rPr>
        <w:t xml:space="preserve">OS favouring pembrolizumab over </w:t>
      </w:r>
      <w:proofErr w:type="spellStart"/>
      <w:r w:rsidRPr="00FC55C7">
        <w:rPr>
          <w:rFonts w:ascii="Arial" w:hAnsi="Arial" w:cs="Arial"/>
          <w:sz w:val="22"/>
        </w:rPr>
        <w:t>docetaxel</w:t>
      </w:r>
      <w:proofErr w:type="spellEnd"/>
      <w:r w:rsidRPr="00FC55C7">
        <w:rPr>
          <w:rFonts w:ascii="Arial" w:hAnsi="Arial" w:cs="Arial"/>
          <w:sz w:val="22"/>
        </w:rPr>
        <w:t xml:space="preserve"> was statistically significant only for the </w:t>
      </w:r>
      <w:r w:rsidR="00B24457">
        <w:rPr>
          <w:rFonts w:ascii="Arial" w:hAnsi="Arial" w:cs="Arial"/>
          <w:sz w:val="22"/>
        </w:rPr>
        <w:t>pembrolizumab 10 mg/kg dose.</w:t>
      </w:r>
    </w:p>
    <w:p w:rsidR="00E950D7" w:rsidRDefault="00E950D7" w:rsidP="00B24457">
      <w:pPr>
        <w:pStyle w:val="ListParagraph"/>
        <w:ind w:left="-11" w:firstLine="0"/>
        <w:rPr>
          <w:rFonts w:ascii="Arial" w:hAnsi="Arial" w:cs="Arial"/>
          <w:sz w:val="22"/>
        </w:rPr>
      </w:pPr>
    </w:p>
    <w:p w:rsidR="0095055D" w:rsidRPr="00FC55C7" w:rsidRDefault="0095055D" w:rsidP="009C3A29">
      <w:pPr>
        <w:pStyle w:val="ListParagraph"/>
        <w:numPr>
          <w:ilvl w:val="1"/>
          <w:numId w:val="3"/>
        </w:numPr>
        <w:ind w:left="709"/>
        <w:rPr>
          <w:rFonts w:ascii="Arial" w:hAnsi="Arial" w:cs="Arial"/>
          <w:sz w:val="22"/>
        </w:rPr>
      </w:pPr>
      <w:r w:rsidRPr="005871B5">
        <w:rPr>
          <w:rFonts w:ascii="Arial" w:hAnsi="Arial" w:cs="Arial"/>
          <w:sz w:val="22"/>
        </w:rPr>
        <w:t xml:space="preserve">The median OS gain with pembrolizumab over </w:t>
      </w:r>
      <w:proofErr w:type="spellStart"/>
      <w:r w:rsidRPr="005871B5">
        <w:rPr>
          <w:rFonts w:ascii="Arial" w:hAnsi="Arial" w:cs="Arial"/>
          <w:sz w:val="22"/>
        </w:rPr>
        <w:t>docetaxel</w:t>
      </w:r>
      <w:proofErr w:type="spellEnd"/>
      <w:r w:rsidRPr="005871B5">
        <w:rPr>
          <w:rFonts w:ascii="Arial" w:hAnsi="Arial" w:cs="Arial"/>
          <w:sz w:val="22"/>
        </w:rPr>
        <w:t xml:space="preserve"> was substantially larger for the TPS ≥50% subgroup (6.7 months and 9.1 months for the pembrolizumab 2 mg/kg and 10 mg/kg doses, respectively) compared with the TPS 1‒49% subgroup (1-2 months). A test for treatment effect variation for the </w:t>
      </w:r>
      <w:proofErr w:type="spellStart"/>
      <w:r w:rsidR="00A27A35" w:rsidRPr="005871B5">
        <w:rPr>
          <w:rFonts w:ascii="Arial" w:hAnsi="Arial" w:cs="Arial"/>
          <w:sz w:val="22"/>
        </w:rPr>
        <w:t>prespecified</w:t>
      </w:r>
      <w:proofErr w:type="spellEnd"/>
      <w:r w:rsidR="00A27A35" w:rsidRPr="005871B5">
        <w:rPr>
          <w:rFonts w:ascii="Arial" w:hAnsi="Arial" w:cs="Arial"/>
          <w:sz w:val="22"/>
        </w:rPr>
        <w:t xml:space="preserve"> </w:t>
      </w:r>
      <w:r w:rsidR="00E950D7" w:rsidRPr="005871B5">
        <w:rPr>
          <w:rFonts w:ascii="Arial" w:hAnsi="Arial" w:cs="Arial"/>
          <w:sz w:val="22"/>
        </w:rPr>
        <w:t>strong (</w:t>
      </w:r>
      <w:r w:rsidRPr="005871B5">
        <w:rPr>
          <w:rFonts w:ascii="Arial" w:hAnsi="Arial" w:cs="Arial"/>
          <w:sz w:val="22"/>
        </w:rPr>
        <w:t>TPS ≥50%</w:t>
      </w:r>
      <w:r w:rsidR="00E950D7" w:rsidRPr="005871B5">
        <w:rPr>
          <w:rFonts w:ascii="Arial" w:hAnsi="Arial" w:cs="Arial"/>
          <w:sz w:val="22"/>
        </w:rPr>
        <w:t>)</w:t>
      </w:r>
      <w:r w:rsidRPr="005871B5">
        <w:rPr>
          <w:rFonts w:ascii="Arial" w:hAnsi="Arial" w:cs="Arial"/>
          <w:sz w:val="22"/>
        </w:rPr>
        <w:t xml:space="preserve"> </w:t>
      </w:r>
      <w:proofErr w:type="spellStart"/>
      <w:r w:rsidRPr="005871B5">
        <w:rPr>
          <w:rFonts w:ascii="Arial" w:hAnsi="Arial" w:cs="Arial"/>
          <w:sz w:val="22"/>
        </w:rPr>
        <w:t>vs</w:t>
      </w:r>
      <w:proofErr w:type="spellEnd"/>
      <w:r w:rsidRPr="005871B5">
        <w:rPr>
          <w:rFonts w:ascii="Arial" w:hAnsi="Arial" w:cs="Arial"/>
          <w:sz w:val="22"/>
        </w:rPr>
        <w:t xml:space="preserve"> </w:t>
      </w:r>
      <w:r w:rsidR="00E950D7" w:rsidRPr="005871B5">
        <w:rPr>
          <w:rFonts w:ascii="Arial" w:hAnsi="Arial" w:cs="Arial"/>
          <w:sz w:val="22"/>
        </w:rPr>
        <w:t>weak (</w:t>
      </w:r>
      <w:r w:rsidRPr="005871B5">
        <w:rPr>
          <w:rFonts w:ascii="Arial" w:hAnsi="Arial" w:cs="Arial"/>
          <w:sz w:val="22"/>
        </w:rPr>
        <w:t>TPS 1‒49%</w:t>
      </w:r>
      <w:r w:rsidR="00E950D7" w:rsidRPr="005871B5">
        <w:rPr>
          <w:rFonts w:ascii="Arial" w:hAnsi="Arial" w:cs="Arial"/>
          <w:sz w:val="22"/>
        </w:rPr>
        <w:t>)</w:t>
      </w:r>
      <w:r w:rsidRPr="005871B5">
        <w:rPr>
          <w:rFonts w:ascii="Arial" w:hAnsi="Arial" w:cs="Arial"/>
          <w:sz w:val="22"/>
        </w:rPr>
        <w:t xml:space="preserve"> expression sub</w:t>
      </w:r>
      <w:r w:rsidR="00E950D7" w:rsidRPr="005871B5">
        <w:rPr>
          <w:rFonts w:ascii="Arial" w:hAnsi="Arial" w:cs="Arial"/>
          <w:sz w:val="22"/>
        </w:rPr>
        <w:t>groups</w:t>
      </w:r>
      <w:r w:rsidRPr="005871B5">
        <w:rPr>
          <w:rFonts w:ascii="Arial" w:hAnsi="Arial" w:cs="Arial"/>
          <w:sz w:val="22"/>
        </w:rPr>
        <w:t xml:space="preserve"> was not statistically significant</w:t>
      </w:r>
      <w:r w:rsidR="00A27A35">
        <w:rPr>
          <w:rFonts w:ascii="Arial" w:hAnsi="Arial" w:cs="Arial"/>
          <w:sz w:val="22"/>
        </w:rPr>
        <w:t xml:space="preserve"> (p=</w:t>
      </w:r>
      <w:r w:rsidR="00153EAE">
        <w:rPr>
          <w:rFonts w:ascii="Arial" w:hAnsi="Arial" w:cs="Arial"/>
          <w:noProof/>
          <w:color w:val="000000"/>
          <w:sz w:val="22"/>
          <w:highlight w:val="black"/>
        </w:rPr>
        <w:t>''''''''''''''</w:t>
      </w:r>
      <w:r w:rsidR="00A27A35">
        <w:rPr>
          <w:rFonts w:ascii="Arial" w:hAnsi="Arial" w:cs="Arial"/>
          <w:sz w:val="22"/>
        </w:rPr>
        <w:t>)</w:t>
      </w:r>
      <w:r w:rsidR="00E950D7">
        <w:rPr>
          <w:rFonts w:ascii="Arial" w:hAnsi="Arial" w:cs="Arial"/>
          <w:sz w:val="22"/>
        </w:rPr>
        <w:t>,</w:t>
      </w:r>
      <w:r w:rsidRPr="00FC55C7">
        <w:rPr>
          <w:rFonts w:ascii="Arial" w:hAnsi="Arial" w:cs="Arial"/>
          <w:sz w:val="22"/>
        </w:rPr>
        <w:t xml:space="preserve"> possibly due to inadequate statistical power.</w:t>
      </w:r>
      <w:r w:rsidR="000928B2">
        <w:rPr>
          <w:rFonts w:ascii="Arial" w:hAnsi="Arial" w:cs="Arial"/>
          <w:sz w:val="22"/>
        </w:rPr>
        <w:t xml:space="preserve"> </w:t>
      </w:r>
      <w:r w:rsidR="00B04CC2">
        <w:rPr>
          <w:rFonts w:ascii="Arial" w:hAnsi="Arial" w:cs="Arial"/>
          <w:sz w:val="22"/>
        </w:rPr>
        <w:t xml:space="preserve">The </w:t>
      </w:r>
      <w:r w:rsidR="00B04CC2" w:rsidRPr="007C0C99">
        <w:rPr>
          <w:rFonts w:ascii="Arial" w:hAnsi="Arial" w:cs="Arial"/>
          <w:sz w:val="22"/>
        </w:rPr>
        <w:t xml:space="preserve">incremental gain in median survival of pembrolizumab over </w:t>
      </w:r>
      <w:proofErr w:type="spellStart"/>
      <w:r w:rsidR="00B04CC2" w:rsidRPr="007C0C99">
        <w:rPr>
          <w:rFonts w:ascii="Arial" w:hAnsi="Arial" w:cs="Arial"/>
          <w:sz w:val="22"/>
        </w:rPr>
        <w:t>docetaxel</w:t>
      </w:r>
      <w:proofErr w:type="spellEnd"/>
      <w:r w:rsidR="00B04CC2" w:rsidRPr="007C0C99">
        <w:rPr>
          <w:rFonts w:ascii="Arial" w:hAnsi="Arial" w:cs="Arial"/>
          <w:sz w:val="22"/>
        </w:rPr>
        <w:t xml:space="preserve"> was largest for the TPS ≥50% subgroup and that using this result rather than the result for the ITT population had a large and favourable impact on the ICER</w:t>
      </w:r>
      <w:r w:rsidR="000928B2" w:rsidRPr="007C0C99">
        <w:rPr>
          <w:rFonts w:ascii="Arial" w:hAnsi="Arial" w:cs="Arial"/>
          <w:sz w:val="22"/>
        </w:rPr>
        <w:t>.</w:t>
      </w:r>
    </w:p>
    <w:p w:rsidR="0095055D" w:rsidRPr="00FC55C7" w:rsidRDefault="0095055D" w:rsidP="00252CD8">
      <w:pPr>
        <w:pStyle w:val="ListParagraph"/>
        <w:ind w:left="0" w:firstLine="0"/>
        <w:rPr>
          <w:rFonts w:ascii="Arial" w:hAnsi="Arial" w:cs="Arial"/>
          <w:sz w:val="22"/>
        </w:rPr>
      </w:pPr>
    </w:p>
    <w:p w:rsidR="0095055D" w:rsidRDefault="00B24457" w:rsidP="009C3A29">
      <w:pPr>
        <w:pStyle w:val="ListParagraph"/>
        <w:numPr>
          <w:ilvl w:val="1"/>
          <w:numId w:val="3"/>
        </w:numPr>
        <w:ind w:left="709"/>
        <w:rPr>
          <w:rFonts w:ascii="Arial" w:hAnsi="Arial" w:cs="Arial"/>
          <w:sz w:val="22"/>
          <w:szCs w:val="22"/>
        </w:rPr>
      </w:pPr>
      <w:r>
        <w:rPr>
          <w:rFonts w:ascii="Arial" w:hAnsi="Arial" w:cs="Arial"/>
          <w:sz w:val="22"/>
        </w:rPr>
        <w:t>Patients randomised to th</w:t>
      </w:r>
      <w:r w:rsidR="00535BDB">
        <w:rPr>
          <w:rFonts w:ascii="Arial" w:hAnsi="Arial" w:cs="Arial"/>
          <w:sz w:val="22"/>
        </w:rPr>
        <w:t>e</w:t>
      </w:r>
      <w:r w:rsidR="0095055D" w:rsidRPr="00FC55C7">
        <w:rPr>
          <w:rFonts w:ascii="Arial" w:hAnsi="Arial" w:cs="Arial"/>
          <w:sz w:val="22"/>
        </w:rPr>
        <w:t xml:space="preserve"> pembrolizumab 10 mg/kg</w:t>
      </w:r>
      <w:r w:rsidR="0095055D" w:rsidRPr="00FC55C7">
        <w:rPr>
          <w:rFonts w:ascii="Arial" w:hAnsi="Arial" w:cs="Arial"/>
          <w:sz w:val="22"/>
          <w:szCs w:val="22"/>
        </w:rPr>
        <w:t xml:space="preserve"> </w:t>
      </w:r>
      <w:r>
        <w:rPr>
          <w:rFonts w:ascii="Arial" w:hAnsi="Arial" w:cs="Arial"/>
          <w:sz w:val="22"/>
          <w:szCs w:val="22"/>
        </w:rPr>
        <w:t xml:space="preserve">arm of the trial </w:t>
      </w:r>
      <w:r w:rsidR="0095055D" w:rsidRPr="00FC55C7">
        <w:rPr>
          <w:rFonts w:ascii="Arial" w:hAnsi="Arial" w:cs="Arial"/>
          <w:sz w:val="22"/>
          <w:szCs w:val="22"/>
        </w:rPr>
        <w:t>experienced longer median OS compared to</w:t>
      </w:r>
      <w:r>
        <w:rPr>
          <w:rFonts w:ascii="Arial" w:hAnsi="Arial" w:cs="Arial"/>
          <w:sz w:val="22"/>
          <w:szCs w:val="22"/>
        </w:rPr>
        <w:t xml:space="preserve"> those randomised to </w:t>
      </w:r>
      <w:r w:rsidR="00535BDB">
        <w:rPr>
          <w:rFonts w:ascii="Arial" w:hAnsi="Arial" w:cs="Arial"/>
          <w:sz w:val="22"/>
          <w:szCs w:val="22"/>
        </w:rPr>
        <w:t xml:space="preserve">the </w:t>
      </w:r>
      <w:r w:rsidR="0095055D" w:rsidRPr="00FC55C7">
        <w:rPr>
          <w:rFonts w:ascii="Arial" w:hAnsi="Arial" w:cs="Arial"/>
          <w:sz w:val="22"/>
          <w:szCs w:val="22"/>
        </w:rPr>
        <w:t>pembrolizumab 2 mg/kg</w:t>
      </w:r>
      <w:r>
        <w:rPr>
          <w:rFonts w:ascii="Arial" w:hAnsi="Arial" w:cs="Arial"/>
          <w:sz w:val="22"/>
          <w:szCs w:val="22"/>
        </w:rPr>
        <w:t xml:space="preserve"> arm</w:t>
      </w:r>
      <w:r w:rsidR="0095055D" w:rsidRPr="00FC55C7">
        <w:rPr>
          <w:rFonts w:ascii="Arial" w:hAnsi="Arial" w:cs="Arial"/>
          <w:sz w:val="22"/>
          <w:szCs w:val="22"/>
        </w:rPr>
        <w:t xml:space="preserve"> (</w:t>
      </w:r>
      <w:r w:rsidR="00535BDB">
        <w:rPr>
          <w:rFonts w:ascii="Arial" w:hAnsi="Arial" w:cs="Arial"/>
          <w:sz w:val="22"/>
          <w:szCs w:val="22"/>
        </w:rPr>
        <w:t>e.g.</w:t>
      </w:r>
      <w:r w:rsidR="0095055D" w:rsidRPr="00FC55C7">
        <w:rPr>
          <w:rFonts w:ascii="Arial" w:hAnsi="Arial" w:cs="Arial"/>
          <w:sz w:val="22"/>
          <w:szCs w:val="22"/>
        </w:rPr>
        <w:t xml:space="preserve"> in the</w:t>
      </w:r>
      <w:r w:rsidR="00535BDB">
        <w:rPr>
          <w:rFonts w:ascii="Arial" w:hAnsi="Arial" w:cs="Arial"/>
          <w:sz w:val="22"/>
          <w:szCs w:val="22"/>
        </w:rPr>
        <w:t xml:space="preserve"> TPS</w:t>
      </w:r>
      <w:r w:rsidR="0095055D" w:rsidRPr="00FC55C7">
        <w:rPr>
          <w:rFonts w:ascii="Arial" w:hAnsi="Arial" w:cs="Arial"/>
          <w:sz w:val="22"/>
          <w:szCs w:val="22"/>
        </w:rPr>
        <w:t xml:space="preserve"> ≥50% s</w:t>
      </w:r>
      <w:r>
        <w:rPr>
          <w:rFonts w:ascii="Arial" w:hAnsi="Arial" w:cs="Arial"/>
          <w:sz w:val="22"/>
          <w:szCs w:val="22"/>
        </w:rPr>
        <w:t>ubgroup</w:t>
      </w:r>
      <w:r w:rsidR="0095055D" w:rsidRPr="00FC55C7">
        <w:rPr>
          <w:rFonts w:ascii="Arial" w:hAnsi="Arial" w:cs="Arial"/>
          <w:sz w:val="22"/>
          <w:szCs w:val="22"/>
        </w:rPr>
        <w:t xml:space="preserve">, 17.3 months </w:t>
      </w:r>
      <w:r w:rsidR="00535BDB">
        <w:rPr>
          <w:rFonts w:ascii="Arial" w:hAnsi="Arial" w:cs="Arial"/>
          <w:sz w:val="22"/>
          <w:szCs w:val="22"/>
        </w:rPr>
        <w:t>[</w:t>
      </w:r>
      <w:r w:rsidR="0095055D" w:rsidRPr="00FC55C7">
        <w:rPr>
          <w:rFonts w:ascii="Arial" w:hAnsi="Arial" w:cs="Arial"/>
          <w:sz w:val="22"/>
          <w:szCs w:val="22"/>
        </w:rPr>
        <w:t>pembrolizumab 10 mg/kg</w:t>
      </w:r>
      <w:r w:rsidR="00535BDB">
        <w:rPr>
          <w:rFonts w:ascii="Arial" w:hAnsi="Arial" w:cs="Arial"/>
          <w:sz w:val="22"/>
          <w:szCs w:val="22"/>
        </w:rPr>
        <w:t>]</w:t>
      </w:r>
      <w:r w:rsidR="0095055D" w:rsidRPr="00FC55C7">
        <w:rPr>
          <w:rFonts w:ascii="Arial" w:hAnsi="Arial" w:cs="Arial"/>
          <w:sz w:val="22"/>
          <w:szCs w:val="22"/>
        </w:rPr>
        <w:t xml:space="preserve"> versus 14.9 months </w:t>
      </w:r>
      <w:r w:rsidR="00535BDB">
        <w:rPr>
          <w:rFonts w:ascii="Arial" w:hAnsi="Arial" w:cs="Arial"/>
          <w:sz w:val="22"/>
          <w:szCs w:val="22"/>
        </w:rPr>
        <w:t>[</w:t>
      </w:r>
      <w:r w:rsidR="0095055D" w:rsidRPr="00FC55C7">
        <w:rPr>
          <w:rFonts w:ascii="Arial" w:hAnsi="Arial" w:cs="Arial"/>
          <w:sz w:val="22"/>
          <w:szCs w:val="22"/>
        </w:rPr>
        <w:t>pembrolizumab 2 mg/kg</w:t>
      </w:r>
      <w:r w:rsidR="00535BDB">
        <w:rPr>
          <w:rFonts w:ascii="Arial" w:hAnsi="Arial" w:cs="Arial"/>
          <w:sz w:val="22"/>
          <w:szCs w:val="22"/>
        </w:rPr>
        <w:t>]</w:t>
      </w:r>
      <w:r w:rsidR="0095055D" w:rsidRPr="00FC55C7">
        <w:rPr>
          <w:rFonts w:ascii="Arial" w:hAnsi="Arial" w:cs="Arial"/>
          <w:sz w:val="22"/>
          <w:szCs w:val="22"/>
        </w:rPr>
        <w:t xml:space="preserve"> versus 8.2 months </w:t>
      </w:r>
      <w:r w:rsidR="00535BDB">
        <w:rPr>
          <w:rFonts w:ascii="Arial" w:hAnsi="Arial" w:cs="Arial"/>
          <w:sz w:val="22"/>
          <w:szCs w:val="22"/>
        </w:rPr>
        <w:t>[</w:t>
      </w:r>
      <w:proofErr w:type="spellStart"/>
      <w:r w:rsidR="0095055D" w:rsidRPr="00FC55C7">
        <w:rPr>
          <w:rFonts w:ascii="Arial" w:hAnsi="Arial" w:cs="Arial"/>
          <w:sz w:val="22"/>
          <w:szCs w:val="22"/>
        </w:rPr>
        <w:t>docetaxel</w:t>
      </w:r>
      <w:proofErr w:type="spellEnd"/>
      <w:r w:rsidR="00535BDB">
        <w:rPr>
          <w:rFonts w:ascii="Arial" w:hAnsi="Arial" w:cs="Arial"/>
          <w:sz w:val="22"/>
          <w:szCs w:val="22"/>
        </w:rPr>
        <w:t>]</w:t>
      </w:r>
      <w:r w:rsidR="0095055D" w:rsidRPr="00FC55C7">
        <w:rPr>
          <w:rFonts w:ascii="Arial" w:hAnsi="Arial" w:cs="Arial"/>
          <w:sz w:val="22"/>
          <w:szCs w:val="22"/>
        </w:rPr>
        <w:t>).</w:t>
      </w:r>
    </w:p>
    <w:p w:rsidR="00AF57C8" w:rsidRDefault="00AF57C8" w:rsidP="009A1FDD">
      <w:pPr>
        <w:pStyle w:val="ListParagraph"/>
        <w:ind w:left="0" w:firstLine="0"/>
        <w:rPr>
          <w:rFonts w:ascii="Arial" w:hAnsi="Arial" w:cs="Arial"/>
          <w:sz w:val="22"/>
          <w:szCs w:val="22"/>
        </w:rPr>
      </w:pPr>
    </w:p>
    <w:p w:rsidR="00794936" w:rsidRPr="00794936" w:rsidRDefault="00AF57C8" w:rsidP="009C3A29">
      <w:pPr>
        <w:pStyle w:val="ListParagraph"/>
        <w:numPr>
          <w:ilvl w:val="1"/>
          <w:numId w:val="3"/>
        </w:numPr>
        <w:ind w:left="709"/>
        <w:rPr>
          <w:rFonts w:ascii="Arial" w:hAnsi="Arial" w:cs="Arial"/>
          <w:sz w:val="22"/>
          <w:szCs w:val="22"/>
        </w:rPr>
      </w:pPr>
      <w:r w:rsidRPr="00675587">
        <w:rPr>
          <w:rFonts w:ascii="Arial" w:hAnsi="Arial" w:cs="Arial"/>
          <w:sz w:val="22"/>
          <w:szCs w:val="22"/>
        </w:rPr>
        <w:t>The ESC</w:t>
      </w:r>
      <w:r w:rsidR="00F01BA7" w:rsidRPr="00675587">
        <w:rPr>
          <w:rFonts w:ascii="Arial" w:hAnsi="Arial" w:cs="Arial"/>
          <w:sz w:val="22"/>
          <w:szCs w:val="22"/>
        </w:rPr>
        <w:t>s</w:t>
      </w:r>
      <w:r w:rsidRPr="00675587">
        <w:rPr>
          <w:rFonts w:ascii="Arial" w:hAnsi="Arial" w:cs="Arial"/>
          <w:sz w:val="22"/>
          <w:szCs w:val="22"/>
        </w:rPr>
        <w:t xml:space="preserve"> noted that, based on the test for treatment effect variation between strong and weak PD-L1 expression (</w:t>
      </w:r>
      <w:r w:rsidRPr="00675587">
        <w:rPr>
          <w:rFonts w:ascii="Arial" w:hAnsi="Arial" w:cs="Arial"/>
          <w:sz w:val="22"/>
        </w:rPr>
        <w:t xml:space="preserve">TPS ≥50% </w:t>
      </w:r>
      <w:proofErr w:type="spellStart"/>
      <w:r w:rsidRPr="00675587">
        <w:rPr>
          <w:rFonts w:ascii="Arial" w:hAnsi="Arial" w:cs="Arial"/>
          <w:sz w:val="22"/>
        </w:rPr>
        <w:t>vs</w:t>
      </w:r>
      <w:proofErr w:type="spellEnd"/>
      <w:r w:rsidRPr="00675587">
        <w:rPr>
          <w:rFonts w:ascii="Arial" w:hAnsi="Arial" w:cs="Arial"/>
          <w:sz w:val="22"/>
        </w:rPr>
        <w:t xml:space="preserve"> TPS 1</w:t>
      </w:r>
      <w:r w:rsidR="00976942" w:rsidRPr="00675587">
        <w:rPr>
          <w:rFonts w:ascii="Arial" w:hAnsi="Arial" w:cs="Arial"/>
          <w:sz w:val="22"/>
        </w:rPr>
        <w:t>‒</w:t>
      </w:r>
      <w:r w:rsidRPr="00675587">
        <w:rPr>
          <w:rFonts w:ascii="Arial" w:hAnsi="Arial" w:cs="Arial"/>
          <w:sz w:val="22"/>
        </w:rPr>
        <w:t>49%), there was inconclusive evidence that strong PD-L1 express</w:t>
      </w:r>
      <w:r w:rsidR="009A1FDD" w:rsidRPr="00675587">
        <w:rPr>
          <w:rFonts w:ascii="Arial" w:hAnsi="Arial" w:cs="Arial"/>
          <w:sz w:val="22"/>
        </w:rPr>
        <w:t>e</w:t>
      </w:r>
      <w:r w:rsidRPr="00675587">
        <w:rPr>
          <w:rFonts w:ascii="Arial" w:hAnsi="Arial" w:cs="Arial"/>
          <w:sz w:val="22"/>
        </w:rPr>
        <w:t>rs responded better to pembrolizumab than weak PD-L1 express</w:t>
      </w:r>
      <w:r w:rsidR="009A1FDD" w:rsidRPr="00675587">
        <w:rPr>
          <w:rFonts w:ascii="Arial" w:hAnsi="Arial" w:cs="Arial"/>
          <w:sz w:val="22"/>
        </w:rPr>
        <w:t>ers.</w:t>
      </w:r>
      <w:r w:rsidR="000928B2">
        <w:rPr>
          <w:rFonts w:ascii="Arial" w:hAnsi="Arial" w:cs="Arial"/>
          <w:sz w:val="22"/>
        </w:rPr>
        <w:t xml:space="preserve"> The</w:t>
      </w:r>
      <w:r w:rsidR="00E17663">
        <w:rPr>
          <w:rFonts w:ascii="Arial" w:hAnsi="Arial" w:cs="Arial"/>
          <w:sz w:val="22"/>
        </w:rPr>
        <w:t xml:space="preserve"> pre-PBAC response</w:t>
      </w:r>
      <w:r w:rsidR="000928B2">
        <w:rPr>
          <w:rFonts w:ascii="Arial" w:hAnsi="Arial" w:cs="Arial"/>
          <w:sz w:val="22"/>
        </w:rPr>
        <w:t xml:space="preserve"> (Figure 1, p7) </w:t>
      </w:r>
      <w:r w:rsidR="00E17663">
        <w:rPr>
          <w:rFonts w:ascii="Arial" w:hAnsi="Arial" w:cs="Arial"/>
          <w:sz w:val="22"/>
        </w:rPr>
        <w:t>maintained that</w:t>
      </w:r>
      <w:r w:rsidR="00BF7C7A">
        <w:rPr>
          <w:rFonts w:ascii="Arial" w:hAnsi="Arial" w:cs="Arial"/>
          <w:sz w:val="22"/>
        </w:rPr>
        <w:t>,</w:t>
      </w:r>
      <w:r w:rsidR="00E17663">
        <w:rPr>
          <w:rFonts w:ascii="Arial" w:hAnsi="Arial" w:cs="Arial"/>
          <w:sz w:val="22"/>
        </w:rPr>
        <w:t xml:space="preserve"> </w:t>
      </w:r>
      <w:r w:rsidR="00307473">
        <w:rPr>
          <w:rFonts w:ascii="Arial" w:hAnsi="Arial" w:cs="Arial"/>
          <w:sz w:val="22"/>
        </w:rPr>
        <w:t>in KN-010, the overall response rate to pembroliz</w:t>
      </w:r>
      <w:r w:rsidR="00777143">
        <w:rPr>
          <w:rFonts w:ascii="Arial" w:hAnsi="Arial" w:cs="Arial"/>
          <w:sz w:val="22"/>
        </w:rPr>
        <w:t>umab</w:t>
      </w:r>
      <w:r w:rsidR="000928B2">
        <w:rPr>
          <w:rFonts w:ascii="Arial" w:hAnsi="Arial" w:cs="Arial"/>
          <w:sz w:val="22"/>
        </w:rPr>
        <w:t xml:space="preserve"> was</w:t>
      </w:r>
      <w:r w:rsidR="00307473">
        <w:rPr>
          <w:rFonts w:ascii="Arial" w:hAnsi="Arial" w:cs="Arial"/>
          <w:sz w:val="22"/>
        </w:rPr>
        <w:t xml:space="preserve"> greater at the higher PD-L1 expression levels, compared to </w:t>
      </w:r>
      <w:proofErr w:type="spellStart"/>
      <w:r w:rsidR="00307473">
        <w:rPr>
          <w:rFonts w:ascii="Arial" w:hAnsi="Arial" w:cs="Arial"/>
          <w:sz w:val="22"/>
        </w:rPr>
        <w:t>doceta</w:t>
      </w:r>
      <w:r w:rsidR="00E17663">
        <w:rPr>
          <w:rFonts w:ascii="Arial" w:hAnsi="Arial" w:cs="Arial"/>
          <w:sz w:val="22"/>
        </w:rPr>
        <w:t>xel</w:t>
      </w:r>
      <w:proofErr w:type="spellEnd"/>
      <w:r w:rsidR="00E17663">
        <w:rPr>
          <w:rFonts w:ascii="Arial" w:hAnsi="Arial" w:cs="Arial"/>
          <w:sz w:val="22"/>
        </w:rPr>
        <w:t>.</w:t>
      </w:r>
    </w:p>
    <w:p w:rsidR="00794936" w:rsidRDefault="00794936" w:rsidP="00794936">
      <w:pPr>
        <w:pStyle w:val="ListParagraph"/>
        <w:ind w:left="0" w:firstLine="0"/>
        <w:rPr>
          <w:rFonts w:ascii="Arial" w:hAnsi="Arial" w:cs="Arial"/>
          <w:sz w:val="22"/>
        </w:rPr>
      </w:pPr>
    </w:p>
    <w:p w:rsidR="00AF57C8" w:rsidRPr="00675587" w:rsidRDefault="00794936" w:rsidP="009C3A29">
      <w:pPr>
        <w:pStyle w:val="ListParagraph"/>
        <w:numPr>
          <w:ilvl w:val="1"/>
          <w:numId w:val="3"/>
        </w:numPr>
        <w:ind w:left="709"/>
        <w:rPr>
          <w:rFonts w:ascii="Arial" w:hAnsi="Arial" w:cs="Arial"/>
          <w:sz w:val="22"/>
          <w:szCs w:val="22"/>
        </w:rPr>
      </w:pPr>
      <w:r w:rsidRPr="007C0C99">
        <w:rPr>
          <w:rFonts w:ascii="Arial" w:hAnsi="Arial" w:cs="Arial"/>
          <w:sz w:val="22"/>
        </w:rPr>
        <w:t>The PBAC considered that</w:t>
      </w:r>
      <w:r>
        <w:rPr>
          <w:rFonts w:ascii="Arial" w:hAnsi="Arial" w:cs="Arial"/>
          <w:sz w:val="22"/>
        </w:rPr>
        <w:t>, although</w:t>
      </w:r>
      <w:r w:rsidRPr="007C0C99">
        <w:rPr>
          <w:rFonts w:ascii="Arial" w:hAnsi="Arial" w:cs="Arial"/>
          <w:sz w:val="22"/>
        </w:rPr>
        <w:t xml:space="preserve"> </w:t>
      </w:r>
      <w:r>
        <w:rPr>
          <w:rFonts w:ascii="Arial" w:hAnsi="Arial" w:cs="Arial"/>
          <w:sz w:val="22"/>
        </w:rPr>
        <w:t xml:space="preserve">the trial data suggested that </w:t>
      </w:r>
      <w:r w:rsidRPr="007C0C99">
        <w:rPr>
          <w:rFonts w:ascii="Arial" w:hAnsi="Arial" w:cs="Arial"/>
          <w:sz w:val="22"/>
        </w:rPr>
        <w:t>the</w:t>
      </w:r>
      <w:r>
        <w:rPr>
          <w:rFonts w:ascii="Arial" w:hAnsi="Arial" w:cs="Arial"/>
          <w:sz w:val="22"/>
        </w:rPr>
        <w:t xml:space="preserve">re was likely to be </w:t>
      </w:r>
      <w:r w:rsidRPr="007C0C99">
        <w:rPr>
          <w:rFonts w:ascii="Arial" w:hAnsi="Arial" w:cs="Arial"/>
          <w:sz w:val="22"/>
        </w:rPr>
        <w:t xml:space="preserve">treatment effect variation by </w:t>
      </w:r>
      <w:r>
        <w:rPr>
          <w:rFonts w:ascii="Arial" w:hAnsi="Arial" w:cs="Arial"/>
          <w:sz w:val="22"/>
        </w:rPr>
        <w:t xml:space="preserve">intensity of </w:t>
      </w:r>
      <w:r w:rsidRPr="007C0C99">
        <w:rPr>
          <w:rFonts w:ascii="Arial" w:hAnsi="Arial" w:cs="Arial"/>
          <w:sz w:val="22"/>
        </w:rPr>
        <w:t>PD-L1 expression</w:t>
      </w:r>
      <w:r>
        <w:rPr>
          <w:rFonts w:ascii="Arial" w:hAnsi="Arial" w:cs="Arial"/>
          <w:sz w:val="22"/>
        </w:rPr>
        <w:t xml:space="preserve">, the application of these trial results to the Australian context required confidence in the trial’s approach to testing of the biomarker. The PBAC proposed to await MSAC’s advice on this matter. In addition, the PBAC noted that the 50% threshold </w:t>
      </w:r>
      <w:r w:rsidRPr="007C0C99">
        <w:rPr>
          <w:rFonts w:ascii="Arial" w:hAnsi="Arial" w:cs="Arial"/>
          <w:sz w:val="22"/>
        </w:rPr>
        <w:t xml:space="preserve">was weakly supported, and </w:t>
      </w:r>
      <w:r w:rsidRPr="005871B5">
        <w:rPr>
          <w:rFonts w:ascii="Arial" w:hAnsi="Arial" w:cs="Arial"/>
          <w:sz w:val="22"/>
        </w:rPr>
        <w:t xml:space="preserve">would </w:t>
      </w:r>
      <w:r>
        <w:rPr>
          <w:rFonts w:ascii="Arial" w:hAnsi="Arial" w:cs="Arial"/>
          <w:sz w:val="22"/>
        </w:rPr>
        <w:t xml:space="preserve">likely </w:t>
      </w:r>
      <w:r w:rsidRPr="005871B5">
        <w:rPr>
          <w:rFonts w:ascii="Arial" w:hAnsi="Arial" w:cs="Arial"/>
          <w:sz w:val="22"/>
        </w:rPr>
        <w:t xml:space="preserve">exclude patients who would benefit to </w:t>
      </w:r>
      <w:r>
        <w:rPr>
          <w:rFonts w:ascii="Arial" w:hAnsi="Arial" w:cs="Arial"/>
          <w:sz w:val="22"/>
        </w:rPr>
        <w:t xml:space="preserve">a </w:t>
      </w:r>
      <w:r w:rsidRPr="005871B5">
        <w:rPr>
          <w:rFonts w:ascii="Arial" w:hAnsi="Arial" w:cs="Arial"/>
          <w:sz w:val="22"/>
        </w:rPr>
        <w:t>lower extent</w:t>
      </w:r>
      <w:r>
        <w:rPr>
          <w:rFonts w:ascii="Arial" w:hAnsi="Arial" w:cs="Arial"/>
          <w:sz w:val="22"/>
        </w:rPr>
        <w:t xml:space="preserve">. </w:t>
      </w:r>
      <w:r w:rsidR="00777143" w:rsidRPr="00A27A35">
        <w:rPr>
          <w:rFonts w:ascii="Arial" w:hAnsi="Arial" w:cs="Arial"/>
          <w:sz w:val="22"/>
        </w:rPr>
        <w:t xml:space="preserve">The PBAC </w:t>
      </w:r>
      <w:r>
        <w:rPr>
          <w:rFonts w:ascii="Arial" w:hAnsi="Arial" w:cs="Arial"/>
          <w:sz w:val="22"/>
        </w:rPr>
        <w:t xml:space="preserve">therefore </w:t>
      </w:r>
      <w:r w:rsidR="00777143" w:rsidRPr="00A27A35">
        <w:rPr>
          <w:rFonts w:ascii="Arial" w:hAnsi="Arial" w:cs="Arial"/>
          <w:sz w:val="22"/>
        </w:rPr>
        <w:t>con</w:t>
      </w:r>
      <w:r>
        <w:rPr>
          <w:rFonts w:ascii="Arial" w:hAnsi="Arial" w:cs="Arial"/>
          <w:sz w:val="22"/>
        </w:rPr>
        <w:t xml:space="preserve">cluded </w:t>
      </w:r>
      <w:r w:rsidR="00777143" w:rsidRPr="00A27A35">
        <w:rPr>
          <w:rFonts w:ascii="Arial" w:hAnsi="Arial" w:cs="Arial"/>
          <w:sz w:val="22"/>
        </w:rPr>
        <w:t xml:space="preserve">that selecting an appropriate PD-L1 expression threshold to determine eligibility to receive pembrolizumab remained </w:t>
      </w:r>
      <w:r w:rsidR="0078314E">
        <w:rPr>
          <w:rFonts w:ascii="Arial" w:hAnsi="Arial" w:cs="Arial"/>
          <w:sz w:val="22"/>
        </w:rPr>
        <w:t>problematic</w:t>
      </w:r>
      <w:r w:rsidR="00777143" w:rsidRPr="00A27A35">
        <w:rPr>
          <w:rFonts w:ascii="Arial" w:hAnsi="Arial" w:cs="Arial"/>
          <w:sz w:val="22"/>
        </w:rPr>
        <w:t>.</w:t>
      </w:r>
    </w:p>
    <w:p w:rsidR="0095055D" w:rsidRPr="00675587" w:rsidRDefault="0095055D" w:rsidP="003F79E2">
      <w:pPr>
        <w:pStyle w:val="ListParagraph"/>
        <w:ind w:left="0" w:firstLine="0"/>
        <w:rPr>
          <w:rFonts w:ascii="Arial" w:hAnsi="Arial" w:cs="Arial"/>
          <w:sz w:val="22"/>
          <w:szCs w:val="22"/>
        </w:rPr>
      </w:pPr>
    </w:p>
    <w:p w:rsidR="0095055D" w:rsidRPr="00675587" w:rsidRDefault="00541EE0" w:rsidP="009C3A29">
      <w:pPr>
        <w:pStyle w:val="ListParagraph"/>
        <w:numPr>
          <w:ilvl w:val="1"/>
          <w:numId w:val="3"/>
        </w:numPr>
        <w:ind w:left="720"/>
        <w:rPr>
          <w:rFonts w:ascii="Arial" w:hAnsi="Arial" w:cs="Arial"/>
          <w:sz w:val="22"/>
        </w:rPr>
      </w:pPr>
      <w:r w:rsidRPr="00675587">
        <w:rPr>
          <w:rFonts w:ascii="Arial" w:hAnsi="Arial" w:cs="Arial"/>
          <w:sz w:val="22"/>
        </w:rPr>
        <w:t>The</w:t>
      </w:r>
      <w:r w:rsidR="0095055D" w:rsidRPr="00675587">
        <w:rPr>
          <w:rFonts w:ascii="Arial" w:hAnsi="Arial" w:cs="Arial"/>
          <w:sz w:val="22"/>
        </w:rPr>
        <w:t xml:space="preserve"> OS</w:t>
      </w:r>
      <w:r w:rsidRPr="00675587">
        <w:rPr>
          <w:rFonts w:ascii="Arial" w:hAnsi="Arial" w:cs="Arial"/>
          <w:sz w:val="22"/>
        </w:rPr>
        <w:t xml:space="preserve"> results</w:t>
      </w:r>
      <w:r w:rsidR="0095055D" w:rsidRPr="00675587">
        <w:rPr>
          <w:rFonts w:ascii="Arial" w:hAnsi="Arial" w:cs="Arial"/>
          <w:sz w:val="22"/>
        </w:rPr>
        <w:t xml:space="preserve"> from the KN-010 trial, in the</w:t>
      </w:r>
      <w:r w:rsidRPr="00675587">
        <w:rPr>
          <w:rFonts w:ascii="Arial" w:hAnsi="Arial" w:cs="Arial"/>
          <w:sz w:val="22"/>
        </w:rPr>
        <w:t xml:space="preserve"> ITT population and</w:t>
      </w:r>
      <w:r w:rsidR="0095055D" w:rsidRPr="00675587">
        <w:rPr>
          <w:rFonts w:ascii="Arial" w:hAnsi="Arial" w:cs="Arial"/>
          <w:sz w:val="22"/>
        </w:rPr>
        <w:t xml:space="preserve"> TPS ≥50% subgroup</w:t>
      </w:r>
      <w:r w:rsidRPr="00675587">
        <w:rPr>
          <w:rFonts w:ascii="Arial" w:hAnsi="Arial" w:cs="Arial"/>
          <w:sz w:val="22"/>
        </w:rPr>
        <w:t xml:space="preserve">, by histology subtype, and tests for treatment effect variation (ratio of HRs) between squamous and non-squamous </w:t>
      </w:r>
      <w:proofErr w:type="spellStart"/>
      <w:r w:rsidRPr="00675587">
        <w:rPr>
          <w:rFonts w:ascii="Arial" w:hAnsi="Arial" w:cs="Arial"/>
          <w:sz w:val="22"/>
        </w:rPr>
        <w:t>histotypes</w:t>
      </w:r>
      <w:proofErr w:type="spellEnd"/>
      <w:r w:rsidR="00D0739F" w:rsidRPr="00675587">
        <w:rPr>
          <w:rFonts w:ascii="Arial" w:hAnsi="Arial" w:cs="Arial"/>
          <w:sz w:val="22"/>
        </w:rPr>
        <w:t>,</w:t>
      </w:r>
      <w:r w:rsidRPr="00675587">
        <w:rPr>
          <w:rFonts w:ascii="Arial" w:hAnsi="Arial" w:cs="Arial"/>
          <w:sz w:val="22"/>
          <w:szCs w:val="22"/>
        </w:rPr>
        <w:t xml:space="preserve"> are presented in </w:t>
      </w:r>
      <w:r w:rsidR="006307AA" w:rsidRPr="00675587">
        <w:rPr>
          <w:rFonts w:ascii="Arial" w:hAnsi="Arial" w:cs="Arial"/>
          <w:sz w:val="22"/>
          <w:szCs w:val="22"/>
        </w:rPr>
        <w:t>Table 5</w:t>
      </w:r>
      <w:r w:rsidRPr="00675587">
        <w:rPr>
          <w:rFonts w:ascii="Arial" w:hAnsi="Arial" w:cs="Arial"/>
          <w:sz w:val="22"/>
          <w:szCs w:val="22"/>
        </w:rPr>
        <w:t>.</w:t>
      </w:r>
    </w:p>
    <w:p w:rsidR="0095055D" w:rsidRPr="0017289B" w:rsidRDefault="0095055D" w:rsidP="00A36DD4">
      <w:pPr>
        <w:rPr>
          <w:rFonts w:ascii="Arial" w:hAnsi="Arial" w:cs="Arial"/>
          <w:sz w:val="22"/>
          <w:szCs w:val="22"/>
        </w:rPr>
      </w:pPr>
    </w:p>
    <w:p w:rsidR="00541EE0" w:rsidRPr="00B807A8" w:rsidRDefault="00541EE0" w:rsidP="005078DD">
      <w:pPr>
        <w:keepNext/>
        <w:ind w:left="720"/>
        <w:rPr>
          <w:rFonts w:ascii="Arial Narrow" w:eastAsia="Calibri" w:hAnsi="Arial Narrow"/>
          <w:b/>
          <w:bCs/>
          <w:sz w:val="20"/>
          <w:szCs w:val="20"/>
          <w:lang w:eastAsia="en-AU"/>
        </w:rPr>
      </w:pPr>
      <w:r w:rsidRPr="00B807A8">
        <w:rPr>
          <w:rFonts w:ascii="Arial Narrow" w:eastAsia="Calibri" w:hAnsi="Arial Narrow"/>
          <w:b/>
          <w:bCs/>
          <w:sz w:val="20"/>
          <w:szCs w:val="20"/>
          <w:lang w:eastAsia="en-AU"/>
        </w:rPr>
        <w:t xml:space="preserve">Table </w:t>
      </w:r>
      <w:r w:rsidR="006307AA" w:rsidRPr="00B807A8">
        <w:rPr>
          <w:rFonts w:ascii="Arial Narrow" w:eastAsia="Calibri" w:hAnsi="Arial Narrow"/>
          <w:b/>
          <w:bCs/>
          <w:sz w:val="20"/>
          <w:szCs w:val="20"/>
          <w:lang w:eastAsia="en-AU"/>
        </w:rPr>
        <w:t>5</w:t>
      </w:r>
      <w:r w:rsidRPr="00B807A8">
        <w:rPr>
          <w:rFonts w:ascii="Arial Narrow" w:eastAsia="Calibri" w:hAnsi="Arial Narrow"/>
          <w:b/>
          <w:bCs/>
          <w:sz w:val="20"/>
          <w:szCs w:val="20"/>
          <w:lang w:eastAsia="en-AU"/>
        </w:rPr>
        <w:t>: KN</w:t>
      </w:r>
      <w:r w:rsidRPr="00636175">
        <w:rPr>
          <w:rFonts w:ascii="Arial Narrow" w:eastAsia="Calibri" w:hAnsi="Arial Narrow"/>
          <w:b/>
          <w:bCs/>
          <w:sz w:val="20"/>
          <w:szCs w:val="20"/>
          <w:lang w:eastAsia="en-AU"/>
        </w:rPr>
        <w:t xml:space="preserve">-010: OS analysis by histology subtype and TPS </w:t>
      </w:r>
      <w:r w:rsidR="001A373C">
        <w:rPr>
          <w:rFonts w:ascii="Arial Narrow" w:eastAsia="Calibri" w:hAnsi="Arial Narrow"/>
          <w:b/>
          <w:bCs/>
          <w:sz w:val="20"/>
          <w:szCs w:val="20"/>
          <w:lang w:eastAsia="en-AU"/>
        </w:rPr>
        <w:t>threshold</w:t>
      </w:r>
      <w:r w:rsidR="0017289B" w:rsidRPr="00636175">
        <w:rPr>
          <w:rFonts w:ascii="Arial Narrow" w:eastAsia="Calibri" w:hAnsi="Arial Narrow"/>
          <w:b/>
          <w:bCs/>
          <w:sz w:val="20"/>
          <w:szCs w:val="20"/>
          <w:lang w:eastAsia="en-AU"/>
        </w:rPr>
        <w:t xml:space="preserve"> (data cut-off: 30 September 2015)</w:t>
      </w:r>
      <w:r w:rsidR="005A4EAB" w:rsidRPr="00636175">
        <w:rPr>
          <w:rFonts w:ascii="Arial Narrow" w:eastAsia="Calibri" w:hAnsi="Arial Narrow"/>
          <w:b/>
          <w:bCs/>
          <w:sz w:val="20"/>
          <w:szCs w:val="20"/>
          <w:lang w:eastAsia="en-AU"/>
        </w:rPr>
        <w:t>.</w:t>
      </w:r>
      <w:r w:rsidRPr="00636175">
        <w:rPr>
          <w:rFonts w:ascii="Arial Narrow" w:eastAsia="Calibri" w:hAnsi="Arial Narrow"/>
          <w:b/>
          <w:bCs/>
          <w:sz w:val="20"/>
          <w:szCs w:val="20"/>
          <w:lang w:eastAsia="en-AU"/>
        </w:rPr>
        <w:t xml:space="preserve"> </w:t>
      </w:r>
      <w:r w:rsidR="005A4EAB" w:rsidRPr="00636175">
        <w:rPr>
          <w:rFonts w:ascii="Arial Narrow" w:eastAsia="Calibri" w:hAnsi="Arial Narrow"/>
          <w:b/>
          <w:bCs/>
          <w:iCs/>
          <w:sz w:val="20"/>
          <w:szCs w:val="20"/>
          <w:lang w:eastAsia="en-AU"/>
        </w:rPr>
        <w:t>Note: r</w:t>
      </w:r>
      <w:r w:rsidRPr="00636175">
        <w:rPr>
          <w:rFonts w:ascii="Arial Narrow" w:eastAsia="Calibri" w:hAnsi="Arial Narrow"/>
          <w:b/>
          <w:bCs/>
          <w:iCs/>
          <w:sz w:val="20"/>
          <w:szCs w:val="20"/>
          <w:lang w:eastAsia="en-AU"/>
        </w:rPr>
        <w:t>andomisation was not stratified by histology subtype</w:t>
      </w:r>
    </w:p>
    <w:tbl>
      <w:tblPr>
        <w:tblW w:w="4604" w:type="pct"/>
        <w:tblInd w:w="737" w:type="dxa"/>
        <w:tblLayout w:type="fixed"/>
        <w:tblCellMar>
          <w:top w:w="28" w:type="dxa"/>
          <w:left w:w="28" w:type="dxa"/>
          <w:bottom w:w="28" w:type="dxa"/>
          <w:right w:w="28" w:type="dxa"/>
        </w:tblCellMar>
        <w:tblLook w:val="04A0" w:firstRow="1" w:lastRow="0" w:firstColumn="1" w:lastColumn="0" w:noHBand="0" w:noVBand="1"/>
      </w:tblPr>
      <w:tblGrid>
        <w:gridCol w:w="2834"/>
        <w:gridCol w:w="1987"/>
        <w:gridCol w:w="2126"/>
        <w:gridCol w:w="1417"/>
      </w:tblGrid>
      <w:tr w:rsidR="005078DD" w:rsidRPr="00636175" w:rsidTr="005078DD">
        <w:tc>
          <w:tcPr>
            <w:tcW w:w="1694" w:type="pct"/>
            <w:tcBorders>
              <w:top w:val="single" w:sz="8" w:space="0" w:color="000000"/>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jc w:val="left"/>
              <w:rPr>
                <w:rFonts w:ascii="Arial Narrow" w:eastAsia="Calibri" w:hAnsi="Arial Narrow"/>
                <w:b/>
                <w:bCs/>
                <w:sz w:val="20"/>
                <w:szCs w:val="20"/>
                <w:lang w:eastAsia="en-AU"/>
              </w:rPr>
            </w:pPr>
            <w:r w:rsidRPr="00636175">
              <w:rPr>
                <w:rFonts w:ascii="Arial Narrow" w:hAnsi="Arial Narrow" w:cs="Arial Narrow"/>
                <w:b/>
                <w:bCs/>
                <w:sz w:val="20"/>
                <w:szCs w:val="20"/>
                <w:lang w:eastAsia="en-AU"/>
              </w:rPr>
              <w:t>Population</w:t>
            </w:r>
          </w:p>
        </w:tc>
        <w:tc>
          <w:tcPr>
            <w:tcW w:w="1188" w:type="pct"/>
            <w:tcBorders>
              <w:top w:val="single" w:sz="8" w:space="0" w:color="000000"/>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Pembrolizumab</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2 mg/kg Q3W</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n=number of subjects</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Median OS,</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months (95% CI)</w:t>
            </w:r>
          </w:p>
        </w:tc>
        <w:tc>
          <w:tcPr>
            <w:tcW w:w="1271" w:type="pct"/>
            <w:tcBorders>
              <w:top w:val="single" w:sz="8" w:space="0" w:color="000000"/>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sz w:val="20"/>
                <w:szCs w:val="20"/>
                <w:lang w:eastAsia="en-AU"/>
              </w:rPr>
            </w:pPr>
            <w:proofErr w:type="spellStart"/>
            <w:r w:rsidRPr="00636175">
              <w:rPr>
                <w:rFonts w:ascii="Arial Narrow" w:eastAsia="Calibri" w:hAnsi="Arial Narrow"/>
                <w:b/>
                <w:bCs/>
                <w:sz w:val="20"/>
                <w:szCs w:val="20"/>
                <w:lang w:eastAsia="en-AU"/>
              </w:rPr>
              <w:t>Docetaxel</w:t>
            </w:r>
            <w:proofErr w:type="spellEnd"/>
            <w:r w:rsidRPr="00636175">
              <w:rPr>
                <w:rFonts w:ascii="Arial Narrow" w:eastAsia="Calibri" w:hAnsi="Arial Narrow"/>
                <w:b/>
                <w:bCs/>
                <w:sz w:val="20"/>
                <w:szCs w:val="20"/>
                <w:lang w:eastAsia="en-AU"/>
              </w:rPr>
              <w:t xml:space="preserve"> 75 mg/m</w:t>
            </w:r>
            <w:r w:rsidRPr="00636175">
              <w:rPr>
                <w:rFonts w:ascii="Arial Narrow" w:eastAsia="Calibri" w:hAnsi="Arial Narrow"/>
                <w:b/>
                <w:bCs/>
                <w:sz w:val="20"/>
                <w:szCs w:val="20"/>
                <w:vertAlign w:val="superscript"/>
                <w:lang w:eastAsia="en-AU"/>
              </w:rPr>
              <w:t>2</w:t>
            </w:r>
            <w:r w:rsidRPr="00636175">
              <w:rPr>
                <w:rFonts w:ascii="Arial Narrow" w:eastAsia="Calibri" w:hAnsi="Arial Narrow"/>
                <w:b/>
                <w:bCs/>
                <w:sz w:val="20"/>
                <w:szCs w:val="20"/>
                <w:lang w:eastAsia="en-AU"/>
              </w:rPr>
              <w:t xml:space="preserve"> Q3W</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n=number of subjects</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Median OS,</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months (95% CI)</w:t>
            </w:r>
          </w:p>
        </w:tc>
        <w:tc>
          <w:tcPr>
            <w:tcW w:w="847" w:type="pct"/>
            <w:tcBorders>
              <w:top w:val="single" w:sz="8" w:space="0" w:color="000000"/>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sz w:val="20"/>
                <w:szCs w:val="20"/>
                <w:vertAlign w:val="superscript"/>
                <w:lang w:eastAsia="en-AU"/>
              </w:rPr>
            </w:pPr>
            <w:r w:rsidRPr="00636175">
              <w:rPr>
                <w:rFonts w:ascii="Arial Narrow" w:eastAsia="Calibri" w:hAnsi="Arial Narrow"/>
                <w:b/>
                <w:bCs/>
                <w:sz w:val="20"/>
                <w:szCs w:val="20"/>
                <w:lang w:eastAsia="en-AU"/>
              </w:rPr>
              <w:t>HR (95% CI)</w:t>
            </w:r>
          </w:p>
          <w:p w:rsidR="00541EE0" w:rsidRPr="00636175" w:rsidRDefault="00541EE0" w:rsidP="005A4EAB">
            <w:pPr>
              <w:spacing w:line="252" w:lineRule="auto"/>
              <w:jc w:val="center"/>
              <w:rPr>
                <w:rFonts w:ascii="Arial Narrow" w:eastAsia="Calibri" w:hAnsi="Arial Narrow"/>
                <w:b/>
                <w:bCs/>
                <w:sz w:val="20"/>
                <w:szCs w:val="20"/>
                <w:lang w:eastAsia="en-AU"/>
              </w:rPr>
            </w:pPr>
            <w:r w:rsidRPr="00636175">
              <w:rPr>
                <w:rFonts w:ascii="Arial Narrow" w:eastAsia="Calibri" w:hAnsi="Arial Narrow"/>
                <w:b/>
                <w:bCs/>
                <w:sz w:val="20"/>
                <w:szCs w:val="20"/>
                <w:lang w:eastAsia="en-AU"/>
              </w:rPr>
              <w:t xml:space="preserve">Pembrolizumab </w:t>
            </w:r>
            <w:proofErr w:type="spellStart"/>
            <w:r w:rsidRPr="00636175">
              <w:rPr>
                <w:rFonts w:ascii="Arial Narrow" w:eastAsia="Calibri" w:hAnsi="Arial Narrow"/>
                <w:b/>
                <w:bCs/>
                <w:sz w:val="20"/>
                <w:szCs w:val="20"/>
                <w:lang w:eastAsia="en-AU"/>
              </w:rPr>
              <w:t>vs</w:t>
            </w:r>
            <w:proofErr w:type="spellEnd"/>
            <w:r w:rsidRPr="00636175">
              <w:rPr>
                <w:rFonts w:ascii="Arial Narrow" w:eastAsia="Calibri" w:hAnsi="Arial Narrow"/>
                <w:b/>
                <w:bCs/>
                <w:sz w:val="20"/>
                <w:szCs w:val="20"/>
                <w:lang w:eastAsia="en-AU"/>
              </w:rPr>
              <w:t xml:space="preserve"> </w:t>
            </w:r>
            <w:proofErr w:type="spellStart"/>
            <w:r w:rsidRPr="00636175">
              <w:rPr>
                <w:rFonts w:ascii="Arial Narrow" w:eastAsia="Calibri" w:hAnsi="Arial Narrow"/>
                <w:b/>
                <w:bCs/>
                <w:sz w:val="20"/>
                <w:szCs w:val="20"/>
                <w:lang w:eastAsia="en-AU"/>
              </w:rPr>
              <w:t>docetaxel</w:t>
            </w:r>
            <w:proofErr w:type="spellEnd"/>
          </w:p>
        </w:tc>
      </w:tr>
      <w:tr w:rsidR="00541EE0" w:rsidRPr="00636175" w:rsidTr="005078DD">
        <w:tc>
          <w:tcPr>
            <w:tcW w:w="5000" w:type="pct"/>
            <w:gridSpan w:val="4"/>
            <w:tcBorders>
              <w:top w:val="nil"/>
              <w:left w:val="single" w:sz="8" w:space="0" w:color="000000"/>
              <w:bottom w:val="single" w:sz="8" w:space="0" w:color="000000"/>
              <w:right w:val="single" w:sz="8" w:space="0" w:color="000000"/>
            </w:tcBorders>
            <w:shd w:val="clear" w:color="auto" w:fill="auto"/>
            <w:noWrap/>
            <w:tcMar>
              <w:top w:w="28" w:type="dxa"/>
              <w:left w:w="28" w:type="dxa"/>
              <w:bottom w:w="28" w:type="dxa"/>
              <w:right w:w="28" w:type="dxa"/>
            </w:tcMar>
            <w:hideMark/>
          </w:tcPr>
          <w:p w:rsidR="00541EE0" w:rsidRPr="00636175" w:rsidRDefault="00541EE0" w:rsidP="005A4EAB">
            <w:pPr>
              <w:spacing w:line="252" w:lineRule="auto"/>
              <w:rPr>
                <w:rFonts w:ascii="Arial Narrow" w:eastAsia="Calibri" w:hAnsi="Arial Narrow"/>
                <w:b/>
                <w:bCs/>
                <w:sz w:val="20"/>
                <w:szCs w:val="20"/>
                <w:lang w:eastAsia="en-AU"/>
              </w:rPr>
            </w:pPr>
            <w:r w:rsidRPr="00636175">
              <w:rPr>
                <w:rFonts w:ascii="Arial Narrow" w:eastAsia="Calibri" w:hAnsi="Arial Narrow"/>
                <w:b/>
                <w:bCs/>
                <w:sz w:val="20"/>
                <w:szCs w:val="20"/>
                <w:lang w:eastAsia="en-AU"/>
              </w:rPr>
              <w:t>ITT population, TPS ≥1%</w:t>
            </w:r>
          </w:p>
        </w:tc>
      </w:tr>
      <w:tr w:rsidR="005078DD"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sz w:val="20"/>
                <w:szCs w:val="20"/>
                <w:lang w:eastAsia="en-AU"/>
              </w:rPr>
            </w:pPr>
            <w:r w:rsidRPr="00636175">
              <w:rPr>
                <w:rFonts w:ascii="Arial Narrow" w:eastAsia="Calibri" w:hAnsi="Arial Narrow"/>
                <w:sz w:val="20"/>
                <w:szCs w:val="20"/>
                <w:lang w:eastAsia="en-AU"/>
              </w:rPr>
              <w:t>Squamous</w:t>
            </w:r>
          </w:p>
        </w:tc>
        <w:tc>
          <w:tcPr>
            <w:tcW w:w="1188"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1271"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847"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r>
      <w:tr w:rsidR="005078DD"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17289B">
            <w:pPr>
              <w:spacing w:line="252" w:lineRule="auto"/>
              <w:jc w:val="left"/>
              <w:rPr>
                <w:rFonts w:ascii="Arial Narrow" w:eastAsia="Calibri" w:hAnsi="Arial Narrow"/>
                <w:sz w:val="20"/>
                <w:szCs w:val="20"/>
                <w:lang w:eastAsia="en-AU"/>
              </w:rPr>
            </w:pPr>
            <w:r w:rsidRPr="00636175">
              <w:rPr>
                <w:rFonts w:ascii="Arial Narrow" w:eastAsia="Calibri" w:hAnsi="Arial Narrow"/>
                <w:sz w:val="20"/>
                <w:szCs w:val="20"/>
                <w:lang w:eastAsia="en-AU"/>
              </w:rPr>
              <w:t>All non-squamous</w:t>
            </w:r>
            <w:r w:rsidR="0017289B" w:rsidRPr="00636175">
              <w:rPr>
                <w:rFonts w:ascii="Arial Narrow" w:eastAsia="Calibri" w:hAnsi="Arial Narrow"/>
                <w:sz w:val="20"/>
                <w:szCs w:val="20"/>
                <w:lang w:eastAsia="en-AU"/>
              </w:rPr>
              <w:t xml:space="preserve"> </w:t>
            </w:r>
            <w:r w:rsidRPr="00636175">
              <w:rPr>
                <w:rFonts w:ascii="Arial Narrow" w:eastAsia="Calibri" w:hAnsi="Arial Narrow"/>
                <w:sz w:val="20"/>
                <w:szCs w:val="20"/>
                <w:lang w:eastAsia="en-AU"/>
              </w:rPr>
              <w:t>(adenocarcinoma, large-cell and other)</w:t>
            </w:r>
          </w:p>
        </w:tc>
        <w:tc>
          <w:tcPr>
            <w:tcW w:w="1188"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1271"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(7</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847"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153EAE" w:rsidP="005A4EAB">
            <w:pPr>
              <w:spacing w:line="252" w:lineRule="auto"/>
              <w:jc w:val="center"/>
              <w:rPr>
                <w:rFonts w:ascii="Arial Narrow" w:eastAsia="Calibri" w:hAnsi="Arial Narrow"/>
                <w:sz w:val="20"/>
                <w:szCs w:val="20"/>
                <w:highlight w:val="yellow"/>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r>
      <w:tr w:rsidR="00541EE0"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b/>
                <w:bCs/>
                <w:iCs/>
                <w:sz w:val="20"/>
                <w:szCs w:val="20"/>
                <w:lang w:eastAsia="en-AU"/>
              </w:rPr>
            </w:pPr>
            <w:r w:rsidRPr="00636175">
              <w:rPr>
                <w:rFonts w:ascii="Arial Narrow" w:eastAsia="Calibri" w:hAnsi="Arial Narrow"/>
                <w:iCs/>
                <w:sz w:val="20"/>
                <w:szCs w:val="20"/>
                <w:lang w:eastAsia="en-AU"/>
              </w:rPr>
              <w:t>Test for treatment effect variation</w:t>
            </w:r>
          </w:p>
          <w:p w:rsidR="00541EE0" w:rsidRPr="00636175" w:rsidRDefault="00541EE0" w:rsidP="005A4EAB">
            <w:pPr>
              <w:spacing w:line="252" w:lineRule="auto"/>
              <w:jc w:val="left"/>
              <w:rPr>
                <w:rFonts w:ascii="Arial Narrow" w:eastAsia="Calibri" w:hAnsi="Arial Narrow"/>
                <w:iCs/>
                <w:sz w:val="20"/>
                <w:szCs w:val="20"/>
                <w:lang w:eastAsia="en-AU"/>
              </w:rPr>
            </w:pPr>
            <w:r w:rsidRPr="00636175">
              <w:rPr>
                <w:rFonts w:ascii="Arial Narrow" w:eastAsia="Calibri" w:hAnsi="Arial Narrow"/>
                <w:iCs/>
                <w:sz w:val="20"/>
                <w:szCs w:val="20"/>
                <w:u w:val="single"/>
                <w:lang w:eastAsia="en-AU"/>
              </w:rPr>
              <w:t xml:space="preserve">All non-squamous </w:t>
            </w:r>
            <w:proofErr w:type="spellStart"/>
            <w:r w:rsidRPr="00636175">
              <w:rPr>
                <w:rFonts w:ascii="Arial Narrow" w:eastAsia="Calibri" w:hAnsi="Arial Narrow"/>
                <w:iCs/>
                <w:sz w:val="20"/>
                <w:szCs w:val="20"/>
                <w:u w:val="single"/>
                <w:lang w:eastAsia="en-AU"/>
              </w:rPr>
              <w:t>Vs</w:t>
            </w:r>
            <w:proofErr w:type="spellEnd"/>
            <w:r w:rsidRPr="00636175">
              <w:rPr>
                <w:rFonts w:ascii="Arial Narrow" w:eastAsia="Calibri" w:hAnsi="Arial Narrow"/>
                <w:iCs/>
                <w:sz w:val="20"/>
                <w:szCs w:val="20"/>
                <w:u w:val="single"/>
                <w:lang w:eastAsia="en-AU"/>
              </w:rPr>
              <w:t xml:space="preserve"> squamous </w:t>
            </w:r>
          </w:p>
        </w:tc>
        <w:tc>
          <w:tcPr>
            <w:tcW w:w="3306" w:type="pct"/>
            <w:gridSpan w:val="3"/>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iCs/>
                <w:sz w:val="20"/>
                <w:szCs w:val="20"/>
                <w:lang w:eastAsia="en-AU"/>
              </w:rPr>
            </w:pP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all non-squamous </w:t>
            </w:r>
            <w:r w:rsidRPr="00636175">
              <w:rPr>
                <w:rFonts w:ascii="Arial Narrow" w:eastAsia="Calibri" w:hAnsi="Arial Narrow"/>
                <w:b/>
                <w:bCs/>
                <w:iCs/>
                <w:sz w:val="20"/>
                <w:szCs w:val="20"/>
                <w:u w:val="single"/>
                <w:lang w:eastAsia="en-AU"/>
              </w:rPr>
              <w:t xml:space="preserve">versus </w:t>
            </w: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squamous</w:t>
            </w:r>
          </w:p>
          <w:p w:rsidR="00541EE0" w:rsidRPr="00636175" w:rsidRDefault="00541EE0" w:rsidP="005A4EAB">
            <w:pPr>
              <w:spacing w:line="252" w:lineRule="auto"/>
              <w:jc w:val="center"/>
              <w:rPr>
                <w:rFonts w:ascii="Arial Narrow" w:eastAsia="Calibri" w:hAnsi="Arial Narrow"/>
                <w:b/>
                <w:bCs/>
                <w:iCs/>
                <w:sz w:val="20"/>
                <w:szCs w:val="20"/>
                <w:highlight w:val="yellow"/>
                <w:lang w:eastAsia="en-AU"/>
              </w:rPr>
            </w:pPr>
            <w:r w:rsidRPr="00636175">
              <w:rPr>
                <w:rFonts w:ascii="Arial Narrow" w:eastAsia="Calibri" w:hAnsi="Arial Narrow"/>
                <w:b/>
                <w:bCs/>
                <w:iCs/>
                <w:sz w:val="20"/>
                <w:szCs w:val="20"/>
                <w:lang w:eastAsia="en-AU"/>
              </w:rPr>
              <w:t xml:space="preserve">Ratio of HRs (95% CI):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w:t>
            </w:r>
            <w:r w:rsidRPr="00636175">
              <w:rPr>
                <w:rFonts w:ascii="Arial Narrow" w:eastAsia="Calibri" w:hAnsi="Arial Narrow"/>
                <w:iCs/>
                <w:sz w:val="20"/>
                <w:szCs w:val="20"/>
                <w:lang w:eastAsia="en-AU"/>
              </w:rPr>
              <w:t xml:space="preserve">; p = </w:t>
            </w:r>
            <w:r w:rsidR="00153EAE">
              <w:rPr>
                <w:rFonts w:ascii="Arial Narrow" w:eastAsia="Calibri" w:hAnsi="Arial Narrow"/>
                <w:iCs/>
                <w:noProof/>
                <w:color w:val="000000"/>
                <w:sz w:val="20"/>
                <w:szCs w:val="20"/>
                <w:highlight w:val="black"/>
                <w:lang w:eastAsia="en-AU"/>
              </w:rPr>
              <w:t>'''''''''''''</w:t>
            </w:r>
          </w:p>
        </w:tc>
      </w:tr>
      <w:tr w:rsidR="00541EE0" w:rsidRPr="00636175" w:rsidTr="005078DD">
        <w:tc>
          <w:tcPr>
            <w:tcW w:w="5000" w:type="pct"/>
            <w:gridSpan w:val="4"/>
            <w:tcBorders>
              <w:top w:val="nil"/>
              <w:left w:val="single" w:sz="8" w:space="0" w:color="000000"/>
              <w:bottom w:val="single" w:sz="8" w:space="0" w:color="000000"/>
              <w:right w:val="single" w:sz="8" w:space="0" w:color="000000"/>
            </w:tcBorders>
            <w:shd w:val="clear" w:color="auto" w:fill="auto"/>
            <w:noWrap/>
            <w:tcMar>
              <w:top w:w="28" w:type="dxa"/>
              <w:left w:w="28" w:type="dxa"/>
              <w:bottom w:w="28" w:type="dxa"/>
              <w:right w:w="28" w:type="dxa"/>
            </w:tcMar>
            <w:hideMark/>
          </w:tcPr>
          <w:p w:rsidR="00541EE0" w:rsidRPr="00636175" w:rsidRDefault="00541EE0" w:rsidP="005A4EAB">
            <w:pPr>
              <w:spacing w:line="252" w:lineRule="auto"/>
              <w:rPr>
                <w:rFonts w:ascii="Arial Narrow" w:eastAsia="Calibri" w:hAnsi="Arial Narrow"/>
                <w:b/>
                <w:bCs/>
                <w:sz w:val="20"/>
                <w:szCs w:val="20"/>
                <w:lang w:eastAsia="en-AU"/>
              </w:rPr>
            </w:pPr>
            <w:r w:rsidRPr="00636175">
              <w:rPr>
                <w:rFonts w:ascii="Arial Narrow" w:eastAsia="Calibri" w:hAnsi="Arial Narrow"/>
                <w:b/>
                <w:bCs/>
                <w:sz w:val="20"/>
                <w:szCs w:val="20"/>
                <w:lang w:eastAsia="en-AU"/>
              </w:rPr>
              <w:t>Subgroup, TPS ≥50%</w:t>
            </w:r>
          </w:p>
        </w:tc>
      </w:tr>
      <w:tr w:rsidR="005078DD"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sz w:val="20"/>
                <w:szCs w:val="20"/>
                <w:lang w:eastAsia="en-AU"/>
              </w:rPr>
            </w:pPr>
            <w:r w:rsidRPr="00636175">
              <w:rPr>
                <w:rFonts w:ascii="Arial Narrow" w:eastAsia="Calibri" w:hAnsi="Arial Narrow"/>
                <w:sz w:val="20"/>
                <w:szCs w:val="20"/>
                <w:lang w:eastAsia="en-AU"/>
              </w:rPr>
              <w:t>Squamous</w:t>
            </w:r>
          </w:p>
        </w:tc>
        <w:tc>
          <w:tcPr>
            <w:tcW w:w="1188"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1271"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153EAE"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847"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p>
        </w:tc>
      </w:tr>
      <w:tr w:rsidR="005078DD"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17289B">
            <w:pPr>
              <w:spacing w:line="252" w:lineRule="auto"/>
              <w:jc w:val="left"/>
              <w:rPr>
                <w:rFonts w:ascii="Arial Narrow" w:eastAsia="Calibri" w:hAnsi="Arial Narrow"/>
                <w:sz w:val="20"/>
                <w:szCs w:val="20"/>
                <w:lang w:eastAsia="en-AU"/>
              </w:rPr>
            </w:pPr>
            <w:r w:rsidRPr="00636175">
              <w:rPr>
                <w:rFonts w:ascii="Arial Narrow" w:eastAsia="Calibri" w:hAnsi="Arial Narrow"/>
                <w:sz w:val="20"/>
                <w:szCs w:val="20"/>
                <w:lang w:eastAsia="en-AU"/>
              </w:rPr>
              <w:t>All non-squamous</w:t>
            </w:r>
            <w:r w:rsidR="0017289B" w:rsidRPr="00636175">
              <w:rPr>
                <w:rFonts w:ascii="Arial Narrow" w:eastAsia="Calibri" w:hAnsi="Arial Narrow"/>
                <w:sz w:val="20"/>
                <w:szCs w:val="20"/>
                <w:lang w:eastAsia="en-AU"/>
              </w:rPr>
              <w:t xml:space="preserve"> </w:t>
            </w:r>
            <w:r w:rsidRPr="00636175">
              <w:rPr>
                <w:rFonts w:ascii="Arial Narrow" w:eastAsia="Calibri" w:hAnsi="Arial Narrow"/>
                <w:sz w:val="20"/>
                <w:szCs w:val="20"/>
                <w:lang w:eastAsia="en-AU"/>
              </w:rPr>
              <w:t>(adenocarcinoma, large-cell and other)</w:t>
            </w:r>
          </w:p>
        </w:tc>
        <w:tc>
          <w:tcPr>
            <w:tcW w:w="1188"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 xml:space="preserve"> ''''</w:t>
            </w:r>
            <w:r w:rsidR="00541EE0" w:rsidRPr="00685491">
              <w:rPr>
                <w:rFonts w:ascii="Arial Narrow" w:eastAsia="Calibri" w:hAnsi="Arial Narrow"/>
                <w:sz w:val="20"/>
                <w:szCs w:val="20"/>
                <w:lang w:eastAsia="en-AU"/>
              </w:rPr>
              <w:t>)</w:t>
            </w:r>
          </w:p>
        </w:tc>
        <w:tc>
          <w:tcPr>
            <w:tcW w:w="1271"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847"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153EAE" w:rsidP="005A4EAB">
            <w:pPr>
              <w:spacing w:line="252" w:lineRule="auto"/>
              <w:jc w:val="center"/>
              <w:rPr>
                <w:rFonts w:ascii="Arial Narrow" w:eastAsia="Calibri" w:hAnsi="Arial Narrow"/>
                <w:sz w:val="20"/>
                <w:szCs w:val="20"/>
                <w:highlight w:val="yellow"/>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r>
      <w:tr w:rsidR="005078DD"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sz w:val="20"/>
                <w:szCs w:val="20"/>
                <w:lang w:eastAsia="en-AU"/>
              </w:rPr>
            </w:pPr>
            <w:r w:rsidRPr="00636175">
              <w:rPr>
                <w:rFonts w:ascii="Arial Narrow" w:eastAsia="Calibri" w:hAnsi="Arial Narrow"/>
                <w:sz w:val="20"/>
                <w:szCs w:val="20"/>
                <w:lang w:eastAsia="en-AU"/>
              </w:rPr>
              <w:t>A</w:t>
            </w:r>
            <w:r w:rsidR="00D0739F" w:rsidRPr="00636175">
              <w:rPr>
                <w:rFonts w:ascii="Arial Narrow" w:eastAsia="Calibri" w:hAnsi="Arial Narrow"/>
                <w:sz w:val="20"/>
                <w:szCs w:val="20"/>
                <w:lang w:eastAsia="en-AU"/>
              </w:rPr>
              <w:t>denocarcinoma non-squamous only</w:t>
            </w:r>
          </w:p>
        </w:tc>
        <w:tc>
          <w:tcPr>
            <w:tcW w:w="1188"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highlight w:val="yellow"/>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 xml:space="preserve"> '''''</w:t>
            </w:r>
          </w:p>
        </w:tc>
        <w:tc>
          <w:tcPr>
            <w:tcW w:w="1271"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sz w:val="20"/>
                <w:szCs w:val="20"/>
                <w:lang w:eastAsia="en-AU"/>
              </w:rPr>
            </w:pPr>
            <w:r w:rsidRPr="00636175">
              <w:rPr>
                <w:rFonts w:ascii="Arial Narrow" w:eastAsia="Calibri" w:hAnsi="Arial Narrow"/>
                <w:sz w:val="20"/>
                <w:szCs w:val="20"/>
                <w:lang w:eastAsia="en-AU"/>
              </w:rPr>
              <w:t>n=</w:t>
            </w:r>
            <w:r w:rsidR="00153EAE">
              <w:rPr>
                <w:rFonts w:ascii="Arial Narrow" w:eastAsia="Calibri" w:hAnsi="Arial Narrow"/>
                <w:noProof/>
                <w:color w:val="000000"/>
                <w:sz w:val="20"/>
                <w:szCs w:val="20"/>
                <w:highlight w:val="black"/>
                <w:lang w:eastAsia="en-AU"/>
              </w:rPr>
              <w:t>'''''''''</w:t>
            </w:r>
          </w:p>
          <w:p w:rsidR="00541EE0" w:rsidRPr="00636175" w:rsidRDefault="00153EAE" w:rsidP="005A4EAB">
            <w:pPr>
              <w:spacing w:line="252" w:lineRule="auto"/>
              <w:jc w:val="center"/>
              <w:rPr>
                <w:rFonts w:ascii="Arial Narrow" w:eastAsia="Calibri" w:hAnsi="Arial Narrow"/>
                <w:sz w:val="20"/>
                <w:szCs w:val="20"/>
                <w:highlight w:val="yellow"/>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c>
          <w:tcPr>
            <w:tcW w:w="847" w:type="pct"/>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153EAE" w:rsidP="005A4EAB">
            <w:pPr>
              <w:spacing w:line="252" w:lineRule="auto"/>
              <w:jc w:val="center"/>
              <w:rPr>
                <w:rFonts w:ascii="Arial Narrow" w:eastAsia="Calibri" w:hAnsi="Arial Narrow"/>
                <w:sz w:val="20"/>
                <w:szCs w:val="20"/>
                <w:highlight w:val="yellow"/>
                <w:lang w:eastAsia="en-AU"/>
              </w:rPr>
            </w:pPr>
            <w:r>
              <w:rPr>
                <w:rFonts w:ascii="Arial Narrow" w:eastAsia="Calibri" w:hAnsi="Arial Narrow"/>
                <w:noProof/>
                <w:color w:val="000000"/>
                <w:sz w:val="20"/>
                <w:szCs w:val="20"/>
                <w:highlight w:val="black"/>
                <w:lang w:eastAsia="en-AU"/>
              </w:rPr>
              <w:t xml:space="preserve">''''''''''' </w:t>
            </w:r>
            <w:r w:rsidR="00541EE0" w:rsidRPr="00636175">
              <w:rPr>
                <w:rFonts w:ascii="Arial Narrow" w:eastAsia="Calibri" w:hAnsi="Arial Narrow"/>
                <w:sz w:val="20"/>
                <w:szCs w:val="20"/>
                <w:lang w:eastAsia="en-AU"/>
              </w:rPr>
              <w:t>(</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 xml:space="preserve">, </w:t>
            </w:r>
            <w:r>
              <w:rPr>
                <w:rFonts w:ascii="Arial Narrow" w:eastAsia="Calibri" w:hAnsi="Arial Narrow"/>
                <w:noProof/>
                <w:color w:val="000000"/>
                <w:sz w:val="20"/>
                <w:szCs w:val="20"/>
                <w:highlight w:val="black"/>
                <w:lang w:eastAsia="en-AU"/>
              </w:rPr>
              <w:t>''''''''''</w:t>
            </w:r>
            <w:r w:rsidR="00541EE0" w:rsidRPr="00636175">
              <w:rPr>
                <w:rFonts w:ascii="Arial Narrow" w:eastAsia="Calibri" w:hAnsi="Arial Narrow"/>
                <w:sz w:val="20"/>
                <w:szCs w:val="20"/>
                <w:lang w:eastAsia="en-AU"/>
              </w:rPr>
              <w:t>)</w:t>
            </w:r>
          </w:p>
        </w:tc>
      </w:tr>
      <w:tr w:rsidR="00541EE0"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b/>
                <w:bCs/>
                <w:iCs/>
                <w:sz w:val="20"/>
                <w:szCs w:val="20"/>
                <w:lang w:eastAsia="en-AU"/>
              </w:rPr>
            </w:pPr>
            <w:r w:rsidRPr="00636175">
              <w:rPr>
                <w:rFonts w:ascii="Arial Narrow" w:eastAsia="Calibri" w:hAnsi="Arial Narrow"/>
                <w:iCs/>
                <w:sz w:val="20"/>
                <w:szCs w:val="20"/>
                <w:lang w:eastAsia="en-AU"/>
              </w:rPr>
              <w:t>Test for treatment effect variation</w:t>
            </w:r>
          </w:p>
          <w:p w:rsidR="00541EE0" w:rsidRPr="00636175" w:rsidRDefault="00541EE0" w:rsidP="009A4786">
            <w:pPr>
              <w:spacing w:line="252" w:lineRule="auto"/>
              <w:jc w:val="left"/>
              <w:rPr>
                <w:rFonts w:ascii="Arial Narrow" w:eastAsia="Calibri" w:hAnsi="Arial Narrow"/>
                <w:iCs/>
                <w:sz w:val="20"/>
                <w:szCs w:val="20"/>
                <w:lang w:eastAsia="en-AU"/>
              </w:rPr>
            </w:pPr>
            <w:r w:rsidRPr="00636175">
              <w:rPr>
                <w:rFonts w:ascii="Arial Narrow" w:eastAsia="Calibri" w:hAnsi="Arial Narrow"/>
                <w:iCs/>
                <w:sz w:val="20"/>
                <w:szCs w:val="20"/>
                <w:u w:val="single"/>
                <w:lang w:eastAsia="en-AU"/>
              </w:rPr>
              <w:t xml:space="preserve">All non-squamous </w:t>
            </w:r>
            <w:proofErr w:type="spellStart"/>
            <w:r w:rsidRPr="00636175">
              <w:rPr>
                <w:rFonts w:ascii="Arial Narrow" w:eastAsia="Calibri" w:hAnsi="Arial Narrow"/>
                <w:iCs/>
                <w:sz w:val="20"/>
                <w:szCs w:val="20"/>
                <w:u w:val="single"/>
                <w:lang w:eastAsia="en-AU"/>
              </w:rPr>
              <w:t>Vs</w:t>
            </w:r>
            <w:proofErr w:type="spellEnd"/>
            <w:r w:rsidRPr="00636175">
              <w:rPr>
                <w:rFonts w:ascii="Arial Narrow" w:eastAsia="Calibri" w:hAnsi="Arial Narrow"/>
                <w:iCs/>
                <w:sz w:val="20"/>
                <w:szCs w:val="20"/>
                <w:u w:val="single"/>
                <w:lang w:eastAsia="en-AU"/>
              </w:rPr>
              <w:t xml:space="preserve"> </w:t>
            </w:r>
            <w:r w:rsidR="009A4786">
              <w:rPr>
                <w:rFonts w:ascii="Arial Narrow" w:eastAsia="Calibri" w:hAnsi="Arial Narrow"/>
                <w:iCs/>
                <w:sz w:val="20"/>
                <w:szCs w:val="20"/>
                <w:u w:val="single"/>
                <w:lang w:eastAsia="en-AU"/>
              </w:rPr>
              <w:t>s</w:t>
            </w:r>
            <w:r w:rsidRPr="00636175">
              <w:rPr>
                <w:rFonts w:ascii="Arial Narrow" w:eastAsia="Calibri" w:hAnsi="Arial Narrow"/>
                <w:iCs/>
                <w:sz w:val="20"/>
                <w:szCs w:val="20"/>
                <w:u w:val="single"/>
                <w:lang w:eastAsia="en-AU"/>
              </w:rPr>
              <w:t xml:space="preserve">quamous </w:t>
            </w:r>
          </w:p>
        </w:tc>
        <w:tc>
          <w:tcPr>
            <w:tcW w:w="3306" w:type="pct"/>
            <w:gridSpan w:val="3"/>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iCs/>
                <w:sz w:val="20"/>
                <w:szCs w:val="20"/>
                <w:lang w:eastAsia="en-AU"/>
              </w:rPr>
            </w:pP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all non-squamous </w:t>
            </w:r>
            <w:r w:rsidRPr="00636175">
              <w:rPr>
                <w:rFonts w:ascii="Arial Narrow" w:eastAsia="Calibri" w:hAnsi="Arial Narrow"/>
                <w:b/>
                <w:bCs/>
                <w:iCs/>
                <w:sz w:val="20"/>
                <w:szCs w:val="20"/>
                <w:u w:val="single"/>
                <w:lang w:eastAsia="en-AU"/>
              </w:rPr>
              <w:t xml:space="preserve">versus </w:t>
            </w: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squamous</w:t>
            </w:r>
          </w:p>
          <w:p w:rsidR="00541EE0" w:rsidRPr="00636175" w:rsidRDefault="00541EE0" w:rsidP="005A4EAB">
            <w:pPr>
              <w:spacing w:line="252" w:lineRule="auto"/>
              <w:jc w:val="center"/>
              <w:rPr>
                <w:rFonts w:ascii="Arial Narrow" w:eastAsia="Calibri" w:hAnsi="Arial Narrow"/>
                <w:b/>
                <w:bCs/>
                <w:iCs/>
                <w:sz w:val="20"/>
                <w:szCs w:val="20"/>
                <w:highlight w:val="yellow"/>
                <w:lang w:eastAsia="en-AU"/>
              </w:rPr>
            </w:pPr>
            <w:r w:rsidRPr="00636175">
              <w:rPr>
                <w:rFonts w:ascii="Arial Narrow" w:eastAsia="Calibri" w:hAnsi="Arial Narrow"/>
                <w:b/>
                <w:bCs/>
                <w:iCs/>
                <w:sz w:val="20"/>
                <w:szCs w:val="20"/>
                <w:lang w:eastAsia="en-AU"/>
              </w:rPr>
              <w:t xml:space="preserve">Ratio of HRs (95% CI):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w:t>
            </w:r>
            <w:r w:rsidRPr="00636175">
              <w:rPr>
                <w:rFonts w:ascii="Arial Narrow" w:eastAsia="Calibri" w:hAnsi="Arial Narrow"/>
                <w:iCs/>
                <w:sz w:val="20"/>
                <w:szCs w:val="20"/>
                <w:lang w:eastAsia="en-AU"/>
              </w:rPr>
              <w:t xml:space="preserve">; p = </w:t>
            </w:r>
            <w:r w:rsidR="00153EAE">
              <w:rPr>
                <w:rFonts w:ascii="Arial Narrow" w:eastAsia="Calibri" w:hAnsi="Arial Narrow"/>
                <w:iCs/>
                <w:noProof/>
                <w:color w:val="000000"/>
                <w:sz w:val="20"/>
                <w:szCs w:val="20"/>
                <w:highlight w:val="black"/>
                <w:lang w:eastAsia="en-AU"/>
              </w:rPr>
              <w:t>'''''''''''''</w:t>
            </w:r>
          </w:p>
        </w:tc>
      </w:tr>
      <w:tr w:rsidR="00541EE0" w:rsidRPr="00636175" w:rsidTr="005078DD">
        <w:tc>
          <w:tcPr>
            <w:tcW w:w="1694" w:type="pct"/>
            <w:tcBorders>
              <w:top w:val="nil"/>
              <w:left w:val="single" w:sz="8" w:space="0" w:color="000000"/>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left"/>
              <w:rPr>
                <w:rFonts w:ascii="Arial Narrow" w:eastAsia="Calibri" w:hAnsi="Arial Narrow"/>
                <w:b/>
                <w:bCs/>
                <w:iCs/>
                <w:sz w:val="20"/>
                <w:szCs w:val="20"/>
                <w:lang w:eastAsia="en-AU"/>
              </w:rPr>
            </w:pPr>
            <w:r w:rsidRPr="00636175">
              <w:rPr>
                <w:rFonts w:ascii="Arial Narrow" w:eastAsia="Calibri" w:hAnsi="Arial Narrow"/>
                <w:iCs/>
                <w:sz w:val="20"/>
                <w:szCs w:val="20"/>
                <w:lang w:eastAsia="en-AU"/>
              </w:rPr>
              <w:t>Test for treatment effect variation</w:t>
            </w:r>
          </w:p>
          <w:p w:rsidR="00541EE0" w:rsidRPr="00636175" w:rsidRDefault="00541EE0" w:rsidP="009A4786">
            <w:pPr>
              <w:spacing w:line="252" w:lineRule="auto"/>
              <w:jc w:val="left"/>
              <w:rPr>
                <w:rFonts w:ascii="Arial Narrow" w:eastAsia="Calibri" w:hAnsi="Arial Narrow"/>
                <w:iCs/>
                <w:sz w:val="20"/>
                <w:szCs w:val="20"/>
                <w:lang w:eastAsia="en-AU"/>
              </w:rPr>
            </w:pPr>
            <w:r w:rsidRPr="00636175">
              <w:rPr>
                <w:rFonts w:ascii="Arial Narrow" w:eastAsia="Calibri" w:hAnsi="Arial Narrow"/>
                <w:iCs/>
                <w:sz w:val="20"/>
                <w:szCs w:val="20"/>
                <w:u w:val="single"/>
                <w:lang w:eastAsia="en-AU"/>
              </w:rPr>
              <w:t xml:space="preserve">Adenocarcinoma non-squamous </w:t>
            </w:r>
            <w:proofErr w:type="spellStart"/>
            <w:r w:rsidRPr="00636175">
              <w:rPr>
                <w:rFonts w:ascii="Arial Narrow" w:eastAsia="Calibri" w:hAnsi="Arial Narrow"/>
                <w:iCs/>
                <w:sz w:val="20"/>
                <w:szCs w:val="20"/>
                <w:u w:val="single"/>
                <w:lang w:eastAsia="en-AU"/>
              </w:rPr>
              <w:t>Vs</w:t>
            </w:r>
            <w:proofErr w:type="spellEnd"/>
            <w:r w:rsidRPr="00636175">
              <w:rPr>
                <w:rFonts w:ascii="Arial Narrow" w:eastAsia="Calibri" w:hAnsi="Arial Narrow"/>
                <w:iCs/>
                <w:sz w:val="20"/>
                <w:szCs w:val="20"/>
                <w:u w:val="single"/>
                <w:lang w:eastAsia="en-AU"/>
              </w:rPr>
              <w:t xml:space="preserve"> </w:t>
            </w:r>
            <w:r w:rsidR="009A4786">
              <w:rPr>
                <w:rFonts w:ascii="Arial Narrow" w:eastAsia="Calibri" w:hAnsi="Arial Narrow"/>
                <w:iCs/>
                <w:sz w:val="20"/>
                <w:szCs w:val="20"/>
                <w:u w:val="single"/>
                <w:lang w:eastAsia="en-AU"/>
              </w:rPr>
              <w:t>s</w:t>
            </w:r>
            <w:r w:rsidRPr="00636175">
              <w:rPr>
                <w:rFonts w:ascii="Arial Narrow" w:eastAsia="Calibri" w:hAnsi="Arial Narrow"/>
                <w:iCs/>
                <w:sz w:val="20"/>
                <w:szCs w:val="20"/>
                <w:u w:val="single"/>
                <w:lang w:eastAsia="en-AU"/>
              </w:rPr>
              <w:t>quamous</w:t>
            </w:r>
          </w:p>
        </w:tc>
        <w:tc>
          <w:tcPr>
            <w:tcW w:w="3306" w:type="pct"/>
            <w:gridSpan w:val="3"/>
            <w:tcBorders>
              <w:top w:val="nil"/>
              <w:left w:val="nil"/>
              <w:bottom w:val="single" w:sz="8" w:space="0" w:color="000000"/>
              <w:right w:val="single" w:sz="8" w:space="0" w:color="000000"/>
            </w:tcBorders>
            <w:noWrap/>
            <w:tcMar>
              <w:top w:w="28" w:type="dxa"/>
              <w:left w:w="28" w:type="dxa"/>
              <w:bottom w:w="28" w:type="dxa"/>
              <w:right w:w="28" w:type="dxa"/>
            </w:tcMar>
            <w:vAlign w:val="center"/>
            <w:hideMark/>
          </w:tcPr>
          <w:p w:rsidR="00541EE0" w:rsidRPr="00636175" w:rsidRDefault="00541EE0" w:rsidP="005A4EAB">
            <w:pPr>
              <w:spacing w:line="252" w:lineRule="auto"/>
              <w:jc w:val="center"/>
              <w:rPr>
                <w:rFonts w:ascii="Arial Narrow" w:eastAsia="Calibri" w:hAnsi="Arial Narrow"/>
                <w:b/>
                <w:bCs/>
                <w:iCs/>
                <w:sz w:val="20"/>
                <w:szCs w:val="20"/>
                <w:lang w:eastAsia="en-AU"/>
              </w:rPr>
            </w:pP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adenocarcinoma</w:t>
            </w:r>
            <w:r w:rsidRPr="00636175">
              <w:rPr>
                <w:rFonts w:ascii="Arial Narrow" w:eastAsia="Calibri" w:hAnsi="Arial Narrow"/>
                <w:b/>
                <w:bCs/>
                <w:iCs/>
                <w:sz w:val="20"/>
                <w:szCs w:val="20"/>
                <w:u w:val="single"/>
                <w:lang w:eastAsia="en-AU"/>
              </w:rPr>
              <w:t xml:space="preserve"> versus </w:t>
            </w:r>
            <w:r w:rsidRPr="00636175">
              <w:rPr>
                <w:rFonts w:ascii="Arial Narrow" w:eastAsia="Calibri" w:hAnsi="Arial Narrow"/>
                <w:b/>
                <w:bCs/>
                <w:iCs/>
                <w:sz w:val="20"/>
                <w:szCs w:val="20"/>
                <w:lang w:eastAsia="en-AU"/>
              </w:rPr>
              <w:t xml:space="preserve">Pembrolizumab 2 mg/kg </w:t>
            </w:r>
            <w:proofErr w:type="spellStart"/>
            <w:r w:rsidRPr="00636175">
              <w:rPr>
                <w:rFonts w:ascii="Arial Narrow" w:eastAsia="Calibri" w:hAnsi="Arial Narrow"/>
                <w:b/>
                <w:bCs/>
                <w:iCs/>
                <w:sz w:val="20"/>
                <w:szCs w:val="20"/>
                <w:lang w:eastAsia="en-AU"/>
              </w:rPr>
              <w:t>vs</w:t>
            </w:r>
            <w:proofErr w:type="spellEnd"/>
            <w:r w:rsidRPr="00636175">
              <w:rPr>
                <w:rFonts w:ascii="Arial Narrow" w:eastAsia="Calibri" w:hAnsi="Arial Narrow"/>
                <w:b/>
                <w:bCs/>
                <w:iCs/>
                <w:sz w:val="20"/>
                <w:szCs w:val="20"/>
                <w:lang w:eastAsia="en-AU"/>
              </w:rPr>
              <w:t xml:space="preserve"> </w:t>
            </w:r>
            <w:proofErr w:type="spellStart"/>
            <w:r w:rsidRPr="00636175">
              <w:rPr>
                <w:rFonts w:ascii="Arial Narrow" w:eastAsia="Calibri" w:hAnsi="Arial Narrow"/>
                <w:b/>
                <w:bCs/>
                <w:iCs/>
                <w:sz w:val="20"/>
                <w:szCs w:val="20"/>
                <w:lang w:eastAsia="en-AU"/>
              </w:rPr>
              <w:t>docetaxel</w:t>
            </w:r>
            <w:proofErr w:type="spellEnd"/>
            <w:r w:rsidRPr="00636175">
              <w:rPr>
                <w:rFonts w:ascii="Arial Narrow" w:eastAsia="Calibri" w:hAnsi="Arial Narrow"/>
                <w:b/>
                <w:bCs/>
                <w:iCs/>
                <w:sz w:val="20"/>
                <w:szCs w:val="20"/>
                <w:lang w:eastAsia="en-AU"/>
              </w:rPr>
              <w:t xml:space="preserve"> in squamous</w:t>
            </w:r>
          </w:p>
          <w:p w:rsidR="00541EE0" w:rsidRPr="00636175" w:rsidRDefault="00541EE0" w:rsidP="005A4EAB">
            <w:pPr>
              <w:spacing w:line="252" w:lineRule="auto"/>
              <w:jc w:val="center"/>
              <w:rPr>
                <w:rFonts w:ascii="Arial Narrow" w:eastAsia="Calibri" w:hAnsi="Arial Narrow"/>
                <w:b/>
                <w:bCs/>
                <w:iCs/>
                <w:sz w:val="20"/>
                <w:szCs w:val="20"/>
                <w:lang w:eastAsia="en-AU"/>
              </w:rPr>
            </w:pPr>
            <w:r w:rsidRPr="00636175">
              <w:rPr>
                <w:rFonts w:ascii="Arial Narrow" w:eastAsia="Calibri" w:hAnsi="Arial Narrow"/>
                <w:b/>
                <w:bCs/>
                <w:iCs/>
                <w:sz w:val="20"/>
                <w:szCs w:val="20"/>
                <w:lang w:eastAsia="en-AU"/>
              </w:rPr>
              <w:t xml:space="preserve">Ratio of HRs (95% CI):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00153EAE">
              <w:rPr>
                <w:rFonts w:ascii="Arial Narrow" w:eastAsia="Calibri" w:hAnsi="Arial Narrow"/>
                <w:b/>
                <w:bCs/>
                <w:iCs/>
                <w:noProof/>
                <w:color w:val="000000"/>
                <w:sz w:val="20"/>
                <w:szCs w:val="20"/>
                <w:highlight w:val="black"/>
                <w:lang w:eastAsia="en-AU"/>
              </w:rPr>
              <w:t>''''''''''</w:t>
            </w:r>
            <w:r w:rsidRPr="00636175">
              <w:rPr>
                <w:rFonts w:ascii="Arial Narrow" w:eastAsia="Calibri" w:hAnsi="Arial Narrow"/>
                <w:b/>
                <w:bCs/>
                <w:iCs/>
                <w:sz w:val="20"/>
                <w:szCs w:val="20"/>
                <w:lang w:eastAsia="en-AU"/>
              </w:rPr>
              <w:t xml:space="preserve">), </w:t>
            </w:r>
            <w:r w:rsidRPr="00636175">
              <w:rPr>
                <w:rFonts w:ascii="Arial Narrow" w:eastAsia="Calibri" w:hAnsi="Arial Narrow"/>
                <w:iCs/>
                <w:sz w:val="20"/>
                <w:szCs w:val="20"/>
                <w:lang w:eastAsia="en-AU"/>
              </w:rPr>
              <w:t xml:space="preserve">p </w:t>
            </w:r>
            <w:r w:rsidR="00153EAE">
              <w:rPr>
                <w:rFonts w:ascii="Arial Narrow" w:eastAsia="Calibri" w:hAnsi="Arial Narrow"/>
                <w:iCs/>
                <w:noProof/>
                <w:color w:val="000000"/>
                <w:sz w:val="20"/>
                <w:szCs w:val="20"/>
                <w:highlight w:val="black"/>
                <w:lang w:eastAsia="en-AU"/>
              </w:rPr>
              <w:t>'''' '''''''''''''</w:t>
            </w:r>
          </w:p>
        </w:tc>
      </w:tr>
    </w:tbl>
    <w:p w:rsidR="00541EE0" w:rsidRPr="00232CE0" w:rsidRDefault="00541EE0" w:rsidP="005078DD">
      <w:pPr>
        <w:ind w:left="709"/>
        <w:rPr>
          <w:rFonts w:ascii="Arial Narrow" w:eastAsia="Calibri" w:hAnsi="Arial Narrow"/>
          <w:snapToGrid w:val="0"/>
          <w:sz w:val="18"/>
          <w:szCs w:val="18"/>
        </w:rPr>
      </w:pPr>
      <w:r w:rsidRPr="00232CE0">
        <w:rPr>
          <w:rFonts w:ascii="Arial Narrow" w:eastAsia="Calibri" w:hAnsi="Arial Narrow"/>
          <w:snapToGrid w:val="0"/>
          <w:sz w:val="18"/>
          <w:szCs w:val="18"/>
        </w:rPr>
        <w:t>– = not reached; CI = confidence interval; HR = hazard ratio; ITT = intention-to-treat; OS = overall survival; PD-L1 = programmed death ligand 1; Q3W = every three weeks; TPS = tumour proportion score.</w:t>
      </w:r>
    </w:p>
    <w:p w:rsidR="00541EE0" w:rsidRPr="00232CE0" w:rsidRDefault="00541EE0" w:rsidP="005078DD">
      <w:pPr>
        <w:pStyle w:val="ListParagraph"/>
        <w:ind w:left="709" w:firstLine="0"/>
        <w:rPr>
          <w:rFonts w:ascii="Arial Narrow" w:eastAsia="Calibri" w:hAnsi="Arial Narrow"/>
          <w:iCs/>
          <w:snapToGrid w:val="0"/>
          <w:sz w:val="18"/>
          <w:szCs w:val="18"/>
        </w:rPr>
      </w:pPr>
      <w:r w:rsidRPr="00232CE0">
        <w:rPr>
          <w:rFonts w:ascii="Arial Narrow" w:eastAsia="Calibri" w:hAnsi="Arial Narrow"/>
          <w:snapToGrid w:val="0"/>
          <w:sz w:val="18"/>
          <w:szCs w:val="18"/>
        </w:rPr>
        <w:t xml:space="preserve">Source: Table B.6-37, p168 of the submission and Appendix 15 of the main submission. </w:t>
      </w:r>
      <w:r w:rsidRPr="00232CE0">
        <w:rPr>
          <w:rFonts w:ascii="Arial Narrow" w:eastAsia="Calibri" w:hAnsi="Arial Narrow"/>
          <w:iCs/>
          <w:snapToGrid w:val="0"/>
          <w:sz w:val="18"/>
          <w:szCs w:val="18"/>
        </w:rPr>
        <w:t xml:space="preserve">Interaction analyses were conducted during the evaluation using the </w:t>
      </w:r>
      <w:r w:rsidR="00232CE0">
        <w:rPr>
          <w:rFonts w:ascii="Arial Narrow" w:eastAsia="Calibri" w:hAnsi="Arial Narrow"/>
          <w:iCs/>
          <w:snapToGrid w:val="0"/>
          <w:sz w:val="18"/>
          <w:szCs w:val="18"/>
        </w:rPr>
        <w:t>approach by Altman et al (2003)</w:t>
      </w:r>
    </w:p>
    <w:p w:rsidR="0095055D" w:rsidRPr="0017289B" w:rsidRDefault="0095055D" w:rsidP="003F79E2">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szCs w:val="22"/>
        </w:rPr>
      </w:pPr>
      <w:r w:rsidRPr="009015FA">
        <w:rPr>
          <w:rFonts w:ascii="Arial" w:hAnsi="Arial" w:cs="Arial"/>
          <w:sz w:val="22"/>
          <w:szCs w:val="22"/>
        </w:rPr>
        <w:t xml:space="preserve">In the squamous subgroup of the TPS ≥50% subgroup, the gain in median OS of </w:t>
      </w:r>
      <w:r w:rsidR="00153EAE">
        <w:rPr>
          <w:rFonts w:ascii="Arial" w:hAnsi="Arial" w:cs="Arial"/>
          <w:noProof/>
          <w:color w:val="000000"/>
          <w:sz w:val="22"/>
          <w:szCs w:val="22"/>
          <w:highlight w:val="black"/>
        </w:rPr>
        <w:t>''''''''</w:t>
      </w:r>
      <w:r w:rsidRPr="009015FA">
        <w:rPr>
          <w:rFonts w:ascii="Arial" w:hAnsi="Arial" w:cs="Arial"/>
          <w:sz w:val="22"/>
          <w:szCs w:val="22"/>
        </w:rPr>
        <w:t xml:space="preserve"> months for pembrolizumab 2 mg/kg over </w:t>
      </w:r>
      <w:proofErr w:type="spellStart"/>
      <w:r w:rsidRPr="009015FA">
        <w:rPr>
          <w:rFonts w:ascii="Arial" w:hAnsi="Arial" w:cs="Arial"/>
          <w:sz w:val="22"/>
          <w:szCs w:val="22"/>
        </w:rPr>
        <w:t>docetaxel</w:t>
      </w:r>
      <w:proofErr w:type="spellEnd"/>
      <w:r w:rsidRPr="009015FA">
        <w:rPr>
          <w:rFonts w:ascii="Arial" w:hAnsi="Arial" w:cs="Arial"/>
          <w:sz w:val="22"/>
          <w:szCs w:val="22"/>
        </w:rPr>
        <w:t xml:space="preserve"> was not statistically significant. The clinical benefit </w:t>
      </w:r>
      <w:r w:rsidR="00304407">
        <w:rPr>
          <w:rFonts w:ascii="Arial" w:hAnsi="Arial" w:cs="Arial"/>
          <w:sz w:val="22"/>
          <w:szCs w:val="22"/>
        </w:rPr>
        <w:t xml:space="preserve">of </w:t>
      </w:r>
      <w:r w:rsidR="00B04CC2">
        <w:rPr>
          <w:rFonts w:ascii="Arial" w:hAnsi="Arial" w:cs="Arial"/>
          <w:sz w:val="22"/>
          <w:szCs w:val="22"/>
        </w:rPr>
        <w:t>p</w:t>
      </w:r>
      <w:r w:rsidR="00304407">
        <w:rPr>
          <w:rFonts w:ascii="Arial" w:hAnsi="Arial" w:cs="Arial"/>
          <w:sz w:val="22"/>
          <w:szCs w:val="22"/>
        </w:rPr>
        <w:t>embrolizumab in the squamous subgroup</w:t>
      </w:r>
      <w:r w:rsidRPr="009015FA">
        <w:rPr>
          <w:rFonts w:ascii="Arial" w:hAnsi="Arial" w:cs="Arial"/>
          <w:sz w:val="22"/>
          <w:szCs w:val="22"/>
        </w:rPr>
        <w:t xml:space="preserve"> remains inconclusive</w:t>
      </w:r>
      <w:r w:rsidR="00B04CC2">
        <w:rPr>
          <w:rFonts w:ascii="Arial" w:hAnsi="Arial" w:cs="Arial"/>
          <w:sz w:val="22"/>
          <w:szCs w:val="22"/>
        </w:rPr>
        <w:t>, requiring cautious i</w:t>
      </w:r>
      <w:r w:rsidRPr="009015FA">
        <w:rPr>
          <w:rFonts w:ascii="Arial" w:hAnsi="Arial" w:cs="Arial"/>
          <w:sz w:val="22"/>
          <w:szCs w:val="22"/>
        </w:rPr>
        <w:t>nterpretation tak</w:t>
      </w:r>
      <w:r w:rsidR="00B04CC2">
        <w:rPr>
          <w:rFonts w:ascii="Arial" w:hAnsi="Arial" w:cs="Arial"/>
          <w:sz w:val="22"/>
          <w:szCs w:val="22"/>
        </w:rPr>
        <w:t>ing</w:t>
      </w:r>
      <w:r w:rsidRPr="009015FA">
        <w:rPr>
          <w:rFonts w:ascii="Arial" w:hAnsi="Arial" w:cs="Arial"/>
          <w:sz w:val="22"/>
          <w:szCs w:val="22"/>
        </w:rPr>
        <w:t xml:space="preserve"> into consideration the small subgroup sample size. The results were similar in the larger squamous NSCLC subgroup of the TPS ≥1% (ITT) population, with no statistically significant difference in OS between pembrolizumab and </w:t>
      </w:r>
      <w:proofErr w:type="spellStart"/>
      <w:r w:rsidRPr="009015FA">
        <w:rPr>
          <w:rFonts w:ascii="Arial" w:hAnsi="Arial" w:cs="Arial"/>
          <w:sz w:val="22"/>
          <w:szCs w:val="22"/>
        </w:rPr>
        <w:t>docetaxel</w:t>
      </w:r>
      <w:proofErr w:type="spellEnd"/>
      <w:r w:rsidRPr="009015FA">
        <w:rPr>
          <w:rFonts w:ascii="Arial" w:hAnsi="Arial" w:cs="Arial"/>
          <w:sz w:val="22"/>
          <w:szCs w:val="22"/>
        </w:rPr>
        <w:t xml:space="preserve"> (HR = </w:t>
      </w:r>
      <w:r w:rsidR="00153EAE">
        <w:rPr>
          <w:rFonts w:ascii="Arial" w:hAnsi="Arial" w:cs="Arial"/>
          <w:noProof/>
          <w:color w:val="000000"/>
          <w:sz w:val="22"/>
          <w:szCs w:val="22"/>
          <w:highlight w:val="black"/>
        </w:rPr>
        <w:t>''''''''''</w:t>
      </w:r>
      <w:r w:rsidRPr="009015FA">
        <w:rPr>
          <w:rFonts w:ascii="Arial" w:hAnsi="Arial" w:cs="Arial"/>
          <w:sz w:val="22"/>
          <w:szCs w:val="22"/>
        </w:rPr>
        <w:t xml:space="preserve">; 95% CI </w:t>
      </w:r>
      <w:r w:rsidR="00153EAE">
        <w:rPr>
          <w:rFonts w:ascii="Arial" w:hAnsi="Arial" w:cs="Arial"/>
          <w:noProof/>
          <w:color w:val="000000"/>
          <w:sz w:val="22"/>
          <w:szCs w:val="22"/>
          <w:highlight w:val="black"/>
        </w:rPr>
        <w:t>''''''''''</w:t>
      </w:r>
      <w:r w:rsidRPr="009015FA">
        <w:rPr>
          <w:rFonts w:ascii="Arial" w:hAnsi="Arial" w:cs="Arial"/>
          <w:sz w:val="22"/>
          <w:szCs w:val="22"/>
        </w:rPr>
        <w:t xml:space="preserve">, </w:t>
      </w:r>
      <w:r w:rsidR="00153EAE">
        <w:rPr>
          <w:rFonts w:ascii="Arial" w:hAnsi="Arial" w:cs="Arial"/>
          <w:noProof/>
          <w:color w:val="000000"/>
          <w:sz w:val="22"/>
          <w:szCs w:val="22"/>
          <w:highlight w:val="black"/>
        </w:rPr>
        <w:t>'''''''''''</w:t>
      </w:r>
      <w:r w:rsidRPr="009015FA">
        <w:rPr>
          <w:rFonts w:ascii="Arial" w:hAnsi="Arial" w:cs="Arial"/>
          <w:sz w:val="22"/>
          <w:szCs w:val="22"/>
        </w:rPr>
        <w:t>).</w:t>
      </w:r>
    </w:p>
    <w:p w:rsidR="0095055D" w:rsidRPr="002E75AA" w:rsidRDefault="0095055D" w:rsidP="003F79E2">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szCs w:val="22"/>
        </w:rPr>
      </w:pPr>
      <w:r w:rsidRPr="009015FA">
        <w:rPr>
          <w:rFonts w:ascii="Arial" w:hAnsi="Arial" w:cs="Arial"/>
          <w:sz w:val="22"/>
          <w:szCs w:val="22"/>
        </w:rPr>
        <w:t xml:space="preserve">In the non-squamous subgroup, pembrolizumab 2 mg/kg was associated with a statistically significant </w:t>
      </w:r>
      <w:r w:rsidR="00B54739">
        <w:rPr>
          <w:rFonts w:ascii="Arial" w:hAnsi="Arial" w:cs="Arial"/>
          <w:sz w:val="22"/>
          <w:szCs w:val="22"/>
        </w:rPr>
        <w:t xml:space="preserve">gain in </w:t>
      </w:r>
      <w:r w:rsidRPr="009015FA">
        <w:rPr>
          <w:rFonts w:ascii="Arial" w:hAnsi="Arial" w:cs="Arial"/>
          <w:sz w:val="22"/>
          <w:szCs w:val="22"/>
        </w:rPr>
        <w:t xml:space="preserve">OS </w:t>
      </w:r>
      <w:r w:rsidR="00B04CC2" w:rsidRPr="009015FA">
        <w:rPr>
          <w:rFonts w:ascii="Arial" w:hAnsi="Arial" w:cs="Arial"/>
          <w:sz w:val="22"/>
          <w:szCs w:val="22"/>
        </w:rPr>
        <w:t xml:space="preserve">over </w:t>
      </w:r>
      <w:proofErr w:type="spellStart"/>
      <w:r w:rsidR="00B04CC2" w:rsidRPr="009015FA">
        <w:rPr>
          <w:rFonts w:ascii="Arial" w:hAnsi="Arial" w:cs="Arial"/>
          <w:sz w:val="22"/>
          <w:szCs w:val="22"/>
        </w:rPr>
        <w:t>docetaxel</w:t>
      </w:r>
      <w:proofErr w:type="spellEnd"/>
      <w:r w:rsidR="00B04CC2" w:rsidRPr="009015FA">
        <w:rPr>
          <w:rFonts w:ascii="Arial" w:hAnsi="Arial" w:cs="Arial"/>
          <w:sz w:val="22"/>
          <w:szCs w:val="22"/>
        </w:rPr>
        <w:t xml:space="preserve"> </w:t>
      </w:r>
      <w:r w:rsidRPr="009015FA">
        <w:rPr>
          <w:rFonts w:ascii="Arial" w:hAnsi="Arial" w:cs="Arial"/>
          <w:sz w:val="22"/>
          <w:szCs w:val="22"/>
        </w:rPr>
        <w:t>in terms of both median OS gain (</w:t>
      </w:r>
      <w:r w:rsidR="00153EAE">
        <w:rPr>
          <w:rFonts w:ascii="Arial" w:hAnsi="Arial" w:cs="Arial"/>
          <w:noProof/>
          <w:color w:val="000000"/>
          <w:sz w:val="22"/>
          <w:szCs w:val="22"/>
          <w:highlight w:val="black"/>
        </w:rPr>
        <w:t>'''''''</w:t>
      </w:r>
      <w:r w:rsidRPr="009015FA">
        <w:rPr>
          <w:rFonts w:ascii="Arial" w:hAnsi="Arial" w:cs="Arial"/>
          <w:sz w:val="22"/>
          <w:szCs w:val="22"/>
        </w:rPr>
        <w:t xml:space="preserve"> months) and the relative hazard (HR = </w:t>
      </w:r>
      <w:r w:rsidR="00153EAE">
        <w:rPr>
          <w:rFonts w:ascii="Arial" w:hAnsi="Arial" w:cs="Arial"/>
          <w:noProof/>
          <w:color w:val="000000"/>
          <w:sz w:val="22"/>
          <w:szCs w:val="22"/>
          <w:highlight w:val="black"/>
        </w:rPr>
        <w:t>'''''''''''</w:t>
      </w:r>
      <w:r w:rsidRPr="009015FA">
        <w:rPr>
          <w:rFonts w:ascii="Arial" w:hAnsi="Arial" w:cs="Arial"/>
          <w:sz w:val="22"/>
          <w:szCs w:val="22"/>
        </w:rPr>
        <w:t xml:space="preserve">; 95% CI </w:t>
      </w:r>
      <w:r w:rsidR="00153EAE">
        <w:rPr>
          <w:rFonts w:ascii="Arial" w:hAnsi="Arial" w:cs="Arial"/>
          <w:noProof/>
          <w:color w:val="000000"/>
          <w:sz w:val="22"/>
          <w:szCs w:val="22"/>
          <w:highlight w:val="black"/>
        </w:rPr>
        <w:t>'''''''''''</w:t>
      </w:r>
      <w:r w:rsidRPr="009015FA">
        <w:rPr>
          <w:rFonts w:ascii="Arial" w:hAnsi="Arial" w:cs="Arial"/>
          <w:sz w:val="22"/>
          <w:szCs w:val="22"/>
        </w:rPr>
        <w:t xml:space="preserve">, </w:t>
      </w:r>
      <w:r w:rsidR="00153EAE">
        <w:rPr>
          <w:rFonts w:ascii="Arial" w:hAnsi="Arial" w:cs="Arial"/>
          <w:noProof/>
          <w:color w:val="000000"/>
          <w:sz w:val="22"/>
          <w:szCs w:val="22"/>
          <w:highlight w:val="black"/>
        </w:rPr>
        <w:t>'''''''''''</w:t>
      </w:r>
      <w:r w:rsidRPr="009015FA">
        <w:rPr>
          <w:rFonts w:ascii="Arial" w:hAnsi="Arial" w:cs="Arial"/>
          <w:sz w:val="22"/>
          <w:szCs w:val="22"/>
        </w:rPr>
        <w:t xml:space="preserve">). There was also a statistically significant </w:t>
      </w:r>
      <w:r w:rsidR="00B54739">
        <w:rPr>
          <w:rFonts w:ascii="Arial" w:hAnsi="Arial" w:cs="Arial"/>
          <w:sz w:val="22"/>
          <w:szCs w:val="22"/>
        </w:rPr>
        <w:t xml:space="preserve">gain in </w:t>
      </w:r>
      <w:r w:rsidRPr="009015FA">
        <w:rPr>
          <w:rFonts w:ascii="Arial" w:hAnsi="Arial" w:cs="Arial"/>
          <w:sz w:val="22"/>
          <w:szCs w:val="22"/>
        </w:rPr>
        <w:t xml:space="preserve">OS associated with pembrolizumab 10 mg/kg compared with </w:t>
      </w:r>
      <w:proofErr w:type="spellStart"/>
      <w:r w:rsidRPr="009015FA">
        <w:rPr>
          <w:rFonts w:ascii="Arial" w:hAnsi="Arial" w:cs="Arial"/>
          <w:sz w:val="22"/>
          <w:szCs w:val="22"/>
        </w:rPr>
        <w:t>docetaxel</w:t>
      </w:r>
      <w:proofErr w:type="spellEnd"/>
      <w:r w:rsidRPr="009015FA">
        <w:rPr>
          <w:rFonts w:ascii="Arial" w:hAnsi="Arial" w:cs="Arial"/>
          <w:sz w:val="22"/>
          <w:szCs w:val="22"/>
        </w:rPr>
        <w:t xml:space="preserve"> (HR = </w:t>
      </w:r>
      <w:r w:rsidR="00153EAE">
        <w:rPr>
          <w:rFonts w:ascii="Arial" w:hAnsi="Arial" w:cs="Arial"/>
          <w:noProof/>
          <w:color w:val="000000"/>
          <w:sz w:val="22"/>
          <w:szCs w:val="22"/>
          <w:highlight w:val="black"/>
        </w:rPr>
        <w:t>''''''''''''</w:t>
      </w:r>
      <w:r w:rsidRPr="009015FA">
        <w:rPr>
          <w:rFonts w:ascii="Arial" w:hAnsi="Arial" w:cs="Arial"/>
          <w:sz w:val="22"/>
          <w:szCs w:val="22"/>
        </w:rPr>
        <w:t xml:space="preserve">; 95% CI </w:t>
      </w:r>
      <w:r w:rsidR="00153EAE">
        <w:rPr>
          <w:rFonts w:ascii="Arial" w:hAnsi="Arial" w:cs="Arial"/>
          <w:noProof/>
          <w:color w:val="000000"/>
          <w:sz w:val="22"/>
          <w:szCs w:val="22"/>
          <w:highlight w:val="black"/>
        </w:rPr>
        <w:t>''''''''''</w:t>
      </w:r>
      <w:r w:rsidRPr="009015FA">
        <w:rPr>
          <w:rFonts w:ascii="Arial" w:hAnsi="Arial" w:cs="Arial"/>
          <w:sz w:val="22"/>
          <w:szCs w:val="22"/>
        </w:rPr>
        <w:t xml:space="preserve">, </w:t>
      </w:r>
      <w:r w:rsidR="00153EAE">
        <w:rPr>
          <w:rFonts w:ascii="Arial" w:hAnsi="Arial" w:cs="Arial"/>
          <w:noProof/>
          <w:color w:val="000000"/>
          <w:sz w:val="22"/>
          <w:szCs w:val="22"/>
          <w:highlight w:val="black"/>
        </w:rPr>
        <w:t>''''''''''</w:t>
      </w:r>
      <w:r w:rsidRPr="009015FA">
        <w:rPr>
          <w:rFonts w:ascii="Arial" w:hAnsi="Arial" w:cs="Arial"/>
          <w:sz w:val="22"/>
          <w:szCs w:val="22"/>
        </w:rPr>
        <w:t>). The median OS was not reached at the September 2015 data cut-off.</w:t>
      </w:r>
    </w:p>
    <w:p w:rsidR="0095055D" w:rsidRPr="009015FA" w:rsidRDefault="0095055D" w:rsidP="003F79E2">
      <w:pPr>
        <w:pStyle w:val="ListParagraph"/>
        <w:ind w:left="0" w:firstLine="0"/>
        <w:rPr>
          <w:rFonts w:ascii="Arial" w:hAnsi="Arial" w:cs="Arial"/>
          <w:sz w:val="22"/>
        </w:rPr>
      </w:pPr>
    </w:p>
    <w:p w:rsidR="00541EE0" w:rsidRPr="00541EE0"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submission acknowledged the limited statistical power of the squamous subgroup, but argued </w:t>
      </w:r>
      <w:r w:rsidR="008F08C1">
        <w:rPr>
          <w:rFonts w:ascii="Arial" w:hAnsi="Arial" w:cs="Arial"/>
          <w:sz w:val="22"/>
        </w:rPr>
        <w:t xml:space="preserve">(p162 of the submission) </w:t>
      </w:r>
      <w:r w:rsidRPr="009015FA">
        <w:rPr>
          <w:rFonts w:ascii="Arial" w:hAnsi="Arial" w:cs="Arial"/>
          <w:sz w:val="22"/>
        </w:rPr>
        <w:t xml:space="preserve">that there was “no statistical evidence of heterogeneity with regard to the hazard ratios between squamous patients and the complement group (patients with Histology Other than Squamous)”. The submission based the clinical claim for squamous NSCLC on results encompassing both non-squamous and squamous results from </w:t>
      </w:r>
      <w:r w:rsidR="0017289B">
        <w:rPr>
          <w:rFonts w:ascii="Arial" w:hAnsi="Arial" w:cs="Arial"/>
          <w:sz w:val="22"/>
        </w:rPr>
        <w:t>KN-010.</w:t>
      </w:r>
    </w:p>
    <w:p w:rsidR="00541EE0" w:rsidRDefault="00541EE0" w:rsidP="0017289B">
      <w:pPr>
        <w:pStyle w:val="ListParagraph"/>
        <w:ind w:left="0" w:firstLine="0"/>
        <w:rPr>
          <w:rFonts w:ascii="Arial" w:hAnsi="Arial" w:cs="Arial"/>
          <w:sz w:val="22"/>
        </w:rPr>
      </w:pPr>
    </w:p>
    <w:p w:rsidR="00541EE0" w:rsidRPr="00541EE0" w:rsidRDefault="00541EE0" w:rsidP="009C3A29">
      <w:pPr>
        <w:pStyle w:val="ListParagraph"/>
        <w:numPr>
          <w:ilvl w:val="1"/>
          <w:numId w:val="3"/>
        </w:numPr>
        <w:ind w:left="720"/>
        <w:rPr>
          <w:rFonts w:ascii="Arial" w:hAnsi="Arial" w:cs="Arial"/>
          <w:sz w:val="22"/>
        </w:rPr>
      </w:pPr>
      <w:r w:rsidRPr="009015FA">
        <w:rPr>
          <w:rFonts w:ascii="Arial" w:hAnsi="Arial" w:cs="Arial"/>
          <w:sz w:val="22"/>
        </w:rPr>
        <w:t xml:space="preserve">Tests for treatment effect variation (ratio of HRs) between </w:t>
      </w:r>
      <w:r>
        <w:rPr>
          <w:rFonts w:ascii="Arial" w:hAnsi="Arial" w:cs="Arial"/>
          <w:sz w:val="22"/>
        </w:rPr>
        <w:t xml:space="preserve">the </w:t>
      </w:r>
      <w:r w:rsidRPr="009015FA">
        <w:rPr>
          <w:rFonts w:ascii="Arial" w:hAnsi="Arial" w:cs="Arial"/>
          <w:sz w:val="22"/>
        </w:rPr>
        <w:t>squamous</w:t>
      </w:r>
      <w:r>
        <w:rPr>
          <w:rFonts w:ascii="Arial" w:hAnsi="Arial" w:cs="Arial"/>
          <w:sz w:val="22"/>
        </w:rPr>
        <w:t xml:space="preserve"> and non-squamous </w:t>
      </w:r>
      <w:proofErr w:type="spellStart"/>
      <w:r>
        <w:rPr>
          <w:rFonts w:ascii="Arial" w:hAnsi="Arial" w:cs="Arial"/>
          <w:sz w:val="22"/>
        </w:rPr>
        <w:t>histotypes</w:t>
      </w:r>
      <w:proofErr w:type="spellEnd"/>
      <w:r w:rsidRPr="009015FA">
        <w:rPr>
          <w:rFonts w:ascii="Arial" w:hAnsi="Arial" w:cs="Arial"/>
          <w:sz w:val="22"/>
        </w:rPr>
        <w:t xml:space="preserve"> were not statist</w:t>
      </w:r>
      <w:r>
        <w:rPr>
          <w:rFonts w:ascii="Arial" w:hAnsi="Arial" w:cs="Arial"/>
          <w:sz w:val="22"/>
        </w:rPr>
        <w:t>ically significant</w:t>
      </w:r>
      <w:r w:rsidR="00BC3DE4">
        <w:rPr>
          <w:rFonts w:ascii="Arial" w:hAnsi="Arial" w:cs="Arial"/>
          <w:sz w:val="22"/>
        </w:rPr>
        <w:t>,</w:t>
      </w:r>
      <w:r>
        <w:rPr>
          <w:rFonts w:ascii="Arial" w:hAnsi="Arial" w:cs="Arial"/>
          <w:sz w:val="22"/>
        </w:rPr>
        <w:t xml:space="preserve"> </w:t>
      </w:r>
      <w:r w:rsidR="00BC3DE4">
        <w:rPr>
          <w:rFonts w:ascii="Arial" w:hAnsi="Arial" w:cs="Arial"/>
          <w:sz w:val="22"/>
        </w:rPr>
        <w:t xml:space="preserve">either for </w:t>
      </w:r>
      <w:r w:rsidRPr="00C076D8">
        <w:rPr>
          <w:rFonts w:ascii="Arial" w:hAnsi="Arial" w:cs="Arial"/>
          <w:sz w:val="22"/>
        </w:rPr>
        <w:t xml:space="preserve">the ITT (TPS ≥1%) population (ratio of HRs = </w:t>
      </w:r>
      <w:r w:rsidR="00153EAE">
        <w:rPr>
          <w:rFonts w:ascii="Arial" w:hAnsi="Arial" w:cs="Arial"/>
          <w:noProof/>
          <w:color w:val="000000"/>
          <w:sz w:val="22"/>
          <w:highlight w:val="black"/>
        </w:rPr>
        <w:t>'''''''''''</w:t>
      </w:r>
      <w:r w:rsidRPr="00C076D8">
        <w:rPr>
          <w:rFonts w:ascii="Arial" w:hAnsi="Arial" w:cs="Arial"/>
          <w:sz w:val="22"/>
        </w:rPr>
        <w:t xml:space="preserve">; 95% CI: </w:t>
      </w:r>
      <w:r w:rsidR="00153EAE">
        <w:rPr>
          <w:rFonts w:ascii="Arial" w:hAnsi="Arial" w:cs="Arial"/>
          <w:noProof/>
          <w:color w:val="000000"/>
          <w:sz w:val="22"/>
          <w:highlight w:val="black"/>
        </w:rPr>
        <w:t>''''''''''</w:t>
      </w:r>
      <w:r w:rsidRPr="00C076D8">
        <w:rPr>
          <w:rFonts w:ascii="Arial" w:hAnsi="Arial" w:cs="Arial"/>
          <w:sz w:val="22"/>
        </w:rPr>
        <w:t xml:space="preserve">, </w:t>
      </w:r>
      <w:r w:rsidR="00153EAE">
        <w:rPr>
          <w:rFonts w:ascii="Arial" w:hAnsi="Arial" w:cs="Arial"/>
          <w:noProof/>
          <w:color w:val="000000"/>
          <w:sz w:val="22"/>
          <w:highlight w:val="black"/>
        </w:rPr>
        <w:t>''''''''''</w:t>
      </w:r>
      <w:r w:rsidRPr="00C076D8">
        <w:rPr>
          <w:rFonts w:ascii="Arial" w:hAnsi="Arial" w:cs="Arial"/>
          <w:sz w:val="22"/>
        </w:rPr>
        <w:t>)</w:t>
      </w:r>
      <w:r w:rsidR="00BC3DE4" w:rsidRPr="00C076D8">
        <w:rPr>
          <w:rFonts w:ascii="Arial" w:hAnsi="Arial" w:cs="Arial"/>
          <w:sz w:val="22"/>
        </w:rPr>
        <w:t>,</w:t>
      </w:r>
      <w:r w:rsidRPr="00C076D8">
        <w:rPr>
          <w:rFonts w:ascii="Arial" w:hAnsi="Arial" w:cs="Arial"/>
          <w:sz w:val="22"/>
        </w:rPr>
        <w:t xml:space="preserve"> </w:t>
      </w:r>
      <w:r w:rsidR="00BC3DE4" w:rsidRPr="00C076D8">
        <w:rPr>
          <w:rFonts w:ascii="Arial" w:hAnsi="Arial" w:cs="Arial"/>
          <w:sz w:val="22"/>
        </w:rPr>
        <w:t>or</w:t>
      </w:r>
      <w:r w:rsidRPr="00C076D8">
        <w:rPr>
          <w:rFonts w:ascii="Arial" w:hAnsi="Arial" w:cs="Arial"/>
          <w:sz w:val="22"/>
        </w:rPr>
        <w:t xml:space="preserve"> for the narrower TPS ≥50% subgroup (ratio of HRs = </w:t>
      </w:r>
      <w:r w:rsidR="00153EAE">
        <w:rPr>
          <w:rFonts w:ascii="Arial" w:hAnsi="Arial" w:cs="Arial"/>
          <w:noProof/>
          <w:color w:val="000000"/>
          <w:sz w:val="22"/>
          <w:highlight w:val="black"/>
        </w:rPr>
        <w:t>'''''''''''</w:t>
      </w:r>
      <w:r w:rsidRPr="00C076D8">
        <w:rPr>
          <w:rFonts w:ascii="Arial" w:hAnsi="Arial" w:cs="Arial"/>
          <w:sz w:val="22"/>
        </w:rPr>
        <w:t xml:space="preserve">; 95% CI: </w:t>
      </w:r>
      <w:r w:rsidR="00153EAE">
        <w:rPr>
          <w:rFonts w:ascii="Arial" w:hAnsi="Arial" w:cs="Arial"/>
          <w:noProof/>
          <w:color w:val="000000"/>
          <w:sz w:val="22"/>
          <w:highlight w:val="black"/>
        </w:rPr>
        <w:t>'''''''''''</w:t>
      </w:r>
      <w:r w:rsidRPr="00C076D8">
        <w:rPr>
          <w:rFonts w:ascii="Arial" w:hAnsi="Arial" w:cs="Arial"/>
          <w:sz w:val="22"/>
        </w:rPr>
        <w:t xml:space="preserve">, </w:t>
      </w:r>
      <w:r w:rsidR="00153EAE">
        <w:rPr>
          <w:rFonts w:ascii="Arial" w:hAnsi="Arial" w:cs="Arial"/>
          <w:noProof/>
          <w:color w:val="000000"/>
          <w:sz w:val="22"/>
          <w:highlight w:val="black"/>
        </w:rPr>
        <w:t>''''''''''</w:t>
      </w:r>
      <w:r w:rsidRPr="00C076D8">
        <w:rPr>
          <w:rFonts w:ascii="Arial" w:hAnsi="Arial" w:cs="Arial"/>
          <w:sz w:val="22"/>
        </w:rPr>
        <w:t>). Analyses based</w:t>
      </w:r>
      <w:r w:rsidRPr="009015FA">
        <w:rPr>
          <w:rFonts w:ascii="Arial" w:hAnsi="Arial" w:cs="Arial"/>
          <w:sz w:val="22"/>
        </w:rPr>
        <w:t xml:space="preserve"> on the small squamous subgroup have limited statistical power and any conclusion regarding clinical heterogeneity across the histology subgroups should be regarded with caution.</w:t>
      </w:r>
    </w:p>
    <w:p w:rsidR="00B15049" w:rsidRDefault="00B15049" w:rsidP="0017289B">
      <w:pPr>
        <w:pStyle w:val="ListParagraph"/>
        <w:ind w:left="0" w:firstLine="0"/>
        <w:rPr>
          <w:rFonts w:ascii="Arial" w:hAnsi="Arial" w:cs="Arial"/>
          <w:sz w:val="22"/>
        </w:rPr>
      </w:pPr>
    </w:p>
    <w:p w:rsidR="00B15049" w:rsidRPr="00675587" w:rsidRDefault="00B15049" w:rsidP="009C3A29">
      <w:pPr>
        <w:pStyle w:val="ListParagraph"/>
        <w:numPr>
          <w:ilvl w:val="1"/>
          <w:numId w:val="3"/>
        </w:numPr>
        <w:ind w:left="709"/>
        <w:rPr>
          <w:rFonts w:ascii="Arial" w:hAnsi="Arial" w:cs="Arial"/>
          <w:sz w:val="22"/>
          <w:szCs w:val="22"/>
        </w:rPr>
      </w:pPr>
      <w:r w:rsidRPr="00675587">
        <w:rPr>
          <w:rFonts w:ascii="Arial" w:hAnsi="Arial" w:cs="Arial"/>
          <w:sz w:val="22"/>
          <w:szCs w:val="22"/>
        </w:rPr>
        <w:t>The PSCR presented updated data from KN-010, which include</w:t>
      </w:r>
      <w:r w:rsidR="0056348A">
        <w:rPr>
          <w:rFonts w:ascii="Arial" w:hAnsi="Arial" w:cs="Arial"/>
          <w:sz w:val="22"/>
          <w:szCs w:val="22"/>
        </w:rPr>
        <w:t>d an extra six months of follow-</w:t>
      </w:r>
      <w:r w:rsidRPr="00675587">
        <w:rPr>
          <w:rFonts w:ascii="Arial" w:hAnsi="Arial" w:cs="Arial"/>
          <w:sz w:val="22"/>
          <w:szCs w:val="22"/>
        </w:rPr>
        <w:t xml:space="preserve">up compared to the data in the submission (data cut-off: 31 March 2016). The updated OS results from the KN-010 trial for the TPS ≥50% subgroup is presented in </w:t>
      </w:r>
      <w:r w:rsidR="006307AA" w:rsidRPr="00675587">
        <w:rPr>
          <w:rFonts w:ascii="Arial" w:hAnsi="Arial" w:cs="Arial"/>
          <w:sz w:val="22"/>
          <w:szCs w:val="22"/>
        </w:rPr>
        <w:t>Table 6 and Figure 3</w:t>
      </w:r>
      <w:r w:rsidRPr="00675587">
        <w:rPr>
          <w:rFonts w:ascii="Arial" w:hAnsi="Arial" w:cs="Arial"/>
          <w:sz w:val="22"/>
          <w:szCs w:val="22"/>
        </w:rPr>
        <w:t xml:space="preserve">. Updated OS results for </w:t>
      </w:r>
      <w:r w:rsidR="006307AA" w:rsidRPr="00675587">
        <w:rPr>
          <w:rFonts w:ascii="Arial" w:hAnsi="Arial" w:cs="Arial"/>
          <w:sz w:val="22"/>
          <w:szCs w:val="22"/>
        </w:rPr>
        <w:t>the ITT population (TPS ≥1%) were</w:t>
      </w:r>
      <w:r w:rsidR="0017289B" w:rsidRPr="00675587">
        <w:rPr>
          <w:rFonts w:ascii="Arial" w:hAnsi="Arial" w:cs="Arial"/>
          <w:sz w:val="22"/>
          <w:szCs w:val="22"/>
        </w:rPr>
        <w:t xml:space="preserve"> not provided in the PSCR.</w:t>
      </w:r>
    </w:p>
    <w:p w:rsidR="00B15049" w:rsidRPr="00C076D8" w:rsidRDefault="00B15049" w:rsidP="0017289B">
      <w:pPr>
        <w:pStyle w:val="ListParagraph"/>
        <w:ind w:left="0" w:firstLine="0"/>
        <w:rPr>
          <w:rFonts w:ascii="Arial" w:hAnsi="Arial" w:cs="Arial"/>
          <w:sz w:val="22"/>
          <w:szCs w:val="22"/>
        </w:rPr>
      </w:pPr>
    </w:p>
    <w:p w:rsidR="00B15049" w:rsidRPr="00C076D8" w:rsidRDefault="00B15049" w:rsidP="005078DD">
      <w:pPr>
        <w:pStyle w:val="Caption"/>
        <w:keepNext/>
        <w:ind w:firstLine="709"/>
        <w:rPr>
          <w:rFonts w:ascii="Arial Narrow" w:hAnsi="Arial Narrow"/>
        </w:rPr>
      </w:pPr>
      <w:r w:rsidRPr="00C076D8">
        <w:rPr>
          <w:rFonts w:ascii="Arial Narrow" w:hAnsi="Arial Narrow"/>
        </w:rPr>
        <w:t xml:space="preserve">Table </w:t>
      </w:r>
      <w:r w:rsidR="006307AA" w:rsidRPr="00C076D8">
        <w:rPr>
          <w:rFonts w:ascii="Arial Narrow" w:hAnsi="Arial Narrow"/>
        </w:rPr>
        <w:t>6</w:t>
      </w:r>
      <w:r w:rsidRPr="00C076D8">
        <w:rPr>
          <w:rFonts w:ascii="Arial Narrow" w:hAnsi="Arial Narrow"/>
        </w:rPr>
        <w:t>: KN-010: updated OS analysis for the TPS ≥50% subgroup (data cut-off: 31 March 2016)</w:t>
      </w:r>
    </w:p>
    <w:tbl>
      <w:tblPr>
        <w:tblW w:w="458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80"/>
        <w:gridCol w:w="540"/>
        <w:gridCol w:w="1700"/>
        <w:gridCol w:w="2551"/>
        <w:gridCol w:w="956"/>
      </w:tblGrid>
      <w:tr w:rsidR="00B15049" w:rsidRPr="00C076D8" w:rsidTr="005078DD">
        <w:tc>
          <w:tcPr>
            <w:tcW w:w="1549" w:type="pct"/>
            <w:shd w:val="clear" w:color="auto" w:fill="auto"/>
            <w:vAlign w:val="center"/>
          </w:tcPr>
          <w:p w:rsidR="00B15049" w:rsidRPr="00C076D8" w:rsidRDefault="00B15049" w:rsidP="005A4EAB">
            <w:pPr>
              <w:pStyle w:val="ListParagraph"/>
              <w:ind w:left="0" w:firstLine="0"/>
              <w:jc w:val="left"/>
              <w:rPr>
                <w:rFonts w:ascii="Arial Narrow" w:hAnsi="Arial Narrow" w:cs="Arial"/>
                <w:b/>
                <w:sz w:val="20"/>
                <w:szCs w:val="20"/>
              </w:rPr>
            </w:pPr>
            <w:r w:rsidRPr="00C076D8">
              <w:rPr>
                <w:rFonts w:ascii="Arial Narrow" w:hAnsi="Arial Narrow" w:cs="Arial"/>
                <w:b/>
                <w:sz w:val="20"/>
                <w:szCs w:val="20"/>
              </w:rPr>
              <w:t>Treatment</w:t>
            </w:r>
          </w:p>
        </w:tc>
        <w:tc>
          <w:tcPr>
            <w:tcW w:w="324" w:type="pct"/>
            <w:shd w:val="clear" w:color="auto" w:fill="auto"/>
            <w:vAlign w:val="center"/>
          </w:tcPr>
          <w:p w:rsidR="00B15049" w:rsidRPr="00C076D8" w:rsidRDefault="00B15049" w:rsidP="005A4EAB">
            <w:pPr>
              <w:pStyle w:val="ListParagraph"/>
              <w:ind w:left="0" w:firstLine="0"/>
              <w:jc w:val="center"/>
              <w:rPr>
                <w:rFonts w:ascii="Arial Narrow" w:hAnsi="Arial Narrow" w:cs="Arial"/>
                <w:b/>
                <w:sz w:val="20"/>
                <w:szCs w:val="20"/>
              </w:rPr>
            </w:pPr>
            <w:r w:rsidRPr="00C076D8">
              <w:rPr>
                <w:rFonts w:ascii="Arial Narrow" w:hAnsi="Arial Narrow" w:cs="Arial"/>
                <w:b/>
                <w:sz w:val="20"/>
                <w:szCs w:val="20"/>
              </w:rPr>
              <w:t>N</w:t>
            </w:r>
          </w:p>
        </w:tc>
        <w:tc>
          <w:tcPr>
            <w:tcW w:w="1021" w:type="pct"/>
            <w:shd w:val="clear" w:color="auto" w:fill="auto"/>
            <w:vAlign w:val="center"/>
          </w:tcPr>
          <w:p w:rsidR="00B15049" w:rsidRPr="00C076D8" w:rsidRDefault="00B15049" w:rsidP="005A4EAB">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Median OS</w:t>
            </w:r>
          </w:p>
          <w:p w:rsidR="00B15049" w:rsidRPr="00C076D8" w:rsidRDefault="00B15049" w:rsidP="005A4EAB">
            <w:pPr>
              <w:jc w:val="center"/>
              <w:rPr>
                <w:rFonts w:ascii="Arial Narrow" w:hAnsi="Arial Narrow" w:cs="Arial Narrow"/>
                <w:b/>
                <w:sz w:val="20"/>
                <w:szCs w:val="20"/>
                <w:lang w:eastAsia="en-AU"/>
              </w:rPr>
            </w:pPr>
            <w:r w:rsidRPr="00C076D8">
              <w:rPr>
                <w:rFonts w:ascii="Arial Narrow" w:hAnsi="Arial Narrow" w:cs="Arial Narrow"/>
                <w:b/>
                <w:bCs/>
                <w:sz w:val="20"/>
                <w:szCs w:val="20"/>
                <w:lang w:eastAsia="en-AU"/>
              </w:rPr>
              <w:t>months (95% CI)</w:t>
            </w:r>
          </w:p>
        </w:tc>
        <w:tc>
          <w:tcPr>
            <w:tcW w:w="1532" w:type="pct"/>
            <w:shd w:val="clear" w:color="auto" w:fill="auto"/>
            <w:vAlign w:val="center"/>
          </w:tcPr>
          <w:p w:rsidR="00B15049" w:rsidRPr="00C076D8" w:rsidRDefault="00B15049" w:rsidP="005A4EAB">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HR (95% CI)</w:t>
            </w:r>
          </w:p>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cs="Arial Narrow"/>
                <w:b/>
                <w:bCs/>
                <w:sz w:val="20"/>
                <w:szCs w:val="20"/>
                <w:lang w:eastAsia="en-AU"/>
              </w:rPr>
              <w:t xml:space="preserve">Pembrolizumab </w:t>
            </w:r>
            <w:proofErr w:type="spellStart"/>
            <w:r w:rsidRPr="00C076D8">
              <w:rPr>
                <w:rFonts w:ascii="Arial Narrow" w:hAnsi="Arial Narrow" w:cs="Arial Narrow"/>
                <w:b/>
                <w:bCs/>
                <w:sz w:val="20"/>
                <w:szCs w:val="20"/>
                <w:lang w:eastAsia="en-AU"/>
              </w:rPr>
              <w:t>vs</w:t>
            </w:r>
            <w:proofErr w:type="spellEnd"/>
            <w:r w:rsidRPr="00C076D8">
              <w:rPr>
                <w:rFonts w:ascii="Arial Narrow" w:hAnsi="Arial Narrow" w:cs="Arial Narrow"/>
                <w:b/>
                <w:bCs/>
                <w:sz w:val="20"/>
                <w:szCs w:val="20"/>
                <w:lang w:eastAsia="en-AU"/>
              </w:rPr>
              <w:t xml:space="preserve"> </w:t>
            </w:r>
            <w:proofErr w:type="spellStart"/>
            <w:r w:rsidRPr="00C076D8">
              <w:rPr>
                <w:rFonts w:ascii="Arial Narrow" w:hAnsi="Arial Narrow" w:cs="Arial Narrow"/>
                <w:b/>
                <w:bCs/>
                <w:sz w:val="20"/>
                <w:szCs w:val="20"/>
                <w:lang w:eastAsia="en-AU"/>
              </w:rPr>
              <w:t>docetaxel</w:t>
            </w:r>
            <w:proofErr w:type="spellEnd"/>
          </w:p>
        </w:tc>
        <w:tc>
          <w:tcPr>
            <w:tcW w:w="574" w:type="pct"/>
            <w:vAlign w:val="center"/>
          </w:tcPr>
          <w:p w:rsidR="00B15049" w:rsidRPr="00C076D8" w:rsidRDefault="00B15049" w:rsidP="005A4EAB">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p-value</w:t>
            </w:r>
          </w:p>
        </w:tc>
      </w:tr>
      <w:tr w:rsidR="00B15049" w:rsidRPr="00C076D8" w:rsidTr="005078DD">
        <w:tc>
          <w:tcPr>
            <w:tcW w:w="1549" w:type="pct"/>
            <w:shd w:val="clear" w:color="auto" w:fill="auto"/>
            <w:vAlign w:val="center"/>
          </w:tcPr>
          <w:p w:rsidR="00B15049" w:rsidRPr="00C076D8" w:rsidRDefault="002E75AA" w:rsidP="0017289B">
            <w:pPr>
              <w:pStyle w:val="ListParagraph"/>
              <w:ind w:left="0" w:firstLine="0"/>
              <w:jc w:val="left"/>
              <w:rPr>
                <w:rFonts w:ascii="Arial Narrow" w:hAnsi="Arial Narrow" w:cs="Arial"/>
                <w:sz w:val="20"/>
                <w:szCs w:val="20"/>
              </w:rPr>
            </w:pPr>
            <w:proofErr w:type="spellStart"/>
            <w:r w:rsidRPr="00C076D8">
              <w:rPr>
                <w:rFonts w:ascii="Arial Narrow" w:hAnsi="Arial Narrow"/>
                <w:sz w:val="20"/>
                <w:szCs w:val="20"/>
              </w:rPr>
              <w:t>Docetaxel</w:t>
            </w:r>
            <w:proofErr w:type="spellEnd"/>
            <w:r w:rsidRPr="00C076D8">
              <w:rPr>
                <w:rFonts w:ascii="Arial Narrow" w:hAnsi="Arial Narrow"/>
                <w:sz w:val="20"/>
                <w:szCs w:val="20"/>
              </w:rPr>
              <w:t xml:space="preserve"> 75 </w:t>
            </w:r>
            <w:r w:rsidR="00B15049" w:rsidRPr="00C076D8">
              <w:rPr>
                <w:rFonts w:ascii="Arial Narrow" w:hAnsi="Arial Narrow"/>
                <w:sz w:val="20"/>
                <w:szCs w:val="20"/>
              </w:rPr>
              <w:t>mg/m</w:t>
            </w:r>
            <w:r w:rsidR="00B15049" w:rsidRPr="00C076D8">
              <w:rPr>
                <w:rFonts w:ascii="Arial Narrow" w:hAnsi="Arial Narrow"/>
                <w:sz w:val="20"/>
                <w:szCs w:val="20"/>
                <w:vertAlign w:val="superscript"/>
              </w:rPr>
              <w:t>2</w:t>
            </w:r>
            <w:r w:rsidR="00B15049" w:rsidRPr="00C076D8">
              <w:rPr>
                <w:rFonts w:ascii="Arial Narrow" w:hAnsi="Arial Narrow"/>
                <w:sz w:val="20"/>
                <w:szCs w:val="20"/>
              </w:rPr>
              <w:t xml:space="preserve"> Q3W</w:t>
            </w:r>
          </w:p>
        </w:tc>
        <w:tc>
          <w:tcPr>
            <w:tcW w:w="324" w:type="pct"/>
            <w:shd w:val="clear" w:color="auto" w:fill="auto"/>
            <w:vAlign w:val="center"/>
          </w:tcPr>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sz w:val="20"/>
                <w:szCs w:val="20"/>
              </w:rPr>
              <w:t>151</w:t>
            </w:r>
          </w:p>
        </w:tc>
        <w:tc>
          <w:tcPr>
            <w:tcW w:w="1021" w:type="pct"/>
            <w:shd w:val="clear" w:color="auto" w:fill="auto"/>
            <w:vAlign w:val="center"/>
          </w:tcPr>
          <w:p w:rsidR="00B15049" w:rsidRPr="00C076D8" w:rsidRDefault="00B15049" w:rsidP="002E75AA">
            <w:pPr>
              <w:jc w:val="center"/>
              <w:rPr>
                <w:rFonts w:ascii="Arial Narrow" w:hAnsi="Arial Narrow" w:cs="Arial"/>
                <w:sz w:val="20"/>
                <w:szCs w:val="20"/>
              </w:rPr>
            </w:pPr>
            <w:r w:rsidRPr="00C076D8">
              <w:rPr>
                <w:rFonts w:ascii="Arial Narrow" w:hAnsi="Arial Narrow"/>
                <w:sz w:val="20"/>
                <w:szCs w:val="20"/>
              </w:rPr>
              <w:t>8.2</w:t>
            </w:r>
            <w:r w:rsidR="002E75AA" w:rsidRPr="00C076D8">
              <w:rPr>
                <w:rFonts w:ascii="Arial Narrow" w:hAnsi="Arial Narrow"/>
                <w:sz w:val="20"/>
                <w:szCs w:val="20"/>
              </w:rPr>
              <w:t xml:space="preserve"> </w:t>
            </w:r>
            <w:r w:rsidRPr="00C076D8">
              <w:rPr>
                <w:rFonts w:ascii="Arial Narrow" w:hAnsi="Arial Narrow"/>
                <w:sz w:val="20"/>
                <w:szCs w:val="20"/>
              </w:rPr>
              <w:t>(6.6, 10.4)</w:t>
            </w:r>
          </w:p>
        </w:tc>
        <w:tc>
          <w:tcPr>
            <w:tcW w:w="1532" w:type="pct"/>
            <w:shd w:val="clear" w:color="auto" w:fill="auto"/>
            <w:vAlign w:val="center"/>
          </w:tcPr>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cs="Arial"/>
                <w:sz w:val="20"/>
                <w:szCs w:val="20"/>
              </w:rPr>
              <w:t xml:space="preserve">- </w:t>
            </w:r>
          </w:p>
        </w:tc>
        <w:tc>
          <w:tcPr>
            <w:tcW w:w="574" w:type="pct"/>
            <w:vAlign w:val="center"/>
          </w:tcPr>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cs="Arial"/>
                <w:sz w:val="20"/>
                <w:szCs w:val="20"/>
              </w:rPr>
              <w:t>-</w:t>
            </w:r>
          </w:p>
        </w:tc>
      </w:tr>
      <w:tr w:rsidR="00B15049" w:rsidRPr="00C076D8" w:rsidTr="005078DD">
        <w:tc>
          <w:tcPr>
            <w:tcW w:w="1549" w:type="pct"/>
            <w:shd w:val="clear" w:color="auto" w:fill="auto"/>
            <w:vAlign w:val="center"/>
          </w:tcPr>
          <w:p w:rsidR="00B15049" w:rsidRPr="00C076D8" w:rsidRDefault="00B15049" w:rsidP="002E75AA">
            <w:pPr>
              <w:pStyle w:val="ListParagraph"/>
              <w:ind w:left="0" w:firstLine="0"/>
              <w:jc w:val="left"/>
              <w:rPr>
                <w:rFonts w:ascii="Arial Narrow" w:hAnsi="Arial Narrow" w:cs="Arial"/>
                <w:sz w:val="20"/>
                <w:szCs w:val="20"/>
              </w:rPr>
            </w:pPr>
            <w:r w:rsidRPr="00C076D8">
              <w:rPr>
                <w:rFonts w:ascii="Arial Narrow" w:hAnsi="Arial Narrow"/>
                <w:sz w:val="20"/>
                <w:szCs w:val="20"/>
              </w:rPr>
              <w:t>Pembrolizumab 2</w:t>
            </w:r>
            <w:r w:rsidR="002E75AA" w:rsidRPr="00C076D8">
              <w:rPr>
                <w:rFonts w:ascii="Arial Narrow" w:hAnsi="Arial Narrow"/>
                <w:sz w:val="20"/>
                <w:szCs w:val="20"/>
              </w:rPr>
              <w:t> </w:t>
            </w:r>
            <w:r w:rsidRPr="00C076D8">
              <w:rPr>
                <w:rFonts w:ascii="Arial Narrow" w:hAnsi="Arial Narrow"/>
                <w:sz w:val="20"/>
                <w:szCs w:val="20"/>
              </w:rPr>
              <w:t>mg/kg Q3W</w:t>
            </w:r>
          </w:p>
        </w:tc>
        <w:tc>
          <w:tcPr>
            <w:tcW w:w="324" w:type="pct"/>
            <w:shd w:val="clear" w:color="auto" w:fill="auto"/>
            <w:vAlign w:val="center"/>
          </w:tcPr>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sz w:val="20"/>
                <w:szCs w:val="20"/>
              </w:rPr>
              <w:t>139</w:t>
            </w:r>
          </w:p>
        </w:tc>
        <w:tc>
          <w:tcPr>
            <w:tcW w:w="1021" w:type="pct"/>
            <w:shd w:val="clear" w:color="auto" w:fill="auto"/>
            <w:vAlign w:val="center"/>
          </w:tcPr>
          <w:p w:rsidR="00B15049" w:rsidRPr="00C076D8" w:rsidRDefault="00B15049" w:rsidP="002E75AA">
            <w:pPr>
              <w:jc w:val="center"/>
              <w:rPr>
                <w:rFonts w:ascii="Arial Narrow" w:hAnsi="Arial Narrow" w:cs="Arial"/>
                <w:sz w:val="20"/>
                <w:szCs w:val="20"/>
              </w:rPr>
            </w:pPr>
            <w:r w:rsidRPr="00C076D8">
              <w:rPr>
                <w:rFonts w:ascii="Arial Narrow" w:hAnsi="Arial Narrow"/>
                <w:sz w:val="20"/>
                <w:szCs w:val="20"/>
              </w:rPr>
              <w:t>15.8</w:t>
            </w:r>
            <w:r w:rsidR="002E75AA" w:rsidRPr="00C076D8">
              <w:rPr>
                <w:rFonts w:ascii="Arial Narrow" w:hAnsi="Arial Narrow"/>
                <w:sz w:val="20"/>
                <w:szCs w:val="20"/>
              </w:rPr>
              <w:t xml:space="preserve"> </w:t>
            </w:r>
            <w:r w:rsidRPr="00C076D8">
              <w:rPr>
                <w:rFonts w:ascii="Arial Narrow" w:hAnsi="Arial Narrow"/>
                <w:sz w:val="20"/>
                <w:szCs w:val="20"/>
              </w:rPr>
              <w:t>(11.0, 26.0)</w:t>
            </w:r>
          </w:p>
        </w:tc>
        <w:tc>
          <w:tcPr>
            <w:tcW w:w="1532" w:type="pct"/>
            <w:shd w:val="clear" w:color="auto" w:fill="auto"/>
            <w:vAlign w:val="center"/>
          </w:tcPr>
          <w:p w:rsidR="00B15049" w:rsidRPr="00C076D8" w:rsidRDefault="00B15049" w:rsidP="002E75AA">
            <w:pPr>
              <w:jc w:val="center"/>
              <w:rPr>
                <w:rFonts w:ascii="Arial Narrow" w:hAnsi="Arial Narrow" w:cs="Arial"/>
                <w:sz w:val="20"/>
                <w:szCs w:val="20"/>
              </w:rPr>
            </w:pPr>
            <w:r w:rsidRPr="00C076D8">
              <w:rPr>
                <w:rFonts w:ascii="Arial Narrow" w:hAnsi="Arial Narrow"/>
                <w:sz w:val="20"/>
                <w:szCs w:val="20"/>
              </w:rPr>
              <w:t>0.54</w:t>
            </w:r>
            <w:r w:rsidR="002E75AA" w:rsidRPr="00C076D8">
              <w:rPr>
                <w:rFonts w:ascii="Arial Narrow" w:hAnsi="Arial Narrow"/>
                <w:sz w:val="20"/>
                <w:szCs w:val="20"/>
              </w:rPr>
              <w:t xml:space="preserve"> </w:t>
            </w:r>
            <w:r w:rsidRPr="00C076D8">
              <w:rPr>
                <w:rFonts w:ascii="Arial Narrow" w:hAnsi="Arial Narrow"/>
                <w:sz w:val="20"/>
                <w:szCs w:val="20"/>
              </w:rPr>
              <w:t>(0.39, 0.73)</w:t>
            </w:r>
          </w:p>
        </w:tc>
        <w:tc>
          <w:tcPr>
            <w:tcW w:w="574" w:type="pct"/>
            <w:vAlign w:val="center"/>
          </w:tcPr>
          <w:p w:rsidR="00B15049" w:rsidRPr="00C076D8" w:rsidRDefault="00B15049" w:rsidP="005A4EAB">
            <w:pPr>
              <w:jc w:val="center"/>
              <w:rPr>
                <w:rFonts w:ascii="Arial Narrow" w:hAnsi="Arial Narrow"/>
                <w:sz w:val="20"/>
                <w:szCs w:val="20"/>
              </w:rPr>
            </w:pPr>
            <w:r w:rsidRPr="00C076D8">
              <w:rPr>
                <w:rFonts w:ascii="Arial Narrow" w:hAnsi="Arial Narrow"/>
                <w:sz w:val="20"/>
                <w:szCs w:val="20"/>
              </w:rPr>
              <w:t>0.00004</w:t>
            </w:r>
          </w:p>
        </w:tc>
      </w:tr>
      <w:tr w:rsidR="00B15049" w:rsidRPr="00C076D8" w:rsidTr="005078DD">
        <w:tc>
          <w:tcPr>
            <w:tcW w:w="1549" w:type="pct"/>
            <w:shd w:val="clear" w:color="auto" w:fill="auto"/>
            <w:vAlign w:val="center"/>
          </w:tcPr>
          <w:p w:rsidR="00B15049" w:rsidRPr="00C076D8" w:rsidRDefault="00B15049" w:rsidP="002E75AA">
            <w:pPr>
              <w:pStyle w:val="ListParagraph"/>
              <w:ind w:left="0" w:firstLine="0"/>
              <w:jc w:val="left"/>
              <w:rPr>
                <w:rFonts w:ascii="Arial Narrow" w:hAnsi="Arial Narrow" w:cs="Arial"/>
                <w:sz w:val="20"/>
                <w:szCs w:val="20"/>
              </w:rPr>
            </w:pPr>
            <w:r w:rsidRPr="00C076D8">
              <w:rPr>
                <w:rFonts w:ascii="Arial Narrow" w:hAnsi="Arial Narrow"/>
                <w:sz w:val="20"/>
                <w:szCs w:val="20"/>
              </w:rPr>
              <w:t>Pembrolizumab 10</w:t>
            </w:r>
            <w:r w:rsidR="002E75AA" w:rsidRPr="00C076D8">
              <w:rPr>
                <w:rFonts w:ascii="Arial Narrow" w:hAnsi="Arial Narrow"/>
                <w:sz w:val="20"/>
                <w:szCs w:val="20"/>
              </w:rPr>
              <w:t> </w:t>
            </w:r>
            <w:r w:rsidRPr="00C076D8">
              <w:rPr>
                <w:rFonts w:ascii="Arial Narrow" w:hAnsi="Arial Narrow"/>
                <w:sz w:val="20"/>
                <w:szCs w:val="20"/>
              </w:rPr>
              <w:t xml:space="preserve">mg/kg Q3W </w:t>
            </w:r>
          </w:p>
        </w:tc>
        <w:tc>
          <w:tcPr>
            <w:tcW w:w="324" w:type="pct"/>
            <w:shd w:val="clear" w:color="auto" w:fill="auto"/>
            <w:vAlign w:val="center"/>
          </w:tcPr>
          <w:p w:rsidR="00B15049" w:rsidRPr="00C076D8" w:rsidRDefault="00B15049" w:rsidP="005A4EAB">
            <w:pPr>
              <w:pStyle w:val="ListParagraph"/>
              <w:ind w:left="0" w:firstLine="0"/>
              <w:jc w:val="center"/>
              <w:rPr>
                <w:rFonts w:ascii="Arial Narrow" w:hAnsi="Arial Narrow" w:cs="Arial"/>
                <w:sz w:val="20"/>
                <w:szCs w:val="20"/>
              </w:rPr>
            </w:pPr>
            <w:r w:rsidRPr="00C076D8">
              <w:rPr>
                <w:rFonts w:ascii="Arial Narrow" w:hAnsi="Arial Narrow"/>
                <w:sz w:val="20"/>
                <w:szCs w:val="20"/>
              </w:rPr>
              <w:t>139</w:t>
            </w:r>
          </w:p>
        </w:tc>
        <w:tc>
          <w:tcPr>
            <w:tcW w:w="1021" w:type="pct"/>
            <w:shd w:val="clear" w:color="auto" w:fill="auto"/>
            <w:vAlign w:val="center"/>
          </w:tcPr>
          <w:p w:rsidR="00B15049" w:rsidRPr="00C076D8" w:rsidRDefault="00B15049" w:rsidP="002E75AA">
            <w:pPr>
              <w:jc w:val="center"/>
              <w:rPr>
                <w:rFonts w:ascii="Arial Narrow" w:hAnsi="Arial Narrow" w:cs="Arial"/>
                <w:sz w:val="20"/>
                <w:szCs w:val="20"/>
              </w:rPr>
            </w:pPr>
            <w:r w:rsidRPr="00C076D8">
              <w:rPr>
                <w:rFonts w:ascii="Arial Narrow" w:hAnsi="Arial Narrow"/>
                <w:sz w:val="20"/>
                <w:szCs w:val="20"/>
              </w:rPr>
              <w:t>18.8</w:t>
            </w:r>
            <w:r w:rsidR="002E75AA" w:rsidRPr="00C076D8">
              <w:rPr>
                <w:rFonts w:ascii="Arial Narrow" w:hAnsi="Arial Narrow"/>
                <w:sz w:val="20"/>
                <w:szCs w:val="20"/>
              </w:rPr>
              <w:t xml:space="preserve"> </w:t>
            </w:r>
            <w:r w:rsidRPr="00C076D8">
              <w:rPr>
                <w:rFonts w:ascii="Arial Narrow" w:hAnsi="Arial Narrow"/>
                <w:sz w:val="20"/>
                <w:szCs w:val="20"/>
              </w:rPr>
              <w:t>(12.3,</w:t>
            </w:r>
            <w:r w:rsidR="00B04CC2">
              <w:rPr>
                <w:rFonts w:ascii="Arial Narrow" w:hAnsi="Arial Narrow"/>
                <w:sz w:val="20"/>
                <w:szCs w:val="20"/>
              </w:rPr>
              <w:t xml:space="preserve"> </w:t>
            </w:r>
            <w:r w:rsidRPr="00C076D8">
              <w:rPr>
                <w:rFonts w:ascii="Arial Narrow" w:hAnsi="Arial Narrow"/>
                <w:sz w:val="20"/>
                <w:szCs w:val="20"/>
              </w:rPr>
              <w:t>NR)</w:t>
            </w:r>
          </w:p>
        </w:tc>
        <w:tc>
          <w:tcPr>
            <w:tcW w:w="1532" w:type="pct"/>
            <w:shd w:val="clear" w:color="auto" w:fill="auto"/>
            <w:vAlign w:val="center"/>
          </w:tcPr>
          <w:p w:rsidR="00B15049" w:rsidRPr="00C076D8" w:rsidRDefault="00B15049" w:rsidP="002E75AA">
            <w:pPr>
              <w:jc w:val="center"/>
              <w:rPr>
                <w:rFonts w:ascii="Arial Narrow" w:hAnsi="Arial Narrow" w:cs="Arial"/>
                <w:sz w:val="20"/>
                <w:szCs w:val="20"/>
              </w:rPr>
            </w:pPr>
            <w:r w:rsidRPr="00C076D8">
              <w:rPr>
                <w:rFonts w:ascii="Arial Narrow" w:hAnsi="Arial Narrow"/>
                <w:sz w:val="20"/>
                <w:szCs w:val="20"/>
              </w:rPr>
              <w:t>0.48</w:t>
            </w:r>
            <w:r w:rsidR="002E75AA" w:rsidRPr="00C076D8">
              <w:rPr>
                <w:rFonts w:ascii="Arial Narrow" w:hAnsi="Arial Narrow"/>
                <w:sz w:val="20"/>
                <w:szCs w:val="20"/>
              </w:rPr>
              <w:t xml:space="preserve"> </w:t>
            </w:r>
            <w:r w:rsidRPr="00C076D8">
              <w:rPr>
                <w:rFonts w:ascii="Arial Narrow" w:hAnsi="Arial Narrow"/>
                <w:sz w:val="20"/>
                <w:szCs w:val="20"/>
              </w:rPr>
              <w:t>(0.35, 0.66)</w:t>
            </w:r>
          </w:p>
        </w:tc>
        <w:tc>
          <w:tcPr>
            <w:tcW w:w="574" w:type="pct"/>
            <w:vAlign w:val="center"/>
          </w:tcPr>
          <w:p w:rsidR="00B15049" w:rsidRPr="00C076D8" w:rsidRDefault="00B15049" w:rsidP="005A4EAB">
            <w:pPr>
              <w:jc w:val="center"/>
              <w:rPr>
                <w:rFonts w:ascii="Arial Narrow" w:hAnsi="Arial Narrow"/>
                <w:sz w:val="20"/>
                <w:szCs w:val="20"/>
              </w:rPr>
            </w:pPr>
            <w:r w:rsidRPr="00C076D8">
              <w:rPr>
                <w:rFonts w:ascii="Arial Narrow" w:hAnsi="Arial Narrow"/>
                <w:sz w:val="20"/>
                <w:szCs w:val="20"/>
              </w:rPr>
              <w:t>&lt;0.00001</w:t>
            </w:r>
          </w:p>
        </w:tc>
      </w:tr>
    </w:tbl>
    <w:p w:rsidR="00B15049" w:rsidRPr="00C076D8" w:rsidRDefault="00B15049" w:rsidP="005078DD">
      <w:pPr>
        <w:widowControl w:val="0"/>
        <w:ind w:left="709"/>
        <w:rPr>
          <w:rFonts w:ascii="Arial Narrow" w:hAnsi="Arial Narrow" w:cs="Arial"/>
          <w:snapToGrid w:val="0"/>
          <w:sz w:val="18"/>
          <w:szCs w:val="20"/>
        </w:rPr>
      </w:pPr>
      <w:r w:rsidRPr="00C076D8">
        <w:rPr>
          <w:rFonts w:ascii="Arial Narrow" w:hAnsi="Arial Narrow" w:cs="Arial"/>
          <w:snapToGrid w:val="0"/>
          <w:sz w:val="18"/>
          <w:szCs w:val="20"/>
        </w:rPr>
        <w:t>CI = confidence interval; HR = hazard ratio; NR = not reported; Q3W = every three weeks; TPS = tumour proportion score (% of tumour cells staining for PD-L1 expression).</w:t>
      </w:r>
    </w:p>
    <w:p w:rsidR="00B15049" w:rsidRPr="00C076D8" w:rsidRDefault="00B15049" w:rsidP="005078DD">
      <w:pPr>
        <w:widowControl w:val="0"/>
        <w:ind w:left="709"/>
        <w:rPr>
          <w:rFonts w:ascii="Arial Narrow" w:hAnsi="Arial Narrow" w:cs="Arial"/>
          <w:snapToGrid w:val="0"/>
          <w:sz w:val="18"/>
          <w:szCs w:val="20"/>
        </w:rPr>
      </w:pPr>
      <w:r w:rsidRPr="00C076D8">
        <w:rPr>
          <w:rFonts w:ascii="Arial Narrow" w:hAnsi="Arial Narrow" w:cs="Arial"/>
          <w:snapToGrid w:val="0"/>
          <w:sz w:val="18"/>
          <w:szCs w:val="20"/>
        </w:rPr>
        <w:t>Source: Table 1, p9 PSCR</w:t>
      </w:r>
    </w:p>
    <w:p w:rsidR="00B15049" w:rsidRPr="002E75AA" w:rsidRDefault="00B15049" w:rsidP="00B15049">
      <w:pPr>
        <w:pStyle w:val="ListParagraph"/>
        <w:ind w:left="0" w:firstLine="0"/>
        <w:rPr>
          <w:rFonts w:ascii="Arial" w:hAnsi="Arial" w:cs="Arial"/>
          <w:sz w:val="22"/>
          <w:szCs w:val="22"/>
        </w:rPr>
      </w:pPr>
    </w:p>
    <w:p w:rsidR="00B15049" w:rsidRPr="00A7774F" w:rsidRDefault="00B15049" w:rsidP="005078DD">
      <w:pPr>
        <w:pStyle w:val="Caption"/>
        <w:keepNext/>
        <w:ind w:firstLine="709"/>
        <w:rPr>
          <w:rFonts w:ascii="Arial Narrow" w:hAnsi="Arial Narrow"/>
        </w:rPr>
      </w:pPr>
      <w:r w:rsidRPr="00A7774F">
        <w:rPr>
          <w:rFonts w:ascii="Arial Narrow" w:hAnsi="Arial Narrow"/>
        </w:rPr>
        <w:t xml:space="preserve">Figure </w:t>
      </w:r>
      <w:r w:rsidR="006307AA" w:rsidRPr="00A7774F">
        <w:rPr>
          <w:rFonts w:ascii="Arial Narrow" w:hAnsi="Arial Narrow"/>
        </w:rPr>
        <w:t>3</w:t>
      </w:r>
      <w:r w:rsidRPr="00A7774F">
        <w:rPr>
          <w:rFonts w:ascii="Arial Narrow" w:hAnsi="Arial Narrow"/>
        </w:rPr>
        <w:t>: KN-010: updated Kaplan-Meier of OS, TPS ≥50% subgroup (data cut-off: 31 March 2016)</w:t>
      </w:r>
    </w:p>
    <w:p w:rsidR="00B15049" w:rsidRPr="00A7774F" w:rsidRDefault="00F12F8C" w:rsidP="005078DD">
      <w:pPr>
        <w:pStyle w:val="ListParagraph"/>
        <w:ind w:left="0" w:firstLine="709"/>
        <w:rPr>
          <w:rFonts w:ascii="Arial" w:hAnsi="Arial" w:cs="Arial"/>
          <w:noProof/>
          <w:sz w:val="22"/>
          <w:szCs w:val="22"/>
          <w:lang w:eastAsia="en-AU"/>
        </w:rPr>
      </w:pPr>
      <w:r>
        <w:rPr>
          <w:noProof/>
          <w:lang w:eastAsia="en-AU"/>
        </w:rPr>
        <w:drawing>
          <wp:inline distT="0" distB="0" distL="0" distR="0">
            <wp:extent cx="5362575" cy="3695700"/>
            <wp:effectExtent l="0" t="0" r="9525" b="0"/>
            <wp:docPr id="3" name="Picture 3" title="updated Kaplan-Meier of OS, TPS ≥50% subgroup (data cut-off: 31 Marc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695700"/>
                    </a:xfrm>
                    <a:prstGeom prst="rect">
                      <a:avLst/>
                    </a:prstGeom>
                    <a:noFill/>
                    <a:ln>
                      <a:noFill/>
                    </a:ln>
                  </pic:spPr>
                </pic:pic>
              </a:graphicData>
            </a:graphic>
          </wp:inline>
        </w:drawing>
      </w:r>
    </w:p>
    <w:p w:rsidR="00B15049" w:rsidRPr="00A7774F" w:rsidRDefault="00B15049" w:rsidP="005078DD">
      <w:pPr>
        <w:pStyle w:val="TableFooter"/>
        <w:ind w:left="709"/>
      </w:pPr>
      <w:r w:rsidRPr="00A7774F">
        <w:t>TPS = tumour proportion score (% of tumour cells staining for PD-L1 expression); MK-3475 = Pembrolizumab; Q3W = every three weeks.</w:t>
      </w:r>
    </w:p>
    <w:p w:rsidR="00B15049" w:rsidRPr="00A7774F" w:rsidRDefault="00B15049" w:rsidP="005078DD">
      <w:pPr>
        <w:pStyle w:val="ListParagraph"/>
        <w:ind w:left="709" w:firstLine="0"/>
        <w:rPr>
          <w:rFonts w:ascii="Arial Narrow" w:eastAsia="Calibri" w:hAnsi="Arial Narrow" w:cs="Arial"/>
          <w:sz w:val="18"/>
          <w:szCs w:val="18"/>
        </w:rPr>
      </w:pPr>
      <w:r w:rsidRPr="00A7774F">
        <w:rPr>
          <w:rFonts w:ascii="Arial Narrow" w:eastAsia="Calibri" w:hAnsi="Arial Narrow" w:cs="Arial"/>
          <w:sz w:val="18"/>
          <w:szCs w:val="18"/>
        </w:rPr>
        <w:t>Source: Figure 1, p11 PSCR</w:t>
      </w:r>
    </w:p>
    <w:p w:rsidR="00B15049" w:rsidRPr="00A433C7" w:rsidRDefault="00B15049" w:rsidP="00B15049">
      <w:pPr>
        <w:pStyle w:val="ListParagraph"/>
        <w:ind w:left="0" w:firstLine="0"/>
        <w:rPr>
          <w:rFonts w:ascii="Arial" w:hAnsi="Arial" w:cs="Arial"/>
          <w:i/>
          <w:sz w:val="22"/>
          <w:szCs w:val="22"/>
        </w:rPr>
      </w:pPr>
    </w:p>
    <w:p w:rsidR="00B15049" w:rsidRPr="00675587" w:rsidRDefault="00B15049" w:rsidP="009C3A29">
      <w:pPr>
        <w:pStyle w:val="ListParagraph"/>
        <w:numPr>
          <w:ilvl w:val="1"/>
          <w:numId w:val="3"/>
        </w:numPr>
        <w:ind w:left="709"/>
        <w:rPr>
          <w:rFonts w:ascii="Arial" w:hAnsi="Arial" w:cs="Arial"/>
          <w:sz w:val="22"/>
          <w:szCs w:val="22"/>
        </w:rPr>
      </w:pPr>
      <w:r w:rsidRPr="00675587">
        <w:rPr>
          <w:rFonts w:ascii="Arial" w:hAnsi="Arial" w:cs="Arial"/>
          <w:sz w:val="22"/>
          <w:szCs w:val="22"/>
        </w:rPr>
        <w:t xml:space="preserve">The PSCR </w:t>
      </w:r>
      <w:r w:rsidR="002E75AA" w:rsidRPr="00675587">
        <w:rPr>
          <w:rFonts w:ascii="Arial" w:hAnsi="Arial" w:cs="Arial"/>
          <w:sz w:val="22"/>
          <w:szCs w:val="22"/>
        </w:rPr>
        <w:t xml:space="preserve">(p5) </w:t>
      </w:r>
      <w:r w:rsidRPr="00675587">
        <w:rPr>
          <w:rFonts w:ascii="Arial" w:hAnsi="Arial" w:cs="Arial"/>
          <w:sz w:val="22"/>
          <w:szCs w:val="22"/>
        </w:rPr>
        <w:t>stated that</w:t>
      </w:r>
      <w:r w:rsidR="002E75AA" w:rsidRPr="00675587">
        <w:rPr>
          <w:rFonts w:ascii="Arial" w:hAnsi="Arial" w:cs="Arial"/>
          <w:sz w:val="22"/>
          <w:szCs w:val="22"/>
        </w:rPr>
        <w:t>,</w:t>
      </w:r>
      <w:r w:rsidRPr="00675587">
        <w:rPr>
          <w:rFonts w:ascii="Arial" w:hAnsi="Arial" w:cs="Arial"/>
          <w:sz w:val="22"/>
          <w:szCs w:val="22"/>
        </w:rPr>
        <w:t xml:space="preserve"> based on the updated data from KN-010, there was no difference in OS (or P</w:t>
      </w:r>
      <w:r w:rsidR="002E75AA" w:rsidRPr="00675587">
        <w:rPr>
          <w:rFonts w:ascii="Arial" w:hAnsi="Arial" w:cs="Arial"/>
          <w:sz w:val="22"/>
          <w:szCs w:val="22"/>
        </w:rPr>
        <w:t>FS) between the pembrolizumab 2 mg/kg and 10 </w:t>
      </w:r>
      <w:r w:rsidRPr="00675587">
        <w:rPr>
          <w:rFonts w:ascii="Arial" w:hAnsi="Arial" w:cs="Arial"/>
          <w:sz w:val="22"/>
          <w:szCs w:val="22"/>
        </w:rPr>
        <w:t>mg/kg doses, and that future trials for pembrolizumab use a flat 200</w:t>
      </w:r>
      <w:r w:rsidR="002E75AA" w:rsidRPr="00675587">
        <w:rPr>
          <w:rFonts w:ascii="Arial" w:hAnsi="Arial" w:cs="Arial"/>
          <w:sz w:val="22"/>
          <w:szCs w:val="22"/>
        </w:rPr>
        <w:t> mg dose regimen.</w:t>
      </w:r>
    </w:p>
    <w:p w:rsidR="00B15049" w:rsidRPr="00675587" w:rsidRDefault="00B15049" w:rsidP="002E75AA">
      <w:pPr>
        <w:pStyle w:val="ListParagraph"/>
        <w:ind w:left="-11" w:firstLine="0"/>
        <w:rPr>
          <w:rFonts w:ascii="Arial" w:hAnsi="Arial" w:cs="Arial"/>
          <w:sz w:val="22"/>
          <w:szCs w:val="22"/>
        </w:rPr>
      </w:pPr>
    </w:p>
    <w:p w:rsidR="00B15049" w:rsidRPr="00675587" w:rsidRDefault="00B15049" w:rsidP="009C3A29">
      <w:pPr>
        <w:pStyle w:val="ListParagraph"/>
        <w:numPr>
          <w:ilvl w:val="1"/>
          <w:numId w:val="3"/>
        </w:numPr>
        <w:ind w:left="709"/>
        <w:rPr>
          <w:rFonts w:ascii="Arial" w:hAnsi="Arial" w:cs="Arial"/>
          <w:sz w:val="22"/>
          <w:szCs w:val="22"/>
        </w:rPr>
      </w:pPr>
      <w:r w:rsidRPr="00675587">
        <w:rPr>
          <w:rFonts w:ascii="Arial" w:hAnsi="Arial" w:cs="Arial"/>
          <w:sz w:val="22"/>
          <w:szCs w:val="22"/>
        </w:rPr>
        <w:t>The ESC</w:t>
      </w:r>
      <w:r w:rsidR="00F01BA7" w:rsidRPr="00675587">
        <w:rPr>
          <w:rFonts w:ascii="Arial" w:hAnsi="Arial" w:cs="Arial"/>
          <w:sz w:val="22"/>
          <w:szCs w:val="22"/>
        </w:rPr>
        <w:t>s</w:t>
      </w:r>
      <w:r w:rsidRPr="00675587">
        <w:rPr>
          <w:rFonts w:ascii="Arial" w:hAnsi="Arial" w:cs="Arial"/>
          <w:sz w:val="22"/>
          <w:szCs w:val="22"/>
        </w:rPr>
        <w:t xml:space="preserve"> noted that</w:t>
      </w:r>
      <w:r w:rsidR="002E75AA" w:rsidRPr="00675587">
        <w:rPr>
          <w:rFonts w:ascii="Arial" w:hAnsi="Arial" w:cs="Arial"/>
          <w:sz w:val="22"/>
          <w:szCs w:val="22"/>
        </w:rPr>
        <w:t>,</w:t>
      </w:r>
      <w:r w:rsidRPr="00675587">
        <w:rPr>
          <w:rFonts w:ascii="Arial" w:hAnsi="Arial" w:cs="Arial"/>
          <w:sz w:val="22"/>
          <w:szCs w:val="22"/>
        </w:rPr>
        <w:t xml:space="preserve"> in the TPS ≥50% subgroup, there was no </w:t>
      </w:r>
      <w:r w:rsidR="000174C2">
        <w:rPr>
          <w:rFonts w:ascii="Arial" w:hAnsi="Arial" w:cs="Arial"/>
          <w:sz w:val="22"/>
          <w:szCs w:val="22"/>
        </w:rPr>
        <w:t xml:space="preserve">statistically significant </w:t>
      </w:r>
      <w:r w:rsidRPr="00675587">
        <w:rPr>
          <w:rFonts w:ascii="Arial" w:hAnsi="Arial" w:cs="Arial"/>
          <w:sz w:val="22"/>
          <w:szCs w:val="22"/>
        </w:rPr>
        <w:t xml:space="preserve">difference in OS between the </w:t>
      </w:r>
      <w:r w:rsidR="002E75AA" w:rsidRPr="00675587">
        <w:rPr>
          <w:rFonts w:ascii="Arial" w:hAnsi="Arial" w:cs="Arial"/>
          <w:sz w:val="22"/>
          <w:szCs w:val="22"/>
        </w:rPr>
        <w:t>pembrolizumab 2 mg/kg and 10 </w:t>
      </w:r>
      <w:r w:rsidRPr="00675587">
        <w:rPr>
          <w:rFonts w:ascii="Arial" w:hAnsi="Arial" w:cs="Arial"/>
          <w:sz w:val="22"/>
          <w:szCs w:val="22"/>
        </w:rPr>
        <w:t xml:space="preserve">mg/kg doses, and that pembrolizumab was superior over </w:t>
      </w:r>
      <w:proofErr w:type="spellStart"/>
      <w:r w:rsidRPr="00675587">
        <w:rPr>
          <w:rFonts w:ascii="Arial" w:hAnsi="Arial" w:cs="Arial"/>
          <w:sz w:val="22"/>
          <w:szCs w:val="22"/>
        </w:rPr>
        <w:t>docetaxel</w:t>
      </w:r>
      <w:proofErr w:type="spellEnd"/>
      <w:r w:rsidRPr="00675587">
        <w:rPr>
          <w:rFonts w:ascii="Arial" w:hAnsi="Arial" w:cs="Arial"/>
          <w:sz w:val="22"/>
          <w:szCs w:val="22"/>
        </w:rPr>
        <w:t xml:space="preserve"> in OS. The ESC</w:t>
      </w:r>
      <w:r w:rsidR="00F01BA7" w:rsidRPr="00675587">
        <w:rPr>
          <w:rFonts w:ascii="Arial" w:hAnsi="Arial" w:cs="Arial"/>
          <w:sz w:val="22"/>
          <w:szCs w:val="22"/>
        </w:rPr>
        <w:t>s</w:t>
      </w:r>
      <w:r w:rsidRPr="00675587">
        <w:rPr>
          <w:rFonts w:ascii="Arial" w:hAnsi="Arial" w:cs="Arial"/>
          <w:sz w:val="22"/>
          <w:szCs w:val="22"/>
        </w:rPr>
        <w:t xml:space="preserve"> noted that the PSCR did not provide subgroup analyses by histology or an updated indirect comparison of</w:t>
      </w:r>
      <w:r w:rsidR="002E75AA" w:rsidRPr="00675587">
        <w:rPr>
          <w:rFonts w:ascii="Arial" w:hAnsi="Arial" w:cs="Arial"/>
          <w:sz w:val="22"/>
          <w:szCs w:val="22"/>
        </w:rPr>
        <w:t xml:space="preserve"> pembrolizumab with </w:t>
      </w:r>
      <w:proofErr w:type="spellStart"/>
      <w:r w:rsidR="002E75AA" w:rsidRPr="00675587">
        <w:rPr>
          <w:rFonts w:ascii="Arial" w:hAnsi="Arial" w:cs="Arial"/>
          <w:sz w:val="22"/>
          <w:szCs w:val="22"/>
        </w:rPr>
        <w:t>pemetrexed</w:t>
      </w:r>
      <w:proofErr w:type="spellEnd"/>
      <w:r w:rsidR="002E75AA" w:rsidRPr="00675587">
        <w:rPr>
          <w:rFonts w:ascii="Arial" w:hAnsi="Arial" w:cs="Arial"/>
          <w:sz w:val="22"/>
          <w:szCs w:val="22"/>
        </w:rPr>
        <w:t>.</w:t>
      </w:r>
    </w:p>
    <w:p w:rsidR="00B15049" w:rsidRPr="00675587" w:rsidRDefault="00B15049" w:rsidP="002E75AA">
      <w:pPr>
        <w:pStyle w:val="ListParagraph"/>
        <w:ind w:left="0" w:firstLine="0"/>
        <w:rPr>
          <w:rFonts w:ascii="Arial" w:hAnsi="Arial" w:cs="Arial"/>
          <w:sz w:val="22"/>
          <w:szCs w:val="22"/>
        </w:rPr>
      </w:pPr>
    </w:p>
    <w:p w:rsidR="004F493D" w:rsidRPr="004F493D" w:rsidRDefault="00B15049" w:rsidP="009C3A29">
      <w:pPr>
        <w:pStyle w:val="ListParagraph"/>
        <w:numPr>
          <w:ilvl w:val="1"/>
          <w:numId w:val="3"/>
        </w:numPr>
        <w:ind w:left="709"/>
        <w:rPr>
          <w:rFonts w:ascii="Arial" w:hAnsi="Arial" w:cs="Arial"/>
          <w:sz w:val="22"/>
          <w:szCs w:val="22"/>
        </w:rPr>
      </w:pPr>
      <w:r w:rsidRPr="00675587">
        <w:rPr>
          <w:rFonts w:ascii="Arial" w:hAnsi="Arial" w:cs="Arial"/>
          <w:sz w:val="22"/>
          <w:szCs w:val="22"/>
        </w:rPr>
        <w:t>The ESC</w:t>
      </w:r>
      <w:r w:rsidR="00F01BA7" w:rsidRPr="00675587">
        <w:rPr>
          <w:rFonts w:ascii="Arial" w:hAnsi="Arial" w:cs="Arial"/>
          <w:sz w:val="22"/>
          <w:szCs w:val="22"/>
        </w:rPr>
        <w:t>s</w:t>
      </w:r>
      <w:r w:rsidRPr="00675587">
        <w:rPr>
          <w:rFonts w:ascii="Arial" w:hAnsi="Arial" w:cs="Arial"/>
          <w:sz w:val="22"/>
          <w:szCs w:val="22"/>
        </w:rPr>
        <w:t xml:space="preserve"> requested that updated OS results from KN-010 for the ITT (TPS ≥1%) population stratified by histology (all squamous and all non-squamous) be provided by the sponsor in the</w:t>
      </w:r>
      <w:r w:rsidR="002E75AA" w:rsidRPr="00675587">
        <w:rPr>
          <w:rFonts w:ascii="Arial" w:hAnsi="Arial" w:cs="Arial"/>
          <w:sz w:val="22"/>
          <w:szCs w:val="22"/>
        </w:rPr>
        <w:t xml:space="preserve"> pre-PBAC response.</w:t>
      </w:r>
    </w:p>
    <w:p w:rsidR="00C076D8" w:rsidRDefault="00C076D8" w:rsidP="00BF7C7A">
      <w:pPr>
        <w:pStyle w:val="ListParagraph"/>
        <w:ind w:left="0" w:firstLine="0"/>
        <w:rPr>
          <w:rFonts w:ascii="Arial" w:hAnsi="Arial" w:cs="Arial"/>
          <w:sz w:val="22"/>
          <w:szCs w:val="22"/>
        </w:rPr>
      </w:pPr>
    </w:p>
    <w:p w:rsidR="00C076D8" w:rsidRDefault="00C076D8" w:rsidP="009C3A29">
      <w:pPr>
        <w:pStyle w:val="ListParagraph"/>
        <w:numPr>
          <w:ilvl w:val="1"/>
          <w:numId w:val="3"/>
        </w:numPr>
        <w:ind w:left="709"/>
        <w:rPr>
          <w:rFonts w:ascii="Arial" w:hAnsi="Arial" w:cs="Arial"/>
          <w:sz w:val="22"/>
          <w:szCs w:val="22"/>
        </w:rPr>
      </w:pPr>
      <w:r>
        <w:rPr>
          <w:rFonts w:ascii="Arial" w:hAnsi="Arial" w:cs="Arial"/>
          <w:sz w:val="22"/>
          <w:szCs w:val="22"/>
        </w:rPr>
        <w:t xml:space="preserve">The pre-PBAC response presented updated data from KN-010 for the ITT (TPS </w:t>
      </w:r>
      <w:r w:rsidRPr="00675587">
        <w:rPr>
          <w:rFonts w:ascii="Arial" w:hAnsi="Arial" w:cs="Arial"/>
          <w:sz w:val="22"/>
          <w:szCs w:val="22"/>
        </w:rPr>
        <w:t>≥1%)</w:t>
      </w:r>
      <w:r>
        <w:rPr>
          <w:rFonts w:ascii="Arial" w:hAnsi="Arial" w:cs="Arial"/>
          <w:sz w:val="22"/>
          <w:szCs w:val="22"/>
        </w:rPr>
        <w:t xml:space="preserve"> population shown </w:t>
      </w:r>
      <w:r w:rsidRPr="006405DD">
        <w:rPr>
          <w:rFonts w:ascii="Arial" w:hAnsi="Arial" w:cs="Arial"/>
          <w:sz w:val="22"/>
          <w:szCs w:val="22"/>
        </w:rPr>
        <w:t xml:space="preserve">in </w:t>
      </w:r>
      <w:r w:rsidR="006405DD" w:rsidRPr="006405DD">
        <w:rPr>
          <w:rFonts w:ascii="Arial" w:hAnsi="Arial" w:cs="Arial"/>
          <w:sz w:val="22"/>
          <w:szCs w:val="22"/>
        </w:rPr>
        <w:t>Table 7</w:t>
      </w:r>
      <w:r w:rsidRPr="006405DD">
        <w:rPr>
          <w:rFonts w:ascii="Arial" w:hAnsi="Arial" w:cs="Arial"/>
          <w:sz w:val="22"/>
          <w:szCs w:val="22"/>
        </w:rPr>
        <w:t>; however</w:t>
      </w:r>
      <w:r>
        <w:rPr>
          <w:rFonts w:ascii="Arial" w:hAnsi="Arial" w:cs="Arial"/>
          <w:sz w:val="22"/>
          <w:szCs w:val="22"/>
        </w:rPr>
        <w:t>, the data we</w:t>
      </w:r>
      <w:r w:rsidR="00F66CDE">
        <w:rPr>
          <w:rFonts w:ascii="Arial" w:hAnsi="Arial" w:cs="Arial"/>
          <w:sz w:val="22"/>
          <w:szCs w:val="22"/>
        </w:rPr>
        <w:t>re not stratified by histology.</w:t>
      </w:r>
    </w:p>
    <w:p w:rsidR="00C076D8" w:rsidRDefault="00C076D8" w:rsidP="00BF7C7A">
      <w:pPr>
        <w:pStyle w:val="ListParagraph"/>
        <w:ind w:left="0" w:firstLine="0"/>
        <w:rPr>
          <w:rFonts w:ascii="Arial" w:hAnsi="Arial" w:cs="Arial"/>
          <w:sz w:val="22"/>
          <w:szCs w:val="22"/>
        </w:rPr>
      </w:pPr>
    </w:p>
    <w:p w:rsidR="004F493D" w:rsidRPr="004B427D" w:rsidRDefault="006405DD" w:rsidP="005078DD">
      <w:pPr>
        <w:pStyle w:val="Caption"/>
        <w:keepNext/>
        <w:ind w:left="709"/>
        <w:rPr>
          <w:rFonts w:ascii="Arial Narrow" w:hAnsi="Arial Narrow" w:cs="Arial"/>
          <w:sz w:val="22"/>
        </w:rPr>
      </w:pPr>
      <w:r w:rsidRPr="004B427D">
        <w:rPr>
          <w:rFonts w:ascii="Arial Narrow" w:hAnsi="Arial Narrow" w:cs="Arial"/>
          <w:sz w:val="22"/>
        </w:rPr>
        <w:t>Table 7</w:t>
      </w:r>
      <w:r w:rsidR="004F493D" w:rsidRPr="004B427D">
        <w:rPr>
          <w:rFonts w:ascii="Arial Narrow" w:hAnsi="Arial Narrow" w:cs="Arial"/>
          <w:sz w:val="22"/>
        </w:rPr>
        <w:t>: KN-010: updated OS analysis for the ITT (TPS ≥1%) population (data cut-off: 31 March 2016)</w:t>
      </w:r>
    </w:p>
    <w:tbl>
      <w:tblPr>
        <w:tblW w:w="458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80"/>
        <w:gridCol w:w="540"/>
        <w:gridCol w:w="1700"/>
        <w:gridCol w:w="2551"/>
        <w:gridCol w:w="956"/>
      </w:tblGrid>
      <w:tr w:rsidR="00C076D8" w:rsidRPr="00C076D8" w:rsidTr="00DF42DF">
        <w:tc>
          <w:tcPr>
            <w:tcW w:w="1549" w:type="pct"/>
            <w:shd w:val="clear" w:color="auto" w:fill="auto"/>
            <w:vAlign w:val="center"/>
          </w:tcPr>
          <w:p w:rsidR="00C076D8" w:rsidRPr="00C076D8" w:rsidRDefault="00C076D8" w:rsidP="00680AD7">
            <w:pPr>
              <w:pStyle w:val="ListParagraph"/>
              <w:ind w:left="0" w:firstLine="0"/>
              <w:jc w:val="left"/>
              <w:rPr>
                <w:rFonts w:ascii="Arial Narrow" w:hAnsi="Arial Narrow" w:cs="Arial"/>
                <w:b/>
                <w:sz w:val="20"/>
                <w:szCs w:val="20"/>
              </w:rPr>
            </w:pPr>
            <w:r w:rsidRPr="00C076D8">
              <w:rPr>
                <w:rFonts w:ascii="Arial Narrow" w:hAnsi="Arial Narrow" w:cs="Arial"/>
                <w:b/>
                <w:sz w:val="20"/>
                <w:szCs w:val="20"/>
              </w:rPr>
              <w:t>Treatment</w:t>
            </w:r>
          </w:p>
        </w:tc>
        <w:tc>
          <w:tcPr>
            <w:tcW w:w="324" w:type="pct"/>
            <w:shd w:val="clear" w:color="auto" w:fill="auto"/>
            <w:vAlign w:val="center"/>
          </w:tcPr>
          <w:p w:rsidR="00C076D8" w:rsidRPr="00C076D8" w:rsidRDefault="00C076D8" w:rsidP="00680AD7">
            <w:pPr>
              <w:pStyle w:val="ListParagraph"/>
              <w:ind w:left="0" w:firstLine="0"/>
              <w:jc w:val="center"/>
              <w:rPr>
                <w:rFonts w:ascii="Arial Narrow" w:hAnsi="Arial Narrow" w:cs="Arial"/>
                <w:b/>
                <w:sz w:val="20"/>
                <w:szCs w:val="20"/>
              </w:rPr>
            </w:pPr>
            <w:r w:rsidRPr="00C076D8">
              <w:rPr>
                <w:rFonts w:ascii="Arial Narrow" w:hAnsi="Arial Narrow" w:cs="Arial"/>
                <w:b/>
                <w:sz w:val="20"/>
                <w:szCs w:val="20"/>
              </w:rPr>
              <w:t>N</w:t>
            </w:r>
          </w:p>
        </w:tc>
        <w:tc>
          <w:tcPr>
            <w:tcW w:w="1021" w:type="pct"/>
            <w:shd w:val="clear" w:color="auto" w:fill="auto"/>
            <w:vAlign w:val="center"/>
          </w:tcPr>
          <w:p w:rsidR="00C076D8" w:rsidRPr="00C076D8" w:rsidRDefault="00C076D8" w:rsidP="00680AD7">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Median OS</w:t>
            </w:r>
          </w:p>
          <w:p w:rsidR="00C076D8" w:rsidRPr="00C076D8" w:rsidRDefault="00C076D8" w:rsidP="00680AD7">
            <w:pPr>
              <w:jc w:val="center"/>
              <w:rPr>
                <w:rFonts w:ascii="Arial Narrow" w:hAnsi="Arial Narrow" w:cs="Arial Narrow"/>
                <w:b/>
                <w:sz w:val="20"/>
                <w:szCs w:val="20"/>
                <w:lang w:eastAsia="en-AU"/>
              </w:rPr>
            </w:pPr>
            <w:r w:rsidRPr="00C076D8">
              <w:rPr>
                <w:rFonts w:ascii="Arial Narrow" w:hAnsi="Arial Narrow" w:cs="Arial Narrow"/>
                <w:b/>
                <w:bCs/>
                <w:sz w:val="20"/>
                <w:szCs w:val="20"/>
                <w:lang w:eastAsia="en-AU"/>
              </w:rPr>
              <w:t>months (95% CI)</w:t>
            </w:r>
          </w:p>
        </w:tc>
        <w:tc>
          <w:tcPr>
            <w:tcW w:w="1532" w:type="pct"/>
            <w:shd w:val="clear" w:color="auto" w:fill="auto"/>
            <w:vAlign w:val="center"/>
          </w:tcPr>
          <w:p w:rsidR="00C076D8" w:rsidRPr="00C076D8" w:rsidRDefault="00C076D8" w:rsidP="00680AD7">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HR (95% CI)</w:t>
            </w:r>
          </w:p>
          <w:p w:rsidR="00C076D8" w:rsidRPr="00C076D8" w:rsidRDefault="00C076D8" w:rsidP="00680AD7">
            <w:pPr>
              <w:pStyle w:val="ListParagraph"/>
              <w:ind w:left="0" w:firstLine="0"/>
              <w:jc w:val="center"/>
              <w:rPr>
                <w:rFonts w:ascii="Arial Narrow" w:hAnsi="Arial Narrow" w:cs="Arial"/>
                <w:sz w:val="20"/>
                <w:szCs w:val="20"/>
              </w:rPr>
            </w:pPr>
            <w:r w:rsidRPr="00C076D8">
              <w:rPr>
                <w:rFonts w:ascii="Arial Narrow" w:hAnsi="Arial Narrow" w:cs="Arial Narrow"/>
                <w:b/>
                <w:bCs/>
                <w:sz w:val="20"/>
                <w:szCs w:val="20"/>
                <w:lang w:eastAsia="en-AU"/>
              </w:rPr>
              <w:t xml:space="preserve">Pembrolizumab </w:t>
            </w:r>
            <w:proofErr w:type="spellStart"/>
            <w:r w:rsidRPr="00C076D8">
              <w:rPr>
                <w:rFonts w:ascii="Arial Narrow" w:hAnsi="Arial Narrow" w:cs="Arial Narrow"/>
                <w:b/>
                <w:bCs/>
                <w:sz w:val="20"/>
                <w:szCs w:val="20"/>
                <w:lang w:eastAsia="en-AU"/>
              </w:rPr>
              <w:t>vs</w:t>
            </w:r>
            <w:proofErr w:type="spellEnd"/>
            <w:r w:rsidRPr="00C076D8">
              <w:rPr>
                <w:rFonts w:ascii="Arial Narrow" w:hAnsi="Arial Narrow" w:cs="Arial Narrow"/>
                <w:b/>
                <w:bCs/>
                <w:sz w:val="20"/>
                <w:szCs w:val="20"/>
                <w:lang w:eastAsia="en-AU"/>
              </w:rPr>
              <w:t xml:space="preserve"> </w:t>
            </w:r>
            <w:proofErr w:type="spellStart"/>
            <w:r w:rsidRPr="00C076D8">
              <w:rPr>
                <w:rFonts w:ascii="Arial Narrow" w:hAnsi="Arial Narrow" w:cs="Arial Narrow"/>
                <w:b/>
                <w:bCs/>
                <w:sz w:val="20"/>
                <w:szCs w:val="20"/>
                <w:lang w:eastAsia="en-AU"/>
              </w:rPr>
              <w:t>docetaxel</w:t>
            </w:r>
            <w:proofErr w:type="spellEnd"/>
          </w:p>
        </w:tc>
        <w:tc>
          <w:tcPr>
            <w:tcW w:w="574" w:type="pct"/>
            <w:vAlign w:val="center"/>
          </w:tcPr>
          <w:p w:rsidR="00C076D8" w:rsidRPr="00C076D8" w:rsidRDefault="00C076D8" w:rsidP="00680AD7">
            <w:pPr>
              <w:jc w:val="center"/>
              <w:rPr>
                <w:rFonts w:ascii="Arial Narrow" w:hAnsi="Arial Narrow" w:cs="Arial Narrow"/>
                <w:b/>
                <w:bCs/>
                <w:sz w:val="20"/>
                <w:szCs w:val="20"/>
                <w:lang w:eastAsia="en-AU"/>
              </w:rPr>
            </w:pPr>
            <w:r w:rsidRPr="00C076D8">
              <w:rPr>
                <w:rFonts w:ascii="Arial Narrow" w:hAnsi="Arial Narrow" w:cs="Arial Narrow"/>
                <w:b/>
                <w:bCs/>
                <w:sz w:val="20"/>
                <w:szCs w:val="20"/>
                <w:lang w:eastAsia="en-AU"/>
              </w:rPr>
              <w:t>p-value</w:t>
            </w:r>
          </w:p>
        </w:tc>
      </w:tr>
      <w:tr w:rsidR="00C076D8" w:rsidRPr="00C076D8" w:rsidTr="00DF42DF">
        <w:tc>
          <w:tcPr>
            <w:tcW w:w="1549" w:type="pct"/>
            <w:shd w:val="clear" w:color="auto" w:fill="auto"/>
            <w:vAlign w:val="center"/>
          </w:tcPr>
          <w:p w:rsidR="00C076D8" w:rsidRPr="00C076D8" w:rsidRDefault="00C076D8" w:rsidP="00680AD7">
            <w:pPr>
              <w:pStyle w:val="ListParagraph"/>
              <w:ind w:left="0" w:firstLine="0"/>
              <w:jc w:val="left"/>
              <w:rPr>
                <w:rFonts w:ascii="Arial Narrow" w:hAnsi="Arial Narrow" w:cs="Arial"/>
                <w:sz w:val="20"/>
                <w:szCs w:val="20"/>
              </w:rPr>
            </w:pPr>
            <w:proofErr w:type="spellStart"/>
            <w:r w:rsidRPr="00C076D8">
              <w:rPr>
                <w:rFonts w:ascii="Arial Narrow" w:hAnsi="Arial Narrow"/>
                <w:sz w:val="20"/>
                <w:szCs w:val="20"/>
              </w:rPr>
              <w:t>Docetaxel</w:t>
            </w:r>
            <w:proofErr w:type="spellEnd"/>
            <w:r w:rsidRPr="00C076D8">
              <w:rPr>
                <w:rFonts w:ascii="Arial Narrow" w:hAnsi="Arial Narrow"/>
                <w:sz w:val="20"/>
                <w:szCs w:val="20"/>
              </w:rPr>
              <w:t xml:space="preserve"> 75 mg/m</w:t>
            </w:r>
            <w:r w:rsidRPr="00C076D8">
              <w:rPr>
                <w:rFonts w:ascii="Arial Narrow" w:hAnsi="Arial Narrow"/>
                <w:sz w:val="20"/>
                <w:szCs w:val="20"/>
                <w:vertAlign w:val="superscript"/>
              </w:rPr>
              <w:t>2</w:t>
            </w:r>
            <w:r w:rsidRPr="00C076D8">
              <w:rPr>
                <w:rFonts w:ascii="Arial Narrow" w:hAnsi="Arial Narrow"/>
                <w:sz w:val="20"/>
                <w:szCs w:val="20"/>
              </w:rPr>
              <w:t xml:space="preserve"> Q3W</w:t>
            </w:r>
          </w:p>
        </w:tc>
        <w:tc>
          <w:tcPr>
            <w:tcW w:w="324" w:type="pct"/>
            <w:shd w:val="clear" w:color="auto" w:fill="auto"/>
            <w:vAlign w:val="center"/>
          </w:tcPr>
          <w:p w:rsidR="00C076D8" w:rsidRPr="00C076D8" w:rsidRDefault="00C076D8" w:rsidP="00680AD7">
            <w:pPr>
              <w:pStyle w:val="ListParagraph"/>
              <w:ind w:left="0" w:firstLine="0"/>
              <w:jc w:val="center"/>
              <w:rPr>
                <w:rFonts w:ascii="Arial Narrow" w:hAnsi="Arial Narrow" w:cs="Arial"/>
                <w:sz w:val="20"/>
                <w:szCs w:val="20"/>
              </w:rPr>
            </w:pPr>
            <w:r>
              <w:rPr>
                <w:rFonts w:ascii="Arial Narrow" w:hAnsi="Arial Narrow" w:cs="Arial"/>
                <w:sz w:val="20"/>
                <w:szCs w:val="20"/>
              </w:rPr>
              <w:t>343</w:t>
            </w:r>
          </w:p>
        </w:tc>
        <w:tc>
          <w:tcPr>
            <w:tcW w:w="1021" w:type="pct"/>
            <w:shd w:val="clear" w:color="auto" w:fill="auto"/>
            <w:vAlign w:val="center"/>
          </w:tcPr>
          <w:p w:rsidR="00C076D8" w:rsidRPr="00C076D8" w:rsidRDefault="00C076D8" w:rsidP="00680AD7">
            <w:pPr>
              <w:jc w:val="center"/>
              <w:rPr>
                <w:rFonts w:ascii="Arial Narrow" w:hAnsi="Arial Narrow" w:cs="Arial"/>
                <w:sz w:val="20"/>
                <w:szCs w:val="20"/>
              </w:rPr>
            </w:pPr>
            <w:r>
              <w:rPr>
                <w:rFonts w:ascii="Arial Narrow" w:hAnsi="Arial Narrow" w:cs="Arial"/>
                <w:sz w:val="20"/>
                <w:szCs w:val="20"/>
              </w:rPr>
              <w:t>8.6 (7.9, 9.8)</w:t>
            </w:r>
          </w:p>
        </w:tc>
        <w:tc>
          <w:tcPr>
            <w:tcW w:w="1532" w:type="pct"/>
            <w:shd w:val="clear" w:color="auto" w:fill="auto"/>
            <w:vAlign w:val="center"/>
          </w:tcPr>
          <w:p w:rsidR="00C076D8" w:rsidRPr="00C076D8" w:rsidRDefault="00C076D8" w:rsidP="00680AD7">
            <w:pPr>
              <w:pStyle w:val="ListParagraph"/>
              <w:ind w:left="0" w:firstLine="0"/>
              <w:jc w:val="center"/>
              <w:rPr>
                <w:rFonts w:ascii="Arial Narrow" w:hAnsi="Arial Narrow" w:cs="Arial"/>
                <w:sz w:val="20"/>
                <w:szCs w:val="20"/>
              </w:rPr>
            </w:pPr>
            <w:r w:rsidRPr="00C076D8">
              <w:rPr>
                <w:rFonts w:ascii="Arial Narrow" w:hAnsi="Arial Narrow" w:cs="Arial"/>
                <w:sz w:val="20"/>
                <w:szCs w:val="20"/>
              </w:rPr>
              <w:t xml:space="preserve">- </w:t>
            </w:r>
          </w:p>
        </w:tc>
        <w:tc>
          <w:tcPr>
            <w:tcW w:w="574" w:type="pct"/>
            <w:vAlign w:val="center"/>
          </w:tcPr>
          <w:p w:rsidR="00C076D8" w:rsidRPr="00C076D8" w:rsidRDefault="00C076D8" w:rsidP="00680AD7">
            <w:pPr>
              <w:pStyle w:val="ListParagraph"/>
              <w:ind w:left="0" w:firstLine="0"/>
              <w:jc w:val="center"/>
              <w:rPr>
                <w:rFonts w:ascii="Arial Narrow" w:hAnsi="Arial Narrow" w:cs="Arial"/>
                <w:sz w:val="20"/>
                <w:szCs w:val="20"/>
              </w:rPr>
            </w:pPr>
            <w:r w:rsidRPr="00C076D8">
              <w:rPr>
                <w:rFonts w:ascii="Arial Narrow" w:hAnsi="Arial Narrow" w:cs="Arial"/>
                <w:sz w:val="20"/>
                <w:szCs w:val="20"/>
              </w:rPr>
              <w:t>-</w:t>
            </w:r>
          </w:p>
        </w:tc>
      </w:tr>
      <w:tr w:rsidR="00C076D8" w:rsidRPr="00C076D8" w:rsidTr="00DF42DF">
        <w:tc>
          <w:tcPr>
            <w:tcW w:w="1549" w:type="pct"/>
            <w:shd w:val="clear" w:color="auto" w:fill="auto"/>
            <w:vAlign w:val="center"/>
          </w:tcPr>
          <w:p w:rsidR="00C076D8" w:rsidRPr="00C076D8" w:rsidRDefault="00C076D8" w:rsidP="00680AD7">
            <w:pPr>
              <w:pStyle w:val="ListParagraph"/>
              <w:ind w:left="0" w:firstLine="0"/>
              <w:jc w:val="left"/>
              <w:rPr>
                <w:rFonts w:ascii="Arial Narrow" w:hAnsi="Arial Narrow" w:cs="Arial"/>
                <w:sz w:val="20"/>
                <w:szCs w:val="20"/>
              </w:rPr>
            </w:pPr>
            <w:r w:rsidRPr="00C076D8">
              <w:rPr>
                <w:rFonts w:ascii="Arial Narrow" w:hAnsi="Arial Narrow"/>
                <w:sz w:val="20"/>
                <w:szCs w:val="20"/>
              </w:rPr>
              <w:t>Pembrolizumab 2 mg/kg Q3W</w:t>
            </w:r>
          </w:p>
        </w:tc>
        <w:tc>
          <w:tcPr>
            <w:tcW w:w="324" w:type="pct"/>
            <w:shd w:val="clear" w:color="auto" w:fill="auto"/>
            <w:vAlign w:val="center"/>
          </w:tcPr>
          <w:p w:rsidR="00C076D8" w:rsidRPr="00C076D8" w:rsidRDefault="00C076D8" w:rsidP="00680AD7">
            <w:pPr>
              <w:pStyle w:val="ListParagraph"/>
              <w:ind w:left="0" w:firstLine="0"/>
              <w:jc w:val="center"/>
              <w:rPr>
                <w:rFonts w:ascii="Arial Narrow" w:hAnsi="Arial Narrow" w:cs="Arial"/>
                <w:sz w:val="20"/>
                <w:szCs w:val="20"/>
              </w:rPr>
            </w:pPr>
            <w:r>
              <w:rPr>
                <w:rFonts w:ascii="Arial Narrow" w:hAnsi="Arial Narrow" w:cs="Arial"/>
                <w:sz w:val="20"/>
                <w:szCs w:val="20"/>
              </w:rPr>
              <w:t>344</w:t>
            </w:r>
          </w:p>
        </w:tc>
        <w:tc>
          <w:tcPr>
            <w:tcW w:w="1021" w:type="pct"/>
            <w:shd w:val="clear" w:color="auto" w:fill="auto"/>
            <w:vAlign w:val="center"/>
          </w:tcPr>
          <w:p w:rsidR="00C076D8" w:rsidRPr="00C076D8" w:rsidRDefault="00C076D8" w:rsidP="00680AD7">
            <w:pPr>
              <w:jc w:val="center"/>
              <w:rPr>
                <w:rFonts w:ascii="Arial Narrow" w:hAnsi="Arial Narrow" w:cs="Arial"/>
                <w:sz w:val="20"/>
                <w:szCs w:val="20"/>
              </w:rPr>
            </w:pPr>
            <w:r>
              <w:rPr>
                <w:rFonts w:ascii="Arial Narrow" w:hAnsi="Arial Narrow" w:cs="Arial"/>
                <w:sz w:val="20"/>
                <w:szCs w:val="20"/>
              </w:rPr>
              <w:t>10.5 (9.6, 12.4)</w:t>
            </w:r>
          </w:p>
        </w:tc>
        <w:tc>
          <w:tcPr>
            <w:tcW w:w="1532" w:type="pct"/>
            <w:shd w:val="clear" w:color="auto" w:fill="auto"/>
            <w:vAlign w:val="center"/>
          </w:tcPr>
          <w:p w:rsidR="00C076D8" w:rsidRPr="00C076D8" w:rsidRDefault="00C076D8" w:rsidP="00680AD7">
            <w:pPr>
              <w:jc w:val="center"/>
              <w:rPr>
                <w:rFonts w:ascii="Arial Narrow" w:hAnsi="Arial Narrow" w:cs="Arial"/>
                <w:sz w:val="20"/>
                <w:szCs w:val="20"/>
              </w:rPr>
            </w:pPr>
            <w:r>
              <w:rPr>
                <w:rFonts w:ascii="Arial Narrow" w:hAnsi="Arial Narrow" w:cs="Arial"/>
                <w:sz w:val="20"/>
                <w:szCs w:val="20"/>
              </w:rPr>
              <w:t>0.72 (0.60, 0.87)</w:t>
            </w:r>
          </w:p>
        </w:tc>
        <w:tc>
          <w:tcPr>
            <w:tcW w:w="574" w:type="pct"/>
            <w:vAlign w:val="center"/>
          </w:tcPr>
          <w:p w:rsidR="00C076D8" w:rsidRPr="00C076D8" w:rsidRDefault="00C076D8" w:rsidP="00680AD7">
            <w:pPr>
              <w:jc w:val="center"/>
              <w:rPr>
                <w:rFonts w:ascii="Arial Narrow" w:hAnsi="Arial Narrow"/>
                <w:sz w:val="20"/>
                <w:szCs w:val="20"/>
              </w:rPr>
            </w:pPr>
            <w:r>
              <w:rPr>
                <w:rFonts w:ascii="Arial Narrow" w:hAnsi="Arial Narrow"/>
                <w:sz w:val="20"/>
                <w:szCs w:val="20"/>
              </w:rPr>
              <w:t>0.00030</w:t>
            </w:r>
          </w:p>
        </w:tc>
      </w:tr>
      <w:tr w:rsidR="00C076D8" w:rsidRPr="00C076D8" w:rsidTr="00DF42DF">
        <w:tc>
          <w:tcPr>
            <w:tcW w:w="1549" w:type="pct"/>
            <w:shd w:val="clear" w:color="auto" w:fill="auto"/>
            <w:vAlign w:val="center"/>
          </w:tcPr>
          <w:p w:rsidR="00C076D8" w:rsidRPr="00C076D8" w:rsidRDefault="00C076D8" w:rsidP="00680AD7">
            <w:pPr>
              <w:pStyle w:val="ListParagraph"/>
              <w:ind w:left="0" w:firstLine="0"/>
              <w:jc w:val="left"/>
              <w:rPr>
                <w:rFonts w:ascii="Arial Narrow" w:hAnsi="Arial Narrow" w:cs="Arial"/>
                <w:sz w:val="20"/>
                <w:szCs w:val="20"/>
              </w:rPr>
            </w:pPr>
            <w:r w:rsidRPr="00C076D8">
              <w:rPr>
                <w:rFonts w:ascii="Arial Narrow" w:hAnsi="Arial Narrow"/>
                <w:sz w:val="20"/>
                <w:szCs w:val="20"/>
              </w:rPr>
              <w:t xml:space="preserve">Pembrolizumab 10 mg/kg Q3W </w:t>
            </w:r>
          </w:p>
        </w:tc>
        <w:tc>
          <w:tcPr>
            <w:tcW w:w="324" w:type="pct"/>
            <w:shd w:val="clear" w:color="auto" w:fill="auto"/>
            <w:vAlign w:val="center"/>
          </w:tcPr>
          <w:p w:rsidR="00C076D8" w:rsidRPr="00C076D8" w:rsidRDefault="00C076D8" w:rsidP="00680AD7">
            <w:pPr>
              <w:pStyle w:val="ListParagraph"/>
              <w:ind w:left="0" w:firstLine="0"/>
              <w:jc w:val="center"/>
              <w:rPr>
                <w:rFonts w:ascii="Arial Narrow" w:hAnsi="Arial Narrow" w:cs="Arial"/>
                <w:sz w:val="20"/>
                <w:szCs w:val="20"/>
              </w:rPr>
            </w:pPr>
            <w:r>
              <w:rPr>
                <w:rFonts w:ascii="Arial Narrow" w:hAnsi="Arial Narrow" w:cs="Arial"/>
                <w:sz w:val="20"/>
                <w:szCs w:val="20"/>
              </w:rPr>
              <w:t>346</w:t>
            </w:r>
          </w:p>
        </w:tc>
        <w:tc>
          <w:tcPr>
            <w:tcW w:w="1021" w:type="pct"/>
            <w:shd w:val="clear" w:color="auto" w:fill="auto"/>
            <w:vAlign w:val="center"/>
          </w:tcPr>
          <w:p w:rsidR="00C076D8" w:rsidRPr="00C076D8" w:rsidRDefault="00C076D8" w:rsidP="00680AD7">
            <w:pPr>
              <w:jc w:val="center"/>
              <w:rPr>
                <w:rFonts w:ascii="Arial Narrow" w:hAnsi="Arial Narrow" w:cs="Arial"/>
                <w:sz w:val="20"/>
                <w:szCs w:val="20"/>
              </w:rPr>
            </w:pPr>
            <w:r>
              <w:rPr>
                <w:rFonts w:ascii="Arial Narrow" w:hAnsi="Arial Narrow" w:cs="Arial"/>
                <w:sz w:val="20"/>
                <w:szCs w:val="20"/>
              </w:rPr>
              <w:t>13.6 (11.4, 17.3)</w:t>
            </w:r>
          </w:p>
        </w:tc>
        <w:tc>
          <w:tcPr>
            <w:tcW w:w="1532" w:type="pct"/>
            <w:shd w:val="clear" w:color="auto" w:fill="auto"/>
            <w:vAlign w:val="center"/>
          </w:tcPr>
          <w:p w:rsidR="00C076D8" w:rsidRPr="00C076D8" w:rsidRDefault="004F493D" w:rsidP="00680AD7">
            <w:pPr>
              <w:jc w:val="center"/>
              <w:rPr>
                <w:rFonts w:ascii="Arial Narrow" w:hAnsi="Arial Narrow" w:cs="Arial"/>
                <w:sz w:val="20"/>
                <w:szCs w:val="20"/>
              </w:rPr>
            </w:pPr>
            <w:r>
              <w:rPr>
                <w:rFonts w:ascii="Arial Narrow" w:hAnsi="Arial Narrow" w:cs="Arial"/>
                <w:sz w:val="20"/>
                <w:szCs w:val="20"/>
              </w:rPr>
              <w:t>0.60 (0.50, 0.73)</w:t>
            </w:r>
          </w:p>
        </w:tc>
        <w:tc>
          <w:tcPr>
            <w:tcW w:w="574" w:type="pct"/>
            <w:vAlign w:val="center"/>
          </w:tcPr>
          <w:p w:rsidR="00C076D8" w:rsidRPr="00C076D8" w:rsidRDefault="004F493D" w:rsidP="00680AD7">
            <w:pPr>
              <w:jc w:val="center"/>
              <w:rPr>
                <w:rFonts w:ascii="Arial Narrow" w:hAnsi="Arial Narrow"/>
                <w:sz w:val="20"/>
                <w:szCs w:val="20"/>
              </w:rPr>
            </w:pPr>
            <w:r w:rsidRPr="00C076D8">
              <w:rPr>
                <w:rFonts w:ascii="Arial Narrow" w:hAnsi="Arial Narrow"/>
                <w:sz w:val="20"/>
                <w:szCs w:val="20"/>
              </w:rPr>
              <w:t>&lt;0.00001</w:t>
            </w:r>
          </w:p>
        </w:tc>
      </w:tr>
    </w:tbl>
    <w:p w:rsidR="004F493D" w:rsidRPr="00C076D8" w:rsidRDefault="004F493D" w:rsidP="005078DD">
      <w:pPr>
        <w:widowControl w:val="0"/>
        <w:ind w:left="709"/>
        <w:rPr>
          <w:rFonts w:ascii="Arial Narrow" w:hAnsi="Arial Narrow" w:cs="Arial"/>
          <w:snapToGrid w:val="0"/>
          <w:sz w:val="18"/>
          <w:szCs w:val="20"/>
        </w:rPr>
      </w:pPr>
      <w:r w:rsidRPr="00C076D8">
        <w:rPr>
          <w:rFonts w:ascii="Arial Narrow" w:hAnsi="Arial Narrow" w:cs="Arial"/>
          <w:snapToGrid w:val="0"/>
          <w:sz w:val="18"/>
          <w:szCs w:val="20"/>
        </w:rPr>
        <w:t>CI = confidence interval; HR = h</w:t>
      </w:r>
      <w:r>
        <w:rPr>
          <w:rFonts w:ascii="Arial Narrow" w:hAnsi="Arial Narrow" w:cs="Arial"/>
          <w:snapToGrid w:val="0"/>
          <w:sz w:val="18"/>
          <w:szCs w:val="20"/>
        </w:rPr>
        <w:t xml:space="preserve">azard ratio; </w:t>
      </w:r>
      <w:r w:rsidR="0094730D" w:rsidRPr="00232CE0">
        <w:rPr>
          <w:rFonts w:ascii="Arial Narrow" w:eastAsia="Calibri" w:hAnsi="Arial Narrow"/>
          <w:snapToGrid w:val="0"/>
          <w:sz w:val="18"/>
          <w:szCs w:val="18"/>
        </w:rPr>
        <w:t xml:space="preserve">ITT = intention-to-treat; </w:t>
      </w:r>
      <w:r w:rsidRPr="00C076D8">
        <w:rPr>
          <w:rFonts w:ascii="Arial Narrow" w:hAnsi="Arial Narrow" w:cs="Arial"/>
          <w:snapToGrid w:val="0"/>
          <w:sz w:val="18"/>
          <w:szCs w:val="20"/>
        </w:rPr>
        <w:t>Q3W = every three weeks; TPS = tumour proportion score (% of tumour cells staining for PD-L1 expression).</w:t>
      </w:r>
    </w:p>
    <w:p w:rsidR="004F493D" w:rsidRDefault="004F493D" w:rsidP="005078DD">
      <w:pPr>
        <w:widowControl w:val="0"/>
        <w:ind w:left="709"/>
        <w:rPr>
          <w:rFonts w:ascii="Arial Narrow" w:hAnsi="Arial Narrow" w:cs="Arial"/>
          <w:snapToGrid w:val="0"/>
          <w:sz w:val="18"/>
          <w:szCs w:val="20"/>
        </w:rPr>
      </w:pPr>
      <w:r>
        <w:rPr>
          <w:rFonts w:ascii="Arial Narrow" w:hAnsi="Arial Narrow" w:cs="Arial"/>
          <w:snapToGrid w:val="0"/>
          <w:sz w:val="18"/>
          <w:szCs w:val="20"/>
        </w:rPr>
        <w:t>Source: Table 1, p3 pre-PBAC response</w:t>
      </w:r>
    </w:p>
    <w:p w:rsidR="004F493D" w:rsidRPr="0094730D" w:rsidRDefault="004F493D" w:rsidP="004F493D">
      <w:pPr>
        <w:rPr>
          <w:rFonts w:ascii="Arial" w:hAnsi="Arial" w:cs="Arial"/>
          <w:snapToGrid w:val="0"/>
          <w:sz w:val="22"/>
          <w:szCs w:val="22"/>
        </w:rPr>
      </w:pPr>
    </w:p>
    <w:p w:rsidR="004F493D" w:rsidRPr="004F493D" w:rsidRDefault="004F493D" w:rsidP="009C3A29">
      <w:pPr>
        <w:pStyle w:val="ListParagraph"/>
        <w:numPr>
          <w:ilvl w:val="1"/>
          <w:numId w:val="3"/>
        </w:numPr>
        <w:ind w:left="709"/>
        <w:rPr>
          <w:rFonts w:ascii="Arial" w:hAnsi="Arial" w:cs="Arial"/>
          <w:sz w:val="22"/>
          <w:szCs w:val="22"/>
        </w:rPr>
      </w:pPr>
      <w:r w:rsidRPr="004F493D">
        <w:rPr>
          <w:rFonts w:ascii="Arial" w:hAnsi="Arial" w:cs="Arial"/>
          <w:sz w:val="22"/>
          <w:szCs w:val="22"/>
        </w:rPr>
        <w:t xml:space="preserve">The OS results from Trial KN-010 by PD-L1 expression levels and by histology subtype is presented in Table </w:t>
      </w:r>
      <w:r w:rsidR="006405DD">
        <w:rPr>
          <w:rFonts w:ascii="Arial" w:hAnsi="Arial" w:cs="Arial"/>
          <w:sz w:val="22"/>
          <w:szCs w:val="22"/>
        </w:rPr>
        <w:t>8</w:t>
      </w:r>
      <w:r w:rsidRPr="004F493D">
        <w:rPr>
          <w:rFonts w:ascii="Arial" w:hAnsi="Arial" w:cs="Arial"/>
          <w:sz w:val="22"/>
          <w:szCs w:val="22"/>
        </w:rPr>
        <w:t>.</w:t>
      </w:r>
    </w:p>
    <w:p w:rsidR="0095055D" w:rsidRPr="002E75AA" w:rsidRDefault="0095055D" w:rsidP="00A36DD4">
      <w:pPr>
        <w:rPr>
          <w:rFonts w:ascii="Arial" w:hAnsi="Arial" w:cs="Arial"/>
          <w:sz w:val="22"/>
          <w:szCs w:val="22"/>
        </w:rPr>
      </w:pPr>
    </w:p>
    <w:p w:rsidR="0095055D" w:rsidRPr="002D53DE" w:rsidRDefault="0095055D" w:rsidP="00DF42DF">
      <w:pPr>
        <w:pStyle w:val="TableHeading0"/>
        <w:ind w:left="709"/>
        <w:rPr>
          <w:snapToGrid w:val="0"/>
          <w:sz w:val="18"/>
        </w:rPr>
      </w:pPr>
      <w:r w:rsidRPr="000406A2">
        <w:t>Table</w:t>
      </w:r>
      <w:r w:rsidR="00210DDC">
        <w:t xml:space="preserve"> </w:t>
      </w:r>
      <w:r w:rsidR="006405DD">
        <w:t>8</w:t>
      </w:r>
      <w:r>
        <w:t>:</w:t>
      </w:r>
      <w:r w:rsidRPr="00263D96">
        <w:t xml:space="preserve"> KN-010: Patients with TPS</w:t>
      </w:r>
      <w:r>
        <w:t xml:space="preserve"> </w:t>
      </w:r>
      <w:r w:rsidRPr="00263D96">
        <w:t xml:space="preserve">≥50% </w:t>
      </w:r>
      <w:proofErr w:type="spellStart"/>
      <w:r w:rsidRPr="00263D96">
        <w:t>vs</w:t>
      </w:r>
      <w:proofErr w:type="spellEnd"/>
      <w:r w:rsidRPr="00263D96">
        <w:t xml:space="preserve"> TPS </w:t>
      </w:r>
      <w:r>
        <w:t>1</w:t>
      </w:r>
      <w:r>
        <w:rPr>
          <w:rFonts w:ascii="Arial" w:hAnsi="Arial"/>
        </w:rPr>
        <w:t>‒</w:t>
      </w:r>
      <w:r>
        <w:t>49</w:t>
      </w:r>
      <w:r w:rsidRPr="00263D96">
        <w:t>%: OS analysis by histology subtype</w:t>
      </w:r>
      <w:r w:rsidR="00B807A8">
        <w:t xml:space="preserve"> </w:t>
      </w:r>
      <w:r w:rsidR="00B807A8" w:rsidRPr="00B807A8">
        <w:rPr>
          <w:rFonts w:eastAsia="Calibri"/>
          <w:bCs/>
        </w:rPr>
        <w:t>(data cut-off: 30 September 2015)</w:t>
      </w:r>
      <w:r w:rsidRPr="00263D96">
        <w:t xml:space="preserve">. </w:t>
      </w:r>
      <w:r w:rsidR="00B807A8">
        <w:t>Note: r</w:t>
      </w:r>
      <w:r w:rsidRPr="00263D96">
        <w:t xml:space="preserve">andomisation was not </w:t>
      </w:r>
      <w:r w:rsidR="002E75AA">
        <w:t>stratified by histology subtype</w:t>
      </w:r>
    </w:p>
    <w:tbl>
      <w:tblPr>
        <w:tblW w:w="461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83"/>
        <w:gridCol w:w="1571"/>
        <w:gridCol w:w="1845"/>
        <w:gridCol w:w="2126"/>
        <w:gridCol w:w="1414"/>
      </w:tblGrid>
      <w:tr w:rsidR="00DF42DF" w:rsidRPr="004D435E" w:rsidTr="00DF42DF">
        <w:tc>
          <w:tcPr>
            <w:tcW w:w="1770" w:type="pct"/>
            <w:gridSpan w:val="2"/>
            <w:shd w:val="clear" w:color="auto" w:fill="auto"/>
            <w:vAlign w:val="center"/>
          </w:tcPr>
          <w:p w:rsidR="0095055D" w:rsidRPr="004D435E" w:rsidRDefault="0095055D" w:rsidP="00423FAC">
            <w:pPr>
              <w:keepNext/>
              <w:jc w:val="left"/>
              <w:rPr>
                <w:rFonts w:ascii="Arial Narrow" w:hAnsi="Arial Narrow" w:cs="Arial Narrow"/>
                <w:b/>
                <w:sz w:val="20"/>
                <w:szCs w:val="20"/>
                <w:lang w:eastAsia="en-AU"/>
              </w:rPr>
            </w:pPr>
            <w:r w:rsidRPr="004D435E">
              <w:rPr>
                <w:rFonts w:ascii="Arial Narrow" w:hAnsi="Arial Narrow" w:cs="Arial Narrow"/>
                <w:b/>
                <w:bCs/>
                <w:sz w:val="20"/>
                <w:szCs w:val="20"/>
                <w:lang w:eastAsia="en-AU"/>
              </w:rPr>
              <w:t>Population</w:t>
            </w:r>
          </w:p>
          <w:p w:rsidR="0095055D" w:rsidRPr="004D435E" w:rsidRDefault="0095055D" w:rsidP="00423FAC">
            <w:pPr>
              <w:keepNext/>
              <w:jc w:val="left"/>
              <w:rPr>
                <w:rFonts w:ascii="Arial Narrow" w:hAnsi="Arial Narrow" w:cs="Arial Narrow"/>
                <w:b/>
                <w:bCs/>
                <w:sz w:val="20"/>
                <w:szCs w:val="20"/>
                <w:lang w:eastAsia="en-AU"/>
              </w:rPr>
            </w:pPr>
            <w:r w:rsidRPr="004D435E">
              <w:rPr>
                <w:rFonts w:ascii="Arial Narrow" w:hAnsi="Arial Narrow" w:cs="Arial Narrow"/>
                <w:b/>
                <w:bCs/>
                <w:sz w:val="20"/>
                <w:szCs w:val="20"/>
                <w:lang w:eastAsia="en-AU"/>
              </w:rPr>
              <w:t>(by histology subtype)</w:t>
            </w:r>
          </w:p>
        </w:tc>
        <w:tc>
          <w:tcPr>
            <w:tcW w:w="1106" w:type="pct"/>
            <w:shd w:val="clear" w:color="auto" w:fill="auto"/>
            <w:vAlign w:val="center"/>
          </w:tcPr>
          <w:p w:rsidR="0095055D" w:rsidRPr="004D435E" w:rsidRDefault="0095055D" w:rsidP="00423FAC">
            <w:pPr>
              <w:keepNext/>
              <w:jc w:val="center"/>
              <w:rPr>
                <w:rFonts w:ascii="Arial Narrow" w:hAnsi="Arial Narrow" w:cs="Arial Narrow"/>
                <w:b/>
                <w:sz w:val="20"/>
                <w:szCs w:val="20"/>
                <w:lang w:eastAsia="en-AU"/>
              </w:rPr>
            </w:pPr>
            <w:r w:rsidRPr="004D435E">
              <w:rPr>
                <w:rFonts w:ascii="Arial Narrow" w:hAnsi="Arial Narrow" w:cs="Arial Narrow"/>
                <w:b/>
                <w:bCs/>
                <w:sz w:val="20"/>
                <w:szCs w:val="20"/>
                <w:lang w:eastAsia="en-AU"/>
              </w:rPr>
              <w:t>Pembrolizumab 2 mg/kg Q3W</w:t>
            </w:r>
          </w:p>
          <w:p w:rsidR="0095055D" w:rsidRPr="004D435E" w:rsidRDefault="0095055D" w:rsidP="00423FAC">
            <w:pPr>
              <w:keepNext/>
              <w:jc w:val="center"/>
              <w:rPr>
                <w:rFonts w:ascii="Arial Narrow" w:hAnsi="Arial Narrow" w:cs="Arial Narrow"/>
                <w:b/>
                <w:bCs/>
                <w:sz w:val="20"/>
                <w:szCs w:val="20"/>
                <w:lang w:eastAsia="en-AU"/>
              </w:rPr>
            </w:pPr>
            <w:r w:rsidRPr="004D435E">
              <w:rPr>
                <w:rFonts w:ascii="Arial Narrow" w:hAnsi="Arial Narrow" w:cs="Arial Narrow"/>
                <w:b/>
                <w:bCs/>
                <w:sz w:val="20"/>
                <w:szCs w:val="20"/>
                <w:lang w:eastAsia="en-AU"/>
              </w:rPr>
              <w:t>n=number of subjects</w:t>
            </w:r>
          </w:p>
          <w:p w:rsidR="0095055D" w:rsidRPr="004D435E" w:rsidRDefault="0095055D" w:rsidP="00423FAC">
            <w:pPr>
              <w:keepNext/>
              <w:ind w:left="-57" w:right="-57"/>
              <w:jc w:val="center"/>
              <w:rPr>
                <w:rFonts w:ascii="Arial Narrow" w:hAnsi="Arial Narrow" w:cs="Arial Narrow"/>
                <w:b/>
                <w:bCs/>
                <w:sz w:val="20"/>
                <w:szCs w:val="20"/>
                <w:lang w:eastAsia="en-AU"/>
              </w:rPr>
            </w:pPr>
            <w:r w:rsidRPr="004D435E">
              <w:rPr>
                <w:rFonts w:ascii="Arial Narrow" w:hAnsi="Arial Narrow" w:cs="Arial Narrow"/>
                <w:b/>
                <w:bCs/>
                <w:sz w:val="20"/>
                <w:szCs w:val="20"/>
                <w:lang w:eastAsia="en-AU"/>
              </w:rPr>
              <w:t>Median OS, months (95% CI)</w:t>
            </w:r>
          </w:p>
        </w:tc>
        <w:tc>
          <w:tcPr>
            <w:tcW w:w="1275" w:type="pct"/>
            <w:shd w:val="clear" w:color="auto" w:fill="auto"/>
            <w:vAlign w:val="center"/>
          </w:tcPr>
          <w:p w:rsidR="0095055D" w:rsidRPr="004D435E" w:rsidRDefault="0095055D" w:rsidP="00423FAC">
            <w:pPr>
              <w:keepNext/>
              <w:ind w:left="-57" w:right="-57"/>
              <w:jc w:val="center"/>
              <w:rPr>
                <w:rFonts w:ascii="Arial Narrow" w:hAnsi="Arial Narrow" w:cs="Arial Narrow"/>
                <w:b/>
                <w:sz w:val="20"/>
                <w:szCs w:val="20"/>
                <w:lang w:eastAsia="en-AU"/>
              </w:rPr>
            </w:pPr>
            <w:proofErr w:type="spellStart"/>
            <w:r w:rsidRPr="004D435E">
              <w:rPr>
                <w:rFonts w:ascii="Arial Narrow" w:hAnsi="Arial Narrow" w:cs="Arial Narrow"/>
                <w:b/>
                <w:bCs/>
                <w:sz w:val="20"/>
                <w:szCs w:val="20"/>
                <w:lang w:eastAsia="en-AU"/>
              </w:rPr>
              <w:t>Docetaxel</w:t>
            </w:r>
            <w:proofErr w:type="spellEnd"/>
            <w:r w:rsidRPr="004D435E">
              <w:rPr>
                <w:rFonts w:ascii="Arial Narrow" w:hAnsi="Arial Narrow" w:cs="Arial Narrow"/>
                <w:b/>
                <w:bCs/>
                <w:sz w:val="20"/>
                <w:szCs w:val="20"/>
                <w:lang w:eastAsia="en-AU"/>
              </w:rPr>
              <w:t xml:space="preserve"> 75 mg/m</w:t>
            </w:r>
            <w:r w:rsidRPr="004D435E">
              <w:rPr>
                <w:rFonts w:ascii="Arial Narrow" w:hAnsi="Arial Narrow" w:cs="Arial Narrow"/>
                <w:b/>
                <w:bCs/>
                <w:sz w:val="20"/>
                <w:szCs w:val="20"/>
                <w:vertAlign w:val="superscript"/>
                <w:lang w:eastAsia="en-AU"/>
              </w:rPr>
              <w:t>2</w:t>
            </w:r>
            <w:r w:rsidRPr="004D435E">
              <w:rPr>
                <w:rFonts w:ascii="Arial Narrow" w:hAnsi="Arial Narrow" w:cs="Arial Narrow"/>
                <w:b/>
                <w:bCs/>
                <w:sz w:val="20"/>
                <w:szCs w:val="20"/>
                <w:lang w:eastAsia="en-AU"/>
              </w:rPr>
              <w:t xml:space="preserve"> Q3W</w:t>
            </w:r>
          </w:p>
          <w:p w:rsidR="0095055D" w:rsidRPr="004D435E" w:rsidRDefault="0095055D" w:rsidP="00423FAC">
            <w:pPr>
              <w:keepNext/>
              <w:jc w:val="center"/>
              <w:rPr>
                <w:rFonts w:ascii="Arial Narrow" w:hAnsi="Arial Narrow" w:cs="Arial Narrow"/>
                <w:b/>
                <w:bCs/>
                <w:sz w:val="20"/>
                <w:szCs w:val="20"/>
                <w:lang w:eastAsia="en-AU"/>
              </w:rPr>
            </w:pPr>
            <w:r w:rsidRPr="004D435E">
              <w:rPr>
                <w:rFonts w:ascii="Arial Narrow" w:hAnsi="Arial Narrow" w:cs="Arial Narrow"/>
                <w:b/>
                <w:bCs/>
                <w:sz w:val="20"/>
                <w:szCs w:val="20"/>
                <w:lang w:eastAsia="en-AU"/>
              </w:rPr>
              <w:t>n=number of subjects</w:t>
            </w:r>
          </w:p>
          <w:p w:rsidR="0095055D" w:rsidRPr="004D435E" w:rsidRDefault="0095055D" w:rsidP="00423FAC">
            <w:pPr>
              <w:keepNext/>
              <w:jc w:val="center"/>
              <w:rPr>
                <w:rFonts w:ascii="Arial Narrow" w:hAnsi="Arial Narrow" w:cs="Arial Narrow"/>
                <w:b/>
                <w:bCs/>
                <w:sz w:val="20"/>
                <w:szCs w:val="20"/>
                <w:lang w:eastAsia="en-AU"/>
              </w:rPr>
            </w:pPr>
            <w:r w:rsidRPr="004D435E">
              <w:rPr>
                <w:rFonts w:ascii="Arial Narrow" w:hAnsi="Arial Narrow" w:cs="Arial Narrow"/>
                <w:b/>
                <w:bCs/>
                <w:sz w:val="20"/>
                <w:szCs w:val="20"/>
                <w:lang w:eastAsia="en-AU"/>
              </w:rPr>
              <w:t>Median OS,</w:t>
            </w:r>
          </w:p>
          <w:p w:rsidR="0095055D" w:rsidRPr="004D435E" w:rsidRDefault="0095055D" w:rsidP="00423FAC">
            <w:pPr>
              <w:keepNext/>
              <w:jc w:val="center"/>
              <w:rPr>
                <w:rFonts w:ascii="Arial Narrow" w:hAnsi="Arial Narrow" w:cs="Arial Narrow"/>
                <w:b/>
                <w:bCs/>
                <w:sz w:val="20"/>
                <w:szCs w:val="20"/>
                <w:lang w:eastAsia="en-AU"/>
              </w:rPr>
            </w:pPr>
            <w:r w:rsidRPr="004D435E">
              <w:rPr>
                <w:rFonts w:ascii="Arial Narrow" w:hAnsi="Arial Narrow" w:cs="Arial Narrow"/>
                <w:b/>
                <w:bCs/>
                <w:sz w:val="20"/>
                <w:szCs w:val="20"/>
                <w:lang w:eastAsia="en-AU"/>
              </w:rPr>
              <w:t>months (95% CI)</w:t>
            </w:r>
          </w:p>
        </w:tc>
        <w:tc>
          <w:tcPr>
            <w:tcW w:w="850" w:type="pct"/>
            <w:shd w:val="clear" w:color="auto" w:fill="auto"/>
            <w:vAlign w:val="center"/>
          </w:tcPr>
          <w:p w:rsidR="0095055D" w:rsidRPr="004D435E" w:rsidRDefault="0095055D" w:rsidP="00423FAC">
            <w:pPr>
              <w:keepNext/>
              <w:jc w:val="center"/>
              <w:rPr>
                <w:rFonts w:ascii="Arial Narrow" w:hAnsi="Arial Narrow" w:cs="Arial Narrow"/>
                <w:b/>
                <w:bCs/>
                <w:sz w:val="20"/>
                <w:szCs w:val="20"/>
                <w:vertAlign w:val="superscript"/>
                <w:lang w:eastAsia="en-AU"/>
              </w:rPr>
            </w:pPr>
            <w:r w:rsidRPr="004D435E">
              <w:rPr>
                <w:rFonts w:ascii="Arial Narrow" w:hAnsi="Arial Narrow" w:cs="Arial Narrow"/>
                <w:b/>
                <w:bCs/>
                <w:sz w:val="20"/>
                <w:szCs w:val="20"/>
                <w:lang w:eastAsia="en-AU"/>
              </w:rPr>
              <w:t>HR (95% CI)</w:t>
            </w:r>
          </w:p>
          <w:p w:rsidR="0095055D" w:rsidRPr="004D435E" w:rsidRDefault="0095055D" w:rsidP="00423FAC">
            <w:pPr>
              <w:keepNext/>
              <w:jc w:val="center"/>
              <w:rPr>
                <w:rFonts w:ascii="Arial Narrow" w:hAnsi="Arial Narrow" w:cs="Arial Narrow"/>
                <w:b/>
                <w:sz w:val="20"/>
                <w:szCs w:val="20"/>
                <w:lang w:eastAsia="en-AU"/>
              </w:rPr>
            </w:pPr>
            <w:r w:rsidRPr="004D435E">
              <w:rPr>
                <w:rFonts w:ascii="Arial Narrow" w:hAnsi="Arial Narrow" w:cs="Arial Narrow"/>
                <w:b/>
                <w:bCs/>
                <w:sz w:val="20"/>
                <w:szCs w:val="20"/>
                <w:lang w:eastAsia="en-AU"/>
              </w:rPr>
              <w:t xml:space="preserve">Pembrolizumab </w:t>
            </w:r>
            <w:proofErr w:type="spellStart"/>
            <w:r w:rsidRPr="004D435E">
              <w:rPr>
                <w:rFonts w:ascii="Arial Narrow" w:hAnsi="Arial Narrow" w:cs="Arial Narrow"/>
                <w:b/>
                <w:bCs/>
                <w:sz w:val="20"/>
                <w:szCs w:val="20"/>
                <w:lang w:eastAsia="en-AU"/>
              </w:rPr>
              <w:t>vs</w:t>
            </w:r>
            <w:proofErr w:type="spellEnd"/>
            <w:r w:rsidRPr="004D435E">
              <w:rPr>
                <w:rFonts w:ascii="Arial Narrow" w:hAnsi="Arial Narrow" w:cs="Arial Narrow"/>
                <w:b/>
                <w:bCs/>
                <w:sz w:val="20"/>
                <w:szCs w:val="20"/>
                <w:lang w:eastAsia="en-AU"/>
              </w:rPr>
              <w:t xml:space="preserve"> </w:t>
            </w:r>
            <w:proofErr w:type="spellStart"/>
            <w:r w:rsidRPr="004D435E">
              <w:rPr>
                <w:rFonts w:ascii="Arial Narrow" w:hAnsi="Arial Narrow" w:cs="Arial Narrow"/>
                <w:b/>
                <w:bCs/>
                <w:sz w:val="20"/>
                <w:szCs w:val="20"/>
                <w:lang w:eastAsia="en-AU"/>
              </w:rPr>
              <w:t>docetaxel</w:t>
            </w:r>
            <w:proofErr w:type="spellEnd"/>
          </w:p>
        </w:tc>
      </w:tr>
      <w:tr w:rsidR="00DF42DF" w:rsidRPr="004D435E" w:rsidTr="00DF42DF">
        <w:tc>
          <w:tcPr>
            <w:tcW w:w="829" w:type="pct"/>
            <w:vMerge w:val="restart"/>
            <w:shd w:val="clear" w:color="auto" w:fill="auto"/>
            <w:vAlign w:val="center"/>
          </w:tcPr>
          <w:p w:rsidR="00CB6AF5" w:rsidRPr="004D435E" w:rsidRDefault="00CB6AF5" w:rsidP="00CB6AF5">
            <w:pPr>
              <w:jc w:val="left"/>
              <w:rPr>
                <w:rFonts w:ascii="Arial Narrow" w:hAnsi="Arial Narrow"/>
                <w:b/>
                <w:sz w:val="20"/>
                <w:szCs w:val="20"/>
                <w:lang w:eastAsia="en-AU"/>
              </w:rPr>
            </w:pPr>
            <w:r w:rsidRPr="004D435E">
              <w:rPr>
                <w:rFonts w:ascii="Arial Narrow" w:hAnsi="Arial Narrow"/>
                <w:b/>
                <w:sz w:val="20"/>
                <w:szCs w:val="20"/>
                <w:lang w:eastAsia="en-AU"/>
              </w:rPr>
              <w:t>Squamous</w:t>
            </w: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TPS ≥50%</w:t>
            </w:r>
          </w:p>
        </w:tc>
        <w:tc>
          <w:tcPr>
            <w:tcW w:w="1106"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c>
          <w:tcPr>
            <w:tcW w:w="1275"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c>
          <w:tcPr>
            <w:tcW w:w="850" w:type="pct"/>
            <w:shd w:val="clear" w:color="auto" w:fill="auto"/>
            <w:vAlign w:val="center"/>
          </w:tcPr>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r>
      <w:tr w:rsidR="00DF42DF" w:rsidRPr="004D435E" w:rsidTr="00DF42DF">
        <w:tc>
          <w:tcPr>
            <w:tcW w:w="829" w:type="pct"/>
            <w:vMerge/>
            <w:shd w:val="clear" w:color="auto" w:fill="auto"/>
            <w:vAlign w:val="center"/>
          </w:tcPr>
          <w:p w:rsidR="00CB6AF5" w:rsidRPr="004D435E" w:rsidRDefault="00CB6AF5" w:rsidP="00CB6AF5">
            <w:pPr>
              <w:jc w:val="left"/>
              <w:rPr>
                <w:rFonts w:ascii="Arial Narrow" w:hAnsi="Arial Narrow"/>
                <w:b/>
                <w:sz w:val="20"/>
                <w:szCs w:val="20"/>
                <w:lang w:eastAsia="en-AU"/>
              </w:rPr>
            </w:pP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TPS 1</w:t>
            </w:r>
            <w:r w:rsidRPr="004D435E">
              <w:rPr>
                <w:rFonts w:ascii="Arial" w:hAnsi="Arial" w:cs="Arial"/>
                <w:sz w:val="20"/>
                <w:szCs w:val="20"/>
                <w:lang w:eastAsia="en-AU"/>
              </w:rPr>
              <w:t>‒</w:t>
            </w:r>
            <w:r w:rsidRPr="004D435E">
              <w:rPr>
                <w:rFonts w:ascii="Arial Narrow" w:hAnsi="Arial Narrow"/>
                <w:sz w:val="20"/>
                <w:szCs w:val="20"/>
                <w:lang w:eastAsia="en-AU"/>
              </w:rPr>
              <w:t>49%</w:t>
            </w:r>
          </w:p>
        </w:tc>
        <w:tc>
          <w:tcPr>
            <w:tcW w:w="1106"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153EAE" w:rsidRDefault="00153EAE" w:rsidP="00423FAC">
            <w:pPr>
              <w:jc w:val="center"/>
              <w:rPr>
                <w:rFonts w:ascii="Arial Narrow" w:hAnsi="Arial Narrow"/>
                <w:sz w:val="20"/>
                <w:szCs w:val="20"/>
                <w:highlight w:val="black"/>
                <w:lang w:eastAsia="en-AU"/>
              </w:rPr>
            </w:pPr>
            <w:r>
              <w:rPr>
                <w:rFonts w:ascii="Arial Narrow" w:hAnsi="Arial Narrow"/>
                <w:noProof/>
                <w:color w:val="000000"/>
                <w:sz w:val="20"/>
                <w:highlight w:val="black"/>
                <w:lang w:eastAsia="en-AU"/>
              </w:rPr>
              <w:t>'''''''''</w:t>
            </w:r>
          </w:p>
        </w:tc>
        <w:tc>
          <w:tcPr>
            <w:tcW w:w="1275"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153EAE" w:rsidRDefault="00153EAE" w:rsidP="00423FAC">
            <w:pPr>
              <w:jc w:val="center"/>
              <w:rPr>
                <w:rFonts w:ascii="Arial Narrow" w:hAnsi="Arial Narrow"/>
                <w:sz w:val="20"/>
                <w:szCs w:val="20"/>
                <w:highlight w:val="black"/>
                <w:lang w:eastAsia="en-AU"/>
              </w:rPr>
            </w:pPr>
            <w:r>
              <w:rPr>
                <w:rFonts w:ascii="Arial Narrow" w:hAnsi="Arial Narrow"/>
                <w:noProof/>
                <w:color w:val="000000"/>
                <w:sz w:val="20"/>
                <w:highlight w:val="black"/>
                <w:lang w:eastAsia="en-AU"/>
              </w:rPr>
              <w:t>''''''''</w:t>
            </w:r>
          </w:p>
        </w:tc>
        <w:tc>
          <w:tcPr>
            <w:tcW w:w="850" w:type="pct"/>
            <w:shd w:val="clear" w:color="auto" w:fill="auto"/>
            <w:vAlign w:val="center"/>
          </w:tcPr>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r>
      <w:tr w:rsidR="00DF42DF" w:rsidRPr="004D435E" w:rsidTr="00DF42DF">
        <w:tc>
          <w:tcPr>
            <w:tcW w:w="829" w:type="pct"/>
            <w:vMerge w:val="restart"/>
            <w:shd w:val="clear" w:color="auto" w:fill="auto"/>
            <w:vAlign w:val="center"/>
          </w:tcPr>
          <w:p w:rsidR="00CB6AF5" w:rsidRPr="004D435E" w:rsidRDefault="00CB6AF5" w:rsidP="00CB6AF5">
            <w:pPr>
              <w:jc w:val="left"/>
              <w:rPr>
                <w:rFonts w:ascii="Arial Narrow" w:hAnsi="Arial Narrow"/>
                <w:b/>
                <w:sz w:val="20"/>
                <w:szCs w:val="20"/>
                <w:lang w:eastAsia="en-AU"/>
              </w:rPr>
            </w:pPr>
            <w:r w:rsidRPr="004D435E">
              <w:rPr>
                <w:rFonts w:ascii="Arial Narrow" w:hAnsi="Arial Narrow"/>
                <w:b/>
                <w:sz w:val="20"/>
                <w:szCs w:val="20"/>
                <w:lang w:eastAsia="en-AU"/>
              </w:rPr>
              <w:t>Adenocarcinoma non-squamous only</w:t>
            </w: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TPS ≥50%</w:t>
            </w:r>
          </w:p>
        </w:tc>
        <w:tc>
          <w:tcPr>
            <w:tcW w:w="1106"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p>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 xml:space="preserve">''''''''''' </w:t>
            </w:r>
            <w:r w:rsidR="00CB6AF5" w:rsidRPr="004D435E">
              <w:rPr>
                <w:rFonts w:ascii="Arial Narrow" w:hAnsi="Arial Narrow"/>
                <w:sz w:val="20"/>
                <w:lang w:eastAsia="en-AU"/>
              </w:rPr>
              <w:t>(</w:t>
            </w:r>
            <w:r>
              <w:rPr>
                <w:rFonts w:ascii="Arial Narrow" w:hAnsi="Arial Narrow"/>
                <w:noProof/>
                <w:color w:val="000000"/>
                <w:sz w:val="20"/>
                <w:highlight w:val="black"/>
                <w:lang w:eastAsia="en-AU"/>
              </w:rPr>
              <w:t>''''''''</w:t>
            </w:r>
            <w:r w:rsidR="00CB6AF5" w:rsidRPr="004D435E">
              <w:rPr>
                <w:rFonts w:ascii="Arial Narrow" w:hAnsi="Arial Narrow"/>
                <w:sz w:val="20"/>
                <w:lang w:eastAsia="en-AU"/>
              </w:rPr>
              <w:t>3,</w:t>
            </w:r>
            <w:r>
              <w:rPr>
                <w:rFonts w:ascii="Arial Narrow" w:hAnsi="Arial Narrow"/>
                <w:noProof/>
                <w:color w:val="000000"/>
                <w:sz w:val="20"/>
                <w:highlight w:val="black"/>
                <w:lang w:eastAsia="en-AU"/>
              </w:rPr>
              <w:t xml:space="preserve"> ''''</w:t>
            </w:r>
          </w:p>
        </w:tc>
        <w:tc>
          <w:tcPr>
            <w:tcW w:w="1275"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 xml:space="preserve">''''''' </w:t>
            </w:r>
            <w:r w:rsidR="00CB6AF5" w:rsidRPr="004D435E">
              <w:rPr>
                <w:rFonts w:ascii="Arial Narrow" w:hAnsi="Arial Narrow"/>
                <w:sz w:val="20"/>
                <w:lang w:eastAsia="en-AU"/>
              </w:rPr>
              <w:t>(</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c>
          <w:tcPr>
            <w:tcW w:w="850" w:type="pct"/>
            <w:shd w:val="clear" w:color="auto" w:fill="auto"/>
            <w:vAlign w:val="center"/>
          </w:tcPr>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r>
      <w:tr w:rsidR="00DF42DF" w:rsidRPr="004D435E" w:rsidTr="00DF42DF">
        <w:tc>
          <w:tcPr>
            <w:tcW w:w="829" w:type="pct"/>
            <w:vMerge/>
            <w:shd w:val="clear" w:color="auto" w:fill="auto"/>
            <w:vAlign w:val="center"/>
          </w:tcPr>
          <w:p w:rsidR="00CB6AF5" w:rsidRPr="004D435E" w:rsidRDefault="00CB6AF5" w:rsidP="00CB6AF5">
            <w:pPr>
              <w:jc w:val="left"/>
              <w:rPr>
                <w:rFonts w:ascii="Arial Narrow" w:hAnsi="Arial Narrow"/>
                <w:sz w:val="20"/>
                <w:szCs w:val="20"/>
                <w:lang w:eastAsia="en-AU"/>
              </w:rPr>
            </w:pP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TPS 1</w:t>
            </w:r>
            <w:r w:rsidRPr="004D435E">
              <w:rPr>
                <w:rFonts w:ascii="Arial" w:hAnsi="Arial" w:cs="Arial"/>
                <w:sz w:val="20"/>
                <w:szCs w:val="20"/>
                <w:lang w:eastAsia="en-AU"/>
              </w:rPr>
              <w:t>‒</w:t>
            </w:r>
            <w:r w:rsidRPr="004D435E">
              <w:rPr>
                <w:rFonts w:ascii="Arial Narrow" w:hAnsi="Arial Narrow"/>
                <w:sz w:val="20"/>
                <w:szCs w:val="20"/>
                <w:lang w:eastAsia="en-AU"/>
              </w:rPr>
              <w:t>49%</w:t>
            </w:r>
          </w:p>
        </w:tc>
        <w:tc>
          <w:tcPr>
            <w:tcW w:w="1106"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153EAE" w:rsidRDefault="00153EAE" w:rsidP="00423FAC">
            <w:pPr>
              <w:jc w:val="center"/>
              <w:rPr>
                <w:rFonts w:ascii="Arial Narrow" w:hAnsi="Arial Narrow"/>
                <w:sz w:val="20"/>
                <w:szCs w:val="20"/>
                <w:highlight w:val="black"/>
                <w:lang w:eastAsia="en-AU"/>
              </w:rPr>
            </w:pPr>
            <w:r>
              <w:rPr>
                <w:rFonts w:ascii="Arial Narrow" w:hAnsi="Arial Narrow"/>
                <w:noProof/>
                <w:color w:val="000000"/>
                <w:sz w:val="20"/>
                <w:highlight w:val="black"/>
                <w:lang w:eastAsia="en-AU"/>
              </w:rPr>
              <w:t>''''''''</w:t>
            </w:r>
          </w:p>
        </w:tc>
        <w:tc>
          <w:tcPr>
            <w:tcW w:w="1275" w:type="pct"/>
            <w:shd w:val="clear" w:color="auto" w:fill="auto"/>
            <w:vAlign w:val="center"/>
          </w:tcPr>
          <w:p w:rsidR="00CB6AF5" w:rsidRPr="004D435E" w:rsidRDefault="00CB6AF5" w:rsidP="00423FAC">
            <w:pPr>
              <w:jc w:val="center"/>
              <w:rPr>
                <w:rFonts w:ascii="Arial Narrow" w:hAnsi="Arial Narrow"/>
                <w:sz w:val="20"/>
                <w:lang w:eastAsia="en-AU"/>
              </w:rPr>
            </w:pPr>
            <w:r w:rsidRPr="004D435E">
              <w:rPr>
                <w:rFonts w:ascii="Arial Narrow" w:hAnsi="Arial Narrow"/>
                <w:sz w:val="20"/>
                <w:lang w:eastAsia="en-AU"/>
              </w:rPr>
              <w:t>n=</w:t>
            </w:r>
            <w:r w:rsidR="00153EAE">
              <w:rPr>
                <w:rFonts w:ascii="Arial Narrow" w:hAnsi="Arial Narrow"/>
                <w:noProof/>
                <w:color w:val="000000"/>
                <w:sz w:val="20"/>
                <w:highlight w:val="black"/>
                <w:lang w:eastAsia="en-AU"/>
              </w:rPr>
              <w:t>''''''''''</w:t>
            </w:r>
            <w:r w:rsidRPr="004D435E">
              <w:rPr>
                <w:rFonts w:ascii="Arial Narrow" w:hAnsi="Arial Narrow"/>
                <w:sz w:val="20"/>
                <w:lang w:eastAsia="en-AU"/>
              </w:rPr>
              <w:t>,</w:t>
            </w:r>
          </w:p>
          <w:p w:rsidR="00CB6AF5" w:rsidRPr="00153EAE" w:rsidRDefault="00153EAE" w:rsidP="00423FAC">
            <w:pPr>
              <w:jc w:val="center"/>
              <w:rPr>
                <w:rFonts w:ascii="Arial Narrow" w:hAnsi="Arial Narrow"/>
                <w:sz w:val="20"/>
                <w:szCs w:val="20"/>
                <w:highlight w:val="black"/>
                <w:lang w:eastAsia="en-AU"/>
              </w:rPr>
            </w:pPr>
            <w:r>
              <w:rPr>
                <w:rFonts w:ascii="Arial Narrow" w:hAnsi="Arial Narrow"/>
                <w:noProof/>
                <w:color w:val="000000"/>
                <w:sz w:val="20"/>
                <w:highlight w:val="black"/>
                <w:lang w:eastAsia="en-AU"/>
              </w:rPr>
              <w:t>'''''''</w:t>
            </w:r>
          </w:p>
        </w:tc>
        <w:tc>
          <w:tcPr>
            <w:tcW w:w="850" w:type="pct"/>
            <w:shd w:val="clear" w:color="auto" w:fill="auto"/>
            <w:vAlign w:val="center"/>
          </w:tcPr>
          <w:p w:rsidR="00CB6AF5" w:rsidRPr="004D435E" w:rsidRDefault="00153EAE" w:rsidP="00423FAC">
            <w:pPr>
              <w:jc w:val="center"/>
              <w:rPr>
                <w:rFonts w:ascii="Arial Narrow" w:hAnsi="Arial Narrow"/>
                <w:sz w:val="20"/>
                <w:szCs w:val="20"/>
                <w:lang w:eastAsia="en-AU"/>
              </w:rPr>
            </w:pP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 xml:space="preserve">, </w:t>
            </w:r>
            <w:r>
              <w:rPr>
                <w:rFonts w:ascii="Arial Narrow" w:hAnsi="Arial Narrow"/>
                <w:noProof/>
                <w:color w:val="000000"/>
                <w:sz w:val="20"/>
                <w:highlight w:val="black"/>
                <w:lang w:eastAsia="en-AU"/>
              </w:rPr>
              <w:t>'''''''''''</w:t>
            </w:r>
            <w:r w:rsidR="00CB6AF5" w:rsidRPr="004D435E">
              <w:rPr>
                <w:rFonts w:ascii="Arial Narrow" w:hAnsi="Arial Narrow"/>
                <w:sz w:val="20"/>
                <w:lang w:eastAsia="en-AU"/>
              </w:rPr>
              <w:t>)</w:t>
            </w:r>
          </w:p>
        </w:tc>
      </w:tr>
      <w:tr w:rsidR="00CB6AF5" w:rsidRPr="004D435E" w:rsidTr="00DF42DF">
        <w:tc>
          <w:tcPr>
            <w:tcW w:w="829" w:type="pct"/>
            <w:vMerge w:val="restart"/>
            <w:shd w:val="clear" w:color="auto" w:fill="auto"/>
            <w:vAlign w:val="center"/>
          </w:tcPr>
          <w:p w:rsidR="00CB6AF5" w:rsidRPr="004D435E" w:rsidRDefault="00CB6AF5" w:rsidP="00423FAC">
            <w:pPr>
              <w:jc w:val="left"/>
              <w:rPr>
                <w:rFonts w:ascii="Arial Narrow" w:hAnsi="Arial Narrow"/>
                <w:b/>
                <w:sz w:val="20"/>
                <w:szCs w:val="20"/>
                <w:lang w:eastAsia="en-AU"/>
              </w:rPr>
            </w:pPr>
            <w:r w:rsidRPr="004D435E">
              <w:rPr>
                <w:rFonts w:ascii="Arial Narrow" w:hAnsi="Arial Narrow"/>
                <w:b/>
                <w:sz w:val="20"/>
                <w:szCs w:val="20"/>
                <w:lang w:eastAsia="en-AU"/>
              </w:rPr>
              <w:t>Test for treatment effect variation</w:t>
            </w: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 xml:space="preserve">Squamous TPS ≥50%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Squamous TPS 1</w:t>
            </w:r>
            <w:r w:rsidRPr="004D435E">
              <w:rPr>
                <w:rFonts w:ascii="Arial" w:hAnsi="Arial" w:cs="Arial"/>
                <w:sz w:val="20"/>
                <w:szCs w:val="20"/>
                <w:lang w:eastAsia="en-AU"/>
              </w:rPr>
              <w:t>‒</w:t>
            </w:r>
            <w:r w:rsidRPr="004D435E">
              <w:rPr>
                <w:rFonts w:ascii="Arial Narrow" w:hAnsi="Arial Narrow"/>
                <w:sz w:val="20"/>
                <w:szCs w:val="20"/>
                <w:lang w:eastAsia="en-AU"/>
              </w:rPr>
              <w:t>49%</w:t>
            </w:r>
          </w:p>
        </w:tc>
        <w:tc>
          <w:tcPr>
            <w:tcW w:w="3230" w:type="pct"/>
            <w:gridSpan w:val="3"/>
            <w:shd w:val="clear" w:color="auto" w:fill="auto"/>
            <w:vAlign w:val="center"/>
          </w:tcPr>
          <w:p w:rsidR="00CB6AF5" w:rsidRPr="004D435E" w:rsidRDefault="00CB6AF5" w:rsidP="00423FAC">
            <w:pPr>
              <w:jc w:val="center"/>
              <w:rPr>
                <w:rFonts w:ascii="Arial Narrow" w:hAnsi="Arial Narrow"/>
                <w:sz w:val="20"/>
                <w:szCs w:val="20"/>
                <w:lang w:eastAsia="en-AU"/>
              </w:rPr>
            </w:pPr>
            <w:r w:rsidRPr="004D435E">
              <w:rPr>
                <w:rFonts w:ascii="Arial Narrow" w:hAnsi="Arial Narrow"/>
                <w:sz w:val="20"/>
                <w:szCs w:val="20"/>
                <w:lang w:eastAsia="en-AU"/>
              </w:rPr>
              <w:t xml:space="preserve">Pembrolizumab 2 mg/kg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w:t>
            </w:r>
            <w:proofErr w:type="spellStart"/>
            <w:r w:rsidRPr="004D435E">
              <w:rPr>
                <w:rFonts w:ascii="Arial Narrow" w:hAnsi="Arial Narrow"/>
                <w:sz w:val="20"/>
                <w:szCs w:val="20"/>
                <w:lang w:eastAsia="en-AU"/>
              </w:rPr>
              <w:t>docetaxel</w:t>
            </w:r>
            <w:proofErr w:type="spellEnd"/>
            <w:r w:rsidRPr="004D435E">
              <w:rPr>
                <w:rFonts w:ascii="Arial Narrow" w:hAnsi="Arial Narrow"/>
                <w:sz w:val="20"/>
                <w:szCs w:val="20"/>
                <w:lang w:eastAsia="en-AU"/>
              </w:rPr>
              <w:t xml:space="preserve"> in squamous TPS ≥50%</w:t>
            </w:r>
          </w:p>
          <w:p w:rsidR="00CB6AF5" w:rsidRPr="004D435E" w:rsidRDefault="00CB6AF5" w:rsidP="00423FAC">
            <w:pPr>
              <w:jc w:val="center"/>
              <w:rPr>
                <w:rFonts w:ascii="Arial Narrow" w:hAnsi="Arial Narrow"/>
                <w:sz w:val="20"/>
                <w:szCs w:val="20"/>
                <w:lang w:eastAsia="en-AU"/>
              </w:rPr>
            </w:pPr>
            <w:proofErr w:type="spellStart"/>
            <w:r w:rsidRPr="004D435E">
              <w:rPr>
                <w:rFonts w:ascii="Arial Narrow" w:hAnsi="Arial Narrow"/>
                <w:sz w:val="20"/>
                <w:szCs w:val="20"/>
                <w:u w:val="single"/>
                <w:lang w:eastAsia="en-AU"/>
              </w:rPr>
              <w:t>Vs</w:t>
            </w:r>
            <w:proofErr w:type="spellEnd"/>
            <w:r w:rsidRPr="004D435E">
              <w:rPr>
                <w:rFonts w:ascii="Arial Narrow" w:hAnsi="Arial Narrow"/>
                <w:sz w:val="20"/>
                <w:szCs w:val="20"/>
                <w:u w:val="single"/>
                <w:lang w:eastAsia="en-AU"/>
              </w:rPr>
              <w:t xml:space="preserve"> </w:t>
            </w:r>
            <w:r w:rsidRPr="004D435E">
              <w:rPr>
                <w:rFonts w:ascii="Arial Narrow" w:hAnsi="Arial Narrow"/>
                <w:sz w:val="20"/>
                <w:szCs w:val="20"/>
                <w:lang w:eastAsia="en-AU"/>
              </w:rPr>
              <w:t xml:space="preserve">Pembrolizumab 2 mg/kg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w:t>
            </w:r>
            <w:proofErr w:type="spellStart"/>
            <w:r w:rsidRPr="004D435E">
              <w:rPr>
                <w:rFonts w:ascii="Arial Narrow" w:hAnsi="Arial Narrow"/>
                <w:sz w:val="20"/>
                <w:szCs w:val="20"/>
                <w:lang w:eastAsia="en-AU"/>
              </w:rPr>
              <w:t>docetaxel</w:t>
            </w:r>
            <w:proofErr w:type="spellEnd"/>
            <w:r w:rsidRPr="004D435E">
              <w:rPr>
                <w:rFonts w:ascii="Arial Narrow" w:hAnsi="Arial Narrow"/>
                <w:sz w:val="20"/>
                <w:szCs w:val="20"/>
                <w:lang w:eastAsia="en-AU"/>
              </w:rPr>
              <w:t xml:space="preserve"> in squamous, TPS 1</w:t>
            </w:r>
            <w:r w:rsidRPr="004D435E">
              <w:rPr>
                <w:rFonts w:ascii="Arial" w:hAnsi="Arial" w:cs="Arial"/>
                <w:sz w:val="20"/>
                <w:szCs w:val="20"/>
                <w:lang w:eastAsia="en-AU"/>
              </w:rPr>
              <w:t>‒</w:t>
            </w:r>
            <w:r w:rsidRPr="004D435E">
              <w:rPr>
                <w:rFonts w:ascii="Arial Narrow" w:hAnsi="Arial Narrow"/>
                <w:sz w:val="20"/>
                <w:szCs w:val="20"/>
                <w:lang w:eastAsia="en-AU"/>
              </w:rPr>
              <w:t>49%</w:t>
            </w:r>
          </w:p>
          <w:p w:rsidR="00CB6AF5" w:rsidRPr="004D435E" w:rsidRDefault="00CB6AF5" w:rsidP="00423FAC">
            <w:pPr>
              <w:jc w:val="center"/>
              <w:rPr>
                <w:rFonts w:ascii="Arial Narrow" w:hAnsi="Arial Narrow"/>
                <w:b/>
                <w:sz w:val="20"/>
                <w:szCs w:val="20"/>
                <w:lang w:eastAsia="en-AU"/>
              </w:rPr>
            </w:pPr>
            <w:r w:rsidRPr="004D435E">
              <w:rPr>
                <w:rFonts w:ascii="Arial Narrow" w:hAnsi="Arial Narrow"/>
                <w:b/>
                <w:sz w:val="20"/>
                <w:szCs w:val="20"/>
                <w:lang w:eastAsia="en-AU"/>
              </w:rPr>
              <w:t xml:space="preserve">Ratio of HRs (95% CI):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p = 0</w:t>
            </w:r>
            <w:r w:rsidR="00153EAE">
              <w:rPr>
                <w:rFonts w:ascii="Arial Narrow" w:hAnsi="Arial Narrow"/>
                <w:b/>
                <w:noProof/>
                <w:color w:val="000000"/>
                <w:sz w:val="20"/>
                <w:szCs w:val="20"/>
                <w:highlight w:val="black"/>
                <w:lang w:eastAsia="en-AU"/>
              </w:rPr>
              <w:t>'''''''''</w:t>
            </w:r>
          </w:p>
        </w:tc>
      </w:tr>
      <w:tr w:rsidR="00CB6AF5" w:rsidRPr="004D435E" w:rsidTr="00DF42DF">
        <w:tc>
          <w:tcPr>
            <w:tcW w:w="829" w:type="pct"/>
            <w:vMerge/>
            <w:shd w:val="clear" w:color="auto" w:fill="auto"/>
            <w:vAlign w:val="center"/>
          </w:tcPr>
          <w:p w:rsidR="00CB6AF5" w:rsidRPr="004D435E" w:rsidRDefault="00CB6AF5" w:rsidP="00423FAC">
            <w:pPr>
              <w:jc w:val="left"/>
              <w:rPr>
                <w:rFonts w:ascii="Arial Narrow" w:hAnsi="Arial Narrow"/>
                <w:b/>
                <w:sz w:val="20"/>
                <w:szCs w:val="20"/>
                <w:lang w:eastAsia="en-AU"/>
              </w:rPr>
            </w:pPr>
          </w:p>
        </w:tc>
        <w:tc>
          <w:tcPr>
            <w:tcW w:w="942" w:type="pct"/>
            <w:shd w:val="clear" w:color="auto" w:fill="auto"/>
            <w:vAlign w:val="center"/>
          </w:tcPr>
          <w:p w:rsidR="00CB6AF5" w:rsidRPr="004D435E" w:rsidRDefault="00CB6AF5" w:rsidP="00423FAC">
            <w:pPr>
              <w:jc w:val="left"/>
              <w:rPr>
                <w:rFonts w:ascii="Arial Narrow" w:hAnsi="Arial Narrow"/>
                <w:sz w:val="20"/>
                <w:szCs w:val="20"/>
                <w:lang w:eastAsia="en-AU"/>
              </w:rPr>
            </w:pPr>
            <w:r w:rsidRPr="004D435E">
              <w:rPr>
                <w:rFonts w:ascii="Arial Narrow" w:hAnsi="Arial Narrow"/>
                <w:sz w:val="20"/>
                <w:szCs w:val="20"/>
                <w:lang w:eastAsia="en-AU"/>
              </w:rPr>
              <w:t xml:space="preserve">Adenocarcinoma non-squamous TPS ≥50%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Adenocarcinoma non-squamous TPS 1</w:t>
            </w:r>
            <w:r w:rsidRPr="004D435E">
              <w:rPr>
                <w:rFonts w:ascii="Arial" w:hAnsi="Arial" w:cs="Arial"/>
                <w:sz w:val="20"/>
                <w:szCs w:val="20"/>
                <w:lang w:eastAsia="en-AU"/>
              </w:rPr>
              <w:t>‒</w:t>
            </w:r>
            <w:r w:rsidRPr="004D435E">
              <w:rPr>
                <w:rFonts w:ascii="Arial Narrow" w:hAnsi="Arial Narrow"/>
                <w:sz w:val="20"/>
                <w:szCs w:val="20"/>
                <w:lang w:eastAsia="en-AU"/>
              </w:rPr>
              <w:t>49%</w:t>
            </w:r>
          </w:p>
        </w:tc>
        <w:tc>
          <w:tcPr>
            <w:tcW w:w="3230" w:type="pct"/>
            <w:gridSpan w:val="3"/>
            <w:shd w:val="clear" w:color="auto" w:fill="auto"/>
            <w:vAlign w:val="center"/>
          </w:tcPr>
          <w:p w:rsidR="00CB6AF5" w:rsidRPr="004D435E" w:rsidRDefault="00CB6AF5" w:rsidP="00423FAC">
            <w:pPr>
              <w:jc w:val="center"/>
              <w:rPr>
                <w:rFonts w:ascii="Arial Narrow" w:hAnsi="Arial Narrow"/>
                <w:sz w:val="20"/>
                <w:szCs w:val="20"/>
                <w:lang w:eastAsia="en-AU"/>
              </w:rPr>
            </w:pPr>
            <w:r w:rsidRPr="004D435E">
              <w:rPr>
                <w:rFonts w:ascii="Arial Narrow" w:hAnsi="Arial Narrow"/>
                <w:sz w:val="20"/>
                <w:szCs w:val="20"/>
                <w:lang w:eastAsia="en-AU"/>
              </w:rPr>
              <w:t xml:space="preserve">Pembrolizumab 2 mg/kg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w:t>
            </w:r>
            <w:proofErr w:type="spellStart"/>
            <w:r w:rsidRPr="004D435E">
              <w:rPr>
                <w:rFonts w:ascii="Arial Narrow" w:hAnsi="Arial Narrow"/>
                <w:sz w:val="20"/>
                <w:szCs w:val="20"/>
                <w:lang w:eastAsia="en-AU"/>
              </w:rPr>
              <w:t>docetaxel</w:t>
            </w:r>
            <w:proofErr w:type="spellEnd"/>
            <w:r w:rsidRPr="004D435E">
              <w:rPr>
                <w:rFonts w:ascii="Arial Narrow" w:hAnsi="Arial Narrow"/>
                <w:sz w:val="20"/>
                <w:szCs w:val="20"/>
                <w:lang w:eastAsia="en-AU"/>
              </w:rPr>
              <w:t xml:space="preserve"> in adenocarcinoma TPS ≥50%</w:t>
            </w:r>
          </w:p>
          <w:p w:rsidR="00CB6AF5" w:rsidRPr="004D435E" w:rsidRDefault="00CB6AF5" w:rsidP="00423FAC">
            <w:pPr>
              <w:jc w:val="center"/>
              <w:rPr>
                <w:rFonts w:ascii="Arial Narrow" w:hAnsi="Arial Narrow"/>
                <w:sz w:val="20"/>
                <w:szCs w:val="20"/>
                <w:lang w:eastAsia="en-AU"/>
              </w:rPr>
            </w:pPr>
            <w:proofErr w:type="spellStart"/>
            <w:r w:rsidRPr="004D435E">
              <w:rPr>
                <w:rFonts w:ascii="Arial Narrow" w:hAnsi="Arial Narrow"/>
                <w:sz w:val="20"/>
                <w:szCs w:val="20"/>
                <w:u w:val="single"/>
                <w:lang w:eastAsia="en-AU"/>
              </w:rPr>
              <w:t>Vs</w:t>
            </w:r>
            <w:proofErr w:type="spellEnd"/>
            <w:r w:rsidRPr="004D435E">
              <w:rPr>
                <w:rFonts w:ascii="Arial Narrow" w:hAnsi="Arial Narrow"/>
                <w:sz w:val="20"/>
                <w:szCs w:val="20"/>
                <w:u w:val="single"/>
                <w:lang w:eastAsia="en-AU"/>
              </w:rPr>
              <w:t xml:space="preserve"> </w:t>
            </w:r>
            <w:r w:rsidRPr="004D435E">
              <w:rPr>
                <w:rFonts w:ascii="Arial Narrow" w:hAnsi="Arial Narrow"/>
                <w:sz w:val="20"/>
                <w:szCs w:val="20"/>
                <w:lang w:eastAsia="en-AU"/>
              </w:rPr>
              <w:t xml:space="preserve">Pembrolizumab 2 mg/kg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w:t>
            </w:r>
            <w:proofErr w:type="spellStart"/>
            <w:r w:rsidRPr="004D435E">
              <w:rPr>
                <w:rFonts w:ascii="Arial Narrow" w:hAnsi="Arial Narrow"/>
                <w:sz w:val="20"/>
                <w:szCs w:val="20"/>
                <w:lang w:eastAsia="en-AU"/>
              </w:rPr>
              <w:t>docetaxel</w:t>
            </w:r>
            <w:proofErr w:type="spellEnd"/>
            <w:r w:rsidRPr="004D435E">
              <w:rPr>
                <w:rFonts w:ascii="Arial Narrow" w:hAnsi="Arial Narrow"/>
                <w:sz w:val="20"/>
                <w:szCs w:val="20"/>
                <w:lang w:eastAsia="en-AU"/>
              </w:rPr>
              <w:t xml:space="preserve"> in adenocarcinoma, TPS 1</w:t>
            </w:r>
            <w:r w:rsidRPr="004D435E">
              <w:rPr>
                <w:rFonts w:ascii="Arial" w:hAnsi="Arial" w:cs="Arial"/>
                <w:sz w:val="20"/>
                <w:szCs w:val="20"/>
                <w:lang w:eastAsia="en-AU"/>
              </w:rPr>
              <w:t>‒</w:t>
            </w:r>
            <w:r w:rsidRPr="004D435E">
              <w:rPr>
                <w:rFonts w:ascii="Arial Narrow" w:hAnsi="Arial Narrow"/>
                <w:sz w:val="20"/>
                <w:szCs w:val="20"/>
                <w:lang w:eastAsia="en-AU"/>
              </w:rPr>
              <w:t>49%</w:t>
            </w:r>
          </w:p>
          <w:p w:rsidR="00CB6AF5" w:rsidRPr="004D435E" w:rsidRDefault="00CB6AF5" w:rsidP="00423FAC">
            <w:pPr>
              <w:jc w:val="center"/>
              <w:rPr>
                <w:rFonts w:ascii="Arial Narrow" w:hAnsi="Arial Narrow"/>
                <w:b/>
                <w:sz w:val="20"/>
                <w:szCs w:val="20"/>
                <w:lang w:eastAsia="en-AU"/>
              </w:rPr>
            </w:pPr>
            <w:r w:rsidRPr="004D435E">
              <w:rPr>
                <w:rFonts w:ascii="Arial Narrow" w:hAnsi="Arial Narrow"/>
                <w:b/>
                <w:sz w:val="20"/>
                <w:szCs w:val="20"/>
                <w:lang w:eastAsia="en-AU"/>
              </w:rPr>
              <w:t xml:space="preserve">Ratio of HRs (95% CI):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p = 0</w:t>
            </w:r>
            <w:r w:rsidR="00153EAE">
              <w:rPr>
                <w:rFonts w:ascii="Arial Narrow" w:hAnsi="Arial Narrow"/>
                <w:b/>
                <w:noProof/>
                <w:color w:val="000000"/>
                <w:sz w:val="20"/>
                <w:szCs w:val="20"/>
                <w:highlight w:val="black"/>
                <w:lang w:eastAsia="en-AU"/>
              </w:rPr>
              <w:t>''''''''</w:t>
            </w:r>
          </w:p>
        </w:tc>
      </w:tr>
      <w:tr w:rsidR="0095055D" w:rsidRPr="004D435E" w:rsidTr="00DF42DF">
        <w:tc>
          <w:tcPr>
            <w:tcW w:w="1770" w:type="pct"/>
            <w:gridSpan w:val="2"/>
            <w:shd w:val="clear" w:color="auto" w:fill="auto"/>
            <w:vAlign w:val="center"/>
          </w:tcPr>
          <w:p w:rsidR="0095055D" w:rsidRPr="004D435E" w:rsidRDefault="0095055D" w:rsidP="00423FAC">
            <w:pPr>
              <w:jc w:val="left"/>
              <w:rPr>
                <w:rFonts w:ascii="Arial Narrow" w:hAnsi="Arial Narrow"/>
                <w:b/>
                <w:sz w:val="20"/>
                <w:szCs w:val="20"/>
                <w:lang w:eastAsia="en-AU"/>
              </w:rPr>
            </w:pPr>
            <w:r w:rsidRPr="004D435E">
              <w:rPr>
                <w:rFonts w:ascii="Arial Narrow" w:hAnsi="Arial Narrow"/>
                <w:b/>
                <w:sz w:val="20"/>
                <w:szCs w:val="20"/>
                <w:lang w:eastAsia="en-AU"/>
              </w:rPr>
              <w:t>Test of whether the PD-L1 predictive effect varies between non-squamous and squamous subgroups</w:t>
            </w:r>
          </w:p>
        </w:tc>
        <w:tc>
          <w:tcPr>
            <w:tcW w:w="3230" w:type="pct"/>
            <w:gridSpan w:val="3"/>
            <w:shd w:val="clear" w:color="auto" w:fill="auto"/>
            <w:vAlign w:val="center"/>
          </w:tcPr>
          <w:p w:rsidR="0095055D" w:rsidRPr="004D435E" w:rsidRDefault="0095055D" w:rsidP="00423FAC">
            <w:pPr>
              <w:jc w:val="center"/>
              <w:rPr>
                <w:rFonts w:ascii="Arial Narrow" w:hAnsi="Arial Narrow"/>
                <w:sz w:val="20"/>
                <w:szCs w:val="20"/>
                <w:lang w:eastAsia="en-AU"/>
              </w:rPr>
            </w:pPr>
            <w:r w:rsidRPr="004D435E">
              <w:rPr>
                <w:rFonts w:ascii="Arial Narrow" w:hAnsi="Arial Narrow"/>
                <w:sz w:val="20"/>
                <w:szCs w:val="20"/>
                <w:lang w:eastAsia="en-AU"/>
              </w:rPr>
              <w:t xml:space="preserve">Predictive effect of PD-L1 status in non-squamous 0.63 (0.37, 1.10) </w:t>
            </w:r>
            <w:proofErr w:type="spellStart"/>
            <w:r w:rsidRPr="004D435E">
              <w:rPr>
                <w:rFonts w:ascii="Arial Narrow" w:hAnsi="Arial Narrow"/>
                <w:sz w:val="20"/>
                <w:szCs w:val="20"/>
                <w:lang w:eastAsia="en-AU"/>
              </w:rPr>
              <w:t>Vs</w:t>
            </w:r>
            <w:proofErr w:type="spellEnd"/>
            <w:r w:rsidRPr="004D435E">
              <w:rPr>
                <w:rFonts w:ascii="Arial Narrow" w:hAnsi="Arial Narrow"/>
                <w:sz w:val="20"/>
                <w:szCs w:val="20"/>
                <w:lang w:eastAsia="en-AU"/>
              </w:rPr>
              <w:t xml:space="preserve"> Predictive effect of PD-L1 status in squamous 1.10 (0.41, 2.97)</w:t>
            </w:r>
          </w:p>
          <w:p w:rsidR="0095055D" w:rsidRPr="004D435E" w:rsidRDefault="0095055D" w:rsidP="00423FAC">
            <w:pPr>
              <w:jc w:val="center"/>
              <w:rPr>
                <w:rFonts w:ascii="Arial Narrow" w:hAnsi="Arial Narrow"/>
                <w:b/>
                <w:sz w:val="20"/>
                <w:szCs w:val="20"/>
                <w:lang w:eastAsia="en-AU"/>
              </w:rPr>
            </w:pPr>
            <w:r w:rsidRPr="004D435E">
              <w:rPr>
                <w:rFonts w:ascii="Arial Narrow" w:hAnsi="Arial Narrow"/>
                <w:b/>
                <w:sz w:val="20"/>
                <w:szCs w:val="20"/>
                <w:lang w:eastAsia="en-AU"/>
              </w:rPr>
              <w:t xml:space="preserve">Ratio of HR ratios (95% CI):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 xml:space="preserve">, </w:t>
            </w:r>
            <w:r w:rsidR="00153EAE">
              <w:rPr>
                <w:rFonts w:ascii="Arial Narrow" w:hAnsi="Arial Narrow"/>
                <w:b/>
                <w:noProof/>
                <w:color w:val="000000"/>
                <w:sz w:val="20"/>
                <w:szCs w:val="20"/>
                <w:highlight w:val="black"/>
                <w:lang w:eastAsia="en-AU"/>
              </w:rPr>
              <w:t>''''''''</w:t>
            </w:r>
            <w:r w:rsidRPr="004D435E">
              <w:rPr>
                <w:rFonts w:ascii="Arial Narrow" w:hAnsi="Arial Narrow"/>
                <w:b/>
                <w:sz w:val="20"/>
                <w:szCs w:val="20"/>
                <w:lang w:eastAsia="en-AU"/>
              </w:rPr>
              <w:t>)</w:t>
            </w:r>
          </w:p>
        </w:tc>
      </w:tr>
    </w:tbl>
    <w:p w:rsidR="0095055D" w:rsidRPr="004D435E" w:rsidRDefault="0095055D" w:rsidP="00DF42DF">
      <w:pPr>
        <w:widowControl w:val="0"/>
        <w:ind w:left="709"/>
        <w:rPr>
          <w:rFonts w:ascii="Arial Narrow" w:hAnsi="Arial Narrow" w:cs="Arial"/>
          <w:snapToGrid w:val="0"/>
          <w:sz w:val="18"/>
          <w:szCs w:val="20"/>
          <w:highlight w:val="yellow"/>
        </w:rPr>
      </w:pPr>
      <w:r w:rsidRPr="004D435E">
        <w:rPr>
          <w:rFonts w:ascii="Arial Narrow" w:hAnsi="Arial Narrow" w:cs="Arial"/>
          <w:snapToGrid w:val="0"/>
          <w:sz w:val="18"/>
          <w:szCs w:val="20"/>
        </w:rPr>
        <w:t xml:space="preserve">– = not reached; CI = confidence interval; doc = </w:t>
      </w:r>
      <w:proofErr w:type="spellStart"/>
      <w:r w:rsidRPr="004D435E">
        <w:rPr>
          <w:rFonts w:ascii="Arial Narrow" w:hAnsi="Arial Narrow" w:cs="Arial"/>
          <w:snapToGrid w:val="0"/>
          <w:sz w:val="18"/>
          <w:szCs w:val="20"/>
        </w:rPr>
        <w:t>docetaxel</w:t>
      </w:r>
      <w:proofErr w:type="spellEnd"/>
      <w:r w:rsidRPr="004D435E">
        <w:rPr>
          <w:rFonts w:ascii="Arial Narrow" w:hAnsi="Arial Narrow" w:cs="Arial"/>
          <w:snapToGrid w:val="0"/>
          <w:sz w:val="18"/>
          <w:szCs w:val="20"/>
        </w:rPr>
        <w:t>; HR = hazard ratio; NR = not reported; PD-L1 = programmed death ligand 1; Q3W = every three weeks; TPS = tumour proportional score</w:t>
      </w:r>
      <w:r w:rsidR="00232CE0">
        <w:rPr>
          <w:rFonts w:ascii="Arial Narrow" w:hAnsi="Arial Narrow" w:cs="Arial"/>
          <w:snapToGrid w:val="0"/>
          <w:sz w:val="18"/>
          <w:szCs w:val="20"/>
        </w:rPr>
        <w:t>.</w:t>
      </w:r>
    </w:p>
    <w:p w:rsidR="0095055D" w:rsidRPr="004D435E" w:rsidRDefault="0095055D" w:rsidP="00DF42DF">
      <w:pPr>
        <w:widowControl w:val="0"/>
        <w:ind w:left="709"/>
        <w:rPr>
          <w:rFonts w:ascii="Arial Narrow" w:eastAsia="Calibri" w:hAnsi="Arial Narrow" w:cs="Arial"/>
          <w:snapToGrid w:val="0"/>
          <w:sz w:val="18"/>
          <w:szCs w:val="20"/>
        </w:rPr>
      </w:pPr>
      <w:r w:rsidRPr="004D435E">
        <w:rPr>
          <w:rFonts w:ascii="Arial Narrow" w:eastAsia="Calibri" w:hAnsi="Arial Narrow" w:cs="Arial"/>
          <w:snapToGrid w:val="0"/>
          <w:sz w:val="18"/>
          <w:szCs w:val="20"/>
        </w:rPr>
        <w:t>The approach by Altman et al (2003) was used to conduct tests for treatment effect variation during the evaluation.</w:t>
      </w:r>
    </w:p>
    <w:p w:rsidR="0095055D" w:rsidRPr="004D435E" w:rsidRDefault="0095055D" w:rsidP="00DF42DF">
      <w:pPr>
        <w:widowControl w:val="0"/>
        <w:ind w:left="709"/>
        <w:rPr>
          <w:rFonts w:ascii="Arial Narrow" w:hAnsi="Arial Narrow" w:cs="Arial"/>
          <w:snapToGrid w:val="0"/>
          <w:sz w:val="18"/>
          <w:szCs w:val="20"/>
        </w:rPr>
      </w:pPr>
      <w:r w:rsidRPr="004D435E">
        <w:rPr>
          <w:rFonts w:ascii="Arial Narrow" w:hAnsi="Arial Narrow" w:cs="Arial"/>
          <w:snapToGrid w:val="0"/>
          <w:sz w:val="18"/>
          <w:szCs w:val="20"/>
        </w:rPr>
        <w:t>Sources: Table 14-12, pp615-618, Figure 14.2.5-5, p812 and Figure 14.2.5-6, p813 of the KN-010 CSR; Table 9, pp50-55; Table 26, p97 and Table 30, p10</w:t>
      </w:r>
      <w:r w:rsidR="00232CE0">
        <w:rPr>
          <w:rFonts w:ascii="Arial Narrow" w:hAnsi="Arial Narrow" w:cs="Arial"/>
          <w:snapToGrid w:val="0"/>
          <w:sz w:val="18"/>
          <w:szCs w:val="20"/>
        </w:rPr>
        <w:t>1 Appendix 15 to the submission</w:t>
      </w:r>
    </w:p>
    <w:p w:rsidR="0095055D" w:rsidRPr="009015FA" w:rsidRDefault="0095055D" w:rsidP="006E6043">
      <w:pPr>
        <w:pStyle w:val="ListParagraph"/>
        <w:ind w:left="0" w:firstLine="0"/>
        <w:rPr>
          <w:rFonts w:ascii="Arial" w:hAnsi="Arial" w:cs="Arial"/>
          <w:sz w:val="22"/>
        </w:rPr>
      </w:pPr>
    </w:p>
    <w:p w:rsidR="00275A86" w:rsidRPr="00275A86" w:rsidRDefault="0095055D" w:rsidP="009C3A29">
      <w:pPr>
        <w:pStyle w:val="ListParagraph"/>
        <w:numPr>
          <w:ilvl w:val="1"/>
          <w:numId w:val="3"/>
        </w:numPr>
        <w:ind w:left="720"/>
        <w:rPr>
          <w:rFonts w:ascii="Arial" w:hAnsi="Arial" w:cs="Arial"/>
          <w:snapToGrid w:val="0"/>
          <w:sz w:val="22"/>
          <w:szCs w:val="20"/>
        </w:rPr>
      </w:pPr>
      <w:r w:rsidRPr="009015FA">
        <w:rPr>
          <w:rFonts w:ascii="Arial" w:hAnsi="Arial" w:cs="Arial"/>
          <w:iCs/>
          <w:snapToGrid w:val="0"/>
          <w:sz w:val="22"/>
          <w:szCs w:val="20"/>
        </w:rPr>
        <w:t xml:space="preserve">PD-L1 treatment effect modification (TPS ≥50% </w:t>
      </w:r>
      <w:proofErr w:type="spellStart"/>
      <w:r w:rsidRPr="009015FA">
        <w:rPr>
          <w:rFonts w:ascii="Arial" w:hAnsi="Arial" w:cs="Arial"/>
          <w:iCs/>
          <w:snapToGrid w:val="0"/>
          <w:sz w:val="22"/>
          <w:szCs w:val="20"/>
        </w:rPr>
        <w:t>vs</w:t>
      </w:r>
      <w:proofErr w:type="spellEnd"/>
      <w:r w:rsidRPr="009015FA">
        <w:rPr>
          <w:rFonts w:ascii="Arial" w:hAnsi="Arial" w:cs="Arial"/>
          <w:iCs/>
          <w:snapToGrid w:val="0"/>
          <w:sz w:val="22"/>
          <w:szCs w:val="20"/>
        </w:rPr>
        <w:t xml:space="preserve"> TPS 1‒49% expression) was not statistically significantly different between non-squamous </w:t>
      </w:r>
      <w:proofErr w:type="spellStart"/>
      <w:r w:rsidRPr="009015FA">
        <w:rPr>
          <w:rFonts w:ascii="Arial" w:hAnsi="Arial" w:cs="Arial"/>
          <w:iCs/>
          <w:snapToGrid w:val="0"/>
          <w:sz w:val="22"/>
          <w:szCs w:val="20"/>
        </w:rPr>
        <w:t>vs</w:t>
      </w:r>
      <w:proofErr w:type="spellEnd"/>
      <w:r w:rsidRPr="009015FA">
        <w:rPr>
          <w:rFonts w:ascii="Arial" w:hAnsi="Arial" w:cs="Arial"/>
          <w:iCs/>
          <w:snapToGrid w:val="0"/>
          <w:sz w:val="22"/>
          <w:szCs w:val="20"/>
        </w:rPr>
        <w:t xml:space="preserve"> squamous histology subtypes although the effect modification appeared more convincing for non-squamous NSCLC. These analyses are substantially limited by the small sample size of the squamous subgroup.</w:t>
      </w:r>
    </w:p>
    <w:p w:rsidR="00275A86" w:rsidRDefault="00275A86" w:rsidP="0094730D">
      <w:pPr>
        <w:pStyle w:val="ListParagraph"/>
        <w:ind w:left="0" w:firstLine="0"/>
        <w:rPr>
          <w:rFonts w:ascii="Arial" w:hAnsi="Arial" w:cs="Arial"/>
          <w:snapToGrid w:val="0"/>
          <w:sz w:val="22"/>
          <w:szCs w:val="20"/>
        </w:rPr>
      </w:pPr>
    </w:p>
    <w:p w:rsidR="00275A86" w:rsidRDefault="00275A86" w:rsidP="009C3A29">
      <w:pPr>
        <w:pStyle w:val="ListParagraph"/>
        <w:numPr>
          <w:ilvl w:val="1"/>
          <w:numId w:val="3"/>
        </w:numPr>
        <w:ind w:left="720"/>
        <w:rPr>
          <w:rFonts w:ascii="Arial" w:hAnsi="Arial" w:cs="Arial"/>
          <w:snapToGrid w:val="0"/>
          <w:sz w:val="22"/>
          <w:szCs w:val="20"/>
        </w:rPr>
      </w:pPr>
      <w:r>
        <w:rPr>
          <w:rFonts w:ascii="Arial" w:hAnsi="Arial" w:cs="Arial"/>
          <w:snapToGrid w:val="0"/>
          <w:sz w:val="22"/>
          <w:szCs w:val="20"/>
        </w:rPr>
        <w:t xml:space="preserve">The PBAC noted that the KN-010 trial was not statistically powered to detect a difference between pembrolizumab and </w:t>
      </w:r>
      <w:proofErr w:type="spellStart"/>
      <w:r>
        <w:rPr>
          <w:rFonts w:ascii="Arial" w:hAnsi="Arial" w:cs="Arial"/>
          <w:snapToGrid w:val="0"/>
          <w:sz w:val="22"/>
          <w:szCs w:val="20"/>
        </w:rPr>
        <w:t>docetaxel</w:t>
      </w:r>
      <w:proofErr w:type="spellEnd"/>
      <w:r>
        <w:rPr>
          <w:rFonts w:ascii="Arial" w:hAnsi="Arial" w:cs="Arial"/>
          <w:snapToGrid w:val="0"/>
          <w:sz w:val="22"/>
          <w:szCs w:val="20"/>
        </w:rPr>
        <w:t xml:space="preserve"> by histology </w:t>
      </w:r>
      <w:r w:rsidR="00636175">
        <w:rPr>
          <w:rFonts w:ascii="Arial" w:hAnsi="Arial" w:cs="Arial"/>
          <w:snapToGrid w:val="0"/>
          <w:sz w:val="22"/>
          <w:szCs w:val="20"/>
        </w:rPr>
        <w:t xml:space="preserve">subgroups </w:t>
      </w:r>
      <w:r>
        <w:rPr>
          <w:rFonts w:ascii="Arial" w:hAnsi="Arial" w:cs="Arial"/>
          <w:snapToGrid w:val="0"/>
          <w:sz w:val="22"/>
          <w:szCs w:val="20"/>
        </w:rPr>
        <w:t xml:space="preserve">and </w:t>
      </w:r>
      <w:proofErr w:type="gramStart"/>
      <w:r>
        <w:rPr>
          <w:rFonts w:ascii="Arial" w:hAnsi="Arial" w:cs="Arial"/>
          <w:snapToGrid w:val="0"/>
          <w:sz w:val="22"/>
          <w:szCs w:val="20"/>
        </w:rPr>
        <w:t>that patients</w:t>
      </w:r>
      <w:proofErr w:type="gramEnd"/>
      <w:r>
        <w:rPr>
          <w:rFonts w:ascii="Arial" w:hAnsi="Arial" w:cs="Arial"/>
          <w:snapToGrid w:val="0"/>
          <w:sz w:val="22"/>
          <w:szCs w:val="20"/>
        </w:rPr>
        <w:t xml:space="preserve"> </w:t>
      </w:r>
      <w:r w:rsidR="0094730D">
        <w:rPr>
          <w:rFonts w:ascii="Arial" w:hAnsi="Arial" w:cs="Arial"/>
          <w:snapToGrid w:val="0"/>
          <w:sz w:val="22"/>
          <w:szCs w:val="20"/>
        </w:rPr>
        <w:t xml:space="preserve">with squamous NSCLC </w:t>
      </w:r>
      <w:r>
        <w:rPr>
          <w:rFonts w:ascii="Arial" w:hAnsi="Arial" w:cs="Arial"/>
          <w:snapToGrid w:val="0"/>
          <w:sz w:val="22"/>
          <w:szCs w:val="20"/>
        </w:rPr>
        <w:t xml:space="preserve">formed only 21% of the </w:t>
      </w:r>
      <w:r w:rsidR="00636175">
        <w:rPr>
          <w:rFonts w:ascii="Arial" w:hAnsi="Arial" w:cs="Arial"/>
          <w:snapToGrid w:val="0"/>
          <w:sz w:val="22"/>
          <w:szCs w:val="20"/>
        </w:rPr>
        <w:t xml:space="preserve">ITT </w:t>
      </w:r>
      <w:r>
        <w:rPr>
          <w:rFonts w:ascii="Arial" w:hAnsi="Arial" w:cs="Arial"/>
          <w:snapToGrid w:val="0"/>
          <w:sz w:val="22"/>
          <w:szCs w:val="20"/>
        </w:rPr>
        <w:t xml:space="preserve">trial population. </w:t>
      </w:r>
      <w:r w:rsidR="00675E36">
        <w:rPr>
          <w:rFonts w:ascii="Arial" w:hAnsi="Arial" w:cs="Arial"/>
          <w:snapToGrid w:val="0"/>
          <w:sz w:val="22"/>
          <w:szCs w:val="20"/>
        </w:rPr>
        <w:t>The PBAC considered that the effect</w:t>
      </w:r>
      <w:r w:rsidR="00246FFB">
        <w:rPr>
          <w:rFonts w:ascii="Arial" w:hAnsi="Arial" w:cs="Arial"/>
          <w:snapToGrid w:val="0"/>
          <w:sz w:val="22"/>
          <w:szCs w:val="20"/>
        </w:rPr>
        <w:t>iveness</w:t>
      </w:r>
      <w:r w:rsidR="00675E36">
        <w:rPr>
          <w:rFonts w:ascii="Arial" w:hAnsi="Arial" w:cs="Arial"/>
          <w:snapToGrid w:val="0"/>
          <w:sz w:val="22"/>
          <w:szCs w:val="20"/>
        </w:rPr>
        <w:t xml:space="preserve"> of pembrolizumab was likely to be similar for both squamous and non-squamous </w:t>
      </w:r>
      <w:r w:rsidR="005118C7" w:rsidRPr="009015FA">
        <w:rPr>
          <w:rFonts w:ascii="Arial" w:hAnsi="Arial" w:cs="Arial"/>
          <w:sz w:val="22"/>
        </w:rPr>
        <w:t xml:space="preserve">PD-L1 positive </w:t>
      </w:r>
      <w:r w:rsidR="00675E36">
        <w:rPr>
          <w:rFonts w:ascii="Arial" w:hAnsi="Arial" w:cs="Arial"/>
          <w:snapToGrid w:val="0"/>
          <w:sz w:val="22"/>
          <w:szCs w:val="20"/>
        </w:rPr>
        <w:t>NSCLC</w:t>
      </w:r>
      <w:r w:rsidR="0094730D">
        <w:rPr>
          <w:rFonts w:ascii="Arial" w:hAnsi="Arial" w:cs="Arial"/>
          <w:snapToGrid w:val="0"/>
          <w:sz w:val="22"/>
          <w:szCs w:val="20"/>
        </w:rPr>
        <w:t>, but that the incremental effect</w:t>
      </w:r>
      <w:r w:rsidR="00246FFB">
        <w:rPr>
          <w:rFonts w:ascii="Arial" w:hAnsi="Arial" w:cs="Arial"/>
          <w:snapToGrid w:val="0"/>
          <w:sz w:val="22"/>
          <w:szCs w:val="20"/>
        </w:rPr>
        <w:t>iveness</w:t>
      </w:r>
      <w:r w:rsidR="0094730D">
        <w:rPr>
          <w:rFonts w:ascii="Arial" w:hAnsi="Arial" w:cs="Arial"/>
          <w:snapToGrid w:val="0"/>
          <w:sz w:val="22"/>
          <w:szCs w:val="20"/>
        </w:rPr>
        <w:t xml:space="preserve"> would vary due to the different comparator</w:t>
      </w:r>
      <w:r w:rsidR="00246FFB">
        <w:rPr>
          <w:rFonts w:ascii="Arial" w:hAnsi="Arial" w:cs="Arial"/>
          <w:snapToGrid w:val="0"/>
          <w:sz w:val="22"/>
          <w:szCs w:val="20"/>
        </w:rPr>
        <w:t>s</w:t>
      </w:r>
      <w:r w:rsidR="009A4786">
        <w:rPr>
          <w:rFonts w:ascii="Arial" w:hAnsi="Arial" w:cs="Arial"/>
          <w:snapToGrid w:val="0"/>
          <w:sz w:val="22"/>
          <w:szCs w:val="20"/>
        </w:rPr>
        <w:t xml:space="preserve"> across these histology subgroups</w:t>
      </w:r>
      <w:r w:rsidR="00675E36">
        <w:rPr>
          <w:rFonts w:ascii="Arial" w:hAnsi="Arial" w:cs="Arial"/>
          <w:snapToGrid w:val="0"/>
          <w:sz w:val="22"/>
          <w:szCs w:val="20"/>
        </w:rPr>
        <w:t>.</w:t>
      </w:r>
    </w:p>
    <w:p w:rsidR="0094730D" w:rsidRPr="00275A86" w:rsidRDefault="0094730D" w:rsidP="0094730D">
      <w:pPr>
        <w:pStyle w:val="ListParagraph"/>
        <w:ind w:left="0" w:firstLine="0"/>
        <w:rPr>
          <w:rFonts w:ascii="Arial" w:hAnsi="Arial" w:cs="Arial"/>
          <w:snapToGrid w:val="0"/>
          <w:sz w:val="22"/>
          <w:szCs w:val="20"/>
        </w:rPr>
      </w:pPr>
    </w:p>
    <w:p w:rsidR="0095055D" w:rsidRDefault="0095055D" w:rsidP="0094730D">
      <w:pPr>
        <w:pStyle w:val="Heading4"/>
        <w:spacing w:before="0" w:after="0"/>
        <w:rPr>
          <w:rFonts w:ascii="Arial" w:hAnsi="Arial" w:cs="Arial"/>
          <w:b w:val="0"/>
          <w:i w:val="0"/>
          <w:sz w:val="22"/>
          <w:u w:val="single"/>
        </w:rPr>
      </w:pPr>
      <w:r w:rsidRPr="00C433C8">
        <w:rPr>
          <w:rFonts w:ascii="Arial" w:hAnsi="Arial" w:cs="Arial"/>
          <w:b w:val="0"/>
          <w:i w:val="0"/>
          <w:sz w:val="22"/>
          <w:u w:val="single"/>
        </w:rPr>
        <w:t xml:space="preserve">Indirect comparison between pembrolizumab and </w:t>
      </w:r>
      <w:proofErr w:type="spellStart"/>
      <w:r w:rsidRPr="00C433C8">
        <w:rPr>
          <w:rFonts w:ascii="Arial" w:hAnsi="Arial" w:cs="Arial"/>
          <w:b w:val="0"/>
          <w:i w:val="0"/>
          <w:sz w:val="22"/>
          <w:u w:val="single"/>
        </w:rPr>
        <w:t>pemetrexed</w:t>
      </w:r>
      <w:proofErr w:type="spellEnd"/>
      <w:r w:rsidRPr="00C433C8">
        <w:rPr>
          <w:rFonts w:ascii="Arial" w:hAnsi="Arial" w:cs="Arial"/>
          <w:b w:val="0"/>
          <w:i w:val="0"/>
          <w:sz w:val="22"/>
          <w:u w:val="single"/>
        </w:rPr>
        <w:t xml:space="preserve"> for non-squamous NSCLC</w:t>
      </w:r>
    </w:p>
    <w:p w:rsidR="0094730D" w:rsidRPr="0094730D" w:rsidRDefault="0094730D" w:rsidP="0094730D">
      <w:pPr>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Table </w:t>
      </w:r>
      <w:r w:rsidR="006405DD">
        <w:rPr>
          <w:rFonts w:ascii="Arial" w:hAnsi="Arial" w:cs="Arial"/>
          <w:sz w:val="22"/>
        </w:rPr>
        <w:t>9</w:t>
      </w:r>
      <w:r w:rsidRPr="009015FA">
        <w:rPr>
          <w:rFonts w:ascii="Arial" w:hAnsi="Arial" w:cs="Arial"/>
          <w:sz w:val="22"/>
        </w:rPr>
        <w:t xml:space="preserve"> summarises the results of the indirect comparison between pembrolizumab (PD-L1 TPS ≥50%) and </w:t>
      </w:r>
      <w:proofErr w:type="spellStart"/>
      <w:r w:rsidRPr="009015FA">
        <w:rPr>
          <w:rFonts w:ascii="Arial" w:hAnsi="Arial" w:cs="Arial"/>
          <w:sz w:val="22"/>
        </w:rPr>
        <w:t>pemetrexed</w:t>
      </w:r>
      <w:proofErr w:type="spellEnd"/>
      <w:r w:rsidRPr="009015FA">
        <w:rPr>
          <w:rFonts w:ascii="Arial" w:hAnsi="Arial" w:cs="Arial"/>
          <w:sz w:val="22"/>
        </w:rPr>
        <w:t xml:space="preserve"> (unselected for PD-L1 expression) with </w:t>
      </w:r>
      <w:proofErr w:type="spellStart"/>
      <w:r w:rsidRPr="009015FA">
        <w:rPr>
          <w:rFonts w:ascii="Arial" w:hAnsi="Arial" w:cs="Arial"/>
          <w:sz w:val="22"/>
        </w:rPr>
        <w:t>docetaxel</w:t>
      </w:r>
      <w:proofErr w:type="spellEnd"/>
      <w:r w:rsidRPr="009015FA">
        <w:rPr>
          <w:rFonts w:ascii="Arial" w:hAnsi="Arial" w:cs="Arial"/>
          <w:sz w:val="22"/>
        </w:rPr>
        <w:t xml:space="preserve"> as the common reference in non-squamous NSCLC (including large-cel</w:t>
      </w:r>
      <w:r w:rsidR="006E6043" w:rsidRPr="009015FA">
        <w:rPr>
          <w:rFonts w:ascii="Arial" w:hAnsi="Arial" w:cs="Arial"/>
          <w:sz w:val="22"/>
        </w:rPr>
        <w:t>l and adenocarcinoma subtypes).</w:t>
      </w:r>
    </w:p>
    <w:p w:rsidR="0095055D" w:rsidRPr="004D435E" w:rsidRDefault="0095055D" w:rsidP="00A36DD4">
      <w:pPr>
        <w:rPr>
          <w:rFonts w:ascii="Arial" w:hAnsi="Arial" w:cs="Arial"/>
          <w:sz w:val="22"/>
          <w:szCs w:val="22"/>
        </w:rPr>
      </w:pPr>
    </w:p>
    <w:p w:rsidR="0095055D" w:rsidRPr="002D53DE" w:rsidRDefault="0095055D" w:rsidP="00DF42DF">
      <w:pPr>
        <w:pStyle w:val="TableHeading0"/>
        <w:ind w:left="720"/>
      </w:pPr>
      <w:r w:rsidRPr="000406A2">
        <w:t xml:space="preserve">Table </w:t>
      </w:r>
      <w:r w:rsidR="006405DD">
        <w:t>9</w:t>
      </w:r>
      <w:r>
        <w:t xml:space="preserve">: </w:t>
      </w:r>
      <w:r w:rsidRPr="002D53DE">
        <w:t>OS: Indirect comparison of pembrolizumab (PD-L1</w:t>
      </w:r>
      <w:r w:rsidR="007B2326">
        <w:t xml:space="preserve"> </w:t>
      </w:r>
      <w:r w:rsidRPr="002D53DE">
        <w:t xml:space="preserve">≥50%) </w:t>
      </w:r>
      <w:proofErr w:type="spellStart"/>
      <w:r w:rsidRPr="002D53DE">
        <w:t>vs</w:t>
      </w:r>
      <w:proofErr w:type="spellEnd"/>
      <w:r w:rsidRPr="002D53DE">
        <w:t xml:space="preserve"> </w:t>
      </w:r>
      <w:proofErr w:type="spellStart"/>
      <w:r w:rsidRPr="002D53DE">
        <w:t>pemetrexed</w:t>
      </w:r>
      <w:proofErr w:type="spellEnd"/>
      <w:r w:rsidRPr="002D53DE">
        <w:t xml:space="preserve"> (unselected PD-L1) in all non-squamous NSCLC patients</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4"/>
        <w:gridCol w:w="1557"/>
        <w:gridCol w:w="1173"/>
        <w:gridCol w:w="1253"/>
        <w:gridCol w:w="1156"/>
        <w:gridCol w:w="1521"/>
      </w:tblGrid>
      <w:tr w:rsidR="0095055D" w:rsidRPr="002D53DE" w:rsidTr="00DF42DF">
        <w:trPr>
          <w:trHeight w:val="70"/>
        </w:trPr>
        <w:tc>
          <w:tcPr>
            <w:tcW w:w="1019" w:type="pct"/>
            <w:vMerge w:val="restar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p>
        </w:tc>
        <w:tc>
          <w:tcPr>
            <w:tcW w:w="1632"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vertAlign w:val="superscript"/>
                <w:lang w:eastAsia="en-AU"/>
              </w:rPr>
            </w:pPr>
            <w:proofErr w:type="spellStart"/>
            <w:r w:rsidRPr="00025906">
              <w:rPr>
                <w:rFonts w:ascii="Arial Narrow" w:hAnsi="Arial Narrow"/>
                <w:b/>
                <w:sz w:val="20"/>
                <w:szCs w:val="20"/>
                <w:lang w:eastAsia="en-AU"/>
              </w:rPr>
              <w:t>Pembrolizumab</w:t>
            </w:r>
            <w:r w:rsidRPr="00025906">
              <w:rPr>
                <w:rFonts w:ascii="Arial Narrow" w:hAnsi="Arial Narrow"/>
                <w:b/>
                <w:sz w:val="20"/>
                <w:szCs w:val="20"/>
                <w:vertAlign w:val="superscript"/>
                <w:lang w:eastAsia="en-AU"/>
              </w:rPr>
              <w:t>a</w:t>
            </w:r>
            <w:proofErr w:type="spellEnd"/>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2 mg/kg, PD-L1 ≥50%</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KN-010 trial</w:t>
            </w:r>
          </w:p>
        </w:tc>
        <w:tc>
          <w:tcPr>
            <w:tcW w:w="1440"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Pemetrexed</w:t>
            </w:r>
            <w:proofErr w:type="spellEnd"/>
            <w:r w:rsidRPr="00025906">
              <w:rPr>
                <w:rFonts w:ascii="Arial Narrow" w:hAnsi="Arial Narrow"/>
                <w:b/>
                <w:sz w:val="20"/>
                <w:szCs w:val="20"/>
                <w:lang w:eastAsia="en-AU"/>
              </w:rPr>
              <w:t xml:space="preserve"> trial</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Unselected for PD-L1</w:t>
            </w:r>
          </w:p>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Scagliotti</w:t>
            </w:r>
            <w:proofErr w:type="spellEnd"/>
            <w:r w:rsidRPr="00025906">
              <w:rPr>
                <w:rFonts w:ascii="Arial Narrow" w:hAnsi="Arial Narrow"/>
                <w:b/>
                <w:sz w:val="20"/>
                <w:szCs w:val="20"/>
                <w:lang w:eastAsia="en-AU"/>
              </w:rPr>
              <w:t xml:space="preserve"> (2009)</w:t>
            </w:r>
            <w:r w:rsidRPr="00025906">
              <w:rPr>
                <w:rFonts w:ascii="Arial Narrow" w:hAnsi="Arial Narrow"/>
                <w:b/>
                <w:sz w:val="20"/>
                <w:szCs w:val="20"/>
                <w:vertAlign w:val="superscript"/>
                <w:lang w:eastAsia="en-AU"/>
              </w:rPr>
              <w:t>b</w:t>
            </w:r>
          </w:p>
        </w:tc>
        <w:tc>
          <w:tcPr>
            <w:tcW w:w="909" w:type="pct"/>
            <w:vMerge w:val="restar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Indirect treatment effect</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 xml:space="preserve">Pembrolizumab </w:t>
            </w:r>
            <w:proofErr w:type="spellStart"/>
            <w:r w:rsidRPr="00025906">
              <w:rPr>
                <w:rFonts w:ascii="Arial Narrow" w:hAnsi="Arial Narrow"/>
                <w:b/>
                <w:sz w:val="20"/>
                <w:szCs w:val="20"/>
                <w:lang w:eastAsia="en-AU"/>
              </w:rPr>
              <w:t>vs</w:t>
            </w:r>
            <w:proofErr w:type="spellEnd"/>
            <w:r w:rsidRPr="00025906">
              <w:rPr>
                <w:rFonts w:ascii="Arial Narrow" w:hAnsi="Arial Narrow"/>
                <w:b/>
                <w:sz w:val="20"/>
                <w:szCs w:val="20"/>
                <w:lang w:eastAsia="en-AU"/>
              </w:rPr>
              <w:t xml:space="preserve"> </w:t>
            </w:r>
            <w:proofErr w:type="spellStart"/>
            <w:r w:rsidR="004D435E">
              <w:rPr>
                <w:rFonts w:ascii="Arial Narrow" w:hAnsi="Arial Narrow"/>
                <w:b/>
                <w:sz w:val="20"/>
                <w:szCs w:val="20"/>
                <w:lang w:eastAsia="en-AU"/>
              </w:rPr>
              <w:t>p</w:t>
            </w:r>
            <w:r w:rsidRPr="00025906">
              <w:rPr>
                <w:rFonts w:ascii="Arial Narrow" w:hAnsi="Arial Narrow"/>
                <w:b/>
                <w:sz w:val="20"/>
                <w:szCs w:val="20"/>
                <w:lang w:eastAsia="en-AU"/>
              </w:rPr>
              <w:t>emetrexed</w:t>
            </w:r>
            <w:proofErr w:type="spellEnd"/>
          </w:p>
        </w:tc>
      </w:tr>
      <w:tr w:rsidR="0095055D" w:rsidRPr="002D53DE" w:rsidTr="00DF42DF">
        <w:trPr>
          <w:trHeight w:val="70"/>
        </w:trPr>
        <w:tc>
          <w:tcPr>
            <w:tcW w:w="1019" w:type="pct"/>
            <w:vMerge/>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p>
        </w:tc>
        <w:tc>
          <w:tcPr>
            <w:tcW w:w="931" w:type="pct"/>
            <w:shd w:val="clear" w:color="auto" w:fill="auto"/>
            <w:tcMar>
              <w:top w:w="28" w:type="dxa"/>
              <w:left w:w="28" w:type="dxa"/>
              <w:bottom w:w="28" w:type="dxa"/>
              <w:right w:w="28" w:type="dxa"/>
            </w:tcMar>
            <w:vAlign w:val="center"/>
          </w:tcPr>
          <w:p w:rsidR="0095055D" w:rsidRPr="00025906" w:rsidRDefault="006E6043" w:rsidP="00DF42DF">
            <w:pPr>
              <w:jc w:val="center"/>
              <w:rPr>
                <w:rFonts w:ascii="Arial Narrow" w:hAnsi="Arial Narrow"/>
                <w:b/>
                <w:sz w:val="20"/>
                <w:szCs w:val="20"/>
                <w:lang w:eastAsia="en-AU"/>
              </w:rPr>
            </w:pPr>
            <w:r>
              <w:rPr>
                <w:rFonts w:ascii="Arial Narrow" w:hAnsi="Arial Narrow"/>
                <w:b/>
                <w:sz w:val="20"/>
                <w:szCs w:val="20"/>
                <w:lang w:eastAsia="en-AU"/>
              </w:rPr>
              <w:t>Pembrolizumab</w:t>
            </w:r>
          </w:p>
        </w:tc>
        <w:tc>
          <w:tcPr>
            <w:tcW w:w="70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Docetaxel</w:t>
            </w:r>
            <w:proofErr w:type="spellEnd"/>
          </w:p>
        </w:tc>
        <w:tc>
          <w:tcPr>
            <w:tcW w:w="749"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Pemetrexed</w:t>
            </w:r>
            <w:proofErr w:type="spellEnd"/>
          </w:p>
        </w:tc>
        <w:tc>
          <w:tcPr>
            <w:tcW w:w="69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Docetaxel</w:t>
            </w:r>
            <w:proofErr w:type="spellEnd"/>
          </w:p>
        </w:tc>
        <w:tc>
          <w:tcPr>
            <w:tcW w:w="909"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
        </w:tc>
      </w:tr>
      <w:tr w:rsidR="0095055D" w:rsidRPr="002D53DE" w:rsidTr="00DF42DF">
        <w:trPr>
          <w:trHeight w:val="70"/>
        </w:trPr>
        <w:tc>
          <w:tcPr>
            <w:tcW w:w="1019" w:type="pct"/>
            <w:shd w:val="clear" w:color="auto" w:fill="auto"/>
            <w:tcMar>
              <w:top w:w="28" w:type="dxa"/>
              <w:left w:w="28" w:type="dxa"/>
              <w:bottom w:w="28" w:type="dxa"/>
              <w:right w:w="28" w:type="dxa"/>
            </w:tcMar>
            <w:vAlign w:val="center"/>
          </w:tcPr>
          <w:p w:rsidR="0095055D" w:rsidRPr="00025906" w:rsidRDefault="0095055D" w:rsidP="00DF42DF">
            <w:pPr>
              <w:keepNext/>
              <w:jc w:val="left"/>
              <w:rPr>
                <w:rFonts w:ascii="Arial Narrow" w:hAnsi="Arial Narrow"/>
                <w:sz w:val="20"/>
                <w:szCs w:val="20"/>
                <w:lang w:eastAsia="en-AU"/>
              </w:rPr>
            </w:pPr>
            <w:r w:rsidRPr="00025906">
              <w:rPr>
                <w:rFonts w:ascii="Arial Narrow" w:hAnsi="Arial Narrow"/>
                <w:sz w:val="20"/>
                <w:szCs w:val="20"/>
                <w:lang w:eastAsia="en-AU"/>
              </w:rPr>
              <w:t>N</w:t>
            </w:r>
          </w:p>
        </w:tc>
        <w:tc>
          <w:tcPr>
            <w:tcW w:w="931" w:type="pct"/>
            <w:shd w:val="clear" w:color="auto" w:fill="auto"/>
            <w:tcMar>
              <w:top w:w="28" w:type="dxa"/>
              <w:left w:w="28" w:type="dxa"/>
              <w:bottom w:w="28" w:type="dxa"/>
              <w:right w:w="28" w:type="dxa"/>
            </w:tcMar>
            <w:vAlign w:val="center"/>
          </w:tcPr>
          <w:p w:rsidR="0095055D" w:rsidRPr="00153EAE" w:rsidRDefault="00153EAE" w:rsidP="00DF42DF">
            <w:pPr>
              <w:keepNext/>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01" w:type="pct"/>
            <w:shd w:val="clear" w:color="auto" w:fill="auto"/>
            <w:tcMar>
              <w:top w:w="28" w:type="dxa"/>
              <w:left w:w="28" w:type="dxa"/>
              <w:bottom w:w="28" w:type="dxa"/>
              <w:right w:w="28" w:type="dxa"/>
            </w:tcMar>
            <w:vAlign w:val="center"/>
          </w:tcPr>
          <w:p w:rsidR="0095055D" w:rsidRPr="00153EAE" w:rsidRDefault="00153EAE" w:rsidP="00DF42DF">
            <w:pPr>
              <w:keepNext/>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49" w:type="pct"/>
            <w:shd w:val="clear" w:color="auto" w:fill="auto"/>
            <w:tcMar>
              <w:top w:w="28" w:type="dxa"/>
              <w:left w:w="28" w:type="dxa"/>
              <w:bottom w:w="28" w:type="dxa"/>
              <w:right w:w="28" w:type="dxa"/>
            </w:tcMar>
            <w:vAlign w:val="center"/>
          </w:tcPr>
          <w:p w:rsidR="0095055D" w:rsidRPr="00025906" w:rsidRDefault="0095055D" w:rsidP="00DF42DF">
            <w:pPr>
              <w:keepNext/>
              <w:jc w:val="center"/>
              <w:rPr>
                <w:rFonts w:ascii="Arial Narrow" w:hAnsi="Arial Narrow"/>
                <w:sz w:val="20"/>
                <w:szCs w:val="20"/>
                <w:lang w:eastAsia="en-AU"/>
              </w:rPr>
            </w:pPr>
            <w:r w:rsidRPr="00025906">
              <w:rPr>
                <w:rFonts w:ascii="Arial Narrow" w:hAnsi="Arial Narrow"/>
                <w:sz w:val="20"/>
                <w:szCs w:val="20"/>
                <w:lang w:eastAsia="en-AU"/>
              </w:rPr>
              <w:t>205</w:t>
            </w:r>
          </w:p>
        </w:tc>
        <w:tc>
          <w:tcPr>
            <w:tcW w:w="691" w:type="pct"/>
            <w:shd w:val="clear" w:color="auto" w:fill="auto"/>
            <w:tcMar>
              <w:top w:w="28" w:type="dxa"/>
              <w:left w:w="28" w:type="dxa"/>
              <w:bottom w:w="28" w:type="dxa"/>
              <w:right w:w="28" w:type="dxa"/>
            </w:tcMar>
            <w:vAlign w:val="center"/>
          </w:tcPr>
          <w:p w:rsidR="0095055D" w:rsidRPr="00025906" w:rsidRDefault="0095055D" w:rsidP="00DF42DF">
            <w:pPr>
              <w:keepNext/>
              <w:jc w:val="center"/>
              <w:rPr>
                <w:rFonts w:ascii="Arial Narrow" w:hAnsi="Arial Narrow"/>
                <w:sz w:val="20"/>
                <w:szCs w:val="20"/>
                <w:lang w:eastAsia="en-AU"/>
              </w:rPr>
            </w:pPr>
            <w:r w:rsidRPr="00025906">
              <w:rPr>
                <w:rFonts w:ascii="Arial Narrow" w:hAnsi="Arial Narrow"/>
                <w:sz w:val="20"/>
                <w:szCs w:val="20"/>
                <w:lang w:eastAsia="en-AU"/>
              </w:rPr>
              <w:t>194</w:t>
            </w:r>
          </w:p>
        </w:tc>
        <w:tc>
          <w:tcPr>
            <w:tcW w:w="909" w:type="pct"/>
            <w:vMerge w:val="restar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019" w:type="pct"/>
            <w:shd w:val="clear" w:color="auto" w:fill="auto"/>
            <w:tcMar>
              <w:top w:w="28" w:type="dxa"/>
              <w:left w:w="28" w:type="dxa"/>
              <w:bottom w:w="28" w:type="dxa"/>
              <w:right w:w="28" w:type="dxa"/>
            </w:tcMar>
            <w:vAlign w:val="center"/>
          </w:tcPr>
          <w:p w:rsidR="0095055D" w:rsidRPr="00025906" w:rsidRDefault="0095055D" w:rsidP="00DF42DF">
            <w:pPr>
              <w:keepNext/>
              <w:jc w:val="left"/>
              <w:rPr>
                <w:rFonts w:ascii="Arial Narrow" w:hAnsi="Arial Narrow"/>
                <w:sz w:val="20"/>
                <w:szCs w:val="20"/>
                <w:lang w:eastAsia="en-AU"/>
              </w:rPr>
            </w:pPr>
            <w:r w:rsidRPr="00025906">
              <w:rPr>
                <w:rFonts w:ascii="Arial Narrow" w:hAnsi="Arial Narrow"/>
                <w:sz w:val="20"/>
                <w:szCs w:val="20"/>
                <w:lang w:eastAsia="en-AU"/>
              </w:rPr>
              <w:t>Number of events (%)</w:t>
            </w:r>
          </w:p>
        </w:tc>
        <w:tc>
          <w:tcPr>
            <w:tcW w:w="931" w:type="pct"/>
            <w:shd w:val="clear" w:color="auto" w:fill="auto"/>
            <w:tcMar>
              <w:top w:w="28" w:type="dxa"/>
              <w:left w:w="28" w:type="dxa"/>
              <w:bottom w:w="28" w:type="dxa"/>
              <w:right w:w="28" w:type="dxa"/>
            </w:tcMar>
            <w:vAlign w:val="center"/>
          </w:tcPr>
          <w:p w:rsidR="0095055D" w:rsidRPr="00025906" w:rsidRDefault="00153EAE" w:rsidP="00DF42DF">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6E6043">
              <w:rPr>
                <w:rFonts w:ascii="Arial Narrow" w:hAnsi="Arial Narrow"/>
                <w:sz w:val="20"/>
                <w:szCs w:val="20"/>
                <w:lang w:eastAsia="en-AU"/>
              </w:rPr>
              <w:t xml:space="preserve"> </w:t>
            </w:r>
            <w:r w:rsidR="0095055D" w:rsidRPr="00025906">
              <w:rPr>
                <w:rFonts w:ascii="Arial Narrow" w:hAnsi="Arial Narrow"/>
                <w:sz w:val="20"/>
                <w:szCs w:val="20"/>
                <w:lang w:eastAsia="en-AU"/>
              </w:rPr>
              <w:t>(</w:t>
            </w:r>
            <w:r>
              <w:rPr>
                <w:rFonts w:ascii="Arial Narrow" w:hAnsi="Arial Narrow"/>
                <w:noProof/>
                <w:color w:val="000000"/>
                <w:sz w:val="20"/>
                <w:szCs w:val="20"/>
                <w:highlight w:val="black"/>
                <w:lang w:eastAsia="en-AU"/>
              </w:rPr>
              <w:t>'''''''''''</w:t>
            </w:r>
            <w:r w:rsidR="0095055D" w:rsidRPr="00025906">
              <w:rPr>
                <w:rFonts w:ascii="Arial Narrow" w:hAnsi="Arial Narrow"/>
                <w:sz w:val="20"/>
                <w:szCs w:val="20"/>
                <w:lang w:eastAsia="en-AU"/>
              </w:rPr>
              <w:t>%)</w:t>
            </w:r>
          </w:p>
        </w:tc>
        <w:tc>
          <w:tcPr>
            <w:tcW w:w="701" w:type="pct"/>
            <w:shd w:val="clear" w:color="auto" w:fill="auto"/>
            <w:tcMar>
              <w:top w:w="28" w:type="dxa"/>
              <w:left w:w="28" w:type="dxa"/>
              <w:bottom w:w="28" w:type="dxa"/>
              <w:right w:w="28" w:type="dxa"/>
            </w:tcMar>
            <w:vAlign w:val="center"/>
          </w:tcPr>
          <w:p w:rsidR="0095055D" w:rsidRPr="00025906" w:rsidRDefault="00153EAE" w:rsidP="00DF42DF">
            <w:pPr>
              <w:jc w:val="center"/>
              <w:rPr>
                <w:rFonts w:ascii="Arial Narrow" w:hAnsi="Arial Narrow"/>
                <w:sz w:val="20"/>
                <w:szCs w:val="20"/>
                <w:lang w:eastAsia="en-AU"/>
              </w:rPr>
            </w:pPr>
            <w:r>
              <w:rPr>
                <w:rFonts w:ascii="Arial Narrow" w:hAnsi="Arial Narrow"/>
                <w:noProof/>
                <w:color w:val="000000"/>
                <w:sz w:val="20"/>
                <w:szCs w:val="20"/>
                <w:highlight w:val="black"/>
                <w:lang w:eastAsia="en-AU"/>
              </w:rPr>
              <w:t>'''''</w:t>
            </w:r>
            <w:r w:rsidR="006E6043">
              <w:rPr>
                <w:rFonts w:ascii="Arial Narrow" w:hAnsi="Arial Narrow"/>
                <w:sz w:val="20"/>
                <w:szCs w:val="20"/>
                <w:lang w:eastAsia="en-AU"/>
              </w:rPr>
              <w:t xml:space="preserve"> </w:t>
            </w:r>
            <w:r w:rsidR="0095055D" w:rsidRPr="00025906">
              <w:rPr>
                <w:rFonts w:ascii="Arial Narrow" w:hAnsi="Arial Narrow"/>
                <w:sz w:val="20"/>
                <w:szCs w:val="20"/>
                <w:lang w:eastAsia="en-AU"/>
              </w:rPr>
              <w:t>(</w:t>
            </w:r>
            <w:r>
              <w:rPr>
                <w:rFonts w:ascii="Arial Narrow" w:hAnsi="Arial Narrow"/>
                <w:noProof/>
                <w:color w:val="000000"/>
                <w:sz w:val="20"/>
                <w:szCs w:val="20"/>
                <w:highlight w:val="black"/>
                <w:lang w:eastAsia="en-AU"/>
              </w:rPr>
              <w:t>'''''''''''</w:t>
            </w:r>
            <w:r w:rsidR="0095055D" w:rsidRPr="00025906">
              <w:rPr>
                <w:rFonts w:ascii="Arial Narrow" w:hAnsi="Arial Narrow"/>
                <w:sz w:val="20"/>
                <w:szCs w:val="20"/>
                <w:lang w:eastAsia="en-AU"/>
              </w:rPr>
              <w:t>%)</w:t>
            </w:r>
          </w:p>
        </w:tc>
        <w:tc>
          <w:tcPr>
            <w:tcW w:w="749"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Not reported</w:t>
            </w:r>
          </w:p>
        </w:tc>
        <w:tc>
          <w:tcPr>
            <w:tcW w:w="69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Not reported</w:t>
            </w:r>
          </w:p>
        </w:tc>
        <w:tc>
          <w:tcPr>
            <w:tcW w:w="909"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019"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 xml:space="preserve">Median, months, </w:t>
            </w:r>
          </w:p>
          <w:p w:rsidR="0095055D" w:rsidRPr="00025906" w:rsidRDefault="0095055D" w:rsidP="00DF42DF">
            <w:pPr>
              <w:keepNext/>
              <w:jc w:val="left"/>
              <w:rPr>
                <w:rFonts w:ascii="Arial Narrow" w:hAnsi="Arial Narrow"/>
                <w:sz w:val="20"/>
                <w:szCs w:val="20"/>
                <w:lang w:eastAsia="en-AU"/>
              </w:rPr>
            </w:pPr>
            <w:r w:rsidRPr="00025906">
              <w:rPr>
                <w:rFonts w:ascii="Arial Narrow" w:hAnsi="Arial Narrow"/>
                <w:sz w:val="20"/>
                <w:szCs w:val="20"/>
                <w:lang w:eastAsia="en-AU"/>
              </w:rPr>
              <w:t>(95% CI)</w:t>
            </w:r>
          </w:p>
        </w:tc>
        <w:tc>
          <w:tcPr>
            <w:tcW w:w="93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15.8 (10.4, –)</w:t>
            </w:r>
          </w:p>
        </w:tc>
        <w:tc>
          <w:tcPr>
            <w:tcW w:w="70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8.2 (6.3, 10.7)</w:t>
            </w:r>
          </w:p>
        </w:tc>
        <w:tc>
          <w:tcPr>
            <w:tcW w:w="749"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9.3 (7.8, 9.7)</w:t>
            </w:r>
          </w:p>
        </w:tc>
        <w:tc>
          <w:tcPr>
            <w:tcW w:w="691"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8.0 (6.3, 9.3)</w:t>
            </w:r>
          </w:p>
        </w:tc>
        <w:tc>
          <w:tcPr>
            <w:tcW w:w="909"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019"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HR (95% CI)</w:t>
            </w:r>
          </w:p>
        </w:tc>
        <w:tc>
          <w:tcPr>
            <w:tcW w:w="1632"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0.47 (0.31, 0.70)</w:t>
            </w:r>
          </w:p>
        </w:tc>
        <w:tc>
          <w:tcPr>
            <w:tcW w:w="1440"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0.78 (0.61. 1.00)</w:t>
            </w:r>
          </w:p>
        </w:tc>
        <w:tc>
          <w:tcPr>
            <w:tcW w:w="909"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r w:rsidRPr="00025906">
              <w:rPr>
                <w:rFonts w:ascii="Arial Narrow" w:hAnsi="Arial Narrow"/>
                <w:sz w:val="20"/>
                <w:szCs w:val="20"/>
                <w:lang w:eastAsia="en-AU"/>
              </w:rPr>
              <w:t>0.60 (0.37, 0.97</w:t>
            </w:r>
            <w:r w:rsidRPr="00025906">
              <w:rPr>
                <w:rFonts w:ascii="Arial Narrow" w:hAnsi="Arial Narrow"/>
                <w:b/>
                <w:sz w:val="20"/>
                <w:szCs w:val="20"/>
                <w:lang w:eastAsia="en-AU"/>
              </w:rPr>
              <w:t>)</w:t>
            </w:r>
          </w:p>
        </w:tc>
      </w:tr>
    </w:tbl>
    <w:p w:rsidR="0095055D" w:rsidRPr="002D53DE" w:rsidRDefault="0095055D" w:rsidP="00DF42DF">
      <w:pPr>
        <w:widowControl w:val="0"/>
        <w:ind w:left="709"/>
        <w:rPr>
          <w:rFonts w:ascii="Arial Narrow" w:hAnsi="Arial Narrow" w:cs="Arial"/>
          <w:snapToGrid w:val="0"/>
          <w:sz w:val="18"/>
          <w:szCs w:val="18"/>
        </w:rPr>
      </w:pPr>
      <w:proofErr w:type="gramStart"/>
      <w:r w:rsidRPr="002D53DE">
        <w:rPr>
          <w:rFonts w:ascii="Arial Narrow" w:hAnsi="Arial Narrow" w:cs="Arial"/>
          <w:snapToGrid w:val="0"/>
          <w:sz w:val="18"/>
          <w:szCs w:val="18"/>
          <w:vertAlign w:val="superscript"/>
        </w:rPr>
        <w:t>a</w:t>
      </w:r>
      <w:proofErr w:type="gramEnd"/>
      <w:r w:rsidRPr="002D53DE">
        <w:rPr>
          <w:rFonts w:ascii="Arial Narrow" w:hAnsi="Arial Narrow" w:cs="Arial"/>
          <w:snapToGrid w:val="0"/>
          <w:sz w:val="18"/>
          <w:szCs w:val="18"/>
        </w:rPr>
        <w:t xml:space="preserve"> Non-squamous sub-group</w:t>
      </w:r>
    </w:p>
    <w:p w:rsidR="0095055D" w:rsidRPr="002D53DE" w:rsidRDefault="0095055D" w:rsidP="00DF42DF">
      <w:pPr>
        <w:widowControl w:val="0"/>
        <w:ind w:left="709"/>
        <w:rPr>
          <w:rFonts w:ascii="Arial Narrow" w:hAnsi="Arial Narrow" w:cs="Arial"/>
          <w:snapToGrid w:val="0"/>
          <w:sz w:val="18"/>
          <w:szCs w:val="18"/>
        </w:rPr>
      </w:pPr>
      <w:proofErr w:type="gramStart"/>
      <w:r w:rsidRPr="002D53DE">
        <w:rPr>
          <w:rFonts w:ascii="Arial Narrow" w:hAnsi="Arial Narrow" w:cs="Arial"/>
          <w:snapToGrid w:val="0"/>
          <w:sz w:val="18"/>
          <w:szCs w:val="18"/>
          <w:vertAlign w:val="superscript"/>
        </w:rPr>
        <w:t>b</w:t>
      </w:r>
      <w:proofErr w:type="gramEnd"/>
      <w:r w:rsidRPr="002D53DE">
        <w:rPr>
          <w:rFonts w:ascii="Arial Narrow" w:hAnsi="Arial Narrow" w:cs="Arial"/>
          <w:snapToGrid w:val="0"/>
          <w:sz w:val="18"/>
          <w:szCs w:val="18"/>
        </w:rPr>
        <w:t xml:space="preserve"> Retrospective analysis of non-squa</w:t>
      </w:r>
      <w:r w:rsidR="00232CE0">
        <w:rPr>
          <w:rFonts w:ascii="Arial Narrow" w:hAnsi="Arial Narrow" w:cs="Arial"/>
          <w:snapToGrid w:val="0"/>
          <w:sz w:val="18"/>
          <w:szCs w:val="18"/>
        </w:rPr>
        <w:t>mous subgroup from Hanna (2004)</w:t>
      </w:r>
    </w:p>
    <w:p w:rsidR="0095055D" w:rsidRPr="002D53DE" w:rsidRDefault="0095055D" w:rsidP="00DF42DF">
      <w:pPr>
        <w:widowControl w:val="0"/>
        <w:ind w:left="709"/>
        <w:rPr>
          <w:rFonts w:ascii="Arial Narrow" w:hAnsi="Arial Narrow" w:cs="Arial"/>
          <w:snapToGrid w:val="0"/>
          <w:sz w:val="18"/>
          <w:szCs w:val="18"/>
        </w:rPr>
      </w:pPr>
      <w:r>
        <w:rPr>
          <w:rFonts w:ascii="Arial Narrow" w:hAnsi="Arial Narrow" w:cs="Arial"/>
          <w:snapToGrid w:val="0"/>
          <w:sz w:val="18"/>
          <w:szCs w:val="18"/>
        </w:rPr>
        <w:t>–</w:t>
      </w:r>
      <w:r w:rsidRPr="002D53DE">
        <w:rPr>
          <w:rFonts w:ascii="Arial Narrow" w:hAnsi="Arial Narrow" w:cs="Arial"/>
          <w:snapToGrid w:val="0"/>
          <w:sz w:val="18"/>
          <w:szCs w:val="18"/>
        </w:rPr>
        <w:t xml:space="preserve"> = not reached; CI = confidence interval</w:t>
      </w:r>
      <w:r>
        <w:rPr>
          <w:rFonts w:ascii="Arial Narrow" w:hAnsi="Arial Narrow" w:cs="Arial"/>
          <w:snapToGrid w:val="0"/>
          <w:sz w:val="18"/>
          <w:szCs w:val="18"/>
        </w:rPr>
        <w:t>;</w:t>
      </w:r>
      <w:r w:rsidRPr="002D53DE">
        <w:rPr>
          <w:rFonts w:ascii="Arial Narrow" w:hAnsi="Arial Narrow" w:cs="Arial"/>
          <w:snapToGrid w:val="0"/>
          <w:sz w:val="18"/>
          <w:szCs w:val="18"/>
        </w:rPr>
        <w:t xml:space="preserve"> HR = hazard ratio; PD-L1 =</w:t>
      </w:r>
      <w:r>
        <w:rPr>
          <w:rFonts w:ascii="Arial Narrow" w:hAnsi="Arial Narrow" w:cs="Arial"/>
          <w:snapToGrid w:val="0"/>
          <w:sz w:val="18"/>
          <w:szCs w:val="18"/>
        </w:rPr>
        <w:t xml:space="preserve"> programmed death ligand 1</w:t>
      </w:r>
      <w:r w:rsidRPr="002D53DE">
        <w:rPr>
          <w:rFonts w:ascii="Arial Narrow" w:hAnsi="Arial Narrow" w:cs="Arial"/>
          <w:snapToGrid w:val="0"/>
          <w:sz w:val="18"/>
          <w:szCs w:val="18"/>
        </w:rPr>
        <w:t>.</w:t>
      </w:r>
    </w:p>
    <w:p w:rsidR="0095055D" w:rsidRPr="002D53DE" w:rsidRDefault="0095055D" w:rsidP="00DF42DF">
      <w:pPr>
        <w:widowControl w:val="0"/>
        <w:ind w:left="709"/>
        <w:rPr>
          <w:rFonts w:ascii="Arial Narrow" w:hAnsi="Arial Narrow" w:cs="Arial"/>
          <w:snapToGrid w:val="0"/>
          <w:sz w:val="18"/>
          <w:szCs w:val="18"/>
        </w:rPr>
      </w:pPr>
      <w:r w:rsidRPr="002D53DE">
        <w:rPr>
          <w:rFonts w:ascii="Arial Narrow" w:hAnsi="Arial Narrow" w:cs="Arial"/>
          <w:snapToGrid w:val="0"/>
          <w:sz w:val="18"/>
          <w:szCs w:val="18"/>
        </w:rPr>
        <w:t>Source: Table B.6-35, p164 and Table C.2-10, p269 of the Pembrolizumab submission; Table 4, p258 and F</w:t>
      </w:r>
      <w:r w:rsidR="00802E2E">
        <w:rPr>
          <w:rFonts w:ascii="Arial Narrow" w:hAnsi="Arial Narrow" w:cs="Arial"/>
          <w:snapToGrid w:val="0"/>
          <w:sz w:val="18"/>
          <w:szCs w:val="18"/>
        </w:rPr>
        <w:t xml:space="preserve">igure 2, p259 </w:t>
      </w:r>
      <w:proofErr w:type="spellStart"/>
      <w:r w:rsidR="00802E2E">
        <w:rPr>
          <w:rFonts w:ascii="Arial Narrow" w:hAnsi="Arial Narrow" w:cs="Arial"/>
          <w:snapToGrid w:val="0"/>
          <w:sz w:val="18"/>
          <w:szCs w:val="18"/>
        </w:rPr>
        <w:t>Scagliotti</w:t>
      </w:r>
      <w:proofErr w:type="spellEnd"/>
      <w:r w:rsidR="00802E2E">
        <w:rPr>
          <w:rFonts w:ascii="Arial Narrow" w:hAnsi="Arial Narrow" w:cs="Arial"/>
          <w:snapToGrid w:val="0"/>
          <w:sz w:val="18"/>
          <w:szCs w:val="18"/>
        </w:rPr>
        <w:t xml:space="preserve"> (2009)</w:t>
      </w:r>
    </w:p>
    <w:p w:rsidR="0095055D" w:rsidRPr="004D435E" w:rsidRDefault="0095055D" w:rsidP="004D435E">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Pembrolizumab 2 mg/kg was associated with a statistically significant </w:t>
      </w:r>
      <w:r w:rsidR="00B54739">
        <w:rPr>
          <w:rFonts w:ascii="Arial" w:hAnsi="Arial" w:cs="Arial"/>
          <w:sz w:val="22"/>
        </w:rPr>
        <w:t xml:space="preserve">gain in </w:t>
      </w:r>
      <w:r w:rsidRPr="009015FA">
        <w:rPr>
          <w:rFonts w:ascii="Arial" w:hAnsi="Arial" w:cs="Arial"/>
          <w:sz w:val="22"/>
        </w:rPr>
        <w:t xml:space="preserve">OS over </w:t>
      </w:r>
      <w:proofErr w:type="spellStart"/>
      <w:r w:rsidRPr="009015FA">
        <w:rPr>
          <w:rFonts w:ascii="Arial" w:hAnsi="Arial" w:cs="Arial"/>
          <w:sz w:val="22"/>
        </w:rPr>
        <w:t>pemetrexed</w:t>
      </w:r>
      <w:proofErr w:type="spellEnd"/>
      <w:r w:rsidRPr="009015FA">
        <w:rPr>
          <w:rFonts w:ascii="Arial" w:hAnsi="Arial" w:cs="Arial"/>
          <w:sz w:val="22"/>
        </w:rPr>
        <w:t xml:space="preserve"> (HR = 0.60; 95% CI (0.37, 0.97). The median OS in the pembrolizumab arm was approximately 16 months compared to 9 months in the </w:t>
      </w:r>
      <w:proofErr w:type="spellStart"/>
      <w:r w:rsidRPr="009015FA">
        <w:rPr>
          <w:rFonts w:ascii="Arial" w:hAnsi="Arial" w:cs="Arial"/>
          <w:sz w:val="22"/>
        </w:rPr>
        <w:t>pemetrexed</w:t>
      </w:r>
      <w:proofErr w:type="spellEnd"/>
      <w:r w:rsidRPr="009015FA">
        <w:rPr>
          <w:rFonts w:ascii="Arial" w:hAnsi="Arial" w:cs="Arial"/>
          <w:sz w:val="22"/>
        </w:rPr>
        <w:t xml:space="preserve"> arm with approximately 8 months in the </w:t>
      </w:r>
      <w:proofErr w:type="spellStart"/>
      <w:r w:rsidRPr="009015FA">
        <w:rPr>
          <w:rFonts w:ascii="Arial" w:hAnsi="Arial" w:cs="Arial"/>
          <w:sz w:val="22"/>
        </w:rPr>
        <w:t>docetaxel</w:t>
      </w:r>
      <w:proofErr w:type="spellEnd"/>
      <w:r w:rsidRPr="009015FA">
        <w:rPr>
          <w:rFonts w:ascii="Arial" w:hAnsi="Arial" w:cs="Arial"/>
          <w:sz w:val="22"/>
        </w:rPr>
        <w:t xml:space="preserve"> arms. An indirect analysis using all PD-L1 positive (TPS ≥1%) non-squamous patients did not show a clear </w:t>
      </w:r>
      <w:r w:rsidR="00A248F5">
        <w:rPr>
          <w:rFonts w:ascii="Arial" w:hAnsi="Arial" w:cs="Arial"/>
          <w:sz w:val="22"/>
        </w:rPr>
        <w:t xml:space="preserve">gain in </w:t>
      </w:r>
      <w:r w:rsidRPr="009015FA">
        <w:rPr>
          <w:rFonts w:ascii="Arial" w:hAnsi="Arial" w:cs="Arial"/>
          <w:sz w:val="22"/>
        </w:rPr>
        <w:t xml:space="preserve">OS associated with pembrolizumab over </w:t>
      </w:r>
      <w:proofErr w:type="spellStart"/>
      <w:r w:rsidRPr="009015FA">
        <w:rPr>
          <w:rFonts w:ascii="Arial" w:hAnsi="Arial" w:cs="Arial"/>
          <w:sz w:val="22"/>
        </w:rPr>
        <w:t>pemetrexed</w:t>
      </w:r>
      <w:proofErr w:type="spellEnd"/>
      <w:r w:rsidRPr="009015FA">
        <w:rPr>
          <w:rFonts w:ascii="Arial" w:hAnsi="Arial" w:cs="Arial"/>
          <w:sz w:val="22"/>
        </w:rPr>
        <w:t xml:space="preserve"> (HR = 0.86; 95% CI 0.61, 1.21).</w:t>
      </w:r>
    </w:p>
    <w:p w:rsidR="0095055D" w:rsidRPr="009015FA" w:rsidRDefault="0095055D" w:rsidP="003F79E2">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submission also presented an additional indirect comparison between pembrolizumab and </w:t>
      </w:r>
      <w:proofErr w:type="spellStart"/>
      <w:r w:rsidRPr="009015FA">
        <w:rPr>
          <w:rFonts w:ascii="Arial" w:hAnsi="Arial" w:cs="Arial"/>
          <w:sz w:val="22"/>
        </w:rPr>
        <w:t>pemetrexed</w:t>
      </w:r>
      <w:proofErr w:type="spellEnd"/>
      <w:r w:rsidRPr="009015FA">
        <w:rPr>
          <w:rFonts w:ascii="Arial" w:hAnsi="Arial" w:cs="Arial"/>
          <w:sz w:val="22"/>
        </w:rPr>
        <w:t xml:space="preserve"> using a narrower adenocarcinoma subgroup from both the KN-010 and </w:t>
      </w:r>
      <w:proofErr w:type="spellStart"/>
      <w:r w:rsidRPr="009015FA">
        <w:rPr>
          <w:rFonts w:ascii="Arial" w:hAnsi="Arial" w:cs="Arial"/>
          <w:sz w:val="22"/>
        </w:rPr>
        <w:t>Scagliotti</w:t>
      </w:r>
      <w:proofErr w:type="spellEnd"/>
      <w:r w:rsidRPr="009015FA">
        <w:rPr>
          <w:rFonts w:ascii="Arial" w:hAnsi="Arial" w:cs="Arial"/>
          <w:sz w:val="22"/>
        </w:rPr>
        <w:t xml:space="preserve"> datasets. The justification was that the composition of the non-squamous population was “heterogeneous” in terms </w:t>
      </w:r>
      <w:r w:rsidR="003F79E2" w:rsidRPr="009015FA">
        <w:rPr>
          <w:rFonts w:ascii="Arial" w:hAnsi="Arial" w:cs="Arial"/>
          <w:sz w:val="22"/>
        </w:rPr>
        <w:t xml:space="preserve">of </w:t>
      </w:r>
      <w:r w:rsidRPr="009015FA">
        <w:rPr>
          <w:rFonts w:ascii="Arial" w:hAnsi="Arial" w:cs="Arial"/>
          <w:sz w:val="22"/>
        </w:rPr>
        <w:t xml:space="preserve">large cell histology which favoured </w:t>
      </w:r>
      <w:proofErr w:type="spellStart"/>
      <w:r w:rsidRPr="009015FA">
        <w:rPr>
          <w:rFonts w:ascii="Arial" w:hAnsi="Arial" w:cs="Arial"/>
          <w:sz w:val="22"/>
        </w:rPr>
        <w:t>pemetrexed</w:t>
      </w:r>
      <w:proofErr w:type="spellEnd"/>
      <w:r w:rsidRPr="009015FA">
        <w:rPr>
          <w:rFonts w:ascii="Arial" w:hAnsi="Arial" w:cs="Arial"/>
          <w:sz w:val="22"/>
        </w:rPr>
        <w:t xml:space="preserve"> over </w:t>
      </w:r>
      <w:proofErr w:type="spellStart"/>
      <w:r w:rsidRPr="009015FA">
        <w:rPr>
          <w:rFonts w:ascii="Arial" w:hAnsi="Arial" w:cs="Arial"/>
          <w:sz w:val="22"/>
        </w:rPr>
        <w:t>docetaxel</w:t>
      </w:r>
      <w:proofErr w:type="spellEnd"/>
      <w:r w:rsidRPr="009015FA">
        <w:rPr>
          <w:rFonts w:ascii="Arial" w:hAnsi="Arial" w:cs="Arial"/>
          <w:sz w:val="22"/>
        </w:rPr>
        <w:t xml:space="preserve"> in the </w:t>
      </w:r>
      <w:proofErr w:type="spellStart"/>
      <w:r w:rsidRPr="009015FA">
        <w:rPr>
          <w:rFonts w:ascii="Arial" w:hAnsi="Arial" w:cs="Arial"/>
          <w:sz w:val="22"/>
        </w:rPr>
        <w:t>Scagliotti</w:t>
      </w:r>
      <w:proofErr w:type="spellEnd"/>
      <w:r w:rsidRPr="009015FA">
        <w:rPr>
          <w:rFonts w:ascii="Arial" w:hAnsi="Arial" w:cs="Arial"/>
          <w:sz w:val="22"/>
        </w:rPr>
        <w:t xml:space="preserve"> dataset. For patients in </w:t>
      </w:r>
      <w:proofErr w:type="spellStart"/>
      <w:r w:rsidRPr="009015FA">
        <w:rPr>
          <w:rFonts w:ascii="Arial" w:hAnsi="Arial" w:cs="Arial"/>
          <w:sz w:val="22"/>
        </w:rPr>
        <w:t>Scagliotti</w:t>
      </w:r>
      <w:proofErr w:type="spellEnd"/>
      <w:r w:rsidRPr="009015FA">
        <w:rPr>
          <w:rFonts w:ascii="Arial" w:hAnsi="Arial" w:cs="Arial"/>
          <w:sz w:val="22"/>
        </w:rPr>
        <w:t xml:space="preserve"> who had “other than Squamous” histology, 75% and 12% had adenocarcinoma and large cell carcinoma subtypes, respectively. These proportions were different in the KN-010 PD-L1 TPS ≥50% dataset (</w:t>
      </w:r>
      <w:r w:rsidR="00153EAE">
        <w:rPr>
          <w:rFonts w:ascii="Arial" w:hAnsi="Arial" w:cs="Arial"/>
          <w:noProof/>
          <w:color w:val="000000"/>
          <w:sz w:val="22"/>
          <w:highlight w:val="black"/>
        </w:rPr>
        <w:t>''''''</w:t>
      </w:r>
      <w:r w:rsidRPr="009015FA">
        <w:rPr>
          <w:rFonts w:ascii="Arial" w:hAnsi="Arial" w:cs="Arial"/>
          <w:sz w:val="22"/>
        </w:rPr>
        <w:t xml:space="preserve">% and </w:t>
      </w:r>
      <w:r w:rsidR="00153EAE">
        <w:rPr>
          <w:rFonts w:ascii="Arial" w:hAnsi="Arial" w:cs="Arial"/>
          <w:noProof/>
          <w:color w:val="000000"/>
          <w:sz w:val="22"/>
          <w:highlight w:val="black"/>
        </w:rPr>
        <w:t>'''</w:t>
      </w:r>
      <w:r w:rsidRPr="009015FA">
        <w:rPr>
          <w:rFonts w:ascii="Arial" w:hAnsi="Arial" w:cs="Arial"/>
          <w:sz w:val="22"/>
        </w:rPr>
        <w:t>%, respectively). The results are summarised in Table 1</w:t>
      </w:r>
      <w:r w:rsidR="006405DD">
        <w:rPr>
          <w:rFonts w:ascii="Arial" w:hAnsi="Arial" w:cs="Arial"/>
          <w:sz w:val="22"/>
        </w:rPr>
        <w:t>0</w:t>
      </w:r>
      <w:r w:rsidRPr="009015FA">
        <w:rPr>
          <w:rFonts w:ascii="Arial" w:hAnsi="Arial" w:cs="Arial"/>
          <w:sz w:val="22"/>
        </w:rPr>
        <w:t>.</w:t>
      </w:r>
    </w:p>
    <w:p w:rsidR="0095055D" w:rsidRPr="004D435E" w:rsidRDefault="0095055D" w:rsidP="00A36DD4">
      <w:pPr>
        <w:rPr>
          <w:rFonts w:ascii="Arial" w:hAnsi="Arial" w:cs="Arial"/>
          <w:sz w:val="22"/>
          <w:szCs w:val="22"/>
        </w:rPr>
      </w:pPr>
    </w:p>
    <w:p w:rsidR="0095055D" w:rsidRPr="002D53DE" w:rsidRDefault="0095055D" w:rsidP="00DF42DF">
      <w:pPr>
        <w:pStyle w:val="TableHeading0"/>
        <w:ind w:left="720"/>
      </w:pPr>
      <w:r w:rsidRPr="000406A2">
        <w:t>Table</w:t>
      </w:r>
      <w:r w:rsidR="00210DDC">
        <w:t xml:space="preserve"> </w:t>
      </w:r>
      <w:r w:rsidR="006405DD">
        <w:t>10</w:t>
      </w:r>
      <w:r>
        <w:t xml:space="preserve">: </w:t>
      </w:r>
      <w:r w:rsidRPr="002D53DE">
        <w:t xml:space="preserve">Overall Survival: Indirect comparison of pembrolizumab (PD-L1≥50%) </w:t>
      </w:r>
      <w:proofErr w:type="spellStart"/>
      <w:r w:rsidRPr="002D53DE">
        <w:t>vs</w:t>
      </w:r>
      <w:proofErr w:type="spellEnd"/>
      <w:r w:rsidRPr="002D53DE">
        <w:t xml:space="preserve"> </w:t>
      </w:r>
      <w:proofErr w:type="spellStart"/>
      <w:r w:rsidRPr="002D53DE">
        <w:t>pemetrexed</w:t>
      </w:r>
      <w:proofErr w:type="spellEnd"/>
      <w:r w:rsidRPr="002D53DE">
        <w:t xml:space="preserve"> (unselected PD-L1) in patients with adenocarcinoma only NSCLC</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1419"/>
        <w:gridCol w:w="1226"/>
        <w:gridCol w:w="1040"/>
        <w:gridCol w:w="1077"/>
        <w:gridCol w:w="1616"/>
      </w:tblGrid>
      <w:tr w:rsidR="0095055D" w:rsidRPr="002D53DE" w:rsidTr="00DF42DF">
        <w:trPr>
          <w:trHeight w:val="70"/>
        </w:trPr>
        <w:tc>
          <w:tcPr>
            <w:tcW w:w="1187" w:type="pct"/>
            <w:vMerge w:val="restar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p>
        </w:tc>
        <w:tc>
          <w:tcPr>
            <w:tcW w:w="1581"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vertAlign w:val="superscript"/>
                <w:lang w:eastAsia="en-AU"/>
              </w:rPr>
            </w:pPr>
            <w:proofErr w:type="spellStart"/>
            <w:r w:rsidRPr="00025906">
              <w:rPr>
                <w:rFonts w:ascii="Arial Narrow" w:hAnsi="Arial Narrow"/>
                <w:b/>
                <w:sz w:val="20"/>
                <w:szCs w:val="20"/>
                <w:lang w:eastAsia="en-AU"/>
              </w:rPr>
              <w:t>Pembrolizumab</w:t>
            </w:r>
            <w:r w:rsidRPr="00025906">
              <w:rPr>
                <w:rFonts w:ascii="Arial Narrow" w:hAnsi="Arial Narrow"/>
                <w:b/>
                <w:sz w:val="20"/>
                <w:szCs w:val="20"/>
                <w:vertAlign w:val="superscript"/>
                <w:lang w:eastAsia="en-AU"/>
              </w:rPr>
              <w:t>a</w:t>
            </w:r>
            <w:proofErr w:type="spellEnd"/>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2 mg/kg, PD-L1 ≥50%,</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KN-010 trial</w:t>
            </w:r>
          </w:p>
        </w:tc>
        <w:tc>
          <w:tcPr>
            <w:tcW w:w="1266"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Pemetrexed</w:t>
            </w:r>
            <w:proofErr w:type="spellEnd"/>
            <w:r w:rsidRPr="00025906">
              <w:rPr>
                <w:rFonts w:ascii="Arial Narrow" w:hAnsi="Arial Narrow"/>
                <w:b/>
                <w:sz w:val="20"/>
                <w:szCs w:val="20"/>
                <w:lang w:eastAsia="en-AU"/>
              </w:rPr>
              <w:t xml:space="preserve"> trial</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Unselected for PD-L1</w:t>
            </w:r>
          </w:p>
          <w:p w:rsidR="0095055D" w:rsidRPr="00025906" w:rsidRDefault="0095055D" w:rsidP="00DF42DF">
            <w:pPr>
              <w:jc w:val="center"/>
              <w:rPr>
                <w:rFonts w:ascii="Arial Narrow" w:hAnsi="Arial Narrow"/>
                <w:b/>
                <w:sz w:val="20"/>
                <w:szCs w:val="20"/>
                <w:vertAlign w:val="superscript"/>
                <w:lang w:eastAsia="en-AU"/>
              </w:rPr>
            </w:pPr>
            <w:proofErr w:type="spellStart"/>
            <w:r w:rsidRPr="00025906">
              <w:rPr>
                <w:rFonts w:ascii="Arial Narrow" w:hAnsi="Arial Narrow"/>
                <w:b/>
                <w:sz w:val="20"/>
                <w:szCs w:val="20"/>
                <w:lang w:eastAsia="en-AU"/>
              </w:rPr>
              <w:t>Scagliotti</w:t>
            </w:r>
            <w:proofErr w:type="spellEnd"/>
            <w:r w:rsidRPr="00025906">
              <w:rPr>
                <w:rFonts w:ascii="Arial Narrow" w:hAnsi="Arial Narrow"/>
                <w:b/>
                <w:sz w:val="20"/>
                <w:szCs w:val="20"/>
                <w:lang w:eastAsia="en-AU"/>
              </w:rPr>
              <w:t xml:space="preserve"> (2009)</w:t>
            </w:r>
            <w:r w:rsidRPr="00025906">
              <w:rPr>
                <w:rFonts w:ascii="Arial Narrow" w:hAnsi="Arial Narrow"/>
                <w:b/>
                <w:sz w:val="20"/>
                <w:szCs w:val="20"/>
                <w:vertAlign w:val="superscript"/>
                <w:lang w:eastAsia="en-AU"/>
              </w:rPr>
              <w:t>b</w:t>
            </w:r>
          </w:p>
        </w:tc>
        <w:tc>
          <w:tcPr>
            <w:tcW w:w="966" w:type="pct"/>
            <w:vMerge w:val="restar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Indirect treatment effect</w:t>
            </w:r>
          </w:p>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 xml:space="preserve">Pembrolizumab </w:t>
            </w:r>
            <w:proofErr w:type="spellStart"/>
            <w:r w:rsidRPr="00025906">
              <w:rPr>
                <w:rFonts w:ascii="Arial Narrow" w:hAnsi="Arial Narrow"/>
                <w:b/>
                <w:sz w:val="20"/>
                <w:szCs w:val="20"/>
                <w:lang w:eastAsia="en-AU"/>
              </w:rPr>
              <w:t>vs</w:t>
            </w:r>
            <w:proofErr w:type="spellEnd"/>
            <w:r w:rsidRPr="00025906">
              <w:rPr>
                <w:rFonts w:ascii="Arial Narrow" w:hAnsi="Arial Narrow"/>
                <w:b/>
                <w:sz w:val="20"/>
                <w:szCs w:val="20"/>
                <w:lang w:eastAsia="en-AU"/>
              </w:rPr>
              <w:t xml:space="preserve"> </w:t>
            </w:r>
            <w:proofErr w:type="spellStart"/>
            <w:r w:rsidR="004D435E">
              <w:rPr>
                <w:rFonts w:ascii="Arial Narrow" w:hAnsi="Arial Narrow"/>
                <w:b/>
                <w:sz w:val="20"/>
                <w:szCs w:val="20"/>
                <w:lang w:eastAsia="en-AU"/>
              </w:rPr>
              <w:t>p</w:t>
            </w:r>
            <w:r w:rsidRPr="00025906">
              <w:rPr>
                <w:rFonts w:ascii="Arial Narrow" w:hAnsi="Arial Narrow"/>
                <w:b/>
                <w:sz w:val="20"/>
                <w:szCs w:val="20"/>
                <w:lang w:eastAsia="en-AU"/>
              </w:rPr>
              <w:t>emetrexed</w:t>
            </w:r>
            <w:proofErr w:type="spellEnd"/>
          </w:p>
        </w:tc>
      </w:tr>
      <w:tr w:rsidR="0095055D" w:rsidRPr="002D53DE" w:rsidTr="00DF42DF">
        <w:trPr>
          <w:trHeight w:val="70"/>
        </w:trPr>
        <w:tc>
          <w:tcPr>
            <w:tcW w:w="1187" w:type="pct"/>
            <w:vMerge/>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p>
        </w:tc>
        <w:tc>
          <w:tcPr>
            <w:tcW w:w="848"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r w:rsidRPr="00025906">
              <w:rPr>
                <w:rFonts w:ascii="Arial Narrow" w:hAnsi="Arial Narrow"/>
                <w:b/>
                <w:sz w:val="20"/>
                <w:szCs w:val="20"/>
                <w:lang w:eastAsia="en-AU"/>
              </w:rPr>
              <w:t>Pembrolizumab</w:t>
            </w:r>
          </w:p>
        </w:tc>
        <w:tc>
          <w:tcPr>
            <w:tcW w:w="733"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Docetaxel</w:t>
            </w:r>
            <w:proofErr w:type="spellEnd"/>
          </w:p>
        </w:tc>
        <w:tc>
          <w:tcPr>
            <w:tcW w:w="622"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Pemetrexed</w:t>
            </w:r>
            <w:proofErr w:type="spellEnd"/>
          </w:p>
        </w:tc>
        <w:tc>
          <w:tcPr>
            <w:tcW w:w="644"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roofErr w:type="spellStart"/>
            <w:r w:rsidRPr="00025906">
              <w:rPr>
                <w:rFonts w:ascii="Arial Narrow" w:hAnsi="Arial Narrow"/>
                <w:b/>
                <w:sz w:val="20"/>
                <w:szCs w:val="20"/>
                <w:lang w:eastAsia="en-AU"/>
              </w:rPr>
              <w:t>Docetaxel</w:t>
            </w:r>
            <w:proofErr w:type="spellEnd"/>
          </w:p>
        </w:tc>
        <w:tc>
          <w:tcPr>
            <w:tcW w:w="966"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b/>
                <w:sz w:val="20"/>
                <w:szCs w:val="20"/>
                <w:lang w:eastAsia="en-AU"/>
              </w:rPr>
            </w:pPr>
          </w:p>
        </w:tc>
      </w:tr>
      <w:tr w:rsidR="0095055D" w:rsidRPr="002D53DE" w:rsidTr="00DF42DF">
        <w:trPr>
          <w:trHeight w:val="70"/>
        </w:trPr>
        <w:tc>
          <w:tcPr>
            <w:tcW w:w="1187"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N</w:t>
            </w:r>
          </w:p>
        </w:tc>
        <w:tc>
          <w:tcPr>
            <w:tcW w:w="848" w:type="pct"/>
            <w:shd w:val="clear" w:color="auto" w:fill="auto"/>
            <w:tcMar>
              <w:top w:w="28" w:type="dxa"/>
              <w:left w:w="28" w:type="dxa"/>
              <w:bottom w:w="28" w:type="dxa"/>
              <w:right w:w="28" w:type="dxa"/>
            </w:tcMar>
            <w:vAlign w:val="center"/>
          </w:tcPr>
          <w:p w:rsidR="0095055D" w:rsidRPr="00153EAE" w:rsidRDefault="00153EAE" w:rsidP="00DF42DF">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733" w:type="pct"/>
            <w:shd w:val="clear" w:color="auto" w:fill="auto"/>
            <w:tcMar>
              <w:top w:w="28" w:type="dxa"/>
              <w:left w:w="28" w:type="dxa"/>
              <w:bottom w:w="28" w:type="dxa"/>
              <w:right w:w="28" w:type="dxa"/>
            </w:tcMar>
            <w:vAlign w:val="center"/>
          </w:tcPr>
          <w:p w:rsidR="0095055D" w:rsidRPr="00153EAE" w:rsidRDefault="00153EAE" w:rsidP="00DF42DF">
            <w:pPr>
              <w:jc w:val="center"/>
              <w:rPr>
                <w:rFonts w:ascii="Arial Narrow" w:hAnsi="Arial Narrow"/>
                <w:sz w:val="20"/>
                <w:szCs w:val="20"/>
                <w:highlight w:val="black"/>
                <w:lang w:eastAsia="en-AU"/>
              </w:rPr>
            </w:pPr>
            <w:r>
              <w:rPr>
                <w:rFonts w:ascii="Arial Narrow" w:hAnsi="Arial Narrow"/>
                <w:noProof/>
                <w:color w:val="000000"/>
                <w:sz w:val="20"/>
                <w:szCs w:val="20"/>
                <w:highlight w:val="black"/>
                <w:lang w:eastAsia="en-AU"/>
              </w:rPr>
              <w:t>''''''''''</w:t>
            </w:r>
          </w:p>
        </w:tc>
        <w:tc>
          <w:tcPr>
            <w:tcW w:w="622"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158</w:t>
            </w:r>
          </w:p>
        </w:tc>
        <w:tc>
          <w:tcPr>
            <w:tcW w:w="644"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144</w:t>
            </w:r>
          </w:p>
        </w:tc>
        <w:tc>
          <w:tcPr>
            <w:tcW w:w="966" w:type="pct"/>
            <w:vMerge w:val="restar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187"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Number of events, n (%)</w:t>
            </w:r>
          </w:p>
        </w:tc>
        <w:tc>
          <w:tcPr>
            <w:tcW w:w="848" w:type="pct"/>
            <w:shd w:val="clear" w:color="auto" w:fill="auto"/>
            <w:tcMar>
              <w:top w:w="28" w:type="dxa"/>
              <w:left w:w="28" w:type="dxa"/>
              <w:bottom w:w="28" w:type="dxa"/>
              <w:right w:w="28" w:type="dxa"/>
            </w:tcMar>
            <w:vAlign w:val="center"/>
          </w:tcPr>
          <w:p w:rsidR="0095055D" w:rsidRPr="00025906" w:rsidRDefault="00153EAE" w:rsidP="00DF42DF">
            <w:pPr>
              <w:jc w:val="center"/>
              <w:rPr>
                <w:rFonts w:ascii="Arial Narrow" w:hAnsi="Arial Narrow"/>
                <w:sz w:val="20"/>
                <w:szCs w:val="20"/>
                <w:lang w:eastAsia="en-AU"/>
              </w:rPr>
            </w:pPr>
            <w:r>
              <w:rPr>
                <w:rFonts w:ascii="Arial Narrow" w:hAnsi="Arial Narrow"/>
                <w:noProof/>
                <w:color w:val="000000"/>
                <w:sz w:val="20"/>
                <w:szCs w:val="20"/>
                <w:highlight w:val="black"/>
                <w:lang w:eastAsia="en-AU"/>
              </w:rPr>
              <w:t xml:space="preserve">''''' </w:t>
            </w:r>
            <w:r w:rsidR="0095055D" w:rsidRPr="00025906">
              <w:rPr>
                <w:rFonts w:ascii="Arial Narrow" w:hAnsi="Arial Narrow"/>
                <w:sz w:val="20"/>
                <w:szCs w:val="20"/>
                <w:lang w:eastAsia="en-AU"/>
              </w:rPr>
              <w:t>(</w:t>
            </w:r>
            <w:r>
              <w:rPr>
                <w:rFonts w:ascii="Arial Narrow" w:hAnsi="Arial Narrow"/>
                <w:noProof/>
                <w:color w:val="000000"/>
                <w:sz w:val="20"/>
                <w:szCs w:val="20"/>
                <w:highlight w:val="black"/>
                <w:lang w:eastAsia="en-AU"/>
              </w:rPr>
              <w:t>''''''</w:t>
            </w:r>
            <w:r w:rsidR="0095055D" w:rsidRPr="00025906">
              <w:rPr>
                <w:rFonts w:ascii="Arial Narrow" w:hAnsi="Arial Narrow"/>
                <w:sz w:val="20"/>
                <w:szCs w:val="20"/>
                <w:lang w:eastAsia="en-AU"/>
              </w:rPr>
              <w:t>%)</w:t>
            </w:r>
          </w:p>
        </w:tc>
        <w:tc>
          <w:tcPr>
            <w:tcW w:w="733" w:type="pct"/>
            <w:shd w:val="clear" w:color="auto" w:fill="auto"/>
            <w:tcMar>
              <w:top w:w="28" w:type="dxa"/>
              <w:left w:w="28" w:type="dxa"/>
              <w:bottom w:w="28" w:type="dxa"/>
              <w:right w:w="28" w:type="dxa"/>
            </w:tcMar>
            <w:vAlign w:val="center"/>
          </w:tcPr>
          <w:p w:rsidR="0095055D" w:rsidRPr="00025906" w:rsidRDefault="00153EAE" w:rsidP="00DF42DF">
            <w:pPr>
              <w:jc w:val="center"/>
              <w:rPr>
                <w:rFonts w:ascii="Arial Narrow" w:hAnsi="Arial Narrow"/>
                <w:sz w:val="20"/>
                <w:szCs w:val="20"/>
                <w:lang w:eastAsia="en-AU"/>
              </w:rPr>
            </w:pPr>
            <w:r>
              <w:rPr>
                <w:rFonts w:ascii="Arial Narrow" w:hAnsi="Arial Narrow"/>
                <w:noProof/>
                <w:color w:val="000000"/>
                <w:sz w:val="20"/>
                <w:szCs w:val="20"/>
                <w:highlight w:val="black"/>
                <w:lang w:eastAsia="en-AU"/>
              </w:rPr>
              <w:t xml:space="preserve">'''''' </w:t>
            </w:r>
            <w:r w:rsidR="0095055D" w:rsidRPr="00025906">
              <w:rPr>
                <w:rFonts w:ascii="Arial Narrow" w:hAnsi="Arial Narrow"/>
                <w:sz w:val="20"/>
                <w:szCs w:val="20"/>
                <w:lang w:eastAsia="en-AU"/>
              </w:rPr>
              <w:t>(</w:t>
            </w:r>
            <w:r>
              <w:rPr>
                <w:rFonts w:ascii="Arial Narrow" w:hAnsi="Arial Narrow"/>
                <w:noProof/>
                <w:color w:val="000000"/>
                <w:sz w:val="20"/>
                <w:szCs w:val="20"/>
                <w:highlight w:val="black"/>
                <w:lang w:eastAsia="en-AU"/>
              </w:rPr>
              <w:t>''''''</w:t>
            </w:r>
            <w:r w:rsidR="0095055D" w:rsidRPr="00025906">
              <w:rPr>
                <w:rFonts w:ascii="Arial Narrow" w:hAnsi="Arial Narrow"/>
                <w:sz w:val="20"/>
                <w:szCs w:val="20"/>
                <w:lang w:eastAsia="en-AU"/>
              </w:rPr>
              <w:t>%)</w:t>
            </w:r>
          </w:p>
        </w:tc>
        <w:tc>
          <w:tcPr>
            <w:tcW w:w="622"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c>
          <w:tcPr>
            <w:tcW w:w="644"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w:t>
            </w:r>
          </w:p>
        </w:tc>
        <w:tc>
          <w:tcPr>
            <w:tcW w:w="966"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187"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 xml:space="preserve">Median, months, </w:t>
            </w:r>
          </w:p>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(95% CI)</w:t>
            </w:r>
          </w:p>
        </w:tc>
        <w:tc>
          <w:tcPr>
            <w:tcW w:w="848"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15.8</w:t>
            </w:r>
          </w:p>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(10.3, –)</w:t>
            </w:r>
          </w:p>
        </w:tc>
        <w:tc>
          <w:tcPr>
            <w:tcW w:w="733"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8.2</w:t>
            </w:r>
          </w:p>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(5.9, 10.9)</w:t>
            </w:r>
          </w:p>
        </w:tc>
        <w:tc>
          <w:tcPr>
            <w:tcW w:w="622"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9.0</w:t>
            </w:r>
          </w:p>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(7.6, 9.6)</w:t>
            </w:r>
          </w:p>
        </w:tc>
        <w:tc>
          <w:tcPr>
            <w:tcW w:w="644"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9.2</w:t>
            </w:r>
          </w:p>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(7.5, 11.3)</w:t>
            </w:r>
          </w:p>
        </w:tc>
        <w:tc>
          <w:tcPr>
            <w:tcW w:w="966" w:type="pct"/>
            <w:vMerge/>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p>
        </w:tc>
      </w:tr>
      <w:tr w:rsidR="0095055D" w:rsidRPr="002D53DE" w:rsidTr="00DF42DF">
        <w:trPr>
          <w:trHeight w:val="70"/>
        </w:trPr>
        <w:tc>
          <w:tcPr>
            <w:tcW w:w="1187" w:type="pct"/>
            <w:shd w:val="clear" w:color="auto" w:fill="auto"/>
            <w:tcMar>
              <w:top w:w="28" w:type="dxa"/>
              <w:left w:w="28" w:type="dxa"/>
              <w:bottom w:w="28" w:type="dxa"/>
              <w:right w:w="28" w:type="dxa"/>
            </w:tcMar>
            <w:vAlign w:val="center"/>
          </w:tcPr>
          <w:p w:rsidR="0095055D" w:rsidRPr="00025906" w:rsidRDefault="0095055D" w:rsidP="00DF42DF">
            <w:pPr>
              <w:jc w:val="left"/>
              <w:rPr>
                <w:rFonts w:ascii="Arial Narrow" w:hAnsi="Arial Narrow"/>
                <w:sz w:val="20"/>
                <w:szCs w:val="20"/>
                <w:lang w:eastAsia="en-AU"/>
              </w:rPr>
            </w:pPr>
            <w:r w:rsidRPr="00025906">
              <w:rPr>
                <w:rFonts w:ascii="Arial Narrow" w:hAnsi="Arial Narrow"/>
                <w:sz w:val="20"/>
                <w:szCs w:val="20"/>
                <w:lang w:eastAsia="en-AU"/>
              </w:rPr>
              <w:t>HR (95% CI)</w:t>
            </w:r>
          </w:p>
        </w:tc>
        <w:tc>
          <w:tcPr>
            <w:tcW w:w="1581"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0.49 (0.32, 0.75)</w:t>
            </w:r>
          </w:p>
        </w:tc>
        <w:tc>
          <w:tcPr>
            <w:tcW w:w="1266" w:type="pct"/>
            <w:gridSpan w:val="2"/>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0.92 (0.69, 1.22</w:t>
            </w:r>
            <w:r w:rsidRPr="00025906">
              <w:rPr>
                <w:rFonts w:ascii="Arial Narrow" w:hAnsi="Arial Narrow"/>
                <w:b/>
                <w:sz w:val="20"/>
                <w:szCs w:val="20"/>
                <w:lang w:eastAsia="en-AU"/>
              </w:rPr>
              <w:t>)</w:t>
            </w:r>
          </w:p>
        </w:tc>
        <w:tc>
          <w:tcPr>
            <w:tcW w:w="966" w:type="pct"/>
            <w:shd w:val="clear" w:color="auto" w:fill="auto"/>
            <w:tcMar>
              <w:top w:w="28" w:type="dxa"/>
              <w:left w:w="28" w:type="dxa"/>
              <w:bottom w:w="28" w:type="dxa"/>
              <w:right w:w="28" w:type="dxa"/>
            </w:tcMar>
            <w:vAlign w:val="center"/>
          </w:tcPr>
          <w:p w:rsidR="0095055D" w:rsidRPr="00025906" w:rsidRDefault="0095055D" w:rsidP="00DF42DF">
            <w:pPr>
              <w:jc w:val="center"/>
              <w:rPr>
                <w:rFonts w:ascii="Arial Narrow" w:hAnsi="Arial Narrow"/>
                <w:sz w:val="20"/>
                <w:szCs w:val="20"/>
                <w:lang w:eastAsia="en-AU"/>
              </w:rPr>
            </w:pPr>
            <w:r w:rsidRPr="00025906">
              <w:rPr>
                <w:rFonts w:ascii="Arial Narrow" w:hAnsi="Arial Narrow"/>
                <w:sz w:val="20"/>
                <w:szCs w:val="20"/>
                <w:lang w:eastAsia="en-AU"/>
              </w:rPr>
              <w:t>0.53 (0.32, 0.89)</w:t>
            </w:r>
          </w:p>
        </w:tc>
      </w:tr>
    </w:tbl>
    <w:p w:rsidR="0095055D" w:rsidRPr="002D53DE" w:rsidRDefault="0095055D" w:rsidP="00DF42DF">
      <w:pPr>
        <w:widowControl w:val="0"/>
        <w:ind w:left="709"/>
        <w:rPr>
          <w:rFonts w:ascii="Arial Narrow" w:hAnsi="Arial Narrow" w:cs="Arial"/>
          <w:snapToGrid w:val="0"/>
          <w:sz w:val="18"/>
          <w:szCs w:val="18"/>
        </w:rPr>
      </w:pPr>
      <w:proofErr w:type="spellStart"/>
      <w:proofErr w:type="gramStart"/>
      <w:r w:rsidRPr="002D53DE">
        <w:rPr>
          <w:rFonts w:ascii="Arial Narrow" w:hAnsi="Arial Narrow" w:cs="Arial"/>
          <w:snapToGrid w:val="0"/>
          <w:sz w:val="18"/>
          <w:szCs w:val="18"/>
          <w:vertAlign w:val="superscript"/>
        </w:rPr>
        <w:t>a</w:t>
      </w:r>
      <w:proofErr w:type="spellEnd"/>
      <w:proofErr w:type="gramEnd"/>
      <w:r w:rsidRPr="002D53DE">
        <w:rPr>
          <w:rFonts w:ascii="Arial Narrow" w:hAnsi="Arial Narrow" w:cs="Arial"/>
          <w:snapToGrid w:val="0"/>
          <w:sz w:val="18"/>
          <w:szCs w:val="18"/>
        </w:rPr>
        <w:t xml:space="preserve"> Adenocarcinoma only non-squamous patients</w:t>
      </w:r>
    </w:p>
    <w:p w:rsidR="0095055D" w:rsidRPr="002D53DE" w:rsidRDefault="0095055D" w:rsidP="00DF42DF">
      <w:pPr>
        <w:widowControl w:val="0"/>
        <w:ind w:left="709"/>
        <w:rPr>
          <w:rFonts w:ascii="Arial Narrow" w:hAnsi="Arial Narrow" w:cs="Arial"/>
          <w:snapToGrid w:val="0"/>
          <w:sz w:val="18"/>
          <w:szCs w:val="18"/>
        </w:rPr>
      </w:pPr>
      <w:proofErr w:type="gramStart"/>
      <w:r w:rsidRPr="002D53DE">
        <w:rPr>
          <w:rFonts w:ascii="Arial Narrow" w:hAnsi="Arial Narrow" w:cs="Arial"/>
          <w:snapToGrid w:val="0"/>
          <w:sz w:val="18"/>
          <w:szCs w:val="18"/>
          <w:vertAlign w:val="superscript"/>
        </w:rPr>
        <w:t>b</w:t>
      </w:r>
      <w:proofErr w:type="gramEnd"/>
      <w:r w:rsidRPr="002D53DE">
        <w:rPr>
          <w:rFonts w:ascii="Arial Narrow" w:hAnsi="Arial Narrow" w:cs="Arial"/>
          <w:snapToGrid w:val="0"/>
          <w:sz w:val="18"/>
          <w:szCs w:val="18"/>
        </w:rPr>
        <w:t xml:space="preserve"> Retrospective analysis of adenocarci</w:t>
      </w:r>
      <w:r w:rsidR="00232CE0">
        <w:rPr>
          <w:rFonts w:ascii="Arial Narrow" w:hAnsi="Arial Narrow" w:cs="Arial"/>
          <w:snapToGrid w:val="0"/>
          <w:sz w:val="18"/>
          <w:szCs w:val="18"/>
        </w:rPr>
        <w:t>noma patients from Hanna (2004)</w:t>
      </w:r>
    </w:p>
    <w:p w:rsidR="0095055D" w:rsidRPr="002D53DE" w:rsidRDefault="0095055D" w:rsidP="00DF42DF">
      <w:pPr>
        <w:widowControl w:val="0"/>
        <w:ind w:left="709"/>
        <w:rPr>
          <w:rFonts w:ascii="Arial Narrow" w:hAnsi="Arial Narrow" w:cs="Arial"/>
          <w:snapToGrid w:val="0"/>
          <w:sz w:val="18"/>
          <w:szCs w:val="18"/>
        </w:rPr>
      </w:pPr>
      <w:r>
        <w:rPr>
          <w:rFonts w:ascii="Arial Narrow" w:hAnsi="Arial Narrow" w:cs="Arial"/>
          <w:snapToGrid w:val="0"/>
          <w:sz w:val="18"/>
          <w:szCs w:val="18"/>
        </w:rPr>
        <w:t>–</w:t>
      </w:r>
      <w:r w:rsidRPr="002D53DE">
        <w:rPr>
          <w:rFonts w:ascii="Arial Narrow" w:hAnsi="Arial Narrow" w:cs="Arial"/>
          <w:snapToGrid w:val="0"/>
          <w:sz w:val="18"/>
          <w:szCs w:val="18"/>
        </w:rPr>
        <w:t xml:space="preserve"> = not reached; CI = confidence interval</w:t>
      </w:r>
      <w:r>
        <w:rPr>
          <w:rFonts w:ascii="Arial Narrow" w:hAnsi="Arial Narrow" w:cs="Arial"/>
          <w:snapToGrid w:val="0"/>
          <w:sz w:val="18"/>
          <w:szCs w:val="18"/>
        </w:rPr>
        <w:t>;</w:t>
      </w:r>
      <w:r w:rsidRPr="002D53DE">
        <w:rPr>
          <w:rFonts w:ascii="Arial Narrow" w:hAnsi="Arial Narrow" w:cs="Arial"/>
          <w:snapToGrid w:val="0"/>
          <w:sz w:val="18"/>
          <w:szCs w:val="18"/>
        </w:rPr>
        <w:t xml:space="preserve"> HR = hazard ratio; PD-L1 =</w:t>
      </w:r>
      <w:r>
        <w:rPr>
          <w:rFonts w:ascii="Arial Narrow" w:hAnsi="Arial Narrow" w:cs="Arial"/>
          <w:snapToGrid w:val="0"/>
          <w:sz w:val="18"/>
          <w:szCs w:val="18"/>
        </w:rPr>
        <w:t xml:space="preserve"> programmed death ligand 1</w:t>
      </w:r>
      <w:r w:rsidRPr="002D53DE">
        <w:rPr>
          <w:rFonts w:ascii="Arial Narrow" w:hAnsi="Arial Narrow" w:cs="Arial"/>
          <w:snapToGrid w:val="0"/>
          <w:sz w:val="18"/>
          <w:szCs w:val="18"/>
        </w:rPr>
        <w:t>.</w:t>
      </w:r>
    </w:p>
    <w:p w:rsidR="0095055D" w:rsidRDefault="0095055D" w:rsidP="00DF42DF">
      <w:pPr>
        <w:ind w:left="709"/>
        <w:contextualSpacing/>
        <w:rPr>
          <w:rFonts w:ascii="Arial Narrow" w:hAnsi="Arial Narrow"/>
          <w:sz w:val="18"/>
          <w:szCs w:val="18"/>
        </w:rPr>
      </w:pPr>
      <w:r w:rsidRPr="002D53DE">
        <w:rPr>
          <w:rFonts w:ascii="Arial Narrow" w:hAnsi="Arial Narrow"/>
          <w:sz w:val="18"/>
          <w:szCs w:val="18"/>
        </w:rPr>
        <w:t xml:space="preserve">Source: Table B.6-51, and Figures B.6.25-26, p164 and Table C.2-10, Section C of the Pembrolizumab submission; and </w:t>
      </w:r>
      <w:proofErr w:type="spellStart"/>
      <w:r w:rsidRPr="002D53DE">
        <w:rPr>
          <w:rFonts w:ascii="Arial Narrow" w:hAnsi="Arial Narrow"/>
          <w:sz w:val="18"/>
          <w:szCs w:val="18"/>
        </w:rPr>
        <w:t>Scagliotti</w:t>
      </w:r>
      <w:proofErr w:type="spellEnd"/>
      <w:r w:rsidRPr="002D53DE">
        <w:rPr>
          <w:rFonts w:ascii="Arial Narrow" w:hAnsi="Arial Narrow"/>
          <w:sz w:val="18"/>
          <w:szCs w:val="18"/>
        </w:rPr>
        <w:t xml:space="preserve"> </w:t>
      </w:r>
      <w:r>
        <w:rPr>
          <w:rFonts w:ascii="Arial Narrow" w:hAnsi="Arial Narrow"/>
          <w:sz w:val="18"/>
          <w:szCs w:val="18"/>
        </w:rPr>
        <w:t>et al. (</w:t>
      </w:r>
      <w:r w:rsidRPr="002D53DE">
        <w:rPr>
          <w:rFonts w:ascii="Arial Narrow" w:hAnsi="Arial Narrow"/>
          <w:sz w:val="18"/>
          <w:szCs w:val="18"/>
        </w:rPr>
        <w:t>2009</w:t>
      </w:r>
      <w:r>
        <w:rPr>
          <w:rFonts w:ascii="Arial Narrow" w:hAnsi="Arial Narrow"/>
          <w:sz w:val="18"/>
          <w:szCs w:val="18"/>
        </w:rPr>
        <w:t>)</w:t>
      </w:r>
    </w:p>
    <w:p w:rsidR="0095055D" w:rsidRPr="004D435E" w:rsidRDefault="0095055D" w:rsidP="00A36DD4">
      <w:pPr>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In PD-L1 TPS ≥50% patients, there was a statistically significant </w:t>
      </w:r>
      <w:r w:rsidR="00A248F5">
        <w:rPr>
          <w:rFonts w:ascii="Arial" w:hAnsi="Arial" w:cs="Arial"/>
          <w:sz w:val="22"/>
        </w:rPr>
        <w:t xml:space="preserve">gain </w:t>
      </w:r>
      <w:r w:rsidRPr="009015FA">
        <w:rPr>
          <w:rFonts w:ascii="Arial" w:hAnsi="Arial" w:cs="Arial"/>
          <w:sz w:val="22"/>
        </w:rPr>
        <w:t xml:space="preserve">in OS associated with pembrolizumab over </w:t>
      </w:r>
      <w:proofErr w:type="spellStart"/>
      <w:r w:rsidRPr="009015FA">
        <w:rPr>
          <w:rFonts w:ascii="Arial" w:hAnsi="Arial" w:cs="Arial"/>
          <w:sz w:val="22"/>
        </w:rPr>
        <w:t>pemetrexed</w:t>
      </w:r>
      <w:proofErr w:type="spellEnd"/>
      <w:r w:rsidRPr="009015FA">
        <w:rPr>
          <w:rFonts w:ascii="Arial" w:hAnsi="Arial" w:cs="Arial"/>
          <w:sz w:val="22"/>
        </w:rPr>
        <w:t xml:space="preserve"> (HR = 0.53; 95% CI 0.32, 0.89). The approach of excluding large cell patients favours pembrolizumab (</w:t>
      </w:r>
      <w:proofErr w:type="spellStart"/>
      <w:r w:rsidRPr="009015FA">
        <w:rPr>
          <w:rFonts w:ascii="Arial" w:hAnsi="Arial" w:cs="Arial"/>
          <w:sz w:val="22"/>
        </w:rPr>
        <w:t>pemetrexed</w:t>
      </w:r>
      <w:proofErr w:type="spellEnd"/>
      <w:r w:rsidRPr="009015FA">
        <w:rPr>
          <w:rFonts w:ascii="Arial" w:hAnsi="Arial" w:cs="Arial"/>
          <w:sz w:val="22"/>
        </w:rPr>
        <w:t xml:space="preserve"> </w:t>
      </w:r>
      <w:proofErr w:type="spellStart"/>
      <w:r w:rsidRPr="009015FA">
        <w:rPr>
          <w:rFonts w:ascii="Arial" w:hAnsi="Arial" w:cs="Arial"/>
          <w:sz w:val="22"/>
        </w:rPr>
        <w:t>vs</w:t>
      </w:r>
      <w:proofErr w:type="spellEnd"/>
      <w:r w:rsidRPr="009015FA">
        <w:rPr>
          <w:rFonts w:ascii="Arial" w:hAnsi="Arial" w:cs="Arial"/>
          <w:sz w:val="22"/>
        </w:rPr>
        <w:t xml:space="preserve"> </w:t>
      </w:r>
      <w:proofErr w:type="spellStart"/>
      <w:r w:rsidRPr="009015FA">
        <w:rPr>
          <w:rFonts w:ascii="Arial" w:hAnsi="Arial" w:cs="Arial"/>
          <w:sz w:val="22"/>
        </w:rPr>
        <w:t>docetaxel</w:t>
      </w:r>
      <w:proofErr w:type="spellEnd"/>
      <w:r w:rsidRPr="009015FA">
        <w:rPr>
          <w:rFonts w:ascii="Arial" w:hAnsi="Arial" w:cs="Arial"/>
          <w:sz w:val="22"/>
        </w:rPr>
        <w:t xml:space="preserve"> - large cell analysis: HR = </w:t>
      </w:r>
      <w:r w:rsidR="00153EAE">
        <w:rPr>
          <w:rFonts w:ascii="Arial" w:hAnsi="Arial" w:cs="Arial"/>
          <w:noProof/>
          <w:color w:val="000000"/>
          <w:sz w:val="22"/>
          <w:highlight w:val="black"/>
        </w:rPr>
        <w:t>''''''''''</w:t>
      </w:r>
      <w:r w:rsidRPr="009015FA">
        <w:rPr>
          <w:rFonts w:ascii="Arial" w:hAnsi="Arial" w:cs="Arial"/>
          <w:sz w:val="22"/>
        </w:rPr>
        <w:t xml:space="preserve">, 95% CI </w:t>
      </w:r>
      <w:r w:rsidR="00153EAE">
        <w:rPr>
          <w:rFonts w:ascii="Arial" w:hAnsi="Arial" w:cs="Arial"/>
          <w:noProof/>
          <w:color w:val="000000"/>
          <w:sz w:val="22"/>
          <w:highlight w:val="black"/>
        </w:rPr>
        <w:t>'''''''''''</w:t>
      </w:r>
      <w:r w:rsidRPr="009015FA">
        <w:rPr>
          <w:rFonts w:ascii="Arial" w:hAnsi="Arial" w:cs="Arial"/>
          <w:sz w:val="22"/>
        </w:rPr>
        <w:t xml:space="preserve">, </w:t>
      </w:r>
      <w:r w:rsidR="00153EAE">
        <w:rPr>
          <w:rFonts w:ascii="Arial" w:hAnsi="Arial" w:cs="Arial"/>
          <w:noProof/>
          <w:color w:val="000000"/>
          <w:sz w:val="22"/>
          <w:highlight w:val="black"/>
        </w:rPr>
        <w:t>''''''''''''</w:t>
      </w:r>
      <w:r w:rsidRPr="009015FA">
        <w:rPr>
          <w:rFonts w:ascii="Arial" w:hAnsi="Arial" w:cs="Arial"/>
          <w:sz w:val="22"/>
        </w:rPr>
        <w:t xml:space="preserve">; adenocarcinoma analysis: HR = </w:t>
      </w:r>
      <w:r w:rsidR="00153EAE">
        <w:rPr>
          <w:rFonts w:ascii="Arial" w:hAnsi="Arial" w:cs="Arial"/>
          <w:noProof/>
          <w:color w:val="000000"/>
          <w:sz w:val="22"/>
          <w:highlight w:val="black"/>
        </w:rPr>
        <w:t>'''''''''''</w:t>
      </w:r>
      <w:r w:rsidRPr="009015FA">
        <w:rPr>
          <w:rFonts w:ascii="Arial" w:hAnsi="Arial" w:cs="Arial"/>
          <w:sz w:val="22"/>
        </w:rPr>
        <w:t xml:space="preserve">; 95% CI </w:t>
      </w:r>
      <w:r w:rsidR="00153EAE">
        <w:rPr>
          <w:rFonts w:ascii="Arial" w:hAnsi="Arial" w:cs="Arial"/>
          <w:noProof/>
          <w:color w:val="000000"/>
          <w:sz w:val="22"/>
          <w:highlight w:val="black"/>
        </w:rPr>
        <w:t>''''''''''</w:t>
      </w:r>
      <w:r w:rsidRPr="009015FA">
        <w:rPr>
          <w:rFonts w:ascii="Arial" w:hAnsi="Arial" w:cs="Arial"/>
          <w:sz w:val="22"/>
        </w:rPr>
        <w:t xml:space="preserve">, </w:t>
      </w:r>
      <w:r w:rsidR="00153EAE">
        <w:rPr>
          <w:rFonts w:ascii="Arial" w:hAnsi="Arial" w:cs="Arial"/>
          <w:noProof/>
          <w:color w:val="000000"/>
          <w:sz w:val="22"/>
          <w:highlight w:val="black"/>
        </w:rPr>
        <w:t>''''''''''</w:t>
      </w:r>
      <w:r w:rsidRPr="009015FA">
        <w:rPr>
          <w:rFonts w:ascii="Arial" w:hAnsi="Arial" w:cs="Arial"/>
          <w:sz w:val="22"/>
        </w:rPr>
        <w:t xml:space="preserve">). Interpretation of the results of the indirect comparison should consider the imbalances in disease characteristics for the common reference </w:t>
      </w:r>
      <w:proofErr w:type="spellStart"/>
      <w:r w:rsidRPr="009015FA">
        <w:rPr>
          <w:rFonts w:ascii="Arial" w:hAnsi="Arial" w:cs="Arial"/>
          <w:sz w:val="22"/>
        </w:rPr>
        <w:t>docetaxel</w:t>
      </w:r>
      <w:proofErr w:type="spellEnd"/>
      <w:r w:rsidRPr="009015FA">
        <w:rPr>
          <w:rFonts w:ascii="Arial" w:hAnsi="Arial" w:cs="Arial"/>
          <w:sz w:val="22"/>
        </w:rPr>
        <w:t xml:space="preserve"> treatment arm across the </w:t>
      </w:r>
      <w:proofErr w:type="spellStart"/>
      <w:r w:rsidRPr="009015FA">
        <w:rPr>
          <w:rFonts w:ascii="Arial" w:hAnsi="Arial" w:cs="Arial"/>
          <w:sz w:val="22"/>
        </w:rPr>
        <w:t>Scagliotti</w:t>
      </w:r>
      <w:proofErr w:type="spellEnd"/>
      <w:r w:rsidRPr="009015FA">
        <w:rPr>
          <w:rFonts w:ascii="Arial" w:hAnsi="Arial" w:cs="Arial"/>
          <w:sz w:val="22"/>
        </w:rPr>
        <w:t xml:space="preserve"> </w:t>
      </w:r>
      <w:proofErr w:type="spellStart"/>
      <w:r w:rsidRPr="009015FA">
        <w:rPr>
          <w:rFonts w:ascii="Arial" w:hAnsi="Arial" w:cs="Arial"/>
          <w:sz w:val="22"/>
        </w:rPr>
        <w:t>vs</w:t>
      </w:r>
      <w:proofErr w:type="spellEnd"/>
      <w:r w:rsidRPr="009015FA">
        <w:rPr>
          <w:rFonts w:ascii="Arial" w:hAnsi="Arial" w:cs="Arial"/>
          <w:sz w:val="22"/>
        </w:rPr>
        <w:t xml:space="preserve"> KN-010 datasets for ECOG PS of 0 (</w:t>
      </w:r>
      <w:r w:rsidR="00153EAE">
        <w:rPr>
          <w:rFonts w:ascii="Arial" w:hAnsi="Arial" w:cs="Arial"/>
          <w:noProof/>
          <w:color w:val="000000"/>
          <w:sz w:val="22"/>
          <w:highlight w:val="black"/>
        </w:rPr>
        <w:t>''''''</w:t>
      </w:r>
      <w:r w:rsidRPr="009015FA">
        <w:rPr>
          <w:rFonts w:ascii="Arial" w:hAnsi="Arial" w:cs="Arial"/>
          <w:sz w:val="22"/>
        </w:rPr>
        <w:t xml:space="preserve">% </w:t>
      </w:r>
      <w:proofErr w:type="spellStart"/>
      <w:r w:rsidRPr="009015FA">
        <w:rPr>
          <w:rFonts w:ascii="Arial" w:hAnsi="Arial" w:cs="Arial"/>
          <w:sz w:val="22"/>
        </w:rPr>
        <w:t>vs</w:t>
      </w:r>
      <w:proofErr w:type="spellEnd"/>
      <w:r w:rsidRPr="009015FA">
        <w:rPr>
          <w:rFonts w:ascii="Arial" w:hAnsi="Arial" w:cs="Arial"/>
          <w:sz w:val="22"/>
        </w:rPr>
        <w:t xml:space="preserve"> </w:t>
      </w:r>
      <w:r w:rsidR="00153EAE">
        <w:rPr>
          <w:rFonts w:ascii="Arial" w:hAnsi="Arial" w:cs="Arial"/>
          <w:noProof/>
          <w:color w:val="000000"/>
          <w:sz w:val="22"/>
          <w:highlight w:val="black"/>
        </w:rPr>
        <w:t>'''''''</w:t>
      </w:r>
      <w:r w:rsidRPr="009015FA">
        <w:rPr>
          <w:rFonts w:ascii="Arial" w:hAnsi="Arial" w:cs="Arial"/>
          <w:sz w:val="22"/>
        </w:rPr>
        <w:t>%) and disease stage IV (</w:t>
      </w:r>
      <w:r w:rsidR="00153EAE">
        <w:rPr>
          <w:rFonts w:ascii="Arial" w:hAnsi="Arial" w:cs="Arial"/>
          <w:noProof/>
          <w:color w:val="000000"/>
          <w:sz w:val="22"/>
          <w:highlight w:val="black"/>
        </w:rPr>
        <w:t>''''''</w:t>
      </w:r>
      <w:r w:rsidRPr="009015FA">
        <w:rPr>
          <w:rFonts w:ascii="Arial" w:hAnsi="Arial" w:cs="Arial"/>
          <w:sz w:val="22"/>
        </w:rPr>
        <w:t xml:space="preserve">% </w:t>
      </w:r>
      <w:proofErr w:type="spellStart"/>
      <w:r w:rsidRPr="009015FA">
        <w:rPr>
          <w:rFonts w:ascii="Arial" w:hAnsi="Arial" w:cs="Arial"/>
          <w:sz w:val="22"/>
        </w:rPr>
        <w:t>vs</w:t>
      </w:r>
      <w:proofErr w:type="spellEnd"/>
      <w:r w:rsidRPr="009015FA">
        <w:rPr>
          <w:rFonts w:ascii="Arial" w:hAnsi="Arial" w:cs="Arial"/>
          <w:sz w:val="22"/>
        </w:rPr>
        <w:t xml:space="preserve"> </w:t>
      </w:r>
      <w:r w:rsidR="00153EAE">
        <w:rPr>
          <w:rFonts w:ascii="Arial" w:hAnsi="Arial" w:cs="Arial"/>
          <w:noProof/>
          <w:color w:val="000000"/>
          <w:sz w:val="22"/>
          <w:highlight w:val="black"/>
        </w:rPr>
        <w:t>''''''</w:t>
      </w:r>
      <w:r w:rsidRPr="009015FA">
        <w:rPr>
          <w:rFonts w:ascii="Arial" w:hAnsi="Arial" w:cs="Arial"/>
          <w:sz w:val="22"/>
        </w:rPr>
        <w:t>%).</w:t>
      </w:r>
    </w:p>
    <w:p w:rsidR="0095055D" w:rsidRPr="009015FA" w:rsidRDefault="0095055D" w:rsidP="006E6043">
      <w:pPr>
        <w:pStyle w:val="ListParagraph"/>
        <w:ind w:left="0" w:firstLine="0"/>
        <w:rPr>
          <w:rFonts w:ascii="Arial" w:hAnsi="Arial" w:cs="Arial"/>
          <w:sz w:val="22"/>
        </w:rPr>
      </w:pPr>
    </w:p>
    <w:p w:rsidR="00A53103"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Results for all indirect comparisons are tentative due to transitivity issues across the KN-010 and </w:t>
      </w:r>
      <w:proofErr w:type="spellStart"/>
      <w:r w:rsidRPr="009015FA">
        <w:rPr>
          <w:rFonts w:ascii="Arial" w:hAnsi="Arial" w:cs="Arial"/>
          <w:sz w:val="22"/>
        </w:rPr>
        <w:t>Scagliotti</w:t>
      </w:r>
      <w:proofErr w:type="spellEnd"/>
      <w:r w:rsidRPr="009015FA">
        <w:rPr>
          <w:rFonts w:ascii="Arial" w:hAnsi="Arial" w:cs="Arial"/>
          <w:sz w:val="22"/>
        </w:rPr>
        <w:t xml:space="preserve"> datasets in terms of time of trial conduct, PD-L1 positivity (the prognostic impact of which remains inconclusive) and other baseline prognostic characteristics, and the exploratory nature of the analyses</w:t>
      </w:r>
      <w:r w:rsidR="004D435E">
        <w:rPr>
          <w:rFonts w:ascii="Arial" w:hAnsi="Arial" w:cs="Arial"/>
          <w:sz w:val="22"/>
        </w:rPr>
        <w:t>.</w:t>
      </w:r>
    </w:p>
    <w:p w:rsidR="00625B33" w:rsidRDefault="00625B33" w:rsidP="004D435E">
      <w:pPr>
        <w:pStyle w:val="ListParagraph"/>
        <w:ind w:left="0" w:firstLine="0"/>
        <w:rPr>
          <w:rFonts w:ascii="Arial" w:hAnsi="Arial" w:cs="Arial"/>
          <w:sz w:val="22"/>
        </w:rPr>
      </w:pPr>
    </w:p>
    <w:p w:rsidR="00625B33" w:rsidRPr="00675587" w:rsidRDefault="00625B33" w:rsidP="009C3A29">
      <w:pPr>
        <w:pStyle w:val="ListParagraph"/>
        <w:numPr>
          <w:ilvl w:val="1"/>
          <w:numId w:val="3"/>
        </w:numPr>
        <w:ind w:left="720"/>
        <w:rPr>
          <w:rFonts w:ascii="Arial" w:hAnsi="Arial" w:cs="Arial"/>
          <w:sz w:val="22"/>
        </w:rPr>
      </w:pPr>
      <w:r w:rsidRPr="00675587">
        <w:rPr>
          <w:rFonts w:ascii="Arial" w:hAnsi="Arial" w:cs="Arial"/>
          <w:sz w:val="22"/>
        </w:rPr>
        <w:t xml:space="preserve">The PSCR </w:t>
      </w:r>
      <w:r w:rsidR="00802E2E" w:rsidRPr="00675587">
        <w:rPr>
          <w:rFonts w:ascii="Arial" w:hAnsi="Arial" w:cs="Arial"/>
          <w:sz w:val="22"/>
        </w:rPr>
        <w:t xml:space="preserve">(p4) </w:t>
      </w:r>
      <w:r w:rsidRPr="00675587">
        <w:rPr>
          <w:rFonts w:ascii="Arial" w:hAnsi="Arial" w:cs="Arial"/>
          <w:sz w:val="22"/>
        </w:rPr>
        <w:t xml:space="preserve">argued that PD-L1 expression levels do not have a prognostic role and that the differences observed in baseline characteristics across the studies used in the indirect comparison “balance out” overall. </w:t>
      </w:r>
      <w:r w:rsidR="00802E2E" w:rsidRPr="00675587">
        <w:rPr>
          <w:rFonts w:ascii="Arial" w:hAnsi="Arial" w:cs="Arial"/>
          <w:sz w:val="22"/>
        </w:rPr>
        <w:t>The ESC</w:t>
      </w:r>
      <w:r w:rsidR="00F01BA7" w:rsidRPr="00675587">
        <w:rPr>
          <w:rFonts w:ascii="Arial" w:hAnsi="Arial" w:cs="Arial"/>
          <w:sz w:val="22"/>
        </w:rPr>
        <w:t>s</w:t>
      </w:r>
      <w:r w:rsidR="00802E2E" w:rsidRPr="00675587">
        <w:rPr>
          <w:rFonts w:ascii="Arial" w:hAnsi="Arial" w:cs="Arial"/>
          <w:sz w:val="22"/>
        </w:rPr>
        <w:t xml:space="preserve"> considered that </w:t>
      </w:r>
      <w:r w:rsidR="00A563DB" w:rsidRPr="00675587">
        <w:rPr>
          <w:rFonts w:ascii="Arial" w:hAnsi="Arial" w:cs="Arial"/>
          <w:sz w:val="22"/>
        </w:rPr>
        <w:t>this did not address</w:t>
      </w:r>
      <w:r w:rsidRPr="00675587">
        <w:rPr>
          <w:rFonts w:ascii="Arial" w:hAnsi="Arial" w:cs="Arial"/>
          <w:sz w:val="22"/>
        </w:rPr>
        <w:t xml:space="preserve"> the issue of transitivity across the KN-01</w:t>
      </w:r>
      <w:r w:rsidR="004D435E" w:rsidRPr="00675587">
        <w:rPr>
          <w:rFonts w:ascii="Arial" w:hAnsi="Arial" w:cs="Arial"/>
          <w:sz w:val="22"/>
        </w:rPr>
        <w:t xml:space="preserve">0 trial and </w:t>
      </w:r>
      <w:proofErr w:type="spellStart"/>
      <w:r w:rsidR="004D435E" w:rsidRPr="00675587">
        <w:rPr>
          <w:rFonts w:ascii="Arial" w:hAnsi="Arial" w:cs="Arial"/>
          <w:sz w:val="22"/>
        </w:rPr>
        <w:t>Scagliotti</w:t>
      </w:r>
      <w:proofErr w:type="spellEnd"/>
      <w:r w:rsidR="004D435E" w:rsidRPr="00675587">
        <w:rPr>
          <w:rFonts w:ascii="Arial" w:hAnsi="Arial" w:cs="Arial"/>
          <w:sz w:val="22"/>
        </w:rPr>
        <w:t xml:space="preserve"> et </w:t>
      </w:r>
      <w:r w:rsidR="00802E2E" w:rsidRPr="00675587">
        <w:rPr>
          <w:rFonts w:ascii="Arial" w:hAnsi="Arial" w:cs="Arial"/>
          <w:sz w:val="22"/>
        </w:rPr>
        <w:t xml:space="preserve">al </w:t>
      </w:r>
      <w:r w:rsidR="004D435E" w:rsidRPr="00675587">
        <w:rPr>
          <w:rFonts w:ascii="Arial" w:hAnsi="Arial" w:cs="Arial"/>
          <w:sz w:val="22"/>
        </w:rPr>
        <w:t>2009</w:t>
      </w:r>
      <w:r w:rsidR="00802E2E" w:rsidRPr="00675587">
        <w:rPr>
          <w:rFonts w:ascii="Arial" w:hAnsi="Arial" w:cs="Arial"/>
          <w:sz w:val="22"/>
        </w:rPr>
        <w:t xml:space="preserve"> dataset</w:t>
      </w:r>
      <w:r w:rsidR="004D435E" w:rsidRPr="00675587">
        <w:rPr>
          <w:rFonts w:ascii="Arial" w:hAnsi="Arial" w:cs="Arial"/>
          <w:sz w:val="22"/>
        </w:rPr>
        <w:t>.</w:t>
      </w:r>
    </w:p>
    <w:p w:rsidR="00A53103" w:rsidRPr="00675587" w:rsidRDefault="00A53103" w:rsidP="004D435E">
      <w:pPr>
        <w:pStyle w:val="ListParagraph"/>
        <w:ind w:left="0" w:firstLine="0"/>
        <w:rPr>
          <w:rFonts w:ascii="Arial" w:hAnsi="Arial" w:cs="Arial"/>
          <w:sz w:val="22"/>
        </w:rPr>
      </w:pPr>
    </w:p>
    <w:p w:rsidR="0095055D" w:rsidRDefault="00A53103" w:rsidP="009C3A29">
      <w:pPr>
        <w:pStyle w:val="ListParagraph"/>
        <w:numPr>
          <w:ilvl w:val="1"/>
          <w:numId w:val="3"/>
        </w:numPr>
        <w:ind w:left="720"/>
        <w:rPr>
          <w:rFonts w:ascii="Arial" w:hAnsi="Arial" w:cs="Arial"/>
          <w:sz w:val="22"/>
        </w:rPr>
      </w:pPr>
      <w:r w:rsidRPr="00675587">
        <w:rPr>
          <w:rFonts w:ascii="Arial" w:hAnsi="Arial" w:cs="Arial"/>
          <w:sz w:val="22"/>
        </w:rPr>
        <w:t>The ESC</w:t>
      </w:r>
      <w:r w:rsidR="00F01BA7" w:rsidRPr="00675587">
        <w:rPr>
          <w:rFonts w:ascii="Arial" w:hAnsi="Arial" w:cs="Arial"/>
          <w:sz w:val="22"/>
        </w:rPr>
        <w:t>s</w:t>
      </w:r>
      <w:r w:rsidRPr="00675587">
        <w:rPr>
          <w:rFonts w:ascii="Arial" w:hAnsi="Arial" w:cs="Arial"/>
          <w:sz w:val="22"/>
        </w:rPr>
        <w:t xml:space="preserve"> </w:t>
      </w:r>
      <w:r w:rsidR="00D0644A" w:rsidRPr="00675587">
        <w:rPr>
          <w:rFonts w:ascii="Arial" w:hAnsi="Arial" w:cs="Arial"/>
          <w:sz w:val="22"/>
        </w:rPr>
        <w:t xml:space="preserve">also </w:t>
      </w:r>
      <w:r w:rsidRPr="00675587">
        <w:rPr>
          <w:rFonts w:ascii="Arial" w:hAnsi="Arial" w:cs="Arial"/>
          <w:sz w:val="22"/>
        </w:rPr>
        <w:t xml:space="preserve">considered that the methodological issues in the indirect comparison of pembrolizumab with </w:t>
      </w:r>
      <w:proofErr w:type="spellStart"/>
      <w:r w:rsidRPr="00675587">
        <w:rPr>
          <w:rFonts w:ascii="Arial" w:hAnsi="Arial" w:cs="Arial"/>
          <w:sz w:val="22"/>
        </w:rPr>
        <w:t>pemetrexed</w:t>
      </w:r>
      <w:proofErr w:type="spellEnd"/>
      <w:r w:rsidRPr="00675587">
        <w:rPr>
          <w:rFonts w:ascii="Arial" w:hAnsi="Arial" w:cs="Arial"/>
          <w:sz w:val="22"/>
        </w:rPr>
        <w:t xml:space="preserve"> limited the validity </w:t>
      </w:r>
      <w:r w:rsidR="00620A56" w:rsidRPr="00675587">
        <w:rPr>
          <w:rFonts w:ascii="Arial" w:hAnsi="Arial" w:cs="Arial"/>
          <w:sz w:val="22"/>
        </w:rPr>
        <w:t>of the results. The ESC</w:t>
      </w:r>
      <w:r w:rsidR="00F01BA7" w:rsidRPr="00675587">
        <w:rPr>
          <w:rFonts w:ascii="Arial" w:hAnsi="Arial" w:cs="Arial"/>
          <w:sz w:val="22"/>
        </w:rPr>
        <w:t>s</w:t>
      </w:r>
      <w:r w:rsidR="00620A56" w:rsidRPr="00675587">
        <w:rPr>
          <w:rFonts w:ascii="Arial" w:hAnsi="Arial" w:cs="Arial"/>
          <w:sz w:val="22"/>
        </w:rPr>
        <w:t xml:space="preserve"> w</w:t>
      </w:r>
      <w:r w:rsidR="00F01BA7" w:rsidRPr="00675587">
        <w:rPr>
          <w:rFonts w:ascii="Arial" w:hAnsi="Arial" w:cs="Arial"/>
          <w:sz w:val="22"/>
        </w:rPr>
        <w:t>ere</w:t>
      </w:r>
      <w:r w:rsidR="00620A56" w:rsidRPr="00675587">
        <w:rPr>
          <w:rFonts w:ascii="Arial" w:hAnsi="Arial" w:cs="Arial"/>
          <w:sz w:val="22"/>
        </w:rPr>
        <w:t xml:space="preserve"> concerned</w:t>
      </w:r>
      <w:r w:rsidRPr="00675587">
        <w:rPr>
          <w:rFonts w:ascii="Arial" w:hAnsi="Arial" w:cs="Arial"/>
          <w:sz w:val="22"/>
        </w:rPr>
        <w:t xml:space="preserve"> that the </w:t>
      </w:r>
      <w:proofErr w:type="spellStart"/>
      <w:r w:rsidRPr="00675587">
        <w:rPr>
          <w:rFonts w:ascii="Arial" w:hAnsi="Arial" w:cs="Arial"/>
          <w:sz w:val="22"/>
        </w:rPr>
        <w:t>pemetrexed</w:t>
      </w:r>
      <w:proofErr w:type="spellEnd"/>
      <w:r w:rsidRPr="00675587">
        <w:rPr>
          <w:rFonts w:ascii="Arial" w:hAnsi="Arial" w:cs="Arial"/>
          <w:sz w:val="22"/>
        </w:rPr>
        <w:t xml:space="preserve"> trials did not enrol patients on the basis of PD-L1 expression, </w:t>
      </w:r>
      <w:r w:rsidR="00416AD7" w:rsidRPr="00675587">
        <w:rPr>
          <w:rFonts w:ascii="Arial" w:hAnsi="Arial" w:cs="Arial"/>
          <w:sz w:val="22"/>
        </w:rPr>
        <w:t xml:space="preserve">that </w:t>
      </w:r>
      <w:r w:rsidRPr="00675587">
        <w:rPr>
          <w:rFonts w:ascii="Arial" w:hAnsi="Arial" w:cs="Arial"/>
          <w:sz w:val="22"/>
        </w:rPr>
        <w:t xml:space="preserve">there was up to a 10-year time difference between the </w:t>
      </w:r>
      <w:proofErr w:type="spellStart"/>
      <w:r w:rsidRPr="00675587">
        <w:rPr>
          <w:rFonts w:ascii="Arial" w:hAnsi="Arial" w:cs="Arial"/>
          <w:sz w:val="22"/>
        </w:rPr>
        <w:t>pemetrexed</w:t>
      </w:r>
      <w:proofErr w:type="spellEnd"/>
      <w:r w:rsidRPr="00675587">
        <w:rPr>
          <w:rFonts w:ascii="Arial" w:hAnsi="Arial" w:cs="Arial"/>
          <w:sz w:val="22"/>
        </w:rPr>
        <w:t xml:space="preserve"> and pembrolizumab trials</w:t>
      </w:r>
      <w:r w:rsidR="00416AD7" w:rsidRPr="00675587">
        <w:rPr>
          <w:rFonts w:ascii="Arial" w:hAnsi="Arial" w:cs="Arial"/>
          <w:sz w:val="22"/>
        </w:rPr>
        <w:t xml:space="preserve">, and that </w:t>
      </w:r>
      <w:r w:rsidR="00620A56" w:rsidRPr="00675587">
        <w:rPr>
          <w:rFonts w:ascii="Arial" w:hAnsi="Arial" w:cs="Arial"/>
          <w:sz w:val="22"/>
        </w:rPr>
        <w:t>the</w:t>
      </w:r>
      <w:r w:rsidR="00416AD7" w:rsidRPr="00675587">
        <w:rPr>
          <w:rFonts w:ascii="Arial" w:hAnsi="Arial" w:cs="Arial"/>
          <w:sz w:val="22"/>
        </w:rPr>
        <w:t xml:space="preserve"> trials</w:t>
      </w:r>
      <w:r w:rsidR="00620A56" w:rsidRPr="00675587">
        <w:rPr>
          <w:rFonts w:ascii="Arial" w:hAnsi="Arial" w:cs="Arial"/>
          <w:sz w:val="22"/>
        </w:rPr>
        <w:t xml:space="preserve"> differed in</w:t>
      </w:r>
      <w:r w:rsidR="00416AD7" w:rsidRPr="00675587">
        <w:rPr>
          <w:rFonts w:ascii="Arial" w:hAnsi="Arial" w:cs="Arial"/>
          <w:sz w:val="22"/>
        </w:rPr>
        <w:t xml:space="preserve"> the dose of the common reference </w:t>
      </w:r>
      <w:r w:rsidR="002B0DA6" w:rsidRPr="00675587">
        <w:rPr>
          <w:rFonts w:ascii="Arial" w:hAnsi="Arial" w:cs="Arial"/>
          <w:sz w:val="22"/>
        </w:rPr>
        <w:t xml:space="preserve">used </w:t>
      </w:r>
      <w:r w:rsidR="00802E2E" w:rsidRPr="00675587">
        <w:rPr>
          <w:rFonts w:ascii="Arial" w:hAnsi="Arial" w:cs="Arial"/>
          <w:sz w:val="22"/>
        </w:rPr>
        <w:t>(</w:t>
      </w:r>
      <w:proofErr w:type="spellStart"/>
      <w:r w:rsidR="00802E2E" w:rsidRPr="00675587">
        <w:rPr>
          <w:rFonts w:ascii="Arial" w:hAnsi="Arial" w:cs="Arial"/>
          <w:sz w:val="22"/>
        </w:rPr>
        <w:t>docetaxel</w:t>
      </w:r>
      <w:proofErr w:type="spellEnd"/>
      <w:r w:rsidR="00802E2E" w:rsidRPr="00675587">
        <w:rPr>
          <w:rFonts w:ascii="Arial" w:hAnsi="Arial" w:cs="Arial"/>
          <w:sz w:val="22"/>
        </w:rPr>
        <w:t>: 75 </w:t>
      </w:r>
      <w:r w:rsidR="00416AD7" w:rsidRPr="00675587">
        <w:rPr>
          <w:rFonts w:ascii="Arial" w:hAnsi="Arial" w:cs="Arial"/>
          <w:sz w:val="22"/>
        </w:rPr>
        <w:t>mg/m</w:t>
      </w:r>
      <w:r w:rsidR="00416AD7" w:rsidRPr="00675587">
        <w:rPr>
          <w:rFonts w:ascii="Arial" w:hAnsi="Arial" w:cs="Arial"/>
          <w:sz w:val="22"/>
          <w:vertAlign w:val="superscript"/>
        </w:rPr>
        <w:t xml:space="preserve">2 </w:t>
      </w:r>
      <w:r w:rsidR="00802E2E" w:rsidRPr="00675587">
        <w:rPr>
          <w:rFonts w:ascii="Arial" w:hAnsi="Arial" w:cs="Arial"/>
          <w:sz w:val="22"/>
        </w:rPr>
        <w:t>in KN-010 versus 500 </w:t>
      </w:r>
      <w:r w:rsidR="00416AD7" w:rsidRPr="00675587">
        <w:rPr>
          <w:rFonts w:ascii="Arial" w:hAnsi="Arial" w:cs="Arial"/>
          <w:sz w:val="22"/>
        </w:rPr>
        <w:t>mg/m</w:t>
      </w:r>
      <w:r w:rsidR="00416AD7" w:rsidRPr="00675587">
        <w:rPr>
          <w:rFonts w:ascii="Arial" w:hAnsi="Arial" w:cs="Arial"/>
          <w:sz w:val="22"/>
          <w:vertAlign w:val="superscript"/>
        </w:rPr>
        <w:t xml:space="preserve">2 </w:t>
      </w:r>
      <w:r w:rsidR="00416AD7" w:rsidRPr="00675587">
        <w:rPr>
          <w:rFonts w:ascii="Arial" w:hAnsi="Arial" w:cs="Arial"/>
          <w:sz w:val="22"/>
        </w:rPr>
        <w:t xml:space="preserve">in </w:t>
      </w:r>
      <w:proofErr w:type="spellStart"/>
      <w:r w:rsidR="00416AD7" w:rsidRPr="00675587">
        <w:rPr>
          <w:rFonts w:ascii="Arial" w:hAnsi="Arial" w:cs="Arial"/>
          <w:sz w:val="22"/>
        </w:rPr>
        <w:t>Scagliotti</w:t>
      </w:r>
      <w:proofErr w:type="spellEnd"/>
      <w:r w:rsidR="00416AD7" w:rsidRPr="00675587">
        <w:rPr>
          <w:rFonts w:ascii="Arial" w:hAnsi="Arial" w:cs="Arial"/>
          <w:sz w:val="22"/>
        </w:rPr>
        <w:t xml:space="preserve"> et al 2009), </w:t>
      </w:r>
      <w:r w:rsidR="00620A56" w:rsidRPr="00675587">
        <w:rPr>
          <w:rFonts w:ascii="Arial" w:hAnsi="Arial" w:cs="Arial"/>
          <w:sz w:val="22"/>
        </w:rPr>
        <w:t>baseline patient and disease characteristics, and stratification of subgroups. The ESC</w:t>
      </w:r>
      <w:r w:rsidR="00F01BA7" w:rsidRPr="00675587">
        <w:rPr>
          <w:rFonts w:ascii="Arial" w:hAnsi="Arial" w:cs="Arial"/>
          <w:sz w:val="22"/>
        </w:rPr>
        <w:t>s</w:t>
      </w:r>
      <w:r w:rsidR="00620A56" w:rsidRPr="00675587">
        <w:rPr>
          <w:rFonts w:ascii="Arial" w:hAnsi="Arial" w:cs="Arial"/>
          <w:sz w:val="22"/>
        </w:rPr>
        <w:t xml:space="preserve"> </w:t>
      </w:r>
      <w:r w:rsidR="00416AD7" w:rsidRPr="00675587">
        <w:rPr>
          <w:rFonts w:ascii="Arial" w:hAnsi="Arial" w:cs="Arial"/>
          <w:sz w:val="22"/>
        </w:rPr>
        <w:t xml:space="preserve">also </w:t>
      </w:r>
      <w:r w:rsidR="00620A56" w:rsidRPr="00675587">
        <w:rPr>
          <w:rFonts w:ascii="Arial" w:hAnsi="Arial" w:cs="Arial"/>
          <w:sz w:val="22"/>
        </w:rPr>
        <w:t xml:space="preserve">noted that </w:t>
      </w:r>
      <w:proofErr w:type="spellStart"/>
      <w:r w:rsidR="00620A56" w:rsidRPr="00675587">
        <w:rPr>
          <w:rFonts w:ascii="Arial" w:hAnsi="Arial" w:cs="Arial"/>
          <w:sz w:val="22"/>
        </w:rPr>
        <w:t>Scagliotti</w:t>
      </w:r>
      <w:proofErr w:type="spellEnd"/>
      <w:r w:rsidR="00620A56" w:rsidRPr="00675587">
        <w:rPr>
          <w:rFonts w:ascii="Arial" w:hAnsi="Arial" w:cs="Arial"/>
          <w:sz w:val="22"/>
        </w:rPr>
        <w:t xml:space="preserve"> et al 2009 was</w:t>
      </w:r>
      <w:r w:rsidR="00416AD7" w:rsidRPr="00675587">
        <w:rPr>
          <w:rFonts w:ascii="Arial" w:hAnsi="Arial" w:cs="Arial"/>
          <w:sz w:val="22"/>
        </w:rPr>
        <w:t xml:space="preserve"> a retrospective analysis and limited data </w:t>
      </w:r>
      <w:r w:rsidR="00A563DB" w:rsidRPr="00675587">
        <w:rPr>
          <w:rFonts w:ascii="Arial" w:hAnsi="Arial" w:cs="Arial"/>
          <w:sz w:val="22"/>
        </w:rPr>
        <w:t xml:space="preserve">were </w:t>
      </w:r>
      <w:r w:rsidR="00416AD7" w:rsidRPr="00675587">
        <w:rPr>
          <w:rFonts w:ascii="Arial" w:hAnsi="Arial" w:cs="Arial"/>
          <w:sz w:val="22"/>
        </w:rPr>
        <w:t>avai</w:t>
      </w:r>
      <w:r w:rsidR="004D435E" w:rsidRPr="00675587">
        <w:rPr>
          <w:rFonts w:ascii="Arial" w:hAnsi="Arial" w:cs="Arial"/>
          <w:sz w:val="22"/>
        </w:rPr>
        <w:t xml:space="preserve">lable </w:t>
      </w:r>
      <w:r w:rsidR="00A563DB" w:rsidRPr="00675587">
        <w:rPr>
          <w:rFonts w:ascii="Arial" w:hAnsi="Arial" w:cs="Arial"/>
          <w:sz w:val="22"/>
        </w:rPr>
        <w:t xml:space="preserve">about </w:t>
      </w:r>
      <w:r w:rsidR="004D435E" w:rsidRPr="00675587">
        <w:rPr>
          <w:rFonts w:ascii="Arial" w:hAnsi="Arial" w:cs="Arial"/>
          <w:sz w:val="22"/>
        </w:rPr>
        <w:t>subsequent treatments.</w:t>
      </w:r>
    </w:p>
    <w:p w:rsidR="009A384F" w:rsidRPr="00675587" w:rsidRDefault="009A384F" w:rsidP="009A384F">
      <w:pPr>
        <w:pStyle w:val="ListParagraph"/>
        <w:ind w:left="0" w:firstLine="0"/>
        <w:rPr>
          <w:rFonts w:ascii="Arial" w:hAnsi="Arial" w:cs="Arial"/>
          <w:sz w:val="22"/>
        </w:rPr>
      </w:pPr>
    </w:p>
    <w:p w:rsidR="0095055D" w:rsidRDefault="0095055D" w:rsidP="009A384F">
      <w:pPr>
        <w:pStyle w:val="Heading4"/>
        <w:spacing w:before="0" w:after="0"/>
        <w:rPr>
          <w:rFonts w:ascii="Arial" w:hAnsi="Arial" w:cs="Arial"/>
          <w:b w:val="0"/>
          <w:i w:val="0"/>
          <w:sz w:val="22"/>
          <w:u w:val="single"/>
        </w:rPr>
      </w:pPr>
      <w:r w:rsidRPr="009015FA">
        <w:rPr>
          <w:rFonts w:ascii="Arial" w:hAnsi="Arial" w:cs="Arial"/>
          <w:b w:val="0"/>
          <w:i w:val="0"/>
          <w:sz w:val="22"/>
          <w:u w:val="single"/>
        </w:rPr>
        <w:t xml:space="preserve">Indirect comparison between pembrolizumab and </w:t>
      </w:r>
      <w:proofErr w:type="spellStart"/>
      <w:r w:rsidRPr="009015FA">
        <w:rPr>
          <w:rFonts w:ascii="Arial" w:hAnsi="Arial" w:cs="Arial"/>
          <w:b w:val="0"/>
          <w:i w:val="0"/>
          <w:sz w:val="22"/>
          <w:u w:val="single"/>
        </w:rPr>
        <w:t>nivolumab</w:t>
      </w:r>
      <w:proofErr w:type="spellEnd"/>
    </w:p>
    <w:p w:rsidR="009A384F" w:rsidRPr="009A384F" w:rsidRDefault="009A384F" w:rsidP="009A384F">
      <w:pPr>
        <w:rPr>
          <w:rFonts w:ascii="Arial" w:hAnsi="Arial" w:cs="Arial"/>
          <w:sz w:val="22"/>
          <w:szCs w:val="22"/>
        </w:rPr>
      </w:pPr>
    </w:p>
    <w:p w:rsidR="0095055D" w:rsidRPr="009015FA" w:rsidRDefault="0095055D" w:rsidP="009C3A29">
      <w:pPr>
        <w:pStyle w:val="ListParagraph"/>
        <w:numPr>
          <w:ilvl w:val="1"/>
          <w:numId w:val="3"/>
        </w:numPr>
        <w:spacing w:after="160" w:line="259" w:lineRule="auto"/>
        <w:ind w:left="720"/>
        <w:rPr>
          <w:rFonts w:ascii="Arial" w:eastAsia="Calibri" w:hAnsi="Arial" w:cs="Arial"/>
          <w:sz w:val="22"/>
        </w:rPr>
      </w:pPr>
      <w:r w:rsidRPr="009015FA">
        <w:rPr>
          <w:rFonts w:ascii="Arial" w:eastAsia="Calibri" w:hAnsi="Arial" w:cs="Arial"/>
          <w:sz w:val="22"/>
        </w:rPr>
        <w:t xml:space="preserve">The submission also presented an indirect comparison between pembrolizumab and </w:t>
      </w:r>
      <w:proofErr w:type="spellStart"/>
      <w:r w:rsidRPr="009015FA">
        <w:rPr>
          <w:rFonts w:ascii="Arial" w:eastAsia="Calibri" w:hAnsi="Arial" w:cs="Arial"/>
          <w:sz w:val="22"/>
        </w:rPr>
        <w:t>nivolumab</w:t>
      </w:r>
      <w:proofErr w:type="spellEnd"/>
      <w:r w:rsidRPr="009015FA">
        <w:rPr>
          <w:rFonts w:ascii="Arial" w:eastAsia="Calibri" w:hAnsi="Arial" w:cs="Arial"/>
          <w:sz w:val="22"/>
        </w:rPr>
        <w:t xml:space="preserve"> in NSCLC patients, with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as the common comparator. </w:t>
      </w:r>
      <w:r w:rsidR="002B0DA6">
        <w:rPr>
          <w:rFonts w:ascii="Arial" w:eastAsia="Calibri" w:hAnsi="Arial" w:cs="Arial"/>
          <w:sz w:val="22"/>
        </w:rPr>
        <w:t>T</w:t>
      </w:r>
      <w:r w:rsidRPr="009015FA">
        <w:rPr>
          <w:rFonts w:ascii="Arial" w:eastAsia="Calibri" w:hAnsi="Arial" w:cs="Arial"/>
          <w:sz w:val="22"/>
        </w:rPr>
        <w:t xml:space="preserve">he data sources for </w:t>
      </w:r>
      <w:proofErr w:type="spellStart"/>
      <w:r w:rsidRPr="009015FA">
        <w:rPr>
          <w:rFonts w:ascii="Arial" w:eastAsia="Calibri" w:hAnsi="Arial" w:cs="Arial"/>
          <w:sz w:val="22"/>
        </w:rPr>
        <w:t>nivolumab</w:t>
      </w:r>
      <w:proofErr w:type="spellEnd"/>
      <w:r w:rsidRPr="009015FA">
        <w:rPr>
          <w:rFonts w:ascii="Arial" w:eastAsia="Calibri" w:hAnsi="Arial" w:cs="Arial"/>
          <w:sz w:val="22"/>
        </w:rPr>
        <w:t xml:space="preserve"> in squamous and non-squamous NSCLC populations</w:t>
      </w:r>
      <w:r w:rsidRPr="009015FA">
        <w:rPr>
          <w:rFonts w:ascii="Arial" w:eastAsia="Calibri" w:hAnsi="Arial" w:cs="Arial"/>
          <w:i/>
          <w:sz w:val="22"/>
        </w:rPr>
        <w:t xml:space="preserve"> </w:t>
      </w:r>
      <w:r w:rsidRPr="009015FA">
        <w:rPr>
          <w:rFonts w:ascii="Arial" w:eastAsia="Calibri" w:hAnsi="Arial" w:cs="Arial"/>
          <w:sz w:val="22"/>
        </w:rPr>
        <w:t>were individual trials (CA-017 and CA-057, respectively) whilst histology data for pembrolizumab were non-</w:t>
      </w:r>
      <w:proofErr w:type="spellStart"/>
      <w:r w:rsidRPr="009015FA">
        <w:rPr>
          <w:rFonts w:ascii="Arial" w:eastAsia="Calibri" w:hAnsi="Arial" w:cs="Arial"/>
          <w:sz w:val="22"/>
        </w:rPr>
        <w:t>prespecified</w:t>
      </w:r>
      <w:proofErr w:type="spellEnd"/>
      <w:r w:rsidRPr="009015FA">
        <w:rPr>
          <w:rFonts w:ascii="Arial" w:eastAsia="Calibri" w:hAnsi="Arial" w:cs="Arial"/>
          <w:sz w:val="22"/>
        </w:rPr>
        <w:t xml:space="preserve"> subgroups from Trial KN-010. There was also no stratification at randomisation by his</w:t>
      </w:r>
      <w:r w:rsidR="006E6043" w:rsidRPr="009015FA">
        <w:rPr>
          <w:rFonts w:ascii="Arial" w:eastAsia="Calibri" w:hAnsi="Arial" w:cs="Arial"/>
          <w:sz w:val="22"/>
        </w:rPr>
        <w:t>tology subtype in Trial KN-010.</w:t>
      </w:r>
    </w:p>
    <w:p w:rsidR="0095055D" w:rsidRPr="009015FA" w:rsidRDefault="0095055D" w:rsidP="006E6043">
      <w:pPr>
        <w:pStyle w:val="ListParagraph"/>
        <w:ind w:left="0" w:firstLine="0"/>
        <w:rPr>
          <w:rFonts w:ascii="Arial" w:hAnsi="Arial" w:cs="Arial"/>
          <w:sz w:val="22"/>
        </w:rPr>
      </w:pPr>
    </w:p>
    <w:p w:rsidR="0095055D" w:rsidRPr="009015FA" w:rsidRDefault="0095055D" w:rsidP="009C3A29">
      <w:pPr>
        <w:pStyle w:val="ListParagraph"/>
        <w:numPr>
          <w:ilvl w:val="1"/>
          <w:numId w:val="3"/>
        </w:numPr>
        <w:spacing w:line="259" w:lineRule="auto"/>
        <w:ind w:left="720"/>
        <w:rPr>
          <w:rFonts w:ascii="Arial" w:eastAsia="Calibri" w:hAnsi="Arial" w:cs="Arial"/>
          <w:sz w:val="22"/>
        </w:rPr>
      </w:pPr>
      <w:r w:rsidRPr="009015FA">
        <w:rPr>
          <w:rFonts w:ascii="Arial" w:eastAsia="Calibri" w:hAnsi="Arial" w:cs="Arial"/>
          <w:sz w:val="22"/>
        </w:rPr>
        <w:t xml:space="preserve">The indirect comparison between pembrolizumab treated patients who had PD-L1 ≥50% versus all </w:t>
      </w:r>
      <w:proofErr w:type="spellStart"/>
      <w:r w:rsidRPr="009015FA">
        <w:rPr>
          <w:rFonts w:ascii="Arial" w:eastAsia="Calibri" w:hAnsi="Arial" w:cs="Arial"/>
          <w:sz w:val="22"/>
        </w:rPr>
        <w:t>nivolumab</w:t>
      </w:r>
      <w:proofErr w:type="spellEnd"/>
      <w:r w:rsidRPr="009015FA">
        <w:rPr>
          <w:rFonts w:ascii="Arial" w:eastAsia="Calibri" w:hAnsi="Arial" w:cs="Arial"/>
          <w:sz w:val="22"/>
        </w:rPr>
        <w:t xml:space="preserve"> treated patients (unselected by PD-L1 status) favours pembrolizumab if PD-L1 expression is also a treatment effect modifier for </w:t>
      </w:r>
      <w:proofErr w:type="spellStart"/>
      <w:r w:rsidRPr="009015FA">
        <w:rPr>
          <w:rFonts w:ascii="Arial" w:eastAsia="Calibri" w:hAnsi="Arial" w:cs="Arial"/>
          <w:sz w:val="22"/>
        </w:rPr>
        <w:t>nivolumab</w:t>
      </w:r>
      <w:proofErr w:type="spellEnd"/>
      <w:r w:rsidRPr="009015FA">
        <w:rPr>
          <w:rFonts w:ascii="Arial" w:eastAsia="Calibri" w:hAnsi="Arial" w:cs="Arial"/>
          <w:sz w:val="22"/>
        </w:rPr>
        <w:t xml:space="preserve"> (HR = </w:t>
      </w:r>
      <w:r w:rsidR="00153EAE">
        <w:rPr>
          <w:rFonts w:ascii="Arial" w:eastAsia="Calibri" w:hAnsi="Arial" w:cs="Arial"/>
          <w:noProof/>
          <w:color w:val="000000"/>
          <w:sz w:val="22"/>
          <w:highlight w:val="black"/>
        </w:rPr>
        <w:t>''''''''''</w:t>
      </w:r>
      <w:r w:rsidRPr="009015FA">
        <w:rPr>
          <w:rFonts w:ascii="Arial" w:eastAsia="Calibri" w:hAnsi="Arial" w:cs="Arial"/>
          <w:sz w:val="22"/>
        </w:rPr>
        <w:t xml:space="preserve">; 95% CI </w:t>
      </w:r>
      <w:r w:rsidR="00153EAE">
        <w:rPr>
          <w:rFonts w:ascii="Arial" w:eastAsia="Calibri" w:hAnsi="Arial" w:cs="Arial"/>
          <w:noProof/>
          <w:color w:val="000000"/>
          <w:sz w:val="22"/>
          <w:highlight w:val="black"/>
        </w:rPr>
        <w:t>''''''''''''</w:t>
      </w:r>
      <w:r w:rsidRPr="009015FA">
        <w:rPr>
          <w:rFonts w:ascii="Arial" w:eastAsia="Calibri" w:hAnsi="Arial" w:cs="Arial"/>
          <w:sz w:val="22"/>
        </w:rPr>
        <w:t xml:space="preserve">, </w:t>
      </w:r>
      <w:r w:rsidR="00153EAE">
        <w:rPr>
          <w:rFonts w:ascii="Arial" w:eastAsia="Calibri" w:hAnsi="Arial" w:cs="Arial"/>
          <w:noProof/>
          <w:color w:val="000000"/>
          <w:sz w:val="22"/>
          <w:highlight w:val="black"/>
        </w:rPr>
        <w:t>''''''''''</w:t>
      </w:r>
      <w:r w:rsidRPr="009015FA">
        <w:rPr>
          <w:rFonts w:ascii="Arial" w:eastAsia="Calibri" w:hAnsi="Arial" w:cs="Arial"/>
          <w:sz w:val="22"/>
        </w:rPr>
        <w:t xml:space="preserve">). The indirect comparison between pembrolizumab and </w:t>
      </w:r>
      <w:proofErr w:type="spellStart"/>
      <w:r w:rsidRPr="009015FA">
        <w:rPr>
          <w:rFonts w:ascii="Arial" w:eastAsia="Calibri" w:hAnsi="Arial" w:cs="Arial"/>
          <w:sz w:val="22"/>
        </w:rPr>
        <w:t>nivolumab</w:t>
      </w:r>
      <w:proofErr w:type="spellEnd"/>
      <w:r w:rsidRPr="009015FA">
        <w:rPr>
          <w:rFonts w:ascii="Arial" w:eastAsia="Calibri" w:hAnsi="Arial" w:cs="Arial"/>
          <w:sz w:val="22"/>
        </w:rPr>
        <w:t xml:space="preserve"> in patients who had PD-L1 ≥1% indicated no statistically significant </w:t>
      </w:r>
      <w:r w:rsidR="00A248F5">
        <w:rPr>
          <w:rFonts w:ascii="Arial" w:eastAsia="Calibri" w:hAnsi="Arial" w:cs="Arial"/>
          <w:sz w:val="22"/>
        </w:rPr>
        <w:t xml:space="preserve">gain </w:t>
      </w:r>
      <w:r w:rsidRPr="009015FA">
        <w:rPr>
          <w:rFonts w:ascii="Arial" w:eastAsia="Calibri" w:hAnsi="Arial" w:cs="Arial"/>
          <w:sz w:val="22"/>
        </w:rPr>
        <w:t xml:space="preserve">in </w:t>
      </w:r>
      <w:r w:rsidR="00A248F5">
        <w:rPr>
          <w:rFonts w:ascii="Arial" w:eastAsia="Calibri" w:hAnsi="Arial" w:cs="Arial"/>
          <w:sz w:val="22"/>
        </w:rPr>
        <w:t xml:space="preserve">OS </w:t>
      </w:r>
      <w:r w:rsidRPr="009015FA">
        <w:rPr>
          <w:rFonts w:ascii="Arial" w:eastAsia="Calibri" w:hAnsi="Arial" w:cs="Arial"/>
          <w:sz w:val="22"/>
        </w:rPr>
        <w:t xml:space="preserve">between both PD-1 inhibitors (HR = </w:t>
      </w:r>
      <w:r w:rsidR="00153EAE">
        <w:rPr>
          <w:rFonts w:ascii="Arial" w:eastAsia="Calibri" w:hAnsi="Arial" w:cs="Arial"/>
          <w:noProof/>
          <w:color w:val="000000"/>
          <w:sz w:val="22"/>
          <w:highlight w:val="black"/>
        </w:rPr>
        <w:t>''''''''''''</w:t>
      </w:r>
      <w:r w:rsidRPr="009015FA">
        <w:rPr>
          <w:rFonts w:ascii="Arial" w:eastAsia="Calibri" w:hAnsi="Arial" w:cs="Arial"/>
          <w:sz w:val="22"/>
        </w:rPr>
        <w:t xml:space="preserve">; 95% CI </w:t>
      </w:r>
      <w:r w:rsidR="00153EAE">
        <w:rPr>
          <w:rFonts w:ascii="Arial" w:eastAsia="Calibri" w:hAnsi="Arial" w:cs="Arial"/>
          <w:noProof/>
          <w:color w:val="000000"/>
          <w:sz w:val="22"/>
          <w:highlight w:val="black"/>
        </w:rPr>
        <w:t>''''''''''</w:t>
      </w:r>
      <w:r w:rsidRPr="009015FA">
        <w:rPr>
          <w:rFonts w:ascii="Arial" w:eastAsia="Calibri" w:hAnsi="Arial" w:cs="Arial"/>
          <w:sz w:val="22"/>
        </w:rPr>
        <w:t xml:space="preserve">, </w:t>
      </w:r>
      <w:r w:rsidR="00153EAE">
        <w:rPr>
          <w:rFonts w:ascii="Arial" w:eastAsia="Calibri" w:hAnsi="Arial" w:cs="Arial"/>
          <w:noProof/>
          <w:color w:val="000000"/>
          <w:sz w:val="22"/>
          <w:highlight w:val="black"/>
        </w:rPr>
        <w:t>''''''''''</w:t>
      </w:r>
      <w:r w:rsidRPr="009015FA">
        <w:rPr>
          <w:rFonts w:ascii="Arial" w:eastAsia="Calibri" w:hAnsi="Arial" w:cs="Arial"/>
          <w:sz w:val="22"/>
        </w:rPr>
        <w:t>).</w:t>
      </w:r>
    </w:p>
    <w:p w:rsidR="009A384F" w:rsidRPr="009A384F" w:rsidRDefault="009A384F" w:rsidP="004B427D">
      <w:bookmarkStart w:id="21" w:name="_Toc439845557"/>
      <w:bookmarkStart w:id="22" w:name="_Toc431891740"/>
      <w:bookmarkStart w:id="23" w:name="_Toc461627089"/>
    </w:p>
    <w:p w:rsidR="0014359C" w:rsidRPr="008A2B3C" w:rsidRDefault="0014359C" w:rsidP="009A384F">
      <w:pPr>
        <w:pStyle w:val="Heading2"/>
        <w:spacing w:before="0" w:beforeAutospacing="0" w:after="0" w:afterAutospacing="0"/>
        <w:rPr>
          <w:rStyle w:val="Heading2Char"/>
          <w:rFonts w:ascii="Arial" w:eastAsia="SimSun" w:hAnsi="Arial"/>
          <w:b/>
          <w:bCs/>
          <w:sz w:val="22"/>
          <w:szCs w:val="22"/>
        </w:rPr>
      </w:pPr>
      <w:r w:rsidRPr="008A2B3C">
        <w:rPr>
          <w:rFonts w:ascii="Arial" w:hAnsi="Arial" w:cs="Arial"/>
          <w:b/>
          <w:sz w:val="22"/>
          <w:szCs w:val="22"/>
        </w:rPr>
        <w:t>Comparative harms and extended assessment of comparative harms</w:t>
      </w:r>
      <w:bookmarkEnd w:id="21"/>
    </w:p>
    <w:bookmarkEnd w:id="22"/>
    <w:bookmarkEnd w:id="23"/>
    <w:p w:rsidR="009A384F" w:rsidRPr="009A384F" w:rsidRDefault="009A384F" w:rsidP="004B427D"/>
    <w:p w:rsidR="0095055D" w:rsidRPr="009015FA" w:rsidRDefault="0095055D" w:rsidP="009A384F">
      <w:pPr>
        <w:pStyle w:val="Heading4"/>
        <w:spacing w:before="0" w:after="0"/>
        <w:rPr>
          <w:rFonts w:ascii="Arial" w:hAnsi="Arial" w:cs="Arial"/>
          <w:b w:val="0"/>
          <w:i w:val="0"/>
          <w:sz w:val="22"/>
          <w:u w:val="single"/>
        </w:rPr>
      </w:pPr>
      <w:r w:rsidRPr="009015FA">
        <w:rPr>
          <w:rFonts w:ascii="Arial" w:hAnsi="Arial" w:cs="Arial"/>
          <w:b w:val="0"/>
          <w:i w:val="0"/>
          <w:sz w:val="22"/>
          <w:u w:val="single"/>
        </w:rPr>
        <w:t xml:space="preserve">Direct comparison of safety between pembrolizumab and </w:t>
      </w:r>
      <w:proofErr w:type="spellStart"/>
      <w:r w:rsidRPr="009015FA">
        <w:rPr>
          <w:rFonts w:ascii="Arial" w:hAnsi="Arial" w:cs="Arial"/>
          <w:b w:val="0"/>
          <w:i w:val="0"/>
          <w:sz w:val="22"/>
          <w:u w:val="single"/>
        </w:rPr>
        <w:t>docetaxel</w:t>
      </w:r>
      <w:proofErr w:type="spellEnd"/>
    </w:p>
    <w:p w:rsidR="009A384F" w:rsidRPr="009A384F" w:rsidRDefault="009A384F" w:rsidP="009A384F">
      <w:pPr>
        <w:pStyle w:val="ListParagraph"/>
        <w:ind w:left="0" w:firstLine="0"/>
        <w:rPr>
          <w:rFonts w:ascii="Arial" w:hAnsi="Arial" w:cs="Arial"/>
          <w:sz w:val="22"/>
        </w:rPr>
      </w:pPr>
    </w:p>
    <w:p w:rsidR="0095055D" w:rsidRPr="00802E2E" w:rsidRDefault="0095055D" w:rsidP="009C3A29">
      <w:pPr>
        <w:pStyle w:val="ListParagraph"/>
        <w:numPr>
          <w:ilvl w:val="1"/>
          <w:numId w:val="3"/>
        </w:numPr>
        <w:ind w:left="720"/>
        <w:rPr>
          <w:rFonts w:ascii="Arial" w:hAnsi="Arial" w:cs="Arial"/>
          <w:sz w:val="22"/>
        </w:rPr>
      </w:pPr>
      <w:r w:rsidRPr="00232CE0">
        <w:rPr>
          <w:rFonts w:ascii="Arial" w:eastAsia="Calibri" w:hAnsi="Arial" w:cs="Arial"/>
          <w:sz w:val="22"/>
        </w:rPr>
        <w:t>Table</w:t>
      </w:r>
      <w:r w:rsidRPr="009015FA">
        <w:rPr>
          <w:rFonts w:ascii="Arial" w:hAnsi="Arial" w:cs="Arial"/>
          <w:sz w:val="22"/>
        </w:rPr>
        <w:t xml:space="preserve"> </w:t>
      </w:r>
      <w:r w:rsidR="006405DD">
        <w:rPr>
          <w:rFonts w:ascii="Arial" w:hAnsi="Arial" w:cs="Arial"/>
          <w:sz w:val="22"/>
        </w:rPr>
        <w:t>11</w:t>
      </w:r>
      <w:r w:rsidRPr="009015FA">
        <w:rPr>
          <w:rFonts w:ascii="Arial" w:hAnsi="Arial" w:cs="Arial"/>
          <w:sz w:val="22"/>
        </w:rPr>
        <w:t xml:space="preserve"> summarises AEs of special interest (AEOSI) from the</w:t>
      </w:r>
      <w:r w:rsidR="00802E2E" w:rsidRPr="00802E2E">
        <w:t xml:space="preserve"> </w:t>
      </w:r>
      <w:r w:rsidR="00802E2E" w:rsidRPr="00802E2E">
        <w:rPr>
          <w:rFonts w:ascii="Arial" w:hAnsi="Arial" w:cs="Arial"/>
          <w:sz w:val="22"/>
        </w:rPr>
        <w:t>TPS ≥50%</w:t>
      </w:r>
      <w:r w:rsidR="00802E2E">
        <w:rPr>
          <w:rFonts w:ascii="Arial" w:hAnsi="Arial" w:cs="Arial"/>
          <w:sz w:val="22"/>
        </w:rPr>
        <w:t xml:space="preserve"> subgroup of the</w:t>
      </w:r>
      <w:r w:rsidRPr="009015FA">
        <w:rPr>
          <w:rFonts w:ascii="Arial" w:hAnsi="Arial" w:cs="Arial"/>
          <w:sz w:val="22"/>
        </w:rPr>
        <w:t xml:space="preserve"> KN-010 trial.</w:t>
      </w:r>
    </w:p>
    <w:p w:rsidR="0095055D" w:rsidRPr="00802E2E" w:rsidRDefault="0095055D" w:rsidP="00A36DD4">
      <w:pPr>
        <w:rPr>
          <w:rFonts w:ascii="Arial" w:hAnsi="Arial" w:cs="Arial"/>
          <w:sz w:val="22"/>
        </w:rPr>
      </w:pPr>
    </w:p>
    <w:p w:rsidR="0095055D" w:rsidRPr="00263D96" w:rsidRDefault="00DF42DF" w:rsidP="00DF42DF">
      <w:pPr>
        <w:pStyle w:val="TableHeading0"/>
        <w:ind w:left="720"/>
      </w:pPr>
      <w:r>
        <w:br w:type="page"/>
      </w:r>
      <w:r w:rsidR="0095055D" w:rsidRPr="000406A2">
        <w:t xml:space="preserve">Table </w:t>
      </w:r>
      <w:r w:rsidR="0095055D">
        <w:t>1</w:t>
      </w:r>
      <w:r w:rsidR="006405DD">
        <w:t>1</w:t>
      </w:r>
      <w:r w:rsidR="0095055D">
        <w:t xml:space="preserve">: </w:t>
      </w:r>
      <w:r w:rsidR="0095055D" w:rsidRPr="00263D96">
        <w:t xml:space="preserve">KN-010: </w:t>
      </w:r>
      <w:r w:rsidR="0095055D">
        <w:t>AEOSIs</w:t>
      </w:r>
      <w:r w:rsidR="0095055D" w:rsidRPr="00263D96">
        <w:t xml:space="preserve">∞ and pneumonitis: Pembrolizumab treatment </w:t>
      </w:r>
      <w:r w:rsidR="00802E2E">
        <w:t>g</w:t>
      </w:r>
      <w:r w:rsidR="0095055D" w:rsidRPr="00263D96">
        <w:t>roups pooled</w:t>
      </w:r>
      <w:r w:rsidR="00802E2E">
        <w:t>,</w:t>
      </w:r>
      <w:r w:rsidR="0095055D" w:rsidRPr="00263D96">
        <w:t xml:space="preserve"> </w:t>
      </w:r>
      <w:proofErr w:type="spellStart"/>
      <w:r w:rsidR="0095055D" w:rsidRPr="00263D96">
        <w:t>APaT</w:t>
      </w:r>
      <w:proofErr w:type="spellEnd"/>
      <w:r w:rsidR="0095055D" w:rsidRPr="00263D96">
        <w:t xml:space="preserve"> </w:t>
      </w:r>
      <w:r w:rsidR="00802E2E">
        <w:t>p</w:t>
      </w:r>
      <w:r w:rsidR="0095055D" w:rsidRPr="00263D96">
        <w:t>opulation (TPS ≥50%</w:t>
      </w:r>
      <w:r w:rsidR="00802E2E">
        <w:t xml:space="preserve">, </w:t>
      </w:r>
      <w:r w:rsidR="00802E2E">
        <w:rPr>
          <w:rFonts w:eastAsia="Calibri"/>
          <w:bCs/>
        </w:rPr>
        <w:t>data cut-off: 30 September 2015</w:t>
      </w:r>
      <w:r w:rsidR="0095055D" w:rsidRPr="00263D96">
        <w:t>)</w:t>
      </w:r>
    </w:p>
    <w:tbl>
      <w:tblPr>
        <w:tblW w:w="4682"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0"/>
        <w:gridCol w:w="1277"/>
        <w:gridCol w:w="1415"/>
        <w:gridCol w:w="1558"/>
        <w:gridCol w:w="1985"/>
      </w:tblGrid>
      <w:tr w:rsidR="0095055D" w:rsidRPr="0084782C" w:rsidTr="00DF42DF">
        <w:trPr>
          <w:tblHeader/>
        </w:trPr>
        <w:tc>
          <w:tcPr>
            <w:tcW w:w="1334" w:type="pct"/>
            <w:vMerge w:val="restar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left"/>
              <w:rPr>
                <w:rFonts w:ascii="Arial Narrow" w:hAnsi="Arial Narrow"/>
                <w:b/>
                <w:sz w:val="20"/>
                <w:szCs w:val="20"/>
                <w:lang w:eastAsia="en-AU"/>
              </w:rPr>
            </w:pPr>
            <w:r w:rsidRPr="00025906">
              <w:rPr>
                <w:rFonts w:ascii="Arial Narrow" w:hAnsi="Arial Narrow"/>
                <w:b/>
                <w:sz w:val="20"/>
                <w:szCs w:val="20"/>
                <w:lang w:eastAsia="en-AU"/>
              </w:rPr>
              <w:t xml:space="preserve">Subjects in population </w:t>
            </w:r>
          </w:p>
          <w:p w:rsidR="0095055D" w:rsidRPr="00025906" w:rsidRDefault="0095055D" w:rsidP="002B0DA6">
            <w:pPr>
              <w:tabs>
                <w:tab w:val="left" w:pos="416"/>
                <w:tab w:val="left" w:pos="582"/>
              </w:tabs>
              <w:jc w:val="left"/>
              <w:rPr>
                <w:rFonts w:ascii="Arial Narrow" w:hAnsi="Arial Narrow"/>
                <w:b/>
                <w:sz w:val="20"/>
                <w:szCs w:val="20"/>
                <w:lang w:eastAsia="en-AU"/>
              </w:rPr>
            </w:pPr>
            <w:r w:rsidRPr="00025906">
              <w:rPr>
                <w:rFonts w:ascii="Arial Narrow" w:hAnsi="Arial Narrow"/>
                <w:b/>
                <w:sz w:val="20"/>
                <w:szCs w:val="20"/>
                <w:lang w:eastAsia="en-AU"/>
              </w:rPr>
              <w:t>(AEOSI)</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proofErr w:type="spellStart"/>
            <w:r w:rsidRPr="00025906">
              <w:rPr>
                <w:rFonts w:ascii="Arial Narrow" w:hAnsi="Arial Narrow"/>
                <w:b/>
                <w:sz w:val="20"/>
                <w:szCs w:val="20"/>
                <w:lang w:eastAsia="en-AU"/>
              </w:rPr>
              <w:t>Docetaxel</w:t>
            </w:r>
            <w:proofErr w:type="spellEnd"/>
            <w:r w:rsidRPr="00025906">
              <w:rPr>
                <w:rFonts w:ascii="Arial Narrow" w:hAnsi="Arial Narrow"/>
                <w:b/>
                <w:sz w:val="20"/>
                <w:szCs w:val="20"/>
                <w:lang w:eastAsia="en-AU"/>
              </w:rPr>
              <w:t xml:space="preserve"> 75 mg/m</w:t>
            </w:r>
            <w:r w:rsidRPr="00025906">
              <w:rPr>
                <w:rFonts w:ascii="Arial Narrow" w:hAnsi="Arial Narrow"/>
                <w:b/>
                <w:sz w:val="20"/>
                <w:szCs w:val="20"/>
                <w:vertAlign w:val="superscript"/>
                <w:lang w:eastAsia="en-AU"/>
              </w:rPr>
              <w:t>2</w:t>
            </w:r>
            <w:r w:rsidRPr="00025906">
              <w:rPr>
                <w:rFonts w:ascii="Arial Narrow" w:hAnsi="Arial Narrow"/>
                <w:b/>
                <w:sz w:val="20"/>
                <w:szCs w:val="20"/>
                <w:lang w:eastAsia="en-AU"/>
              </w:rPr>
              <w:t xml:space="preserve"> Q3W</w:t>
            </w:r>
          </w:p>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N=133</w:t>
            </w:r>
          </w:p>
        </w:tc>
        <w:tc>
          <w:tcPr>
            <w:tcW w:w="832" w:type="pct"/>
            <w:shd w:val="clear" w:color="auto" w:fill="auto"/>
            <w:tcMar>
              <w:top w:w="28" w:type="dxa"/>
              <w:left w:w="28" w:type="dxa"/>
              <w:bottom w:w="28" w:type="dxa"/>
              <w:right w:w="28" w:type="dxa"/>
            </w:tcMar>
            <w:vAlign w:val="center"/>
          </w:tcPr>
          <w:p w:rsidR="0095055D" w:rsidRPr="00025906" w:rsidRDefault="006E6043" w:rsidP="00DF42DF">
            <w:pPr>
              <w:tabs>
                <w:tab w:val="left" w:pos="416"/>
                <w:tab w:val="left" w:pos="582"/>
              </w:tabs>
              <w:jc w:val="center"/>
              <w:rPr>
                <w:rFonts w:ascii="Arial Narrow" w:hAnsi="Arial Narrow"/>
                <w:b/>
                <w:sz w:val="20"/>
                <w:szCs w:val="20"/>
                <w:lang w:eastAsia="en-AU"/>
              </w:rPr>
            </w:pPr>
            <w:r>
              <w:rPr>
                <w:rFonts w:ascii="Arial Narrow" w:hAnsi="Arial Narrow"/>
                <w:b/>
                <w:sz w:val="20"/>
                <w:szCs w:val="20"/>
                <w:lang w:eastAsia="en-AU"/>
              </w:rPr>
              <w:t>Pembrolizumab p</w:t>
            </w:r>
            <w:r w:rsidR="0095055D" w:rsidRPr="00025906">
              <w:rPr>
                <w:rFonts w:ascii="Arial Narrow" w:hAnsi="Arial Narrow"/>
                <w:b/>
                <w:sz w:val="20"/>
                <w:szCs w:val="20"/>
                <w:lang w:eastAsia="en-AU"/>
              </w:rPr>
              <w:t>ooled (2 mg/kg and 10 mg/kg doses)</w:t>
            </w:r>
            <w:r w:rsidR="00DF42DF">
              <w:rPr>
                <w:rFonts w:ascii="Arial Narrow" w:hAnsi="Arial Narrow"/>
                <w:b/>
                <w:sz w:val="20"/>
                <w:szCs w:val="20"/>
                <w:lang w:eastAsia="en-AU"/>
              </w:rPr>
              <w:t xml:space="preserve"> </w:t>
            </w:r>
            <w:r w:rsidR="0095055D" w:rsidRPr="00025906">
              <w:rPr>
                <w:rFonts w:ascii="Arial Narrow" w:hAnsi="Arial Narrow"/>
                <w:b/>
                <w:sz w:val="20"/>
                <w:szCs w:val="20"/>
                <w:lang w:eastAsia="en-AU"/>
              </w:rPr>
              <w:t>N=288</w:t>
            </w:r>
          </w:p>
        </w:tc>
        <w:tc>
          <w:tcPr>
            <w:tcW w:w="916" w:type="pct"/>
            <w:vMerge w:val="restar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Risk difference % (RD) (95% CI)</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 xml:space="preserve">Pembrolizumab minus </w:t>
            </w:r>
            <w:proofErr w:type="spellStart"/>
            <w:r w:rsidRPr="00232CE0">
              <w:rPr>
                <w:rFonts w:ascii="Arial Narrow" w:hAnsi="Arial Narrow"/>
                <w:b/>
                <w:sz w:val="20"/>
                <w:szCs w:val="20"/>
                <w:lang w:eastAsia="en-AU"/>
              </w:rPr>
              <w:t>docetaxel</w:t>
            </w:r>
            <w:proofErr w:type="spellEnd"/>
          </w:p>
        </w:tc>
        <w:tc>
          <w:tcPr>
            <w:tcW w:w="1167" w:type="pct"/>
            <w:vMerge w:val="restar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Relative risk (RR) (95% CI)</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 xml:space="preserve">Pembrolizumab minus </w:t>
            </w:r>
            <w:proofErr w:type="spellStart"/>
            <w:r w:rsidRPr="00232CE0">
              <w:rPr>
                <w:rFonts w:ascii="Arial Narrow" w:hAnsi="Arial Narrow"/>
                <w:b/>
                <w:sz w:val="20"/>
                <w:szCs w:val="20"/>
                <w:lang w:eastAsia="en-AU"/>
              </w:rPr>
              <w:t>docetaxel</w:t>
            </w:r>
            <w:proofErr w:type="spellEnd"/>
          </w:p>
        </w:tc>
      </w:tr>
      <w:tr w:rsidR="0095055D" w:rsidRPr="0084782C" w:rsidTr="00DF42DF">
        <w:trPr>
          <w:trHeight w:val="99"/>
          <w:tblHeader/>
        </w:trPr>
        <w:tc>
          <w:tcPr>
            <w:tcW w:w="1334" w:type="pct"/>
            <w:vMerge/>
            <w:shd w:val="clear" w:color="auto" w:fill="auto"/>
            <w:tcMar>
              <w:top w:w="28" w:type="dxa"/>
              <w:left w:w="28" w:type="dxa"/>
              <w:bottom w:w="28" w:type="dxa"/>
              <w:right w:w="28" w:type="dxa"/>
            </w:tcMar>
          </w:tcPr>
          <w:p w:rsidR="0095055D" w:rsidRPr="00025906" w:rsidRDefault="0095055D" w:rsidP="00025906">
            <w:pPr>
              <w:tabs>
                <w:tab w:val="left" w:pos="416"/>
                <w:tab w:val="left" w:pos="582"/>
              </w:tabs>
              <w:rPr>
                <w:rFonts w:ascii="Arial Narrow" w:hAnsi="Arial Narrow"/>
                <w:b/>
                <w:sz w:val="20"/>
                <w:szCs w:val="20"/>
                <w:lang w:eastAsia="en-AU"/>
              </w:rPr>
            </w:pP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proofErr w:type="gramStart"/>
            <w:r w:rsidRPr="00025906">
              <w:rPr>
                <w:rFonts w:ascii="Arial Narrow" w:hAnsi="Arial Narrow"/>
                <w:b/>
                <w:sz w:val="20"/>
                <w:szCs w:val="20"/>
                <w:lang w:eastAsia="en-AU"/>
              </w:rPr>
              <w:t>n</w:t>
            </w:r>
            <w:proofErr w:type="gramEnd"/>
            <w:r w:rsidRPr="00025906">
              <w:rPr>
                <w:rFonts w:ascii="Arial Narrow" w:hAnsi="Arial Narrow"/>
                <w:b/>
                <w:sz w:val="20"/>
                <w:szCs w:val="20"/>
                <w:lang w:eastAsia="en-AU"/>
              </w:rPr>
              <w:t xml:space="preserve"> (%)</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proofErr w:type="gramStart"/>
            <w:r w:rsidRPr="00025906">
              <w:rPr>
                <w:rFonts w:ascii="Arial Narrow" w:hAnsi="Arial Narrow"/>
                <w:b/>
                <w:sz w:val="20"/>
                <w:szCs w:val="20"/>
                <w:lang w:eastAsia="en-AU"/>
              </w:rPr>
              <w:t>n</w:t>
            </w:r>
            <w:proofErr w:type="gramEnd"/>
            <w:r w:rsidRPr="00025906">
              <w:rPr>
                <w:rFonts w:ascii="Arial Narrow" w:hAnsi="Arial Narrow"/>
                <w:b/>
                <w:sz w:val="20"/>
                <w:szCs w:val="20"/>
                <w:lang w:eastAsia="en-AU"/>
              </w:rPr>
              <w:t xml:space="preserve"> (%)</w:t>
            </w:r>
          </w:p>
        </w:tc>
        <w:tc>
          <w:tcPr>
            <w:tcW w:w="916" w:type="pct"/>
            <w:vMerge/>
            <w:shd w:val="clear" w:color="auto" w:fill="auto"/>
            <w:tcMar>
              <w:top w:w="28" w:type="dxa"/>
              <w:left w:w="28" w:type="dxa"/>
              <w:bottom w:w="28" w:type="dxa"/>
              <w:right w:w="28" w:type="dxa"/>
            </w:tcMar>
          </w:tcPr>
          <w:p w:rsidR="0095055D" w:rsidRPr="00232CE0" w:rsidRDefault="0095055D" w:rsidP="00025906">
            <w:pPr>
              <w:tabs>
                <w:tab w:val="left" w:pos="416"/>
                <w:tab w:val="left" w:pos="582"/>
              </w:tabs>
              <w:jc w:val="center"/>
              <w:rPr>
                <w:rFonts w:ascii="Arial Narrow" w:hAnsi="Arial Narrow"/>
                <w:b/>
                <w:sz w:val="20"/>
                <w:szCs w:val="20"/>
                <w:lang w:eastAsia="en-AU"/>
              </w:rPr>
            </w:pPr>
          </w:p>
        </w:tc>
        <w:tc>
          <w:tcPr>
            <w:tcW w:w="1167" w:type="pct"/>
            <w:vMerge/>
            <w:shd w:val="clear" w:color="auto" w:fill="auto"/>
            <w:tcMar>
              <w:top w:w="28" w:type="dxa"/>
              <w:left w:w="28" w:type="dxa"/>
              <w:bottom w:w="28" w:type="dxa"/>
              <w:right w:w="28" w:type="dxa"/>
            </w:tcMar>
          </w:tcPr>
          <w:p w:rsidR="0095055D" w:rsidRPr="00232CE0" w:rsidRDefault="0095055D" w:rsidP="00025906">
            <w:pPr>
              <w:tabs>
                <w:tab w:val="left" w:pos="416"/>
                <w:tab w:val="left" w:pos="582"/>
              </w:tabs>
              <w:jc w:val="center"/>
              <w:rPr>
                <w:rFonts w:ascii="Arial Narrow" w:hAnsi="Arial Narrow"/>
                <w:b/>
                <w:sz w:val="20"/>
                <w:szCs w:val="20"/>
                <w:lang w:eastAsia="en-AU"/>
              </w:rPr>
            </w:pP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0"/>
                <w:tab w:val="left" w:pos="416"/>
              </w:tabs>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ith one or more AEs</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9 (6.8)</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66 (22.9)</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16.1%</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(9.7%, 22.6%)</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3.4</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(2.0, 8.4)</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ith drug-related† AEs</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4 (3.0)</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55(19.1)</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16.1%</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(10.7%, 21.4%)</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6.4</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(2.4, 17.2)</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ith toxicity grade 3-5 drug-related AEs</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2 (1.5)</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14 (4.9)</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3.4%</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(0.1%, 6.6%)</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3.2</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(0.7, 14.0)</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0"/>
                <w:tab w:val="left" w:pos="416"/>
              </w:tabs>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 xml:space="preserve">ith serious drug-related AEs </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2 (1.5)</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b/>
                <w:sz w:val="20"/>
                <w:szCs w:val="20"/>
                <w:lang w:eastAsia="en-AU"/>
              </w:rPr>
            </w:pPr>
            <w:r w:rsidRPr="00025906">
              <w:rPr>
                <w:rFonts w:ascii="Arial Narrow" w:hAnsi="Arial Narrow"/>
                <w:b/>
                <w:sz w:val="20"/>
                <w:szCs w:val="20"/>
                <w:lang w:eastAsia="en-AU"/>
              </w:rPr>
              <w:t>17 (5.9)</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4.4%</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(1.0%, 7.8%)</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3.9</w:t>
            </w:r>
          </w:p>
          <w:p w:rsidR="0095055D" w:rsidRPr="00232CE0" w:rsidRDefault="0095055D" w:rsidP="002B0DA6">
            <w:pPr>
              <w:tabs>
                <w:tab w:val="left" w:pos="416"/>
                <w:tab w:val="left" w:pos="582"/>
              </w:tabs>
              <w:jc w:val="center"/>
              <w:rPr>
                <w:rFonts w:ascii="Arial Narrow" w:hAnsi="Arial Narrow"/>
                <w:b/>
                <w:sz w:val="20"/>
                <w:szCs w:val="20"/>
                <w:lang w:eastAsia="en-AU"/>
              </w:rPr>
            </w:pPr>
            <w:r w:rsidRPr="00232CE0">
              <w:rPr>
                <w:rFonts w:ascii="Arial Narrow" w:hAnsi="Arial Narrow"/>
                <w:b/>
                <w:sz w:val="20"/>
                <w:szCs w:val="20"/>
                <w:lang w:eastAsia="en-AU"/>
              </w:rPr>
              <w:t>(0.9, 16.7)</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ind w:left="29" w:hanging="29"/>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 xml:space="preserve">ho died due to a drug-related AE </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1 (0.8)</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2 (0.7)</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-0.1%</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(-1.8%, 1.7%)</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0.9</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(0.1, 10.1)</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ind w:left="29" w:hanging="29"/>
              <w:jc w:val="left"/>
              <w:rPr>
                <w:rFonts w:ascii="Arial Narrow" w:hAnsi="Arial Narrow"/>
                <w:sz w:val="20"/>
                <w:szCs w:val="20"/>
                <w:lang w:eastAsia="en-AU"/>
              </w:rPr>
            </w:pPr>
            <w:r>
              <w:rPr>
                <w:rFonts w:ascii="Arial Narrow" w:hAnsi="Arial Narrow"/>
                <w:sz w:val="20"/>
                <w:szCs w:val="20"/>
                <w:lang w:eastAsia="en-AU"/>
              </w:rPr>
              <w:t>D</w:t>
            </w:r>
            <w:r w:rsidR="0095055D" w:rsidRPr="00025906">
              <w:rPr>
                <w:rFonts w:ascii="Arial Narrow" w:hAnsi="Arial Narrow"/>
                <w:sz w:val="20"/>
                <w:szCs w:val="20"/>
                <w:lang w:eastAsia="en-AU"/>
              </w:rPr>
              <w:t>iscontinued due to a drug-related AE</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2 (1.5)</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9 (3.1)</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1.6%</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(-1.2%, 4.5%)</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2.1</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(0.5, 9.6)</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jc w:val="left"/>
              <w:rPr>
                <w:rFonts w:ascii="Arial Narrow" w:hAnsi="Arial Narrow"/>
                <w:sz w:val="20"/>
                <w:szCs w:val="20"/>
                <w:lang w:eastAsia="en-AU"/>
              </w:rPr>
            </w:pPr>
            <w:r>
              <w:rPr>
                <w:rFonts w:ascii="Arial Narrow" w:hAnsi="Arial Narrow"/>
                <w:sz w:val="20"/>
                <w:szCs w:val="20"/>
                <w:lang w:eastAsia="en-AU"/>
              </w:rPr>
              <w:t>D</w:t>
            </w:r>
            <w:r w:rsidR="0095055D" w:rsidRPr="00025906">
              <w:rPr>
                <w:rFonts w:ascii="Arial Narrow" w:hAnsi="Arial Narrow"/>
                <w:sz w:val="20"/>
                <w:szCs w:val="20"/>
                <w:lang w:eastAsia="en-AU"/>
              </w:rPr>
              <w:t xml:space="preserve">iscontinued due to a serious drug-related AE </w:t>
            </w:r>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2 (1.5)</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5 (1.7)</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0.2%</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(-2.3%, 2.8%)</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1.2</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(0.2, 5.9)</w:t>
            </w:r>
          </w:p>
        </w:tc>
      </w:tr>
      <w:tr w:rsidR="0095055D" w:rsidRPr="0084782C" w:rsidTr="00DF42DF">
        <w:tc>
          <w:tcPr>
            <w:tcW w:w="1334" w:type="pct"/>
            <w:shd w:val="clear" w:color="auto" w:fill="auto"/>
            <w:tcMar>
              <w:top w:w="28" w:type="dxa"/>
              <w:left w:w="28" w:type="dxa"/>
              <w:bottom w:w="28" w:type="dxa"/>
              <w:right w:w="28" w:type="dxa"/>
            </w:tcMar>
            <w:vAlign w:val="center"/>
          </w:tcPr>
          <w:p w:rsidR="0095055D" w:rsidRPr="00025906" w:rsidRDefault="002B0DA6" w:rsidP="002B0DA6">
            <w:pPr>
              <w:tabs>
                <w:tab w:val="left" w:pos="416"/>
                <w:tab w:val="left" w:pos="582"/>
              </w:tabs>
              <w:jc w:val="left"/>
              <w:rPr>
                <w:rFonts w:ascii="Arial Narrow" w:hAnsi="Arial Narrow"/>
                <w:sz w:val="20"/>
                <w:szCs w:val="20"/>
                <w:lang w:eastAsia="en-AU"/>
              </w:rPr>
            </w:pPr>
            <w:r>
              <w:rPr>
                <w:rFonts w:ascii="Arial Narrow" w:hAnsi="Arial Narrow"/>
                <w:sz w:val="20"/>
                <w:szCs w:val="20"/>
                <w:lang w:eastAsia="en-AU"/>
              </w:rPr>
              <w:t>W</w:t>
            </w:r>
            <w:r w:rsidR="0095055D" w:rsidRPr="00025906">
              <w:rPr>
                <w:rFonts w:ascii="Arial Narrow" w:hAnsi="Arial Narrow"/>
                <w:sz w:val="20"/>
                <w:szCs w:val="20"/>
                <w:lang w:eastAsia="en-AU"/>
              </w:rPr>
              <w:t xml:space="preserve">ith Grade ≥ 2 pneumonitis with a potential immunologic </w:t>
            </w:r>
            <w:proofErr w:type="spellStart"/>
            <w:r w:rsidR="0095055D" w:rsidRPr="00025906">
              <w:rPr>
                <w:rFonts w:ascii="Arial Narrow" w:hAnsi="Arial Narrow"/>
                <w:sz w:val="20"/>
                <w:szCs w:val="20"/>
                <w:lang w:eastAsia="en-AU"/>
              </w:rPr>
              <w:t>etiology</w:t>
            </w:r>
            <w:proofErr w:type="spellEnd"/>
          </w:p>
        </w:tc>
        <w:tc>
          <w:tcPr>
            <w:tcW w:w="751"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2 (1.5)</w:t>
            </w:r>
          </w:p>
        </w:tc>
        <w:tc>
          <w:tcPr>
            <w:tcW w:w="832" w:type="pct"/>
            <w:shd w:val="clear" w:color="auto" w:fill="auto"/>
            <w:tcMar>
              <w:top w:w="28" w:type="dxa"/>
              <w:left w:w="28" w:type="dxa"/>
              <w:bottom w:w="28" w:type="dxa"/>
              <w:right w:w="28" w:type="dxa"/>
            </w:tcMar>
            <w:vAlign w:val="center"/>
          </w:tcPr>
          <w:p w:rsidR="0095055D" w:rsidRPr="00025906" w:rsidRDefault="0095055D" w:rsidP="002B0DA6">
            <w:pPr>
              <w:tabs>
                <w:tab w:val="left" w:pos="416"/>
                <w:tab w:val="left" w:pos="582"/>
              </w:tabs>
              <w:jc w:val="center"/>
              <w:rPr>
                <w:rFonts w:ascii="Arial Narrow" w:hAnsi="Arial Narrow"/>
                <w:sz w:val="20"/>
                <w:szCs w:val="20"/>
                <w:lang w:eastAsia="en-AU"/>
              </w:rPr>
            </w:pPr>
            <w:r w:rsidRPr="00025906">
              <w:rPr>
                <w:rFonts w:ascii="Arial Narrow" w:hAnsi="Arial Narrow"/>
                <w:sz w:val="20"/>
                <w:szCs w:val="20"/>
                <w:lang w:eastAsia="en-AU"/>
              </w:rPr>
              <w:t>15 (5.2)</w:t>
            </w:r>
          </w:p>
        </w:tc>
        <w:tc>
          <w:tcPr>
            <w:tcW w:w="916"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3 7%</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(- 0.4%, 7.0%)</w:t>
            </w:r>
          </w:p>
        </w:tc>
        <w:tc>
          <w:tcPr>
            <w:tcW w:w="1167" w:type="pct"/>
            <w:shd w:val="clear" w:color="auto" w:fill="auto"/>
            <w:tcMar>
              <w:top w:w="28" w:type="dxa"/>
              <w:left w:w="28" w:type="dxa"/>
              <w:bottom w:w="28" w:type="dxa"/>
              <w:right w:w="28" w:type="dxa"/>
            </w:tcMar>
            <w:vAlign w:val="center"/>
          </w:tcPr>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3.5</w:t>
            </w:r>
          </w:p>
          <w:p w:rsidR="0095055D" w:rsidRPr="00232CE0" w:rsidRDefault="0095055D" w:rsidP="002B0DA6">
            <w:pPr>
              <w:tabs>
                <w:tab w:val="left" w:pos="416"/>
                <w:tab w:val="left" w:pos="582"/>
              </w:tabs>
              <w:jc w:val="center"/>
              <w:rPr>
                <w:rFonts w:ascii="Arial Narrow" w:hAnsi="Arial Narrow"/>
                <w:sz w:val="20"/>
                <w:szCs w:val="20"/>
                <w:lang w:eastAsia="en-AU"/>
              </w:rPr>
            </w:pPr>
            <w:r w:rsidRPr="00232CE0">
              <w:rPr>
                <w:rFonts w:ascii="Arial Narrow" w:hAnsi="Arial Narrow"/>
                <w:sz w:val="20"/>
                <w:szCs w:val="20"/>
                <w:lang w:eastAsia="en-AU"/>
              </w:rPr>
              <w:t>(0.8, 14.9)</w:t>
            </w:r>
          </w:p>
        </w:tc>
      </w:tr>
    </w:tbl>
    <w:p w:rsidR="0095055D" w:rsidRPr="00382E1C" w:rsidRDefault="0095055D" w:rsidP="00DF42DF">
      <w:pPr>
        <w:autoSpaceDE w:val="0"/>
        <w:autoSpaceDN w:val="0"/>
        <w:adjustRightInd w:val="0"/>
        <w:ind w:left="709" w:right="-20"/>
        <w:rPr>
          <w:rFonts w:ascii="Arial Narrow" w:hAnsi="Arial Narrow" w:cs="Arial"/>
          <w:sz w:val="18"/>
          <w:szCs w:val="18"/>
          <w:lang w:eastAsia="en-AU"/>
        </w:rPr>
      </w:pPr>
      <w:r w:rsidRPr="00B5529C">
        <w:rPr>
          <w:rFonts w:ascii="Arial Narrow" w:hAnsi="Arial Narrow" w:cs="Arial"/>
          <w:sz w:val="18"/>
          <w:szCs w:val="18"/>
          <w:vertAlign w:val="superscript"/>
          <w:lang w:eastAsia="en-AU"/>
        </w:rPr>
        <w:t>∞</w:t>
      </w:r>
      <w:r w:rsidRPr="00382E1C">
        <w:rPr>
          <w:rFonts w:ascii="Arial Narrow" w:hAnsi="Arial Narrow" w:cs="Arial"/>
          <w:sz w:val="18"/>
          <w:szCs w:val="18"/>
          <w:lang w:eastAsia="en-AU"/>
        </w:rPr>
        <w:t xml:space="preserve"> Safety parameters </w:t>
      </w:r>
      <w:r>
        <w:rPr>
          <w:rFonts w:ascii="Arial Narrow" w:hAnsi="Arial Narrow" w:cs="Arial"/>
          <w:sz w:val="18"/>
          <w:szCs w:val="18"/>
          <w:lang w:eastAsia="en-AU"/>
        </w:rPr>
        <w:t>f</w:t>
      </w:r>
      <w:r w:rsidRPr="00382E1C">
        <w:rPr>
          <w:rFonts w:ascii="Arial Narrow" w:hAnsi="Arial Narrow" w:cs="Arial"/>
          <w:sz w:val="18"/>
          <w:szCs w:val="18"/>
          <w:lang w:eastAsia="en-AU"/>
        </w:rPr>
        <w:t>or AEOSI</w:t>
      </w:r>
      <w:r>
        <w:rPr>
          <w:rFonts w:ascii="Arial Narrow" w:hAnsi="Arial Narrow" w:cs="Arial"/>
          <w:sz w:val="18"/>
          <w:szCs w:val="18"/>
          <w:lang w:eastAsia="en-AU"/>
        </w:rPr>
        <w:t>s</w:t>
      </w:r>
      <w:r w:rsidRPr="00382E1C">
        <w:rPr>
          <w:rFonts w:ascii="Arial Narrow" w:hAnsi="Arial Narrow" w:cs="Arial"/>
          <w:sz w:val="18"/>
          <w:szCs w:val="18"/>
          <w:lang w:eastAsia="en-AU"/>
        </w:rPr>
        <w:t xml:space="preserve"> that were identified a priori constituted “Tier 1” safety endpoints. Other safety parameters were considered Tier 2 or Tier 3. Membership in Tier 2 required that at least 4 subjects in any treatment group exhibited the event; all other AEs and predefined limits of change belonged to Tier 3</w:t>
      </w:r>
    </w:p>
    <w:p w:rsidR="0095055D" w:rsidRPr="00232CE0" w:rsidRDefault="0095055D" w:rsidP="00DF42DF">
      <w:pPr>
        <w:pStyle w:val="TableFooter"/>
        <w:ind w:left="709"/>
      </w:pPr>
      <w:r w:rsidRPr="00232CE0">
        <w:t xml:space="preserve">Risk difference and relative risks calculated during the evaluation using </w:t>
      </w:r>
      <w:proofErr w:type="spellStart"/>
      <w:r w:rsidRPr="00232CE0">
        <w:t>Stata</w:t>
      </w:r>
      <w:proofErr w:type="spellEnd"/>
      <w:r w:rsidRPr="00232CE0">
        <w:t xml:space="preserve"> Version 14.1</w:t>
      </w:r>
      <w:r w:rsidR="00232CE0" w:rsidRPr="00232CE0">
        <w:t>.</w:t>
      </w:r>
    </w:p>
    <w:p w:rsidR="0095055D" w:rsidRPr="00C15A78" w:rsidRDefault="0095055D" w:rsidP="00DF42DF">
      <w:pPr>
        <w:pStyle w:val="TableFooter"/>
        <w:ind w:left="709"/>
      </w:pPr>
      <w:r w:rsidRPr="00C15A78">
        <w:t xml:space="preserve">Bolded </w:t>
      </w:r>
      <w:r>
        <w:t>results a</w:t>
      </w:r>
      <w:r w:rsidRPr="00C15A78">
        <w:t>re statistically significant.</w:t>
      </w:r>
    </w:p>
    <w:p w:rsidR="0095055D" w:rsidRPr="0084782C" w:rsidRDefault="0095055D" w:rsidP="00DF42DF">
      <w:pPr>
        <w:pStyle w:val="TableFooter"/>
        <w:ind w:left="709"/>
      </w:pPr>
      <w:r w:rsidRPr="0084782C">
        <w:rPr>
          <w:vertAlign w:val="superscript"/>
        </w:rPr>
        <w:t xml:space="preserve">† </w:t>
      </w:r>
      <w:r w:rsidRPr="0084782C">
        <w:t>Determined by the investigator to be related to the drug.</w:t>
      </w:r>
    </w:p>
    <w:p w:rsidR="0095055D" w:rsidRPr="0084782C" w:rsidRDefault="0095055D" w:rsidP="00DF42DF">
      <w:pPr>
        <w:pStyle w:val="TableFooter"/>
        <w:ind w:left="709"/>
      </w:pPr>
      <w:r w:rsidRPr="0084782C">
        <w:t>After the end of treatment, each subject will be followed for a minimum of 30 days for adverse event monitoring. SAE is monitored until 90 days after last dose.</w:t>
      </w:r>
    </w:p>
    <w:p w:rsidR="0095055D" w:rsidRPr="0084782C" w:rsidRDefault="0095055D" w:rsidP="00DF42DF">
      <w:pPr>
        <w:pStyle w:val="TableFooter"/>
        <w:ind w:left="709"/>
      </w:pPr>
      <w:r>
        <w:t xml:space="preserve">AE = adverse event; </w:t>
      </w:r>
      <w:proofErr w:type="spellStart"/>
      <w:r>
        <w:t>APaT</w:t>
      </w:r>
      <w:proofErr w:type="spellEnd"/>
      <w:r>
        <w:t xml:space="preserve"> = all patients as treated;</w:t>
      </w:r>
      <w:r w:rsidRPr="0084782C">
        <w:t xml:space="preserve"> </w:t>
      </w:r>
      <w:r>
        <w:t>AEOSI = adverse event</w:t>
      </w:r>
      <w:r w:rsidRPr="0084782C">
        <w:t>s of special interest</w:t>
      </w:r>
      <w:r>
        <w:t>;</w:t>
      </w:r>
      <w:r w:rsidRPr="004A7929">
        <w:t xml:space="preserve"> </w:t>
      </w:r>
      <w:r>
        <w:t xml:space="preserve">CI = confidence interval; </w:t>
      </w:r>
      <w:r w:rsidRPr="003D39FA">
        <w:t>Q3W = every three weeks</w:t>
      </w:r>
      <w:r>
        <w:t>; T</w:t>
      </w:r>
      <w:r w:rsidR="00802E2E">
        <w:t>PS = tumour proportional score</w:t>
      </w:r>
      <w:r w:rsidR="00232CE0">
        <w:t>.</w:t>
      </w:r>
    </w:p>
    <w:p w:rsidR="0095055D" w:rsidRPr="00C15A78" w:rsidRDefault="0095055D" w:rsidP="00DF42DF">
      <w:pPr>
        <w:pStyle w:val="TableFooter"/>
        <w:ind w:left="709"/>
      </w:pPr>
      <w:r w:rsidRPr="00C15A78">
        <w:t>Source: Modified from Table B.6.</w:t>
      </w:r>
      <w:r w:rsidR="00802E2E">
        <w:t>23, p142 of the main submission</w:t>
      </w:r>
    </w:p>
    <w:p w:rsidR="0095055D" w:rsidRPr="00802E2E" w:rsidRDefault="0095055D" w:rsidP="006E6043">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Safety data in the PD-L1 ≥50% </w:t>
      </w:r>
      <w:r w:rsidR="00232CE0">
        <w:rPr>
          <w:rFonts w:ascii="Arial" w:hAnsi="Arial" w:cs="Arial"/>
          <w:sz w:val="22"/>
        </w:rPr>
        <w:t>subgroup</w:t>
      </w:r>
      <w:r w:rsidRPr="009015FA">
        <w:rPr>
          <w:rFonts w:ascii="Arial" w:hAnsi="Arial" w:cs="Arial"/>
          <w:sz w:val="22"/>
        </w:rPr>
        <w:t xml:space="preserve"> were similar to </w:t>
      </w:r>
      <w:r w:rsidR="00232CE0">
        <w:rPr>
          <w:rFonts w:ascii="Arial" w:hAnsi="Arial" w:cs="Arial"/>
          <w:sz w:val="22"/>
        </w:rPr>
        <w:t xml:space="preserve">those of </w:t>
      </w:r>
      <w:r w:rsidRPr="009015FA">
        <w:rPr>
          <w:rFonts w:ascii="Arial" w:hAnsi="Arial" w:cs="Arial"/>
          <w:sz w:val="22"/>
        </w:rPr>
        <w:t xml:space="preserve">the </w:t>
      </w:r>
      <w:r w:rsidR="002B0DA6">
        <w:rPr>
          <w:rFonts w:ascii="Arial" w:hAnsi="Arial" w:cs="Arial"/>
          <w:sz w:val="22"/>
        </w:rPr>
        <w:t xml:space="preserve">ITT </w:t>
      </w:r>
      <w:r w:rsidRPr="009015FA">
        <w:rPr>
          <w:rFonts w:ascii="Arial" w:hAnsi="Arial" w:cs="Arial"/>
          <w:sz w:val="22"/>
        </w:rPr>
        <w:t>population (</w:t>
      </w:r>
      <w:r w:rsidR="002B0DA6">
        <w:rPr>
          <w:rFonts w:ascii="Arial" w:hAnsi="Arial" w:cs="Arial"/>
          <w:sz w:val="22"/>
        </w:rPr>
        <w:t xml:space="preserve">all positive, </w:t>
      </w:r>
      <w:r w:rsidRPr="009015FA">
        <w:rPr>
          <w:rFonts w:ascii="Arial" w:hAnsi="Arial" w:cs="Arial"/>
          <w:sz w:val="22"/>
        </w:rPr>
        <w:t xml:space="preserve">TPS ≥1%). There were significantly higher drug-related, Grade 3-5 drug-related, and serious drug-related AEOSI in the pooled pembrolizumab group compared to the </w:t>
      </w:r>
      <w:proofErr w:type="spellStart"/>
      <w:r w:rsidRPr="009015FA">
        <w:rPr>
          <w:rFonts w:ascii="Arial" w:hAnsi="Arial" w:cs="Arial"/>
          <w:sz w:val="22"/>
        </w:rPr>
        <w:t>docetaxel</w:t>
      </w:r>
      <w:proofErr w:type="spellEnd"/>
      <w:r w:rsidRPr="009015FA">
        <w:rPr>
          <w:rFonts w:ascii="Arial" w:hAnsi="Arial" w:cs="Arial"/>
          <w:sz w:val="22"/>
        </w:rPr>
        <w:t xml:space="preserve"> group. There </w:t>
      </w:r>
      <w:proofErr w:type="gramStart"/>
      <w:r w:rsidRPr="009015FA">
        <w:rPr>
          <w:rFonts w:ascii="Arial" w:hAnsi="Arial" w:cs="Arial"/>
          <w:sz w:val="22"/>
        </w:rPr>
        <w:t>was</w:t>
      </w:r>
      <w:proofErr w:type="gramEnd"/>
      <w:r w:rsidRPr="009015FA">
        <w:rPr>
          <w:rFonts w:ascii="Arial" w:hAnsi="Arial" w:cs="Arial"/>
          <w:sz w:val="22"/>
        </w:rPr>
        <w:t xml:space="preserve"> a higher, but non-statistically significant, proportion of subjects in the pooled pembrolizumab treatment arms with Grade ≥2 pneumonitis (with a potential immunologic </w:t>
      </w:r>
      <w:proofErr w:type="spellStart"/>
      <w:r w:rsidRPr="009015FA">
        <w:rPr>
          <w:rFonts w:ascii="Arial" w:hAnsi="Arial" w:cs="Arial"/>
          <w:sz w:val="22"/>
        </w:rPr>
        <w:t>etiology</w:t>
      </w:r>
      <w:proofErr w:type="spellEnd"/>
      <w:r w:rsidRPr="009015FA">
        <w:rPr>
          <w:rFonts w:ascii="Arial" w:hAnsi="Arial" w:cs="Arial"/>
          <w:sz w:val="22"/>
        </w:rPr>
        <w:t xml:space="preserve">) compared to </w:t>
      </w:r>
      <w:proofErr w:type="spellStart"/>
      <w:r w:rsidRPr="009015FA">
        <w:rPr>
          <w:rFonts w:ascii="Arial" w:hAnsi="Arial" w:cs="Arial"/>
          <w:sz w:val="22"/>
        </w:rPr>
        <w:t>docetaxel</w:t>
      </w:r>
      <w:proofErr w:type="spellEnd"/>
      <w:r w:rsidRPr="009015FA">
        <w:rPr>
          <w:rFonts w:ascii="Arial" w:hAnsi="Arial" w:cs="Arial"/>
          <w:sz w:val="22"/>
        </w:rPr>
        <w:t xml:space="preserve"> (5% </w:t>
      </w:r>
      <w:proofErr w:type="spellStart"/>
      <w:r w:rsidRPr="009015FA">
        <w:rPr>
          <w:rFonts w:ascii="Arial" w:hAnsi="Arial" w:cs="Arial"/>
          <w:sz w:val="22"/>
        </w:rPr>
        <w:t>vs</w:t>
      </w:r>
      <w:proofErr w:type="spellEnd"/>
      <w:r w:rsidRPr="009015FA">
        <w:rPr>
          <w:rFonts w:ascii="Arial" w:hAnsi="Arial" w:cs="Arial"/>
          <w:sz w:val="22"/>
        </w:rPr>
        <w:t xml:space="preserve"> 1.5%). These data relate to the pooled pembrolizumab 2 mg/kg and 10 mg/kg doses rather than to the pembrolizumab 2 mg/kg dose alone; the number of events were small in the latter.</w:t>
      </w:r>
    </w:p>
    <w:p w:rsidR="0095055D" w:rsidRPr="009015FA" w:rsidRDefault="0095055D" w:rsidP="006E6043">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Table 1</w:t>
      </w:r>
      <w:r w:rsidR="006405DD">
        <w:rPr>
          <w:rFonts w:ascii="Arial" w:hAnsi="Arial" w:cs="Arial"/>
          <w:sz w:val="22"/>
        </w:rPr>
        <w:t>2</w:t>
      </w:r>
      <w:r w:rsidRPr="009015FA">
        <w:rPr>
          <w:rFonts w:ascii="Arial" w:hAnsi="Arial" w:cs="Arial"/>
          <w:sz w:val="22"/>
        </w:rPr>
        <w:t xml:space="preserve"> summarises analyses of Tier 2 AEs (at least 4 subjects in any treatment group) f</w:t>
      </w:r>
      <w:r w:rsidR="006E6043" w:rsidRPr="009015FA">
        <w:rPr>
          <w:rFonts w:ascii="Arial" w:hAnsi="Arial" w:cs="Arial"/>
          <w:sz w:val="22"/>
        </w:rPr>
        <w:t>rom the KN-010 trial.</w:t>
      </w:r>
    </w:p>
    <w:p w:rsidR="0095055D" w:rsidRPr="00232CE0" w:rsidRDefault="0095055D" w:rsidP="00A36DD4">
      <w:pPr>
        <w:rPr>
          <w:rFonts w:ascii="Arial" w:hAnsi="Arial" w:cs="Arial"/>
          <w:sz w:val="22"/>
          <w:szCs w:val="22"/>
        </w:rPr>
      </w:pPr>
    </w:p>
    <w:p w:rsidR="0095055D" w:rsidRPr="00263D96" w:rsidRDefault="00143E6D" w:rsidP="00DF42DF">
      <w:pPr>
        <w:pStyle w:val="TableHeading0"/>
        <w:ind w:firstLine="720"/>
      </w:pPr>
      <w:r>
        <w:br w:type="page"/>
      </w:r>
      <w:r w:rsidR="0095055D" w:rsidRPr="00B84598">
        <w:t>Table 1</w:t>
      </w:r>
      <w:r w:rsidR="006405DD">
        <w:t>2</w:t>
      </w:r>
      <w:r w:rsidR="0095055D" w:rsidRPr="00B84598">
        <w:t xml:space="preserve">: </w:t>
      </w:r>
      <w:r w:rsidR="0095055D" w:rsidRPr="00263D96">
        <w:t>KN-010: Analysis of Tier-2</w:t>
      </w:r>
      <w:r w:rsidR="0095055D" w:rsidRPr="00567B80">
        <w:rPr>
          <w:vertAlign w:val="superscript"/>
        </w:rPr>
        <w:t>∞</w:t>
      </w:r>
      <w:r w:rsidR="0095055D" w:rsidRPr="00263D96">
        <w:t xml:space="preserve"> adverse</w:t>
      </w:r>
      <w:r w:rsidR="0095055D">
        <w:t xml:space="preserve"> events, </w:t>
      </w:r>
      <w:proofErr w:type="spellStart"/>
      <w:r w:rsidR="0095055D">
        <w:t>APaT</w:t>
      </w:r>
      <w:proofErr w:type="spellEnd"/>
      <w:r w:rsidR="0095055D">
        <w:t xml:space="preserve"> Population (TPS ≥</w:t>
      </w:r>
      <w:r w:rsidR="0095055D" w:rsidRPr="00263D96">
        <w:t>50%)</w:t>
      </w:r>
    </w:p>
    <w:tbl>
      <w:tblPr>
        <w:tblW w:w="4586" w:type="pct"/>
        <w:tblInd w:w="737" w:type="dxa"/>
        <w:tblCellMar>
          <w:top w:w="28" w:type="dxa"/>
          <w:left w:w="28" w:type="dxa"/>
          <w:bottom w:w="28" w:type="dxa"/>
          <w:right w:w="28" w:type="dxa"/>
        </w:tblCellMar>
        <w:tblLook w:val="0000" w:firstRow="0" w:lastRow="0" w:firstColumn="0" w:lastColumn="0" w:noHBand="0" w:noVBand="0"/>
      </w:tblPr>
      <w:tblGrid>
        <w:gridCol w:w="2835"/>
        <w:gridCol w:w="1268"/>
        <w:gridCol w:w="1984"/>
        <w:gridCol w:w="2244"/>
      </w:tblGrid>
      <w:tr w:rsidR="0095055D" w:rsidRPr="003D39FA" w:rsidTr="00DF42DF">
        <w:trPr>
          <w:trHeight w:val="20"/>
        </w:trPr>
        <w:tc>
          <w:tcPr>
            <w:tcW w:w="1701" w:type="pct"/>
            <w:vMerge w:val="restart"/>
            <w:tcBorders>
              <w:top w:val="single" w:sz="6" w:space="0" w:color="000000"/>
              <w:left w:val="single" w:sz="6" w:space="0" w:color="000000"/>
              <w:bottom w:val="single" w:sz="2" w:space="0" w:color="000000"/>
              <w:right w:val="single" w:sz="2" w:space="0" w:color="000000"/>
            </w:tcBorders>
            <w:vAlign w:val="center"/>
          </w:tcPr>
          <w:p w:rsidR="0095055D" w:rsidRPr="003D39FA" w:rsidRDefault="0095055D" w:rsidP="00663733">
            <w:pPr>
              <w:autoSpaceDE w:val="0"/>
              <w:autoSpaceDN w:val="0"/>
              <w:adjustRightInd w:val="0"/>
              <w:jc w:val="left"/>
              <w:rPr>
                <w:rFonts w:ascii="Arial Narrow" w:hAnsi="Arial Narrow" w:cs="Arial"/>
                <w:b/>
                <w:sz w:val="20"/>
                <w:szCs w:val="20"/>
                <w:lang w:eastAsia="en-AU"/>
              </w:rPr>
            </w:pPr>
          </w:p>
          <w:p w:rsidR="0095055D" w:rsidRPr="003D39FA" w:rsidRDefault="0095055D" w:rsidP="00E00320">
            <w:pPr>
              <w:autoSpaceDE w:val="0"/>
              <w:autoSpaceDN w:val="0"/>
              <w:adjustRightInd w:val="0"/>
              <w:ind w:right="-20"/>
              <w:jc w:val="left"/>
              <w:rPr>
                <w:rFonts w:ascii="Arial Narrow" w:hAnsi="Arial Narrow" w:cs="Arial"/>
                <w:b/>
                <w:sz w:val="20"/>
                <w:szCs w:val="20"/>
                <w:lang w:eastAsia="en-AU"/>
              </w:rPr>
            </w:pPr>
            <w:r w:rsidRPr="003D39FA">
              <w:rPr>
                <w:rFonts w:ascii="Arial Narrow" w:hAnsi="Arial Narrow" w:cs="Arial"/>
                <w:b/>
                <w:sz w:val="20"/>
                <w:szCs w:val="20"/>
                <w:lang w:eastAsia="en-AU"/>
              </w:rPr>
              <w:t>Treatment arm</w:t>
            </w:r>
          </w:p>
        </w:tc>
        <w:tc>
          <w:tcPr>
            <w:tcW w:w="761" w:type="pct"/>
            <w:vMerge w:val="restart"/>
            <w:tcBorders>
              <w:top w:val="single" w:sz="6" w:space="0" w:color="000000"/>
              <w:left w:val="single" w:sz="2" w:space="0" w:color="000000"/>
              <w:bottom w:val="single" w:sz="2" w:space="0" w:color="000000"/>
              <w:right w:val="single" w:sz="2" w:space="0" w:color="000000"/>
            </w:tcBorders>
            <w:vAlign w:val="center"/>
          </w:tcPr>
          <w:p w:rsidR="0095055D" w:rsidRPr="003D39FA" w:rsidRDefault="0095055D" w:rsidP="00E00320">
            <w:pPr>
              <w:autoSpaceDE w:val="0"/>
              <w:autoSpaceDN w:val="0"/>
              <w:adjustRightInd w:val="0"/>
              <w:jc w:val="center"/>
              <w:rPr>
                <w:rFonts w:ascii="Arial Narrow" w:hAnsi="Arial Narrow" w:cs="Arial"/>
                <w:b/>
                <w:sz w:val="20"/>
                <w:szCs w:val="20"/>
                <w:lang w:eastAsia="en-AU"/>
              </w:rPr>
            </w:pPr>
          </w:p>
          <w:p w:rsidR="0095055D" w:rsidRPr="003D39FA" w:rsidRDefault="0095055D" w:rsidP="00E00320">
            <w:pPr>
              <w:autoSpaceDE w:val="0"/>
              <w:autoSpaceDN w:val="0"/>
              <w:adjustRightInd w:val="0"/>
              <w:ind w:right="-20"/>
              <w:jc w:val="center"/>
              <w:rPr>
                <w:rFonts w:ascii="Arial Narrow" w:hAnsi="Arial Narrow" w:cs="Arial"/>
                <w:b/>
                <w:sz w:val="20"/>
                <w:szCs w:val="20"/>
                <w:lang w:eastAsia="en-AU"/>
              </w:rPr>
            </w:pPr>
            <w:proofErr w:type="gramStart"/>
            <w:r w:rsidRPr="003D39FA">
              <w:rPr>
                <w:rFonts w:ascii="Arial Narrow" w:hAnsi="Arial Narrow" w:cs="Arial"/>
                <w:b/>
                <w:sz w:val="20"/>
                <w:szCs w:val="20"/>
                <w:lang w:eastAsia="en-AU"/>
              </w:rPr>
              <w:t>n</w:t>
            </w:r>
            <w:proofErr w:type="gramEnd"/>
            <w:r w:rsidRPr="003D39FA">
              <w:rPr>
                <w:rFonts w:ascii="Arial Narrow" w:hAnsi="Arial Narrow" w:cs="Arial"/>
                <w:b/>
                <w:sz w:val="20"/>
                <w:szCs w:val="20"/>
                <w:lang w:eastAsia="en-AU"/>
              </w:rPr>
              <w:t xml:space="preserve"> (%)</w:t>
            </w:r>
          </w:p>
        </w:tc>
        <w:tc>
          <w:tcPr>
            <w:tcW w:w="1191" w:type="pct"/>
            <w:tcBorders>
              <w:top w:val="single" w:sz="6" w:space="0" w:color="000000"/>
              <w:left w:val="single" w:sz="2" w:space="0" w:color="000000"/>
              <w:bottom w:val="single" w:sz="2" w:space="0" w:color="000000"/>
              <w:right w:val="single" w:sz="2" w:space="0" w:color="000000"/>
            </w:tcBorders>
            <w:vAlign w:val="center"/>
          </w:tcPr>
          <w:p w:rsidR="0095055D" w:rsidRPr="003D39FA" w:rsidRDefault="0095055D" w:rsidP="00E00320">
            <w:pPr>
              <w:autoSpaceDE w:val="0"/>
              <w:autoSpaceDN w:val="0"/>
              <w:adjustRightInd w:val="0"/>
              <w:ind w:right="300"/>
              <w:jc w:val="center"/>
              <w:rPr>
                <w:rFonts w:ascii="Arial Narrow" w:hAnsi="Arial Narrow" w:cs="Arial"/>
                <w:b/>
                <w:sz w:val="20"/>
                <w:szCs w:val="20"/>
                <w:lang w:eastAsia="en-AU"/>
              </w:rPr>
            </w:pPr>
            <w:r w:rsidRPr="003D39FA">
              <w:rPr>
                <w:rFonts w:ascii="Arial Narrow" w:hAnsi="Arial Narrow" w:cs="Arial"/>
                <w:b/>
                <w:sz w:val="20"/>
                <w:szCs w:val="20"/>
                <w:lang w:eastAsia="en-AU"/>
              </w:rPr>
              <w:t xml:space="preserve">Difference in % </w:t>
            </w:r>
            <w:proofErr w:type="spellStart"/>
            <w:r w:rsidRPr="003D39FA">
              <w:rPr>
                <w:rFonts w:ascii="Arial Narrow" w:hAnsi="Arial Narrow" w:cs="Arial"/>
                <w:b/>
                <w:sz w:val="20"/>
                <w:szCs w:val="20"/>
                <w:lang w:eastAsia="en-AU"/>
              </w:rPr>
              <w:t>vs</w:t>
            </w:r>
            <w:proofErr w:type="spellEnd"/>
          </w:p>
          <w:p w:rsidR="0095055D" w:rsidRPr="003D39FA" w:rsidRDefault="0095055D" w:rsidP="00E00320">
            <w:pPr>
              <w:autoSpaceDE w:val="0"/>
              <w:autoSpaceDN w:val="0"/>
              <w:adjustRightInd w:val="0"/>
              <w:jc w:val="center"/>
              <w:rPr>
                <w:rFonts w:ascii="Arial Narrow" w:hAnsi="Arial Narrow" w:cs="Arial"/>
                <w:b/>
                <w:sz w:val="20"/>
                <w:szCs w:val="20"/>
                <w:lang w:eastAsia="en-AU"/>
              </w:rPr>
            </w:pPr>
            <w:proofErr w:type="spellStart"/>
            <w:r w:rsidRPr="003D39FA">
              <w:rPr>
                <w:rFonts w:ascii="Arial Narrow" w:hAnsi="Arial Narrow" w:cs="Arial"/>
                <w:b/>
                <w:spacing w:val="-1"/>
                <w:sz w:val="20"/>
                <w:szCs w:val="20"/>
                <w:lang w:eastAsia="en-AU"/>
              </w:rPr>
              <w:t>Do</w:t>
            </w:r>
            <w:r w:rsidRPr="003D39FA">
              <w:rPr>
                <w:rFonts w:ascii="Arial Narrow" w:hAnsi="Arial Narrow" w:cs="Arial"/>
                <w:b/>
                <w:spacing w:val="1"/>
                <w:sz w:val="20"/>
                <w:szCs w:val="20"/>
                <w:lang w:eastAsia="en-AU"/>
              </w:rPr>
              <w:t>c</w:t>
            </w:r>
            <w:r w:rsidRPr="003D39FA">
              <w:rPr>
                <w:rFonts w:ascii="Arial Narrow" w:hAnsi="Arial Narrow" w:cs="Arial"/>
                <w:b/>
                <w:sz w:val="20"/>
                <w:szCs w:val="20"/>
                <w:lang w:eastAsia="en-AU"/>
              </w:rPr>
              <w:t>etaxel</w:t>
            </w:r>
            <w:proofErr w:type="spellEnd"/>
            <w:r w:rsidRPr="003D39FA">
              <w:rPr>
                <w:rFonts w:ascii="Arial Narrow" w:hAnsi="Arial Narrow" w:cs="Arial"/>
                <w:b/>
                <w:sz w:val="20"/>
                <w:szCs w:val="20"/>
                <w:lang w:eastAsia="en-AU"/>
              </w:rPr>
              <w:t xml:space="preserve"> 75</w:t>
            </w:r>
            <w:r>
              <w:rPr>
                <w:rFonts w:ascii="Arial Narrow" w:hAnsi="Arial Narrow" w:cs="Arial"/>
                <w:b/>
                <w:sz w:val="20"/>
                <w:szCs w:val="20"/>
                <w:lang w:eastAsia="en-AU"/>
              </w:rPr>
              <w:t> mg/m</w:t>
            </w:r>
            <w:r w:rsidRPr="003D39FA">
              <w:rPr>
                <w:rFonts w:ascii="Arial Narrow" w:hAnsi="Arial Narrow" w:cs="Arial"/>
                <w:b/>
                <w:sz w:val="20"/>
                <w:szCs w:val="20"/>
                <w:vertAlign w:val="superscript"/>
                <w:lang w:eastAsia="en-AU"/>
              </w:rPr>
              <w:t xml:space="preserve">2 </w:t>
            </w:r>
            <w:r w:rsidRPr="003D39FA">
              <w:rPr>
                <w:rFonts w:ascii="Arial Narrow" w:hAnsi="Arial Narrow" w:cs="Arial"/>
                <w:b/>
                <w:spacing w:val="-1"/>
                <w:sz w:val="20"/>
                <w:szCs w:val="20"/>
                <w:lang w:eastAsia="en-AU"/>
              </w:rPr>
              <w:t>Q3W</w:t>
            </w:r>
          </w:p>
        </w:tc>
        <w:tc>
          <w:tcPr>
            <w:tcW w:w="1347" w:type="pct"/>
            <w:tcBorders>
              <w:top w:val="single" w:sz="6" w:space="0" w:color="000000"/>
              <w:left w:val="single" w:sz="2" w:space="0" w:color="000000"/>
              <w:bottom w:val="single" w:sz="2" w:space="0" w:color="000000"/>
              <w:right w:val="single" w:sz="6" w:space="0" w:color="000000"/>
            </w:tcBorders>
            <w:vAlign w:val="center"/>
          </w:tcPr>
          <w:p w:rsidR="0095055D" w:rsidRPr="003D39FA" w:rsidRDefault="0095055D" w:rsidP="00E00320">
            <w:pPr>
              <w:autoSpaceDE w:val="0"/>
              <w:autoSpaceDN w:val="0"/>
              <w:adjustRightInd w:val="0"/>
              <w:ind w:right="75"/>
              <w:jc w:val="center"/>
              <w:rPr>
                <w:rFonts w:ascii="Arial Narrow" w:hAnsi="Arial Narrow" w:cs="Arial"/>
                <w:b/>
                <w:sz w:val="20"/>
                <w:szCs w:val="20"/>
                <w:lang w:eastAsia="en-AU"/>
              </w:rPr>
            </w:pPr>
            <w:r w:rsidRPr="003D39FA">
              <w:rPr>
                <w:rFonts w:ascii="Arial Narrow" w:hAnsi="Arial Narrow" w:cs="Arial"/>
                <w:b/>
                <w:sz w:val="20"/>
                <w:szCs w:val="20"/>
                <w:lang w:eastAsia="en-AU"/>
              </w:rPr>
              <w:t xml:space="preserve">Difference in % </w:t>
            </w:r>
            <w:proofErr w:type="spellStart"/>
            <w:r w:rsidRPr="003D39FA">
              <w:rPr>
                <w:rFonts w:ascii="Arial Narrow" w:hAnsi="Arial Narrow" w:cs="Arial"/>
                <w:b/>
                <w:sz w:val="20"/>
                <w:szCs w:val="20"/>
                <w:lang w:eastAsia="en-AU"/>
              </w:rPr>
              <w:t>vs</w:t>
            </w:r>
            <w:proofErr w:type="spellEnd"/>
            <w:r w:rsidRPr="003D39FA">
              <w:rPr>
                <w:rFonts w:ascii="Arial Narrow" w:hAnsi="Arial Narrow" w:cs="Arial"/>
                <w:b/>
                <w:sz w:val="20"/>
                <w:szCs w:val="20"/>
                <w:lang w:eastAsia="en-AU"/>
              </w:rPr>
              <w:t xml:space="preserve"> </w:t>
            </w:r>
            <w:r>
              <w:rPr>
                <w:rFonts w:ascii="Arial Narrow" w:hAnsi="Arial Narrow" w:cs="Arial"/>
                <w:b/>
                <w:sz w:val="20"/>
                <w:szCs w:val="20"/>
                <w:lang w:eastAsia="en-AU"/>
              </w:rPr>
              <w:t>Pembrolizumab</w:t>
            </w:r>
            <w:r w:rsidRPr="003D39FA">
              <w:rPr>
                <w:rFonts w:ascii="Arial Narrow" w:hAnsi="Arial Narrow" w:cs="Arial"/>
                <w:b/>
                <w:sz w:val="20"/>
                <w:szCs w:val="20"/>
                <w:lang w:eastAsia="en-AU"/>
              </w:rPr>
              <w:t xml:space="preserve"> 2</w:t>
            </w:r>
            <w:r>
              <w:rPr>
                <w:rFonts w:ascii="Arial Narrow" w:hAnsi="Arial Narrow" w:cs="Arial"/>
                <w:b/>
                <w:sz w:val="20"/>
                <w:szCs w:val="20"/>
                <w:lang w:eastAsia="en-AU"/>
              </w:rPr>
              <w:t> mg/kg</w:t>
            </w:r>
            <w:r w:rsidRPr="003D39FA">
              <w:rPr>
                <w:rFonts w:ascii="Arial Narrow" w:hAnsi="Arial Narrow" w:cs="Arial"/>
                <w:b/>
                <w:sz w:val="20"/>
                <w:szCs w:val="20"/>
                <w:lang w:eastAsia="en-AU"/>
              </w:rPr>
              <w:t xml:space="preserve"> Q3W</w:t>
            </w:r>
          </w:p>
        </w:tc>
      </w:tr>
      <w:tr w:rsidR="0095055D" w:rsidRPr="003D39FA" w:rsidTr="00DF42DF">
        <w:trPr>
          <w:trHeight w:val="20"/>
        </w:trPr>
        <w:tc>
          <w:tcPr>
            <w:tcW w:w="1701" w:type="pct"/>
            <w:vMerge/>
            <w:tcBorders>
              <w:top w:val="single" w:sz="6" w:space="0" w:color="000000"/>
              <w:left w:val="single" w:sz="6" w:space="0" w:color="000000"/>
              <w:bottom w:val="single" w:sz="2" w:space="0" w:color="000000"/>
              <w:right w:val="single" w:sz="2" w:space="0" w:color="000000"/>
            </w:tcBorders>
          </w:tcPr>
          <w:p w:rsidR="0095055D" w:rsidRPr="003D39FA" w:rsidRDefault="0095055D" w:rsidP="00A36DD4">
            <w:pPr>
              <w:autoSpaceDE w:val="0"/>
              <w:autoSpaceDN w:val="0"/>
              <w:adjustRightInd w:val="0"/>
              <w:ind w:left="134" w:right="261"/>
              <w:jc w:val="left"/>
              <w:rPr>
                <w:rFonts w:ascii="Arial Narrow" w:hAnsi="Arial Narrow" w:cs="Arial"/>
                <w:b/>
                <w:sz w:val="20"/>
                <w:szCs w:val="20"/>
                <w:lang w:eastAsia="en-AU"/>
              </w:rPr>
            </w:pPr>
          </w:p>
        </w:tc>
        <w:tc>
          <w:tcPr>
            <w:tcW w:w="761" w:type="pct"/>
            <w:vMerge/>
            <w:tcBorders>
              <w:top w:val="single" w:sz="6" w:space="0" w:color="000000"/>
              <w:left w:val="single" w:sz="2" w:space="0" w:color="000000"/>
              <w:bottom w:val="single" w:sz="2" w:space="0" w:color="000000"/>
              <w:right w:val="single" w:sz="2" w:space="0" w:color="000000"/>
            </w:tcBorders>
            <w:vAlign w:val="center"/>
          </w:tcPr>
          <w:p w:rsidR="0095055D" w:rsidRPr="003D39FA" w:rsidRDefault="0095055D" w:rsidP="00E00320">
            <w:pPr>
              <w:autoSpaceDE w:val="0"/>
              <w:autoSpaceDN w:val="0"/>
              <w:adjustRightInd w:val="0"/>
              <w:ind w:right="261"/>
              <w:jc w:val="center"/>
              <w:rPr>
                <w:rFonts w:ascii="Arial Narrow" w:hAnsi="Arial Narrow" w:cs="Arial"/>
                <w:b/>
                <w:sz w:val="20"/>
                <w:szCs w:val="20"/>
                <w:lang w:eastAsia="en-AU"/>
              </w:rPr>
            </w:pPr>
          </w:p>
        </w:tc>
        <w:tc>
          <w:tcPr>
            <w:tcW w:w="1191" w:type="pct"/>
            <w:tcBorders>
              <w:top w:val="single" w:sz="2" w:space="0" w:color="000000"/>
              <w:left w:val="single" w:sz="2" w:space="0" w:color="000000"/>
              <w:bottom w:val="single" w:sz="2" w:space="0" w:color="000000"/>
              <w:right w:val="single" w:sz="2" w:space="0" w:color="000000"/>
            </w:tcBorders>
            <w:vAlign w:val="center"/>
          </w:tcPr>
          <w:p w:rsidR="0095055D" w:rsidRPr="003D39FA" w:rsidRDefault="0095055D" w:rsidP="00E00320">
            <w:pPr>
              <w:autoSpaceDE w:val="0"/>
              <w:autoSpaceDN w:val="0"/>
              <w:adjustRightInd w:val="0"/>
              <w:jc w:val="center"/>
              <w:rPr>
                <w:rFonts w:ascii="Arial Narrow" w:hAnsi="Arial Narrow" w:cs="Arial"/>
                <w:b/>
                <w:sz w:val="20"/>
                <w:szCs w:val="20"/>
                <w:lang w:eastAsia="en-AU"/>
              </w:rPr>
            </w:pPr>
            <w:r w:rsidRPr="003D39FA">
              <w:rPr>
                <w:rFonts w:ascii="Arial Narrow" w:hAnsi="Arial Narrow" w:cs="Arial"/>
                <w:b/>
                <w:sz w:val="20"/>
                <w:szCs w:val="20"/>
                <w:lang w:eastAsia="en-AU"/>
              </w:rPr>
              <w:t>Estimate</w:t>
            </w:r>
            <w:r>
              <w:rPr>
                <w:rFonts w:ascii="Arial Narrow" w:hAnsi="Arial Narrow" w:cs="Arial"/>
                <w:b/>
                <w:sz w:val="20"/>
                <w:szCs w:val="20"/>
                <w:lang w:eastAsia="en-AU"/>
              </w:rPr>
              <w:t xml:space="preserve"> </w:t>
            </w:r>
            <w:r w:rsidRPr="003D39FA">
              <w:rPr>
                <w:rFonts w:ascii="Arial Narrow" w:hAnsi="Arial Narrow" w:cs="Arial"/>
                <w:b/>
                <w:sz w:val="20"/>
                <w:szCs w:val="20"/>
                <w:lang w:eastAsia="en-AU"/>
              </w:rPr>
              <w:t>(95%</w:t>
            </w:r>
            <w:r w:rsidRPr="003D39FA">
              <w:rPr>
                <w:rFonts w:ascii="Arial Narrow" w:hAnsi="Arial Narrow" w:cs="Arial"/>
                <w:b/>
                <w:spacing w:val="1"/>
                <w:sz w:val="20"/>
                <w:szCs w:val="20"/>
                <w:lang w:eastAsia="en-AU"/>
              </w:rPr>
              <w:t xml:space="preserve"> </w:t>
            </w:r>
            <w:r w:rsidRPr="003D39FA">
              <w:rPr>
                <w:rFonts w:ascii="Arial Narrow" w:hAnsi="Arial Narrow" w:cs="Arial"/>
                <w:b/>
                <w:sz w:val="20"/>
                <w:szCs w:val="20"/>
                <w:lang w:eastAsia="en-AU"/>
              </w:rPr>
              <w:t>C</w:t>
            </w:r>
            <w:r w:rsidRPr="003D39FA">
              <w:rPr>
                <w:rFonts w:ascii="Arial Narrow" w:hAnsi="Arial Narrow" w:cs="Arial"/>
                <w:b/>
                <w:spacing w:val="-5"/>
                <w:sz w:val="20"/>
                <w:szCs w:val="20"/>
                <w:lang w:eastAsia="en-AU"/>
              </w:rPr>
              <w:t>I</w:t>
            </w:r>
            <w:r w:rsidRPr="003D39FA">
              <w:rPr>
                <w:rFonts w:ascii="Arial Narrow" w:hAnsi="Arial Narrow" w:cs="Arial"/>
                <w:b/>
                <w:spacing w:val="-1"/>
                <w:sz w:val="20"/>
                <w:szCs w:val="20"/>
                <w:lang w:eastAsia="en-AU"/>
              </w:rPr>
              <w:t>)</w:t>
            </w:r>
            <w:r w:rsidRPr="003D39FA">
              <w:rPr>
                <w:rFonts w:ascii="Arial Narrow" w:hAnsi="Arial Narrow" w:cs="Arial"/>
                <w:b/>
                <w:position w:val="7"/>
                <w:sz w:val="20"/>
                <w:szCs w:val="20"/>
                <w:lang w:eastAsia="en-AU"/>
              </w:rPr>
              <w:t>†</w:t>
            </w:r>
          </w:p>
        </w:tc>
        <w:tc>
          <w:tcPr>
            <w:tcW w:w="1347" w:type="pct"/>
            <w:tcBorders>
              <w:top w:val="single" w:sz="2" w:space="0" w:color="000000"/>
              <w:left w:val="single" w:sz="2" w:space="0" w:color="000000"/>
              <w:bottom w:val="single" w:sz="2" w:space="0" w:color="000000"/>
              <w:right w:val="single" w:sz="6" w:space="0" w:color="000000"/>
            </w:tcBorders>
            <w:vAlign w:val="center"/>
          </w:tcPr>
          <w:p w:rsidR="0095055D" w:rsidRPr="003D39FA" w:rsidRDefault="0095055D" w:rsidP="00E00320">
            <w:pPr>
              <w:autoSpaceDE w:val="0"/>
              <w:autoSpaceDN w:val="0"/>
              <w:adjustRightInd w:val="0"/>
              <w:ind w:right="75"/>
              <w:jc w:val="center"/>
              <w:rPr>
                <w:rFonts w:ascii="Arial Narrow" w:hAnsi="Arial Narrow" w:cs="Arial"/>
                <w:b/>
                <w:sz w:val="20"/>
                <w:szCs w:val="20"/>
                <w:lang w:eastAsia="en-AU"/>
              </w:rPr>
            </w:pPr>
            <w:r w:rsidRPr="003D39FA">
              <w:rPr>
                <w:rFonts w:ascii="Arial Narrow" w:hAnsi="Arial Narrow" w:cs="Arial"/>
                <w:b/>
                <w:sz w:val="20"/>
                <w:szCs w:val="20"/>
                <w:lang w:eastAsia="en-AU"/>
              </w:rPr>
              <w:t>Estimate</w:t>
            </w:r>
            <w:r>
              <w:rPr>
                <w:rFonts w:ascii="Arial Narrow" w:hAnsi="Arial Narrow" w:cs="Arial"/>
                <w:b/>
                <w:sz w:val="20"/>
                <w:szCs w:val="20"/>
                <w:lang w:eastAsia="en-AU"/>
              </w:rPr>
              <w:t xml:space="preserve"> </w:t>
            </w:r>
            <w:r w:rsidRPr="003D39FA">
              <w:rPr>
                <w:rFonts w:ascii="Arial Narrow" w:hAnsi="Arial Narrow" w:cs="Arial"/>
                <w:b/>
                <w:sz w:val="20"/>
                <w:szCs w:val="20"/>
                <w:lang w:eastAsia="en-AU"/>
              </w:rPr>
              <w:t>(95%</w:t>
            </w:r>
            <w:r>
              <w:rPr>
                <w:rFonts w:ascii="Arial Narrow" w:hAnsi="Arial Narrow" w:cs="Arial"/>
                <w:b/>
                <w:sz w:val="20"/>
                <w:szCs w:val="20"/>
                <w:lang w:eastAsia="en-AU"/>
              </w:rPr>
              <w:t xml:space="preserve"> </w:t>
            </w:r>
            <w:r w:rsidRPr="003D39FA">
              <w:rPr>
                <w:rFonts w:ascii="Arial Narrow" w:hAnsi="Arial Narrow" w:cs="Arial"/>
                <w:b/>
                <w:sz w:val="20"/>
                <w:szCs w:val="20"/>
                <w:lang w:eastAsia="en-AU"/>
              </w:rPr>
              <w:t>C</w:t>
            </w:r>
            <w:r w:rsidRPr="003D39FA">
              <w:rPr>
                <w:rFonts w:ascii="Arial Narrow" w:hAnsi="Arial Narrow" w:cs="Arial"/>
                <w:b/>
                <w:spacing w:val="-5"/>
                <w:sz w:val="20"/>
                <w:szCs w:val="20"/>
                <w:lang w:eastAsia="en-AU"/>
              </w:rPr>
              <w:t>I</w:t>
            </w:r>
            <w:r w:rsidRPr="003D39FA">
              <w:rPr>
                <w:rFonts w:ascii="Arial Narrow" w:hAnsi="Arial Narrow" w:cs="Arial"/>
                <w:b/>
                <w:spacing w:val="-1"/>
                <w:sz w:val="20"/>
                <w:szCs w:val="20"/>
                <w:lang w:eastAsia="en-AU"/>
              </w:rPr>
              <w:t>)</w:t>
            </w:r>
            <w:r w:rsidRPr="003D39FA">
              <w:rPr>
                <w:rFonts w:ascii="Arial Narrow" w:hAnsi="Arial Narrow" w:cs="Arial"/>
                <w:b/>
                <w:position w:val="7"/>
                <w:sz w:val="20"/>
                <w:szCs w:val="20"/>
                <w:lang w:eastAsia="en-AU"/>
              </w:rPr>
              <w:t>†</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95055D" w:rsidP="00E00320">
            <w:pPr>
              <w:autoSpaceDE w:val="0"/>
              <w:autoSpaceDN w:val="0"/>
              <w:adjustRightInd w:val="0"/>
              <w:ind w:right="-20"/>
              <w:jc w:val="left"/>
              <w:rPr>
                <w:rFonts w:ascii="Arial Narrow" w:hAnsi="Arial Narrow" w:cs="Arial"/>
                <w:b/>
                <w:sz w:val="20"/>
                <w:szCs w:val="20"/>
                <w:lang w:eastAsia="en-AU"/>
              </w:rPr>
            </w:pPr>
            <w:r w:rsidRPr="003D39FA">
              <w:rPr>
                <w:rFonts w:ascii="Arial Narrow" w:hAnsi="Arial Narrow" w:cs="Arial"/>
                <w:b/>
                <w:bCs/>
                <w:sz w:val="20"/>
                <w:szCs w:val="20"/>
                <w:lang w:eastAsia="en-AU"/>
              </w:rPr>
              <w:t>Subjects in population</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5055D" w:rsidP="00A36DD4">
            <w:pPr>
              <w:tabs>
                <w:tab w:val="left" w:pos="142"/>
                <w:tab w:val="left" w:pos="2976"/>
              </w:tabs>
              <w:autoSpaceDE w:val="0"/>
              <w:autoSpaceDN w:val="0"/>
              <w:adjustRightInd w:val="0"/>
              <w:ind w:left="134"/>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mg/m</w:t>
            </w:r>
            <w:r w:rsidRPr="00634834">
              <w:rPr>
                <w:rFonts w:ascii="Arial Narrow" w:hAnsi="Arial Narrow" w:cs="Arial"/>
                <w:sz w:val="20"/>
                <w:szCs w:val="20"/>
                <w:vertAlign w:val="superscript"/>
                <w:lang w:eastAsia="en-AU"/>
              </w:rPr>
              <w:t>2</w:t>
            </w:r>
            <w:r>
              <w:rPr>
                <w:rFonts w:ascii="Arial Narrow" w:hAnsi="Arial Narrow" w:cs="Arial"/>
                <w:sz w:val="20"/>
                <w:szCs w:val="20"/>
                <w:lang w:eastAsia="en-AU"/>
              </w:rPr>
              <w:t xml:space="preserve">, </w:t>
            </w:r>
            <w:r w:rsidRPr="003D39FA">
              <w:rPr>
                <w:rFonts w:ascii="Arial Narrow" w:hAnsi="Arial Narrow" w:cs="Arial"/>
                <w:sz w:val="20"/>
                <w:szCs w:val="20"/>
                <w:lang w:eastAsia="en-AU"/>
              </w:rPr>
              <w:t xml:space="preserve">Q3W </w:t>
            </w:r>
          </w:p>
          <w:p w:rsidR="0095055D" w:rsidRPr="003D39FA" w:rsidRDefault="0095055D" w:rsidP="00A36DD4">
            <w:pPr>
              <w:autoSpaceDE w:val="0"/>
              <w:autoSpaceDN w:val="0"/>
              <w:adjustRightInd w:val="0"/>
              <w:ind w:left="134" w:right="-1"/>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xml:space="preserve"> mg/kg, </w:t>
            </w:r>
            <w:r w:rsidRPr="003D39FA">
              <w:rPr>
                <w:rFonts w:ascii="Arial Narrow" w:hAnsi="Arial Narrow" w:cs="Arial"/>
                <w:sz w:val="20"/>
                <w:szCs w:val="20"/>
                <w:lang w:eastAsia="en-AU"/>
              </w:rPr>
              <w:t>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133</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137</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151</w:t>
            </w:r>
          </w:p>
        </w:tc>
        <w:tc>
          <w:tcPr>
            <w:tcW w:w="119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jc w:val="center"/>
              <w:rPr>
                <w:rFonts w:ascii="Arial Narrow" w:hAnsi="Arial Narrow" w:cs="Arial"/>
                <w:sz w:val="20"/>
                <w:szCs w:val="20"/>
                <w:lang w:eastAsia="en-AU"/>
              </w:rPr>
            </w:pPr>
          </w:p>
        </w:tc>
        <w:tc>
          <w:tcPr>
            <w:tcW w:w="1347" w:type="pct"/>
            <w:tcBorders>
              <w:top w:val="single" w:sz="2" w:space="0" w:color="000000"/>
              <w:left w:val="single" w:sz="2" w:space="0" w:color="000000"/>
              <w:bottom w:val="single" w:sz="2" w:space="0" w:color="000000"/>
              <w:right w:val="single" w:sz="6" w:space="0" w:color="000000"/>
            </w:tcBorders>
          </w:tcPr>
          <w:p w:rsidR="0095055D" w:rsidRPr="003D39FA" w:rsidRDefault="0095055D" w:rsidP="00A36DD4">
            <w:pPr>
              <w:autoSpaceDE w:val="0"/>
              <w:autoSpaceDN w:val="0"/>
              <w:adjustRightInd w:val="0"/>
              <w:jc w:val="center"/>
              <w:rPr>
                <w:rFonts w:ascii="Arial Narrow" w:hAnsi="Arial Narrow" w:cs="Arial"/>
                <w:sz w:val="20"/>
                <w:szCs w:val="20"/>
                <w:lang w:eastAsia="en-AU"/>
              </w:rPr>
            </w:pP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W</w:t>
            </w:r>
            <w:r w:rsidR="0095055D" w:rsidRPr="003D39FA">
              <w:rPr>
                <w:rFonts w:ascii="Arial Narrow" w:hAnsi="Arial Narrow" w:cs="Arial"/>
                <w:b/>
                <w:bCs/>
                <w:sz w:val="20"/>
                <w:szCs w:val="20"/>
                <w:lang w:eastAsia="en-AU"/>
              </w:rPr>
              <w:t>ith</w:t>
            </w:r>
            <w:r w:rsidR="0095055D" w:rsidRPr="003D39FA">
              <w:rPr>
                <w:rFonts w:ascii="Arial Narrow" w:hAnsi="Arial Narrow" w:cs="Arial"/>
                <w:b/>
                <w:bCs/>
                <w:spacing w:val="-1"/>
                <w:sz w:val="20"/>
                <w:szCs w:val="20"/>
                <w:lang w:eastAsia="en-AU"/>
              </w:rPr>
              <w:t xml:space="preserve"> </w:t>
            </w:r>
            <w:r w:rsidR="0095055D" w:rsidRPr="003D39FA">
              <w:rPr>
                <w:rFonts w:ascii="Arial Narrow" w:hAnsi="Arial Narrow" w:cs="Arial"/>
                <w:b/>
                <w:bCs/>
                <w:sz w:val="20"/>
                <w:szCs w:val="20"/>
                <w:lang w:eastAsia="en-AU"/>
              </w:rPr>
              <w:t>dru</w:t>
            </w:r>
            <w:r w:rsidR="0095055D" w:rsidRPr="003D39FA">
              <w:rPr>
                <w:rFonts w:ascii="Arial Narrow" w:hAnsi="Arial Narrow" w:cs="Arial"/>
                <w:b/>
                <w:bCs/>
                <w:spacing w:val="1"/>
                <w:sz w:val="20"/>
                <w:szCs w:val="20"/>
                <w:lang w:eastAsia="en-AU"/>
              </w:rPr>
              <w:t>g</w:t>
            </w:r>
            <w:r w:rsidR="0095055D" w:rsidRPr="003D39FA">
              <w:rPr>
                <w:rFonts w:ascii="Arial Narrow" w:hAnsi="Arial Narrow" w:cs="Arial"/>
                <w:b/>
                <w:bCs/>
                <w:spacing w:val="-1"/>
                <w:sz w:val="20"/>
                <w:szCs w:val="20"/>
                <w:lang w:eastAsia="en-AU"/>
              </w:rPr>
              <w:t>-</w:t>
            </w:r>
            <w:r w:rsidR="0095055D" w:rsidRPr="003D39FA">
              <w:rPr>
                <w:rFonts w:ascii="Arial Narrow" w:hAnsi="Arial Narrow" w:cs="Arial"/>
                <w:b/>
                <w:bCs/>
                <w:sz w:val="20"/>
                <w:szCs w:val="20"/>
                <w:lang w:eastAsia="en-AU"/>
              </w:rPr>
              <w:t>relate</w:t>
            </w:r>
            <w:r w:rsidR="0095055D" w:rsidRPr="003D39FA">
              <w:rPr>
                <w:rFonts w:ascii="Arial Narrow" w:hAnsi="Arial Narrow" w:cs="Arial"/>
                <w:b/>
                <w:bCs/>
                <w:spacing w:val="-1"/>
                <w:sz w:val="20"/>
                <w:szCs w:val="20"/>
                <w:lang w:eastAsia="en-AU"/>
              </w:rPr>
              <w:t>d</w:t>
            </w:r>
            <w:r w:rsidR="0095055D" w:rsidRPr="003D39FA">
              <w:rPr>
                <w:rFonts w:ascii="Arial Narrow" w:hAnsi="Arial Narrow" w:cs="Arial"/>
                <w:b/>
                <w:bCs/>
                <w:position w:val="7"/>
                <w:sz w:val="20"/>
                <w:szCs w:val="20"/>
                <w:lang w:eastAsia="en-AU"/>
              </w:rPr>
              <w:t>‡</w:t>
            </w:r>
            <w:r w:rsidR="0095055D" w:rsidRPr="003D39FA">
              <w:rPr>
                <w:rFonts w:ascii="Arial Narrow" w:hAnsi="Arial Narrow" w:cs="Arial"/>
                <w:b/>
                <w:bCs/>
                <w:spacing w:val="13"/>
                <w:position w:val="7"/>
                <w:sz w:val="20"/>
                <w:szCs w:val="20"/>
                <w:lang w:eastAsia="en-AU"/>
              </w:rPr>
              <w:t xml:space="preserve"> </w:t>
            </w:r>
            <w:r w:rsidR="0095055D">
              <w:rPr>
                <w:rFonts w:ascii="Arial Narrow" w:hAnsi="Arial Narrow" w:cs="Arial"/>
                <w:b/>
                <w:bCs/>
                <w:sz w:val="20"/>
                <w:szCs w:val="20"/>
                <w:lang w:eastAsia="en-AU"/>
              </w:rPr>
              <w:t>AE</w:t>
            </w:r>
            <w:r w:rsidR="0095055D" w:rsidRPr="003D39FA">
              <w:rPr>
                <w:rFonts w:ascii="Arial Narrow" w:hAnsi="Arial Narrow" w:cs="Arial"/>
                <w:b/>
                <w:bCs/>
                <w:sz w:val="20"/>
                <w:szCs w:val="20"/>
                <w:lang w:eastAsia="en-AU"/>
              </w:rPr>
              <w:t>s</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A384F" w:rsidP="00A36DD4">
            <w:pPr>
              <w:autoSpaceDE w:val="0"/>
              <w:autoSpaceDN w:val="0"/>
              <w:adjustRightInd w:val="0"/>
              <w:ind w:left="134"/>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 </w:t>
            </w:r>
          </w:p>
          <w:p w:rsidR="0095055D" w:rsidRPr="003D39FA" w:rsidRDefault="0095055D" w:rsidP="00A36DD4">
            <w:pPr>
              <w:tabs>
                <w:tab w:val="left" w:pos="2976"/>
              </w:tabs>
              <w:autoSpaceDE w:val="0"/>
              <w:autoSpaceDN w:val="0"/>
              <w:adjustRightInd w:val="0"/>
              <w:ind w:left="134" w:right="-1"/>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xml:space="preserve"> mg/kg, </w:t>
            </w:r>
            <w:r w:rsidRPr="003D39FA">
              <w:rPr>
                <w:rFonts w:ascii="Arial Narrow" w:hAnsi="Arial Narrow" w:cs="Arial"/>
                <w:sz w:val="20"/>
                <w:szCs w:val="20"/>
                <w:lang w:eastAsia="en-AU"/>
              </w:rPr>
              <w:t>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105 (78.9)</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93 (67.9)</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109 (72.2)</w:t>
            </w:r>
          </w:p>
        </w:tc>
        <w:tc>
          <w:tcPr>
            <w:tcW w:w="119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jc w:val="center"/>
              <w:rPr>
                <w:rFonts w:ascii="Arial Narrow" w:hAnsi="Arial Narrow" w:cs="Arial"/>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11.1</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pacing w:val="-3"/>
                <w:sz w:val="20"/>
                <w:szCs w:val="20"/>
                <w:lang w:eastAsia="en-AU"/>
              </w:rPr>
              <w:t>-</w:t>
            </w:r>
            <w:r w:rsidRPr="003D39FA">
              <w:rPr>
                <w:rFonts w:ascii="Arial Narrow" w:hAnsi="Arial Narrow" w:cs="Arial"/>
                <w:sz w:val="20"/>
                <w:szCs w:val="20"/>
                <w:lang w:eastAsia="en-AU"/>
              </w:rPr>
              <w:t>21.4,</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0.5)</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6.8</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16.6, 3.4)</w:t>
            </w:r>
          </w:p>
        </w:tc>
        <w:tc>
          <w:tcPr>
            <w:tcW w:w="1347" w:type="pct"/>
            <w:tcBorders>
              <w:top w:val="single" w:sz="2" w:space="0" w:color="000000"/>
              <w:left w:val="single" w:sz="2" w:space="0" w:color="000000"/>
              <w:bottom w:val="single" w:sz="2" w:space="0" w:color="000000"/>
              <w:right w:val="single" w:sz="6" w:space="0" w:color="000000"/>
            </w:tcBorders>
          </w:tcPr>
          <w:p w:rsidR="0095055D" w:rsidRDefault="0095055D" w:rsidP="00A36DD4">
            <w:pPr>
              <w:autoSpaceDE w:val="0"/>
              <w:autoSpaceDN w:val="0"/>
              <w:adjustRightInd w:val="0"/>
              <w:ind w:right="-20"/>
              <w:jc w:val="center"/>
              <w:rPr>
                <w:rFonts w:ascii="Arial Narrow" w:hAnsi="Arial Narrow" w:cs="Arial"/>
                <w:sz w:val="20"/>
                <w:szCs w:val="20"/>
                <w:lang w:eastAsia="en-AU"/>
              </w:rPr>
            </w:pPr>
          </w:p>
          <w:p w:rsidR="0095055D" w:rsidRDefault="0095055D" w:rsidP="00A36DD4">
            <w:pPr>
              <w:autoSpaceDE w:val="0"/>
              <w:autoSpaceDN w:val="0"/>
              <w:adjustRightInd w:val="0"/>
              <w:ind w:right="-20"/>
              <w:jc w:val="center"/>
              <w:rPr>
                <w:rFonts w:ascii="Arial Narrow" w:hAnsi="Arial Narrow" w:cs="Arial"/>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4.3</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6.3, 14.9)</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W</w:t>
            </w:r>
            <w:r w:rsidR="0095055D" w:rsidRPr="003D39FA">
              <w:rPr>
                <w:rFonts w:ascii="Arial Narrow" w:hAnsi="Arial Narrow" w:cs="Arial"/>
                <w:b/>
                <w:bCs/>
                <w:sz w:val="20"/>
                <w:szCs w:val="20"/>
                <w:lang w:eastAsia="en-AU"/>
              </w:rPr>
              <w:t>ith serious dru</w:t>
            </w:r>
            <w:r w:rsidR="0095055D" w:rsidRPr="003D39FA">
              <w:rPr>
                <w:rFonts w:ascii="Arial Narrow" w:hAnsi="Arial Narrow" w:cs="Arial"/>
                <w:b/>
                <w:bCs/>
                <w:spacing w:val="1"/>
                <w:sz w:val="20"/>
                <w:szCs w:val="20"/>
                <w:lang w:eastAsia="en-AU"/>
              </w:rPr>
              <w:t>g</w:t>
            </w:r>
            <w:r w:rsidR="0095055D" w:rsidRPr="003D39FA">
              <w:rPr>
                <w:rFonts w:ascii="Arial Narrow" w:hAnsi="Arial Narrow" w:cs="Arial"/>
                <w:b/>
                <w:bCs/>
                <w:spacing w:val="-1"/>
                <w:sz w:val="20"/>
                <w:szCs w:val="20"/>
                <w:lang w:eastAsia="en-AU"/>
              </w:rPr>
              <w:t>-</w:t>
            </w:r>
            <w:r w:rsidR="0095055D" w:rsidRPr="003D39FA">
              <w:rPr>
                <w:rFonts w:ascii="Arial Narrow" w:hAnsi="Arial Narrow" w:cs="Arial"/>
                <w:b/>
                <w:bCs/>
                <w:sz w:val="20"/>
                <w:szCs w:val="20"/>
                <w:lang w:eastAsia="en-AU"/>
              </w:rPr>
              <w:t>related</w:t>
            </w:r>
            <w:r w:rsidR="0095055D" w:rsidRPr="003D39FA">
              <w:rPr>
                <w:rFonts w:ascii="Arial Narrow" w:hAnsi="Arial Narrow" w:cs="Arial"/>
                <w:b/>
                <w:bCs/>
                <w:spacing w:val="-1"/>
                <w:sz w:val="20"/>
                <w:szCs w:val="20"/>
                <w:lang w:eastAsia="en-AU"/>
              </w:rPr>
              <w:t xml:space="preserve"> </w:t>
            </w:r>
            <w:r w:rsidR="0095055D">
              <w:rPr>
                <w:rFonts w:ascii="Arial Narrow" w:hAnsi="Arial Narrow" w:cs="Arial"/>
                <w:b/>
                <w:bCs/>
                <w:sz w:val="20"/>
                <w:szCs w:val="20"/>
                <w:lang w:eastAsia="en-AU"/>
              </w:rPr>
              <w:t>AE</w:t>
            </w:r>
            <w:r w:rsidR="0095055D" w:rsidRPr="003D39FA">
              <w:rPr>
                <w:rFonts w:ascii="Arial Narrow" w:hAnsi="Arial Narrow" w:cs="Arial"/>
                <w:b/>
                <w:bCs/>
                <w:sz w:val="20"/>
                <w:szCs w:val="20"/>
                <w:lang w:eastAsia="en-AU"/>
              </w:rPr>
              <w:t>s</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Default="009A384F" w:rsidP="00A36DD4">
            <w:pPr>
              <w:autoSpaceDE w:val="0"/>
              <w:autoSpaceDN w:val="0"/>
              <w:adjustRightInd w:val="0"/>
              <w:ind w:left="134" w:right="-1"/>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1"/>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21(15.8)</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12</w:t>
            </w:r>
            <w:r w:rsidRPr="003D39FA">
              <w:rPr>
                <w:rFonts w:ascii="Arial Narrow" w:hAnsi="Arial Narrow" w:cs="Arial"/>
                <w:spacing w:val="26"/>
                <w:sz w:val="20"/>
                <w:szCs w:val="20"/>
                <w:lang w:eastAsia="en-AU"/>
              </w:rPr>
              <w:t xml:space="preserve"> </w:t>
            </w:r>
            <w:r w:rsidRPr="003D39FA">
              <w:rPr>
                <w:rFonts w:ascii="Arial Narrow" w:hAnsi="Arial Narrow" w:cs="Arial"/>
                <w:sz w:val="20"/>
                <w:szCs w:val="20"/>
                <w:lang w:eastAsia="en-AU"/>
              </w:rPr>
              <w:t>(8.8)</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18 (11.9)</w:t>
            </w:r>
          </w:p>
        </w:tc>
        <w:tc>
          <w:tcPr>
            <w:tcW w:w="1191" w:type="pct"/>
            <w:tcBorders>
              <w:top w:val="single" w:sz="2" w:space="0" w:color="000000"/>
              <w:left w:val="single" w:sz="2" w:space="0" w:color="000000"/>
              <w:bottom w:val="single" w:sz="2" w:space="0" w:color="000000"/>
              <w:right w:val="single" w:sz="2"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7.0</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15.2, 0.8)</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3.9</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12.3, 4.2)</w:t>
            </w:r>
          </w:p>
        </w:tc>
        <w:tc>
          <w:tcPr>
            <w:tcW w:w="1347" w:type="pct"/>
            <w:tcBorders>
              <w:top w:val="single" w:sz="2" w:space="0" w:color="000000"/>
              <w:left w:val="single" w:sz="2" w:space="0" w:color="000000"/>
              <w:bottom w:val="single" w:sz="2" w:space="0" w:color="000000"/>
              <w:right w:val="single" w:sz="6"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p>
          <w:p w:rsidR="0095055D" w:rsidRDefault="0095055D" w:rsidP="00A36DD4">
            <w:pPr>
              <w:autoSpaceDE w:val="0"/>
              <w:autoSpaceDN w:val="0"/>
              <w:adjustRightInd w:val="0"/>
              <w:ind w:right="-20"/>
              <w:jc w:val="center"/>
              <w:rPr>
                <w:rFonts w:ascii="Arial Narrow" w:hAnsi="Arial Narrow" w:cs="Arial"/>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3.2</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4.1, 10.4)</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D</w:t>
            </w:r>
            <w:r w:rsidR="0095055D" w:rsidRPr="003D39FA">
              <w:rPr>
                <w:rFonts w:ascii="Arial Narrow" w:hAnsi="Arial Narrow" w:cs="Arial"/>
                <w:b/>
                <w:bCs/>
                <w:sz w:val="20"/>
                <w:szCs w:val="20"/>
                <w:lang w:eastAsia="en-AU"/>
              </w:rPr>
              <w:t>iscontinued due to a dru</w:t>
            </w:r>
            <w:r w:rsidR="0095055D" w:rsidRPr="003D39FA">
              <w:rPr>
                <w:rFonts w:ascii="Arial Narrow" w:hAnsi="Arial Narrow" w:cs="Arial"/>
                <w:b/>
                <w:bCs/>
                <w:spacing w:val="1"/>
                <w:sz w:val="20"/>
                <w:szCs w:val="20"/>
                <w:lang w:eastAsia="en-AU"/>
              </w:rPr>
              <w:t>g</w:t>
            </w:r>
            <w:r w:rsidR="0095055D" w:rsidRPr="003D39FA">
              <w:rPr>
                <w:rFonts w:ascii="Arial Narrow" w:hAnsi="Arial Narrow" w:cs="Arial"/>
                <w:b/>
                <w:bCs/>
                <w:spacing w:val="-1"/>
                <w:sz w:val="20"/>
                <w:szCs w:val="20"/>
                <w:lang w:eastAsia="en-AU"/>
              </w:rPr>
              <w:t>-</w:t>
            </w:r>
            <w:r w:rsidR="0095055D" w:rsidRPr="003D39FA">
              <w:rPr>
                <w:rFonts w:ascii="Arial Narrow" w:hAnsi="Arial Narrow" w:cs="Arial"/>
                <w:b/>
                <w:bCs/>
                <w:sz w:val="20"/>
                <w:szCs w:val="20"/>
                <w:lang w:eastAsia="en-AU"/>
              </w:rPr>
              <w:t xml:space="preserve">related </w:t>
            </w:r>
            <w:r w:rsidR="0095055D">
              <w:rPr>
                <w:rFonts w:ascii="Arial Narrow" w:hAnsi="Arial Narrow" w:cs="Arial"/>
                <w:b/>
                <w:bCs/>
                <w:sz w:val="20"/>
                <w:szCs w:val="20"/>
                <w:lang w:eastAsia="en-AU"/>
              </w:rPr>
              <w:t>AE</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A384F" w:rsidP="00A36DD4">
            <w:pPr>
              <w:tabs>
                <w:tab w:val="left" w:pos="2976"/>
              </w:tabs>
              <w:autoSpaceDE w:val="0"/>
              <w:autoSpaceDN w:val="0"/>
              <w:adjustRightInd w:val="0"/>
              <w:ind w:left="134"/>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12</w:t>
            </w:r>
            <w:r w:rsidRPr="003D39FA">
              <w:rPr>
                <w:rFonts w:ascii="Arial Narrow" w:hAnsi="Arial Narrow" w:cs="Arial"/>
                <w:spacing w:val="26"/>
                <w:sz w:val="20"/>
                <w:szCs w:val="20"/>
                <w:lang w:eastAsia="en-AU"/>
              </w:rPr>
              <w:t xml:space="preserve"> </w:t>
            </w:r>
            <w:r w:rsidRPr="003D39FA">
              <w:rPr>
                <w:rFonts w:ascii="Arial Narrow" w:hAnsi="Arial Narrow" w:cs="Arial"/>
                <w:sz w:val="20"/>
                <w:szCs w:val="20"/>
                <w:lang w:eastAsia="en-AU"/>
              </w:rPr>
              <w:t>(9.0)</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9 (6.6)</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8 (5.3)</w:t>
            </w:r>
          </w:p>
        </w:tc>
        <w:tc>
          <w:tcPr>
            <w:tcW w:w="119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jc w:val="center"/>
              <w:rPr>
                <w:rFonts w:ascii="Arial Narrow" w:hAnsi="Arial Narrow" w:cs="Arial"/>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2.5</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9.4, 4.2)</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3.7</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10.4, 2.4)</w:t>
            </w:r>
          </w:p>
        </w:tc>
        <w:tc>
          <w:tcPr>
            <w:tcW w:w="1347" w:type="pct"/>
            <w:tcBorders>
              <w:top w:val="single" w:sz="2" w:space="0" w:color="000000"/>
              <w:left w:val="single" w:sz="2" w:space="0" w:color="000000"/>
              <w:bottom w:val="single" w:sz="2" w:space="0" w:color="000000"/>
              <w:right w:val="single" w:sz="6"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1.3</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7.4, 4.5)</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W</w:t>
            </w:r>
            <w:r w:rsidR="0095055D">
              <w:rPr>
                <w:rFonts w:ascii="Arial Narrow" w:hAnsi="Arial Narrow" w:cs="Arial"/>
                <w:b/>
                <w:bCs/>
                <w:sz w:val="20"/>
                <w:szCs w:val="20"/>
                <w:lang w:eastAsia="en-AU"/>
              </w:rPr>
              <w:t>ith d</w:t>
            </w:r>
            <w:r w:rsidR="0095055D" w:rsidRPr="003D39FA">
              <w:rPr>
                <w:rFonts w:ascii="Arial Narrow" w:hAnsi="Arial Narrow" w:cs="Arial"/>
                <w:b/>
                <w:bCs/>
                <w:sz w:val="20"/>
                <w:szCs w:val="20"/>
                <w:lang w:eastAsia="en-AU"/>
              </w:rPr>
              <w:t xml:space="preserve">ose </w:t>
            </w:r>
            <w:r w:rsidR="0095055D">
              <w:rPr>
                <w:rFonts w:ascii="Arial Narrow" w:hAnsi="Arial Narrow" w:cs="Arial"/>
                <w:b/>
                <w:bCs/>
                <w:sz w:val="20"/>
                <w:szCs w:val="20"/>
                <w:lang w:eastAsia="en-AU"/>
              </w:rPr>
              <w:t>m</w:t>
            </w:r>
            <w:r w:rsidR="0095055D" w:rsidRPr="003D39FA">
              <w:rPr>
                <w:rFonts w:ascii="Arial Narrow" w:hAnsi="Arial Narrow" w:cs="Arial"/>
                <w:b/>
                <w:bCs/>
                <w:sz w:val="20"/>
                <w:szCs w:val="20"/>
                <w:lang w:eastAsia="en-AU"/>
              </w:rPr>
              <w:t>odification due to AE</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A384F" w:rsidP="00A36DD4">
            <w:pPr>
              <w:autoSpaceDE w:val="0"/>
              <w:autoSpaceDN w:val="0"/>
              <w:adjustRightInd w:val="0"/>
              <w:ind w:left="134"/>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54 (40.6)</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51 (37.2)</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53 (35.1)</w:t>
            </w:r>
          </w:p>
        </w:tc>
        <w:tc>
          <w:tcPr>
            <w:tcW w:w="1191" w:type="pct"/>
            <w:tcBorders>
              <w:top w:val="single" w:sz="2" w:space="0" w:color="000000"/>
              <w:left w:val="single" w:sz="2" w:space="0" w:color="000000"/>
              <w:bottom w:val="single" w:sz="2" w:space="0" w:color="000000"/>
              <w:right w:val="single" w:sz="2"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3.4</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14.9, 8.2)</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5.5</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16.7, 5.8)</w:t>
            </w:r>
          </w:p>
        </w:tc>
        <w:tc>
          <w:tcPr>
            <w:tcW w:w="1347" w:type="pct"/>
            <w:tcBorders>
              <w:top w:val="single" w:sz="2" w:space="0" w:color="000000"/>
              <w:left w:val="single" w:sz="2" w:space="0" w:color="000000"/>
              <w:bottom w:val="single" w:sz="2" w:space="0" w:color="000000"/>
              <w:right w:val="single" w:sz="6"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2.1</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13.2, 8.9)</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W</w:t>
            </w:r>
            <w:r w:rsidR="0095055D" w:rsidRPr="003D39FA">
              <w:rPr>
                <w:rFonts w:ascii="Arial Narrow" w:hAnsi="Arial Narrow" w:cs="Arial"/>
                <w:b/>
                <w:bCs/>
                <w:sz w:val="20"/>
                <w:szCs w:val="20"/>
                <w:lang w:eastAsia="en-AU"/>
              </w:rPr>
              <w:t>ith</w:t>
            </w:r>
            <w:r w:rsidR="0095055D" w:rsidRPr="003D39FA">
              <w:rPr>
                <w:rFonts w:ascii="Arial Narrow" w:hAnsi="Arial Narrow" w:cs="Arial"/>
                <w:b/>
                <w:bCs/>
                <w:spacing w:val="-1"/>
                <w:sz w:val="20"/>
                <w:szCs w:val="20"/>
                <w:lang w:eastAsia="en-AU"/>
              </w:rPr>
              <w:t xml:space="preserve"> </w:t>
            </w:r>
            <w:r w:rsidR="0095055D" w:rsidRPr="003D39FA">
              <w:rPr>
                <w:rFonts w:ascii="Arial Narrow" w:hAnsi="Arial Narrow" w:cs="Arial"/>
                <w:b/>
                <w:bCs/>
                <w:sz w:val="20"/>
                <w:szCs w:val="20"/>
                <w:lang w:eastAsia="en-AU"/>
              </w:rPr>
              <w:t>any</w:t>
            </w:r>
            <w:r w:rsidR="0095055D" w:rsidRPr="003D39FA">
              <w:rPr>
                <w:rFonts w:ascii="Arial Narrow" w:hAnsi="Arial Narrow" w:cs="Arial"/>
                <w:b/>
                <w:bCs/>
                <w:spacing w:val="-1"/>
                <w:sz w:val="20"/>
                <w:szCs w:val="20"/>
                <w:lang w:eastAsia="en-AU"/>
              </w:rPr>
              <w:t xml:space="preserve"> </w:t>
            </w:r>
            <w:r w:rsidR="0095055D" w:rsidRPr="003D39FA">
              <w:rPr>
                <w:rFonts w:ascii="Arial Narrow" w:hAnsi="Arial Narrow" w:cs="Arial"/>
                <w:b/>
                <w:bCs/>
                <w:sz w:val="20"/>
                <w:szCs w:val="20"/>
                <w:lang w:eastAsia="en-AU"/>
              </w:rPr>
              <w:t>Grade</w:t>
            </w:r>
            <w:r w:rsidR="0095055D" w:rsidRPr="003D39FA">
              <w:rPr>
                <w:rFonts w:ascii="Arial Narrow" w:hAnsi="Arial Narrow" w:cs="Arial"/>
                <w:b/>
                <w:bCs/>
                <w:spacing w:val="-1"/>
                <w:sz w:val="20"/>
                <w:szCs w:val="20"/>
                <w:lang w:eastAsia="en-AU"/>
              </w:rPr>
              <w:t xml:space="preserve"> </w:t>
            </w:r>
            <w:r w:rsidR="0095055D" w:rsidRPr="003D39FA">
              <w:rPr>
                <w:rFonts w:ascii="Arial Narrow" w:hAnsi="Arial Narrow" w:cs="Arial"/>
                <w:b/>
                <w:bCs/>
                <w:spacing w:val="1"/>
                <w:sz w:val="20"/>
                <w:szCs w:val="20"/>
                <w:lang w:eastAsia="en-AU"/>
              </w:rPr>
              <w:t>3</w:t>
            </w:r>
            <w:r w:rsidR="0095055D" w:rsidRPr="003D39FA">
              <w:rPr>
                <w:rFonts w:ascii="Arial Narrow" w:hAnsi="Arial Narrow" w:cs="Arial"/>
                <w:b/>
                <w:bCs/>
                <w:spacing w:val="-1"/>
                <w:sz w:val="20"/>
                <w:szCs w:val="20"/>
                <w:lang w:eastAsia="en-AU"/>
              </w:rPr>
              <w:t>-</w:t>
            </w:r>
            <w:r w:rsidR="0095055D" w:rsidRPr="003D39FA">
              <w:rPr>
                <w:rFonts w:ascii="Arial Narrow" w:hAnsi="Arial Narrow" w:cs="Arial"/>
                <w:b/>
                <w:bCs/>
                <w:sz w:val="20"/>
                <w:szCs w:val="20"/>
                <w:lang w:eastAsia="en-AU"/>
              </w:rPr>
              <w:t xml:space="preserve">5 </w:t>
            </w:r>
            <w:r w:rsidR="0095055D">
              <w:rPr>
                <w:rFonts w:ascii="Arial Narrow" w:hAnsi="Arial Narrow" w:cs="Arial"/>
                <w:b/>
                <w:bCs/>
                <w:sz w:val="20"/>
                <w:szCs w:val="20"/>
                <w:lang w:eastAsia="en-AU"/>
              </w:rPr>
              <w:t>AE</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A384F" w:rsidP="00A36DD4">
            <w:pPr>
              <w:autoSpaceDE w:val="0"/>
              <w:autoSpaceDN w:val="0"/>
              <w:adjustRightInd w:val="0"/>
              <w:ind w:left="134" w:right="-1"/>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1"/>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xml:space="preserve"> mg/kg, </w:t>
            </w:r>
            <w:r w:rsidRPr="003D39FA">
              <w:rPr>
                <w:rFonts w:ascii="Arial Narrow" w:hAnsi="Arial Narrow" w:cs="Arial"/>
                <w:sz w:val="20"/>
                <w:szCs w:val="20"/>
                <w:lang w:eastAsia="en-AU"/>
              </w:rPr>
              <w:t>Q3W</w:t>
            </w:r>
          </w:p>
          <w:p w:rsidR="0095055D" w:rsidRPr="003D39FA" w:rsidRDefault="0095055D" w:rsidP="00A36DD4">
            <w:pPr>
              <w:autoSpaceDE w:val="0"/>
              <w:autoSpaceDN w:val="0"/>
              <w:adjustRightInd w:val="0"/>
              <w:ind w:left="134" w:right="-20"/>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75 (56.4)</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69 (50.4)</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76 (50.3)</w:t>
            </w:r>
          </w:p>
        </w:tc>
        <w:tc>
          <w:tcPr>
            <w:tcW w:w="1191" w:type="pct"/>
            <w:tcBorders>
              <w:top w:val="single" w:sz="2" w:space="0" w:color="000000"/>
              <w:left w:val="single" w:sz="2" w:space="0" w:color="000000"/>
              <w:bottom w:val="single" w:sz="2" w:space="0" w:color="000000"/>
              <w:right w:val="single" w:sz="2"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6.0</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17.8, 5.9)</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6.1</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17.5, 5.6)</w:t>
            </w:r>
          </w:p>
        </w:tc>
        <w:tc>
          <w:tcPr>
            <w:tcW w:w="1347" w:type="pct"/>
            <w:tcBorders>
              <w:top w:val="single" w:sz="2" w:space="0" w:color="000000"/>
              <w:left w:val="single" w:sz="2" w:space="0" w:color="000000"/>
              <w:bottom w:val="single" w:sz="2" w:space="0" w:color="000000"/>
              <w:right w:val="single" w:sz="6"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0.0</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11.5, 11.5)</w:t>
            </w:r>
          </w:p>
        </w:tc>
      </w:tr>
      <w:tr w:rsidR="0095055D" w:rsidRPr="003D39FA" w:rsidTr="00DF42DF">
        <w:trPr>
          <w:trHeight w:val="20"/>
        </w:trPr>
        <w:tc>
          <w:tcPr>
            <w:tcW w:w="5000" w:type="pct"/>
            <w:gridSpan w:val="4"/>
            <w:tcBorders>
              <w:top w:val="single" w:sz="2" w:space="0" w:color="000000"/>
              <w:left w:val="single" w:sz="6" w:space="0" w:color="000000"/>
              <w:bottom w:val="single" w:sz="2" w:space="0" w:color="000000"/>
              <w:right w:val="single" w:sz="6" w:space="0" w:color="000000"/>
            </w:tcBorders>
          </w:tcPr>
          <w:p w:rsidR="0095055D" w:rsidRPr="003D39FA" w:rsidRDefault="002B0DA6" w:rsidP="00E00320">
            <w:pPr>
              <w:autoSpaceDE w:val="0"/>
              <w:autoSpaceDN w:val="0"/>
              <w:adjustRightInd w:val="0"/>
              <w:ind w:right="-20"/>
              <w:jc w:val="left"/>
              <w:rPr>
                <w:rFonts w:ascii="Arial Narrow" w:hAnsi="Arial Narrow" w:cs="Arial"/>
                <w:sz w:val="20"/>
                <w:szCs w:val="20"/>
                <w:lang w:eastAsia="en-AU"/>
              </w:rPr>
            </w:pPr>
            <w:r>
              <w:rPr>
                <w:rFonts w:ascii="Arial Narrow" w:hAnsi="Arial Narrow" w:cs="Arial"/>
                <w:b/>
                <w:bCs/>
                <w:sz w:val="20"/>
                <w:szCs w:val="20"/>
                <w:lang w:eastAsia="en-AU"/>
              </w:rPr>
              <w:t>W</w:t>
            </w:r>
            <w:r w:rsidR="0095055D" w:rsidRPr="003D39FA">
              <w:rPr>
                <w:rFonts w:ascii="Arial Narrow" w:hAnsi="Arial Narrow" w:cs="Arial"/>
                <w:b/>
                <w:bCs/>
                <w:sz w:val="20"/>
                <w:szCs w:val="20"/>
                <w:lang w:eastAsia="en-AU"/>
              </w:rPr>
              <w:t>ith any dru</w:t>
            </w:r>
            <w:r w:rsidR="0095055D" w:rsidRPr="003D39FA">
              <w:rPr>
                <w:rFonts w:ascii="Arial Narrow" w:hAnsi="Arial Narrow" w:cs="Arial"/>
                <w:b/>
                <w:bCs/>
                <w:spacing w:val="1"/>
                <w:sz w:val="20"/>
                <w:szCs w:val="20"/>
                <w:lang w:eastAsia="en-AU"/>
              </w:rPr>
              <w:t>g</w:t>
            </w:r>
            <w:r w:rsidR="0095055D" w:rsidRPr="003D39FA">
              <w:rPr>
                <w:rFonts w:ascii="Arial Narrow" w:hAnsi="Arial Narrow" w:cs="Arial"/>
                <w:b/>
                <w:bCs/>
                <w:spacing w:val="-1"/>
                <w:sz w:val="20"/>
                <w:szCs w:val="20"/>
                <w:lang w:eastAsia="en-AU"/>
              </w:rPr>
              <w:t>-</w:t>
            </w:r>
            <w:r w:rsidR="0095055D" w:rsidRPr="003D39FA">
              <w:rPr>
                <w:rFonts w:ascii="Arial Narrow" w:hAnsi="Arial Narrow" w:cs="Arial"/>
                <w:b/>
                <w:bCs/>
                <w:sz w:val="20"/>
                <w:szCs w:val="20"/>
                <w:lang w:eastAsia="en-AU"/>
              </w:rPr>
              <w:t xml:space="preserve">related Grade </w:t>
            </w:r>
            <w:r w:rsidR="0095055D" w:rsidRPr="003D39FA">
              <w:rPr>
                <w:rFonts w:ascii="Arial Narrow" w:hAnsi="Arial Narrow" w:cs="Arial"/>
                <w:b/>
                <w:bCs/>
                <w:spacing w:val="1"/>
                <w:sz w:val="20"/>
                <w:szCs w:val="20"/>
                <w:lang w:eastAsia="en-AU"/>
              </w:rPr>
              <w:t>3</w:t>
            </w:r>
            <w:r w:rsidR="0095055D" w:rsidRPr="003D39FA">
              <w:rPr>
                <w:rFonts w:ascii="Arial Narrow" w:hAnsi="Arial Narrow" w:cs="Arial"/>
                <w:b/>
                <w:bCs/>
                <w:sz w:val="20"/>
                <w:szCs w:val="20"/>
                <w:lang w:eastAsia="en-AU"/>
              </w:rPr>
              <w:t>-</w:t>
            </w:r>
            <w:r w:rsidR="0095055D" w:rsidRPr="003D39FA">
              <w:rPr>
                <w:rFonts w:ascii="Arial Narrow" w:hAnsi="Arial Narrow" w:cs="Arial"/>
                <w:b/>
                <w:bCs/>
                <w:spacing w:val="-2"/>
                <w:sz w:val="20"/>
                <w:szCs w:val="20"/>
                <w:lang w:eastAsia="en-AU"/>
              </w:rPr>
              <w:t xml:space="preserve"> </w:t>
            </w:r>
            <w:r w:rsidR="0095055D" w:rsidRPr="003D39FA">
              <w:rPr>
                <w:rFonts w:ascii="Arial Narrow" w:hAnsi="Arial Narrow" w:cs="Arial"/>
                <w:b/>
                <w:bCs/>
                <w:sz w:val="20"/>
                <w:szCs w:val="20"/>
                <w:lang w:eastAsia="en-AU"/>
              </w:rPr>
              <w:t xml:space="preserve">5 </w:t>
            </w:r>
            <w:r w:rsidR="0095055D">
              <w:rPr>
                <w:rFonts w:ascii="Arial Narrow" w:hAnsi="Arial Narrow" w:cs="Arial"/>
                <w:b/>
                <w:bCs/>
                <w:sz w:val="20"/>
                <w:szCs w:val="20"/>
                <w:lang w:eastAsia="en-AU"/>
              </w:rPr>
              <w:t>AE</w:t>
            </w:r>
          </w:p>
        </w:tc>
      </w:tr>
      <w:tr w:rsidR="0095055D" w:rsidRPr="003D39FA" w:rsidTr="00DF42DF">
        <w:trPr>
          <w:trHeight w:val="20"/>
        </w:trPr>
        <w:tc>
          <w:tcPr>
            <w:tcW w:w="1701" w:type="pct"/>
            <w:tcBorders>
              <w:top w:val="single" w:sz="2" w:space="0" w:color="000000"/>
              <w:left w:val="single" w:sz="6" w:space="0" w:color="000000"/>
              <w:bottom w:val="single" w:sz="2" w:space="0" w:color="000000"/>
              <w:right w:val="single" w:sz="2" w:space="0" w:color="000000"/>
            </w:tcBorders>
          </w:tcPr>
          <w:p w:rsidR="0095055D" w:rsidRPr="003D39FA" w:rsidRDefault="009A384F" w:rsidP="00A36DD4">
            <w:pPr>
              <w:autoSpaceDE w:val="0"/>
              <w:autoSpaceDN w:val="0"/>
              <w:adjustRightInd w:val="0"/>
              <w:ind w:left="134"/>
              <w:jc w:val="left"/>
              <w:rPr>
                <w:rFonts w:ascii="Arial Narrow" w:hAnsi="Arial Narrow" w:cs="Arial"/>
                <w:sz w:val="20"/>
                <w:szCs w:val="20"/>
                <w:lang w:eastAsia="en-AU"/>
              </w:rPr>
            </w:pPr>
            <w:proofErr w:type="spellStart"/>
            <w:r>
              <w:rPr>
                <w:rFonts w:ascii="Arial Narrow" w:hAnsi="Arial Narrow" w:cs="Arial"/>
                <w:sz w:val="20"/>
                <w:szCs w:val="20"/>
                <w:lang w:eastAsia="en-AU"/>
              </w:rPr>
              <w:t>Docetaxel</w:t>
            </w:r>
            <w:proofErr w:type="spellEnd"/>
            <w:r>
              <w:rPr>
                <w:rFonts w:ascii="Arial Narrow" w:hAnsi="Arial Narrow" w:cs="Arial"/>
                <w:sz w:val="20"/>
                <w:szCs w:val="20"/>
                <w:lang w:eastAsia="en-AU"/>
              </w:rPr>
              <w:t xml:space="preserve"> 75 </w:t>
            </w:r>
            <w:r w:rsidR="0095055D" w:rsidRPr="003D39FA">
              <w:rPr>
                <w:rFonts w:ascii="Arial Narrow" w:hAnsi="Arial Narrow" w:cs="Arial"/>
                <w:sz w:val="20"/>
                <w:szCs w:val="20"/>
                <w:lang w:eastAsia="en-AU"/>
              </w:rPr>
              <w:t>mg/</w:t>
            </w:r>
            <w:r w:rsidR="0095055D">
              <w:rPr>
                <w:rFonts w:ascii="Arial Narrow" w:hAnsi="Arial Narrow" w:cs="Arial"/>
                <w:sz w:val="20"/>
                <w:szCs w:val="20"/>
                <w:lang w:eastAsia="en-AU"/>
              </w:rPr>
              <w:t xml:space="preserve"> m</w:t>
            </w:r>
            <w:r w:rsidR="0095055D" w:rsidRPr="00634834">
              <w:rPr>
                <w:rFonts w:ascii="Arial Narrow" w:hAnsi="Arial Narrow" w:cs="Arial"/>
                <w:sz w:val="20"/>
                <w:szCs w:val="20"/>
                <w:vertAlign w:val="superscript"/>
                <w:lang w:eastAsia="en-AU"/>
              </w:rPr>
              <w:t>2</w:t>
            </w:r>
            <w:r w:rsidR="0095055D" w:rsidRPr="003D39FA">
              <w:rPr>
                <w:rFonts w:ascii="Arial Narrow" w:hAnsi="Arial Narrow" w:cs="Arial"/>
                <w:sz w:val="20"/>
                <w:szCs w:val="20"/>
                <w:lang w:eastAsia="en-AU"/>
              </w:rPr>
              <w:t xml:space="preserve"> Q3W</w:t>
            </w:r>
          </w:p>
          <w:p w:rsidR="0095055D" w:rsidRPr="003D39FA" w:rsidRDefault="0095055D" w:rsidP="00A36DD4">
            <w:pPr>
              <w:autoSpaceDE w:val="0"/>
              <w:autoSpaceDN w:val="0"/>
              <w:adjustRightInd w:val="0"/>
              <w:ind w:left="134" w:right="-1"/>
              <w:jc w:val="left"/>
              <w:rPr>
                <w:rFonts w:ascii="Arial Narrow" w:hAnsi="Arial Narrow" w:cs="Arial"/>
                <w:sz w:val="20"/>
                <w:szCs w:val="20"/>
                <w:lang w:eastAsia="en-AU"/>
              </w:rPr>
            </w:pPr>
            <w:r>
              <w:rPr>
                <w:rFonts w:ascii="Arial Narrow" w:hAnsi="Arial Narrow" w:cs="Arial"/>
                <w:spacing w:val="1"/>
                <w:sz w:val="20"/>
                <w:szCs w:val="20"/>
                <w:lang w:eastAsia="en-AU"/>
              </w:rPr>
              <w:t>Pembrolizumab</w:t>
            </w:r>
            <w:r w:rsidRPr="003D39FA">
              <w:rPr>
                <w:rFonts w:ascii="Arial Narrow" w:hAnsi="Arial Narrow" w:cs="Arial"/>
                <w:sz w:val="20"/>
                <w:szCs w:val="20"/>
                <w:lang w:eastAsia="en-AU"/>
              </w:rPr>
              <w:t xml:space="preserve"> 2</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r>
              <w:rPr>
                <w:rFonts w:ascii="Arial Narrow" w:hAnsi="Arial Narrow" w:cs="Arial"/>
                <w:spacing w:val="1"/>
                <w:sz w:val="20"/>
                <w:szCs w:val="20"/>
                <w:lang w:eastAsia="en-AU"/>
              </w:rPr>
              <w:t xml:space="preserve"> Pembrolizumab</w:t>
            </w:r>
            <w:r w:rsidRPr="003D39FA">
              <w:rPr>
                <w:rFonts w:ascii="Arial Narrow" w:hAnsi="Arial Narrow" w:cs="Arial"/>
                <w:sz w:val="20"/>
                <w:szCs w:val="20"/>
                <w:lang w:eastAsia="en-AU"/>
              </w:rPr>
              <w:t xml:space="preserve"> 10</w:t>
            </w:r>
            <w:r>
              <w:rPr>
                <w:rFonts w:ascii="Arial Narrow" w:hAnsi="Arial Narrow" w:cs="Arial"/>
                <w:sz w:val="20"/>
                <w:szCs w:val="20"/>
                <w:lang w:eastAsia="en-AU"/>
              </w:rPr>
              <w:t> mg/kg</w:t>
            </w:r>
            <w:r w:rsidRPr="003D39FA">
              <w:rPr>
                <w:rFonts w:ascii="Arial Narrow" w:hAnsi="Arial Narrow" w:cs="Arial"/>
                <w:sz w:val="20"/>
                <w:szCs w:val="20"/>
                <w:lang w:eastAsia="en-AU"/>
              </w:rPr>
              <w:t xml:space="preserve"> Q3W</w:t>
            </w:r>
          </w:p>
        </w:tc>
        <w:tc>
          <w:tcPr>
            <w:tcW w:w="761" w:type="pct"/>
            <w:tcBorders>
              <w:top w:val="single" w:sz="2" w:space="0" w:color="000000"/>
              <w:left w:val="single" w:sz="2" w:space="0" w:color="000000"/>
              <w:bottom w:val="single" w:sz="2" w:space="0" w:color="000000"/>
              <w:right w:val="single" w:sz="2" w:space="0" w:color="000000"/>
            </w:tcBorders>
          </w:tcPr>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45 (33.8)</w:t>
            </w:r>
          </w:p>
          <w:p w:rsidR="0095055D"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18 (13.1)</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z w:val="20"/>
                <w:szCs w:val="20"/>
                <w:lang w:eastAsia="en-AU"/>
              </w:rPr>
              <w:t>33 (21.9)</w:t>
            </w:r>
          </w:p>
        </w:tc>
        <w:tc>
          <w:tcPr>
            <w:tcW w:w="1191" w:type="pct"/>
            <w:tcBorders>
              <w:top w:val="single" w:sz="2" w:space="0" w:color="000000"/>
              <w:left w:val="single" w:sz="2" w:space="0" w:color="000000"/>
              <w:bottom w:val="single" w:sz="2" w:space="0" w:color="000000"/>
              <w:right w:val="single" w:sz="2" w:space="0" w:color="000000"/>
            </w:tcBorders>
          </w:tcPr>
          <w:p w:rsidR="0095055D" w:rsidRDefault="0095055D" w:rsidP="00A36DD4">
            <w:pPr>
              <w:autoSpaceDE w:val="0"/>
              <w:autoSpaceDN w:val="0"/>
              <w:adjustRightInd w:val="0"/>
              <w:ind w:right="-20"/>
              <w:jc w:val="center"/>
              <w:rPr>
                <w:rFonts w:ascii="Arial Narrow" w:hAnsi="Arial Narrow" w:cs="Arial"/>
                <w:spacing w:val="-1"/>
                <w:sz w:val="20"/>
                <w:szCs w:val="20"/>
                <w:lang w:eastAsia="en-AU"/>
              </w:rPr>
            </w:pPr>
          </w:p>
          <w:p w:rsidR="0095055D"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20.7</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pacing w:val="-3"/>
                <w:sz w:val="20"/>
                <w:szCs w:val="20"/>
                <w:lang w:eastAsia="en-AU"/>
              </w:rPr>
              <w:t>-</w:t>
            </w:r>
            <w:r w:rsidRPr="003D39FA">
              <w:rPr>
                <w:rFonts w:ascii="Arial Narrow" w:hAnsi="Arial Narrow" w:cs="Arial"/>
                <w:sz w:val="20"/>
                <w:szCs w:val="20"/>
                <w:lang w:eastAsia="en-AU"/>
              </w:rPr>
              <w:t>30.5,</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10.8)</w:t>
            </w:r>
          </w:p>
          <w:p w:rsidR="0095055D" w:rsidRPr="003D39FA" w:rsidRDefault="0095055D" w:rsidP="00A36DD4">
            <w:pPr>
              <w:autoSpaceDE w:val="0"/>
              <w:autoSpaceDN w:val="0"/>
              <w:adjustRightInd w:val="0"/>
              <w:ind w:right="-20"/>
              <w:jc w:val="center"/>
              <w:rPr>
                <w:rFonts w:ascii="Arial Narrow" w:hAnsi="Arial Narrow" w:cs="Arial"/>
                <w:sz w:val="20"/>
                <w:szCs w:val="20"/>
                <w:lang w:eastAsia="en-AU"/>
              </w:rPr>
            </w:pP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12.0</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pacing w:val="-3"/>
                <w:sz w:val="20"/>
                <w:szCs w:val="20"/>
                <w:lang w:eastAsia="en-AU"/>
              </w:rPr>
              <w:t>-</w:t>
            </w:r>
            <w:r w:rsidRPr="003D39FA">
              <w:rPr>
                <w:rFonts w:ascii="Arial Narrow" w:hAnsi="Arial Narrow" w:cs="Arial"/>
                <w:sz w:val="20"/>
                <w:szCs w:val="20"/>
                <w:lang w:eastAsia="en-AU"/>
              </w:rPr>
              <w:t>22.4,</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1.6)</w:t>
            </w:r>
          </w:p>
        </w:tc>
        <w:tc>
          <w:tcPr>
            <w:tcW w:w="1347" w:type="pct"/>
            <w:tcBorders>
              <w:top w:val="single" w:sz="2" w:space="0" w:color="000000"/>
              <w:left w:val="single" w:sz="2" w:space="0" w:color="000000"/>
              <w:bottom w:val="single" w:sz="2" w:space="0" w:color="000000"/>
              <w:right w:val="single" w:sz="6" w:space="0" w:color="000000"/>
            </w:tcBorders>
          </w:tcPr>
          <w:p w:rsidR="0095055D" w:rsidRDefault="0095055D" w:rsidP="00A36DD4">
            <w:pPr>
              <w:autoSpaceDE w:val="0"/>
              <w:autoSpaceDN w:val="0"/>
              <w:adjustRightInd w:val="0"/>
              <w:jc w:val="center"/>
              <w:rPr>
                <w:rFonts w:ascii="Arial Narrow" w:hAnsi="Arial Narrow" w:cs="Arial"/>
                <w:sz w:val="20"/>
                <w:szCs w:val="20"/>
                <w:lang w:eastAsia="en-AU"/>
              </w:rPr>
            </w:pPr>
          </w:p>
          <w:p w:rsidR="0095055D" w:rsidRDefault="0095055D" w:rsidP="00A36DD4">
            <w:pPr>
              <w:autoSpaceDE w:val="0"/>
              <w:autoSpaceDN w:val="0"/>
              <w:adjustRightInd w:val="0"/>
              <w:jc w:val="center"/>
              <w:rPr>
                <w:rFonts w:ascii="Arial Narrow" w:hAnsi="Arial Narrow" w:cs="Arial"/>
                <w:sz w:val="20"/>
                <w:szCs w:val="20"/>
                <w:lang w:eastAsia="en-AU"/>
              </w:rPr>
            </w:pPr>
          </w:p>
          <w:p w:rsidR="0095055D" w:rsidRPr="003D39FA" w:rsidRDefault="0095055D" w:rsidP="00A36DD4">
            <w:pPr>
              <w:autoSpaceDE w:val="0"/>
              <w:autoSpaceDN w:val="0"/>
              <w:adjustRightInd w:val="0"/>
              <w:jc w:val="center"/>
              <w:rPr>
                <w:rFonts w:ascii="Arial Narrow" w:hAnsi="Arial Narrow" w:cs="Arial"/>
                <w:sz w:val="20"/>
                <w:szCs w:val="20"/>
                <w:lang w:eastAsia="en-AU"/>
              </w:rPr>
            </w:pPr>
            <w:r w:rsidRPr="003D39FA">
              <w:rPr>
                <w:rFonts w:ascii="Arial Narrow" w:hAnsi="Arial Narrow" w:cs="Arial"/>
                <w:sz w:val="20"/>
                <w:szCs w:val="20"/>
                <w:lang w:eastAsia="en-AU"/>
              </w:rPr>
              <w:t>8.7</w:t>
            </w:r>
            <w:r w:rsidRPr="003D39FA">
              <w:rPr>
                <w:rFonts w:ascii="Arial Narrow" w:hAnsi="Arial Narrow" w:cs="Arial"/>
                <w:spacing w:val="1"/>
                <w:sz w:val="20"/>
                <w:szCs w:val="20"/>
                <w:lang w:eastAsia="en-AU"/>
              </w:rPr>
              <w:t xml:space="preserve"> </w:t>
            </w:r>
            <w:r w:rsidRPr="003D39FA">
              <w:rPr>
                <w:rFonts w:ascii="Arial Narrow" w:hAnsi="Arial Narrow" w:cs="Arial"/>
                <w:spacing w:val="-1"/>
                <w:sz w:val="20"/>
                <w:szCs w:val="20"/>
                <w:lang w:eastAsia="en-AU"/>
              </w:rPr>
              <w:t>(-</w:t>
            </w:r>
            <w:r w:rsidRPr="003D39FA">
              <w:rPr>
                <w:rFonts w:ascii="Arial Narrow" w:hAnsi="Arial Narrow" w:cs="Arial"/>
                <w:sz w:val="20"/>
                <w:szCs w:val="20"/>
                <w:lang w:eastAsia="en-AU"/>
              </w:rPr>
              <w:t>0.1, 17.5)</w:t>
            </w:r>
          </w:p>
        </w:tc>
      </w:tr>
    </w:tbl>
    <w:p w:rsidR="0095055D" w:rsidRPr="00382E1C" w:rsidRDefault="0095055D" w:rsidP="00DF42DF">
      <w:pPr>
        <w:autoSpaceDE w:val="0"/>
        <w:autoSpaceDN w:val="0"/>
        <w:adjustRightInd w:val="0"/>
        <w:ind w:left="709" w:right="-20"/>
        <w:rPr>
          <w:rFonts w:ascii="Arial Narrow" w:hAnsi="Arial Narrow" w:cs="Arial"/>
          <w:sz w:val="18"/>
          <w:szCs w:val="18"/>
          <w:lang w:eastAsia="en-AU"/>
        </w:rPr>
      </w:pPr>
      <w:r w:rsidRPr="00567B80">
        <w:rPr>
          <w:rFonts w:ascii="Arial Narrow" w:hAnsi="Arial Narrow" w:cs="Arial"/>
          <w:sz w:val="18"/>
          <w:szCs w:val="18"/>
          <w:vertAlign w:val="superscript"/>
          <w:lang w:eastAsia="en-AU"/>
        </w:rPr>
        <w:t>∞</w:t>
      </w:r>
      <w:r w:rsidRPr="00382E1C">
        <w:rPr>
          <w:rFonts w:ascii="Arial Narrow" w:hAnsi="Arial Narrow" w:cs="Arial"/>
          <w:sz w:val="18"/>
          <w:szCs w:val="18"/>
          <w:lang w:eastAsia="en-AU"/>
        </w:rPr>
        <w:t xml:space="preserve"> Safety parameters </w:t>
      </w:r>
      <w:r>
        <w:rPr>
          <w:rFonts w:ascii="Arial Narrow" w:hAnsi="Arial Narrow" w:cs="Arial"/>
          <w:sz w:val="18"/>
          <w:szCs w:val="18"/>
          <w:lang w:eastAsia="en-AU"/>
        </w:rPr>
        <w:t>f</w:t>
      </w:r>
      <w:r w:rsidRPr="00382E1C">
        <w:rPr>
          <w:rFonts w:ascii="Arial Narrow" w:hAnsi="Arial Narrow" w:cs="Arial"/>
          <w:sz w:val="18"/>
          <w:szCs w:val="18"/>
          <w:lang w:eastAsia="en-AU"/>
        </w:rPr>
        <w:t>or AEOSI</w:t>
      </w:r>
      <w:r>
        <w:rPr>
          <w:rFonts w:ascii="Arial Narrow" w:hAnsi="Arial Narrow" w:cs="Arial"/>
          <w:sz w:val="18"/>
          <w:szCs w:val="18"/>
          <w:lang w:eastAsia="en-AU"/>
        </w:rPr>
        <w:t>s</w:t>
      </w:r>
      <w:r w:rsidRPr="00382E1C">
        <w:rPr>
          <w:rFonts w:ascii="Arial Narrow" w:hAnsi="Arial Narrow" w:cs="Arial"/>
          <w:sz w:val="18"/>
          <w:szCs w:val="18"/>
          <w:lang w:eastAsia="en-AU"/>
        </w:rPr>
        <w:t xml:space="preserve"> that were identified a priori constituted “Tier 1” safety endpoints. Other safety parameters were considered Tier 2 or Tier 3. Membership in Tier 2 required that at least 4 subjects in any treatment group exhibited the event; all other AEs and predefined limits of change belonged to Tier 3</w:t>
      </w:r>
    </w:p>
    <w:p w:rsidR="0095055D" w:rsidRPr="00380D26" w:rsidRDefault="0095055D" w:rsidP="00DF42DF">
      <w:pPr>
        <w:autoSpaceDE w:val="0"/>
        <w:autoSpaceDN w:val="0"/>
        <w:adjustRightInd w:val="0"/>
        <w:ind w:left="709" w:right="-20"/>
        <w:rPr>
          <w:rFonts w:ascii="Arial Narrow" w:hAnsi="Arial Narrow" w:cs="Arial"/>
          <w:sz w:val="18"/>
          <w:szCs w:val="18"/>
          <w:lang w:eastAsia="en-AU"/>
        </w:rPr>
      </w:pPr>
      <w:r w:rsidRPr="00380D26">
        <w:rPr>
          <w:rFonts w:ascii="Arial Narrow" w:hAnsi="Arial Narrow" w:cs="Arial"/>
          <w:position w:val="7"/>
          <w:sz w:val="18"/>
          <w:szCs w:val="18"/>
          <w:lang w:eastAsia="en-AU"/>
        </w:rPr>
        <w:t>‡</w:t>
      </w:r>
      <w:r w:rsidRPr="00380D26">
        <w:rPr>
          <w:rFonts w:ascii="Arial Narrow" w:hAnsi="Arial Narrow" w:cs="Arial"/>
          <w:spacing w:val="16"/>
          <w:position w:val="7"/>
          <w:sz w:val="18"/>
          <w:szCs w:val="18"/>
          <w:lang w:eastAsia="en-AU"/>
        </w:rPr>
        <w:t xml:space="preserve"> </w:t>
      </w:r>
      <w:r w:rsidRPr="00380D26">
        <w:rPr>
          <w:rFonts w:ascii="Arial Narrow" w:hAnsi="Arial Narrow" w:cs="Arial"/>
          <w:sz w:val="18"/>
          <w:szCs w:val="18"/>
          <w:lang w:eastAsia="en-AU"/>
        </w:rPr>
        <w:t>Determined by the investigator to be related to the drug.</w:t>
      </w:r>
    </w:p>
    <w:p w:rsidR="0095055D" w:rsidRPr="00380D26" w:rsidRDefault="0095055D" w:rsidP="00DF42DF">
      <w:pPr>
        <w:autoSpaceDE w:val="0"/>
        <w:autoSpaceDN w:val="0"/>
        <w:adjustRightInd w:val="0"/>
        <w:ind w:left="709" w:right="-20"/>
        <w:rPr>
          <w:rFonts w:ascii="Arial Narrow" w:hAnsi="Arial Narrow" w:cs="Arial"/>
          <w:sz w:val="18"/>
          <w:szCs w:val="18"/>
          <w:lang w:eastAsia="en-AU"/>
        </w:rPr>
      </w:pPr>
      <w:r w:rsidRPr="00380D26">
        <w:rPr>
          <w:rFonts w:ascii="Arial Narrow" w:hAnsi="Arial Narrow" w:cs="Arial"/>
          <w:sz w:val="18"/>
          <w:szCs w:val="18"/>
          <w:lang w:eastAsia="en-AU"/>
        </w:rPr>
        <w:t>Every subject is counted a single time for each applicable specific adverse event category.</w:t>
      </w:r>
    </w:p>
    <w:p w:rsidR="0095055D" w:rsidRDefault="0095055D" w:rsidP="00DF42DF">
      <w:pPr>
        <w:autoSpaceDE w:val="0"/>
        <w:autoSpaceDN w:val="0"/>
        <w:adjustRightInd w:val="0"/>
        <w:ind w:left="709" w:right="-20"/>
        <w:rPr>
          <w:rFonts w:ascii="Arial Narrow" w:hAnsi="Arial Narrow" w:cs="Arial"/>
          <w:sz w:val="18"/>
          <w:szCs w:val="18"/>
          <w:lang w:eastAsia="en-AU"/>
        </w:rPr>
      </w:pPr>
      <w:proofErr w:type="spellStart"/>
      <w:r w:rsidRPr="00380D26">
        <w:rPr>
          <w:rFonts w:ascii="Arial Narrow" w:hAnsi="Arial Narrow" w:cs="Arial"/>
          <w:sz w:val="18"/>
          <w:szCs w:val="18"/>
          <w:lang w:eastAsia="en-AU"/>
        </w:rPr>
        <w:t>MedDRA</w:t>
      </w:r>
      <w:proofErr w:type="spellEnd"/>
      <w:r w:rsidRPr="00380D26">
        <w:rPr>
          <w:rFonts w:ascii="Arial Narrow" w:hAnsi="Arial Narrow" w:cs="Arial"/>
          <w:spacing w:val="-1"/>
          <w:sz w:val="18"/>
          <w:szCs w:val="18"/>
          <w:lang w:eastAsia="en-AU"/>
        </w:rPr>
        <w:t xml:space="preserve"> </w:t>
      </w:r>
      <w:r w:rsidRPr="00380D26">
        <w:rPr>
          <w:rFonts w:ascii="Arial Narrow" w:hAnsi="Arial Narrow" w:cs="Arial"/>
          <w:sz w:val="18"/>
          <w:szCs w:val="18"/>
          <w:lang w:eastAsia="en-AU"/>
        </w:rPr>
        <w:t>preferred</w:t>
      </w:r>
      <w:r w:rsidRPr="00380D26">
        <w:rPr>
          <w:rFonts w:ascii="Arial Narrow" w:hAnsi="Arial Narrow" w:cs="Arial"/>
          <w:spacing w:val="-1"/>
          <w:sz w:val="18"/>
          <w:szCs w:val="18"/>
          <w:lang w:eastAsia="en-AU"/>
        </w:rPr>
        <w:t xml:space="preserve"> </w:t>
      </w:r>
      <w:r w:rsidRPr="00380D26">
        <w:rPr>
          <w:rFonts w:ascii="Arial Narrow" w:hAnsi="Arial Narrow" w:cs="Arial"/>
          <w:sz w:val="18"/>
          <w:szCs w:val="18"/>
          <w:lang w:eastAsia="en-AU"/>
        </w:rPr>
        <w:t>ter</w:t>
      </w:r>
      <w:r w:rsidRPr="00C23591">
        <w:rPr>
          <w:rFonts w:ascii="Arial Narrow" w:hAnsi="Arial Narrow" w:cs="Arial"/>
          <w:sz w:val="18"/>
          <w:szCs w:val="18"/>
          <w:lang w:eastAsia="en-AU"/>
        </w:rPr>
        <w:t>m</w:t>
      </w:r>
      <w:r>
        <w:rPr>
          <w:rFonts w:ascii="Arial Narrow" w:hAnsi="Arial Narrow" w:cs="Arial"/>
          <w:sz w:val="18"/>
          <w:szCs w:val="18"/>
          <w:lang w:eastAsia="en-AU"/>
        </w:rPr>
        <w:t xml:space="preserve">s 'Neoplasm </w:t>
      </w:r>
      <w:r w:rsidR="00FD0859">
        <w:rPr>
          <w:rFonts w:ascii="Arial Narrow" w:hAnsi="Arial Narrow" w:cs="Arial"/>
          <w:sz w:val="18"/>
          <w:szCs w:val="18"/>
          <w:lang w:eastAsia="en-AU"/>
        </w:rPr>
        <w:t>Progression'</w:t>
      </w:r>
      <w:r w:rsidR="00FD0859" w:rsidRPr="00380D26">
        <w:rPr>
          <w:rFonts w:ascii="Arial Narrow" w:hAnsi="Arial Narrow" w:cs="Arial"/>
          <w:sz w:val="18"/>
          <w:szCs w:val="18"/>
          <w:lang w:eastAsia="en-AU"/>
        </w:rPr>
        <w:t>,</w:t>
      </w:r>
      <w:r w:rsidR="00FD0859">
        <w:rPr>
          <w:rFonts w:ascii="Arial Narrow" w:hAnsi="Arial Narrow" w:cs="Arial"/>
          <w:sz w:val="18"/>
          <w:szCs w:val="18"/>
          <w:lang w:eastAsia="en-AU"/>
        </w:rPr>
        <w:t xml:space="preserve"> </w:t>
      </w:r>
      <w:r w:rsidR="00FD0859" w:rsidRPr="00380D26">
        <w:rPr>
          <w:rFonts w:ascii="Arial Narrow" w:hAnsi="Arial Narrow" w:cs="Arial"/>
          <w:sz w:val="18"/>
          <w:szCs w:val="18"/>
          <w:lang w:eastAsia="en-AU"/>
        </w:rPr>
        <w:t>'M</w:t>
      </w:r>
      <w:r w:rsidR="00FD0859">
        <w:rPr>
          <w:rFonts w:ascii="Arial Narrow" w:hAnsi="Arial Narrow" w:cs="Arial"/>
          <w:sz w:val="18"/>
          <w:szCs w:val="18"/>
          <w:lang w:eastAsia="en-AU"/>
        </w:rPr>
        <w:t>alignant</w:t>
      </w:r>
      <w:r>
        <w:rPr>
          <w:rFonts w:ascii="Arial Narrow" w:hAnsi="Arial Narrow" w:cs="Arial"/>
          <w:sz w:val="18"/>
          <w:szCs w:val="18"/>
          <w:lang w:eastAsia="en-AU"/>
        </w:rPr>
        <w:t xml:space="preserve"> Neoplasm Progression' </w:t>
      </w:r>
      <w:r w:rsidRPr="00380D26">
        <w:rPr>
          <w:rFonts w:ascii="Arial Narrow" w:hAnsi="Arial Narrow" w:cs="Arial"/>
          <w:sz w:val="18"/>
          <w:szCs w:val="18"/>
          <w:lang w:eastAsia="en-AU"/>
        </w:rPr>
        <w:t>and 'Disease Progression' not related to the drug are excluded.</w:t>
      </w:r>
      <w:r>
        <w:rPr>
          <w:rFonts w:ascii="Arial Narrow" w:hAnsi="Arial Narrow" w:cs="Arial"/>
          <w:sz w:val="18"/>
          <w:szCs w:val="18"/>
          <w:lang w:eastAsia="en-AU"/>
        </w:rPr>
        <w:t xml:space="preserve"> </w:t>
      </w:r>
      <w:r w:rsidRPr="00380D26">
        <w:rPr>
          <w:rFonts w:ascii="Arial Narrow" w:hAnsi="Arial Narrow" w:cs="Arial"/>
          <w:sz w:val="18"/>
          <w:szCs w:val="18"/>
          <w:lang w:eastAsia="en-AU"/>
        </w:rPr>
        <w:t>AEs were followed 30 days after last dose of study treatment; SAEs were followed 90 days afte</w:t>
      </w:r>
      <w:r>
        <w:rPr>
          <w:rFonts w:ascii="Arial Narrow" w:hAnsi="Arial Narrow" w:cs="Arial"/>
          <w:sz w:val="18"/>
          <w:szCs w:val="18"/>
          <w:lang w:eastAsia="en-AU"/>
        </w:rPr>
        <w:t>r last dose of study treatment.</w:t>
      </w:r>
    </w:p>
    <w:p w:rsidR="0095055D" w:rsidRPr="00C23591" w:rsidRDefault="0095055D" w:rsidP="00DF42DF">
      <w:pPr>
        <w:autoSpaceDE w:val="0"/>
        <w:autoSpaceDN w:val="0"/>
        <w:adjustRightInd w:val="0"/>
        <w:ind w:left="709" w:right="-20"/>
        <w:rPr>
          <w:rFonts w:ascii="Arial Narrow" w:hAnsi="Arial Narrow" w:cs="Arial"/>
          <w:sz w:val="18"/>
          <w:szCs w:val="18"/>
          <w:lang w:eastAsia="en-AU"/>
        </w:rPr>
      </w:pPr>
      <w:r>
        <w:rPr>
          <w:rFonts w:ascii="Arial Narrow" w:hAnsi="Arial Narrow" w:cs="Arial"/>
          <w:sz w:val="18"/>
          <w:szCs w:val="18"/>
          <w:lang w:eastAsia="en-AU"/>
        </w:rPr>
        <w:t xml:space="preserve">AE = adverse event; </w:t>
      </w:r>
      <w:r w:rsidRPr="004A7929">
        <w:rPr>
          <w:rFonts w:ascii="Arial Narrow" w:hAnsi="Arial Narrow" w:cs="Arial"/>
          <w:sz w:val="18"/>
          <w:szCs w:val="18"/>
          <w:lang w:eastAsia="en-AU"/>
        </w:rPr>
        <w:t xml:space="preserve">AEOSI = </w:t>
      </w:r>
      <w:r>
        <w:rPr>
          <w:rFonts w:ascii="Arial Narrow" w:hAnsi="Arial Narrow" w:cs="Arial"/>
          <w:sz w:val="18"/>
          <w:szCs w:val="18"/>
          <w:lang w:eastAsia="en-AU"/>
        </w:rPr>
        <w:t>adverse event</w:t>
      </w:r>
      <w:r w:rsidRPr="004A7929">
        <w:rPr>
          <w:rFonts w:ascii="Arial Narrow" w:hAnsi="Arial Narrow" w:cs="Arial"/>
          <w:sz w:val="18"/>
          <w:szCs w:val="18"/>
          <w:lang w:eastAsia="en-AU"/>
        </w:rPr>
        <w:t>s of special interest</w:t>
      </w:r>
      <w:r>
        <w:rPr>
          <w:rFonts w:ascii="Arial Narrow" w:hAnsi="Arial Narrow" w:cs="Arial"/>
          <w:sz w:val="18"/>
          <w:szCs w:val="18"/>
          <w:lang w:eastAsia="en-AU"/>
        </w:rPr>
        <w:t>;</w:t>
      </w:r>
      <w:r w:rsidRPr="004A7929">
        <w:rPr>
          <w:rFonts w:ascii="Arial Narrow" w:hAnsi="Arial Narrow" w:cs="Arial"/>
          <w:sz w:val="18"/>
          <w:szCs w:val="18"/>
          <w:lang w:eastAsia="en-AU"/>
        </w:rPr>
        <w:t xml:space="preserve"> </w:t>
      </w:r>
      <w:proofErr w:type="spellStart"/>
      <w:r w:rsidRPr="00C23591">
        <w:rPr>
          <w:rFonts w:ascii="Arial Narrow" w:hAnsi="Arial Narrow" w:cs="Arial"/>
          <w:sz w:val="18"/>
          <w:szCs w:val="18"/>
          <w:lang w:eastAsia="en-AU"/>
        </w:rPr>
        <w:t>APaT</w:t>
      </w:r>
      <w:proofErr w:type="spellEnd"/>
      <w:r w:rsidRPr="00C23591">
        <w:rPr>
          <w:rFonts w:ascii="Arial Narrow" w:hAnsi="Arial Narrow" w:cs="Arial"/>
          <w:sz w:val="18"/>
          <w:szCs w:val="18"/>
          <w:lang w:eastAsia="en-AU"/>
        </w:rPr>
        <w:t xml:space="preserve"> = all patients as treated; CI = confidence interval</w:t>
      </w:r>
      <w:r>
        <w:rPr>
          <w:rFonts w:ascii="Arial Narrow" w:hAnsi="Arial Narrow" w:cs="Arial"/>
          <w:sz w:val="18"/>
          <w:szCs w:val="18"/>
          <w:lang w:eastAsia="en-AU"/>
        </w:rPr>
        <w:t>;</w:t>
      </w:r>
      <w:r w:rsidRPr="004A7929">
        <w:rPr>
          <w:rFonts w:ascii="Arial Narrow" w:hAnsi="Arial Narrow" w:cs="Arial"/>
          <w:sz w:val="18"/>
          <w:szCs w:val="18"/>
          <w:lang w:eastAsia="en-AU"/>
        </w:rPr>
        <w:t xml:space="preserve"> </w:t>
      </w:r>
      <w:r>
        <w:rPr>
          <w:rFonts w:ascii="Arial Narrow" w:hAnsi="Arial Narrow" w:cs="Arial"/>
          <w:sz w:val="18"/>
          <w:szCs w:val="18"/>
          <w:lang w:eastAsia="en-AU"/>
        </w:rPr>
        <w:t>Q3W = every three weeks; TPS = tumour proportional score</w:t>
      </w:r>
    </w:p>
    <w:p w:rsidR="0095055D" w:rsidRDefault="0095055D" w:rsidP="00DF42DF">
      <w:pPr>
        <w:pStyle w:val="ListParagraph"/>
        <w:ind w:left="709" w:firstLine="0"/>
        <w:rPr>
          <w:rFonts w:ascii="Arial Narrow" w:hAnsi="Arial Narrow" w:cs="Arial"/>
          <w:sz w:val="18"/>
          <w:szCs w:val="18"/>
          <w:lang w:eastAsia="en-AU"/>
        </w:rPr>
      </w:pPr>
      <w:r w:rsidRPr="00346DB3">
        <w:rPr>
          <w:rFonts w:ascii="Arial Narrow" w:hAnsi="Arial Narrow" w:cs="Arial"/>
          <w:sz w:val="18"/>
          <w:szCs w:val="18"/>
          <w:lang w:eastAsia="en-AU"/>
        </w:rPr>
        <w:t>Source:</w:t>
      </w:r>
      <w:r w:rsidR="00346DB3">
        <w:rPr>
          <w:rFonts w:ascii="Arial Narrow" w:hAnsi="Arial Narrow" w:cs="Arial"/>
          <w:sz w:val="18"/>
          <w:szCs w:val="18"/>
          <w:lang w:eastAsia="en-AU"/>
        </w:rPr>
        <w:t xml:space="preserve"> Table B.6.16, p132 of the </w:t>
      </w:r>
      <w:r w:rsidRPr="00346DB3">
        <w:rPr>
          <w:rFonts w:ascii="Arial Narrow" w:hAnsi="Arial Narrow" w:cs="Arial"/>
          <w:sz w:val="18"/>
          <w:szCs w:val="18"/>
          <w:lang w:eastAsia="en-AU"/>
        </w:rPr>
        <w:t>submission</w:t>
      </w:r>
    </w:p>
    <w:p w:rsidR="0095055D" w:rsidRPr="009A384F" w:rsidRDefault="0095055D" w:rsidP="006E6043">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There were less drug-related, serious drug-related, AE related discontinuations and dose modifications in the pembrolizumab arm versus </w:t>
      </w:r>
      <w:proofErr w:type="spellStart"/>
      <w:r w:rsidRPr="009015FA">
        <w:rPr>
          <w:rFonts w:ascii="Arial" w:hAnsi="Arial" w:cs="Arial"/>
          <w:sz w:val="22"/>
        </w:rPr>
        <w:t>docetaxel</w:t>
      </w:r>
      <w:proofErr w:type="spellEnd"/>
      <w:r w:rsidRPr="009015FA">
        <w:rPr>
          <w:rFonts w:ascii="Arial" w:hAnsi="Arial" w:cs="Arial"/>
          <w:sz w:val="22"/>
        </w:rPr>
        <w:t xml:space="preserve">, although these differences were not statistically significant. However, there was an approximate 20% and 12% lower proportion of </w:t>
      </w:r>
      <w:r w:rsidRPr="009015FA">
        <w:rPr>
          <w:rFonts w:ascii="Arial" w:hAnsi="Arial" w:cs="Arial"/>
          <w:sz w:val="22"/>
          <w:u w:val="single"/>
        </w:rPr>
        <w:t>any drug-related</w:t>
      </w:r>
      <w:r w:rsidRPr="009015FA">
        <w:rPr>
          <w:rFonts w:ascii="Arial" w:hAnsi="Arial" w:cs="Arial"/>
          <w:sz w:val="22"/>
        </w:rPr>
        <w:t xml:space="preserve"> Grade 3-5 AEs in the pembrolizumab 2 mg/kg and 10 mg/kg treatment arms, respectively, compared to the </w:t>
      </w:r>
      <w:proofErr w:type="spellStart"/>
      <w:r w:rsidRPr="009015FA">
        <w:rPr>
          <w:rFonts w:ascii="Arial" w:hAnsi="Arial" w:cs="Arial"/>
          <w:sz w:val="22"/>
        </w:rPr>
        <w:t>docetaxel</w:t>
      </w:r>
      <w:proofErr w:type="spellEnd"/>
      <w:r w:rsidRPr="009015FA">
        <w:rPr>
          <w:rFonts w:ascii="Arial" w:hAnsi="Arial" w:cs="Arial"/>
          <w:sz w:val="22"/>
        </w:rPr>
        <w:t xml:space="preserve"> arm. These differences were statistically significant. The extent of any drug-related Grade 3-5 adverse events appeared less in the lower pembrolizumab 2 mg/kg dose compared to the higher 10 mg/kg dose although the risk difference was not statistically significant (difference in %: 8.7%; 95% CI –0.1%, 17.5%).</w:t>
      </w:r>
    </w:p>
    <w:p w:rsidR="0095055D" w:rsidRPr="009015FA" w:rsidRDefault="0095055D" w:rsidP="006E6043">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There was an increased risk of immune-related AEs associated with </w:t>
      </w:r>
      <w:r w:rsidR="00EB0023" w:rsidRPr="009015FA">
        <w:rPr>
          <w:rFonts w:ascii="Arial" w:hAnsi="Arial" w:cs="Arial"/>
          <w:sz w:val="22"/>
        </w:rPr>
        <w:t>pembrolizumab</w:t>
      </w:r>
      <w:r w:rsidRPr="009015FA">
        <w:rPr>
          <w:rFonts w:ascii="Arial" w:hAnsi="Arial" w:cs="Arial"/>
          <w:sz w:val="22"/>
        </w:rPr>
        <w:t>. Safety data from the KN-010 trial indicated these events were rare, although the risk may be increased in clinical practice compared to an experimental setting where there was likely to be a heightened awareness and recognition of immune-related AEs, and likely early intervention before such events progressed to a more severe grade.</w:t>
      </w:r>
    </w:p>
    <w:p w:rsidR="00CB2A93" w:rsidRDefault="00CB2A93" w:rsidP="00232CE0">
      <w:pPr>
        <w:pStyle w:val="ListParagraph"/>
        <w:ind w:left="0" w:firstLine="0"/>
        <w:rPr>
          <w:rFonts w:ascii="Arial" w:hAnsi="Arial" w:cs="Arial"/>
          <w:sz w:val="22"/>
        </w:rPr>
      </w:pPr>
    </w:p>
    <w:p w:rsidR="00CB2A93" w:rsidRPr="00675587" w:rsidRDefault="00CB2A93" w:rsidP="009C3A29">
      <w:pPr>
        <w:pStyle w:val="ListParagraph"/>
        <w:numPr>
          <w:ilvl w:val="1"/>
          <w:numId w:val="3"/>
        </w:numPr>
        <w:ind w:left="720"/>
        <w:rPr>
          <w:rFonts w:ascii="Arial" w:hAnsi="Arial" w:cs="Arial"/>
          <w:sz w:val="22"/>
        </w:rPr>
      </w:pPr>
      <w:r w:rsidRPr="00675587">
        <w:rPr>
          <w:rFonts w:ascii="Arial" w:hAnsi="Arial" w:cs="Arial"/>
          <w:sz w:val="22"/>
        </w:rPr>
        <w:t xml:space="preserve">The PSCR </w:t>
      </w:r>
      <w:r w:rsidR="00232CE0" w:rsidRPr="00675587">
        <w:rPr>
          <w:rFonts w:ascii="Arial" w:hAnsi="Arial" w:cs="Arial"/>
          <w:sz w:val="22"/>
        </w:rPr>
        <w:t xml:space="preserve">(p5) </w:t>
      </w:r>
      <w:r w:rsidRPr="00675587">
        <w:rPr>
          <w:rFonts w:ascii="Arial" w:hAnsi="Arial" w:cs="Arial"/>
          <w:sz w:val="22"/>
        </w:rPr>
        <w:t>stated that immune-related adverse events should be considered in the context of the overall safety profile, and that</w:t>
      </w:r>
      <w:r w:rsidR="00663733" w:rsidRPr="00675587">
        <w:rPr>
          <w:rFonts w:ascii="Arial" w:hAnsi="Arial" w:cs="Arial"/>
          <w:sz w:val="22"/>
        </w:rPr>
        <w:t>,</w:t>
      </w:r>
      <w:r w:rsidRPr="00675587">
        <w:rPr>
          <w:rFonts w:ascii="Arial" w:hAnsi="Arial" w:cs="Arial"/>
          <w:sz w:val="22"/>
        </w:rPr>
        <w:t xml:space="preserve"> if AEs could be greater in practice than in clinical trials, this would apply equally to pembrolizumab as it would </w:t>
      </w:r>
      <w:proofErr w:type="spellStart"/>
      <w:r w:rsidRPr="00675587">
        <w:rPr>
          <w:rFonts w:ascii="Arial" w:hAnsi="Arial" w:cs="Arial"/>
          <w:sz w:val="22"/>
        </w:rPr>
        <w:t>docetaxel</w:t>
      </w:r>
      <w:proofErr w:type="spellEnd"/>
      <w:r w:rsidRPr="00675587">
        <w:rPr>
          <w:rFonts w:ascii="Arial" w:hAnsi="Arial" w:cs="Arial"/>
          <w:sz w:val="22"/>
        </w:rPr>
        <w:t>. The ESC</w:t>
      </w:r>
      <w:r w:rsidR="00F01BA7" w:rsidRPr="00675587">
        <w:rPr>
          <w:rFonts w:ascii="Arial" w:hAnsi="Arial" w:cs="Arial"/>
          <w:sz w:val="22"/>
        </w:rPr>
        <w:t>s</w:t>
      </w:r>
      <w:r w:rsidRPr="00675587">
        <w:rPr>
          <w:rFonts w:ascii="Arial" w:hAnsi="Arial" w:cs="Arial"/>
          <w:sz w:val="22"/>
        </w:rPr>
        <w:t xml:space="preserve"> noted that pembrolizumab was associated with increased immune adverse events compared to </w:t>
      </w:r>
      <w:proofErr w:type="spellStart"/>
      <w:r w:rsidRPr="00675587">
        <w:rPr>
          <w:rFonts w:ascii="Arial" w:hAnsi="Arial" w:cs="Arial"/>
          <w:sz w:val="22"/>
        </w:rPr>
        <w:t>docetaxel</w:t>
      </w:r>
      <w:proofErr w:type="spellEnd"/>
      <w:r w:rsidRPr="00675587">
        <w:rPr>
          <w:rFonts w:ascii="Arial" w:hAnsi="Arial" w:cs="Arial"/>
          <w:sz w:val="22"/>
        </w:rPr>
        <w:t xml:space="preserve"> and that </w:t>
      </w:r>
      <w:r w:rsidR="00663733" w:rsidRPr="00675587">
        <w:rPr>
          <w:rFonts w:ascii="Arial" w:hAnsi="Arial" w:cs="Arial"/>
          <w:sz w:val="22"/>
        </w:rPr>
        <w:t>th</w:t>
      </w:r>
      <w:r w:rsidRPr="00675587">
        <w:rPr>
          <w:rFonts w:ascii="Arial" w:hAnsi="Arial" w:cs="Arial"/>
          <w:sz w:val="22"/>
        </w:rPr>
        <w:t>i</w:t>
      </w:r>
      <w:r w:rsidR="00232CE0" w:rsidRPr="00675587">
        <w:rPr>
          <w:rFonts w:ascii="Arial" w:hAnsi="Arial" w:cs="Arial"/>
          <w:sz w:val="22"/>
        </w:rPr>
        <w:t>s was of clinical significance.</w:t>
      </w:r>
    </w:p>
    <w:p w:rsidR="0095055D" w:rsidRPr="009015FA" w:rsidRDefault="0095055D" w:rsidP="006E6043">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The submission provided some additional information from a Periodic Safety Update Report (PSUR). The PSUR covered a period from 4 September 2015 to 3 March 2016 during which there have been no regulatory or manufacturer actions resulting in marketing authorisation withdrawal or suspension, failure to obtain marketing authorisation renewal, restriction on distribution, clinical trial suspension, dosage modification, change in target population, or pharmaceutical changes for safety reasons.</w:t>
      </w:r>
    </w:p>
    <w:p w:rsidR="009A384F" w:rsidRPr="009015FA" w:rsidRDefault="009A384F" w:rsidP="009A384F">
      <w:pPr>
        <w:pStyle w:val="ListParagraph"/>
        <w:ind w:left="0" w:firstLine="0"/>
        <w:rPr>
          <w:rFonts w:ascii="Arial" w:hAnsi="Arial" w:cs="Arial"/>
          <w:sz w:val="22"/>
        </w:rPr>
      </w:pPr>
    </w:p>
    <w:p w:rsidR="0095055D" w:rsidRPr="009015FA" w:rsidRDefault="0095055D" w:rsidP="009A384F">
      <w:pPr>
        <w:pStyle w:val="Heading4"/>
        <w:spacing w:before="0" w:after="0"/>
        <w:rPr>
          <w:rFonts w:ascii="Arial" w:hAnsi="Arial" w:cs="Arial"/>
          <w:b w:val="0"/>
          <w:i w:val="0"/>
          <w:sz w:val="22"/>
          <w:u w:val="single"/>
        </w:rPr>
      </w:pPr>
      <w:r w:rsidRPr="009015FA">
        <w:rPr>
          <w:rFonts w:ascii="Arial" w:hAnsi="Arial" w:cs="Arial"/>
          <w:b w:val="0"/>
          <w:i w:val="0"/>
          <w:sz w:val="22"/>
          <w:u w:val="single"/>
        </w:rPr>
        <w:t xml:space="preserve">Indirect comparison of safety between pembrolizumab and </w:t>
      </w:r>
      <w:proofErr w:type="spellStart"/>
      <w:r w:rsidRPr="009015FA">
        <w:rPr>
          <w:rFonts w:ascii="Arial" w:hAnsi="Arial" w:cs="Arial"/>
          <w:b w:val="0"/>
          <w:i w:val="0"/>
          <w:sz w:val="22"/>
          <w:u w:val="single"/>
        </w:rPr>
        <w:t>pemetrexed</w:t>
      </w:r>
      <w:proofErr w:type="spellEnd"/>
    </w:p>
    <w:p w:rsidR="009A384F" w:rsidRDefault="009A384F" w:rsidP="009A384F">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Table 1</w:t>
      </w:r>
      <w:r w:rsidR="006405DD">
        <w:rPr>
          <w:rFonts w:ascii="Arial" w:hAnsi="Arial" w:cs="Arial"/>
          <w:sz w:val="22"/>
        </w:rPr>
        <w:t>3</w:t>
      </w:r>
      <w:r w:rsidRPr="009015FA">
        <w:rPr>
          <w:rFonts w:ascii="Arial" w:hAnsi="Arial" w:cs="Arial"/>
          <w:sz w:val="22"/>
        </w:rPr>
        <w:t xml:space="preserve"> summarises safety data across the KN-010 and </w:t>
      </w:r>
      <w:proofErr w:type="spellStart"/>
      <w:r w:rsidRPr="009015FA">
        <w:rPr>
          <w:rFonts w:ascii="Arial" w:hAnsi="Arial" w:cs="Arial"/>
          <w:sz w:val="22"/>
        </w:rPr>
        <w:t>Scagliotti</w:t>
      </w:r>
      <w:proofErr w:type="spellEnd"/>
      <w:r w:rsidRPr="009015FA">
        <w:rPr>
          <w:rFonts w:ascii="Arial" w:hAnsi="Arial" w:cs="Arial"/>
          <w:sz w:val="22"/>
        </w:rPr>
        <w:t xml:space="preserve"> datasets.</w:t>
      </w:r>
    </w:p>
    <w:p w:rsidR="0095055D" w:rsidRPr="00663733" w:rsidRDefault="0095055D" w:rsidP="00A36DD4">
      <w:pPr>
        <w:rPr>
          <w:rFonts w:ascii="Arial" w:hAnsi="Arial" w:cs="Arial"/>
          <w:sz w:val="22"/>
          <w:szCs w:val="22"/>
        </w:rPr>
      </w:pPr>
    </w:p>
    <w:p w:rsidR="0095055D" w:rsidRPr="00331FC9" w:rsidRDefault="0095055D" w:rsidP="00DF42DF">
      <w:pPr>
        <w:pStyle w:val="TableHeading0"/>
        <w:ind w:left="720"/>
        <w:rPr>
          <w:lang w:val="en-GB"/>
        </w:rPr>
      </w:pPr>
      <w:r w:rsidRPr="000406A2">
        <w:rPr>
          <w:lang w:val="en-GB"/>
        </w:rPr>
        <w:t>Table 1</w:t>
      </w:r>
      <w:r w:rsidR="006405DD">
        <w:rPr>
          <w:lang w:val="en-GB"/>
        </w:rPr>
        <w:t>3</w:t>
      </w:r>
      <w:r>
        <w:rPr>
          <w:lang w:val="en-GB"/>
        </w:rPr>
        <w:t xml:space="preserve">: </w:t>
      </w:r>
      <w:r w:rsidRPr="000406A2">
        <w:rPr>
          <w:lang w:val="en-GB"/>
        </w:rPr>
        <w:t xml:space="preserve">A comparison of toxicities across </w:t>
      </w:r>
      <w:proofErr w:type="spellStart"/>
      <w:r w:rsidRPr="000406A2">
        <w:rPr>
          <w:lang w:val="en-GB"/>
        </w:rPr>
        <w:t>Scagliotti</w:t>
      </w:r>
      <w:proofErr w:type="spellEnd"/>
      <w:r w:rsidRPr="000406A2">
        <w:rPr>
          <w:lang w:val="en-GB"/>
        </w:rPr>
        <w:t xml:space="preserve"> (Hanna 2004 trial) and KN</w:t>
      </w:r>
      <w:r>
        <w:rPr>
          <w:lang w:val="en-GB"/>
        </w:rPr>
        <w:t>-</w:t>
      </w:r>
      <w:r w:rsidRPr="000406A2">
        <w:rPr>
          <w:lang w:val="en-GB"/>
        </w:rPr>
        <w:t xml:space="preserve">010 (total trial </w:t>
      </w:r>
      <w:r w:rsidRPr="00331FC9">
        <w:rPr>
          <w:lang w:val="en-GB"/>
        </w:rPr>
        <w:t>population, pembrolizumab 2</w:t>
      </w:r>
      <w:r>
        <w:rPr>
          <w:lang w:val="en-GB"/>
        </w:rPr>
        <w:t> mg/kg</w:t>
      </w:r>
      <w:r w:rsidRPr="00331FC9">
        <w:rPr>
          <w:lang w:val="en-GB"/>
        </w:rPr>
        <w:t xml:space="preserve"> dose, all cause AEs ≥ Grade 3</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701"/>
        <w:gridCol w:w="1559"/>
        <w:gridCol w:w="1703"/>
        <w:gridCol w:w="1559"/>
        <w:gridCol w:w="1842"/>
      </w:tblGrid>
      <w:tr w:rsidR="0095055D" w:rsidRPr="00331FC9" w:rsidTr="00DF42DF">
        <w:trPr>
          <w:trHeight w:val="20"/>
        </w:trPr>
        <w:tc>
          <w:tcPr>
            <w:tcW w:w="1017" w:type="pct"/>
            <w:shd w:val="clear" w:color="auto" w:fill="auto"/>
            <w:vAlign w:val="center"/>
            <w:hideMark/>
          </w:tcPr>
          <w:p w:rsidR="0095055D" w:rsidRPr="00331FC9" w:rsidRDefault="0095055D" w:rsidP="00A36DD4">
            <w:pPr>
              <w:jc w:val="left"/>
              <w:rPr>
                <w:rFonts w:ascii="Arial Narrow" w:eastAsia="Calibri" w:hAnsi="Arial Narrow" w:cs="Arial"/>
                <w:b/>
                <w:bCs/>
                <w:color w:val="000000"/>
                <w:sz w:val="20"/>
                <w:szCs w:val="20"/>
              </w:rPr>
            </w:pPr>
            <w:r w:rsidRPr="00331FC9">
              <w:rPr>
                <w:rFonts w:ascii="Arial Narrow" w:eastAsia="Calibri" w:hAnsi="Arial Narrow" w:cs="Arial"/>
                <w:b/>
                <w:bCs/>
                <w:color w:val="000000"/>
                <w:sz w:val="20"/>
                <w:szCs w:val="20"/>
                <w:lang w:val="en-GB"/>
              </w:rPr>
              <w:t> </w:t>
            </w:r>
          </w:p>
        </w:tc>
        <w:tc>
          <w:tcPr>
            <w:tcW w:w="1950" w:type="pct"/>
            <w:gridSpan w:val="2"/>
            <w:shd w:val="clear" w:color="auto" w:fill="auto"/>
            <w:vAlign w:val="center"/>
            <w:hideMark/>
          </w:tcPr>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b/>
                <w:bCs/>
                <w:color w:val="000000"/>
                <w:sz w:val="20"/>
                <w:szCs w:val="20"/>
                <w:lang w:val="en-GB"/>
              </w:rPr>
              <w:t>Hanna et al 2004</w:t>
            </w:r>
          </w:p>
        </w:tc>
        <w:tc>
          <w:tcPr>
            <w:tcW w:w="2033" w:type="pct"/>
            <w:gridSpan w:val="2"/>
            <w:shd w:val="clear" w:color="auto" w:fill="auto"/>
            <w:vAlign w:val="center"/>
            <w:hideMark/>
          </w:tcPr>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b/>
                <w:bCs/>
                <w:color w:val="000000"/>
                <w:sz w:val="20"/>
                <w:szCs w:val="20"/>
                <w:lang w:val="en-GB"/>
              </w:rPr>
              <w:t>KN-010</w:t>
            </w:r>
          </w:p>
        </w:tc>
      </w:tr>
      <w:tr w:rsidR="0095055D" w:rsidRPr="00331FC9" w:rsidTr="00DF42DF">
        <w:trPr>
          <w:trHeight w:val="20"/>
        </w:trPr>
        <w:tc>
          <w:tcPr>
            <w:tcW w:w="1017" w:type="pct"/>
            <w:shd w:val="clear" w:color="auto" w:fill="auto"/>
            <w:hideMark/>
          </w:tcPr>
          <w:p w:rsidR="0095055D" w:rsidRPr="00331FC9" w:rsidRDefault="0095055D" w:rsidP="00A36DD4">
            <w:pPr>
              <w:jc w:val="left"/>
              <w:rPr>
                <w:rFonts w:ascii="Arial Narrow" w:eastAsia="Calibri" w:hAnsi="Arial Narrow" w:cs="Arial"/>
                <w:b/>
                <w:bCs/>
                <w:color w:val="000000"/>
                <w:sz w:val="20"/>
                <w:szCs w:val="20"/>
              </w:rPr>
            </w:pPr>
            <w:r w:rsidRPr="00331FC9">
              <w:rPr>
                <w:rFonts w:ascii="Arial Narrow" w:eastAsia="Calibri" w:hAnsi="Arial Narrow" w:cs="Arial"/>
                <w:b/>
                <w:bCs/>
                <w:color w:val="000000"/>
                <w:sz w:val="20"/>
                <w:szCs w:val="20"/>
                <w:lang w:val="en-GB"/>
              </w:rPr>
              <w:t xml:space="preserve">≥ Grade3 AE </w:t>
            </w:r>
          </w:p>
        </w:tc>
        <w:tc>
          <w:tcPr>
            <w:tcW w:w="932" w:type="pct"/>
            <w:shd w:val="clear" w:color="auto" w:fill="auto"/>
            <w:hideMark/>
          </w:tcPr>
          <w:p w:rsidR="0095055D" w:rsidRPr="00331FC9" w:rsidRDefault="0095055D" w:rsidP="00A36DD4">
            <w:pPr>
              <w:jc w:val="center"/>
              <w:rPr>
                <w:rFonts w:ascii="Arial Narrow" w:eastAsia="Calibri" w:hAnsi="Arial Narrow" w:cs="Arial"/>
                <w:b/>
                <w:bCs/>
                <w:color w:val="000000"/>
                <w:sz w:val="20"/>
                <w:szCs w:val="20"/>
                <w:lang w:val="en-GB"/>
              </w:rPr>
            </w:pPr>
            <w:r w:rsidRPr="00331FC9">
              <w:rPr>
                <w:rFonts w:ascii="Arial Narrow" w:eastAsia="Calibri" w:hAnsi="Arial Narrow" w:cs="Arial"/>
                <w:b/>
                <w:bCs/>
                <w:color w:val="000000"/>
                <w:sz w:val="20"/>
                <w:szCs w:val="20"/>
                <w:lang w:val="en-GB"/>
              </w:rPr>
              <w:t xml:space="preserve">% </w:t>
            </w:r>
            <w:proofErr w:type="spellStart"/>
            <w:r w:rsidRPr="00331FC9">
              <w:rPr>
                <w:rFonts w:ascii="Arial Narrow" w:eastAsia="Calibri" w:hAnsi="Arial Narrow" w:cs="Arial"/>
                <w:b/>
                <w:bCs/>
                <w:color w:val="000000"/>
                <w:sz w:val="20"/>
                <w:szCs w:val="20"/>
                <w:lang w:val="en-GB"/>
              </w:rPr>
              <w:t>Pemetrexed</w:t>
            </w:r>
            <w:proofErr w:type="spellEnd"/>
            <w:r w:rsidRPr="00331FC9">
              <w:rPr>
                <w:rFonts w:ascii="Arial Narrow" w:eastAsia="Calibri" w:hAnsi="Arial Narrow" w:cs="Arial"/>
                <w:b/>
                <w:bCs/>
                <w:color w:val="000000"/>
                <w:sz w:val="20"/>
                <w:szCs w:val="20"/>
                <w:lang w:val="en-GB"/>
              </w:rPr>
              <w:t xml:space="preserve"> patients</w:t>
            </w:r>
          </w:p>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color w:val="000000"/>
                <w:sz w:val="20"/>
                <w:szCs w:val="20"/>
                <w:lang w:val="en-GB"/>
              </w:rPr>
              <w:t>(N=265)</w:t>
            </w:r>
          </w:p>
        </w:tc>
        <w:tc>
          <w:tcPr>
            <w:tcW w:w="1018" w:type="pct"/>
            <w:shd w:val="clear" w:color="auto" w:fill="auto"/>
            <w:hideMark/>
          </w:tcPr>
          <w:p w:rsidR="0095055D" w:rsidRPr="00331FC9" w:rsidRDefault="0095055D" w:rsidP="00A36DD4">
            <w:pPr>
              <w:jc w:val="center"/>
              <w:rPr>
                <w:rFonts w:ascii="Arial Narrow" w:eastAsia="Calibri" w:hAnsi="Arial Narrow" w:cs="Arial"/>
                <w:b/>
                <w:bCs/>
                <w:color w:val="000000"/>
                <w:sz w:val="20"/>
                <w:szCs w:val="20"/>
                <w:lang w:val="en-GB"/>
              </w:rPr>
            </w:pPr>
            <w:r w:rsidRPr="00331FC9">
              <w:rPr>
                <w:rFonts w:ascii="Arial Narrow" w:eastAsia="Calibri" w:hAnsi="Arial Narrow" w:cs="Arial"/>
                <w:b/>
                <w:bCs/>
                <w:color w:val="000000"/>
                <w:sz w:val="20"/>
                <w:szCs w:val="20"/>
                <w:lang w:val="en-GB"/>
              </w:rPr>
              <w:t xml:space="preserve">% </w:t>
            </w:r>
            <w:proofErr w:type="spellStart"/>
            <w:r w:rsidRPr="00331FC9">
              <w:rPr>
                <w:rFonts w:ascii="Arial Narrow" w:eastAsia="Calibri" w:hAnsi="Arial Narrow" w:cs="Arial"/>
                <w:b/>
                <w:bCs/>
                <w:color w:val="000000"/>
                <w:sz w:val="20"/>
                <w:szCs w:val="20"/>
                <w:lang w:val="en-GB"/>
              </w:rPr>
              <w:t>Docetaxel</w:t>
            </w:r>
            <w:proofErr w:type="spellEnd"/>
            <w:r w:rsidRPr="00331FC9">
              <w:rPr>
                <w:rFonts w:ascii="Arial Narrow" w:eastAsia="Calibri" w:hAnsi="Arial Narrow" w:cs="Arial"/>
                <w:b/>
                <w:bCs/>
                <w:color w:val="000000"/>
                <w:sz w:val="20"/>
                <w:szCs w:val="20"/>
                <w:lang w:val="en-GB"/>
              </w:rPr>
              <w:t xml:space="preserve"> patients</w:t>
            </w:r>
          </w:p>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color w:val="000000"/>
                <w:sz w:val="20"/>
                <w:szCs w:val="20"/>
                <w:lang w:val="en-GB"/>
              </w:rPr>
              <w:t>(N=276)</w:t>
            </w:r>
          </w:p>
        </w:tc>
        <w:tc>
          <w:tcPr>
            <w:tcW w:w="932" w:type="pct"/>
            <w:shd w:val="clear" w:color="auto" w:fill="auto"/>
            <w:hideMark/>
          </w:tcPr>
          <w:p w:rsidR="0095055D" w:rsidRPr="00331FC9" w:rsidRDefault="0095055D" w:rsidP="00A36DD4">
            <w:pPr>
              <w:jc w:val="center"/>
              <w:rPr>
                <w:rFonts w:ascii="Arial Narrow" w:eastAsia="Calibri" w:hAnsi="Arial Narrow" w:cs="Arial"/>
                <w:b/>
                <w:bCs/>
                <w:color w:val="000000"/>
                <w:sz w:val="20"/>
                <w:szCs w:val="20"/>
                <w:lang w:val="en-GB"/>
              </w:rPr>
            </w:pPr>
            <w:r w:rsidRPr="00331FC9">
              <w:rPr>
                <w:rFonts w:ascii="Arial Narrow" w:eastAsia="Calibri" w:hAnsi="Arial Narrow" w:cs="Arial"/>
                <w:b/>
                <w:bCs/>
                <w:color w:val="000000"/>
                <w:sz w:val="20"/>
                <w:szCs w:val="20"/>
                <w:lang w:val="en-GB"/>
              </w:rPr>
              <w:t xml:space="preserve">% </w:t>
            </w:r>
            <w:proofErr w:type="spellStart"/>
            <w:r w:rsidRPr="00331FC9">
              <w:rPr>
                <w:rFonts w:ascii="Arial Narrow" w:eastAsia="Calibri" w:hAnsi="Arial Narrow" w:cs="Arial"/>
                <w:b/>
                <w:bCs/>
                <w:color w:val="000000"/>
                <w:sz w:val="20"/>
                <w:szCs w:val="20"/>
                <w:lang w:val="en-GB"/>
              </w:rPr>
              <w:t>Docetaxel</w:t>
            </w:r>
            <w:proofErr w:type="spellEnd"/>
          </w:p>
          <w:p w:rsidR="0095055D" w:rsidRPr="00331FC9" w:rsidRDefault="0095055D" w:rsidP="00A36DD4">
            <w:pPr>
              <w:jc w:val="center"/>
              <w:rPr>
                <w:rFonts w:ascii="Arial Narrow" w:eastAsia="Calibri" w:hAnsi="Arial Narrow" w:cs="Arial"/>
                <w:b/>
                <w:bCs/>
                <w:color w:val="000000"/>
                <w:sz w:val="20"/>
                <w:szCs w:val="20"/>
                <w:lang w:val="en-GB"/>
              </w:rPr>
            </w:pPr>
            <w:r w:rsidRPr="00331FC9">
              <w:rPr>
                <w:rFonts w:ascii="Arial Narrow" w:eastAsia="Calibri" w:hAnsi="Arial Narrow" w:cs="Arial"/>
                <w:b/>
                <w:bCs/>
                <w:color w:val="000000"/>
                <w:sz w:val="20"/>
                <w:szCs w:val="20"/>
                <w:lang w:val="en-GB"/>
              </w:rPr>
              <w:t>Patients</w:t>
            </w:r>
          </w:p>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color w:val="000000"/>
                <w:sz w:val="20"/>
                <w:szCs w:val="20"/>
                <w:lang w:val="en-GB"/>
              </w:rPr>
              <w:t>(N=133)</w:t>
            </w:r>
          </w:p>
        </w:tc>
        <w:tc>
          <w:tcPr>
            <w:tcW w:w="1101" w:type="pct"/>
            <w:shd w:val="clear" w:color="auto" w:fill="auto"/>
            <w:hideMark/>
          </w:tcPr>
          <w:p w:rsidR="0095055D" w:rsidRPr="00331FC9" w:rsidRDefault="0095055D" w:rsidP="00A36DD4">
            <w:pPr>
              <w:jc w:val="center"/>
              <w:rPr>
                <w:rFonts w:ascii="Arial Narrow" w:eastAsia="Calibri" w:hAnsi="Arial Narrow" w:cs="Arial"/>
                <w:b/>
                <w:bCs/>
                <w:color w:val="000000"/>
                <w:sz w:val="20"/>
                <w:szCs w:val="20"/>
                <w:lang w:val="en-GB"/>
              </w:rPr>
            </w:pPr>
            <w:r w:rsidRPr="00331FC9">
              <w:rPr>
                <w:rFonts w:ascii="Arial Narrow" w:eastAsia="Calibri" w:hAnsi="Arial Narrow" w:cs="Arial"/>
                <w:b/>
                <w:bCs/>
                <w:color w:val="000000"/>
                <w:sz w:val="20"/>
                <w:szCs w:val="20"/>
                <w:lang w:val="en-GB"/>
              </w:rPr>
              <w:t>% Pembrolizumab 2</w:t>
            </w:r>
            <w:r>
              <w:rPr>
                <w:rFonts w:ascii="Arial Narrow" w:eastAsia="Calibri" w:hAnsi="Arial Narrow" w:cs="Arial"/>
                <w:b/>
                <w:bCs/>
                <w:color w:val="000000"/>
                <w:sz w:val="20"/>
                <w:szCs w:val="20"/>
                <w:lang w:val="en-GB"/>
              </w:rPr>
              <w:t> mg/kg</w:t>
            </w:r>
            <w:r w:rsidR="00AF11A9">
              <w:rPr>
                <w:rFonts w:ascii="Arial Narrow" w:eastAsia="Calibri" w:hAnsi="Arial Narrow" w:cs="Arial"/>
                <w:b/>
                <w:bCs/>
                <w:color w:val="000000"/>
                <w:sz w:val="20"/>
                <w:szCs w:val="20"/>
                <w:lang w:val="en-GB"/>
              </w:rPr>
              <w:t xml:space="preserve"> </w:t>
            </w:r>
            <w:r w:rsidRPr="00331FC9">
              <w:rPr>
                <w:rFonts w:ascii="Arial Narrow" w:eastAsia="Calibri" w:hAnsi="Arial Narrow" w:cs="Arial"/>
                <w:b/>
                <w:bCs/>
                <w:color w:val="000000"/>
                <w:sz w:val="20"/>
                <w:szCs w:val="20"/>
                <w:lang w:val="en-GB"/>
              </w:rPr>
              <w:t>Patients</w:t>
            </w:r>
          </w:p>
          <w:p w:rsidR="0095055D" w:rsidRPr="00331FC9" w:rsidRDefault="0095055D" w:rsidP="00A36DD4">
            <w:pPr>
              <w:jc w:val="center"/>
              <w:rPr>
                <w:rFonts w:ascii="Arial Narrow" w:eastAsia="Calibri" w:hAnsi="Arial Narrow" w:cs="Arial"/>
                <w:b/>
                <w:bCs/>
                <w:color w:val="000000"/>
                <w:sz w:val="20"/>
                <w:szCs w:val="20"/>
              </w:rPr>
            </w:pPr>
            <w:r w:rsidRPr="00331FC9">
              <w:rPr>
                <w:rFonts w:ascii="Arial Narrow" w:eastAsia="Calibri" w:hAnsi="Arial Narrow" w:cs="Arial"/>
                <w:color w:val="000000"/>
                <w:sz w:val="20"/>
                <w:szCs w:val="20"/>
                <w:lang w:val="en-GB"/>
              </w:rPr>
              <w:t xml:space="preserve"> (N=137)</w:t>
            </w:r>
          </w:p>
        </w:tc>
      </w:tr>
      <w:tr w:rsidR="0095055D" w:rsidRPr="00331FC9" w:rsidTr="00DF42DF">
        <w:trPr>
          <w:trHeight w:val="20"/>
        </w:trPr>
        <w:tc>
          <w:tcPr>
            <w:tcW w:w="1017" w:type="pct"/>
            <w:shd w:val="clear" w:color="auto" w:fill="auto"/>
            <w:hideMark/>
          </w:tcPr>
          <w:p w:rsidR="0095055D" w:rsidRPr="00331FC9" w:rsidRDefault="0095055D" w:rsidP="00A36DD4">
            <w:pPr>
              <w:jc w:val="left"/>
              <w:rPr>
                <w:rFonts w:ascii="Arial Narrow" w:eastAsia="Calibri" w:hAnsi="Arial Narrow" w:cs="Arial"/>
                <w:color w:val="000000"/>
                <w:sz w:val="20"/>
                <w:szCs w:val="20"/>
              </w:rPr>
            </w:pPr>
            <w:proofErr w:type="spellStart"/>
            <w:r w:rsidRPr="00331FC9">
              <w:rPr>
                <w:rFonts w:ascii="Arial Narrow" w:eastAsia="Calibri" w:hAnsi="Arial Narrow" w:cs="Arial"/>
                <w:color w:val="000000"/>
                <w:sz w:val="20"/>
                <w:szCs w:val="20"/>
                <w:lang w:val="en-GB"/>
              </w:rPr>
              <w:t>Neutropaenia</w:t>
            </w:r>
            <w:proofErr w:type="spellEnd"/>
          </w:p>
        </w:tc>
        <w:tc>
          <w:tcPr>
            <w:tcW w:w="932"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5.3</w:t>
            </w:r>
          </w:p>
        </w:tc>
        <w:tc>
          <w:tcPr>
            <w:tcW w:w="1018"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40.2</w:t>
            </w:r>
          </w:p>
        </w:tc>
        <w:tc>
          <w:tcPr>
            <w:tcW w:w="932"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13.4</w:t>
            </w:r>
          </w:p>
        </w:tc>
        <w:tc>
          <w:tcPr>
            <w:tcW w:w="1101" w:type="pct"/>
            <w:shd w:val="clear" w:color="auto" w:fill="auto"/>
            <w:hideMark/>
          </w:tcPr>
          <w:p w:rsidR="0095055D" w:rsidRPr="00153EAE" w:rsidRDefault="00153EAE" w:rsidP="00A36DD4">
            <w:pPr>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lang w:val="en-GB"/>
              </w:rPr>
              <w:t>''''</w:t>
            </w:r>
          </w:p>
        </w:tc>
      </w:tr>
      <w:tr w:rsidR="0095055D" w:rsidRPr="00331FC9" w:rsidTr="00DF42DF">
        <w:trPr>
          <w:trHeight w:val="20"/>
        </w:trPr>
        <w:tc>
          <w:tcPr>
            <w:tcW w:w="1017" w:type="pct"/>
            <w:shd w:val="clear" w:color="auto" w:fill="auto"/>
            <w:hideMark/>
          </w:tcPr>
          <w:p w:rsidR="0095055D" w:rsidRPr="00331FC9" w:rsidRDefault="0095055D" w:rsidP="00A36DD4">
            <w:pPr>
              <w:jc w:val="left"/>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 xml:space="preserve">Febrile </w:t>
            </w:r>
            <w:proofErr w:type="spellStart"/>
            <w:r w:rsidRPr="00331FC9">
              <w:rPr>
                <w:rFonts w:ascii="Arial Narrow" w:eastAsia="Calibri" w:hAnsi="Arial Narrow" w:cs="Arial"/>
                <w:color w:val="000000"/>
                <w:sz w:val="20"/>
                <w:szCs w:val="20"/>
                <w:lang w:val="en-GB"/>
              </w:rPr>
              <w:t>neutropaenia</w:t>
            </w:r>
            <w:proofErr w:type="spellEnd"/>
          </w:p>
        </w:tc>
        <w:tc>
          <w:tcPr>
            <w:tcW w:w="932"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1.9</w:t>
            </w:r>
          </w:p>
        </w:tc>
        <w:tc>
          <w:tcPr>
            <w:tcW w:w="1018"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12.7</w:t>
            </w:r>
          </w:p>
        </w:tc>
        <w:tc>
          <w:tcPr>
            <w:tcW w:w="932" w:type="pct"/>
            <w:shd w:val="clear" w:color="auto" w:fill="auto"/>
            <w:hideMark/>
          </w:tcPr>
          <w:p w:rsidR="0095055D" w:rsidRPr="00331FC9" w:rsidRDefault="0095055D" w:rsidP="00A36DD4">
            <w:pPr>
              <w:jc w:val="center"/>
              <w:rPr>
                <w:rFonts w:ascii="Arial Narrow" w:eastAsia="Calibri" w:hAnsi="Arial Narrow" w:cs="Arial"/>
                <w:color w:val="000000"/>
                <w:sz w:val="20"/>
                <w:szCs w:val="20"/>
              </w:rPr>
            </w:pPr>
            <w:r w:rsidRPr="00331FC9">
              <w:rPr>
                <w:rFonts w:ascii="Arial Narrow" w:eastAsia="Calibri" w:hAnsi="Arial Narrow" w:cs="Arial"/>
                <w:color w:val="000000"/>
                <w:sz w:val="20"/>
                <w:szCs w:val="20"/>
                <w:lang w:val="en-GB"/>
              </w:rPr>
              <w:t>5.3</w:t>
            </w:r>
          </w:p>
        </w:tc>
        <w:tc>
          <w:tcPr>
            <w:tcW w:w="1101" w:type="pct"/>
            <w:shd w:val="clear" w:color="auto" w:fill="auto"/>
            <w:hideMark/>
          </w:tcPr>
          <w:p w:rsidR="0095055D" w:rsidRPr="00153EAE" w:rsidRDefault="00153EAE" w:rsidP="00A36DD4">
            <w:pPr>
              <w:jc w:val="center"/>
              <w:rPr>
                <w:rFonts w:ascii="Arial Narrow" w:eastAsia="Calibri" w:hAnsi="Arial Narrow" w:cs="Arial"/>
                <w:color w:val="000000"/>
                <w:sz w:val="20"/>
                <w:szCs w:val="20"/>
                <w:highlight w:val="black"/>
              </w:rPr>
            </w:pPr>
            <w:r>
              <w:rPr>
                <w:rFonts w:ascii="Arial Narrow" w:eastAsia="Calibri" w:hAnsi="Arial Narrow" w:cs="Arial"/>
                <w:noProof/>
                <w:color w:val="000000"/>
                <w:sz w:val="20"/>
                <w:szCs w:val="20"/>
                <w:highlight w:val="black"/>
                <w:lang w:val="en-GB"/>
              </w:rPr>
              <w:t>''''''''</w:t>
            </w:r>
          </w:p>
        </w:tc>
      </w:tr>
    </w:tbl>
    <w:p w:rsidR="00663733" w:rsidRPr="00331FC9" w:rsidRDefault="00663733" w:rsidP="00DF42DF">
      <w:pPr>
        <w:numPr>
          <w:ilvl w:val="1"/>
          <w:numId w:val="0"/>
        </w:numPr>
        <w:ind w:left="1146" w:hanging="437"/>
        <w:contextualSpacing/>
        <w:rPr>
          <w:rFonts w:ascii="Arial Narrow" w:hAnsi="Arial Narrow"/>
          <w:sz w:val="18"/>
          <w:szCs w:val="18"/>
        </w:rPr>
      </w:pPr>
      <w:r>
        <w:rPr>
          <w:rFonts w:ascii="Arial Narrow" w:hAnsi="Arial Narrow"/>
          <w:sz w:val="18"/>
          <w:szCs w:val="18"/>
        </w:rPr>
        <w:t>AE = adverse event.</w:t>
      </w:r>
    </w:p>
    <w:p w:rsidR="0095055D" w:rsidRDefault="0095055D" w:rsidP="00DF42DF">
      <w:pPr>
        <w:numPr>
          <w:ilvl w:val="1"/>
          <w:numId w:val="0"/>
        </w:numPr>
        <w:ind w:left="1146" w:hanging="437"/>
        <w:contextualSpacing/>
        <w:rPr>
          <w:rFonts w:ascii="Arial Narrow" w:hAnsi="Arial Narrow"/>
          <w:sz w:val="18"/>
          <w:szCs w:val="18"/>
        </w:rPr>
      </w:pPr>
      <w:r w:rsidRPr="00331FC9">
        <w:rPr>
          <w:rFonts w:ascii="Arial Narrow" w:hAnsi="Arial Narrow"/>
          <w:sz w:val="18"/>
          <w:szCs w:val="18"/>
        </w:rPr>
        <w:t xml:space="preserve">Source: </w:t>
      </w:r>
      <w:r>
        <w:rPr>
          <w:rFonts w:ascii="Arial Narrow" w:hAnsi="Arial Narrow"/>
          <w:sz w:val="18"/>
          <w:szCs w:val="18"/>
        </w:rPr>
        <w:t>Hanna et al. (2004</w:t>
      </w:r>
      <w:r w:rsidRPr="00331FC9">
        <w:rPr>
          <w:rFonts w:ascii="Arial Narrow" w:hAnsi="Arial Narrow"/>
          <w:sz w:val="18"/>
          <w:szCs w:val="18"/>
        </w:rPr>
        <w:t>)</w:t>
      </w:r>
    </w:p>
    <w:p w:rsidR="0095055D" w:rsidRPr="00663733" w:rsidRDefault="0095055D" w:rsidP="006E6043">
      <w:pPr>
        <w:pStyle w:val="ListParagraph"/>
        <w:ind w:left="0" w:firstLine="0"/>
        <w:rPr>
          <w:rFonts w:ascii="Arial" w:hAnsi="Arial" w:cs="Arial"/>
          <w:sz w:val="22"/>
          <w:szCs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No formal statistical comparisons were presented. The submission noted that there was an inadequate match between the KN-010 and </w:t>
      </w:r>
      <w:proofErr w:type="spellStart"/>
      <w:r w:rsidRPr="009015FA">
        <w:rPr>
          <w:rFonts w:ascii="Arial" w:hAnsi="Arial" w:cs="Arial"/>
          <w:sz w:val="22"/>
        </w:rPr>
        <w:t>Scagliotti</w:t>
      </w:r>
      <w:proofErr w:type="spellEnd"/>
      <w:r w:rsidRPr="009015FA">
        <w:rPr>
          <w:rFonts w:ascii="Arial" w:hAnsi="Arial" w:cs="Arial"/>
          <w:sz w:val="22"/>
        </w:rPr>
        <w:t xml:space="preserve"> safety data and that it was uncertain whether AE data for </w:t>
      </w:r>
      <w:proofErr w:type="spellStart"/>
      <w:r w:rsidRPr="009015FA">
        <w:rPr>
          <w:rFonts w:ascii="Arial" w:hAnsi="Arial" w:cs="Arial"/>
          <w:sz w:val="22"/>
        </w:rPr>
        <w:t>pemetrexed</w:t>
      </w:r>
      <w:proofErr w:type="spellEnd"/>
      <w:r w:rsidRPr="009015FA">
        <w:rPr>
          <w:rFonts w:ascii="Arial" w:hAnsi="Arial" w:cs="Arial"/>
          <w:sz w:val="22"/>
        </w:rPr>
        <w:t xml:space="preserve"> were all-cause or treatment-related. The data presented have limited usefulness for informing the comparative safety of pembrolizumab with </w:t>
      </w:r>
      <w:proofErr w:type="spellStart"/>
      <w:r w:rsidRPr="009015FA">
        <w:rPr>
          <w:rFonts w:ascii="Arial" w:hAnsi="Arial" w:cs="Arial"/>
          <w:sz w:val="22"/>
        </w:rPr>
        <w:t>pemetrexed</w:t>
      </w:r>
      <w:proofErr w:type="spellEnd"/>
      <w:r w:rsidRPr="009015FA">
        <w:rPr>
          <w:rFonts w:ascii="Arial" w:hAnsi="Arial" w:cs="Arial"/>
          <w:sz w:val="22"/>
        </w:rPr>
        <w:t xml:space="preserve">. This argument is reasonable. The rate of neutropenia and febrile neutropenia in the </w:t>
      </w:r>
      <w:proofErr w:type="spellStart"/>
      <w:r w:rsidRPr="009015FA">
        <w:rPr>
          <w:rFonts w:ascii="Arial" w:hAnsi="Arial" w:cs="Arial"/>
          <w:sz w:val="22"/>
        </w:rPr>
        <w:t>docetaxel</w:t>
      </w:r>
      <w:proofErr w:type="spellEnd"/>
      <w:r w:rsidRPr="009015FA">
        <w:rPr>
          <w:rFonts w:ascii="Arial" w:hAnsi="Arial" w:cs="Arial"/>
          <w:sz w:val="22"/>
        </w:rPr>
        <w:t xml:space="preserve"> arm varied across the KN-010 and Hanna trials indicating poor exchangeability for any indirect comparison of this AE. The majority of other ≥ Grade 3 AEs were rare. Statistical analyses of these events are unlikely to be informative. The submission stated that a naïve comparison of the rates of adverse events suggests that pembrolizumab and </w:t>
      </w:r>
      <w:proofErr w:type="spellStart"/>
      <w:r w:rsidRPr="009015FA">
        <w:rPr>
          <w:rFonts w:ascii="Arial" w:hAnsi="Arial" w:cs="Arial"/>
          <w:sz w:val="22"/>
        </w:rPr>
        <w:t>pemetrexed</w:t>
      </w:r>
      <w:proofErr w:type="spellEnd"/>
      <w:r w:rsidRPr="009015FA">
        <w:rPr>
          <w:rFonts w:ascii="Arial" w:hAnsi="Arial" w:cs="Arial"/>
          <w:sz w:val="22"/>
        </w:rPr>
        <w:t xml:space="preserve"> have “different but comparable” safety profiles.</w:t>
      </w:r>
    </w:p>
    <w:p w:rsidR="008A1B01" w:rsidRDefault="008A1B01" w:rsidP="009A384F">
      <w:pPr>
        <w:pStyle w:val="ListParagraph"/>
        <w:ind w:left="0" w:firstLine="0"/>
        <w:rPr>
          <w:rFonts w:ascii="Arial" w:hAnsi="Arial" w:cs="Arial"/>
          <w:sz w:val="22"/>
        </w:rPr>
      </w:pPr>
    </w:p>
    <w:p w:rsidR="008A1B01" w:rsidRDefault="008A1B01" w:rsidP="009C3A29">
      <w:pPr>
        <w:pStyle w:val="ListParagraph"/>
        <w:numPr>
          <w:ilvl w:val="1"/>
          <w:numId w:val="3"/>
        </w:numPr>
        <w:ind w:left="720"/>
        <w:rPr>
          <w:rFonts w:ascii="Arial" w:hAnsi="Arial" w:cs="Arial"/>
          <w:sz w:val="22"/>
        </w:rPr>
      </w:pPr>
      <w:r>
        <w:rPr>
          <w:rFonts w:ascii="Arial" w:hAnsi="Arial" w:cs="Arial"/>
          <w:sz w:val="22"/>
        </w:rPr>
        <w:t>The PBAC considered that pembrolizumab was overall better tolerated than its main comparators, despite the increased risk of immune-related adverse events.</w:t>
      </w:r>
    </w:p>
    <w:p w:rsidR="009A384F" w:rsidRPr="009015FA" w:rsidRDefault="009A384F" w:rsidP="009A384F">
      <w:pPr>
        <w:pStyle w:val="ListParagraph"/>
        <w:ind w:left="0" w:firstLine="0"/>
        <w:rPr>
          <w:rFonts w:ascii="Arial" w:hAnsi="Arial" w:cs="Arial"/>
          <w:sz w:val="22"/>
        </w:rPr>
      </w:pPr>
    </w:p>
    <w:p w:rsidR="0014359C" w:rsidRPr="008A2B3C" w:rsidRDefault="0014359C" w:rsidP="009A384F">
      <w:pPr>
        <w:pStyle w:val="Heading2"/>
        <w:spacing w:before="0" w:beforeAutospacing="0" w:after="0" w:afterAutospacing="0"/>
        <w:rPr>
          <w:rFonts w:ascii="Arial" w:hAnsi="Arial" w:cs="Arial"/>
          <w:b/>
          <w:sz w:val="22"/>
          <w:szCs w:val="22"/>
        </w:rPr>
      </w:pPr>
      <w:bookmarkStart w:id="24" w:name="_Toc439845558"/>
      <w:bookmarkStart w:id="25" w:name="_Toc392858197"/>
      <w:bookmarkStart w:id="26" w:name="_Toc431891741"/>
      <w:bookmarkStart w:id="27" w:name="_Toc461627090"/>
      <w:r w:rsidRPr="008A2B3C">
        <w:rPr>
          <w:rFonts w:ascii="Arial" w:hAnsi="Arial" w:cs="Arial"/>
          <w:b/>
          <w:sz w:val="22"/>
          <w:szCs w:val="22"/>
        </w:rPr>
        <w:t>Benefits/harms</w:t>
      </w:r>
      <w:bookmarkEnd w:id="24"/>
    </w:p>
    <w:p w:rsidR="009A384F" w:rsidRPr="009A384F" w:rsidRDefault="009A384F" w:rsidP="009A384F">
      <w:pPr>
        <w:pStyle w:val="ListParagraph"/>
        <w:ind w:left="0" w:firstLine="0"/>
        <w:rPr>
          <w:rFonts w:ascii="Arial" w:hAnsi="Arial" w:cs="Arial"/>
          <w:sz w:val="22"/>
          <w:szCs w:val="22"/>
        </w:rPr>
      </w:pPr>
      <w:bookmarkStart w:id="28" w:name="_Toc431891742"/>
      <w:bookmarkEnd w:id="25"/>
      <w:bookmarkEnd w:id="26"/>
      <w:bookmarkEnd w:id="27"/>
    </w:p>
    <w:p w:rsidR="0095055D" w:rsidRPr="009015FA" w:rsidRDefault="0095055D" w:rsidP="009C3A29">
      <w:pPr>
        <w:pStyle w:val="ListParagraph"/>
        <w:numPr>
          <w:ilvl w:val="1"/>
          <w:numId w:val="3"/>
        </w:numPr>
        <w:ind w:left="720"/>
        <w:rPr>
          <w:rFonts w:ascii="Arial" w:hAnsi="Arial" w:cs="Arial"/>
          <w:sz w:val="22"/>
          <w:szCs w:val="22"/>
        </w:rPr>
      </w:pPr>
      <w:r w:rsidRPr="009015FA">
        <w:rPr>
          <w:rFonts w:ascii="Arial" w:hAnsi="Arial" w:cs="Arial"/>
          <w:b/>
          <w:sz w:val="22"/>
        </w:rPr>
        <w:t xml:space="preserve">Direct comparison with </w:t>
      </w:r>
      <w:proofErr w:type="spellStart"/>
      <w:r w:rsidRPr="009015FA">
        <w:rPr>
          <w:rFonts w:ascii="Arial" w:hAnsi="Arial" w:cs="Arial"/>
          <w:b/>
          <w:sz w:val="22"/>
        </w:rPr>
        <w:t>docetaxel</w:t>
      </w:r>
      <w:proofErr w:type="spellEnd"/>
      <w:r w:rsidRPr="009015FA">
        <w:rPr>
          <w:rFonts w:ascii="Arial" w:hAnsi="Arial" w:cs="Arial"/>
          <w:b/>
          <w:sz w:val="22"/>
        </w:rPr>
        <w:t xml:space="preserve"> (KN-010 trial)</w:t>
      </w:r>
      <w:r w:rsidRPr="009015FA">
        <w:rPr>
          <w:rFonts w:ascii="Arial" w:hAnsi="Arial" w:cs="Arial"/>
          <w:sz w:val="22"/>
        </w:rPr>
        <w:t xml:space="preserve">: A summary of the comparative benefits and harms for the likely recommended dose of pembrolizumab (2 mg/kg) versus </w:t>
      </w:r>
      <w:proofErr w:type="spellStart"/>
      <w:r w:rsidRPr="009015FA">
        <w:rPr>
          <w:rFonts w:ascii="Arial" w:hAnsi="Arial" w:cs="Arial"/>
          <w:sz w:val="22"/>
        </w:rPr>
        <w:t>docetaxel</w:t>
      </w:r>
      <w:proofErr w:type="spellEnd"/>
      <w:r w:rsidRPr="009015FA">
        <w:rPr>
          <w:rFonts w:ascii="Arial" w:hAnsi="Arial" w:cs="Arial"/>
          <w:sz w:val="22"/>
        </w:rPr>
        <w:t>, in the squamous NSCLC population who have evidence of a high level of PD-L1 expression (TPS ≥50%), is presented in Table 1</w:t>
      </w:r>
      <w:r w:rsidR="006405DD">
        <w:rPr>
          <w:rFonts w:ascii="Arial" w:hAnsi="Arial" w:cs="Arial"/>
          <w:sz w:val="22"/>
        </w:rPr>
        <w:t>4</w:t>
      </w:r>
      <w:r w:rsidR="006E6043" w:rsidRPr="009015FA">
        <w:rPr>
          <w:rFonts w:ascii="Arial" w:hAnsi="Arial" w:cs="Arial"/>
          <w:sz w:val="22"/>
        </w:rPr>
        <w:t>.</w:t>
      </w:r>
    </w:p>
    <w:p w:rsidR="0095055D" w:rsidRPr="00663733" w:rsidRDefault="0095055D" w:rsidP="00A36DD4">
      <w:pPr>
        <w:rPr>
          <w:rFonts w:ascii="Arial" w:hAnsi="Arial" w:cs="Arial"/>
          <w:sz w:val="22"/>
          <w:szCs w:val="22"/>
        </w:rPr>
      </w:pPr>
    </w:p>
    <w:p w:rsidR="0095055D" w:rsidRPr="001B3BCF" w:rsidRDefault="0095055D" w:rsidP="00AF11A9">
      <w:pPr>
        <w:pStyle w:val="TableHeading0"/>
        <w:ind w:left="720"/>
      </w:pPr>
      <w:r w:rsidRPr="000406A2">
        <w:t xml:space="preserve">Table </w:t>
      </w:r>
      <w:r>
        <w:rPr>
          <w:noProof/>
        </w:rPr>
        <w:t>1</w:t>
      </w:r>
      <w:r w:rsidR="006405DD">
        <w:rPr>
          <w:noProof/>
        </w:rPr>
        <w:t>4</w:t>
      </w:r>
      <w:r>
        <w:rPr>
          <w:noProof/>
        </w:rPr>
        <w:t xml:space="preserve">: </w:t>
      </w:r>
      <w:r w:rsidRPr="001B3BCF">
        <w:rPr>
          <w:noProof/>
        </w:rPr>
        <w:t>KN</w:t>
      </w:r>
      <w:r>
        <w:rPr>
          <w:noProof/>
        </w:rPr>
        <w:t>-</w:t>
      </w:r>
      <w:r w:rsidRPr="001B3BCF">
        <w:rPr>
          <w:noProof/>
        </w:rPr>
        <w:t>010</w:t>
      </w:r>
      <w:r w:rsidRPr="001B3BCF">
        <w:t xml:space="preserve">: Comparative benefits and harms for pembrolizumab </w:t>
      </w:r>
      <w:r w:rsidR="0056348A">
        <w:t>2 </w:t>
      </w:r>
      <w:r w:rsidR="0056348A" w:rsidRPr="0056348A">
        <w:t xml:space="preserve">mg/kg Q3W </w:t>
      </w:r>
      <w:proofErr w:type="spellStart"/>
      <w:r w:rsidRPr="001B3BCF">
        <w:t>vs</w:t>
      </w:r>
      <w:proofErr w:type="spellEnd"/>
      <w:r w:rsidRPr="001B3BCF">
        <w:t xml:space="preserve"> </w:t>
      </w:r>
      <w:proofErr w:type="spellStart"/>
      <w:r w:rsidRPr="001B3BCF">
        <w:t>docetaxel</w:t>
      </w:r>
      <w:proofErr w:type="spellEnd"/>
      <w:r w:rsidRPr="001B3BCF">
        <w:rPr>
          <w:color w:val="000000"/>
        </w:rPr>
        <w:t xml:space="preserve"> (PD-L1 ≥50%)</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553"/>
        <w:gridCol w:w="1393"/>
        <w:gridCol w:w="1402"/>
        <w:gridCol w:w="821"/>
        <w:gridCol w:w="1056"/>
        <w:gridCol w:w="1139"/>
      </w:tblGrid>
      <w:tr w:rsidR="0095055D" w:rsidRPr="001226BA" w:rsidTr="00AF11A9">
        <w:trPr>
          <w:trHeight w:val="20"/>
        </w:trPr>
        <w:tc>
          <w:tcPr>
            <w:tcW w:w="1526" w:type="pct"/>
            <w:shd w:val="clear" w:color="auto" w:fill="auto"/>
            <w:vAlign w:val="center"/>
          </w:tcPr>
          <w:p w:rsidR="0095055D" w:rsidRPr="00025906" w:rsidRDefault="0095055D" w:rsidP="00A36DD4">
            <w:pPr>
              <w:pStyle w:val="TableText0"/>
              <w:rPr>
                <w:b/>
                <w:lang w:eastAsia="en-AU"/>
              </w:rPr>
            </w:pPr>
          </w:p>
        </w:tc>
        <w:tc>
          <w:tcPr>
            <w:tcW w:w="833" w:type="pct"/>
            <w:shd w:val="clear" w:color="auto" w:fill="auto"/>
            <w:vAlign w:val="center"/>
          </w:tcPr>
          <w:p w:rsidR="0095055D" w:rsidRPr="00025906" w:rsidRDefault="0095055D" w:rsidP="00CB2A93">
            <w:pPr>
              <w:pStyle w:val="TableText0"/>
              <w:jc w:val="center"/>
              <w:rPr>
                <w:b/>
                <w:lang w:eastAsia="en-AU"/>
              </w:rPr>
            </w:pPr>
            <w:proofErr w:type="spellStart"/>
            <w:r w:rsidRPr="00025906">
              <w:rPr>
                <w:b/>
                <w:lang w:eastAsia="en-AU"/>
              </w:rPr>
              <w:t>Pembro</w:t>
            </w:r>
            <w:proofErr w:type="spellEnd"/>
          </w:p>
        </w:tc>
        <w:tc>
          <w:tcPr>
            <w:tcW w:w="838" w:type="pct"/>
            <w:shd w:val="clear" w:color="auto" w:fill="auto"/>
            <w:vAlign w:val="center"/>
          </w:tcPr>
          <w:p w:rsidR="0095055D" w:rsidRPr="00025906" w:rsidRDefault="0095055D" w:rsidP="00CB2A93">
            <w:pPr>
              <w:pStyle w:val="TableText0"/>
              <w:jc w:val="center"/>
              <w:rPr>
                <w:b/>
                <w:lang w:eastAsia="en-AU"/>
              </w:rPr>
            </w:pPr>
            <w:r w:rsidRPr="00025906">
              <w:rPr>
                <w:b/>
                <w:lang w:eastAsia="en-AU"/>
              </w:rPr>
              <w:t>Doc</w:t>
            </w:r>
          </w:p>
        </w:tc>
        <w:tc>
          <w:tcPr>
            <w:tcW w:w="1122" w:type="pct"/>
            <w:gridSpan w:val="2"/>
            <w:shd w:val="clear" w:color="auto" w:fill="auto"/>
            <w:vAlign w:val="center"/>
          </w:tcPr>
          <w:p w:rsidR="0095055D" w:rsidRPr="00025906" w:rsidRDefault="0095055D" w:rsidP="00CB2A93">
            <w:pPr>
              <w:pStyle w:val="TableText0"/>
              <w:jc w:val="center"/>
              <w:rPr>
                <w:b/>
                <w:lang w:eastAsia="en-AU"/>
              </w:rPr>
            </w:pPr>
            <w:r w:rsidRPr="00025906">
              <w:rPr>
                <w:b/>
                <w:lang w:eastAsia="en-AU"/>
              </w:rPr>
              <w:t>Absolute difference</w:t>
            </w:r>
          </w:p>
        </w:tc>
        <w:tc>
          <w:tcPr>
            <w:tcW w:w="681" w:type="pct"/>
            <w:shd w:val="clear" w:color="auto" w:fill="auto"/>
            <w:vAlign w:val="center"/>
          </w:tcPr>
          <w:p w:rsidR="0095055D" w:rsidRPr="00025906" w:rsidRDefault="0095055D" w:rsidP="00CB2A93">
            <w:pPr>
              <w:pStyle w:val="TableText0"/>
              <w:jc w:val="center"/>
              <w:rPr>
                <w:b/>
                <w:lang w:eastAsia="en-AU"/>
              </w:rPr>
            </w:pPr>
            <w:r w:rsidRPr="00025906">
              <w:rPr>
                <w:b/>
                <w:lang w:eastAsia="en-AU"/>
              </w:rPr>
              <w:t>HR (95% CI)</w:t>
            </w:r>
          </w:p>
        </w:tc>
      </w:tr>
      <w:tr w:rsidR="0095055D" w:rsidRPr="00010AB3" w:rsidTr="00AF11A9">
        <w:trPr>
          <w:trHeight w:val="20"/>
        </w:trPr>
        <w:tc>
          <w:tcPr>
            <w:tcW w:w="5000" w:type="pct"/>
            <w:gridSpan w:val="6"/>
            <w:shd w:val="clear" w:color="auto" w:fill="auto"/>
            <w:vAlign w:val="center"/>
          </w:tcPr>
          <w:p w:rsidR="0095055D" w:rsidRPr="0056348A" w:rsidRDefault="0056348A" w:rsidP="0056348A">
            <w:pPr>
              <w:pStyle w:val="TableText0"/>
              <w:jc w:val="left"/>
              <w:rPr>
                <w:lang w:eastAsia="en-AU"/>
              </w:rPr>
            </w:pPr>
            <w:proofErr w:type="spellStart"/>
            <w:r>
              <w:rPr>
                <w:b/>
                <w:lang w:eastAsia="en-AU"/>
              </w:rPr>
              <w:t>Benefits</w:t>
            </w:r>
            <w:r w:rsidRPr="0056348A">
              <w:rPr>
                <w:vertAlign w:val="superscript"/>
                <w:lang w:eastAsia="en-AU"/>
              </w:rPr>
              <w:t>a</w:t>
            </w:r>
            <w:proofErr w:type="spellEnd"/>
          </w:p>
        </w:tc>
      </w:tr>
      <w:tr w:rsidR="0095055D" w:rsidRPr="00010AB3" w:rsidTr="00AF11A9">
        <w:trPr>
          <w:trHeight w:val="20"/>
        </w:trPr>
        <w:tc>
          <w:tcPr>
            <w:tcW w:w="1526" w:type="pct"/>
            <w:shd w:val="clear" w:color="auto" w:fill="auto"/>
            <w:vAlign w:val="center"/>
          </w:tcPr>
          <w:p w:rsidR="0095055D" w:rsidRPr="005D4D3E" w:rsidRDefault="0095055D" w:rsidP="00A36DD4">
            <w:pPr>
              <w:pStyle w:val="TableText0"/>
              <w:rPr>
                <w:lang w:eastAsia="en-AU"/>
              </w:rPr>
            </w:pPr>
            <w:r w:rsidRPr="005D4D3E">
              <w:rPr>
                <w:lang w:eastAsia="en-AU"/>
              </w:rPr>
              <w:t>Median OS, months (95% CI)</w:t>
            </w:r>
          </w:p>
        </w:tc>
        <w:tc>
          <w:tcPr>
            <w:tcW w:w="833" w:type="pct"/>
            <w:shd w:val="clear" w:color="auto" w:fill="auto"/>
            <w:vAlign w:val="center"/>
          </w:tcPr>
          <w:p w:rsidR="0095055D" w:rsidRDefault="0095055D" w:rsidP="00025906">
            <w:pPr>
              <w:pStyle w:val="TableText0"/>
              <w:jc w:val="center"/>
              <w:rPr>
                <w:lang w:eastAsia="en-AU"/>
              </w:rPr>
            </w:pPr>
            <w:r>
              <w:rPr>
                <w:lang w:eastAsia="en-AU"/>
              </w:rPr>
              <w:t>N=1</w:t>
            </w:r>
            <w:r w:rsidR="0056348A">
              <w:rPr>
                <w:lang w:eastAsia="en-AU"/>
              </w:rPr>
              <w:t>39</w:t>
            </w:r>
          </w:p>
          <w:p w:rsidR="0095055D" w:rsidRDefault="0095055D" w:rsidP="0056348A">
            <w:pPr>
              <w:pStyle w:val="TableText0"/>
              <w:jc w:val="center"/>
              <w:rPr>
                <w:lang w:eastAsia="en-AU"/>
              </w:rPr>
            </w:pPr>
            <w:r>
              <w:rPr>
                <w:lang w:eastAsia="en-AU"/>
              </w:rPr>
              <w:t>15.8 (1</w:t>
            </w:r>
            <w:r w:rsidR="0056348A">
              <w:rPr>
                <w:lang w:eastAsia="en-AU"/>
              </w:rPr>
              <w:t>1</w:t>
            </w:r>
            <w:r>
              <w:rPr>
                <w:lang w:eastAsia="en-AU"/>
              </w:rPr>
              <w:t>.</w:t>
            </w:r>
            <w:r w:rsidR="0056348A">
              <w:rPr>
                <w:lang w:eastAsia="en-AU"/>
              </w:rPr>
              <w:t>0</w:t>
            </w:r>
            <w:r>
              <w:rPr>
                <w:lang w:eastAsia="en-AU"/>
              </w:rPr>
              <w:t xml:space="preserve">, </w:t>
            </w:r>
            <w:r w:rsidR="0056348A">
              <w:rPr>
                <w:lang w:eastAsia="en-AU"/>
              </w:rPr>
              <w:t>26.0</w:t>
            </w:r>
            <w:r>
              <w:rPr>
                <w:lang w:eastAsia="en-AU"/>
              </w:rPr>
              <w:t>)</w:t>
            </w:r>
          </w:p>
        </w:tc>
        <w:tc>
          <w:tcPr>
            <w:tcW w:w="838" w:type="pct"/>
            <w:shd w:val="clear" w:color="auto" w:fill="auto"/>
            <w:vAlign w:val="center"/>
          </w:tcPr>
          <w:p w:rsidR="0095055D" w:rsidRPr="002D53DE" w:rsidRDefault="0095055D" w:rsidP="00025906">
            <w:pPr>
              <w:pStyle w:val="TableText0"/>
              <w:jc w:val="center"/>
              <w:rPr>
                <w:lang w:eastAsia="en-AU"/>
              </w:rPr>
            </w:pPr>
            <w:r>
              <w:rPr>
                <w:lang w:eastAsia="en-AU"/>
              </w:rPr>
              <w:t>N</w:t>
            </w:r>
            <w:r w:rsidRPr="002D53DE">
              <w:rPr>
                <w:lang w:eastAsia="en-AU"/>
              </w:rPr>
              <w:t>=1</w:t>
            </w:r>
            <w:r w:rsidR="0056348A">
              <w:rPr>
                <w:lang w:eastAsia="en-AU"/>
              </w:rPr>
              <w:t>51</w:t>
            </w:r>
          </w:p>
          <w:p w:rsidR="0095055D" w:rsidRDefault="0095055D" w:rsidP="0056348A">
            <w:pPr>
              <w:pStyle w:val="TableText0"/>
              <w:jc w:val="center"/>
              <w:rPr>
                <w:lang w:eastAsia="en-AU"/>
              </w:rPr>
            </w:pPr>
            <w:r w:rsidRPr="002D53DE">
              <w:rPr>
                <w:lang w:eastAsia="en-AU"/>
              </w:rPr>
              <w:t>8.2 (6.</w:t>
            </w:r>
            <w:r w:rsidR="0056348A">
              <w:rPr>
                <w:lang w:eastAsia="en-AU"/>
              </w:rPr>
              <w:t>6</w:t>
            </w:r>
            <w:r w:rsidRPr="002D53DE">
              <w:rPr>
                <w:lang w:eastAsia="en-AU"/>
              </w:rPr>
              <w:t>, 10</w:t>
            </w:r>
            <w:r w:rsidR="0056348A">
              <w:rPr>
                <w:lang w:eastAsia="en-AU"/>
              </w:rPr>
              <w:t>.4</w:t>
            </w:r>
            <w:r w:rsidRPr="002D53DE">
              <w:rPr>
                <w:lang w:eastAsia="en-AU"/>
              </w:rPr>
              <w:t>)</w:t>
            </w:r>
          </w:p>
        </w:tc>
        <w:tc>
          <w:tcPr>
            <w:tcW w:w="1122" w:type="pct"/>
            <w:gridSpan w:val="2"/>
            <w:shd w:val="clear" w:color="auto" w:fill="auto"/>
            <w:vAlign w:val="center"/>
          </w:tcPr>
          <w:p w:rsidR="0095055D" w:rsidRPr="005D4D3E" w:rsidRDefault="0095055D" w:rsidP="00025906">
            <w:pPr>
              <w:pStyle w:val="TableText0"/>
              <w:jc w:val="center"/>
              <w:rPr>
                <w:lang w:eastAsia="en-AU"/>
              </w:rPr>
            </w:pPr>
            <w:r>
              <w:rPr>
                <w:lang w:eastAsia="en-AU"/>
              </w:rPr>
              <w:t>7.6</w:t>
            </w:r>
          </w:p>
        </w:tc>
        <w:tc>
          <w:tcPr>
            <w:tcW w:w="681" w:type="pct"/>
            <w:shd w:val="clear" w:color="auto" w:fill="auto"/>
            <w:vAlign w:val="center"/>
          </w:tcPr>
          <w:p w:rsidR="0095055D" w:rsidRDefault="0095055D" w:rsidP="00025906">
            <w:pPr>
              <w:pStyle w:val="TableText0"/>
              <w:jc w:val="center"/>
              <w:rPr>
                <w:lang w:eastAsia="en-AU"/>
              </w:rPr>
            </w:pPr>
            <w:r w:rsidRPr="002D53DE">
              <w:rPr>
                <w:lang w:eastAsia="en-AU"/>
              </w:rPr>
              <w:t>0.</w:t>
            </w:r>
            <w:r w:rsidR="0056348A">
              <w:rPr>
                <w:lang w:eastAsia="en-AU"/>
              </w:rPr>
              <w:t>5</w:t>
            </w:r>
            <w:r w:rsidRPr="002D53DE">
              <w:rPr>
                <w:lang w:eastAsia="en-AU"/>
              </w:rPr>
              <w:t>4</w:t>
            </w:r>
          </w:p>
          <w:p w:rsidR="0095055D" w:rsidRDefault="0095055D" w:rsidP="0056348A">
            <w:pPr>
              <w:pStyle w:val="TableText0"/>
              <w:jc w:val="center"/>
              <w:rPr>
                <w:lang w:eastAsia="en-AU"/>
              </w:rPr>
            </w:pPr>
            <w:r w:rsidRPr="002D53DE">
              <w:rPr>
                <w:lang w:eastAsia="en-AU"/>
              </w:rPr>
              <w:t>(0.3</w:t>
            </w:r>
            <w:r w:rsidR="0056348A">
              <w:rPr>
                <w:lang w:eastAsia="en-AU"/>
              </w:rPr>
              <w:t>9</w:t>
            </w:r>
            <w:r w:rsidRPr="002D53DE">
              <w:rPr>
                <w:lang w:eastAsia="en-AU"/>
              </w:rPr>
              <w:t>, 0.7</w:t>
            </w:r>
            <w:r w:rsidR="0056348A">
              <w:rPr>
                <w:lang w:eastAsia="en-AU"/>
              </w:rPr>
              <w:t>3</w:t>
            </w:r>
            <w:r w:rsidRPr="002D53DE">
              <w:rPr>
                <w:lang w:eastAsia="en-AU"/>
              </w:rPr>
              <w:t>)</w:t>
            </w:r>
          </w:p>
        </w:tc>
      </w:tr>
      <w:tr w:rsidR="0095055D" w:rsidRPr="00010AB3" w:rsidTr="00AF11A9">
        <w:trPr>
          <w:trHeight w:val="20"/>
        </w:trPr>
        <w:tc>
          <w:tcPr>
            <w:tcW w:w="5000" w:type="pct"/>
            <w:gridSpan w:val="6"/>
            <w:tcBorders>
              <w:top w:val="double" w:sz="4" w:space="0" w:color="auto"/>
            </w:tcBorders>
            <w:shd w:val="clear" w:color="auto" w:fill="auto"/>
            <w:vAlign w:val="center"/>
          </w:tcPr>
          <w:p w:rsidR="0095055D" w:rsidRPr="00025906" w:rsidRDefault="0095055D" w:rsidP="0056348A">
            <w:pPr>
              <w:pStyle w:val="TableText0"/>
              <w:rPr>
                <w:b/>
                <w:highlight w:val="yellow"/>
                <w:lang w:eastAsia="en-AU"/>
              </w:rPr>
            </w:pPr>
            <w:r w:rsidRPr="00025906">
              <w:rPr>
                <w:b/>
                <w:lang w:eastAsia="en-AU"/>
              </w:rPr>
              <w:t>Harm</w:t>
            </w:r>
            <w:r w:rsidR="006C1917">
              <w:rPr>
                <w:b/>
                <w:lang w:eastAsia="en-AU"/>
              </w:rPr>
              <w:t>s</w:t>
            </w:r>
          </w:p>
        </w:tc>
      </w:tr>
      <w:tr w:rsidR="0095055D" w:rsidRPr="00010AB3" w:rsidTr="00AF11A9">
        <w:trPr>
          <w:trHeight w:val="20"/>
        </w:trPr>
        <w:tc>
          <w:tcPr>
            <w:tcW w:w="1526" w:type="pct"/>
            <w:vMerge w:val="restart"/>
            <w:shd w:val="clear" w:color="auto" w:fill="auto"/>
            <w:vAlign w:val="center"/>
          </w:tcPr>
          <w:p w:rsidR="0095055D" w:rsidRPr="00025906" w:rsidRDefault="0095055D" w:rsidP="00A36DD4">
            <w:pPr>
              <w:pStyle w:val="TableText0"/>
              <w:rPr>
                <w:b/>
                <w:highlight w:val="yellow"/>
                <w:lang w:eastAsia="en-AU"/>
              </w:rPr>
            </w:pPr>
          </w:p>
        </w:tc>
        <w:tc>
          <w:tcPr>
            <w:tcW w:w="833" w:type="pct"/>
            <w:vMerge w:val="restart"/>
            <w:shd w:val="clear" w:color="auto" w:fill="auto"/>
            <w:vAlign w:val="center"/>
          </w:tcPr>
          <w:p w:rsidR="0095055D" w:rsidRPr="00025906" w:rsidRDefault="0095055D" w:rsidP="009822C1">
            <w:pPr>
              <w:pStyle w:val="TableText0"/>
              <w:jc w:val="center"/>
              <w:rPr>
                <w:b/>
                <w:highlight w:val="yellow"/>
                <w:lang w:eastAsia="en-AU"/>
              </w:rPr>
            </w:pPr>
            <w:proofErr w:type="spellStart"/>
            <w:r w:rsidRPr="00025906">
              <w:rPr>
                <w:b/>
                <w:lang w:eastAsia="en-AU"/>
              </w:rPr>
              <w:t>Pembro</w:t>
            </w:r>
            <w:proofErr w:type="spellEnd"/>
          </w:p>
        </w:tc>
        <w:tc>
          <w:tcPr>
            <w:tcW w:w="838" w:type="pct"/>
            <w:vMerge w:val="restart"/>
            <w:shd w:val="clear" w:color="auto" w:fill="auto"/>
            <w:vAlign w:val="center"/>
          </w:tcPr>
          <w:p w:rsidR="0095055D" w:rsidRPr="00025906" w:rsidRDefault="0095055D" w:rsidP="009822C1">
            <w:pPr>
              <w:pStyle w:val="TableText0"/>
              <w:jc w:val="center"/>
              <w:rPr>
                <w:b/>
                <w:lang w:eastAsia="en-AU"/>
              </w:rPr>
            </w:pPr>
            <w:r w:rsidRPr="00025906">
              <w:rPr>
                <w:b/>
                <w:lang w:eastAsia="en-AU"/>
              </w:rPr>
              <w:t>Doc</w:t>
            </w:r>
          </w:p>
        </w:tc>
        <w:tc>
          <w:tcPr>
            <w:tcW w:w="1122" w:type="pct"/>
            <w:gridSpan w:val="2"/>
            <w:shd w:val="clear" w:color="auto" w:fill="auto"/>
            <w:vAlign w:val="center"/>
          </w:tcPr>
          <w:p w:rsidR="0095055D" w:rsidRPr="00025906" w:rsidRDefault="0095055D" w:rsidP="009822C1">
            <w:pPr>
              <w:pStyle w:val="TableText0"/>
              <w:jc w:val="center"/>
              <w:rPr>
                <w:b/>
                <w:lang w:eastAsia="en-AU"/>
              </w:rPr>
            </w:pPr>
            <w:r w:rsidRPr="00025906">
              <w:rPr>
                <w:b/>
                <w:lang w:eastAsia="en-AU"/>
              </w:rPr>
              <w:t>Event rate/100 patients</w:t>
            </w:r>
          </w:p>
        </w:tc>
        <w:tc>
          <w:tcPr>
            <w:tcW w:w="681" w:type="pct"/>
            <w:vMerge w:val="restart"/>
            <w:shd w:val="clear" w:color="auto" w:fill="auto"/>
            <w:vAlign w:val="center"/>
          </w:tcPr>
          <w:p w:rsidR="0095055D" w:rsidRPr="00025906" w:rsidRDefault="0095055D" w:rsidP="009822C1">
            <w:pPr>
              <w:pStyle w:val="TableText0"/>
              <w:jc w:val="center"/>
              <w:rPr>
                <w:b/>
                <w:lang w:eastAsia="en-AU"/>
              </w:rPr>
            </w:pPr>
            <w:r w:rsidRPr="00025906">
              <w:rPr>
                <w:b/>
                <w:lang w:eastAsia="en-AU"/>
              </w:rPr>
              <w:t>RD</w:t>
            </w:r>
          </w:p>
          <w:p w:rsidR="0095055D" w:rsidRPr="00025906" w:rsidRDefault="0095055D" w:rsidP="009822C1">
            <w:pPr>
              <w:pStyle w:val="TableText0"/>
              <w:jc w:val="center"/>
              <w:rPr>
                <w:b/>
                <w:lang w:eastAsia="en-AU"/>
              </w:rPr>
            </w:pPr>
            <w:r w:rsidRPr="00025906">
              <w:rPr>
                <w:b/>
                <w:lang w:eastAsia="en-AU"/>
              </w:rPr>
              <w:t>(95% CI)</w:t>
            </w:r>
          </w:p>
        </w:tc>
      </w:tr>
      <w:tr w:rsidR="0095055D" w:rsidRPr="00010AB3" w:rsidTr="00AF11A9">
        <w:trPr>
          <w:trHeight w:val="20"/>
        </w:trPr>
        <w:tc>
          <w:tcPr>
            <w:tcW w:w="1526" w:type="pct"/>
            <w:vMerge/>
            <w:shd w:val="clear" w:color="auto" w:fill="auto"/>
            <w:vAlign w:val="center"/>
          </w:tcPr>
          <w:p w:rsidR="0095055D" w:rsidRPr="00025906" w:rsidRDefault="0095055D" w:rsidP="00A36DD4">
            <w:pPr>
              <w:pStyle w:val="TableText0"/>
              <w:rPr>
                <w:highlight w:val="yellow"/>
                <w:lang w:eastAsia="en-AU"/>
              </w:rPr>
            </w:pPr>
          </w:p>
        </w:tc>
        <w:tc>
          <w:tcPr>
            <w:tcW w:w="833" w:type="pct"/>
            <w:vMerge/>
            <w:shd w:val="clear" w:color="auto" w:fill="auto"/>
            <w:vAlign w:val="center"/>
          </w:tcPr>
          <w:p w:rsidR="0095055D" w:rsidRPr="00025906" w:rsidRDefault="0095055D" w:rsidP="00A36DD4">
            <w:pPr>
              <w:pStyle w:val="TableText0"/>
              <w:rPr>
                <w:highlight w:val="yellow"/>
                <w:lang w:eastAsia="en-AU"/>
              </w:rPr>
            </w:pPr>
          </w:p>
        </w:tc>
        <w:tc>
          <w:tcPr>
            <w:tcW w:w="838" w:type="pct"/>
            <w:vMerge/>
            <w:shd w:val="clear" w:color="auto" w:fill="auto"/>
            <w:vAlign w:val="center"/>
          </w:tcPr>
          <w:p w:rsidR="0095055D" w:rsidRPr="00025906" w:rsidRDefault="0095055D" w:rsidP="00A36DD4">
            <w:pPr>
              <w:pStyle w:val="TableText0"/>
              <w:rPr>
                <w:highlight w:val="yellow"/>
                <w:lang w:eastAsia="en-AU"/>
              </w:rPr>
            </w:pPr>
          </w:p>
        </w:tc>
        <w:tc>
          <w:tcPr>
            <w:tcW w:w="491" w:type="pct"/>
            <w:shd w:val="clear" w:color="auto" w:fill="auto"/>
            <w:vAlign w:val="center"/>
          </w:tcPr>
          <w:p w:rsidR="0095055D" w:rsidRPr="00025906" w:rsidRDefault="0095055D" w:rsidP="00025906">
            <w:pPr>
              <w:pStyle w:val="TableText0"/>
              <w:jc w:val="center"/>
              <w:rPr>
                <w:b/>
                <w:lang w:eastAsia="en-AU"/>
              </w:rPr>
            </w:pPr>
            <w:proofErr w:type="spellStart"/>
            <w:r w:rsidRPr="00025906">
              <w:rPr>
                <w:b/>
                <w:lang w:eastAsia="en-AU"/>
              </w:rPr>
              <w:t>Pembro</w:t>
            </w:r>
            <w:proofErr w:type="spellEnd"/>
          </w:p>
        </w:tc>
        <w:tc>
          <w:tcPr>
            <w:tcW w:w="631" w:type="pct"/>
            <w:shd w:val="clear" w:color="auto" w:fill="auto"/>
            <w:vAlign w:val="center"/>
          </w:tcPr>
          <w:p w:rsidR="0095055D" w:rsidRPr="00025906" w:rsidRDefault="0095055D" w:rsidP="00025906">
            <w:pPr>
              <w:pStyle w:val="TableText0"/>
              <w:jc w:val="center"/>
              <w:rPr>
                <w:b/>
                <w:lang w:eastAsia="en-AU"/>
              </w:rPr>
            </w:pPr>
            <w:r w:rsidRPr="00025906">
              <w:rPr>
                <w:b/>
                <w:lang w:eastAsia="en-AU"/>
              </w:rPr>
              <w:t>Doc</w:t>
            </w:r>
          </w:p>
        </w:tc>
        <w:tc>
          <w:tcPr>
            <w:tcW w:w="681" w:type="pct"/>
            <w:vMerge/>
            <w:shd w:val="clear" w:color="auto" w:fill="auto"/>
            <w:vAlign w:val="center"/>
          </w:tcPr>
          <w:p w:rsidR="0095055D" w:rsidRPr="008F1215" w:rsidRDefault="0095055D" w:rsidP="00A36DD4">
            <w:pPr>
              <w:pStyle w:val="TableText0"/>
              <w:rPr>
                <w:lang w:eastAsia="en-AU"/>
              </w:rPr>
            </w:pPr>
          </w:p>
        </w:tc>
      </w:tr>
      <w:tr w:rsidR="0095055D" w:rsidRPr="00010AB3" w:rsidTr="00AF11A9">
        <w:trPr>
          <w:trHeight w:val="20"/>
        </w:trPr>
        <w:tc>
          <w:tcPr>
            <w:tcW w:w="1526" w:type="pct"/>
            <w:shd w:val="clear" w:color="auto" w:fill="auto"/>
            <w:vAlign w:val="center"/>
          </w:tcPr>
          <w:p w:rsidR="0095055D" w:rsidRPr="00025906" w:rsidRDefault="0095055D" w:rsidP="007B2326">
            <w:pPr>
              <w:pStyle w:val="TableText0"/>
              <w:rPr>
                <w:vertAlign w:val="superscript"/>
                <w:lang w:eastAsia="en-AU"/>
              </w:rPr>
            </w:pPr>
            <w:r w:rsidRPr="009A43D3">
              <w:rPr>
                <w:lang w:eastAsia="en-AU"/>
              </w:rPr>
              <w:t xml:space="preserve">Subjects with Grade ≥2 pneumonitis with a potential immunologic </w:t>
            </w:r>
            <w:proofErr w:type="spellStart"/>
            <w:r w:rsidRPr="009A43D3">
              <w:rPr>
                <w:lang w:eastAsia="en-AU"/>
              </w:rPr>
              <w:t>etiology</w:t>
            </w:r>
            <w:proofErr w:type="spellEnd"/>
          </w:p>
        </w:tc>
        <w:tc>
          <w:tcPr>
            <w:tcW w:w="833" w:type="pct"/>
            <w:shd w:val="clear" w:color="auto" w:fill="auto"/>
            <w:vAlign w:val="center"/>
          </w:tcPr>
          <w:p w:rsidR="0095055D" w:rsidRPr="009A43D3" w:rsidRDefault="0095055D" w:rsidP="00025906">
            <w:pPr>
              <w:pStyle w:val="TableText0"/>
              <w:jc w:val="center"/>
              <w:rPr>
                <w:lang w:eastAsia="en-AU"/>
              </w:rPr>
            </w:pPr>
            <w:r w:rsidRPr="009A43D3">
              <w:rPr>
                <w:lang w:eastAsia="en-AU"/>
              </w:rPr>
              <w:t>15/288</w:t>
            </w:r>
            <w:r w:rsidR="009D7B6C" w:rsidRPr="009D7B6C">
              <w:rPr>
                <w:vertAlign w:val="superscript"/>
                <w:lang w:eastAsia="en-AU"/>
              </w:rPr>
              <w:t>b</w:t>
            </w:r>
          </w:p>
        </w:tc>
        <w:tc>
          <w:tcPr>
            <w:tcW w:w="838" w:type="pct"/>
            <w:shd w:val="clear" w:color="auto" w:fill="auto"/>
            <w:vAlign w:val="center"/>
          </w:tcPr>
          <w:p w:rsidR="0095055D" w:rsidRPr="009A43D3" w:rsidRDefault="0095055D" w:rsidP="00025906">
            <w:pPr>
              <w:pStyle w:val="TableText0"/>
              <w:jc w:val="center"/>
              <w:rPr>
                <w:lang w:eastAsia="en-AU"/>
              </w:rPr>
            </w:pPr>
            <w:r w:rsidRPr="009A43D3">
              <w:rPr>
                <w:lang w:eastAsia="en-AU"/>
              </w:rPr>
              <w:t>2/133</w:t>
            </w:r>
          </w:p>
        </w:tc>
        <w:tc>
          <w:tcPr>
            <w:tcW w:w="491" w:type="pct"/>
            <w:shd w:val="clear" w:color="auto" w:fill="auto"/>
            <w:vAlign w:val="center"/>
          </w:tcPr>
          <w:p w:rsidR="0095055D" w:rsidRPr="008F1215" w:rsidRDefault="0095055D" w:rsidP="00025906">
            <w:pPr>
              <w:pStyle w:val="TableText0"/>
              <w:jc w:val="center"/>
              <w:rPr>
                <w:lang w:eastAsia="en-AU"/>
              </w:rPr>
            </w:pPr>
            <w:r w:rsidRPr="008F1215">
              <w:rPr>
                <w:lang w:eastAsia="en-AU"/>
              </w:rPr>
              <w:t>5.2</w:t>
            </w:r>
          </w:p>
        </w:tc>
        <w:tc>
          <w:tcPr>
            <w:tcW w:w="631" w:type="pct"/>
            <w:shd w:val="clear" w:color="auto" w:fill="auto"/>
            <w:vAlign w:val="center"/>
          </w:tcPr>
          <w:p w:rsidR="0095055D" w:rsidRPr="008F1215" w:rsidRDefault="0095055D" w:rsidP="00025906">
            <w:pPr>
              <w:pStyle w:val="TableText0"/>
              <w:jc w:val="center"/>
              <w:rPr>
                <w:lang w:eastAsia="en-AU"/>
              </w:rPr>
            </w:pPr>
            <w:r w:rsidRPr="008F1215">
              <w:rPr>
                <w:lang w:eastAsia="en-AU"/>
              </w:rPr>
              <w:t>1.5</w:t>
            </w:r>
          </w:p>
        </w:tc>
        <w:tc>
          <w:tcPr>
            <w:tcW w:w="681" w:type="pct"/>
            <w:shd w:val="clear" w:color="auto" w:fill="auto"/>
            <w:vAlign w:val="center"/>
          </w:tcPr>
          <w:p w:rsidR="0095055D" w:rsidRPr="008F1215" w:rsidRDefault="009D7B6C" w:rsidP="00025906">
            <w:pPr>
              <w:pStyle w:val="TableText0"/>
              <w:jc w:val="center"/>
              <w:rPr>
                <w:lang w:eastAsia="en-AU"/>
              </w:rPr>
            </w:pPr>
            <w:r>
              <w:rPr>
                <w:lang w:eastAsia="en-AU"/>
              </w:rPr>
              <w:t>3.</w:t>
            </w:r>
            <w:r w:rsidR="0095055D" w:rsidRPr="008F1215">
              <w:rPr>
                <w:lang w:eastAsia="en-AU"/>
              </w:rPr>
              <w:t>7%</w:t>
            </w:r>
          </w:p>
          <w:p w:rsidR="0095055D" w:rsidRPr="008F1215" w:rsidRDefault="0095055D" w:rsidP="00390D4B">
            <w:pPr>
              <w:pStyle w:val="TableText0"/>
              <w:jc w:val="center"/>
              <w:rPr>
                <w:lang w:eastAsia="en-AU"/>
              </w:rPr>
            </w:pPr>
            <w:r w:rsidRPr="008F1215">
              <w:rPr>
                <w:lang w:eastAsia="en-AU"/>
              </w:rPr>
              <w:t>(-0.4%, 7.0%)</w:t>
            </w:r>
          </w:p>
        </w:tc>
      </w:tr>
      <w:tr w:rsidR="0095055D" w:rsidRPr="00010AB3" w:rsidTr="00AF11A9">
        <w:trPr>
          <w:trHeight w:val="20"/>
        </w:trPr>
        <w:tc>
          <w:tcPr>
            <w:tcW w:w="1526" w:type="pct"/>
            <w:shd w:val="clear" w:color="auto" w:fill="auto"/>
            <w:vAlign w:val="center"/>
          </w:tcPr>
          <w:p w:rsidR="0095055D" w:rsidRPr="00025906" w:rsidRDefault="0095055D" w:rsidP="00663733">
            <w:pPr>
              <w:pStyle w:val="TableText0"/>
              <w:rPr>
                <w:highlight w:val="yellow"/>
                <w:lang w:eastAsia="en-AU"/>
              </w:rPr>
            </w:pPr>
            <w:r w:rsidRPr="008F1215">
              <w:rPr>
                <w:lang w:eastAsia="en-AU"/>
              </w:rPr>
              <w:t xml:space="preserve">Patients with any drug-related Grade 3-5 </w:t>
            </w:r>
            <w:r>
              <w:rPr>
                <w:lang w:eastAsia="en-AU"/>
              </w:rPr>
              <w:t>AE</w:t>
            </w:r>
          </w:p>
        </w:tc>
        <w:tc>
          <w:tcPr>
            <w:tcW w:w="833" w:type="pct"/>
            <w:shd w:val="clear" w:color="auto" w:fill="auto"/>
            <w:vAlign w:val="center"/>
          </w:tcPr>
          <w:p w:rsidR="0095055D" w:rsidRPr="008F1215" w:rsidRDefault="0095055D" w:rsidP="00025906">
            <w:pPr>
              <w:pStyle w:val="TableText0"/>
              <w:jc w:val="center"/>
              <w:rPr>
                <w:lang w:eastAsia="en-AU"/>
              </w:rPr>
            </w:pPr>
            <w:r w:rsidRPr="008F1215">
              <w:rPr>
                <w:lang w:eastAsia="en-AU"/>
              </w:rPr>
              <w:t>18/137</w:t>
            </w:r>
          </w:p>
        </w:tc>
        <w:tc>
          <w:tcPr>
            <w:tcW w:w="838" w:type="pct"/>
            <w:shd w:val="clear" w:color="auto" w:fill="auto"/>
            <w:vAlign w:val="center"/>
          </w:tcPr>
          <w:p w:rsidR="0095055D" w:rsidRPr="00025906" w:rsidRDefault="0095055D" w:rsidP="00025906">
            <w:pPr>
              <w:pStyle w:val="TableText0"/>
              <w:jc w:val="center"/>
              <w:rPr>
                <w:highlight w:val="yellow"/>
                <w:lang w:eastAsia="en-AU"/>
              </w:rPr>
            </w:pPr>
            <w:r w:rsidRPr="008F1215">
              <w:rPr>
                <w:lang w:eastAsia="en-AU"/>
              </w:rPr>
              <w:t>45/133</w:t>
            </w:r>
          </w:p>
        </w:tc>
        <w:tc>
          <w:tcPr>
            <w:tcW w:w="491" w:type="pct"/>
            <w:shd w:val="clear" w:color="auto" w:fill="auto"/>
            <w:vAlign w:val="center"/>
          </w:tcPr>
          <w:p w:rsidR="0095055D" w:rsidRPr="008F1215" w:rsidRDefault="0095055D" w:rsidP="00025906">
            <w:pPr>
              <w:pStyle w:val="TableText0"/>
              <w:jc w:val="center"/>
              <w:rPr>
                <w:lang w:eastAsia="en-AU"/>
              </w:rPr>
            </w:pPr>
            <w:r w:rsidRPr="008F1215">
              <w:rPr>
                <w:lang w:eastAsia="en-AU"/>
              </w:rPr>
              <w:t>13.1</w:t>
            </w:r>
          </w:p>
        </w:tc>
        <w:tc>
          <w:tcPr>
            <w:tcW w:w="631" w:type="pct"/>
            <w:shd w:val="clear" w:color="auto" w:fill="auto"/>
            <w:vAlign w:val="center"/>
          </w:tcPr>
          <w:p w:rsidR="0095055D" w:rsidRPr="008F1215" w:rsidRDefault="0095055D" w:rsidP="00025906">
            <w:pPr>
              <w:pStyle w:val="TableText0"/>
              <w:jc w:val="center"/>
              <w:rPr>
                <w:lang w:eastAsia="en-AU"/>
              </w:rPr>
            </w:pPr>
            <w:r w:rsidRPr="008F1215">
              <w:rPr>
                <w:lang w:eastAsia="en-AU"/>
              </w:rPr>
              <w:t>33.8</w:t>
            </w:r>
          </w:p>
        </w:tc>
        <w:tc>
          <w:tcPr>
            <w:tcW w:w="681" w:type="pct"/>
            <w:shd w:val="clear" w:color="auto" w:fill="auto"/>
            <w:vAlign w:val="center"/>
          </w:tcPr>
          <w:p w:rsidR="0095055D" w:rsidRPr="008F1215" w:rsidRDefault="0095055D" w:rsidP="00025906">
            <w:pPr>
              <w:pStyle w:val="TableText0"/>
              <w:jc w:val="center"/>
              <w:rPr>
                <w:lang w:eastAsia="en-AU"/>
              </w:rPr>
            </w:pPr>
            <w:r w:rsidRPr="008F1215">
              <w:rPr>
                <w:lang w:eastAsia="en-AU"/>
              </w:rPr>
              <w:t>-20.7</w:t>
            </w:r>
          </w:p>
          <w:p w:rsidR="0095055D" w:rsidRPr="008F1215" w:rsidRDefault="0095055D" w:rsidP="00025906">
            <w:pPr>
              <w:pStyle w:val="TableText0"/>
              <w:jc w:val="center"/>
              <w:rPr>
                <w:lang w:eastAsia="en-AU"/>
              </w:rPr>
            </w:pPr>
            <w:r w:rsidRPr="008F1215">
              <w:rPr>
                <w:lang w:eastAsia="en-AU"/>
              </w:rPr>
              <w:t>(-30.5, -10.8)</w:t>
            </w:r>
          </w:p>
        </w:tc>
      </w:tr>
    </w:tbl>
    <w:p w:rsidR="0095055D" w:rsidRDefault="0056348A" w:rsidP="00AF11A9">
      <w:pPr>
        <w:pStyle w:val="TableFooter"/>
        <w:ind w:left="709"/>
      </w:pPr>
      <w:proofErr w:type="spellStart"/>
      <w:proofErr w:type="gramStart"/>
      <w:r w:rsidRPr="0056348A">
        <w:rPr>
          <w:vertAlign w:val="superscript"/>
          <w:lang w:eastAsia="en-AU"/>
        </w:rPr>
        <w:t>a</w:t>
      </w:r>
      <w:proofErr w:type="spellEnd"/>
      <w:proofErr w:type="gramEnd"/>
      <w:r>
        <w:t xml:space="preserve"> Updated d</w:t>
      </w:r>
      <w:r w:rsidR="0095055D" w:rsidRPr="001B3BCF">
        <w:t xml:space="preserve">atabase </w:t>
      </w:r>
      <w:r w:rsidR="001A373C" w:rsidRPr="001B3BCF">
        <w:t>c</w:t>
      </w:r>
      <w:r w:rsidR="0095055D" w:rsidRPr="001B3BCF">
        <w:t>ut-off: 3</w:t>
      </w:r>
      <w:r>
        <w:t>1</w:t>
      </w:r>
      <w:r w:rsidR="0095055D" w:rsidRPr="001B3BCF">
        <w:t xml:space="preserve"> </w:t>
      </w:r>
      <w:r>
        <w:t>March</w:t>
      </w:r>
      <w:r w:rsidR="0095055D" w:rsidRPr="001B3BCF">
        <w:t xml:space="preserve"> 201</w:t>
      </w:r>
      <w:r>
        <w:t>6 with</w:t>
      </w:r>
      <w:r w:rsidR="0095055D" w:rsidRPr="001B3BCF">
        <w:t xml:space="preserve"> </w:t>
      </w:r>
      <w:r>
        <w:t xml:space="preserve">extended </w:t>
      </w:r>
      <w:r w:rsidR="0095055D" w:rsidRPr="001B3BCF">
        <w:t>median follow</w:t>
      </w:r>
      <w:r>
        <w:t>-</w:t>
      </w:r>
      <w:r w:rsidR="0095055D" w:rsidRPr="001B3BCF">
        <w:t>up</w:t>
      </w:r>
      <w:r w:rsidR="0095055D">
        <w:t>.</w:t>
      </w:r>
    </w:p>
    <w:p w:rsidR="009D7B6C" w:rsidRDefault="009D7B6C" w:rsidP="00AF11A9">
      <w:pPr>
        <w:pStyle w:val="TableFooter"/>
        <w:ind w:left="709"/>
      </w:pPr>
      <w:proofErr w:type="gramStart"/>
      <w:r w:rsidRPr="009D7B6C">
        <w:rPr>
          <w:vertAlign w:val="superscript"/>
        </w:rPr>
        <w:t>b</w:t>
      </w:r>
      <w:proofErr w:type="gramEnd"/>
      <w:r>
        <w:t xml:space="preserve"> Results for both strengths of pembrolizumab.</w:t>
      </w:r>
    </w:p>
    <w:p w:rsidR="0095055D" w:rsidRPr="008F1215" w:rsidRDefault="0095055D" w:rsidP="00AF11A9">
      <w:pPr>
        <w:pStyle w:val="TableFooter"/>
        <w:ind w:left="709"/>
      </w:pPr>
      <w:r w:rsidRPr="005D4D3E">
        <w:t>AE</w:t>
      </w:r>
      <w:r>
        <w:t xml:space="preserve"> </w:t>
      </w:r>
      <w:r w:rsidRPr="005D4D3E">
        <w:t>=</w:t>
      </w:r>
      <w:r>
        <w:t xml:space="preserve"> </w:t>
      </w:r>
      <w:r w:rsidRPr="005D4D3E">
        <w:t>adverse event; HR = hazard ratio;</w:t>
      </w:r>
      <w:r>
        <w:t xml:space="preserve"> RD =</w:t>
      </w:r>
      <w:r w:rsidRPr="005D4D3E">
        <w:t xml:space="preserve"> </w:t>
      </w:r>
      <w:r>
        <w:t xml:space="preserve">risk difference; </w:t>
      </w:r>
      <w:proofErr w:type="spellStart"/>
      <w:r w:rsidRPr="005D4D3E">
        <w:t>Pembro</w:t>
      </w:r>
      <w:proofErr w:type="spellEnd"/>
      <w:r w:rsidRPr="005D4D3E">
        <w:t xml:space="preserve"> = pembrolizumab; Doc = </w:t>
      </w:r>
      <w:proofErr w:type="spellStart"/>
      <w:r w:rsidRPr="008F1215">
        <w:t>docetaxel</w:t>
      </w:r>
      <w:proofErr w:type="spellEnd"/>
      <w:r w:rsidR="00663733">
        <w:t>;</w:t>
      </w:r>
      <w:r w:rsidRPr="008F1215">
        <w:t xml:space="preserve"> CI</w:t>
      </w:r>
      <w:r>
        <w:t xml:space="preserve"> </w:t>
      </w:r>
      <w:r w:rsidRPr="008F1215">
        <w:t>=</w:t>
      </w:r>
      <w:r>
        <w:t xml:space="preserve"> </w:t>
      </w:r>
      <w:r w:rsidRPr="008F1215">
        <w:t>confid</w:t>
      </w:r>
      <w:r>
        <w:t>ence interval; PD-L1 = programmed</w:t>
      </w:r>
      <w:r w:rsidRPr="008F1215">
        <w:t xml:space="preserve"> death ligand-1</w:t>
      </w:r>
      <w:r w:rsidR="00663733">
        <w:t>.</w:t>
      </w:r>
    </w:p>
    <w:p w:rsidR="0095055D" w:rsidRPr="008F1215" w:rsidRDefault="0095055D" w:rsidP="00AF11A9">
      <w:pPr>
        <w:pStyle w:val="TableFooter"/>
        <w:ind w:left="709"/>
      </w:pPr>
      <w:r w:rsidRPr="008F1215">
        <w:t>Source: Compiled from effectiveness and safety data presented in the submission</w:t>
      </w:r>
      <w:r w:rsidR="009D7B6C">
        <w:t xml:space="preserve"> and PSCR</w:t>
      </w:r>
    </w:p>
    <w:p w:rsidR="0095055D" w:rsidRPr="009A384F" w:rsidRDefault="0095055D" w:rsidP="006E6043">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Results were similar in the PD-L1 TPS ≥1% squamous NSCLC population</w:t>
      </w:r>
      <w:r w:rsidRPr="009015FA">
        <w:rPr>
          <w:rFonts w:ascii="Arial" w:hAnsi="Arial" w:cs="Arial"/>
          <w:sz w:val="22"/>
          <w:szCs w:val="22"/>
        </w:rPr>
        <w:t xml:space="preserve">. A comparative benefit versus </w:t>
      </w:r>
      <w:proofErr w:type="spellStart"/>
      <w:r w:rsidRPr="009015FA">
        <w:rPr>
          <w:rFonts w:ascii="Arial" w:hAnsi="Arial" w:cs="Arial"/>
          <w:sz w:val="22"/>
          <w:szCs w:val="22"/>
        </w:rPr>
        <w:t>docetaxel</w:t>
      </w:r>
      <w:proofErr w:type="spellEnd"/>
      <w:r w:rsidRPr="009015FA">
        <w:rPr>
          <w:rFonts w:ascii="Arial" w:hAnsi="Arial" w:cs="Arial"/>
          <w:sz w:val="22"/>
          <w:szCs w:val="22"/>
        </w:rPr>
        <w:t xml:space="preserve"> </w:t>
      </w:r>
      <w:r w:rsidR="00663733">
        <w:rPr>
          <w:rFonts w:ascii="Arial" w:hAnsi="Arial" w:cs="Arial"/>
          <w:sz w:val="22"/>
          <w:szCs w:val="22"/>
        </w:rPr>
        <w:t>wa</w:t>
      </w:r>
      <w:r w:rsidRPr="009015FA">
        <w:rPr>
          <w:rFonts w:ascii="Arial" w:hAnsi="Arial" w:cs="Arial"/>
          <w:sz w:val="22"/>
          <w:szCs w:val="22"/>
        </w:rPr>
        <w:t xml:space="preserve">s also presented for non-squamous NSCLC as the data indicated clinical heterogeneity across squamous and non-squamous histology subtypes and the indirect benefit compared with the main comparator of </w:t>
      </w:r>
      <w:proofErr w:type="spellStart"/>
      <w:r w:rsidRPr="009015FA">
        <w:rPr>
          <w:rFonts w:ascii="Arial" w:hAnsi="Arial" w:cs="Arial"/>
          <w:sz w:val="22"/>
          <w:szCs w:val="22"/>
        </w:rPr>
        <w:t>pemetrexed</w:t>
      </w:r>
      <w:proofErr w:type="spellEnd"/>
      <w:r w:rsidRPr="009015FA">
        <w:rPr>
          <w:rFonts w:ascii="Arial" w:hAnsi="Arial" w:cs="Arial"/>
          <w:sz w:val="22"/>
          <w:szCs w:val="22"/>
        </w:rPr>
        <w:t xml:space="preserve"> is unreliable.</w:t>
      </w:r>
    </w:p>
    <w:p w:rsidR="0095055D" w:rsidRPr="009015FA" w:rsidRDefault="0095055D" w:rsidP="00A36DD4">
      <w:pPr>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szCs w:val="22"/>
        </w:rPr>
      </w:pPr>
      <w:r w:rsidRPr="009015FA">
        <w:rPr>
          <w:rFonts w:ascii="Arial" w:hAnsi="Arial" w:cs="Arial"/>
          <w:sz w:val="22"/>
        </w:rPr>
        <w:t xml:space="preserve">On the basis of the direct evidence presented in the submission, in NSCLC patients with evidence of a high PD-L1 expression TPS ≥50% and treated with pembrolizumab instead of with </w:t>
      </w:r>
      <w:proofErr w:type="spellStart"/>
      <w:r w:rsidRPr="009015FA">
        <w:rPr>
          <w:rFonts w:ascii="Arial" w:hAnsi="Arial" w:cs="Arial"/>
          <w:sz w:val="22"/>
        </w:rPr>
        <w:t>docetaxel</w:t>
      </w:r>
      <w:proofErr w:type="spellEnd"/>
      <w:r w:rsidRPr="009015FA">
        <w:rPr>
          <w:rFonts w:ascii="Arial" w:hAnsi="Arial" w:cs="Arial"/>
          <w:sz w:val="22"/>
        </w:rPr>
        <w:t>:</w:t>
      </w:r>
    </w:p>
    <w:p w:rsidR="0095055D" w:rsidRPr="009015FA" w:rsidRDefault="0095055D" w:rsidP="009C3A29">
      <w:pPr>
        <w:pStyle w:val="ListParagraph"/>
        <w:numPr>
          <w:ilvl w:val="0"/>
          <w:numId w:val="10"/>
        </w:numPr>
        <w:ind w:left="1134" w:hanging="284"/>
        <w:rPr>
          <w:rFonts w:ascii="Arial" w:hAnsi="Arial" w:cs="Arial"/>
          <w:sz w:val="22"/>
        </w:rPr>
      </w:pPr>
      <w:r w:rsidRPr="009015FA">
        <w:rPr>
          <w:rFonts w:ascii="Arial" w:hAnsi="Arial" w:cs="Arial"/>
          <w:sz w:val="22"/>
        </w:rPr>
        <w:t xml:space="preserve">There was </w:t>
      </w:r>
      <w:r w:rsidR="001310FD">
        <w:rPr>
          <w:rFonts w:ascii="Arial" w:hAnsi="Arial" w:cs="Arial"/>
          <w:sz w:val="22"/>
        </w:rPr>
        <w:t>an</w:t>
      </w:r>
      <w:r w:rsidRPr="009015FA">
        <w:rPr>
          <w:rFonts w:ascii="Arial" w:hAnsi="Arial" w:cs="Arial"/>
          <w:sz w:val="22"/>
        </w:rPr>
        <w:t xml:space="preserve"> </w:t>
      </w:r>
      <w:r w:rsidR="001310FD">
        <w:rPr>
          <w:rFonts w:ascii="Arial" w:hAnsi="Arial" w:cs="Arial"/>
          <w:sz w:val="22"/>
        </w:rPr>
        <w:t>increase in</w:t>
      </w:r>
      <w:r w:rsidRPr="009015FA">
        <w:rPr>
          <w:rFonts w:ascii="Arial" w:hAnsi="Arial" w:cs="Arial"/>
          <w:sz w:val="22"/>
        </w:rPr>
        <w:t xml:space="preserve"> median overall survival </w:t>
      </w:r>
      <w:r w:rsidR="001310FD">
        <w:rPr>
          <w:rFonts w:ascii="Arial" w:hAnsi="Arial" w:cs="Arial"/>
          <w:sz w:val="22"/>
        </w:rPr>
        <w:t xml:space="preserve">by 8 months to 16 months </w:t>
      </w:r>
      <w:r w:rsidRPr="009015FA">
        <w:rPr>
          <w:rFonts w:ascii="Arial" w:hAnsi="Arial" w:cs="Arial"/>
          <w:sz w:val="22"/>
        </w:rPr>
        <w:t xml:space="preserve">and </w:t>
      </w:r>
      <w:r w:rsidR="001310FD">
        <w:rPr>
          <w:rFonts w:ascii="Arial" w:hAnsi="Arial" w:cs="Arial"/>
          <w:sz w:val="22"/>
        </w:rPr>
        <w:t xml:space="preserve">a corresponding reduction in </w:t>
      </w:r>
      <w:r w:rsidRPr="009015FA">
        <w:rPr>
          <w:rFonts w:ascii="Arial" w:hAnsi="Arial" w:cs="Arial"/>
          <w:sz w:val="22"/>
        </w:rPr>
        <w:t>the risk of death by almost 50%</w:t>
      </w:r>
    </w:p>
    <w:p w:rsidR="0095055D" w:rsidRPr="009015FA" w:rsidRDefault="0095055D" w:rsidP="009C3A29">
      <w:pPr>
        <w:pStyle w:val="ListParagraph"/>
        <w:numPr>
          <w:ilvl w:val="0"/>
          <w:numId w:val="10"/>
        </w:numPr>
        <w:ind w:left="1134" w:hanging="284"/>
        <w:rPr>
          <w:rFonts w:ascii="Arial" w:hAnsi="Arial" w:cs="Arial"/>
          <w:sz w:val="22"/>
        </w:rPr>
      </w:pPr>
      <w:r w:rsidRPr="009015FA">
        <w:rPr>
          <w:rFonts w:ascii="Arial" w:hAnsi="Arial" w:cs="Arial"/>
          <w:sz w:val="22"/>
        </w:rPr>
        <w:t>For every 100 patients, 21 fewer patients would experience a drug-related Grade 3 -5 AE</w:t>
      </w:r>
      <w:r w:rsidR="00663733">
        <w:rPr>
          <w:rFonts w:ascii="Arial" w:hAnsi="Arial" w:cs="Arial"/>
          <w:sz w:val="22"/>
        </w:rPr>
        <w:t>,</w:t>
      </w:r>
      <w:r w:rsidRPr="009015FA">
        <w:rPr>
          <w:rFonts w:ascii="Arial" w:hAnsi="Arial" w:cs="Arial"/>
          <w:sz w:val="22"/>
        </w:rPr>
        <w:t xml:space="preserve"> but an additional 4 patients may experience ≥ Grade 2 pneumonitis. These differences would be expected to be fairly similar between squamous and non-squamous histology subtypes.</w:t>
      </w:r>
    </w:p>
    <w:p w:rsidR="0095055D" w:rsidRPr="009015FA" w:rsidRDefault="0095055D" w:rsidP="006E6043">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napToGrid w:val="0"/>
          <w:sz w:val="22"/>
        </w:rPr>
      </w:pPr>
      <w:r w:rsidRPr="009015FA">
        <w:rPr>
          <w:rFonts w:ascii="Arial" w:hAnsi="Arial" w:cs="Arial"/>
          <w:b/>
          <w:snapToGrid w:val="0"/>
          <w:sz w:val="22"/>
        </w:rPr>
        <w:t xml:space="preserve">Indirect comparison with </w:t>
      </w:r>
      <w:proofErr w:type="spellStart"/>
      <w:r w:rsidRPr="009015FA">
        <w:rPr>
          <w:rFonts w:ascii="Arial" w:hAnsi="Arial" w:cs="Arial"/>
          <w:b/>
          <w:snapToGrid w:val="0"/>
          <w:sz w:val="22"/>
        </w:rPr>
        <w:t>pemetrexed</w:t>
      </w:r>
      <w:proofErr w:type="spellEnd"/>
      <w:r w:rsidRPr="009015FA">
        <w:rPr>
          <w:rFonts w:ascii="Arial" w:hAnsi="Arial" w:cs="Arial"/>
          <w:b/>
          <w:snapToGrid w:val="0"/>
          <w:sz w:val="22"/>
        </w:rPr>
        <w:t xml:space="preserve"> (KN-010 </w:t>
      </w:r>
      <w:proofErr w:type="spellStart"/>
      <w:r w:rsidRPr="009015FA">
        <w:rPr>
          <w:rFonts w:ascii="Arial" w:hAnsi="Arial" w:cs="Arial"/>
          <w:b/>
          <w:snapToGrid w:val="0"/>
          <w:sz w:val="22"/>
        </w:rPr>
        <w:t>vs</w:t>
      </w:r>
      <w:proofErr w:type="spellEnd"/>
      <w:r w:rsidRPr="009015FA">
        <w:rPr>
          <w:rFonts w:ascii="Arial" w:hAnsi="Arial" w:cs="Arial"/>
          <w:b/>
          <w:snapToGrid w:val="0"/>
          <w:sz w:val="22"/>
        </w:rPr>
        <w:t xml:space="preserve"> </w:t>
      </w:r>
      <w:proofErr w:type="spellStart"/>
      <w:r w:rsidRPr="009015FA">
        <w:rPr>
          <w:rFonts w:ascii="Arial" w:hAnsi="Arial" w:cs="Arial"/>
          <w:b/>
          <w:snapToGrid w:val="0"/>
          <w:sz w:val="22"/>
        </w:rPr>
        <w:t>Scagliotti</w:t>
      </w:r>
      <w:proofErr w:type="spellEnd"/>
      <w:r w:rsidRPr="009015FA">
        <w:rPr>
          <w:rFonts w:ascii="Arial" w:hAnsi="Arial" w:cs="Arial"/>
          <w:b/>
          <w:snapToGrid w:val="0"/>
          <w:sz w:val="22"/>
        </w:rPr>
        <w:t>):</w:t>
      </w:r>
      <w:r w:rsidRPr="009015FA">
        <w:rPr>
          <w:rFonts w:ascii="Arial" w:hAnsi="Arial" w:cs="Arial"/>
          <w:snapToGrid w:val="0"/>
          <w:sz w:val="22"/>
        </w:rPr>
        <w:t xml:space="preserve"> A summary of the indirect comparative benefits and harms for the likely recommended dose of pembrolizumab 2 mg/kg (PD-L1 TPS ≥50%) versus </w:t>
      </w:r>
      <w:proofErr w:type="spellStart"/>
      <w:r w:rsidRPr="009015FA">
        <w:rPr>
          <w:rFonts w:ascii="Arial" w:hAnsi="Arial" w:cs="Arial"/>
          <w:snapToGrid w:val="0"/>
          <w:sz w:val="22"/>
        </w:rPr>
        <w:t>pemetrexed</w:t>
      </w:r>
      <w:proofErr w:type="spellEnd"/>
      <w:r w:rsidRPr="009015FA">
        <w:rPr>
          <w:rFonts w:ascii="Arial" w:hAnsi="Arial" w:cs="Arial"/>
          <w:snapToGrid w:val="0"/>
          <w:sz w:val="22"/>
        </w:rPr>
        <w:t xml:space="preserve"> (unselected by PD-L1 status) in the non-squamous NSCLC population i</w:t>
      </w:r>
      <w:r w:rsidR="006E6043" w:rsidRPr="009015FA">
        <w:rPr>
          <w:rFonts w:ascii="Arial" w:hAnsi="Arial" w:cs="Arial"/>
          <w:snapToGrid w:val="0"/>
          <w:sz w:val="22"/>
        </w:rPr>
        <w:t>s presented in the table below.</w:t>
      </w:r>
    </w:p>
    <w:p w:rsidR="0095055D" w:rsidRPr="00663733" w:rsidRDefault="0095055D" w:rsidP="00A36DD4">
      <w:pPr>
        <w:rPr>
          <w:rFonts w:ascii="Arial" w:hAnsi="Arial" w:cs="Arial"/>
          <w:snapToGrid w:val="0"/>
          <w:sz w:val="22"/>
          <w:szCs w:val="22"/>
        </w:rPr>
      </w:pPr>
    </w:p>
    <w:p w:rsidR="0095055D" w:rsidRPr="00D322A0" w:rsidRDefault="0095055D" w:rsidP="00AF11A9">
      <w:pPr>
        <w:pStyle w:val="TableHeading0"/>
        <w:ind w:left="720"/>
      </w:pPr>
      <w:r w:rsidRPr="00D322A0">
        <w:t xml:space="preserve">Table </w:t>
      </w:r>
      <w:r>
        <w:rPr>
          <w:noProof/>
        </w:rPr>
        <w:t>1</w:t>
      </w:r>
      <w:r w:rsidR="006405DD">
        <w:rPr>
          <w:noProof/>
        </w:rPr>
        <w:t>5</w:t>
      </w:r>
      <w:r>
        <w:rPr>
          <w:noProof/>
        </w:rPr>
        <w:t xml:space="preserve">: </w:t>
      </w:r>
      <w:r w:rsidRPr="00D322A0">
        <w:rPr>
          <w:noProof/>
        </w:rPr>
        <w:t xml:space="preserve">Indirect comparison of </w:t>
      </w:r>
      <w:r w:rsidRPr="00D322A0">
        <w:t xml:space="preserve">benefits and harms for pembrolizumab </w:t>
      </w:r>
      <w:r w:rsidR="009D7B6C">
        <w:t>2 </w:t>
      </w:r>
      <w:r w:rsidR="009D7B6C" w:rsidRPr="0056348A">
        <w:t>mg/kg Q3W</w:t>
      </w:r>
      <w:r w:rsidR="009D7B6C" w:rsidRPr="00D322A0">
        <w:rPr>
          <w:color w:val="000000"/>
        </w:rPr>
        <w:t xml:space="preserve"> </w:t>
      </w:r>
      <w:r w:rsidRPr="00D322A0">
        <w:rPr>
          <w:color w:val="000000"/>
        </w:rPr>
        <w:t>(PD-L1 ≥ 50% from KN-010)</w:t>
      </w:r>
      <w:r w:rsidRPr="00D322A0">
        <w:t xml:space="preserve"> </w:t>
      </w:r>
      <w:proofErr w:type="spellStart"/>
      <w:r w:rsidRPr="00D322A0">
        <w:t>vs</w:t>
      </w:r>
      <w:proofErr w:type="spellEnd"/>
      <w:r w:rsidRPr="00D322A0">
        <w:t xml:space="preserve"> </w:t>
      </w:r>
      <w:proofErr w:type="spellStart"/>
      <w:r w:rsidRPr="00D322A0">
        <w:t>pemetrexed</w:t>
      </w:r>
      <w:proofErr w:type="spellEnd"/>
      <w:r w:rsidRPr="00D322A0">
        <w:t xml:space="preserve"> (unselected for PD-L1 from </w:t>
      </w:r>
      <w:proofErr w:type="spellStart"/>
      <w:r w:rsidRPr="00D322A0">
        <w:t>Scagliotti</w:t>
      </w:r>
      <w:proofErr w:type="spellEnd"/>
      <w:r w:rsidRPr="00D322A0">
        <w:t xml:space="preserve"> 2009) – All non-squamous NSCLC</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411"/>
        <w:gridCol w:w="1276"/>
        <w:gridCol w:w="1275"/>
        <w:gridCol w:w="1843"/>
        <w:gridCol w:w="1559"/>
      </w:tblGrid>
      <w:tr w:rsidR="0095055D" w:rsidRPr="001226BA" w:rsidTr="00AF11A9">
        <w:trPr>
          <w:trHeight w:val="20"/>
        </w:trPr>
        <w:tc>
          <w:tcPr>
            <w:tcW w:w="1441" w:type="pct"/>
            <w:shd w:val="clear" w:color="auto" w:fill="auto"/>
            <w:vAlign w:val="center"/>
          </w:tcPr>
          <w:p w:rsidR="0095055D" w:rsidRPr="00025906" w:rsidRDefault="0095055D" w:rsidP="00A36DD4">
            <w:pPr>
              <w:pStyle w:val="TableText0"/>
              <w:rPr>
                <w:b/>
                <w:lang w:eastAsia="en-AU"/>
              </w:rPr>
            </w:pPr>
          </w:p>
        </w:tc>
        <w:tc>
          <w:tcPr>
            <w:tcW w:w="763" w:type="pct"/>
            <w:shd w:val="clear" w:color="auto" w:fill="auto"/>
            <w:vAlign w:val="center"/>
          </w:tcPr>
          <w:p w:rsidR="0095055D" w:rsidRPr="00025906" w:rsidRDefault="0095055D" w:rsidP="00015F0E">
            <w:pPr>
              <w:pStyle w:val="TableText0"/>
              <w:jc w:val="center"/>
              <w:rPr>
                <w:b/>
                <w:lang w:eastAsia="en-AU"/>
              </w:rPr>
            </w:pPr>
            <w:proofErr w:type="spellStart"/>
            <w:r w:rsidRPr="00025906">
              <w:rPr>
                <w:b/>
                <w:lang w:eastAsia="en-AU"/>
              </w:rPr>
              <w:t>Pembro</w:t>
            </w:r>
            <w:proofErr w:type="spellEnd"/>
          </w:p>
        </w:tc>
        <w:tc>
          <w:tcPr>
            <w:tcW w:w="762" w:type="pct"/>
            <w:shd w:val="clear" w:color="auto" w:fill="auto"/>
            <w:vAlign w:val="center"/>
          </w:tcPr>
          <w:p w:rsidR="0095055D" w:rsidRPr="00025906" w:rsidRDefault="0095055D" w:rsidP="00015F0E">
            <w:pPr>
              <w:pStyle w:val="TableText0"/>
              <w:jc w:val="center"/>
              <w:rPr>
                <w:b/>
                <w:lang w:eastAsia="en-AU"/>
              </w:rPr>
            </w:pPr>
            <w:proofErr w:type="spellStart"/>
            <w:r w:rsidRPr="00025906">
              <w:rPr>
                <w:b/>
                <w:lang w:eastAsia="en-AU"/>
              </w:rPr>
              <w:t>Pemetrexed</w:t>
            </w:r>
            <w:proofErr w:type="spellEnd"/>
          </w:p>
        </w:tc>
        <w:tc>
          <w:tcPr>
            <w:tcW w:w="1102" w:type="pct"/>
            <w:shd w:val="clear" w:color="auto" w:fill="auto"/>
            <w:vAlign w:val="center"/>
          </w:tcPr>
          <w:p w:rsidR="0095055D" w:rsidRPr="00025906" w:rsidRDefault="0095055D" w:rsidP="00015F0E">
            <w:pPr>
              <w:pStyle w:val="TableText0"/>
              <w:jc w:val="center"/>
              <w:rPr>
                <w:b/>
                <w:lang w:eastAsia="en-AU"/>
              </w:rPr>
            </w:pPr>
            <w:r w:rsidRPr="00025906">
              <w:rPr>
                <w:b/>
                <w:lang w:eastAsia="en-AU"/>
              </w:rPr>
              <w:t>Absolute difference</w:t>
            </w:r>
          </w:p>
        </w:tc>
        <w:tc>
          <w:tcPr>
            <w:tcW w:w="932" w:type="pct"/>
            <w:shd w:val="clear" w:color="auto" w:fill="auto"/>
            <w:vAlign w:val="center"/>
          </w:tcPr>
          <w:p w:rsidR="0095055D" w:rsidRPr="00025906" w:rsidRDefault="0095055D" w:rsidP="00015F0E">
            <w:pPr>
              <w:pStyle w:val="TableText0"/>
              <w:jc w:val="center"/>
              <w:rPr>
                <w:b/>
                <w:lang w:eastAsia="en-AU"/>
              </w:rPr>
            </w:pPr>
            <w:r w:rsidRPr="00025906">
              <w:rPr>
                <w:b/>
                <w:lang w:eastAsia="en-AU"/>
              </w:rPr>
              <w:t>HR (95% CI)</w:t>
            </w:r>
          </w:p>
        </w:tc>
      </w:tr>
      <w:tr w:rsidR="0095055D" w:rsidRPr="00D322A0" w:rsidTr="00AF11A9">
        <w:trPr>
          <w:trHeight w:val="20"/>
        </w:trPr>
        <w:tc>
          <w:tcPr>
            <w:tcW w:w="5000" w:type="pct"/>
            <w:gridSpan w:val="5"/>
            <w:shd w:val="clear" w:color="auto" w:fill="auto"/>
            <w:vAlign w:val="center"/>
          </w:tcPr>
          <w:p w:rsidR="0095055D" w:rsidRPr="00025906" w:rsidRDefault="0095055D" w:rsidP="00A36DD4">
            <w:pPr>
              <w:pStyle w:val="TableText0"/>
              <w:rPr>
                <w:b/>
                <w:color w:val="000000"/>
                <w:lang w:eastAsia="en-AU"/>
              </w:rPr>
            </w:pPr>
            <w:r w:rsidRPr="00025906">
              <w:rPr>
                <w:b/>
                <w:color w:val="000000"/>
                <w:lang w:eastAsia="en-AU"/>
              </w:rPr>
              <w:t>Benefits</w:t>
            </w:r>
          </w:p>
        </w:tc>
      </w:tr>
      <w:tr w:rsidR="0095055D" w:rsidRPr="00D322A0" w:rsidTr="00AF11A9">
        <w:trPr>
          <w:trHeight w:val="20"/>
        </w:trPr>
        <w:tc>
          <w:tcPr>
            <w:tcW w:w="1441" w:type="pct"/>
            <w:shd w:val="clear" w:color="auto" w:fill="auto"/>
            <w:vAlign w:val="center"/>
          </w:tcPr>
          <w:p w:rsidR="0095055D" w:rsidRPr="00025906" w:rsidRDefault="0095055D" w:rsidP="00A36DD4">
            <w:pPr>
              <w:pStyle w:val="TableText0"/>
              <w:rPr>
                <w:color w:val="000000"/>
                <w:lang w:eastAsia="en-AU"/>
              </w:rPr>
            </w:pPr>
            <w:r w:rsidRPr="00025906">
              <w:rPr>
                <w:color w:val="000000"/>
                <w:lang w:eastAsia="en-AU"/>
              </w:rPr>
              <w:t>Median OS, months (95% CI)</w:t>
            </w:r>
          </w:p>
        </w:tc>
        <w:tc>
          <w:tcPr>
            <w:tcW w:w="763" w:type="pct"/>
            <w:shd w:val="clear" w:color="auto" w:fill="auto"/>
            <w:vAlign w:val="center"/>
          </w:tcPr>
          <w:p w:rsidR="0095055D" w:rsidRPr="00D322A0" w:rsidRDefault="0095055D" w:rsidP="00015F0E">
            <w:pPr>
              <w:pStyle w:val="TableText0"/>
              <w:jc w:val="center"/>
              <w:rPr>
                <w:lang w:eastAsia="en-AU"/>
              </w:rPr>
            </w:pPr>
            <w:r w:rsidRPr="00D322A0">
              <w:rPr>
                <w:lang w:eastAsia="en-AU"/>
              </w:rPr>
              <w:t>N=110</w:t>
            </w:r>
          </w:p>
          <w:p w:rsidR="0095055D" w:rsidRPr="00D322A0" w:rsidRDefault="0095055D" w:rsidP="00015F0E">
            <w:pPr>
              <w:pStyle w:val="TableText0"/>
              <w:jc w:val="center"/>
              <w:rPr>
                <w:lang w:eastAsia="en-AU"/>
              </w:rPr>
            </w:pPr>
            <w:r w:rsidRPr="00D322A0">
              <w:rPr>
                <w:lang w:eastAsia="en-AU"/>
              </w:rPr>
              <w:t>15.8 (10.4, –)</w:t>
            </w:r>
          </w:p>
        </w:tc>
        <w:tc>
          <w:tcPr>
            <w:tcW w:w="762" w:type="pct"/>
            <w:shd w:val="clear" w:color="auto" w:fill="auto"/>
            <w:vAlign w:val="center"/>
          </w:tcPr>
          <w:p w:rsidR="0095055D" w:rsidRPr="00D322A0" w:rsidRDefault="0095055D" w:rsidP="00015F0E">
            <w:pPr>
              <w:pStyle w:val="TableText0"/>
              <w:jc w:val="center"/>
              <w:rPr>
                <w:lang w:eastAsia="en-AU"/>
              </w:rPr>
            </w:pPr>
            <w:r w:rsidRPr="00D322A0">
              <w:rPr>
                <w:lang w:eastAsia="en-AU"/>
              </w:rPr>
              <w:t>N=126</w:t>
            </w:r>
          </w:p>
          <w:p w:rsidR="0095055D" w:rsidRPr="00D322A0" w:rsidRDefault="0095055D" w:rsidP="00015F0E">
            <w:pPr>
              <w:pStyle w:val="TableText0"/>
              <w:jc w:val="center"/>
              <w:rPr>
                <w:lang w:eastAsia="en-AU"/>
              </w:rPr>
            </w:pPr>
            <w:r w:rsidRPr="00D322A0">
              <w:rPr>
                <w:lang w:eastAsia="en-AU"/>
              </w:rPr>
              <w:t>9.3 (7.8, 9.7)</w:t>
            </w:r>
          </w:p>
        </w:tc>
        <w:tc>
          <w:tcPr>
            <w:tcW w:w="1102" w:type="pct"/>
            <w:shd w:val="clear" w:color="auto" w:fill="auto"/>
            <w:vAlign w:val="center"/>
          </w:tcPr>
          <w:p w:rsidR="0095055D" w:rsidRPr="00025906" w:rsidRDefault="0095055D" w:rsidP="00015F0E">
            <w:pPr>
              <w:pStyle w:val="TableText0"/>
              <w:jc w:val="center"/>
              <w:rPr>
                <w:color w:val="000000"/>
                <w:lang w:eastAsia="en-AU"/>
              </w:rPr>
            </w:pPr>
            <w:r w:rsidRPr="00025906">
              <w:rPr>
                <w:color w:val="000000"/>
                <w:lang w:eastAsia="en-AU"/>
              </w:rPr>
              <w:t>6.5</w:t>
            </w:r>
          </w:p>
        </w:tc>
        <w:tc>
          <w:tcPr>
            <w:tcW w:w="932" w:type="pct"/>
            <w:shd w:val="clear" w:color="auto" w:fill="auto"/>
            <w:vAlign w:val="center"/>
          </w:tcPr>
          <w:p w:rsidR="0095055D" w:rsidRPr="00D322A0" w:rsidRDefault="0095055D" w:rsidP="00015F0E">
            <w:pPr>
              <w:pStyle w:val="TableText0"/>
              <w:jc w:val="center"/>
              <w:rPr>
                <w:lang w:eastAsia="en-AU"/>
              </w:rPr>
            </w:pPr>
            <w:r w:rsidRPr="00D322A0">
              <w:rPr>
                <w:lang w:eastAsia="en-AU"/>
              </w:rPr>
              <w:t>0.60</w:t>
            </w:r>
          </w:p>
          <w:p w:rsidR="0095055D" w:rsidRPr="00D322A0" w:rsidRDefault="0095055D" w:rsidP="00015F0E">
            <w:pPr>
              <w:pStyle w:val="TableText0"/>
              <w:jc w:val="center"/>
              <w:rPr>
                <w:lang w:eastAsia="en-AU"/>
              </w:rPr>
            </w:pPr>
            <w:r w:rsidRPr="00D322A0">
              <w:rPr>
                <w:lang w:eastAsia="en-AU"/>
              </w:rPr>
              <w:t>(0.37, 0.97)</w:t>
            </w:r>
          </w:p>
        </w:tc>
      </w:tr>
      <w:tr w:rsidR="0095055D" w:rsidRPr="008F1215" w:rsidTr="00AF11A9">
        <w:trPr>
          <w:trHeight w:val="20"/>
        </w:trPr>
        <w:tc>
          <w:tcPr>
            <w:tcW w:w="5000" w:type="pct"/>
            <w:gridSpan w:val="5"/>
            <w:tcBorders>
              <w:top w:val="double" w:sz="4" w:space="0" w:color="auto"/>
            </w:tcBorders>
            <w:shd w:val="clear" w:color="auto" w:fill="auto"/>
            <w:vAlign w:val="center"/>
          </w:tcPr>
          <w:p w:rsidR="0095055D" w:rsidRPr="00025906" w:rsidRDefault="00015F0E" w:rsidP="00A36DD4">
            <w:pPr>
              <w:pStyle w:val="TableText0"/>
              <w:rPr>
                <w:b/>
                <w:color w:val="000000"/>
                <w:highlight w:val="yellow"/>
                <w:lang w:eastAsia="en-AU"/>
              </w:rPr>
            </w:pPr>
            <w:r>
              <w:rPr>
                <w:b/>
                <w:color w:val="000000"/>
                <w:lang w:eastAsia="en-AU"/>
              </w:rPr>
              <w:t>Harms</w:t>
            </w:r>
          </w:p>
        </w:tc>
      </w:tr>
      <w:tr w:rsidR="0095055D" w:rsidRPr="008F1215" w:rsidTr="00AF11A9">
        <w:trPr>
          <w:trHeight w:val="20"/>
        </w:trPr>
        <w:tc>
          <w:tcPr>
            <w:tcW w:w="5000" w:type="pct"/>
            <w:gridSpan w:val="5"/>
            <w:shd w:val="clear" w:color="auto" w:fill="auto"/>
            <w:vAlign w:val="center"/>
          </w:tcPr>
          <w:p w:rsidR="0095055D" w:rsidRPr="00025906" w:rsidRDefault="0095055D" w:rsidP="00A36DD4">
            <w:pPr>
              <w:pStyle w:val="TableText0"/>
              <w:rPr>
                <w:color w:val="000000"/>
                <w:highlight w:val="yellow"/>
                <w:lang w:eastAsia="en-AU"/>
              </w:rPr>
            </w:pPr>
            <w:r w:rsidRPr="00025906">
              <w:rPr>
                <w:color w:val="000000"/>
                <w:lang w:eastAsia="en-AU"/>
              </w:rPr>
              <w:t xml:space="preserve">The submission concluded that the safety profiles of pembrolizumab and </w:t>
            </w:r>
            <w:proofErr w:type="spellStart"/>
            <w:r w:rsidRPr="00025906">
              <w:rPr>
                <w:color w:val="000000"/>
                <w:lang w:eastAsia="en-AU"/>
              </w:rPr>
              <w:t>pemetrexed</w:t>
            </w:r>
            <w:proofErr w:type="spellEnd"/>
            <w:r w:rsidRPr="00025906">
              <w:rPr>
                <w:color w:val="000000"/>
                <w:lang w:eastAsia="en-AU"/>
              </w:rPr>
              <w:t xml:space="preserve"> were comparable (no meaningful statistical analyse</w:t>
            </w:r>
            <w:r w:rsidR="001310FD">
              <w:rPr>
                <w:color w:val="000000"/>
                <w:lang w:eastAsia="en-AU"/>
              </w:rPr>
              <w:t>s of safety could be conducted).</w:t>
            </w:r>
          </w:p>
        </w:tc>
      </w:tr>
    </w:tbl>
    <w:p w:rsidR="0095055D" w:rsidRPr="004A0C7D" w:rsidRDefault="0056348A" w:rsidP="00AF11A9">
      <w:pPr>
        <w:pStyle w:val="TableFooter"/>
        <w:ind w:left="709"/>
      </w:pPr>
      <w:r>
        <w:t>Median follow-</w:t>
      </w:r>
      <w:r w:rsidR="0095055D" w:rsidRPr="004A0C7D">
        <w:t xml:space="preserve">up for </w:t>
      </w:r>
      <w:r w:rsidR="0095055D">
        <w:t>KN-010</w:t>
      </w:r>
      <w:r w:rsidR="0095055D" w:rsidRPr="004A0C7D">
        <w:t xml:space="preserve"> was 11 months </w:t>
      </w:r>
      <w:r w:rsidR="001310FD">
        <w:t xml:space="preserve">(for the published database cut-off of </w:t>
      </w:r>
      <w:r w:rsidR="001310FD" w:rsidRPr="001310FD">
        <w:t>30 September 2015</w:t>
      </w:r>
      <w:r w:rsidR="001310FD">
        <w:t xml:space="preserve">) </w:t>
      </w:r>
      <w:r w:rsidR="0095055D" w:rsidRPr="004A0C7D">
        <w:t xml:space="preserve">and for </w:t>
      </w:r>
      <w:r w:rsidR="0095055D">
        <w:t>Hanna</w:t>
      </w:r>
      <w:r w:rsidR="0095055D" w:rsidRPr="004A0C7D">
        <w:t xml:space="preserve"> </w:t>
      </w:r>
      <w:r w:rsidR="0095055D">
        <w:t xml:space="preserve">was </w:t>
      </w:r>
      <w:r w:rsidR="0095055D" w:rsidRPr="004A0C7D">
        <w:t>7.5 months</w:t>
      </w:r>
    </w:p>
    <w:p w:rsidR="0095055D" w:rsidRPr="004A0C7D" w:rsidRDefault="0095055D" w:rsidP="00AF11A9">
      <w:pPr>
        <w:pStyle w:val="TableFooter"/>
        <w:ind w:left="709"/>
      </w:pPr>
      <w:r w:rsidRPr="004A0C7D">
        <w:t xml:space="preserve">– = median not reached; HR = hazard ratio; </w:t>
      </w:r>
      <w:proofErr w:type="spellStart"/>
      <w:r w:rsidRPr="004A0C7D">
        <w:t>Pembro</w:t>
      </w:r>
      <w:proofErr w:type="spellEnd"/>
      <w:r w:rsidRPr="004A0C7D">
        <w:t xml:space="preserve"> = pembrolizumab; CI</w:t>
      </w:r>
      <w:r>
        <w:t xml:space="preserve"> </w:t>
      </w:r>
      <w:r w:rsidRPr="004A0C7D">
        <w:t>=</w:t>
      </w:r>
      <w:r>
        <w:t xml:space="preserve"> </w:t>
      </w:r>
      <w:r w:rsidRPr="004A0C7D">
        <w:t>confidence interval; PD-L1</w:t>
      </w:r>
      <w:r>
        <w:t xml:space="preserve"> </w:t>
      </w:r>
      <w:r w:rsidRPr="004A0C7D">
        <w:t>=</w:t>
      </w:r>
      <w:r>
        <w:t xml:space="preserve"> </w:t>
      </w:r>
      <w:r w:rsidRPr="004A0C7D">
        <w:t>programmed death ligand-1</w:t>
      </w:r>
    </w:p>
    <w:p w:rsidR="0095055D" w:rsidRPr="008F1215" w:rsidRDefault="0095055D" w:rsidP="00AF11A9">
      <w:pPr>
        <w:pStyle w:val="TableFooter"/>
        <w:ind w:left="709"/>
      </w:pPr>
      <w:r w:rsidRPr="004A0C7D">
        <w:t>Source: Compiled during the evaluation from effectiveness and safety data presented in the submission</w:t>
      </w:r>
    </w:p>
    <w:p w:rsidR="0095055D" w:rsidRPr="00663733" w:rsidRDefault="0095055D" w:rsidP="006E6043">
      <w:pPr>
        <w:pStyle w:val="ListParagraph"/>
        <w:ind w:left="0" w:firstLine="0"/>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szCs w:val="22"/>
        </w:rPr>
      </w:pPr>
      <w:r w:rsidRPr="009015FA">
        <w:rPr>
          <w:rFonts w:ascii="Arial" w:hAnsi="Arial" w:cs="Arial"/>
          <w:sz w:val="22"/>
        </w:rPr>
        <w:t>On the basis of the indirect evidence presented in the submission, in NSCLC patients of non-squamous histology subtype:</w:t>
      </w:r>
    </w:p>
    <w:p w:rsidR="00AE6FB2" w:rsidRDefault="0095055D" w:rsidP="009C3A29">
      <w:pPr>
        <w:pStyle w:val="ListParagraph"/>
        <w:numPr>
          <w:ilvl w:val="0"/>
          <w:numId w:val="11"/>
        </w:numPr>
        <w:ind w:left="1276" w:hanging="425"/>
        <w:rPr>
          <w:rFonts w:ascii="Arial" w:hAnsi="Arial" w:cs="Arial"/>
          <w:sz w:val="22"/>
        </w:rPr>
      </w:pPr>
      <w:r w:rsidRPr="009015FA">
        <w:rPr>
          <w:rFonts w:ascii="Arial" w:hAnsi="Arial" w:cs="Arial"/>
          <w:sz w:val="22"/>
        </w:rPr>
        <w:t>Patients with evidence of a high PD-L1 expression (TPS ≥50%) and who are treated with pembrolizumab will experience a 40% reduced risk of death compared to patients with unknown PD-L1 stat</w:t>
      </w:r>
      <w:r w:rsidR="00AE6FB2">
        <w:rPr>
          <w:rFonts w:ascii="Arial" w:hAnsi="Arial" w:cs="Arial"/>
          <w:sz w:val="22"/>
        </w:rPr>
        <w:t xml:space="preserve">us and treated with </w:t>
      </w:r>
      <w:proofErr w:type="spellStart"/>
      <w:r w:rsidR="00AE6FB2">
        <w:rPr>
          <w:rFonts w:ascii="Arial" w:hAnsi="Arial" w:cs="Arial"/>
          <w:sz w:val="22"/>
        </w:rPr>
        <w:t>pemetrexed</w:t>
      </w:r>
      <w:proofErr w:type="spellEnd"/>
      <w:r w:rsidR="00AE6FB2">
        <w:rPr>
          <w:rFonts w:ascii="Arial" w:hAnsi="Arial" w:cs="Arial"/>
          <w:sz w:val="22"/>
        </w:rPr>
        <w:t>.</w:t>
      </w:r>
    </w:p>
    <w:p w:rsidR="00AE6FB2" w:rsidRDefault="0095055D" w:rsidP="009C3A29">
      <w:pPr>
        <w:pStyle w:val="ListParagraph"/>
        <w:numPr>
          <w:ilvl w:val="0"/>
          <w:numId w:val="11"/>
        </w:numPr>
        <w:ind w:left="1276" w:hanging="425"/>
        <w:rPr>
          <w:rFonts w:ascii="Arial" w:hAnsi="Arial" w:cs="Arial"/>
          <w:sz w:val="22"/>
        </w:rPr>
      </w:pPr>
      <w:r w:rsidRPr="009015FA">
        <w:rPr>
          <w:rFonts w:ascii="Arial" w:hAnsi="Arial" w:cs="Arial"/>
          <w:sz w:val="22"/>
        </w:rPr>
        <w:t>Safety is expected to be fairly similar between the two treatme</w:t>
      </w:r>
      <w:r w:rsidRPr="00675587">
        <w:rPr>
          <w:rFonts w:ascii="Arial" w:hAnsi="Arial" w:cs="Arial"/>
          <w:sz w:val="22"/>
        </w:rPr>
        <w:t>nts.</w:t>
      </w:r>
      <w:r w:rsidR="009822C1" w:rsidRPr="00675587">
        <w:rPr>
          <w:rFonts w:ascii="Arial" w:hAnsi="Arial" w:cs="Arial"/>
          <w:sz w:val="22"/>
        </w:rPr>
        <w:t xml:space="preserve"> </w:t>
      </w:r>
    </w:p>
    <w:p w:rsidR="0095055D" w:rsidRPr="009015FA" w:rsidRDefault="009822C1" w:rsidP="00AE6FB2">
      <w:pPr>
        <w:pStyle w:val="ListParagraph"/>
        <w:ind w:left="720" w:firstLine="0"/>
        <w:rPr>
          <w:rFonts w:ascii="Arial" w:hAnsi="Arial" w:cs="Arial"/>
          <w:sz w:val="22"/>
        </w:rPr>
      </w:pPr>
      <w:r w:rsidRPr="00675587">
        <w:rPr>
          <w:rFonts w:ascii="Arial" w:hAnsi="Arial" w:cs="Arial"/>
          <w:sz w:val="22"/>
        </w:rPr>
        <w:t>The ESC</w:t>
      </w:r>
      <w:r w:rsidR="00F01BA7" w:rsidRPr="00675587">
        <w:rPr>
          <w:rFonts w:ascii="Arial" w:hAnsi="Arial" w:cs="Arial"/>
          <w:sz w:val="22"/>
        </w:rPr>
        <w:t>s</w:t>
      </w:r>
      <w:r w:rsidRPr="00675587">
        <w:rPr>
          <w:rFonts w:ascii="Arial" w:hAnsi="Arial" w:cs="Arial"/>
          <w:sz w:val="22"/>
        </w:rPr>
        <w:t xml:space="preserve"> considered that</w:t>
      </w:r>
      <w:r w:rsidR="00663733" w:rsidRPr="00675587">
        <w:rPr>
          <w:rFonts w:ascii="Arial" w:hAnsi="Arial" w:cs="Arial"/>
          <w:sz w:val="22"/>
        </w:rPr>
        <w:t>,</w:t>
      </w:r>
      <w:r w:rsidRPr="00675587">
        <w:rPr>
          <w:rFonts w:ascii="Arial" w:hAnsi="Arial" w:cs="Arial"/>
          <w:sz w:val="22"/>
        </w:rPr>
        <w:t xml:space="preserve"> due to the methodological issues in the indirect comparison, these results could not </w:t>
      </w:r>
      <w:r w:rsidR="00663733" w:rsidRPr="00675587">
        <w:rPr>
          <w:rFonts w:ascii="Arial" w:hAnsi="Arial" w:cs="Arial"/>
          <w:sz w:val="22"/>
        </w:rPr>
        <w:t>be interpreted with confidence.</w:t>
      </w:r>
    </w:p>
    <w:p w:rsidR="001A373C" w:rsidRPr="001A373C" w:rsidRDefault="001A373C" w:rsidP="004B427D">
      <w:bookmarkStart w:id="29" w:name="_Toc439845559"/>
      <w:bookmarkStart w:id="30" w:name="_Toc461627091"/>
    </w:p>
    <w:p w:rsidR="0014359C" w:rsidRDefault="0014359C" w:rsidP="001A373C">
      <w:pPr>
        <w:pStyle w:val="Heading2"/>
        <w:keepNext w:val="0"/>
        <w:spacing w:before="0" w:beforeAutospacing="0" w:after="0" w:afterAutospacing="0"/>
        <w:rPr>
          <w:rFonts w:ascii="Arial" w:hAnsi="Arial" w:cs="Arial"/>
          <w:b/>
          <w:sz w:val="22"/>
          <w:szCs w:val="22"/>
        </w:rPr>
      </w:pPr>
      <w:r w:rsidRPr="008A2B3C">
        <w:rPr>
          <w:rFonts w:ascii="Arial" w:hAnsi="Arial" w:cs="Arial"/>
          <w:b/>
          <w:sz w:val="22"/>
          <w:szCs w:val="22"/>
        </w:rPr>
        <w:t>Clinical claim</w:t>
      </w:r>
      <w:bookmarkEnd w:id="29"/>
    </w:p>
    <w:p w:rsidR="001A373C" w:rsidRPr="001A373C" w:rsidRDefault="001A373C" w:rsidP="004B427D"/>
    <w:bookmarkEnd w:id="28"/>
    <w:bookmarkEnd w:id="30"/>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b/>
          <w:sz w:val="22"/>
        </w:rPr>
        <w:t>Squamous NSCLC with TPS ≥50% PD-L1:</w:t>
      </w:r>
      <w:r w:rsidRPr="009015FA">
        <w:rPr>
          <w:rFonts w:ascii="Arial" w:hAnsi="Arial" w:cs="Arial"/>
          <w:sz w:val="22"/>
        </w:rPr>
        <w:t xml:space="preserve"> The submission described pembrolizumab as superior in terms of comparative effectiveness and superior in terms of comparative safety over </w:t>
      </w:r>
      <w:proofErr w:type="spellStart"/>
      <w:r w:rsidRPr="009015FA">
        <w:rPr>
          <w:rFonts w:ascii="Arial" w:hAnsi="Arial" w:cs="Arial"/>
          <w:sz w:val="22"/>
        </w:rPr>
        <w:t>docetaxel</w:t>
      </w:r>
      <w:proofErr w:type="spellEnd"/>
      <w:r w:rsidRPr="009015FA">
        <w:rPr>
          <w:rFonts w:ascii="Arial" w:hAnsi="Arial" w:cs="Arial"/>
          <w:sz w:val="22"/>
        </w:rPr>
        <w:t xml:space="preserve">. This claim </w:t>
      </w:r>
      <w:r w:rsidR="00795D64">
        <w:rPr>
          <w:rFonts w:ascii="Arial" w:hAnsi="Arial" w:cs="Arial"/>
          <w:sz w:val="22"/>
        </w:rPr>
        <w:t>wa</w:t>
      </w:r>
      <w:r w:rsidRPr="009015FA">
        <w:rPr>
          <w:rFonts w:ascii="Arial" w:hAnsi="Arial" w:cs="Arial"/>
          <w:sz w:val="22"/>
        </w:rPr>
        <w:t>s not adequately supported:</w:t>
      </w:r>
    </w:p>
    <w:p w:rsidR="0095055D" w:rsidRPr="009015FA" w:rsidRDefault="0095055D" w:rsidP="009C3A29">
      <w:pPr>
        <w:pStyle w:val="ListParagraph"/>
        <w:numPr>
          <w:ilvl w:val="0"/>
          <w:numId w:val="12"/>
        </w:numPr>
        <w:ind w:left="1134" w:hanging="371"/>
        <w:rPr>
          <w:rFonts w:ascii="Arial" w:hAnsi="Arial" w:cs="Arial"/>
          <w:sz w:val="22"/>
        </w:rPr>
      </w:pPr>
      <w:r w:rsidRPr="009015FA">
        <w:rPr>
          <w:rFonts w:ascii="Arial" w:hAnsi="Arial" w:cs="Arial"/>
          <w:sz w:val="22"/>
        </w:rPr>
        <w:t>The effectiveness results for the small squamous subgroup were inconclusive. The submission’s approach to include non-squamous data conflict</w:t>
      </w:r>
      <w:r w:rsidR="00956B85" w:rsidRPr="009015FA">
        <w:rPr>
          <w:rFonts w:ascii="Arial" w:hAnsi="Arial" w:cs="Arial"/>
          <w:sz w:val="22"/>
        </w:rPr>
        <w:t>ed</w:t>
      </w:r>
      <w:r w:rsidRPr="009015FA">
        <w:rPr>
          <w:rFonts w:ascii="Arial" w:hAnsi="Arial" w:cs="Arial"/>
          <w:sz w:val="22"/>
        </w:rPr>
        <w:t xml:space="preserve"> with evidence suggesting clinical heterogeneity in the OS results across these histology subgroups. A further justification provided in the submission for effectiveness in the squamous NSCLC was that “It is worthwhile noting that a study with another PD-L1 inhibitor, </w:t>
      </w:r>
      <w:proofErr w:type="spellStart"/>
      <w:r w:rsidRPr="009015FA">
        <w:rPr>
          <w:rFonts w:ascii="Arial" w:hAnsi="Arial" w:cs="Arial"/>
          <w:sz w:val="22"/>
        </w:rPr>
        <w:t>nivolumab</w:t>
      </w:r>
      <w:proofErr w:type="spellEnd"/>
      <w:r w:rsidRPr="009015FA">
        <w:rPr>
          <w:rFonts w:ascii="Arial" w:hAnsi="Arial" w:cs="Arial"/>
          <w:sz w:val="22"/>
        </w:rPr>
        <w:t xml:space="preserve">, did demonstrate an overall survival benefit in a population with NSCLC of squamous histology…and an indirect comparison of </w:t>
      </w:r>
      <w:proofErr w:type="spellStart"/>
      <w:r w:rsidRPr="009015FA">
        <w:rPr>
          <w:rFonts w:ascii="Arial" w:hAnsi="Arial" w:cs="Arial"/>
          <w:sz w:val="22"/>
        </w:rPr>
        <w:t>nivolumab</w:t>
      </w:r>
      <w:proofErr w:type="spellEnd"/>
      <w:r w:rsidRPr="009015FA">
        <w:rPr>
          <w:rFonts w:ascii="Arial" w:hAnsi="Arial" w:cs="Arial"/>
          <w:sz w:val="22"/>
        </w:rPr>
        <w:t xml:space="preserve"> and pembrolizumab found that these drugs are non-inferior in terms of efficacy”.</w:t>
      </w:r>
    </w:p>
    <w:p w:rsidR="0095055D" w:rsidRPr="00B8485A" w:rsidRDefault="0095055D" w:rsidP="009C3A29">
      <w:pPr>
        <w:pStyle w:val="ListParagraph"/>
        <w:numPr>
          <w:ilvl w:val="0"/>
          <w:numId w:val="12"/>
        </w:numPr>
        <w:ind w:left="1134" w:hanging="371"/>
        <w:rPr>
          <w:rFonts w:ascii="Arial" w:hAnsi="Arial" w:cs="Arial"/>
          <w:sz w:val="22"/>
          <w:u w:val="single"/>
        </w:rPr>
      </w:pPr>
      <w:r w:rsidRPr="009015FA">
        <w:rPr>
          <w:rFonts w:ascii="Arial" w:hAnsi="Arial" w:cs="Arial"/>
          <w:sz w:val="22"/>
        </w:rPr>
        <w:t xml:space="preserve">For safety, pembrolizumab appeared to be superior in terms of ≥ Grade 3 AEs and specifically hematologic AEs associated with </w:t>
      </w:r>
      <w:proofErr w:type="spellStart"/>
      <w:r w:rsidRPr="009015FA">
        <w:rPr>
          <w:rFonts w:ascii="Arial" w:hAnsi="Arial" w:cs="Arial"/>
          <w:sz w:val="22"/>
        </w:rPr>
        <w:t>docetaxel</w:t>
      </w:r>
      <w:proofErr w:type="spellEnd"/>
      <w:r w:rsidRPr="009015FA">
        <w:rPr>
          <w:rFonts w:ascii="Arial" w:hAnsi="Arial" w:cs="Arial"/>
          <w:sz w:val="22"/>
        </w:rPr>
        <w:t>. However one would expect immune-related AEs to be higher in clinical practice than what was observed in a trial setting.</w:t>
      </w:r>
    </w:p>
    <w:p w:rsidR="00B8485A" w:rsidRDefault="00B8485A" w:rsidP="00663733">
      <w:pPr>
        <w:pStyle w:val="ListParagraph"/>
        <w:ind w:left="0" w:firstLine="0"/>
        <w:rPr>
          <w:rFonts w:ascii="Arial" w:hAnsi="Arial" w:cs="Arial"/>
          <w:sz w:val="22"/>
        </w:rPr>
      </w:pPr>
    </w:p>
    <w:p w:rsidR="00B8485A" w:rsidRPr="00675587" w:rsidRDefault="00B8485A" w:rsidP="009C3A29">
      <w:pPr>
        <w:pStyle w:val="ListParagraph"/>
        <w:numPr>
          <w:ilvl w:val="1"/>
          <w:numId w:val="3"/>
        </w:numPr>
        <w:ind w:left="720"/>
        <w:rPr>
          <w:rFonts w:ascii="Arial" w:hAnsi="Arial" w:cs="Arial"/>
          <w:sz w:val="22"/>
        </w:rPr>
      </w:pPr>
      <w:r w:rsidRPr="00675587">
        <w:rPr>
          <w:rFonts w:ascii="Arial" w:hAnsi="Arial" w:cs="Arial"/>
          <w:sz w:val="22"/>
        </w:rPr>
        <w:t>The PSCR</w:t>
      </w:r>
      <w:r w:rsidR="005C45C9" w:rsidRPr="00675587">
        <w:rPr>
          <w:rFonts w:ascii="Arial" w:hAnsi="Arial" w:cs="Arial"/>
          <w:sz w:val="22"/>
        </w:rPr>
        <w:t xml:space="preserve"> </w:t>
      </w:r>
      <w:r w:rsidR="00663733" w:rsidRPr="00675587">
        <w:rPr>
          <w:rFonts w:ascii="Arial" w:hAnsi="Arial" w:cs="Arial"/>
          <w:sz w:val="22"/>
        </w:rPr>
        <w:t xml:space="preserve">(p4) </w:t>
      </w:r>
      <w:r w:rsidR="005C45C9" w:rsidRPr="00675587">
        <w:rPr>
          <w:rFonts w:ascii="Arial" w:hAnsi="Arial" w:cs="Arial"/>
          <w:sz w:val="22"/>
        </w:rPr>
        <w:t xml:space="preserve">claimed that the totality of evidence with PD-1 inhibitors (such as </w:t>
      </w:r>
      <w:proofErr w:type="spellStart"/>
      <w:r w:rsidR="005C45C9" w:rsidRPr="00675587">
        <w:rPr>
          <w:rFonts w:ascii="Arial" w:hAnsi="Arial" w:cs="Arial"/>
          <w:sz w:val="22"/>
        </w:rPr>
        <w:t>nivolumab</w:t>
      </w:r>
      <w:proofErr w:type="spellEnd"/>
      <w:r w:rsidR="005C45C9" w:rsidRPr="00675587">
        <w:rPr>
          <w:rFonts w:ascii="Arial" w:hAnsi="Arial" w:cs="Arial"/>
          <w:sz w:val="22"/>
        </w:rPr>
        <w:t xml:space="preserve">) supported a clinical benefit compared to </w:t>
      </w:r>
      <w:proofErr w:type="spellStart"/>
      <w:r w:rsidR="005C45C9" w:rsidRPr="00675587">
        <w:rPr>
          <w:rFonts w:ascii="Arial" w:hAnsi="Arial" w:cs="Arial"/>
          <w:sz w:val="22"/>
        </w:rPr>
        <w:t>docetaxel</w:t>
      </w:r>
      <w:proofErr w:type="spellEnd"/>
      <w:r w:rsidR="005C45C9" w:rsidRPr="00675587">
        <w:rPr>
          <w:rFonts w:ascii="Arial" w:hAnsi="Arial" w:cs="Arial"/>
          <w:sz w:val="22"/>
        </w:rPr>
        <w:t xml:space="preserve"> in squamous patients. The ESC</w:t>
      </w:r>
      <w:r w:rsidR="00F01BA7" w:rsidRPr="00675587">
        <w:rPr>
          <w:rFonts w:ascii="Arial" w:hAnsi="Arial" w:cs="Arial"/>
          <w:sz w:val="22"/>
        </w:rPr>
        <w:t>s</w:t>
      </w:r>
      <w:r w:rsidR="005C45C9" w:rsidRPr="00675587">
        <w:rPr>
          <w:rFonts w:ascii="Arial" w:hAnsi="Arial" w:cs="Arial"/>
          <w:sz w:val="22"/>
        </w:rPr>
        <w:t xml:space="preserve"> considered that this claim of class effect was not supported by adequate clinical evidence</w:t>
      </w:r>
      <w:r w:rsidR="00663733" w:rsidRPr="00675587">
        <w:rPr>
          <w:rFonts w:ascii="Arial" w:hAnsi="Arial" w:cs="Arial"/>
          <w:sz w:val="22"/>
        </w:rPr>
        <w:t>.</w:t>
      </w:r>
    </w:p>
    <w:p w:rsidR="0095055D" w:rsidRPr="009015FA" w:rsidRDefault="0095055D" w:rsidP="006E6043">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eastAsia="Calibri" w:hAnsi="Arial" w:cs="Arial"/>
          <w:b/>
          <w:sz w:val="22"/>
        </w:rPr>
        <w:t>Non-squamous NSCLC with TPS ≥50% PD-L1:</w:t>
      </w:r>
      <w:r w:rsidRPr="009015FA">
        <w:rPr>
          <w:rFonts w:ascii="Arial" w:eastAsia="Calibri" w:hAnsi="Arial" w:cs="Arial"/>
          <w:b/>
          <w:sz w:val="20"/>
          <w:szCs w:val="22"/>
        </w:rPr>
        <w:t xml:space="preserve"> </w:t>
      </w:r>
      <w:r w:rsidRPr="009015FA">
        <w:rPr>
          <w:rFonts w:ascii="Arial" w:hAnsi="Arial" w:cs="Arial"/>
          <w:sz w:val="22"/>
        </w:rPr>
        <w:t xml:space="preserve">The submission described pembrolizumab as superior in terms of comparative effectiveness and non-inferior in terms of comparative safety over </w:t>
      </w:r>
      <w:proofErr w:type="spellStart"/>
      <w:r w:rsidRPr="009015FA">
        <w:rPr>
          <w:rFonts w:ascii="Arial" w:hAnsi="Arial" w:cs="Arial"/>
          <w:sz w:val="22"/>
        </w:rPr>
        <w:t>pemetrexed</w:t>
      </w:r>
      <w:proofErr w:type="spellEnd"/>
      <w:r w:rsidRPr="009015FA">
        <w:rPr>
          <w:rFonts w:ascii="Arial" w:hAnsi="Arial" w:cs="Arial"/>
          <w:sz w:val="22"/>
        </w:rPr>
        <w:t xml:space="preserve">. This claim </w:t>
      </w:r>
      <w:r w:rsidR="00795D64">
        <w:rPr>
          <w:rFonts w:ascii="Arial" w:hAnsi="Arial" w:cs="Arial"/>
          <w:sz w:val="22"/>
        </w:rPr>
        <w:t>wa</w:t>
      </w:r>
      <w:r w:rsidRPr="009015FA">
        <w:rPr>
          <w:rFonts w:ascii="Arial" w:hAnsi="Arial" w:cs="Arial"/>
          <w:sz w:val="22"/>
        </w:rPr>
        <w:t>s not adequately supported. The evidence was based on an indirect comparison with transitivity and methodological issues. The safety profiles appear different although direct data are required to be conclusive.</w:t>
      </w:r>
    </w:p>
    <w:p w:rsidR="00AC2A2D" w:rsidRDefault="00AC2A2D" w:rsidP="001A373C">
      <w:pPr>
        <w:pStyle w:val="ListParagraph"/>
        <w:ind w:left="0" w:firstLine="0"/>
        <w:rPr>
          <w:rFonts w:ascii="Arial" w:hAnsi="Arial" w:cs="Arial"/>
          <w:sz w:val="22"/>
        </w:rPr>
      </w:pPr>
    </w:p>
    <w:p w:rsidR="00AA32A7" w:rsidRPr="007C0C99" w:rsidRDefault="00AC2A2D" w:rsidP="009C3A29">
      <w:pPr>
        <w:pStyle w:val="ListParagraph"/>
        <w:numPr>
          <w:ilvl w:val="1"/>
          <w:numId w:val="3"/>
        </w:numPr>
        <w:ind w:left="720"/>
        <w:rPr>
          <w:rFonts w:ascii="Arial" w:hAnsi="Arial" w:cs="Arial"/>
          <w:bCs/>
          <w:sz w:val="22"/>
        </w:rPr>
      </w:pPr>
      <w:r w:rsidRPr="00262335">
        <w:rPr>
          <w:rFonts w:ascii="Arial" w:hAnsi="Arial" w:cs="Arial"/>
          <w:bCs/>
          <w:sz w:val="22"/>
          <w:szCs w:val="22"/>
        </w:rPr>
        <w:t>The PBAC considered that the claim of superior comparative effectiveness</w:t>
      </w:r>
      <w:r w:rsidR="00262335" w:rsidRPr="00262335">
        <w:rPr>
          <w:rFonts w:ascii="Arial" w:hAnsi="Arial" w:cs="Arial"/>
          <w:bCs/>
          <w:sz w:val="22"/>
          <w:szCs w:val="22"/>
        </w:rPr>
        <w:t xml:space="preserve"> of pembrolizumab over </w:t>
      </w:r>
      <w:proofErr w:type="spellStart"/>
      <w:r w:rsidR="00262335" w:rsidRPr="00262335">
        <w:rPr>
          <w:rFonts w:ascii="Arial" w:hAnsi="Arial" w:cs="Arial"/>
          <w:bCs/>
          <w:sz w:val="22"/>
          <w:szCs w:val="22"/>
        </w:rPr>
        <w:t>docetaxel</w:t>
      </w:r>
      <w:proofErr w:type="spellEnd"/>
      <w:r w:rsidR="00262335" w:rsidRPr="00262335">
        <w:rPr>
          <w:rFonts w:ascii="Arial" w:hAnsi="Arial" w:cs="Arial"/>
          <w:bCs/>
          <w:sz w:val="22"/>
          <w:szCs w:val="22"/>
        </w:rPr>
        <w:t xml:space="preserve"> and </w:t>
      </w:r>
      <w:proofErr w:type="spellStart"/>
      <w:r w:rsidR="00262335" w:rsidRPr="00262335">
        <w:rPr>
          <w:rFonts w:ascii="Arial" w:hAnsi="Arial" w:cs="Arial"/>
          <w:bCs/>
          <w:sz w:val="22"/>
          <w:szCs w:val="22"/>
        </w:rPr>
        <w:t>pemetrexed</w:t>
      </w:r>
      <w:proofErr w:type="spellEnd"/>
      <w:r w:rsidR="00262335" w:rsidRPr="00262335">
        <w:rPr>
          <w:rFonts w:ascii="Arial" w:hAnsi="Arial" w:cs="Arial"/>
          <w:bCs/>
          <w:sz w:val="22"/>
          <w:szCs w:val="22"/>
        </w:rPr>
        <w:t xml:space="preserve"> </w:t>
      </w:r>
      <w:r w:rsidRPr="00262335">
        <w:rPr>
          <w:rFonts w:ascii="Arial" w:hAnsi="Arial" w:cs="Arial"/>
          <w:bCs/>
          <w:sz w:val="22"/>
          <w:szCs w:val="22"/>
        </w:rPr>
        <w:t>was reasonable</w:t>
      </w:r>
      <w:r w:rsidR="001A373C">
        <w:rPr>
          <w:rFonts w:ascii="Arial" w:hAnsi="Arial" w:cs="Arial"/>
          <w:bCs/>
          <w:sz w:val="22"/>
          <w:szCs w:val="22"/>
        </w:rPr>
        <w:t xml:space="preserve">, </w:t>
      </w:r>
      <w:r w:rsidR="001A373C" w:rsidRPr="007C0C99">
        <w:rPr>
          <w:rFonts w:ascii="Arial" w:hAnsi="Arial" w:cs="Arial"/>
          <w:bCs/>
          <w:sz w:val="22"/>
          <w:szCs w:val="22"/>
        </w:rPr>
        <w:t>but</w:t>
      </w:r>
      <w:r w:rsidR="00EB7601">
        <w:rPr>
          <w:rFonts w:ascii="Arial" w:hAnsi="Arial" w:cs="Arial"/>
          <w:bCs/>
          <w:sz w:val="22"/>
          <w:szCs w:val="22"/>
        </w:rPr>
        <w:t xml:space="preserve"> noted</w:t>
      </w:r>
      <w:r w:rsidR="001A373C" w:rsidRPr="007C0C99">
        <w:rPr>
          <w:rFonts w:ascii="Arial" w:hAnsi="Arial" w:cs="Arial"/>
          <w:bCs/>
          <w:sz w:val="22"/>
          <w:szCs w:val="22"/>
        </w:rPr>
        <w:t xml:space="preserve"> that the claim of superior comparative effectiveness of pembrolizumab over </w:t>
      </w:r>
      <w:proofErr w:type="spellStart"/>
      <w:r w:rsidR="001A373C" w:rsidRPr="007C0C99">
        <w:rPr>
          <w:rFonts w:ascii="Arial" w:hAnsi="Arial" w:cs="Arial"/>
          <w:bCs/>
          <w:sz w:val="22"/>
          <w:szCs w:val="22"/>
        </w:rPr>
        <w:t>pemetrexed</w:t>
      </w:r>
      <w:proofErr w:type="spellEnd"/>
      <w:r w:rsidR="001A373C" w:rsidRPr="007C0C99">
        <w:rPr>
          <w:rFonts w:ascii="Arial" w:hAnsi="Arial" w:cs="Arial"/>
          <w:bCs/>
          <w:sz w:val="22"/>
          <w:szCs w:val="22"/>
        </w:rPr>
        <w:t xml:space="preserve"> </w:t>
      </w:r>
      <w:r w:rsidR="00EB7601">
        <w:rPr>
          <w:rFonts w:ascii="Arial" w:hAnsi="Arial" w:cs="Arial"/>
          <w:bCs/>
          <w:sz w:val="22"/>
          <w:szCs w:val="22"/>
        </w:rPr>
        <w:t xml:space="preserve">also </w:t>
      </w:r>
      <w:r w:rsidR="00BC52CC" w:rsidRPr="007C0C99">
        <w:rPr>
          <w:rFonts w:ascii="Arial" w:hAnsi="Arial" w:cs="Arial"/>
          <w:bCs/>
          <w:sz w:val="22"/>
          <w:szCs w:val="22"/>
        </w:rPr>
        <w:t xml:space="preserve">relied on accepting the superior effectiveness of pembrolizumab in the </w:t>
      </w:r>
      <w:r w:rsidR="00BC52CC" w:rsidRPr="007C0C99">
        <w:rPr>
          <w:rFonts w:ascii="Arial" w:eastAsia="Calibri" w:hAnsi="Arial" w:cs="Arial"/>
          <w:sz w:val="22"/>
        </w:rPr>
        <w:t>TPS ≥50% subgroup over the full ITT population in the pembrolizumab trial</w:t>
      </w:r>
      <w:r w:rsidR="00AF6689" w:rsidRPr="007C0C99">
        <w:rPr>
          <w:rFonts w:ascii="Arial" w:hAnsi="Arial" w:cs="Arial"/>
          <w:bCs/>
          <w:sz w:val="22"/>
          <w:szCs w:val="22"/>
        </w:rPr>
        <w:t xml:space="preserve">. </w:t>
      </w:r>
      <w:r w:rsidR="00AA32A7" w:rsidRPr="007C0C99">
        <w:rPr>
          <w:rFonts w:ascii="Arial" w:hAnsi="Arial" w:cs="Arial"/>
          <w:bCs/>
          <w:sz w:val="22"/>
          <w:szCs w:val="22"/>
        </w:rPr>
        <w:t>The PBAC also considered that the effectiveness of pembrolizumab was likely to be:</w:t>
      </w:r>
    </w:p>
    <w:p w:rsidR="00AA32A7" w:rsidRPr="00AF11A9" w:rsidRDefault="00AA32A7" w:rsidP="009C3A29">
      <w:pPr>
        <w:pStyle w:val="ListParagraph"/>
        <w:numPr>
          <w:ilvl w:val="0"/>
          <w:numId w:val="13"/>
        </w:numPr>
        <w:ind w:left="1276" w:hanging="425"/>
        <w:rPr>
          <w:rFonts w:ascii="Arial" w:hAnsi="Arial" w:cs="Arial"/>
          <w:snapToGrid w:val="0"/>
          <w:sz w:val="22"/>
          <w:szCs w:val="20"/>
        </w:rPr>
      </w:pPr>
      <w:r w:rsidRPr="00AF11A9">
        <w:rPr>
          <w:rFonts w:ascii="Arial" w:hAnsi="Arial" w:cs="Arial"/>
          <w:snapToGrid w:val="0"/>
          <w:sz w:val="22"/>
          <w:szCs w:val="20"/>
        </w:rPr>
        <w:t>similar for squamous and non-squamous NSCLC</w:t>
      </w:r>
    </w:p>
    <w:p w:rsidR="00AC2A2D" w:rsidRPr="00AF11A9" w:rsidRDefault="00AA32A7" w:rsidP="009C3A29">
      <w:pPr>
        <w:pStyle w:val="ListParagraph"/>
        <w:numPr>
          <w:ilvl w:val="0"/>
          <w:numId w:val="13"/>
        </w:numPr>
        <w:ind w:left="1276" w:hanging="425"/>
        <w:rPr>
          <w:rFonts w:ascii="Arial" w:hAnsi="Arial" w:cs="Arial"/>
          <w:snapToGrid w:val="0"/>
          <w:sz w:val="22"/>
          <w:szCs w:val="20"/>
        </w:rPr>
      </w:pPr>
      <w:proofErr w:type="gramStart"/>
      <w:r w:rsidRPr="00AF11A9">
        <w:rPr>
          <w:rFonts w:ascii="Arial" w:hAnsi="Arial" w:cs="Arial"/>
          <w:snapToGrid w:val="0"/>
          <w:sz w:val="22"/>
          <w:szCs w:val="20"/>
        </w:rPr>
        <w:t>improved</w:t>
      </w:r>
      <w:proofErr w:type="gramEnd"/>
      <w:r w:rsidRPr="00AF11A9">
        <w:rPr>
          <w:rFonts w:ascii="Arial" w:hAnsi="Arial" w:cs="Arial"/>
          <w:snapToGrid w:val="0"/>
          <w:sz w:val="22"/>
          <w:szCs w:val="20"/>
        </w:rPr>
        <w:t xml:space="preserve"> in patients with greater levels of PD-L1 expression </w:t>
      </w:r>
      <w:r w:rsidR="00B54739" w:rsidRPr="00AF11A9">
        <w:rPr>
          <w:rFonts w:ascii="Arial" w:hAnsi="Arial" w:cs="Arial"/>
          <w:snapToGrid w:val="0"/>
          <w:sz w:val="22"/>
          <w:szCs w:val="20"/>
        </w:rPr>
        <w:t xml:space="preserve">tested </w:t>
      </w:r>
      <w:r w:rsidRPr="00AF11A9">
        <w:rPr>
          <w:rFonts w:ascii="Arial" w:hAnsi="Arial" w:cs="Arial"/>
          <w:snapToGrid w:val="0"/>
          <w:sz w:val="22"/>
          <w:szCs w:val="20"/>
        </w:rPr>
        <w:t>before the start of pembrolizumab therapy</w:t>
      </w:r>
      <w:r w:rsidR="004720F1" w:rsidRPr="00AF11A9">
        <w:rPr>
          <w:rFonts w:ascii="Arial" w:hAnsi="Arial" w:cs="Arial"/>
          <w:snapToGrid w:val="0"/>
          <w:sz w:val="22"/>
          <w:szCs w:val="20"/>
        </w:rPr>
        <w:t>,</w:t>
      </w:r>
      <w:r w:rsidR="00EB7601" w:rsidRPr="00AF11A9">
        <w:rPr>
          <w:rFonts w:ascii="Arial" w:hAnsi="Arial" w:cs="Arial"/>
          <w:snapToGrid w:val="0"/>
          <w:sz w:val="22"/>
          <w:szCs w:val="20"/>
        </w:rPr>
        <w:t xml:space="preserve"> if the variation in </w:t>
      </w:r>
      <w:r w:rsidR="004720F1" w:rsidRPr="00AF11A9">
        <w:rPr>
          <w:rFonts w:ascii="Arial" w:hAnsi="Arial" w:cs="Arial"/>
          <w:snapToGrid w:val="0"/>
          <w:sz w:val="22"/>
          <w:szCs w:val="20"/>
        </w:rPr>
        <w:t xml:space="preserve">treatment </w:t>
      </w:r>
      <w:r w:rsidR="00EB7601" w:rsidRPr="00AF11A9">
        <w:rPr>
          <w:rFonts w:ascii="Arial" w:hAnsi="Arial" w:cs="Arial"/>
          <w:snapToGrid w:val="0"/>
          <w:sz w:val="22"/>
          <w:szCs w:val="20"/>
        </w:rPr>
        <w:t>effect suggested in the trial</w:t>
      </w:r>
      <w:r w:rsidR="004720F1" w:rsidRPr="00AF11A9">
        <w:rPr>
          <w:rFonts w:ascii="Arial" w:hAnsi="Arial" w:cs="Arial"/>
          <w:snapToGrid w:val="0"/>
          <w:sz w:val="22"/>
          <w:szCs w:val="20"/>
        </w:rPr>
        <w:t xml:space="preserve"> can be applied to the Australian context</w:t>
      </w:r>
      <w:r w:rsidRPr="00AF11A9">
        <w:rPr>
          <w:rFonts w:ascii="Arial" w:hAnsi="Arial" w:cs="Arial"/>
          <w:snapToGrid w:val="0"/>
          <w:sz w:val="22"/>
          <w:szCs w:val="20"/>
        </w:rPr>
        <w:t>.</w:t>
      </w:r>
    </w:p>
    <w:p w:rsidR="00AC2A2D" w:rsidRPr="00262335" w:rsidRDefault="00AC2A2D" w:rsidP="001A373C">
      <w:pPr>
        <w:pStyle w:val="ListParagraph"/>
        <w:ind w:left="0" w:firstLine="0"/>
        <w:rPr>
          <w:rFonts w:ascii="Arial" w:hAnsi="Arial" w:cs="Arial"/>
          <w:bCs/>
          <w:sz w:val="22"/>
          <w:szCs w:val="22"/>
        </w:rPr>
      </w:pPr>
    </w:p>
    <w:p w:rsidR="00AC2A2D" w:rsidRPr="00262335" w:rsidRDefault="00AC2A2D" w:rsidP="009C3A29">
      <w:pPr>
        <w:pStyle w:val="ListParagraph"/>
        <w:numPr>
          <w:ilvl w:val="1"/>
          <w:numId w:val="3"/>
        </w:numPr>
        <w:ind w:left="720"/>
        <w:rPr>
          <w:rFonts w:ascii="Arial" w:hAnsi="Arial" w:cs="Arial"/>
          <w:sz w:val="22"/>
          <w:szCs w:val="22"/>
        </w:rPr>
      </w:pPr>
      <w:r w:rsidRPr="00262335">
        <w:rPr>
          <w:rFonts w:ascii="Arial" w:hAnsi="Arial" w:cs="Arial"/>
          <w:sz w:val="22"/>
          <w:szCs w:val="22"/>
        </w:rPr>
        <w:t xml:space="preserve">The PBAC considered that the claim of superior comparative safety </w:t>
      </w:r>
      <w:r w:rsidR="00262335" w:rsidRPr="00262335">
        <w:rPr>
          <w:rFonts w:ascii="Arial" w:hAnsi="Arial" w:cs="Arial"/>
          <w:sz w:val="22"/>
          <w:szCs w:val="22"/>
        </w:rPr>
        <w:t xml:space="preserve">of pembrolizumab over </w:t>
      </w:r>
      <w:proofErr w:type="spellStart"/>
      <w:r w:rsidR="00262335" w:rsidRPr="00262335">
        <w:rPr>
          <w:rFonts w:ascii="Arial" w:hAnsi="Arial" w:cs="Arial"/>
          <w:sz w:val="22"/>
          <w:szCs w:val="22"/>
        </w:rPr>
        <w:t>docetaxel</w:t>
      </w:r>
      <w:proofErr w:type="spellEnd"/>
      <w:r w:rsidR="00262335" w:rsidRPr="00262335">
        <w:rPr>
          <w:rFonts w:ascii="Arial" w:hAnsi="Arial" w:cs="Arial"/>
          <w:sz w:val="22"/>
          <w:szCs w:val="22"/>
        </w:rPr>
        <w:t xml:space="preserve"> and non-inferior comparative safety of pembrolizumab over </w:t>
      </w:r>
      <w:proofErr w:type="spellStart"/>
      <w:r w:rsidR="00262335" w:rsidRPr="00262335">
        <w:rPr>
          <w:rFonts w:ascii="Arial" w:hAnsi="Arial" w:cs="Arial"/>
          <w:sz w:val="22"/>
          <w:szCs w:val="22"/>
        </w:rPr>
        <w:t>pemetrexed</w:t>
      </w:r>
      <w:proofErr w:type="spellEnd"/>
      <w:r w:rsidR="00262335" w:rsidRPr="00262335">
        <w:rPr>
          <w:rFonts w:ascii="Arial" w:hAnsi="Arial" w:cs="Arial"/>
          <w:sz w:val="22"/>
          <w:szCs w:val="22"/>
        </w:rPr>
        <w:t xml:space="preserve"> </w:t>
      </w:r>
      <w:r w:rsidRPr="00262335">
        <w:rPr>
          <w:rFonts w:ascii="Arial" w:hAnsi="Arial" w:cs="Arial"/>
          <w:sz w:val="22"/>
          <w:szCs w:val="22"/>
        </w:rPr>
        <w:t>was reasonable.</w:t>
      </w:r>
    </w:p>
    <w:p w:rsidR="00AC2A2D" w:rsidRPr="009015FA" w:rsidRDefault="00AC2A2D" w:rsidP="001A373C">
      <w:pPr>
        <w:pStyle w:val="ListParagraph"/>
        <w:ind w:left="0" w:firstLine="0"/>
        <w:rPr>
          <w:rFonts w:ascii="Arial" w:hAnsi="Arial" w:cs="Arial"/>
          <w:sz w:val="22"/>
        </w:rPr>
      </w:pPr>
    </w:p>
    <w:p w:rsidR="0014359C" w:rsidRPr="008A2B3C" w:rsidRDefault="0014359C" w:rsidP="001A373C">
      <w:pPr>
        <w:pStyle w:val="Heading2"/>
        <w:keepNext w:val="0"/>
        <w:spacing w:before="0" w:beforeAutospacing="0" w:after="0" w:afterAutospacing="0"/>
        <w:rPr>
          <w:rFonts w:ascii="Arial" w:hAnsi="Arial" w:cs="Arial"/>
          <w:b/>
          <w:sz w:val="22"/>
          <w:szCs w:val="22"/>
        </w:rPr>
      </w:pPr>
      <w:bookmarkStart w:id="31" w:name="_Toc439845560"/>
      <w:bookmarkStart w:id="32" w:name="_Toc431891743"/>
      <w:bookmarkStart w:id="33" w:name="_Toc461627092"/>
      <w:r w:rsidRPr="008A2B3C">
        <w:rPr>
          <w:rFonts w:ascii="Arial" w:hAnsi="Arial" w:cs="Arial"/>
          <w:b/>
          <w:sz w:val="22"/>
          <w:szCs w:val="22"/>
        </w:rPr>
        <w:t>Claim of co-dependence</w:t>
      </w:r>
      <w:bookmarkEnd w:id="31"/>
    </w:p>
    <w:bookmarkEnd w:id="32"/>
    <w:bookmarkEnd w:id="33"/>
    <w:p w:rsidR="001A373C" w:rsidRPr="009015FA" w:rsidRDefault="001A373C" w:rsidP="001A373C">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eastAsia="Calibri" w:hAnsi="Arial" w:cs="Arial"/>
          <w:sz w:val="22"/>
        </w:rPr>
      </w:pPr>
      <w:r w:rsidRPr="009015FA">
        <w:rPr>
          <w:rFonts w:ascii="Arial" w:eastAsia="Calibri" w:hAnsi="Arial" w:cs="Arial"/>
          <w:sz w:val="22"/>
        </w:rPr>
        <w:t xml:space="preserve">The submission presented a claim that treatment guided by PD-L1 status, where PD-L1 strong positives (i.e. TPS ≥50%) are treated with pembrolizumab, and PD-L1 negatives (i.e. TPS &lt;1%) and weakly positives (i.e. TPS 1‒49%) are treated with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or </w:t>
      </w:r>
      <w:proofErr w:type="spellStart"/>
      <w:r w:rsidRPr="009015FA">
        <w:rPr>
          <w:rFonts w:ascii="Arial" w:eastAsia="Calibri" w:hAnsi="Arial" w:cs="Arial"/>
          <w:sz w:val="22"/>
        </w:rPr>
        <w:t>pemetrexed</w:t>
      </w:r>
      <w:proofErr w:type="spellEnd"/>
      <w:r w:rsidRPr="009015FA">
        <w:rPr>
          <w:rFonts w:ascii="Arial" w:eastAsia="Calibri" w:hAnsi="Arial" w:cs="Arial"/>
          <w:sz w:val="22"/>
        </w:rPr>
        <w:t xml:space="preserve">, results in improved outcomes versus the comparator, which is no testing and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or </w:t>
      </w:r>
      <w:proofErr w:type="spellStart"/>
      <w:r w:rsidRPr="009015FA">
        <w:rPr>
          <w:rFonts w:ascii="Arial" w:eastAsia="Calibri" w:hAnsi="Arial" w:cs="Arial"/>
          <w:sz w:val="22"/>
        </w:rPr>
        <w:t>pemetrexed</w:t>
      </w:r>
      <w:proofErr w:type="spellEnd"/>
      <w:r w:rsidRPr="009015FA">
        <w:rPr>
          <w:rFonts w:ascii="Arial" w:eastAsia="Calibri" w:hAnsi="Arial" w:cs="Arial"/>
          <w:sz w:val="22"/>
        </w:rPr>
        <w:t xml:space="preserve"> treatment. This was based on the conclusion that the test is accurate, that there is no prognostic impact of PD-L1 status (therefore patients with TPS ≥50% in the trial treated with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can reasonably approximate an unselected population treated with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that pembrolizumab has improved effectiveness and improved or non-inferior safety, when compared to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or </w:t>
      </w:r>
      <w:proofErr w:type="spellStart"/>
      <w:r w:rsidRPr="009015FA">
        <w:rPr>
          <w:rFonts w:ascii="Arial" w:eastAsia="Calibri" w:hAnsi="Arial" w:cs="Arial"/>
          <w:sz w:val="22"/>
        </w:rPr>
        <w:t>pemetrexed</w:t>
      </w:r>
      <w:proofErr w:type="spellEnd"/>
      <w:r w:rsidRPr="009015FA">
        <w:rPr>
          <w:rFonts w:ascii="Arial" w:eastAsia="Calibri" w:hAnsi="Arial" w:cs="Arial"/>
          <w:sz w:val="22"/>
        </w:rPr>
        <w:t xml:space="preserve"> treatment and that there is a treatment effect modification by PD-L1 status. </w:t>
      </w:r>
      <w:r w:rsidR="00EF59DD">
        <w:rPr>
          <w:rFonts w:ascii="Arial" w:eastAsia="Calibri" w:hAnsi="Arial" w:cs="Arial"/>
          <w:sz w:val="22"/>
        </w:rPr>
        <w:t xml:space="preserve">The PBAC noted </w:t>
      </w:r>
      <w:r w:rsidR="004720F1">
        <w:rPr>
          <w:rFonts w:ascii="Arial" w:eastAsia="Calibri" w:hAnsi="Arial" w:cs="Arial"/>
          <w:sz w:val="22"/>
        </w:rPr>
        <w:t xml:space="preserve">other </w:t>
      </w:r>
      <w:r w:rsidRPr="009015FA">
        <w:rPr>
          <w:rFonts w:ascii="Arial" w:eastAsia="Calibri" w:hAnsi="Arial" w:cs="Arial"/>
          <w:sz w:val="22"/>
        </w:rPr>
        <w:t xml:space="preserve">important </w:t>
      </w:r>
      <w:r w:rsidR="00EF59DD">
        <w:rPr>
          <w:rFonts w:ascii="Arial" w:eastAsia="Calibri" w:hAnsi="Arial" w:cs="Arial"/>
          <w:sz w:val="22"/>
        </w:rPr>
        <w:t xml:space="preserve">unresolved </w:t>
      </w:r>
      <w:r w:rsidRPr="009015FA">
        <w:rPr>
          <w:rFonts w:ascii="Arial" w:eastAsia="Calibri" w:hAnsi="Arial" w:cs="Arial"/>
          <w:sz w:val="22"/>
        </w:rPr>
        <w:t xml:space="preserve">issues regarding PD-L1 testing, the optimal </w:t>
      </w:r>
      <w:r w:rsidR="00207739">
        <w:rPr>
          <w:rFonts w:ascii="Arial" w:eastAsia="Calibri" w:hAnsi="Arial" w:cs="Arial"/>
          <w:sz w:val="22"/>
        </w:rPr>
        <w:t>threshold</w:t>
      </w:r>
      <w:r w:rsidRPr="009015FA">
        <w:rPr>
          <w:rFonts w:ascii="Arial" w:eastAsia="Calibri" w:hAnsi="Arial" w:cs="Arial"/>
          <w:sz w:val="22"/>
        </w:rPr>
        <w:t xml:space="preserve"> for PD-L1 positivity, the predictive effect of PD-L1 expression, the </w:t>
      </w:r>
      <w:r w:rsidR="004720F1">
        <w:rPr>
          <w:rFonts w:ascii="Arial" w:eastAsia="Calibri" w:hAnsi="Arial" w:cs="Arial"/>
          <w:sz w:val="22"/>
        </w:rPr>
        <w:t xml:space="preserve">extent of incremental </w:t>
      </w:r>
      <w:r w:rsidRPr="009015FA">
        <w:rPr>
          <w:rFonts w:ascii="Arial" w:eastAsia="Calibri" w:hAnsi="Arial" w:cs="Arial"/>
          <w:sz w:val="22"/>
        </w:rPr>
        <w:t>effectiveness of pembrolizumab</w:t>
      </w:r>
      <w:r w:rsidR="004720F1">
        <w:rPr>
          <w:rFonts w:ascii="Arial" w:eastAsia="Calibri" w:hAnsi="Arial" w:cs="Arial"/>
          <w:sz w:val="22"/>
        </w:rPr>
        <w:t xml:space="preserve"> over its comparators</w:t>
      </w:r>
      <w:r w:rsidR="00CD09E2">
        <w:rPr>
          <w:rFonts w:ascii="Arial" w:eastAsia="Calibri" w:hAnsi="Arial" w:cs="Arial"/>
          <w:sz w:val="22"/>
        </w:rPr>
        <w:t>,</w:t>
      </w:r>
      <w:r w:rsidRPr="009015FA">
        <w:rPr>
          <w:rFonts w:ascii="Arial" w:eastAsia="Calibri" w:hAnsi="Arial" w:cs="Arial"/>
          <w:sz w:val="22"/>
        </w:rPr>
        <w:t xml:space="preserve"> and </w:t>
      </w:r>
      <w:r w:rsidR="004720F1">
        <w:rPr>
          <w:rFonts w:ascii="Arial" w:eastAsia="Calibri" w:hAnsi="Arial" w:cs="Arial"/>
          <w:sz w:val="22"/>
        </w:rPr>
        <w:t xml:space="preserve">consequential </w:t>
      </w:r>
      <w:r w:rsidRPr="009015FA">
        <w:rPr>
          <w:rFonts w:ascii="Arial" w:eastAsia="Calibri" w:hAnsi="Arial" w:cs="Arial"/>
          <w:sz w:val="22"/>
        </w:rPr>
        <w:t>uncertainties in the economic evaluation of the co</w:t>
      </w:r>
      <w:r w:rsidR="00AA3EF8">
        <w:rPr>
          <w:rFonts w:ascii="Arial" w:eastAsia="Calibri" w:hAnsi="Arial" w:cs="Arial"/>
          <w:sz w:val="22"/>
        </w:rPr>
        <w:t>-</w:t>
      </w:r>
      <w:r w:rsidRPr="009015FA">
        <w:rPr>
          <w:rFonts w:ascii="Arial" w:eastAsia="Calibri" w:hAnsi="Arial" w:cs="Arial"/>
          <w:sz w:val="22"/>
        </w:rPr>
        <w:t>dependent technology.</w:t>
      </w:r>
      <w:r w:rsidR="004720F1">
        <w:rPr>
          <w:rFonts w:ascii="Arial" w:eastAsia="Calibri" w:hAnsi="Arial" w:cs="Arial"/>
          <w:sz w:val="22"/>
        </w:rPr>
        <w:t xml:space="preserve"> The PBAC noted that some of these issues were relevant to MSAC, and so awaited MSAC’s assessment before drawing any conclusions.</w:t>
      </w:r>
    </w:p>
    <w:p w:rsidR="0095055D" w:rsidRPr="009015FA" w:rsidRDefault="0095055D" w:rsidP="00956B85">
      <w:pPr>
        <w:pStyle w:val="ListParagraph"/>
        <w:ind w:left="0" w:firstLine="0"/>
        <w:rPr>
          <w:rFonts w:ascii="Arial" w:hAnsi="Arial" w:cs="Arial"/>
          <w:sz w:val="22"/>
        </w:rPr>
      </w:pPr>
    </w:p>
    <w:p w:rsidR="0095055D" w:rsidRPr="009015FA" w:rsidRDefault="0095055D" w:rsidP="009C3A29">
      <w:pPr>
        <w:pStyle w:val="ListParagraph"/>
        <w:numPr>
          <w:ilvl w:val="1"/>
          <w:numId w:val="3"/>
        </w:numPr>
        <w:ind w:left="709"/>
        <w:rPr>
          <w:rFonts w:ascii="Arial" w:eastAsia="Calibri" w:hAnsi="Arial" w:cs="Arial"/>
          <w:sz w:val="22"/>
        </w:rPr>
      </w:pPr>
      <w:r w:rsidRPr="009015FA">
        <w:rPr>
          <w:rFonts w:ascii="Arial" w:eastAsia="Calibri" w:hAnsi="Arial" w:cs="Arial"/>
          <w:sz w:val="22"/>
        </w:rPr>
        <w:t>The evidence provided suggested that Asian patients with PD-L1-positive NSCLC had a worse prognosis than those who had PD-L1-negative tumours. However, the evidence, which also indicated an improved prognosis in Caucasian patients, is inconclusive due to the limited number of studies and the many inconsistencies between them. Thus, further evidence is required to determine if there is a true prognostic effect of PD-L1 in Caucasian patients, and at what stage of disease.</w:t>
      </w:r>
    </w:p>
    <w:p w:rsidR="0095055D" w:rsidRPr="009015FA" w:rsidRDefault="0095055D" w:rsidP="0001378B">
      <w:pPr>
        <w:rPr>
          <w:rFonts w:ascii="Arial" w:eastAsia="Calibri" w:hAnsi="Arial" w:cs="Arial"/>
          <w:sz w:val="22"/>
        </w:rPr>
      </w:pPr>
    </w:p>
    <w:p w:rsidR="0095055D" w:rsidRDefault="0095055D" w:rsidP="009C3A29">
      <w:pPr>
        <w:pStyle w:val="ListParagraph"/>
        <w:numPr>
          <w:ilvl w:val="1"/>
          <w:numId w:val="3"/>
        </w:numPr>
        <w:ind w:left="709"/>
        <w:rPr>
          <w:rFonts w:ascii="Arial" w:eastAsia="Calibri" w:hAnsi="Arial" w:cs="Arial"/>
          <w:sz w:val="22"/>
        </w:rPr>
      </w:pPr>
      <w:r w:rsidRPr="009015FA">
        <w:rPr>
          <w:rFonts w:ascii="Arial" w:eastAsia="Calibri" w:hAnsi="Arial" w:cs="Arial"/>
          <w:sz w:val="22"/>
        </w:rPr>
        <w:t xml:space="preserve">In patients with squamous histology, treatment effectiveness of pembrolizumab compared to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was inconclusive. In patients with non-squamous histology, while pembrolizumab was associated with significantly improved benefit compared to </w:t>
      </w:r>
      <w:proofErr w:type="spellStart"/>
      <w:r w:rsidRPr="009015FA">
        <w:rPr>
          <w:rFonts w:ascii="Arial" w:eastAsia="Calibri" w:hAnsi="Arial" w:cs="Arial"/>
          <w:sz w:val="22"/>
        </w:rPr>
        <w:t>docetaxel</w:t>
      </w:r>
      <w:proofErr w:type="spellEnd"/>
      <w:r w:rsidRPr="009015FA">
        <w:rPr>
          <w:rFonts w:ascii="Arial" w:eastAsia="Calibri" w:hAnsi="Arial" w:cs="Arial"/>
          <w:sz w:val="22"/>
        </w:rPr>
        <w:t xml:space="preserve">, evidence presented for the main comparison, pembrolizumab versus </w:t>
      </w:r>
      <w:proofErr w:type="spellStart"/>
      <w:r w:rsidRPr="009015FA">
        <w:rPr>
          <w:rFonts w:ascii="Arial" w:eastAsia="Calibri" w:hAnsi="Arial" w:cs="Arial"/>
          <w:sz w:val="22"/>
        </w:rPr>
        <w:t>pemetrexed</w:t>
      </w:r>
      <w:proofErr w:type="spellEnd"/>
      <w:r w:rsidRPr="009015FA">
        <w:rPr>
          <w:rFonts w:ascii="Arial" w:eastAsia="Calibri" w:hAnsi="Arial" w:cs="Arial"/>
          <w:sz w:val="22"/>
        </w:rPr>
        <w:t xml:space="preserve">, was based on an indirect comparison and was problematic. Evidence to support the treatment effect modification by PD-L1 status was limited to a comparison of strongly positive (TPS ≥50%) </w:t>
      </w:r>
      <w:proofErr w:type="spellStart"/>
      <w:r w:rsidRPr="009015FA">
        <w:rPr>
          <w:rFonts w:ascii="Arial" w:eastAsia="Calibri" w:hAnsi="Arial" w:cs="Arial"/>
          <w:sz w:val="22"/>
        </w:rPr>
        <w:t>vs</w:t>
      </w:r>
      <w:proofErr w:type="spellEnd"/>
      <w:r w:rsidRPr="009015FA">
        <w:rPr>
          <w:rFonts w:ascii="Arial" w:eastAsia="Calibri" w:hAnsi="Arial" w:cs="Arial"/>
          <w:sz w:val="22"/>
        </w:rPr>
        <w:t xml:space="preserve"> weakly positive (TPS 1‒49%).</w:t>
      </w:r>
    </w:p>
    <w:p w:rsidR="00884F24" w:rsidRPr="00F44D3E" w:rsidRDefault="00884F24" w:rsidP="00884F24">
      <w:pPr>
        <w:rPr>
          <w:rFonts w:ascii="Arial" w:hAnsi="Arial" w:cs="Arial"/>
          <w:sz w:val="22"/>
          <w:u w:val="single"/>
        </w:rPr>
      </w:pPr>
    </w:p>
    <w:p w:rsidR="00884F24" w:rsidRDefault="00884F24" w:rsidP="00884F24">
      <w:pPr>
        <w:rPr>
          <w:rFonts w:ascii="Arial" w:hAnsi="Arial" w:cs="Arial"/>
          <w:i/>
          <w:sz w:val="22"/>
          <w:u w:val="single"/>
        </w:rPr>
      </w:pPr>
      <w:r w:rsidRPr="009015FA">
        <w:rPr>
          <w:rFonts w:ascii="Arial" w:hAnsi="Arial" w:cs="Arial"/>
          <w:i/>
          <w:sz w:val="22"/>
          <w:u w:val="single"/>
        </w:rPr>
        <w:t>Further evidence beyond Trial KN-010</w:t>
      </w:r>
      <w:r>
        <w:rPr>
          <w:rFonts w:ascii="Arial" w:hAnsi="Arial" w:cs="Arial"/>
          <w:i/>
          <w:sz w:val="22"/>
          <w:u w:val="single"/>
        </w:rPr>
        <w:t xml:space="preserve"> </w:t>
      </w:r>
      <w:r w:rsidRPr="009015FA">
        <w:rPr>
          <w:rFonts w:ascii="Arial" w:hAnsi="Arial" w:cs="Arial"/>
          <w:i/>
          <w:sz w:val="22"/>
          <w:u w:val="single"/>
        </w:rPr>
        <w:t>of treatment effect variation</w:t>
      </w:r>
    </w:p>
    <w:p w:rsidR="00884F24" w:rsidRPr="009015FA" w:rsidRDefault="00884F24" w:rsidP="00884F24">
      <w:pPr>
        <w:pStyle w:val="ListParagraph"/>
        <w:ind w:left="0" w:firstLine="0"/>
        <w:rPr>
          <w:rFonts w:ascii="Arial" w:hAnsi="Arial" w:cs="Arial"/>
          <w:sz w:val="22"/>
        </w:rPr>
      </w:pPr>
    </w:p>
    <w:p w:rsidR="00884F24" w:rsidRPr="009015FA" w:rsidRDefault="00884F24" w:rsidP="009C3A29">
      <w:pPr>
        <w:pStyle w:val="ListParagraph"/>
        <w:numPr>
          <w:ilvl w:val="1"/>
          <w:numId w:val="3"/>
        </w:numPr>
        <w:ind w:left="720"/>
        <w:rPr>
          <w:rFonts w:ascii="Arial" w:hAnsi="Arial" w:cs="Arial"/>
          <w:sz w:val="22"/>
          <w:szCs w:val="22"/>
        </w:rPr>
      </w:pPr>
      <w:r w:rsidRPr="009015FA">
        <w:rPr>
          <w:rFonts w:ascii="Arial" w:hAnsi="Arial" w:cs="Arial"/>
          <w:sz w:val="22"/>
        </w:rPr>
        <w:t xml:space="preserve">Study KN-001 was a Phase 1 </w:t>
      </w:r>
      <w:r>
        <w:rPr>
          <w:rFonts w:ascii="Arial" w:hAnsi="Arial" w:cs="Arial"/>
          <w:sz w:val="22"/>
        </w:rPr>
        <w:t>single</w:t>
      </w:r>
      <w:r w:rsidR="0062610F">
        <w:rPr>
          <w:rFonts w:ascii="Arial" w:hAnsi="Arial" w:cs="Arial"/>
          <w:sz w:val="22"/>
        </w:rPr>
        <w:t>-</w:t>
      </w:r>
      <w:r>
        <w:rPr>
          <w:rFonts w:ascii="Arial" w:hAnsi="Arial" w:cs="Arial"/>
          <w:sz w:val="22"/>
        </w:rPr>
        <w:t xml:space="preserve">arm </w:t>
      </w:r>
      <w:r w:rsidRPr="009015FA">
        <w:rPr>
          <w:rFonts w:ascii="Arial" w:hAnsi="Arial" w:cs="Arial"/>
          <w:sz w:val="22"/>
        </w:rPr>
        <w:t xml:space="preserve">study which showed that there was increasing OS associated with pembrolizumab as PD-L1 TPS increased (from &lt;1% </w:t>
      </w:r>
      <w:r>
        <w:rPr>
          <w:rFonts w:ascii="Arial" w:hAnsi="Arial" w:cs="Arial"/>
          <w:sz w:val="22"/>
        </w:rPr>
        <w:t>[</w:t>
      </w:r>
      <w:r w:rsidRPr="009015FA">
        <w:rPr>
          <w:rFonts w:ascii="Arial" w:hAnsi="Arial" w:cs="Arial"/>
          <w:sz w:val="22"/>
        </w:rPr>
        <w:t>median OS = 8.6 months; 18</w:t>
      </w:r>
      <w:r w:rsidR="0062610F">
        <w:rPr>
          <w:rFonts w:ascii="Arial" w:hAnsi="Arial" w:cs="Arial"/>
          <w:sz w:val="22"/>
        </w:rPr>
        <w:t>-</w:t>
      </w:r>
      <w:r w:rsidRPr="009015FA">
        <w:rPr>
          <w:rFonts w:ascii="Arial" w:hAnsi="Arial" w:cs="Arial"/>
          <w:sz w:val="22"/>
        </w:rPr>
        <w:t>month OS rate of 32%</w:t>
      </w:r>
      <w:r>
        <w:rPr>
          <w:rFonts w:ascii="Arial" w:hAnsi="Arial" w:cs="Arial"/>
          <w:sz w:val="22"/>
        </w:rPr>
        <w:t>]</w:t>
      </w:r>
      <w:r w:rsidRPr="009015FA">
        <w:rPr>
          <w:rFonts w:ascii="Arial" w:hAnsi="Arial" w:cs="Arial"/>
          <w:sz w:val="22"/>
        </w:rPr>
        <w:t>, 1%</w:t>
      </w:r>
      <w:r w:rsidRPr="00781568">
        <w:rPr>
          <w:rFonts w:ascii="Arial" w:hAnsi="Arial" w:cs="Arial"/>
          <w:sz w:val="22"/>
        </w:rPr>
        <w:t>‒</w:t>
      </w:r>
      <w:r w:rsidRPr="009015FA">
        <w:rPr>
          <w:rFonts w:ascii="Arial" w:hAnsi="Arial" w:cs="Arial"/>
          <w:sz w:val="22"/>
        </w:rPr>
        <w:t xml:space="preserve">49% </w:t>
      </w:r>
      <w:r>
        <w:rPr>
          <w:rFonts w:ascii="Arial" w:hAnsi="Arial" w:cs="Arial"/>
          <w:sz w:val="22"/>
        </w:rPr>
        <w:t>[</w:t>
      </w:r>
      <w:r w:rsidRPr="009015FA">
        <w:rPr>
          <w:rFonts w:ascii="Arial" w:hAnsi="Arial" w:cs="Arial"/>
          <w:sz w:val="22"/>
        </w:rPr>
        <w:t>median OS = 8.2 months; 18</w:t>
      </w:r>
      <w:r w:rsidR="0062610F">
        <w:rPr>
          <w:rFonts w:ascii="Arial" w:hAnsi="Arial" w:cs="Arial"/>
          <w:sz w:val="22"/>
        </w:rPr>
        <w:t>-</w:t>
      </w:r>
      <w:r w:rsidRPr="009015FA">
        <w:rPr>
          <w:rFonts w:ascii="Arial" w:hAnsi="Arial" w:cs="Arial"/>
          <w:sz w:val="22"/>
        </w:rPr>
        <w:t>month OS rate of 33%</w:t>
      </w:r>
      <w:r>
        <w:rPr>
          <w:rFonts w:ascii="Arial" w:hAnsi="Arial" w:cs="Arial"/>
          <w:sz w:val="22"/>
        </w:rPr>
        <w:t>]</w:t>
      </w:r>
      <w:r w:rsidRPr="009015FA">
        <w:rPr>
          <w:rFonts w:ascii="Arial" w:hAnsi="Arial" w:cs="Arial"/>
          <w:sz w:val="22"/>
        </w:rPr>
        <w:t xml:space="preserve"> and ≥50% </w:t>
      </w:r>
      <w:r>
        <w:rPr>
          <w:rFonts w:ascii="Arial" w:hAnsi="Arial" w:cs="Arial"/>
          <w:sz w:val="22"/>
        </w:rPr>
        <w:t>[</w:t>
      </w:r>
      <w:r w:rsidRPr="009015FA">
        <w:rPr>
          <w:rFonts w:ascii="Arial" w:hAnsi="Arial" w:cs="Arial"/>
          <w:sz w:val="22"/>
        </w:rPr>
        <w:t>median OS = 15.4 months; 18</w:t>
      </w:r>
      <w:r w:rsidR="0062610F">
        <w:rPr>
          <w:rFonts w:ascii="Arial" w:hAnsi="Arial" w:cs="Arial"/>
          <w:sz w:val="22"/>
        </w:rPr>
        <w:t>-</w:t>
      </w:r>
      <w:r w:rsidRPr="009015FA">
        <w:rPr>
          <w:rFonts w:ascii="Arial" w:hAnsi="Arial" w:cs="Arial"/>
          <w:sz w:val="22"/>
        </w:rPr>
        <w:t>month OS rate of 43%</w:t>
      </w:r>
      <w:r>
        <w:rPr>
          <w:rFonts w:ascii="Arial" w:hAnsi="Arial" w:cs="Arial"/>
          <w:sz w:val="22"/>
        </w:rPr>
        <w:t>])</w:t>
      </w:r>
      <w:r w:rsidRPr="009015FA">
        <w:rPr>
          <w:rFonts w:ascii="Arial" w:hAnsi="Arial" w:cs="Arial"/>
          <w:sz w:val="22"/>
        </w:rPr>
        <w:t>.</w:t>
      </w:r>
    </w:p>
    <w:p w:rsidR="00D46C54" w:rsidRDefault="00D46C54" w:rsidP="00D46C54">
      <w:pPr>
        <w:pStyle w:val="ListParagraph"/>
        <w:ind w:left="0" w:firstLine="0"/>
        <w:rPr>
          <w:rFonts w:ascii="Arial" w:eastAsia="Calibri" w:hAnsi="Arial" w:cs="Arial"/>
          <w:sz w:val="22"/>
        </w:rPr>
      </w:pPr>
    </w:p>
    <w:p w:rsidR="00D46C54" w:rsidRPr="00675587" w:rsidRDefault="00D46C54" w:rsidP="009C3A29">
      <w:pPr>
        <w:pStyle w:val="ListParagraph"/>
        <w:numPr>
          <w:ilvl w:val="1"/>
          <w:numId w:val="3"/>
        </w:numPr>
        <w:ind w:left="720"/>
        <w:rPr>
          <w:rFonts w:ascii="Arial" w:eastAsia="Calibri" w:hAnsi="Arial" w:cs="Arial"/>
          <w:sz w:val="22"/>
        </w:rPr>
      </w:pPr>
      <w:r w:rsidRPr="00675587">
        <w:rPr>
          <w:rFonts w:ascii="Arial" w:eastAsia="Calibri" w:hAnsi="Arial" w:cs="Arial"/>
          <w:sz w:val="22"/>
        </w:rPr>
        <w:t xml:space="preserve">The </w:t>
      </w:r>
      <w:r w:rsidRPr="002B1E84">
        <w:rPr>
          <w:rFonts w:ascii="Arial" w:hAnsi="Arial" w:cs="Arial"/>
          <w:sz w:val="22"/>
        </w:rPr>
        <w:t>ESCs</w:t>
      </w:r>
      <w:r w:rsidRPr="00675587">
        <w:rPr>
          <w:rFonts w:ascii="Arial" w:eastAsia="Calibri" w:hAnsi="Arial" w:cs="Arial"/>
          <w:sz w:val="22"/>
        </w:rPr>
        <w:t xml:space="preserve"> noted the paucity of evidence to support the prior claim of </w:t>
      </w:r>
      <w:proofErr w:type="spellStart"/>
      <w:r w:rsidRPr="00675587">
        <w:rPr>
          <w:rFonts w:ascii="Arial" w:eastAsia="Calibri" w:hAnsi="Arial" w:cs="Arial"/>
          <w:sz w:val="22"/>
        </w:rPr>
        <w:t>codependence</w:t>
      </w:r>
      <w:proofErr w:type="spellEnd"/>
      <w:r w:rsidRPr="00675587">
        <w:rPr>
          <w:rFonts w:ascii="Arial" w:eastAsia="Calibri" w:hAnsi="Arial" w:cs="Arial"/>
          <w:sz w:val="22"/>
        </w:rPr>
        <w:t xml:space="preserve"> between being PD-L1 </w:t>
      </w:r>
      <w:r w:rsidR="002F306F" w:rsidRPr="00675587">
        <w:rPr>
          <w:rFonts w:ascii="Arial" w:eastAsia="Calibri" w:hAnsi="Arial" w:cs="Arial"/>
          <w:sz w:val="22"/>
        </w:rPr>
        <w:t xml:space="preserve">positive </w:t>
      </w:r>
      <w:proofErr w:type="gramStart"/>
      <w:r w:rsidRPr="00675587">
        <w:rPr>
          <w:rFonts w:ascii="Arial" w:eastAsia="Calibri" w:hAnsi="Arial" w:cs="Arial"/>
          <w:sz w:val="22"/>
        </w:rPr>
        <w:t>or</w:t>
      </w:r>
      <w:proofErr w:type="gramEnd"/>
      <w:r w:rsidRPr="00675587">
        <w:rPr>
          <w:rFonts w:ascii="Arial" w:eastAsia="Calibri" w:hAnsi="Arial" w:cs="Arial"/>
          <w:sz w:val="22"/>
        </w:rPr>
        <w:t xml:space="preserve"> not (Figure </w:t>
      </w:r>
      <w:r w:rsidR="002F306F" w:rsidRPr="00675587">
        <w:rPr>
          <w:rFonts w:ascii="Arial" w:eastAsia="Calibri" w:hAnsi="Arial" w:cs="Arial"/>
          <w:sz w:val="22"/>
        </w:rPr>
        <w:t>4</w:t>
      </w:r>
      <w:r w:rsidRPr="00675587">
        <w:rPr>
          <w:rFonts w:ascii="Arial" w:eastAsia="Calibri" w:hAnsi="Arial" w:cs="Arial"/>
          <w:sz w:val="22"/>
        </w:rPr>
        <w:t>)</w:t>
      </w:r>
      <w:r w:rsidR="002F306F" w:rsidRPr="00675587">
        <w:rPr>
          <w:rFonts w:ascii="Arial" w:eastAsia="Calibri" w:hAnsi="Arial" w:cs="Arial"/>
          <w:sz w:val="22"/>
        </w:rPr>
        <w:t>. These results came from one single-arm study (KN-001)</w:t>
      </w:r>
      <w:r w:rsidRPr="00675587">
        <w:rPr>
          <w:rFonts w:ascii="Arial" w:eastAsia="Calibri" w:hAnsi="Arial" w:cs="Arial"/>
          <w:sz w:val="22"/>
        </w:rPr>
        <w:t>, with a sample of only 90 patients with TPS &lt;1%.</w:t>
      </w:r>
    </w:p>
    <w:p w:rsidR="00D46C54" w:rsidRPr="00D46C54" w:rsidRDefault="00D46C54" w:rsidP="00D46C54">
      <w:pPr>
        <w:rPr>
          <w:rFonts w:ascii="Arial" w:hAnsi="Arial" w:cs="Arial"/>
          <w:sz w:val="22"/>
          <w:szCs w:val="22"/>
        </w:rPr>
      </w:pPr>
    </w:p>
    <w:p w:rsidR="00D46C54" w:rsidRPr="00D46C54" w:rsidRDefault="00D46C54" w:rsidP="00AF11A9">
      <w:pPr>
        <w:keepNext/>
        <w:ind w:left="709"/>
        <w:rPr>
          <w:rFonts w:ascii="Arial Narrow" w:eastAsia="SimSun" w:hAnsi="Arial Narrow" w:cs="Arial"/>
          <w:b/>
          <w:sz w:val="20"/>
          <w:szCs w:val="20"/>
          <w:lang w:eastAsia="en-AU" w:bidi="en-US"/>
        </w:rPr>
      </w:pPr>
      <w:r w:rsidRPr="00D46C54">
        <w:rPr>
          <w:rFonts w:ascii="Arial Narrow" w:eastAsia="SimSun" w:hAnsi="Arial Narrow" w:cs="Arial"/>
          <w:b/>
          <w:sz w:val="20"/>
          <w:szCs w:val="20"/>
          <w:lang w:eastAsia="en-AU" w:bidi="en-US"/>
        </w:rPr>
        <w:t xml:space="preserve">Figure </w:t>
      </w:r>
      <w:r w:rsidR="002F306F">
        <w:rPr>
          <w:rFonts w:ascii="Arial Narrow" w:eastAsia="SimSun" w:hAnsi="Arial Narrow" w:cs="Arial"/>
          <w:b/>
          <w:sz w:val="20"/>
          <w:szCs w:val="20"/>
          <w:lang w:eastAsia="en-AU" w:bidi="en-US"/>
        </w:rPr>
        <w:t>4</w:t>
      </w:r>
      <w:r w:rsidRPr="00D46C54">
        <w:rPr>
          <w:rFonts w:ascii="Arial Narrow" w:eastAsia="SimSun" w:hAnsi="Arial Narrow" w:cs="Arial"/>
          <w:b/>
          <w:sz w:val="20"/>
          <w:szCs w:val="20"/>
          <w:lang w:eastAsia="en-AU" w:bidi="en-US"/>
        </w:rPr>
        <w:t>: (KN-001): Kaplan Meier curves of overall survival in previously treated NSCLC patients by PD-L1 expression levels TPS ≥50%, 1%-49%</w:t>
      </w:r>
      <w:r w:rsidRPr="00D46C54">
        <w:rPr>
          <w:rFonts w:ascii="Arial Narrow" w:eastAsia="SimSun" w:hAnsi="Arial Narrow" w:cs="Arial"/>
          <w:b/>
          <w:sz w:val="20"/>
          <w:szCs w:val="20"/>
          <w:vertAlign w:val="superscript"/>
          <w:lang w:eastAsia="en-AU" w:bidi="en-US"/>
        </w:rPr>
        <w:t>β</w:t>
      </w:r>
      <w:r w:rsidR="002F306F">
        <w:rPr>
          <w:rFonts w:ascii="Arial Narrow" w:eastAsia="SimSun" w:hAnsi="Arial Narrow" w:cs="Arial"/>
          <w:b/>
          <w:sz w:val="20"/>
          <w:szCs w:val="20"/>
          <w:lang w:eastAsia="en-AU" w:bidi="en-US"/>
        </w:rPr>
        <w:t>, and &lt;1%</w:t>
      </w:r>
    </w:p>
    <w:p w:rsidR="00D46C54" w:rsidRPr="00D46C54" w:rsidRDefault="00F12F8C" w:rsidP="00AF11A9">
      <w:pPr>
        <w:ind w:left="709"/>
        <w:jc w:val="left"/>
      </w:pPr>
      <w:r>
        <w:rPr>
          <w:noProof/>
          <w:lang w:eastAsia="en-AU"/>
        </w:rPr>
        <w:drawing>
          <wp:inline distT="0" distB="0" distL="0" distR="0">
            <wp:extent cx="5295900" cy="3038475"/>
            <wp:effectExtent l="0" t="0" r="0" b="9525"/>
            <wp:docPr id="4" name="Picture 8" title="Kaplan Meier curves of overall survival in previously treated NSCLC patients by PD-L1 expression levels TPS ≥50%, 1%-49%β, and &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5900" cy="3038475"/>
                    </a:xfrm>
                    <a:prstGeom prst="rect">
                      <a:avLst/>
                    </a:prstGeom>
                    <a:noFill/>
                    <a:ln>
                      <a:noFill/>
                    </a:ln>
                  </pic:spPr>
                </pic:pic>
              </a:graphicData>
            </a:graphic>
          </wp:inline>
        </w:drawing>
      </w:r>
    </w:p>
    <w:p w:rsidR="00D46C54" w:rsidRPr="00D46C54" w:rsidRDefault="00D46C54" w:rsidP="00AF11A9">
      <w:pPr>
        <w:widowControl w:val="0"/>
        <w:spacing w:before="20"/>
        <w:ind w:left="709"/>
        <w:rPr>
          <w:rFonts w:ascii="Arial Narrow" w:eastAsia="TimesNewRoman" w:hAnsi="Arial Narrow" w:cs="Arial"/>
          <w:b/>
          <w:snapToGrid w:val="0"/>
          <w:sz w:val="18"/>
          <w:szCs w:val="18"/>
          <w:lang w:eastAsia="en-GB"/>
        </w:rPr>
      </w:pPr>
      <w:proofErr w:type="gramStart"/>
      <w:r w:rsidRPr="00D46C54">
        <w:rPr>
          <w:rFonts w:ascii="Arial Narrow" w:eastAsia="TimesNewRoman" w:hAnsi="Arial Narrow" w:cs="Arial"/>
          <w:snapToGrid w:val="0"/>
          <w:sz w:val="18"/>
          <w:szCs w:val="18"/>
          <w:vertAlign w:val="superscript"/>
          <w:lang w:eastAsia="en-GB"/>
        </w:rPr>
        <w:t>β</w:t>
      </w:r>
      <w:proofErr w:type="gramEnd"/>
      <w:r w:rsidRPr="00D46C54">
        <w:rPr>
          <w:rFonts w:ascii="Arial Narrow" w:eastAsia="TimesNewRoman" w:hAnsi="Arial Narrow" w:cs="Arial"/>
          <w:b/>
          <w:snapToGrid w:val="0"/>
          <w:sz w:val="18"/>
          <w:szCs w:val="18"/>
          <w:lang w:eastAsia="en-GB"/>
        </w:rPr>
        <w:t xml:space="preserve"> T</w:t>
      </w:r>
      <w:r w:rsidR="00884F24">
        <w:rPr>
          <w:rFonts w:ascii="Arial Narrow" w:eastAsia="TimesNewRoman" w:hAnsi="Arial Narrow" w:cs="Arial"/>
          <w:b/>
          <w:snapToGrid w:val="0"/>
          <w:sz w:val="18"/>
          <w:szCs w:val="18"/>
          <w:lang w:eastAsia="en-GB"/>
        </w:rPr>
        <w:t>he t</w:t>
      </w:r>
      <w:r w:rsidRPr="00D46C54">
        <w:rPr>
          <w:rFonts w:ascii="Arial Narrow" w:eastAsia="TimesNewRoman" w:hAnsi="Arial Narrow" w:cs="Arial"/>
          <w:b/>
          <w:snapToGrid w:val="0"/>
          <w:sz w:val="18"/>
          <w:szCs w:val="18"/>
          <w:lang w:eastAsia="en-GB"/>
        </w:rPr>
        <w:t xml:space="preserve">itle of </w:t>
      </w:r>
      <w:r w:rsidR="00884F24">
        <w:rPr>
          <w:rFonts w:ascii="Arial Narrow" w:eastAsia="TimesNewRoman" w:hAnsi="Arial Narrow" w:cs="Arial"/>
          <w:b/>
          <w:snapToGrid w:val="0"/>
          <w:sz w:val="18"/>
          <w:szCs w:val="18"/>
          <w:lang w:eastAsia="en-GB"/>
        </w:rPr>
        <w:t xml:space="preserve">the </w:t>
      </w:r>
      <w:r w:rsidRPr="00D46C54">
        <w:rPr>
          <w:rFonts w:ascii="Arial Narrow" w:eastAsia="TimesNewRoman" w:hAnsi="Arial Narrow" w:cs="Arial"/>
          <w:b/>
          <w:snapToGrid w:val="0"/>
          <w:sz w:val="18"/>
          <w:szCs w:val="18"/>
          <w:lang w:eastAsia="en-GB"/>
        </w:rPr>
        <w:t xml:space="preserve">figure in </w:t>
      </w:r>
      <w:r w:rsidR="00884F24">
        <w:rPr>
          <w:rFonts w:ascii="Arial Narrow" w:eastAsia="TimesNewRoman" w:hAnsi="Arial Narrow" w:cs="Arial"/>
          <w:b/>
          <w:snapToGrid w:val="0"/>
          <w:sz w:val="18"/>
          <w:szCs w:val="18"/>
          <w:lang w:eastAsia="en-GB"/>
        </w:rPr>
        <w:t xml:space="preserve">the </w:t>
      </w:r>
      <w:r w:rsidRPr="00D46C54">
        <w:rPr>
          <w:rFonts w:ascii="Arial Narrow" w:eastAsia="TimesNewRoman" w:hAnsi="Arial Narrow" w:cs="Arial"/>
          <w:b/>
          <w:snapToGrid w:val="0"/>
          <w:sz w:val="18"/>
          <w:szCs w:val="18"/>
          <w:lang w:eastAsia="en-GB"/>
        </w:rPr>
        <w:t xml:space="preserve">abstract by </w:t>
      </w:r>
      <w:proofErr w:type="spellStart"/>
      <w:r w:rsidRPr="00D46C54">
        <w:rPr>
          <w:rFonts w:ascii="Arial Narrow" w:eastAsia="TimesNewRoman" w:hAnsi="Arial Narrow" w:cs="Arial"/>
          <w:b/>
          <w:snapToGrid w:val="0"/>
          <w:sz w:val="18"/>
          <w:szCs w:val="18"/>
          <w:lang w:eastAsia="en-GB"/>
        </w:rPr>
        <w:t>Hui</w:t>
      </w:r>
      <w:proofErr w:type="spellEnd"/>
      <w:r w:rsidRPr="00D46C54">
        <w:rPr>
          <w:rFonts w:ascii="Arial Narrow" w:eastAsia="TimesNewRoman" w:hAnsi="Arial Narrow" w:cs="Arial"/>
          <w:b/>
          <w:snapToGrid w:val="0"/>
          <w:sz w:val="18"/>
          <w:szCs w:val="18"/>
          <w:lang w:eastAsia="en-GB"/>
        </w:rPr>
        <w:t xml:space="preserve"> et al indicate</w:t>
      </w:r>
      <w:r w:rsidR="00884F24">
        <w:rPr>
          <w:rFonts w:ascii="Arial Narrow" w:eastAsia="TimesNewRoman" w:hAnsi="Arial Narrow" w:cs="Arial"/>
          <w:b/>
          <w:snapToGrid w:val="0"/>
          <w:sz w:val="18"/>
          <w:szCs w:val="18"/>
          <w:lang w:eastAsia="en-GB"/>
        </w:rPr>
        <w:t>d</w:t>
      </w:r>
      <w:r w:rsidRPr="00D46C54">
        <w:rPr>
          <w:rFonts w:ascii="Arial Narrow" w:eastAsia="TimesNewRoman" w:hAnsi="Arial Narrow" w:cs="Arial"/>
          <w:b/>
          <w:snapToGrid w:val="0"/>
          <w:sz w:val="18"/>
          <w:szCs w:val="18"/>
          <w:lang w:eastAsia="en-GB"/>
        </w:rPr>
        <w:t xml:space="preserve"> the middle PD-L1 stratum was 1</w:t>
      </w:r>
      <w:r w:rsidRPr="00D46C54">
        <w:rPr>
          <w:rFonts w:ascii="Arial" w:eastAsia="TimesNewRoman" w:hAnsi="Arial" w:cs="Arial"/>
          <w:b/>
          <w:snapToGrid w:val="0"/>
          <w:sz w:val="18"/>
          <w:szCs w:val="18"/>
          <w:lang w:eastAsia="en-GB"/>
        </w:rPr>
        <w:t>‒</w:t>
      </w:r>
      <w:r w:rsidRPr="00D46C54">
        <w:rPr>
          <w:rFonts w:ascii="Arial Narrow" w:eastAsia="TimesNewRoman" w:hAnsi="Arial Narrow" w:cs="Arial"/>
          <w:b/>
          <w:snapToGrid w:val="0"/>
          <w:sz w:val="18"/>
          <w:szCs w:val="18"/>
          <w:lang w:eastAsia="en-GB"/>
        </w:rPr>
        <w:t>49% rather than &lt;1%-49%. The former appear</w:t>
      </w:r>
      <w:r w:rsidR="00884F24">
        <w:rPr>
          <w:rFonts w:ascii="Arial Narrow" w:eastAsia="TimesNewRoman" w:hAnsi="Arial Narrow" w:cs="Arial"/>
          <w:b/>
          <w:snapToGrid w:val="0"/>
          <w:sz w:val="18"/>
          <w:szCs w:val="18"/>
          <w:lang w:eastAsia="en-GB"/>
        </w:rPr>
        <w:t>ed</w:t>
      </w:r>
      <w:r w:rsidRPr="00D46C54">
        <w:rPr>
          <w:rFonts w:ascii="Arial Narrow" w:eastAsia="TimesNewRoman" w:hAnsi="Arial Narrow" w:cs="Arial"/>
          <w:b/>
          <w:snapToGrid w:val="0"/>
          <w:sz w:val="18"/>
          <w:szCs w:val="18"/>
          <w:lang w:eastAsia="en-GB"/>
        </w:rPr>
        <w:t xml:space="preserve"> more plausible and informative for mutually exclusive subsets.</w:t>
      </w:r>
    </w:p>
    <w:p w:rsidR="00D46C54" w:rsidRPr="00D46C54" w:rsidRDefault="00D46C54" w:rsidP="00AF11A9">
      <w:pPr>
        <w:widowControl w:val="0"/>
        <w:spacing w:before="20"/>
        <w:ind w:left="709"/>
        <w:rPr>
          <w:rFonts w:ascii="Arial Narrow" w:eastAsia="TimesNewRoman" w:hAnsi="Arial Narrow" w:cs="Arial"/>
          <w:snapToGrid w:val="0"/>
          <w:sz w:val="18"/>
          <w:szCs w:val="18"/>
          <w:lang w:eastAsia="en-GB"/>
        </w:rPr>
      </w:pPr>
      <w:r w:rsidRPr="00D46C54">
        <w:rPr>
          <w:rFonts w:ascii="Arial Narrow" w:eastAsia="TimesNewRoman" w:hAnsi="Arial Narrow" w:cs="Arial"/>
          <w:snapToGrid w:val="0"/>
          <w:sz w:val="18"/>
          <w:szCs w:val="18"/>
          <w:lang w:eastAsia="en-GB"/>
        </w:rPr>
        <w:t>CI = confidence interval; PD-L1 = programmed death ligand 1; TPS = tumour proportion score.</w:t>
      </w:r>
    </w:p>
    <w:p w:rsidR="00D46C54" w:rsidRPr="00D46C54" w:rsidRDefault="00D46C54" w:rsidP="00AF11A9">
      <w:pPr>
        <w:widowControl w:val="0"/>
        <w:spacing w:before="20"/>
        <w:ind w:left="709"/>
        <w:rPr>
          <w:rFonts w:ascii="Arial Narrow" w:eastAsia="TimesNewRoman" w:hAnsi="Arial Narrow" w:cs="Arial"/>
          <w:snapToGrid w:val="0"/>
          <w:sz w:val="18"/>
          <w:szCs w:val="18"/>
          <w:lang w:eastAsia="en-GB"/>
        </w:rPr>
      </w:pPr>
      <w:r w:rsidRPr="00D46C54">
        <w:rPr>
          <w:rFonts w:ascii="Arial Narrow" w:eastAsia="TimesNewRoman" w:hAnsi="Arial Narrow" w:cs="Arial"/>
          <w:snapToGrid w:val="0"/>
          <w:sz w:val="18"/>
          <w:szCs w:val="18"/>
          <w:lang w:eastAsia="en-GB"/>
        </w:rPr>
        <w:t xml:space="preserve">Source: Figure 2, Panel B from </w:t>
      </w:r>
      <w:proofErr w:type="spellStart"/>
      <w:r w:rsidRPr="00D46C54">
        <w:rPr>
          <w:rFonts w:ascii="Arial Narrow" w:eastAsia="TimesNewRoman" w:hAnsi="Arial Narrow" w:cs="Arial"/>
          <w:snapToGrid w:val="0"/>
          <w:sz w:val="18"/>
          <w:szCs w:val="18"/>
          <w:lang w:eastAsia="en-GB"/>
        </w:rPr>
        <w:t>Hui</w:t>
      </w:r>
      <w:proofErr w:type="spellEnd"/>
      <w:r w:rsidRPr="00D46C54">
        <w:rPr>
          <w:rFonts w:ascii="Arial Narrow" w:eastAsia="TimesNewRoman" w:hAnsi="Arial Narrow" w:cs="Arial"/>
          <w:snapToGrid w:val="0"/>
          <w:sz w:val="18"/>
          <w:szCs w:val="18"/>
          <w:lang w:eastAsia="en-GB"/>
        </w:rPr>
        <w:t xml:space="preserve"> et al (2016)</w:t>
      </w:r>
      <w:r w:rsidRPr="00D46C54">
        <w:rPr>
          <w:rFonts w:ascii="Arial Narrow" w:eastAsia="TimesNewRoman" w:hAnsi="Arial Narrow" w:cs="Arial"/>
          <w:snapToGrid w:val="0"/>
          <w:sz w:val="18"/>
          <w:szCs w:val="18"/>
          <w:vertAlign w:val="superscript"/>
          <w:lang w:eastAsia="en-GB"/>
        </w:rPr>
        <w:footnoteReference w:id="4"/>
      </w:r>
      <w:r w:rsidRPr="00D46C54">
        <w:rPr>
          <w:rFonts w:ascii="Arial Narrow" w:eastAsia="TimesNewRoman" w:hAnsi="Arial Narrow" w:cs="Arial"/>
          <w:snapToGrid w:val="0"/>
          <w:sz w:val="18"/>
          <w:szCs w:val="18"/>
          <w:lang w:eastAsia="en-GB"/>
        </w:rPr>
        <w:t>.</w:t>
      </w:r>
    </w:p>
    <w:p w:rsidR="00884F24" w:rsidRPr="009015FA" w:rsidRDefault="00884F24" w:rsidP="00884F24">
      <w:pPr>
        <w:rPr>
          <w:rFonts w:ascii="Arial" w:hAnsi="Arial" w:cs="Arial"/>
          <w:sz w:val="22"/>
          <w:szCs w:val="22"/>
        </w:rPr>
      </w:pPr>
      <w:bookmarkStart w:id="34" w:name="_Toc439845561"/>
      <w:bookmarkStart w:id="35" w:name="_Toc431891744"/>
      <w:bookmarkStart w:id="36" w:name="_Toc461627093"/>
    </w:p>
    <w:p w:rsidR="00884F24" w:rsidRPr="009015FA" w:rsidRDefault="00884F24" w:rsidP="009C3A29">
      <w:pPr>
        <w:pStyle w:val="ListParagraph"/>
        <w:numPr>
          <w:ilvl w:val="1"/>
          <w:numId w:val="3"/>
        </w:numPr>
        <w:ind w:left="720"/>
        <w:rPr>
          <w:rFonts w:ascii="Arial" w:hAnsi="Arial" w:cs="Arial"/>
          <w:sz w:val="22"/>
          <w:szCs w:val="22"/>
        </w:rPr>
      </w:pPr>
      <w:r w:rsidRPr="009015FA">
        <w:rPr>
          <w:rFonts w:ascii="Arial" w:hAnsi="Arial" w:cs="Arial"/>
          <w:sz w:val="22"/>
          <w:szCs w:val="22"/>
        </w:rPr>
        <w:t xml:space="preserve">Evidence of a treatment effect variation of anti-PD1 agents in NSCLC, by PD-L1 expression status, </w:t>
      </w:r>
      <w:r>
        <w:rPr>
          <w:rFonts w:ascii="Arial" w:hAnsi="Arial" w:cs="Arial"/>
          <w:sz w:val="22"/>
          <w:szCs w:val="22"/>
        </w:rPr>
        <w:t>w</w:t>
      </w:r>
      <w:r w:rsidRPr="009015FA">
        <w:rPr>
          <w:rFonts w:ascii="Arial" w:hAnsi="Arial" w:cs="Arial"/>
          <w:sz w:val="22"/>
          <w:szCs w:val="22"/>
        </w:rPr>
        <w:t xml:space="preserve">as also </w:t>
      </w:r>
      <w:r>
        <w:rPr>
          <w:rFonts w:ascii="Arial" w:hAnsi="Arial" w:cs="Arial"/>
          <w:sz w:val="22"/>
          <w:szCs w:val="22"/>
        </w:rPr>
        <w:t xml:space="preserve">published </w:t>
      </w:r>
      <w:r w:rsidRPr="009015FA">
        <w:rPr>
          <w:rFonts w:ascii="Arial" w:hAnsi="Arial" w:cs="Arial"/>
          <w:sz w:val="22"/>
          <w:szCs w:val="22"/>
        </w:rPr>
        <w:t>in a recent meta-analysis by Abdel-</w:t>
      </w:r>
      <w:proofErr w:type="spellStart"/>
      <w:r w:rsidRPr="009015FA">
        <w:rPr>
          <w:rFonts w:ascii="Arial" w:hAnsi="Arial" w:cs="Arial"/>
          <w:sz w:val="22"/>
          <w:szCs w:val="22"/>
        </w:rPr>
        <w:t>Rahman</w:t>
      </w:r>
      <w:proofErr w:type="spellEnd"/>
      <w:r w:rsidRPr="009015FA">
        <w:rPr>
          <w:rFonts w:ascii="Arial" w:hAnsi="Arial" w:cs="Arial"/>
          <w:sz w:val="22"/>
          <w:szCs w:val="22"/>
        </w:rPr>
        <w:t xml:space="preserve"> et al (2016)</w:t>
      </w:r>
      <w:r w:rsidRPr="009015FA">
        <w:rPr>
          <w:rStyle w:val="FootnoteReference"/>
          <w:rFonts w:ascii="Arial" w:hAnsi="Arial" w:cs="Arial"/>
          <w:sz w:val="22"/>
          <w:szCs w:val="22"/>
        </w:rPr>
        <w:footnoteReference w:id="5"/>
      </w:r>
      <w:r w:rsidRPr="009015FA">
        <w:rPr>
          <w:rFonts w:ascii="Arial" w:hAnsi="Arial" w:cs="Arial"/>
          <w:sz w:val="22"/>
          <w:szCs w:val="22"/>
        </w:rPr>
        <w:t>. The meta-analysis assessed the correlation between PD-L1 levels and effectiveness outcomes of PD-1/PD-L1 inhibitors (</w:t>
      </w:r>
      <w:proofErr w:type="spellStart"/>
      <w:r w:rsidRPr="009015FA">
        <w:rPr>
          <w:rFonts w:ascii="Arial" w:hAnsi="Arial" w:cs="Arial"/>
          <w:sz w:val="22"/>
          <w:szCs w:val="22"/>
        </w:rPr>
        <w:t>nivolumab</w:t>
      </w:r>
      <w:proofErr w:type="spellEnd"/>
      <w:r w:rsidRPr="009015FA">
        <w:rPr>
          <w:rFonts w:ascii="Arial" w:hAnsi="Arial" w:cs="Arial"/>
          <w:sz w:val="22"/>
          <w:szCs w:val="22"/>
        </w:rPr>
        <w:t xml:space="preserve">, pembrolizumab, </w:t>
      </w:r>
      <w:proofErr w:type="spellStart"/>
      <w:r w:rsidRPr="009015FA">
        <w:rPr>
          <w:rFonts w:ascii="Arial" w:hAnsi="Arial" w:cs="Arial"/>
          <w:sz w:val="22"/>
          <w:szCs w:val="22"/>
        </w:rPr>
        <w:t>atezolizumab</w:t>
      </w:r>
      <w:proofErr w:type="spellEnd"/>
      <w:r w:rsidRPr="009015FA">
        <w:rPr>
          <w:rFonts w:ascii="Arial" w:hAnsi="Arial" w:cs="Arial"/>
          <w:sz w:val="22"/>
          <w:szCs w:val="22"/>
        </w:rPr>
        <w:t xml:space="preserve">, </w:t>
      </w:r>
      <w:proofErr w:type="spellStart"/>
      <w:r w:rsidRPr="009015FA">
        <w:rPr>
          <w:rFonts w:ascii="Arial" w:hAnsi="Arial" w:cs="Arial"/>
          <w:sz w:val="22"/>
          <w:szCs w:val="22"/>
        </w:rPr>
        <w:t>durvalumab</w:t>
      </w:r>
      <w:proofErr w:type="spellEnd"/>
      <w:r w:rsidRPr="009015FA">
        <w:rPr>
          <w:rFonts w:ascii="Arial" w:hAnsi="Arial" w:cs="Arial"/>
          <w:sz w:val="22"/>
          <w:szCs w:val="22"/>
        </w:rPr>
        <w:t xml:space="preserve"> and </w:t>
      </w:r>
      <w:proofErr w:type="spellStart"/>
      <w:r w:rsidRPr="009015FA">
        <w:rPr>
          <w:rFonts w:ascii="Arial" w:hAnsi="Arial" w:cs="Arial"/>
          <w:sz w:val="22"/>
          <w:szCs w:val="22"/>
        </w:rPr>
        <w:t>avelumab</w:t>
      </w:r>
      <w:proofErr w:type="spellEnd"/>
      <w:r w:rsidRPr="009015FA">
        <w:rPr>
          <w:rFonts w:ascii="Arial" w:hAnsi="Arial" w:cs="Arial"/>
          <w:sz w:val="22"/>
          <w:szCs w:val="22"/>
        </w:rPr>
        <w:t xml:space="preserve">) in advanced NSCLC. </w:t>
      </w:r>
      <w:r>
        <w:rPr>
          <w:rFonts w:ascii="Arial" w:hAnsi="Arial" w:cs="Arial"/>
          <w:sz w:val="22"/>
          <w:szCs w:val="22"/>
        </w:rPr>
        <w:t>T</w:t>
      </w:r>
      <w:r w:rsidRPr="009015FA">
        <w:rPr>
          <w:rFonts w:ascii="Arial" w:hAnsi="Arial" w:cs="Arial"/>
          <w:sz w:val="22"/>
          <w:szCs w:val="22"/>
        </w:rPr>
        <w:t xml:space="preserve">he benefit from PD-1 inhibitors versus </w:t>
      </w:r>
      <w:proofErr w:type="spellStart"/>
      <w:r w:rsidRPr="009015FA">
        <w:rPr>
          <w:rFonts w:ascii="Arial" w:hAnsi="Arial" w:cs="Arial"/>
          <w:sz w:val="22"/>
          <w:szCs w:val="22"/>
        </w:rPr>
        <w:t>docetaxel</w:t>
      </w:r>
      <w:proofErr w:type="spellEnd"/>
      <w:r w:rsidRPr="009015FA">
        <w:rPr>
          <w:rFonts w:ascii="Arial" w:hAnsi="Arial" w:cs="Arial"/>
          <w:sz w:val="22"/>
          <w:szCs w:val="22"/>
        </w:rPr>
        <w:t xml:space="preserve"> in second</w:t>
      </w:r>
      <w:r>
        <w:rPr>
          <w:rFonts w:ascii="Arial" w:hAnsi="Arial" w:cs="Arial"/>
          <w:sz w:val="22"/>
          <w:szCs w:val="22"/>
        </w:rPr>
        <w:t>-</w:t>
      </w:r>
      <w:r w:rsidRPr="009015FA">
        <w:rPr>
          <w:rFonts w:ascii="Arial" w:hAnsi="Arial" w:cs="Arial"/>
          <w:sz w:val="22"/>
          <w:szCs w:val="22"/>
        </w:rPr>
        <w:t>line treatment of NSCLC appear</w:t>
      </w:r>
      <w:r>
        <w:rPr>
          <w:rFonts w:ascii="Arial" w:hAnsi="Arial" w:cs="Arial"/>
          <w:sz w:val="22"/>
          <w:szCs w:val="22"/>
        </w:rPr>
        <w:t>ed</w:t>
      </w:r>
      <w:r w:rsidRPr="009015FA">
        <w:rPr>
          <w:rFonts w:ascii="Arial" w:hAnsi="Arial" w:cs="Arial"/>
          <w:sz w:val="22"/>
          <w:szCs w:val="22"/>
        </w:rPr>
        <w:t xml:space="preserve"> to be limited to the PD-L1 &gt;1% population.</w:t>
      </w:r>
    </w:p>
    <w:p w:rsidR="00884F24" w:rsidRPr="009015FA" w:rsidRDefault="00884F24" w:rsidP="00884F24">
      <w:pPr>
        <w:rPr>
          <w:rFonts w:ascii="Arial" w:hAnsi="Arial" w:cs="Arial"/>
          <w:sz w:val="22"/>
          <w:szCs w:val="22"/>
        </w:rPr>
      </w:pPr>
    </w:p>
    <w:p w:rsidR="00884F24" w:rsidRPr="009015FA" w:rsidRDefault="00884F24" w:rsidP="009C3A29">
      <w:pPr>
        <w:pStyle w:val="ListParagraph"/>
        <w:numPr>
          <w:ilvl w:val="1"/>
          <w:numId w:val="3"/>
        </w:numPr>
        <w:ind w:left="720"/>
        <w:rPr>
          <w:rFonts w:ascii="Arial" w:hAnsi="Arial" w:cs="Arial"/>
          <w:sz w:val="22"/>
        </w:rPr>
      </w:pPr>
      <w:r w:rsidRPr="009015FA">
        <w:rPr>
          <w:rFonts w:ascii="Arial" w:hAnsi="Arial" w:cs="Arial"/>
          <w:snapToGrid w:val="0"/>
          <w:sz w:val="22"/>
        </w:rPr>
        <w:t xml:space="preserve">The submission presented </w:t>
      </w:r>
      <w:r w:rsidRPr="008F1E3A">
        <w:rPr>
          <w:rFonts w:ascii="Arial" w:hAnsi="Arial" w:cs="Arial"/>
          <w:snapToGrid w:val="0"/>
          <w:sz w:val="22"/>
        </w:rPr>
        <w:t>data in the translation section for</w:t>
      </w:r>
      <w:r w:rsidRPr="009015FA">
        <w:rPr>
          <w:rFonts w:ascii="Arial" w:hAnsi="Arial" w:cs="Arial"/>
          <w:snapToGrid w:val="0"/>
          <w:sz w:val="22"/>
        </w:rPr>
        <w:t xml:space="preserve"> </w:t>
      </w:r>
      <w:proofErr w:type="spellStart"/>
      <w:r w:rsidRPr="009015FA">
        <w:rPr>
          <w:rFonts w:ascii="Arial" w:hAnsi="Arial" w:cs="Arial"/>
          <w:snapToGrid w:val="0"/>
          <w:sz w:val="22"/>
        </w:rPr>
        <w:t>nivolumab</w:t>
      </w:r>
      <w:proofErr w:type="spellEnd"/>
      <w:r w:rsidRPr="009015FA">
        <w:rPr>
          <w:rFonts w:ascii="Arial" w:hAnsi="Arial" w:cs="Arial"/>
          <w:snapToGrid w:val="0"/>
          <w:sz w:val="22"/>
        </w:rPr>
        <w:t>, by PD-L1 expression, in patients with non-squamous (</w:t>
      </w:r>
      <w:proofErr w:type="spellStart"/>
      <w:r w:rsidRPr="009015FA">
        <w:rPr>
          <w:rFonts w:ascii="Arial" w:hAnsi="Arial" w:cs="Arial"/>
          <w:snapToGrid w:val="0"/>
          <w:sz w:val="22"/>
        </w:rPr>
        <w:t>CheckMate</w:t>
      </w:r>
      <w:proofErr w:type="spellEnd"/>
      <w:r w:rsidRPr="009015FA">
        <w:rPr>
          <w:rFonts w:ascii="Arial" w:hAnsi="Arial" w:cs="Arial"/>
          <w:snapToGrid w:val="0"/>
          <w:sz w:val="22"/>
        </w:rPr>
        <w:t xml:space="preserve"> 057 trial) and squamous (</w:t>
      </w:r>
      <w:proofErr w:type="spellStart"/>
      <w:r w:rsidRPr="009015FA">
        <w:rPr>
          <w:rFonts w:ascii="Arial" w:hAnsi="Arial" w:cs="Arial"/>
          <w:snapToGrid w:val="0"/>
          <w:sz w:val="22"/>
        </w:rPr>
        <w:t>CheckMate</w:t>
      </w:r>
      <w:proofErr w:type="spellEnd"/>
      <w:r w:rsidRPr="009015FA">
        <w:rPr>
          <w:rFonts w:ascii="Arial" w:hAnsi="Arial" w:cs="Arial"/>
          <w:snapToGrid w:val="0"/>
          <w:sz w:val="22"/>
        </w:rPr>
        <w:t xml:space="preserve"> 017 trial) histology. </w:t>
      </w:r>
      <w:r w:rsidRPr="009015FA">
        <w:rPr>
          <w:rFonts w:ascii="Arial" w:hAnsi="Arial" w:cs="Arial"/>
          <w:iCs/>
          <w:snapToGrid w:val="0"/>
          <w:sz w:val="22"/>
        </w:rPr>
        <w:t>These trials have been previously considered by the PBAC (</w:t>
      </w:r>
      <w:proofErr w:type="spellStart"/>
      <w:r w:rsidRPr="009015FA">
        <w:rPr>
          <w:rFonts w:ascii="Arial" w:hAnsi="Arial" w:cs="Arial"/>
          <w:iCs/>
          <w:snapToGrid w:val="0"/>
          <w:sz w:val="22"/>
        </w:rPr>
        <w:t>nivolumab</w:t>
      </w:r>
      <w:proofErr w:type="spellEnd"/>
      <w:r w:rsidRPr="009015FA">
        <w:rPr>
          <w:rFonts w:ascii="Arial" w:hAnsi="Arial" w:cs="Arial"/>
          <w:iCs/>
          <w:snapToGrid w:val="0"/>
          <w:sz w:val="22"/>
        </w:rPr>
        <w:t xml:space="preserve"> for non-squamous and squamous NSCLC, March 2016 PSDs)</w:t>
      </w:r>
      <w:r w:rsidRPr="009015FA">
        <w:rPr>
          <w:rFonts w:ascii="Arial" w:hAnsi="Arial" w:cs="Arial"/>
          <w:snapToGrid w:val="0"/>
          <w:sz w:val="22"/>
        </w:rPr>
        <w:t xml:space="preserve">. The data presented supported the conclusion of treatment effect modification by PD-L1 status in patients with non-squamous histology, but not in patients with squamous histology. </w:t>
      </w:r>
      <w:r w:rsidRPr="009015FA">
        <w:rPr>
          <w:rFonts w:ascii="Arial" w:hAnsi="Arial" w:cs="Arial"/>
          <w:sz w:val="22"/>
        </w:rPr>
        <w:t xml:space="preserve">The submission raised several issues with the </w:t>
      </w:r>
      <w:proofErr w:type="spellStart"/>
      <w:r w:rsidRPr="009015FA">
        <w:rPr>
          <w:rFonts w:ascii="Arial" w:hAnsi="Arial" w:cs="Arial"/>
          <w:sz w:val="22"/>
        </w:rPr>
        <w:t>CheckMate</w:t>
      </w:r>
      <w:proofErr w:type="spellEnd"/>
      <w:r w:rsidRPr="009015FA">
        <w:rPr>
          <w:rFonts w:ascii="Arial" w:hAnsi="Arial" w:cs="Arial"/>
          <w:sz w:val="22"/>
        </w:rPr>
        <w:t xml:space="preserve"> 017 data:</w:t>
      </w:r>
    </w:p>
    <w:p w:rsidR="00884F24" w:rsidRPr="009015FA" w:rsidRDefault="00884F24" w:rsidP="009C3A29">
      <w:pPr>
        <w:pStyle w:val="ListParagraph"/>
        <w:numPr>
          <w:ilvl w:val="0"/>
          <w:numId w:val="14"/>
        </w:numPr>
        <w:ind w:left="1134"/>
        <w:rPr>
          <w:rFonts w:ascii="Arial" w:hAnsi="Arial" w:cs="Arial"/>
          <w:snapToGrid w:val="0"/>
          <w:sz w:val="22"/>
          <w:szCs w:val="20"/>
        </w:rPr>
      </w:pPr>
      <w:r>
        <w:rPr>
          <w:rFonts w:ascii="Arial" w:hAnsi="Arial" w:cs="Arial"/>
          <w:sz w:val="22"/>
        </w:rPr>
        <w:t>t</w:t>
      </w:r>
      <w:r w:rsidRPr="009015FA">
        <w:rPr>
          <w:rFonts w:ascii="Arial" w:hAnsi="Arial" w:cs="Arial"/>
          <w:sz w:val="22"/>
        </w:rPr>
        <w:t>he</w:t>
      </w:r>
      <w:r w:rsidRPr="009015FA">
        <w:rPr>
          <w:rFonts w:ascii="Arial" w:hAnsi="Arial" w:cs="Arial"/>
          <w:snapToGrid w:val="0"/>
          <w:sz w:val="22"/>
          <w:szCs w:val="20"/>
        </w:rPr>
        <w:t xml:space="preserve"> biological plausibility of a treatment effect variation is equally applicable in squamous as it is in non-squamous (as it relates to the biological effect that the PD-1 antibody has on the ability of the tumour to evade the immune system);</w:t>
      </w:r>
    </w:p>
    <w:p w:rsidR="00884F24" w:rsidRPr="009015FA" w:rsidRDefault="00884F24" w:rsidP="009C3A29">
      <w:pPr>
        <w:pStyle w:val="ListParagraph"/>
        <w:numPr>
          <w:ilvl w:val="0"/>
          <w:numId w:val="14"/>
        </w:numPr>
        <w:ind w:left="1134"/>
        <w:rPr>
          <w:rFonts w:ascii="Arial" w:hAnsi="Arial" w:cs="Arial"/>
          <w:snapToGrid w:val="0"/>
          <w:sz w:val="22"/>
          <w:szCs w:val="20"/>
        </w:rPr>
      </w:pPr>
      <w:r>
        <w:rPr>
          <w:rFonts w:ascii="Arial" w:hAnsi="Arial" w:cs="Arial"/>
          <w:snapToGrid w:val="0"/>
          <w:sz w:val="22"/>
          <w:szCs w:val="20"/>
        </w:rPr>
        <w:t>a</w:t>
      </w:r>
      <w:r w:rsidRPr="009015FA">
        <w:rPr>
          <w:rFonts w:ascii="Arial" w:hAnsi="Arial" w:cs="Arial"/>
          <w:snapToGrid w:val="0"/>
          <w:sz w:val="22"/>
          <w:szCs w:val="20"/>
        </w:rPr>
        <w:t xml:space="preserve"> trend, although not significant, was suggestive of a treatment effect variation by PD-L1 expression;</w:t>
      </w:r>
    </w:p>
    <w:p w:rsidR="00884F24" w:rsidRPr="009015FA" w:rsidRDefault="00884F24" w:rsidP="009C3A29">
      <w:pPr>
        <w:pStyle w:val="ListParagraph"/>
        <w:numPr>
          <w:ilvl w:val="0"/>
          <w:numId w:val="14"/>
        </w:numPr>
        <w:ind w:left="1134"/>
        <w:rPr>
          <w:rFonts w:ascii="Arial" w:hAnsi="Arial" w:cs="Arial"/>
          <w:snapToGrid w:val="0"/>
          <w:sz w:val="22"/>
          <w:szCs w:val="20"/>
        </w:rPr>
      </w:pPr>
      <w:r>
        <w:rPr>
          <w:rFonts w:ascii="Arial" w:hAnsi="Arial" w:cs="Arial"/>
          <w:snapToGrid w:val="0"/>
          <w:sz w:val="22"/>
          <w:szCs w:val="20"/>
        </w:rPr>
        <w:t>a</w:t>
      </w:r>
      <w:r w:rsidRPr="009015FA">
        <w:rPr>
          <w:rFonts w:ascii="Arial" w:hAnsi="Arial" w:cs="Arial"/>
          <w:snapToGrid w:val="0"/>
          <w:sz w:val="22"/>
          <w:szCs w:val="20"/>
        </w:rPr>
        <w:t xml:space="preserve"> substantial proportion of patients (17%) had unquantifiable PD-L1 expression and these patient</w:t>
      </w:r>
      <w:r w:rsidR="00FF1FAE">
        <w:rPr>
          <w:rFonts w:ascii="Arial" w:hAnsi="Arial" w:cs="Arial"/>
          <w:snapToGrid w:val="0"/>
          <w:sz w:val="22"/>
          <w:szCs w:val="20"/>
        </w:rPr>
        <w:t>s</w:t>
      </w:r>
      <w:r w:rsidRPr="009015FA">
        <w:rPr>
          <w:rFonts w:ascii="Arial" w:hAnsi="Arial" w:cs="Arial"/>
          <w:snapToGrid w:val="0"/>
          <w:sz w:val="22"/>
          <w:szCs w:val="20"/>
        </w:rPr>
        <w:t xml:space="preserve"> showed the biggest difference favouring </w:t>
      </w:r>
      <w:proofErr w:type="spellStart"/>
      <w:r w:rsidRPr="009015FA">
        <w:rPr>
          <w:rFonts w:ascii="Arial" w:hAnsi="Arial" w:cs="Arial"/>
          <w:snapToGrid w:val="0"/>
          <w:sz w:val="22"/>
          <w:szCs w:val="20"/>
        </w:rPr>
        <w:t>nivolumab</w:t>
      </w:r>
      <w:proofErr w:type="spellEnd"/>
      <w:r w:rsidRPr="009015FA">
        <w:rPr>
          <w:rFonts w:ascii="Arial" w:hAnsi="Arial" w:cs="Arial"/>
          <w:snapToGrid w:val="0"/>
          <w:sz w:val="22"/>
          <w:szCs w:val="20"/>
        </w:rPr>
        <w:t>; and</w:t>
      </w:r>
    </w:p>
    <w:p w:rsidR="00884F24" w:rsidRPr="009015FA" w:rsidRDefault="00884F24" w:rsidP="009C3A29">
      <w:pPr>
        <w:pStyle w:val="ListParagraph"/>
        <w:numPr>
          <w:ilvl w:val="0"/>
          <w:numId w:val="14"/>
        </w:numPr>
        <w:ind w:left="1134"/>
        <w:rPr>
          <w:rFonts w:ascii="Arial" w:hAnsi="Arial" w:cs="Arial"/>
          <w:snapToGrid w:val="0"/>
          <w:sz w:val="22"/>
          <w:szCs w:val="20"/>
        </w:rPr>
      </w:pPr>
      <w:proofErr w:type="gramStart"/>
      <w:r>
        <w:rPr>
          <w:rFonts w:ascii="Arial" w:hAnsi="Arial" w:cs="Arial"/>
          <w:sz w:val="22"/>
        </w:rPr>
        <w:t>h</w:t>
      </w:r>
      <w:r w:rsidRPr="009015FA">
        <w:rPr>
          <w:rFonts w:ascii="Arial" w:hAnsi="Arial" w:cs="Arial"/>
          <w:sz w:val="22"/>
        </w:rPr>
        <w:t>igher</w:t>
      </w:r>
      <w:proofErr w:type="gramEnd"/>
      <w:r w:rsidRPr="009015FA">
        <w:rPr>
          <w:rFonts w:ascii="Arial" w:hAnsi="Arial" w:cs="Arial"/>
          <w:snapToGrid w:val="0"/>
          <w:sz w:val="22"/>
          <w:szCs w:val="20"/>
        </w:rPr>
        <w:t xml:space="preserve"> PD-L1 expression </w:t>
      </w:r>
      <w:r w:rsidR="00FF1FAE">
        <w:rPr>
          <w:rFonts w:ascii="Arial" w:hAnsi="Arial" w:cs="Arial"/>
          <w:snapToGrid w:val="0"/>
          <w:sz w:val="22"/>
          <w:szCs w:val="20"/>
        </w:rPr>
        <w:t>thresholds</w:t>
      </w:r>
      <w:r w:rsidRPr="009015FA">
        <w:rPr>
          <w:rFonts w:ascii="Arial" w:hAnsi="Arial" w:cs="Arial"/>
          <w:snapToGrid w:val="0"/>
          <w:sz w:val="22"/>
          <w:szCs w:val="20"/>
        </w:rPr>
        <w:t xml:space="preserve"> were associated with fewer patient numbers.</w:t>
      </w:r>
    </w:p>
    <w:p w:rsidR="00884F24" w:rsidRPr="009015FA" w:rsidRDefault="00884F24" w:rsidP="00884F24">
      <w:pPr>
        <w:rPr>
          <w:rFonts w:ascii="Arial" w:hAnsi="Arial" w:cs="Arial"/>
          <w:sz w:val="22"/>
        </w:rPr>
      </w:pPr>
    </w:p>
    <w:p w:rsidR="00884F24" w:rsidRPr="009015FA" w:rsidRDefault="00884F24" w:rsidP="009C3A29">
      <w:pPr>
        <w:pStyle w:val="ListParagraph"/>
        <w:numPr>
          <w:ilvl w:val="1"/>
          <w:numId w:val="3"/>
        </w:numPr>
        <w:ind w:left="720"/>
        <w:rPr>
          <w:rFonts w:ascii="Arial" w:hAnsi="Arial" w:cs="Arial"/>
          <w:sz w:val="22"/>
        </w:rPr>
      </w:pPr>
      <w:r w:rsidRPr="009015FA">
        <w:rPr>
          <w:rFonts w:ascii="Arial" w:hAnsi="Arial" w:cs="Arial"/>
          <w:sz w:val="22"/>
        </w:rPr>
        <w:t xml:space="preserve">The literature has </w:t>
      </w:r>
      <w:r>
        <w:rPr>
          <w:rFonts w:ascii="Arial" w:hAnsi="Arial" w:cs="Arial"/>
          <w:sz w:val="22"/>
        </w:rPr>
        <w:t>reported</w:t>
      </w:r>
      <w:r w:rsidRPr="009015FA">
        <w:rPr>
          <w:rFonts w:ascii="Arial" w:hAnsi="Arial" w:cs="Arial"/>
          <w:sz w:val="22"/>
        </w:rPr>
        <w:t xml:space="preserve"> inconsistencies in the treatment effect variation of PD-L1 expression on the effectiveness of PD-1 /PD-L1 inhibitors, across squamous and non-squamous histology subtypes. A meta-analysis by </w:t>
      </w:r>
      <w:proofErr w:type="spellStart"/>
      <w:r w:rsidRPr="009015FA">
        <w:rPr>
          <w:rFonts w:ascii="Arial" w:hAnsi="Arial" w:cs="Arial"/>
          <w:sz w:val="22"/>
        </w:rPr>
        <w:t>Gandini</w:t>
      </w:r>
      <w:proofErr w:type="spellEnd"/>
      <w:r w:rsidRPr="009015FA">
        <w:rPr>
          <w:rFonts w:ascii="Arial" w:hAnsi="Arial" w:cs="Arial"/>
          <w:sz w:val="22"/>
        </w:rPr>
        <w:t xml:space="preserve"> et al (2016)</w:t>
      </w:r>
      <w:r w:rsidRPr="009015FA">
        <w:rPr>
          <w:rStyle w:val="FootnoteReference"/>
          <w:rFonts w:ascii="Arial" w:hAnsi="Arial" w:cs="Arial"/>
          <w:sz w:val="22"/>
        </w:rPr>
        <w:footnoteReference w:id="6"/>
      </w:r>
      <w:r w:rsidRPr="009015FA">
        <w:rPr>
          <w:rFonts w:ascii="Arial" w:hAnsi="Arial" w:cs="Arial"/>
          <w:sz w:val="22"/>
        </w:rPr>
        <w:t xml:space="preserve"> showed that PD-L1 expression correlated with the clinical response to antibodies targeting the PD-1/PD-L1 axis in non-squamous NSCLC and not in squamous NSCLC (odds ratio (OR) of summary objective response rate for PD-L1 positive </w:t>
      </w:r>
      <w:proofErr w:type="spellStart"/>
      <w:r w:rsidRPr="009015FA">
        <w:rPr>
          <w:rFonts w:ascii="Arial" w:hAnsi="Arial" w:cs="Arial"/>
          <w:sz w:val="22"/>
        </w:rPr>
        <w:t>vs</w:t>
      </w:r>
      <w:proofErr w:type="spellEnd"/>
      <w:r w:rsidRPr="009015FA">
        <w:rPr>
          <w:rFonts w:ascii="Arial" w:hAnsi="Arial" w:cs="Arial"/>
          <w:sz w:val="22"/>
        </w:rPr>
        <w:t xml:space="preserve"> negative: squamous NSCLC: OR = 1.49; 95% CI 0.48, 4.64; non-squamous NSCLC: OR = 3.78; 95% CI 1.54, 9.24).</w:t>
      </w:r>
    </w:p>
    <w:p w:rsidR="00884F24" w:rsidRPr="009015FA" w:rsidRDefault="00884F24" w:rsidP="00884F24">
      <w:pPr>
        <w:rPr>
          <w:rFonts w:ascii="Arial" w:hAnsi="Arial" w:cs="Arial"/>
          <w:sz w:val="22"/>
        </w:rPr>
      </w:pPr>
    </w:p>
    <w:p w:rsidR="00884F24" w:rsidRDefault="00884F24" w:rsidP="009C3A29">
      <w:pPr>
        <w:pStyle w:val="ListParagraph"/>
        <w:numPr>
          <w:ilvl w:val="1"/>
          <w:numId w:val="3"/>
        </w:numPr>
        <w:ind w:left="720"/>
        <w:rPr>
          <w:rFonts w:ascii="Arial" w:hAnsi="Arial" w:cs="Arial"/>
          <w:sz w:val="22"/>
        </w:rPr>
      </w:pPr>
      <w:proofErr w:type="spellStart"/>
      <w:r w:rsidRPr="009015FA">
        <w:rPr>
          <w:rFonts w:ascii="Arial" w:hAnsi="Arial" w:cs="Arial"/>
          <w:sz w:val="22"/>
        </w:rPr>
        <w:t>Nivolumab</w:t>
      </w:r>
      <w:proofErr w:type="spellEnd"/>
      <w:r w:rsidRPr="009015FA">
        <w:rPr>
          <w:rFonts w:ascii="Arial" w:hAnsi="Arial" w:cs="Arial"/>
          <w:sz w:val="22"/>
        </w:rPr>
        <w:t xml:space="preserve"> data in squamous NSCLC from CheckMate-017 (</w:t>
      </w:r>
      <w:proofErr w:type="spellStart"/>
      <w:r w:rsidRPr="009015FA">
        <w:rPr>
          <w:rFonts w:ascii="Arial" w:hAnsi="Arial" w:cs="Arial"/>
          <w:sz w:val="22"/>
        </w:rPr>
        <w:t>Brahmer</w:t>
      </w:r>
      <w:proofErr w:type="spellEnd"/>
      <w:r w:rsidRPr="009015FA">
        <w:rPr>
          <w:rFonts w:ascii="Arial" w:hAnsi="Arial" w:cs="Arial"/>
          <w:sz w:val="22"/>
        </w:rPr>
        <w:t xml:space="preserve"> (2015)) indicated the benefit of </w:t>
      </w:r>
      <w:proofErr w:type="spellStart"/>
      <w:r w:rsidRPr="009015FA">
        <w:rPr>
          <w:rFonts w:ascii="Arial" w:hAnsi="Arial" w:cs="Arial"/>
          <w:sz w:val="22"/>
        </w:rPr>
        <w:t>nivolumab</w:t>
      </w:r>
      <w:proofErr w:type="spellEnd"/>
      <w:r w:rsidRPr="009015FA">
        <w:rPr>
          <w:rFonts w:ascii="Arial" w:hAnsi="Arial" w:cs="Arial"/>
          <w:sz w:val="22"/>
        </w:rPr>
        <w:t xml:space="preserve"> over </w:t>
      </w:r>
      <w:proofErr w:type="spellStart"/>
      <w:r w:rsidRPr="009015FA">
        <w:rPr>
          <w:rFonts w:ascii="Arial" w:hAnsi="Arial" w:cs="Arial"/>
          <w:sz w:val="22"/>
        </w:rPr>
        <w:t>docetaxel</w:t>
      </w:r>
      <w:proofErr w:type="spellEnd"/>
      <w:r w:rsidRPr="009015FA">
        <w:rPr>
          <w:rFonts w:ascii="Arial" w:hAnsi="Arial" w:cs="Arial"/>
          <w:sz w:val="22"/>
        </w:rPr>
        <w:t xml:space="preserve"> was independent from PD-L1 expression regardless of the </w:t>
      </w:r>
      <w:r w:rsidR="00FF1FAE">
        <w:rPr>
          <w:rFonts w:ascii="Arial" w:hAnsi="Arial" w:cs="Arial"/>
          <w:sz w:val="22"/>
        </w:rPr>
        <w:t>threshold</w:t>
      </w:r>
      <w:r w:rsidRPr="009015FA">
        <w:rPr>
          <w:rFonts w:ascii="Arial" w:hAnsi="Arial" w:cs="Arial"/>
          <w:sz w:val="22"/>
        </w:rPr>
        <w:t xml:space="preserve"> used. In contrast, there was a convincing treatment effect variation with PD-L1 expression in the </w:t>
      </w:r>
      <w:proofErr w:type="spellStart"/>
      <w:r w:rsidRPr="009015FA">
        <w:rPr>
          <w:rFonts w:ascii="Arial" w:hAnsi="Arial" w:cs="Arial"/>
          <w:sz w:val="22"/>
        </w:rPr>
        <w:t>nivolumab</w:t>
      </w:r>
      <w:proofErr w:type="spellEnd"/>
      <w:r w:rsidRPr="009015FA">
        <w:rPr>
          <w:rFonts w:ascii="Arial" w:hAnsi="Arial" w:cs="Arial"/>
          <w:sz w:val="22"/>
        </w:rPr>
        <w:t xml:space="preserve"> versus </w:t>
      </w:r>
      <w:proofErr w:type="spellStart"/>
      <w:r w:rsidRPr="009015FA">
        <w:rPr>
          <w:rFonts w:ascii="Arial" w:hAnsi="Arial" w:cs="Arial"/>
          <w:sz w:val="22"/>
        </w:rPr>
        <w:t>docetaxel</w:t>
      </w:r>
      <w:proofErr w:type="spellEnd"/>
      <w:r w:rsidRPr="009015FA">
        <w:rPr>
          <w:rFonts w:ascii="Arial" w:hAnsi="Arial" w:cs="Arial"/>
          <w:sz w:val="22"/>
        </w:rPr>
        <w:t xml:space="preserve"> non-squamous trial (CheckMate-057, </w:t>
      </w:r>
      <w:proofErr w:type="spellStart"/>
      <w:r w:rsidRPr="009015FA">
        <w:rPr>
          <w:rFonts w:ascii="Arial" w:hAnsi="Arial" w:cs="Arial"/>
          <w:sz w:val="22"/>
        </w:rPr>
        <w:t>Borghaei</w:t>
      </w:r>
      <w:proofErr w:type="spellEnd"/>
      <w:r w:rsidRPr="009015FA">
        <w:rPr>
          <w:rFonts w:ascii="Arial" w:hAnsi="Arial" w:cs="Arial"/>
          <w:sz w:val="22"/>
        </w:rPr>
        <w:t xml:space="preserve"> (2015) and Horn (2015)). Overall, there are inadequate robust data currently available to support a confident position in this regard.</w:t>
      </w:r>
    </w:p>
    <w:p w:rsidR="002B1E84" w:rsidRPr="009015FA" w:rsidRDefault="002B1E84" w:rsidP="002B1E84">
      <w:pPr>
        <w:pStyle w:val="ListParagraph"/>
        <w:ind w:left="0" w:firstLine="0"/>
        <w:rPr>
          <w:rFonts w:ascii="Arial" w:hAnsi="Arial" w:cs="Arial"/>
          <w:sz w:val="22"/>
        </w:rPr>
      </w:pPr>
    </w:p>
    <w:p w:rsidR="0014359C" w:rsidRPr="008A2B3C" w:rsidRDefault="0014359C" w:rsidP="002B1E84">
      <w:pPr>
        <w:pStyle w:val="Heading2"/>
        <w:spacing w:before="0" w:beforeAutospacing="0" w:after="0" w:afterAutospacing="0"/>
        <w:rPr>
          <w:rFonts w:ascii="Arial" w:hAnsi="Arial" w:cs="Arial"/>
          <w:b/>
          <w:sz w:val="22"/>
          <w:szCs w:val="22"/>
        </w:rPr>
      </w:pPr>
      <w:r w:rsidRPr="008A2B3C">
        <w:rPr>
          <w:rFonts w:ascii="Arial" w:hAnsi="Arial" w:cs="Arial"/>
          <w:b/>
          <w:sz w:val="22"/>
          <w:szCs w:val="22"/>
        </w:rPr>
        <w:t xml:space="preserve">Economic </w:t>
      </w:r>
      <w:bookmarkEnd w:id="34"/>
      <w:r w:rsidRPr="008A2B3C">
        <w:rPr>
          <w:rFonts w:ascii="Arial" w:hAnsi="Arial" w:cs="Arial"/>
          <w:b/>
          <w:sz w:val="22"/>
          <w:szCs w:val="22"/>
        </w:rPr>
        <w:t>analysis</w:t>
      </w:r>
    </w:p>
    <w:p w:rsidR="002B1E84" w:rsidRPr="009015FA" w:rsidRDefault="002B1E84" w:rsidP="002B1E84">
      <w:pPr>
        <w:pStyle w:val="ListParagraph"/>
        <w:ind w:left="0" w:firstLine="0"/>
        <w:rPr>
          <w:rFonts w:ascii="Arial" w:hAnsi="Arial" w:cs="Arial"/>
          <w:sz w:val="22"/>
        </w:rPr>
      </w:pPr>
      <w:bookmarkStart w:id="37" w:name="_Toc431891745"/>
      <w:bookmarkStart w:id="38" w:name="_Toc431891753"/>
      <w:bookmarkEnd w:id="35"/>
      <w:bookmarkEnd w:id="36"/>
    </w:p>
    <w:p w:rsidR="00DD1111"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A modelled economic evaluation, </w:t>
      </w:r>
      <w:r w:rsidR="00DD1111">
        <w:rPr>
          <w:rFonts w:ascii="Arial" w:hAnsi="Arial" w:cs="Arial"/>
          <w:sz w:val="22"/>
        </w:rPr>
        <w:t>cost-utility analysis (</w:t>
      </w:r>
      <w:r w:rsidRPr="009015FA">
        <w:rPr>
          <w:rFonts w:ascii="Arial" w:hAnsi="Arial" w:cs="Arial"/>
          <w:sz w:val="22"/>
        </w:rPr>
        <w:t>CUA</w:t>
      </w:r>
      <w:r w:rsidR="00DD1111">
        <w:rPr>
          <w:rFonts w:ascii="Arial" w:hAnsi="Arial" w:cs="Arial"/>
          <w:sz w:val="22"/>
        </w:rPr>
        <w:t>)</w:t>
      </w:r>
      <w:r w:rsidRPr="009015FA">
        <w:rPr>
          <w:rFonts w:ascii="Arial" w:hAnsi="Arial" w:cs="Arial"/>
          <w:sz w:val="22"/>
        </w:rPr>
        <w:t xml:space="preserve"> and </w:t>
      </w:r>
      <w:r w:rsidR="00DD1111">
        <w:rPr>
          <w:rFonts w:ascii="Arial" w:hAnsi="Arial" w:cs="Arial"/>
          <w:sz w:val="22"/>
        </w:rPr>
        <w:t>cost-effectiveness analysis (</w:t>
      </w:r>
      <w:r w:rsidRPr="009015FA">
        <w:rPr>
          <w:rFonts w:ascii="Arial" w:hAnsi="Arial" w:cs="Arial"/>
          <w:sz w:val="22"/>
        </w:rPr>
        <w:t>CEA</w:t>
      </w:r>
      <w:r w:rsidR="00DD1111">
        <w:rPr>
          <w:rFonts w:ascii="Arial" w:hAnsi="Arial" w:cs="Arial"/>
          <w:sz w:val="22"/>
        </w:rPr>
        <w:t>)</w:t>
      </w:r>
      <w:r w:rsidRPr="009015FA">
        <w:rPr>
          <w:rFonts w:ascii="Arial" w:hAnsi="Arial" w:cs="Arial"/>
          <w:sz w:val="22"/>
        </w:rPr>
        <w:t xml:space="preserve"> (life-years gained), was presented based on the claims of</w:t>
      </w:r>
      <w:r w:rsidR="00DD1111">
        <w:rPr>
          <w:rFonts w:ascii="Arial" w:hAnsi="Arial" w:cs="Arial"/>
          <w:sz w:val="22"/>
        </w:rPr>
        <w:t>:</w:t>
      </w:r>
    </w:p>
    <w:p w:rsidR="00DD1111" w:rsidRDefault="0095055D" w:rsidP="009C3A29">
      <w:pPr>
        <w:pStyle w:val="ListParagraph"/>
        <w:numPr>
          <w:ilvl w:val="0"/>
          <w:numId w:val="15"/>
        </w:numPr>
        <w:ind w:left="1276" w:hanging="425"/>
        <w:rPr>
          <w:rFonts w:ascii="Arial" w:hAnsi="Arial" w:cs="Arial"/>
          <w:sz w:val="22"/>
        </w:rPr>
      </w:pPr>
      <w:r w:rsidRPr="009015FA">
        <w:rPr>
          <w:rFonts w:ascii="Arial" w:hAnsi="Arial" w:cs="Arial"/>
          <w:sz w:val="22"/>
        </w:rPr>
        <w:t xml:space="preserve">superior </w:t>
      </w:r>
      <w:r w:rsidRPr="002B1E84">
        <w:rPr>
          <w:rFonts w:ascii="Arial" w:hAnsi="Arial" w:cs="Arial"/>
          <w:snapToGrid w:val="0"/>
          <w:sz w:val="22"/>
          <w:szCs w:val="20"/>
        </w:rPr>
        <w:t>effectiveness</w:t>
      </w:r>
      <w:r w:rsidRPr="009015FA">
        <w:rPr>
          <w:rFonts w:ascii="Arial" w:hAnsi="Arial" w:cs="Arial"/>
          <w:sz w:val="22"/>
        </w:rPr>
        <w:t xml:space="preserve"> and safety </w:t>
      </w:r>
      <w:r w:rsidR="00DD1111">
        <w:rPr>
          <w:rFonts w:ascii="Arial" w:hAnsi="Arial" w:cs="Arial"/>
          <w:sz w:val="22"/>
        </w:rPr>
        <w:t xml:space="preserve">of pembrolizumab </w:t>
      </w:r>
      <w:r w:rsidRPr="009015FA">
        <w:rPr>
          <w:rFonts w:ascii="Arial" w:hAnsi="Arial" w:cs="Arial"/>
          <w:sz w:val="22"/>
        </w:rPr>
        <w:t xml:space="preserve">compared to </w:t>
      </w:r>
      <w:proofErr w:type="spellStart"/>
      <w:r w:rsidRPr="009015FA">
        <w:rPr>
          <w:rFonts w:ascii="Arial" w:hAnsi="Arial" w:cs="Arial"/>
          <w:sz w:val="22"/>
        </w:rPr>
        <w:t>docetaxel</w:t>
      </w:r>
      <w:proofErr w:type="spellEnd"/>
      <w:r w:rsidRPr="009015FA">
        <w:rPr>
          <w:rFonts w:ascii="Arial" w:hAnsi="Arial" w:cs="Arial"/>
          <w:sz w:val="22"/>
        </w:rPr>
        <w:t xml:space="preserve"> in patients with squamous NSCLC who strongly express PD-L1 (TPS ≥50%); and </w:t>
      </w:r>
    </w:p>
    <w:p w:rsidR="00DD1111" w:rsidRDefault="0095055D" w:rsidP="009C3A29">
      <w:pPr>
        <w:pStyle w:val="ListParagraph"/>
        <w:numPr>
          <w:ilvl w:val="0"/>
          <w:numId w:val="15"/>
        </w:numPr>
        <w:ind w:left="1276" w:hanging="425"/>
        <w:rPr>
          <w:rFonts w:ascii="Arial" w:hAnsi="Arial" w:cs="Arial"/>
          <w:sz w:val="22"/>
        </w:rPr>
      </w:pPr>
      <w:proofErr w:type="gramStart"/>
      <w:r w:rsidRPr="009015FA">
        <w:rPr>
          <w:rFonts w:ascii="Arial" w:hAnsi="Arial" w:cs="Arial"/>
          <w:sz w:val="22"/>
        </w:rPr>
        <w:t>superior</w:t>
      </w:r>
      <w:proofErr w:type="gramEnd"/>
      <w:r w:rsidRPr="009015FA">
        <w:rPr>
          <w:rFonts w:ascii="Arial" w:hAnsi="Arial" w:cs="Arial"/>
          <w:sz w:val="22"/>
        </w:rPr>
        <w:t xml:space="preserve"> </w:t>
      </w:r>
      <w:r w:rsidRPr="002B1E84">
        <w:rPr>
          <w:rFonts w:ascii="Arial" w:hAnsi="Arial" w:cs="Arial"/>
          <w:snapToGrid w:val="0"/>
          <w:sz w:val="22"/>
          <w:szCs w:val="20"/>
        </w:rPr>
        <w:t>effectiveness</w:t>
      </w:r>
      <w:r w:rsidRPr="009015FA">
        <w:rPr>
          <w:rFonts w:ascii="Arial" w:hAnsi="Arial" w:cs="Arial"/>
          <w:sz w:val="22"/>
        </w:rPr>
        <w:t xml:space="preserve"> and non-inferior safety </w:t>
      </w:r>
      <w:r w:rsidR="00DD1111">
        <w:rPr>
          <w:rFonts w:ascii="Arial" w:hAnsi="Arial" w:cs="Arial"/>
          <w:sz w:val="22"/>
        </w:rPr>
        <w:t xml:space="preserve">of pembrolizumab </w:t>
      </w:r>
      <w:r w:rsidRPr="009015FA">
        <w:rPr>
          <w:rFonts w:ascii="Arial" w:hAnsi="Arial" w:cs="Arial"/>
          <w:sz w:val="22"/>
        </w:rPr>
        <w:t xml:space="preserve">compared to </w:t>
      </w:r>
      <w:proofErr w:type="spellStart"/>
      <w:r w:rsidRPr="009015FA">
        <w:rPr>
          <w:rFonts w:ascii="Arial" w:hAnsi="Arial" w:cs="Arial"/>
          <w:sz w:val="22"/>
        </w:rPr>
        <w:t>pemetrexed</w:t>
      </w:r>
      <w:proofErr w:type="spellEnd"/>
      <w:r w:rsidRPr="009015FA">
        <w:rPr>
          <w:rFonts w:ascii="Arial" w:hAnsi="Arial" w:cs="Arial"/>
          <w:sz w:val="22"/>
        </w:rPr>
        <w:t xml:space="preserve"> in patients with non-squamous histology who str</w:t>
      </w:r>
      <w:r w:rsidR="00663733">
        <w:rPr>
          <w:rFonts w:ascii="Arial" w:hAnsi="Arial" w:cs="Arial"/>
          <w:sz w:val="22"/>
        </w:rPr>
        <w:t>ongly express PD-L1 (TPS ≥50%).</w:t>
      </w:r>
    </w:p>
    <w:p w:rsidR="00EC7F28" w:rsidRPr="009015FA" w:rsidRDefault="0095055D" w:rsidP="00EC7F28">
      <w:pPr>
        <w:pStyle w:val="ListParagraph"/>
        <w:ind w:left="720" w:firstLine="0"/>
        <w:rPr>
          <w:rFonts w:ascii="Arial" w:hAnsi="Arial" w:cs="Arial"/>
          <w:sz w:val="22"/>
        </w:rPr>
      </w:pPr>
      <w:r w:rsidRPr="009015FA">
        <w:rPr>
          <w:rFonts w:ascii="Arial" w:hAnsi="Arial" w:cs="Arial"/>
          <w:sz w:val="22"/>
        </w:rPr>
        <w:t xml:space="preserve">The submission presented an ICER of </w:t>
      </w:r>
      <w:r w:rsidR="006101B6">
        <w:rPr>
          <w:rFonts w:ascii="Arial" w:hAnsi="Arial" w:cs="Arial"/>
          <w:sz w:val="22"/>
        </w:rPr>
        <w:t xml:space="preserve">$45,000 - $75,000 per </w:t>
      </w:r>
      <w:r w:rsidRPr="009015FA">
        <w:rPr>
          <w:rFonts w:ascii="Arial" w:hAnsi="Arial" w:cs="Arial"/>
          <w:sz w:val="22"/>
        </w:rPr>
        <w:t>quality-adjusted life year</w:t>
      </w:r>
      <w:r w:rsidR="00DD1111">
        <w:rPr>
          <w:rFonts w:ascii="Arial" w:hAnsi="Arial" w:cs="Arial"/>
          <w:sz w:val="22"/>
        </w:rPr>
        <w:t xml:space="preserve"> (QALY</w:t>
      </w:r>
      <w:r w:rsidRPr="009015FA">
        <w:rPr>
          <w:rFonts w:ascii="Arial" w:hAnsi="Arial" w:cs="Arial"/>
          <w:sz w:val="22"/>
        </w:rPr>
        <w:t xml:space="preserve">) based on OS and PFS data from the KN-010 trial and </w:t>
      </w:r>
      <w:r w:rsidR="00DD1111">
        <w:rPr>
          <w:rFonts w:ascii="Arial" w:hAnsi="Arial" w:cs="Arial"/>
          <w:sz w:val="22"/>
        </w:rPr>
        <w:t>the</w:t>
      </w:r>
      <w:r w:rsidRPr="009015FA">
        <w:rPr>
          <w:rFonts w:ascii="Arial" w:hAnsi="Arial" w:cs="Arial"/>
          <w:sz w:val="22"/>
        </w:rPr>
        <w:t xml:space="preserve"> HR from an indirect comparison </w:t>
      </w:r>
      <w:r w:rsidR="00DD1111">
        <w:rPr>
          <w:rFonts w:ascii="Arial" w:hAnsi="Arial" w:cs="Arial"/>
          <w:sz w:val="22"/>
        </w:rPr>
        <w:t>using</w:t>
      </w:r>
      <w:r w:rsidRPr="009015FA">
        <w:rPr>
          <w:rFonts w:ascii="Arial" w:hAnsi="Arial" w:cs="Arial"/>
          <w:sz w:val="22"/>
        </w:rPr>
        <w:t xml:space="preserve"> KN-010 and </w:t>
      </w:r>
      <w:proofErr w:type="spellStart"/>
      <w:r w:rsidRPr="009015FA">
        <w:rPr>
          <w:rFonts w:ascii="Arial" w:hAnsi="Arial" w:cs="Arial"/>
          <w:sz w:val="22"/>
        </w:rPr>
        <w:t>Scagliotti</w:t>
      </w:r>
      <w:proofErr w:type="spellEnd"/>
      <w:r w:rsidRPr="009015FA">
        <w:rPr>
          <w:rFonts w:ascii="Arial" w:hAnsi="Arial" w:cs="Arial"/>
          <w:sz w:val="22"/>
        </w:rPr>
        <w:t xml:space="preserve"> et al (2009), extrapolated to 7 years (from </w:t>
      </w:r>
      <w:r w:rsidR="00DD1111">
        <w:rPr>
          <w:rFonts w:ascii="Arial" w:hAnsi="Arial" w:cs="Arial"/>
          <w:sz w:val="22"/>
        </w:rPr>
        <w:t xml:space="preserve">a </w:t>
      </w:r>
      <w:r w:rsidRPr="009015FA">
        <w:rPr>
          <w:rFonts w:ascii="Arial" w:hAnsi="Arial" w:cs="Arial"/>
          <w:sz w:val="22"/>
        </w:rPr>
        <w:t xml:space="preserve">median </w:t>
      </w:r>
      <w:r w:rsidR="00DD1111">
        <w:rPr>
          <w:rFonts w:ascii="Arial" w:hAnsi="Arial" w:cs="Arial"/>
          <w:sz w:val="22"/>
        </w:rPr>
        <w:t xml:space="preserve">follow-up of </w:t>
      </w:r>
      <w:r w:rsidRPr="009015FA">
        <w:rPr>
          <w:rFonts w:ascii="Arial" w:hAnsi="Arial" w:cs="Arial"/>
          <w:sz w:val="22"/>
        </w:rPr>
        <w:t xml:space="preserve">13.1 months in </w:t>
      </w:r>
      <w:r w:rsidR="00DD1111">
        <w:rPr>
          <w:rFonts w:ascii="Arial" w:hAnsi="Arial" w:cs="Arial"/>
          <w:sz w:val="22"/>
        </w:rPr>
        <w:t>KN-010</w:t>
      </w:r>
      <w:r w:rsidRPr="009015FA">
        <w:rPr>
          <w:rFonts w:ascii="Arial" w:hAnsi="Arial" w:cs="Arial"/>
          <w:sz w:val="22"/>
        </w:rPr>
        <w:t>) and applying utility weights from the KN-010 trial</w:t>
      </w:r>
      <w:r w:rsidR="00956B85" w:rsidRPr="009015FA">
        <w:rPr>
          <w:rFonts w:ascii="Arial" w:hAnsi="Arial" w:cs="Arial"/>
          <w:sz w:val="22"/>
        </w:rPr>
        <w:t>.</w:t>
      </w:r>
    </w:p>
    <w:p w:rsidR="0095055D" w:rsidRPr="009015FA" w:rsidRDefault="0095055D" w:rsidP="00956B85">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evidence presented in the submission did not support these claims. The submission’s claim of superiority in patients with squamous histology was generalised based on the whole TPS ≥50% population of KN-010. This was not appropriate. In patients with squamous histology, no significant difference in OS or PFS was observed. In patients with non-squamous histology, the claim was based on the results from an indirect comparison of datasets sourced from different settings and populations which were unlikely to be </w:t>
      </w:r>
      <w:r w:rsidR="005F2206">
        <w:rPr>
          <w:rFonts w:ascii="Arial" w:hAnsi="Arial" w:cs="Arial"/>
          <w:sz w:val="22"/>
        </w:rPr>
        <w:t xml:space="preserve">sufficiently </w:t>
      </w:r>
      <w:r w:rsidRPr="009015FA">
        <w:rPr>
          <w:rFonts w:ascii="Arial" w:hAnsi="Arial" w:cs="Arial"/>
          <w:sz w:val="22"/>
        </w:rPr>
        <w:t>exchangeable to enable a meaningful comparison of outcomes.</w:t>
      </w:r>
    </w:p>
    <w:p w:rsidR="00DD1111" w:rsidRDefault="00DD1111" w:rsidP="00222F2D">
      <w:pPr>
        <w:pStyle w:val="ListParagraph"/>
        <w:ind w:left="0" w:firstLine="0"/>
        <w:rPr>
          <w:rFonts w:ascii="Arial" w:hAnsi="Arial" w:cs="Arial"/>
          <w:sz w:val="22"/>
        </w:rPr>
      </w:pPr>
    </w:p>
    <w:p w:rsidR="00DD1111" w:rsidRPr="00675587" w:rsidRDefault="00DD1111" w:rsidP="009C3A29">
      <w:pPr>
        <w:pStyle w:val="ListParagraph"/>
        <w:numPr>
          <w:ilvl w:val="1"/>
          <w:numId w:val="3"/>
        </w:numPr>
        <w:ind w:left="720"/>
        <w:rPr>
          <w:rFonts w:ascii="Arial" w:hAnsi="Arial" w:cs="Arial"/>
          <w:sz w:val="22"/>
        </w:rPr>
      </w:pPr>
      <w:r w:rsidRPr="00675587">
        <w:rPr>
          <w:rFonts w:ascii="Arial" w:hAnsi="Arial" w:cs="Arial"/>
          <w:sz w:val="22"/>
        </w:rPr>
        <w:t>The ESC</w:t>
      </w:r>
      <w:r w:rsidR="00F01BA7" w:rsidRPr="00675587">
        <w:rPr>
          <w:rFonts w:ascii="Arial" w:hAnsi="Arial" w:cs="Arial"/>
          <w:sz w:val="22"/>
        </w:rPr>
        <w:t>s</w:t>
      </w:r>
      <w:r w:rsidRPr="00675587">
        <w:rPr>
          <w:rFonts w:ascii="Arial" w:hAnsi="Arial" w:cs="Arial"/>
          <w:sz w:val="22"/>
        </w:rPr>
        <w:t xml:space="preserve"> agreed with the commentary</w:t>
      </w:r>
      <w:r w:rsidR="00B65685" w:rsidRPr="00675587">
        <w:rPr>
          <w:rFonts w:ascii="Arial" w:hAnsi="Arial" w:cs="Arial"/>
          <w:sz w:val="22"/>
        </w:rPr>
        <w:t xml:space="preserve"> that the clinical claims made in the submission, which were used as the basis for economic modelling, were</w:t>
      </w:r>
      <w:r w:rsidRPr="00675587">
        <w:rPr>
          <w:rFonts w:ascii="Arial" w:hAnsi="Arial" w:cs="Arial"/>
          <w:sz w:val="22"/>
        </w:rPr>
        <w:t xml:space="preserve"> not substantiated by the</w:t>
      </w:r>
      <w:r w:rsidR="00B65685" w:rsidRPr="00675587">
        <w:rPr>
          <w:rFonts w:ascii="Arial" w:hAnsi="Arial" w:cs="Arial"/>
          <w:sz w:val="22"/>
        </w:rPr>
        <w:t xml:space="preserve"> clinical</w:t>
      </w:r>
      <w:r w:rsidRPr="00675587">
        <w:rPr>
          <w:rFonts w:ascii="Arial" w:hAnsi="Arial" w:cs="Arial"/>
          <w:sz w:val="22"/>
        </w:rPr>
        <w:t xml:space="preserve"> evidence presented in the submission. </w:t>
      </w:r>
      <w:r w:rsidR="00F01BA7" w:rsidRPr="00675587">
        <w:rPr>
          <w:rFonts w:ascii="Arial" w:hAnsi="Arial" w:cs="Arial"/>
          <w:sz w:val="22"/>
        </w:rPr>
        <w:t>Therefore the ESC</w:t>
      </w:r>
      <w:r w:rsidR="002D58A2" w:rsidRPr="00675587">
        <w:rPr>
          <w:rFonts w:ascii="Arial" w:hAnsi="Arial" w:cs="Arial"/>
          <w:sz w:val="22"/>
        </w:rPr>
        <w:t xml:space="preserve">s </w:t>
      </w:r>
      <w:r w:rsidR="00F01BA7" w:rsidRPr="00675587">
        <w:rPr>
          <w:rFonts w:ascii="Arial" w:hAnsi="Arial" w:cs="Arial"/>
          <w:sz w:val="22"/>
        </w:rPr>
        <w:t xml:space="preserve">were </w:t>
      </w:r>
      <w:r w:rsidR="002D58A2" w:rsidRPr="00675587">
        <w:rPr>
          <w:rFonts w:ascii="Arial" w:hAnsi="Arial" w:cs="Arial"/>
          <w:sz w:val="22"/>
        </w:rPr>
        <w:t>concerned that the overarching issues in the economic analysis were grounded in issues with the clinical eviden</w:t>
      </w:r>
      <w:r w:rsidR="00222F2D" w:rsidRPr="00675587">
        <w:rPr>
          <w:rFonts w:ascii="Arial" w:hAnsi="Arial" w:cs="Arial"/>
          <w:sz w:val="22"/>
        </w:rPr>
        <w:t>ce presented in the submission.</w:t>
      </w:r>
    </w:p>
    <w:p w:rsidR="00222F2D" w:rsidRDefault="00222F2D" w:rsidP="00222F2D">
      <w:pPr>
        <w:pStyle w:val="ListParagraph"/>
        <w:ind w:left="0" w:firstLine="0"/>
        <w:rPr>
          <w:rFonts w:ascii="Arial" w:hAnsi="Arial" w:cs="Arial"/>
          <w:sz w:val="22"/>
        </w:rPr>
      </w:pPr>
      <w:bookmarkStart w:id="39" w:name="_Toc431891746"/>
      <w:bookmarkEnd w:id="37"/>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Translation issues identified by the submission are presented in Table 1</w:t>
      </w:r>
      <w:r w:rsidR="006405DD">
        <w:rPr>
          <w:rFonts w:ascii="Arial" w:hAnsi="Arial" w:cs="Arial"/>
          <w:sz w:val="22"/>
        </w:rPr>
        <w:t>6</w:t>
      </w:r>
      <w:r w:rsidR="00956B85" w:rsidRPr="009015FA">
        <w:rPr>
          <w:rFonts w:ascii="Arial" w:hAnsi="Arial" w:cs="Arial"/>
          <w:sz w:val="22"/>
        </w:rPr>
        <w:t>.</w:t>
      </w:r>
    </w:p>
    <w:p w:rsidR="0095055D" w:rsidRPr="00222F2D" w:rsidRDefault="0095055D" w:rsidP="00A36DD4">
      <w:pPr>
        <w:rPr>
          <w:rFonts w:ascii="Arial" w:hAnsi="Arial" w:cs="Arial"/>
          <w:sz w:val="22"/>
          <w:szCs w:val="22"/>
        </w:rPr>
      </w:pPr>
    </w:p>
    <w:p w:rsidR="0095055D" w:rsidRPr="00263D96" w:rsidRDefault="00210DDC" w:rsidP="00AF11A9">
      <w:pPr>
        <w:pStyle w:val="TableHeading0"/>
        <w:ind w:firstLine="720"/>
      </w:pPr>
      <w:r>
        <w:t xml:space="preserve">Table </w:t>
      </w:r>
      <w:r w:rsidR="0095055D">
        <w:t>1</w:t>
      </w:r>
      <w:r w:rsidR="006405DD">
        <w:t>6</w:t>
      </w:r>
      <w:r w:rsidR="0095055D" w:rsidRPr="00263D96">
        <w:t>: Key structural features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51"/>
        <w:gridCol w:w="6913"/>
      </w:tblGrid>
      <w:tr w:rsidR="0095055D" w:rsidRPr="00675587" w:rsidTr="00AF11A9">
        <w:tc>
          <w:tcPr>
            <w:tcW w:w="1451" w:type="dxa"/>
          </w:tcPr>
          <w:p w:rsidR="0095055D" w:rsidRPr="00675587" w:rsidRDefault="0095055D" w:rsidP="00A36DD4">
            <w:pPr>
              <w:pStyle w:val="TableText0"/>
              <w:keepNext w:val="0"/>
              <w:jc w:val="left"/>
              <w:rPr>
                <w:b/>
              </w:rPr>
            </w:pPr>
            <w:r w:rsidRPr="00675587">
              <w:rPr>
                <w:b/>
              </w:rPr>
              <w:t>Issue</w:t>
            </w:r>
          </w:p>
        </w:tc>
        <w:tc>
          <w:tcPr>
            <w:tcW w:w="6912" w:type="dxa"/>
            <w:vAlign w:val="center"/>
          </w:tcPr>
          <w:p w:rsidR="0095055D" w:rsidRPr="00675587" w:rsidRDefault="0095055D" w:rsidP="00A36DD4">
            <w:pPr>
              <w:pStyle w:val="TableText0"/>
              <w:keepNext w:val="0"/>
              <w:rPr>
                <w:b/>
              </w:rPr>
            </w:pPr>
            <w:r w:rsidRPr="00675587">
              <w:rPr>
                <w:b/>
              </w:rPr>
              <w:t>Results</w:t>
            </w:r>
          </w:p>
        </w:tc>
      </w:tr>
      <w:tr w:rsidR="0095055D" w:rsidRPr="00675587" w:rsidTr="00AF11A9">
        <w:tc>
          <w:tcPr>
            <w:tcW w:w="8363" w:type="dxa"/>
            <w:gridSpan w:val="2"/>
          </w:tcPr>
          <w:p w:rsidR="0095055D" w:rsidRPr="00675587" w:rsidRDefault="0095055D" w:rsidP="00A36DD4">
            <w:pPr>
              <w:pStyle w:val="TableText0"/>
              <w:keepNext w:val="0"/>
              <w:jc w:val="left"/>
              <w:rPr>
                <w:b/>
              </w:rPr>
            </w:pPr>
            <w:r w:rsidRPr="00675587">
              <w:rPr>
                <w:b/>
              </w:rPr>
              <w:t xml:space="preserve">Applicability </w:t>
            </w:r>
            <w:proofErr w:type="spellStart"/>
            <w:r w:rsidRPr="00675587">
              <w:rPr>
                <w:b/>
              </w:rPr>
              <w:t>premodelling</w:t>
            </w:r>
            <w:proofErr w:type="spellEnd"/>
            <w:r w:rsidRPr="00675587">
              <w:rPr>
                <w:b/>
              </w:rPr>
              <w:t xml:space="preserve"> studies</w:t>
            </w:r>
          </w:p>
        </w:tc>
      </w:tr>
      <w:tr w:rsidR="0095055D" w:rsidRPr="00675587" w:rsidTr="00AF11A9">
        <w:tc>
          <w:tcPr>
            <w:tcW w:w="1451" w:type="dxa"/>
          </w:tcPr>
          <w:p w:rsidR="0095055D" w:rsidRPr="00675587" w:rsidRDefault="0095055D" w:rsidP="00A36DD4">
            <w:pPr>
              <w:pStyle w:val="TableText0"/>
              <w:keepNext w:val="0"/>
              <w:jc w:val="left"/>
            </w:pPr>
            <w:r w:rsidRPr="00675587">
              <w:t>Applicability of trials</w:t>
            </w:r>
          </w:p>
        </w:tc>
        <w:tc>
          <w:tcPr>
            <w:tcW w:w="6912" w:type="dxa"/>
          </w:tcPr>
          <w:p w:rsidR="0095055D" w:rsidRPr="00675587" w:rsidRDefault="0095055D" w:rsidP="00A36DD4">
            <w:pPr>
              <w:pStyle w:val="TableText0"/>
              <w:keepNext w:val="0"/>
            </w:pPr>
            <w:r w:rsidRPr="00675587">
              <w:t xml:space="preserve">The submission concluded that there were no significant differences between patients enrolled in the trials (KN-010 and </w:t>
            </w:r>
            <w:proofErr w:type="spellStart"/>
            <w:r w:rsidRPr="00675587">
              <w:t>Scagliotti</w:t>
            </w:r>
            <w:proofErr w:type="spellEnd"/>
            <w:r w:rsidRPr="00675587">
              <w:t xml:space="preserve"> et al 2009) and those eligible for pembrolizumab (based on patients enrolled in the PIVOTAL study). The subgroups selected by the submission to be modelled (i.e. TPS ≥50% ITT for the squamous subset and the adenocarcinoma subgroup for the non-</w:t>
            </w:r>
            <w:r w:rsidR="00FD0859" w:rsidRPr="00675587">
              <w:t>squamous</w:t>
            </w:r>
            <w:r w:rsidRPr="00675587">
              <w:t xml:space="preserve"> subset) did not match the proposed populations; this approach favoured pembrolizumab and the results may not be applicable.</w:t>
            </w:r>
          </w:p>
          <w:p w:rsidR="007633E8" w:rsidRPr="00675587" w:rsidRDefault="007633E8" w:rsidP="005F2206">
            <w:pPr>
              <w:pStyle w:val="TableText0"/>
              <w:keepNext w:val="0"/>
            </w:pPr>
            <w:r w:rsidRPr="00675587">
              <w:t>The ESC</w:t>
            </w:r>
            <w:r w:rsidR="00F01BA7" w:rsidRPr="00675587">
              <w:t>s</w:t>
            </w:r>
            <w:r w:rsidRPr="00675587">
              <w:t xml:space="preserve"> considered that the use of the ITT data for modelling of the squamous subgroup and the adenocarcinoma sub</w:t>
            </w:r>
            <w:r w:rsidR="00222F2D" w:rsidRPr="00675587">
              <w:t>group</w:t>
            </w:r>
            <w:r w:rsidRPr="00675587">
              <w:t xml:space="preserve"> data for modelling of the non-squamous subgroup </w:t>
            </w:r>
            <w:r w:rsidR="005F2206" w:rsidRPr="00675587">
              <w:t xml:space="preserve">compromised </w:t>
            </w:r>
            <w:r w:rsidRPr="00675587">
              <w:t>the validity of the modelled results.</w:t>
            </w:r>
          </w:p>
        </w:tc>
      </w:tr>
      <w:tr w:rsidR="0095055D" w:rsidRPr="00675587" w:rsidTr="00AF11A9">
        <w:tc>
          <w:tcPr>
            <w:tcW w:w="1451" w:type="dxa"/>
          </w:tcPr>
          <w:p w:rsidR="0095055D" w:rsidRPr="00675587" w:rsidRDefault="0095055D" w:rsidP="00A36DD4">
            <w:pPr>
              <w:pStyle w:val="TableText0"/>
              <w:keepNext w:val="0"/>
              <w:jc w:val="left"/>
            </w:pPr>
            <w:r w:rsidRPr="00675587">
              <w:t>Prognostic effect of PD-L1</w:t>
            </w:r>
          </w:p>
        </w:tc>
        <w:tc>
          <w:tcPr>
            <w:tcW w:w="6912" w:type="dxa"/>
          </w:tcPr>
          <w:p w:rsidR="0095055D" w:rsidRPr="00675587" w:rsidRDefault="0095055D" w:rsidP="00A36DD4">
            <w:pPr>
              <w:pStyle w:val="TableText0"/>
              <w:keepNext w:val="0"/>
            </w:pPr>
            <w:r w:rsidRPr="00675587">
              <w:t>The submission did not identify a clear prognostic effect of PD-L1 status in the literature. This may be reasonable, however absence of evidence for a prognostic effect is not evidence of no effect, and this remains an issue of uncertainty.</w:t>
            </w:r>
          </w:p>
        </w:tc>
      </w:tr>
      <w:tr w:rsidR="0095055D" w:rsidRPr="00675587" w:rsidTr="00AF11A9">
        <w:tc>
          <w:tcPr>
            <w:tcW w:w="1451" w:type="dxa"/>
          </w:tcPr>
          <w:p w:rsidR="0095055D" w:rsidRPr="00675587" w:rsidRDefault="0095055D" w:rsidP="00A36DD4">
            <w:pPr>
              <w:pStyle w:val="TableText0"/>
              <w:keepNext w:val="0"/>
              <w:jc w:val="left"/>
            </w:pPr>
            <w:r w:rsidRPr="00675587">
              <w:t>Prevalence of PD-L1 positivity</w:t>
            </w:r>
          </w:p>
        </w:tc>
        <w:tc>
          <w:tcPr>
            <w:tcW w:w="6912" w:type="dxa"/>
          </w:tcPr>
          <w:p w:rsidR="0095055D" w:rsidRPr="00675587" w:rsidRDefault="0095055D" w:rsidP="00187726">
            <w:pPr>
              <w:pStyle w:val="TableText0"/>
              <w:keepNext w:val="0"/>
            </w:pPr>
            <w:r w:rsidRPr="00675587">
              <w:t xml:space="preserve">Prevalence in Australian patients screened for KN-001 and KN-010 were used in the economic model. This may be reasonable if the same antibody clone for testing that was used in the KN-010 and KN-001 trials is used in clinical practice. However, caution is required when extrapolating the benefit observed in TPS ≥50% patients from the KN-010 </w:t>
            </w:r>
            <w:r w:rsidR="00187726" w:rsidRPr="00675587">
              <w:t xml:space="preserve">trial </w:t>
            </w:r>
            <w:r w:rsidRPr="00675587">
              <w:t xml:space="preserve">to TPS ≥50% patients identified using different PD-1/PD-L1 antibody clones that may be used </w:t>
            </w:r>
            <w:r w:rsidR="00222F2D" w:rsidRPr="00675587">
              <w:t xml:space="preserve">across different pathology laboratories </w:t>
            </w:r>
            <w:r w:rsidRPr="00675587">
              <w:t xml:space="preserve">in practice. The </w:t>
            </w:r>
            <w:proofErr w:type="spellStart"/>
            <w:r w:rsidRPr="00675587">
              <w:t>Dako</w:t>
            </w:r>
            <w:proofErr w:type="spellEnd"/>
            <w:r w:rsidRPr="00675587">
              <w:t xml:space="preserve"> assay used in the </w:t>
            </w:r>
            <w:proofErr w:type="spellStart"/>
            <w:r w:rsidRPr="00675587">
              <w:t>nivolumab</w:t>
            </w:r>
            <w:proofErr w:type="spellEnd"/>
            <w:r w:rsidRPr="00675587">
              <w:t xml:space="preserve"> trials does appear to be reasonably concordant with the assay used in the pembrolizumab trials. </w:t>
            </w:r>
            <w:r w:rsidR="00222F2D" w:rsidRPr="00675587">
              <w:t xml:space="preserve">Varying the estimate of prevalence did not substantively affect </w:t>
            </w:r>
            <w:r w:rsidR="00187726" w:rsidRPr="00675587">
              <w:t>the economic analysis</w:t>
            </w:r>
            <w:r w:rsidR="00222F2D" w:rsidRPr="00675587">
              <w:t>, but did affect</w:t>
            </w:r>
            <w:r w:rsidRPr="00675587">
              <w:t xml:space="preserve"> </w:t>
            </w:r>
            <w:r w:rsidR="00187726" w:rsidRPr="00675587">
              <w:t>the financial estimates</w:t>
            </w:r>
            <w:r w:rsidRPr="00675587">
              <w:t>.</w:t>
            </w:r>
          </w:p>
          <w:p w:rsidR="001C1042" w:rsidRPr="00675587" w:rsidRDefault="001C1042" w:rsidP="00187726">
            <w:pPr>
              <w:pStyle w:val="TableText0"/>
              <w:keepNext w:val="0"/>
            </w:pPr>
            <w:r w:rsidRPr="00675587">
              <w:t xml:space="preserve">The PSCR </w:t>
            </w:r>
            <w:r w:rsidR="00222F2D" w:rsidRPr="00675587">
              <w:t xml:space="preserve">(p2) </w:t>
            </w:r>
            <w:r w:rsidRPr="00675587">
              <w:t xml:space="preserve">stated that the 22C3 antibody concentrate has been made available to enable the development of </w:t>
            </w:r>
            <w:r w:rsidR="00222F2D" w:rsidRPr="00675587">
              <w:t>l</w:t>
            </w:r>
            <w:r w:rsidRPr="00675587">
              <w:t xml:space="preserve">aboratory </w:t>
            </w:r>
            <w:r w:rsidR="00222F2D" w:rsidRPr="00675587">
              <w:t>d</w:t>
            </w:r>
            <w:r w:rsidRPr="00675587">
              <w:t xml:space="preserve">eveloped </w:t>
            </w:r>
            <w:r w:rsidR="00222F2D" w:rsidRPr="00675587">
              <w:t>t</w:t>
            </w:r>
            <w:r w:rsidRPr="00675587">
              <w:t>ests, regardless of platform.</w:t>
            </w:r>
          </w:p>
          <w:p w:rsidR="001C1042" w:rsidRPr="00675587" w:rsidRDefault="001C1042" w:rsidP="00EC7F28">
            <w:pPr>
              <w:pStyle w:val="TableText0"/>
              <w:keepNext w:val="0"/>
            </w:pPr>
            <w:r w:rsidRPr="00675587">
              <w:t>The ESC</w:t>
            </w:r>
            <w:r w:rsidR="00F01BA7" w:rsidRPr="00675587">
              <w:t>s</w:t>
            </w:r>
            <w:r w:rsidRPr="00675587">
              <w:t xml:space="preserve"> </w:t>
            </w:r>
            <w:r w:rsidR="00EC7F28">
              <w:t xml:space="preserve">and the PBAC </w:t>
            </w:r>
            <w:r w:rsidRPr="00675587">
              <w:t xml:space="preserve">noted the letter </w:t>
            </w:r>
            <w:r w:rsidR="004609C2" w:rsidRPr="00675587">
              <w:t xml:space="preserve">of 5 September 2016 </w:t>
            </w:r>
            <w:r w:rsidRPr="00675587">
              <w:t xml:space="preserve">from </w:t>
            </w:r>
            <w:r w:rsidR="00F101EC" w:rsidRPr="00675587">
              <w:t>t</w:t>
            </w:r>
            <w:r w:rsidRPr="00675587">
              <w:t xml:space="preserve">he RCPA, which stated that antibody testing for PD-L1 positivity was associated with issues of reproducibility, robustness and equivalence of results across different assays. </w:t>
            </w:r>
            <w:r w:rsidR="003E1658" w:rsidRPr="00675587">
              <w:t>The</w:t>
            </w:r>
            <w:r w:rsidRPr="00675587">
              <w:t xml:space="preserve"> RCPA </w:t>
            </w:r>
            <w:r w:rsidR="003E1658" w:rsidRPr="00675587">
              <w:t xml:space="preserve">also stated </w:t>
            </w:r>
            <w:r w:rsidRPr="00675587">
              <w:t>that PD-L1 expression had been shown to be inducible and dynamic</w:t>
            </w:r>
            <w:r w:rsidR="003E1658" w:rsidRPr="00675587">
              <w:t>, which would make identifying patients likely to benefit from PD-L1 agents a challenging issue.</w:t>
            </w:r>
          </w:p>
        </w:tc>
      </w:tr>
      <w:tr w:rsidR="0095055D" w:rsidRPr="00675587" w:rsidTr="00AF11A9">
        <w:tc>
          <w:tcPr>
            <w:tcW w:w="1451" w:type="dxa"/>
          </w:tcPr>
          <w:p w:rsidR="0095055D" w:rsidRPr="00675587" w:rsidRDefault="0095055D" w:rsidP="00A36DD4">
            <w:pPr>
              <w:pStyle w:val="TableText0"/>
              <w:keepNext w:val="0"/>
              <w:jc w:val="left"/>
            </w:pPr>
            <w:r w:rsidRPr="00675587">
              <w:t>Effect of the timing of the sample tested (archival or fresh)</w:t>
            </w:r>
          </w:p>
        </w:tc>
        <w:tc>
          <w:tcPr>
            <w:tcW w:w="6912" w:type="dxa"/>
          </w:tcPr>
          <w:p w:rsidR="0095055D" w:rsidRPr="00675587" w:rsidRDefault="00187726" w:rsidP="00187726">
            <w:pPr>
              <w:pStyle w:val="TableText0"/>
              <w:keepNext w:val="0"/>
            </w:pPr>
            <w:r w:rsidRPr="00675587">
              <w:t xml:space="preserve">Results for </w:t>
            </w:r>
            <w:r w:rsidR="0095055D" w:rsidRPr="00675587">
              <w:t>OS and PFS were compared between patients who were tested on archival (i.e. treatment-naïve) or fresh (i.e. treatment-experienced) samples. The submission concluded that both subgroups of patients would gain similar benefit from pembrolizumab and that patients would not need to have additional biopsy material taken for testing of PD-L1 expression. However the submission did not consider that patients could receive more than one PD-L1 test – at diagnosis of advanced disease, and on additional re-biopsied material, if taken, after treatment with TKIs or platinum-based chemotherapy.</w:t>
            </w:r>
          </w:p>
          <w:p w:rsidR="00187726" w:rsidRPr="00675587" w:rsidRDefault="00187726" w:rsidP="00F01BA7">
            <w:pPr>
              <w:pStyle w:val="TableText0"/>
              <w:keepNext w:val="0"/>
            </w:pPr>
            <w:r w:rsidRPr="00675587">
              <w:t>The ESC</w:t>
            </w:r>
            <w:r w:rsidR="00F01BA7" w:rsidRPr="00675587">
              <w:t>s</w:t>
            </w:r>
            <w:r w:rsidRPr="00675587">
              <w:t xml:space="preserve"> considered that both re-testing of archival biopsy samples and re-biopsy may be </w:t>
            </w:r>
            <w:r w:rsidR="00F01BA7" w:rsidRPr="00675587">
              <w:t>necessary. Furthermore, the ESC</w:t>
            </w:r>
            <w:r w:rsidRPr="00675587">
              <w:t xml:space="preserve">s </w:t>
            </w:r>
            <w:r w:rsidR="00F01BA7" w:rsidRPr="00675587">
              <w:t xml:space="preserve">were </w:t>
            </w:r>
            <w:r w:rsidRPr="00675587">
              <w:t>concerned that PD-L1 expression may not be stable over time and may vary follow</w:t>
            </w:r>
            <w:r w:rsidR="00222F2D" w:rsidRPr="00675587">
              <w:t>ing different lines of therapy.</w:t>
            </w:r>
          </w:p>
        </w:tc>
      </w:tr>
      <w:tr w:rsidR="0095055D" w:rsidRPr="00675587" w:rsidTr="00AF11A9">
        <w:tc>
          <w:tcPr>
            <w:tcW w:w="1451" w:type="dxa"/>
          </w:tcPr>
          <w:p w:rsidR="0095055D" w:rsidRPr="00675587" w:rsidRDefault="0095055D" w:rsidP="00A36DD4">
            <w:pPr>
              <w:pStyle w:val="TableText0"/>
              <w:keepNext w:val="0"/>
              <w:jc w:val="left"/>
            </w:pPr>
            <w:r w:rsidRPr="00675587">
              <w:t>Effect of pembrolizumab by histology</w:t>
            </w:r>
          </w:p>
        </w:tc>
        <w:tc>
          <w:tcPr>
            <w:tcW w:w="6912" w:type="dxa"/>
          </w:tcPr>
          <w:p w:rsidR="0095055D" w:rsidRPr="00675587" w:rsidRDefault="0095055D" w:rsidP="00A854A3">
            <w:pPr>
              <w:pStyle w:val="TableText0"/>
              <w:keepNext w:val="0"/>
            </w:pPr>
            <w:r w:rsidRPr="00675587">
              <w:t xml:space="preserve">The submission concluded that histology did not impact the efficacy of pembrolizumab or </w:t>
            </w:r>
            <w:proofErr w:type="spellStart"/>
            <w:r w:rsidRPr="00675587">
              <w:t>docetaxel</w:t>
            </w:r>
            <w:proofErr w:type="spellEnd"/>
            <w:r w:rsidRPr="00675587">
              <w:t xml:space="preserve"> or the safety of pembrolizumab. However, </w:t>
            </w:r>
            <w:proofErr w:type="spellStart"/>
            <w:r w:rsidRPr="00675587">
              <w:t>pemetrexed</w:t>
            </w:r>
            <w:proofErr w:type="spellEnd"/>
            <w:r w:rsidRPr="00675587">
              <w:t xml:space="preserve"> has been shown to interact with histology. For squamous patients, the results of the KN-010 trial for the subgroup who strongly express PD-L1 (TPS ≥50%) regardless of histology were used in the economic model. </w:t>
            </w:r>
            <w:r w:rsidR="00D46C54" w:rsidRPr="00675587">
              <w:t xml:space="preserve">The PSCR (p6) argued that, when the data for the squamous subgroup only was used in the model, the ICER remained under $75,000, which the PSCR argued was cost-effective for an oncology treatment. </w:t>
            </w:r>
            <w:r w:rsidRPr="00675587">
              <w:t xml:space="preserve">Patients with squamous histology made up fewer than 20% of the TPS ≥50% population. There was no conclusive evidence of survival benefit associated with pembrolizumab over </w:t>
            </w:r>
            <w:proofErr w:type="spellStart"/>
            <w:r w:rsidRPr="00675587">
              <w:t>docetaxel</w:t>
            </w:r>
            <w:proofErr w:type="spellEnd"/>
            <w:r w:rsidRPr="00675587">
              <w:t xml:space="preserve"> in the squamous subgroup, while a significant survival benefit was observed in the non-squamous subgroup. </w:t>
            </w:r>
            <w:r w:rsidR="00A854A3" w:rsidRPr="00675587">
              <w:t>Tests for interaction</w:t>
            </w:r>
            <w:r w:rsidRPr="00675587">
              <w:t xml:space="preserve"> conducted during the evaluation in the population who strongly express PD-L1 (TPS ≥50%) suggested a trend that patients with non-squamous histology may perform twice as well on pembrolizumab </w:t>
            </w:r>
            <w:r w:rsidR="00230E62">
              <w:t>than</w:t>
            </w:r>
            <w:r w:rsidRPr="00675587">
              <w:t xml:space="preserve"> those with squamous histology (as indicted by the ratio of hazard ratios), however this was not statistically significant. The statistical power of these analyses was limited by the small size of the squamous subgroup. This led to a bias in favour of pembrolizumab.</w:t>
            </w:r>
          </w:p>
          <w:p w:rsidR="00F101EC" w:rsidRPr="00675587" w:rsidRDefault="003E1658" w:rsidP="00D46C54">
            <w:pPr>
              <w:pStyle w:val="TableText0"/>
              <w:keepNext w:val="0"/>
            </w:pPr>
            <w:r w:rsidRPr="00675587">
              <w:t>The ESC</w:t>
            </w:r>
            <w:r w:rsidR="00F01BA7" w:rsidRPr="00675587">
              <w:t>s</w:t>
            </w:r>
            <w:r w:rsidRPr="00675587">
              <w:t xml:space="preserve"> considered that the submission’s argument that histology did not impact the efficacy or safety of pembrolizumab was not adequately supp</w:t>
            </w:r>
            <w:r w:rsidR="00F93B40" w:rsidRPr="00675587">
              <w:t>orted by the clinical evidence.</w:t>
            </w:r>
            <w:r w:rsidR="00230E62">
              <w:t xml:space="preserve"> The PBAC considered that pembrolizumab may have a similar effect on squamous and non-squamous NSCLC. </w:t>
            </w:r>
          </w:p>
        </w:tc>
      </w:tr>
      <w:tr w:rsidR="0095055D" w:rsidRPr="00675587" w:rsidTr="00AF11A9">
        <w:tc>
          <w:tcPr>
            <w:tcW w:w="1451" w:type="dxa"/>
          </w:tcPr>
          <w:p w:rsidR="0095055D" w:rsidRPr="00675587" w:rsidRDefault="0095055D" w:rsidP="00F93B40">
            <w:pPr>
              <w:pStyle w:val="TableText0"/>
              <w:keepNext w:val="0"/>
              <w:jc w:val="left"/>
            </w:pPr>
            <w:r w:rsidRPr="00675587">
              <w:t>I</w:t>
            </w:r>
            <w:r w:rsidR="00F93B40" w:rsidRPr="00675587">
              <w:t>ndirect treatment comparison</w:t>
            </w:r>
            <w:r w:rsidRPr="00675587">
              <w:t xml:space="preserve"> based on adenocarcinoma or non-squamous</w:t>
            </w:r>
          </w:p>
        </w:tc>
        <w:tc>
          <w:tcPr>
            <w:tcW w:w="6912" w:type="dxa"/>
          </w:tcPr>
          <w:p w:rsidR="00A854A3" w:rsidRPr="00675587" w:rsidRDefault="0095055D" w:rsidP="00A36DD4">
            <w:pPr>
              <w:pStyle w:val="TableText0"/>
              <w:keepNext w:val="0"/>
            </w:pPr>
            <w:r w:rsidRPr="00675587">
              <w:t xml:space="preserve">The submission identified heterogeneity in the composition of the non-squamous subgroups of KN-010 and </w:t>
            </w:r>
            <w:proofErr w:type="spellStart"/>
            <w:r w:rsidRPr="00675587">
              <w:t>Scagliotti</w:t>
            </w:r>
            <w:proofErr w:type="spellEnd"/>
            <w:r w:rsidRPr="00675587">
              <w:t xml:space="preserve"> et al (2009) and so the HR derived from an indirect comparison used in the base case analysis for pembrolizumab v</w:t>
            </w:r>
            <w:r w:rsidR="00A854A3" w:rsidRPr="00675587">
              <w:t>ersus</w:t>
            </w:r>
            <w:r w:rsidRPr="00675587">
              <w:t xml:space="preserve"> </w:t>
            </w:r>
            <w:proofErr w:type="spellStart"/>
            <w:r w:rsidRPr="00675587">
              <w:t>pemetrexed</w:t>
            </w:r>
            <w:proofErr w:type="spellEnd"/>
            <w:r w:rsidRPr="00675587">
              <w:t xml:space="preserve"> was based on the adenocarcinoma subset of the non-squamous subgroups of these trials. This was not a reasonable approach; the choice of the adenocarcinoma subset of the total non-squamous population for an indirect comparison favours pembrolizumab and does not mitigate the transitivity concerns with the trials.</w:t>
            </w:r>
          </w:p>
          <w:p w:rsidR="0095055D" w:rsidRPr="00675587" w:rsidRDefault="00A854A3" w:rsidP="00F101EC">
            <w:pPr>
              <w:pStyle w:val="TableText0"/>
              <w:keepNext w:val="0"/>
            </w:pPr>
            <w:r w:rsidRPr="00675587">
              <w:t>The ESC</w:t>
            </w:r>
            <w:r w:rsidR="00F01BA7" w:rsidRPr="00675587">
              <w:t>s</w:t>
            </w:r>
            <w:r w:rsidRPr="00675587">
              <w:t xml:space="preserve"> agreed with the commentary that selecting the adenocarcinoma sub</w:t>
            </w:r>
            <w:r w:rsidR="00230E62">
              <w:t>set</w:t>
            </w:r>
            <w:r w:rsidRPr="00675587">
              <w:t xml:space="preserve"> of the non-squamous subgroup to inform the indirect comparison of pembrolizumab versus </w:t>
            </w:r>
            <w:proofErr w:type="spellStart"/>
            <w:r w:rsidRPr="00675587">
              <w:t>pemetrexed</w:t>
            </w:r>
            <w:proofErr w:type="spellEnd"/>
            <w:r w:rsidRPr="00675587">
              <w:t xml:space="preserve"> was methodologically incorrect and that it did not address issues with transitivity. </w:t>
            </w:r>
            <w:r w:rsidR="00F01BA7" w:rsidRPr="00675587">
              <w:t>The ESC</w:t>
            </w:r>
            <w:r w:rsidR="0009527F" w:rsidRPr="00675587">
              <w:t xml:space="preserve">s </w:t>
            </w:r>
            <w:r w:rsidR="00F01BA7" w:rsidRPr="00675587">
              <w:t xml:space="preserve">were </w:t>
            </w:r>
            <w:r w:rsidR="0009527F" w:rsidRPr="00675587">
              <w:t xml:space="preserve">concerned that the transitivity issues in the indirect comparison of pembrolizumab and </w:t>
            </w:r>
            <w:proofErr w:type="spellStart"/>
            <w:r w:rsidR="0009527F" w:rsidRPr="00675587">
              <w:t>pemetrexed</w:t>
            </w:r>
            <w:proofErr w:type="spellEnd"/>
            <w:r w:rsidR="0009527F" w:rsidRPr="00675587">
              <w:t xml:space="preserve"> did not allow f</w:t>
            </w:r>
            <w:r w:rsidR="00F93B40" w:rsidRPr="00675587">
              <w:t>or a robust economic analysis.</w:t>
            </w:r>
          </w:p>
        </w:tc>
      </w:tr>
      <w:tr w:rsidR="0095055D" w:rsidRPr="00675587" w:rsidTr="00AF11A9">
        <w:tc>
          <w:tcPr>
            <w:tcW w:w="1451" w:type="dxa"/>
          </w:tcPr>
          <w:p w:rsidR="0095055D" w:rsidRPr="00675587" w:rsidRDefault="0095055D" w:rsidP="00A36DD4">
            <w:pPr>
              <w:pStyle w:val="TableText0"/>
              <w:keepNext w:val="0"/>
              <w:jc w:val="left"/>
            </w:pPr>
            <w:r w:rsidRPr="00E24D22">
              <w:t>PD-L1 status as treatment effect modifier</w:t>
            </w:r>
          </w:p>
        </w:tc>
        <w:tc>
          <w:tcPr>
            <w:tcW w:w="6912" w:type="dxa"/>
          </w:tcPr>
          <w:p w:rsidR="005101EF" w:rsidRPr="00675587" w:rsidRDefault="00DF0D36" w:rsidP="00A854A3">
            <w:pPr>
              <w:pStyle w:val="TableText0"/>
              <w:keepNext w:val="0"/>
            </w:pPr>
            <w:r>
              <w:t xml:space="preserve">A </w:t>
            </w:r>
            <w:r w:rsidR="0095055D" w:rsidRPr="007C0C99">
              <w:t>PD-L1</w:t>
            </w:r>
            <w:r w:rsidR="00B54739">
              <w:t xml:space="preserve"> TPS</w:t>
            </w:r>
            <w:r w:rsidR="0095055D" w:rsidRPr="007C0C99">
              <w:t xml:space="preserve"> </w:t>
            </w:r>
            <w:r>
              <w:t xml:space="preserve">threshold of 50% </w:t>
            </w:r>
            <w:r w:rsidR="0095055D" w:rsidRPr="007C0C99">
              <w:t xml:space="preserve">was </w:t>
            </w:r>
            <w:r w:rsidR="0075350C">
              <w:t xml:space="preserve">claimed </w:t>
            </w:r>
            <w:r w:rsidR="0095055D" w:rsidRPr="007C0C99">
              <w:t xml:space="preserve">to be a treatment effect modifier based on the plausibility of treatment effect variation, </w:t>
            </w:r>
            <w:proofErr w:type="spellStart"/>
            <w:r w:rsidR="0095055D" w:rsidRPr="007C0C99">
              <w:t>prespecification</w:t>
            </w:r>
            <w:proofErr w:type="spellEnd"/>
            <w:r w:rsidR="0095055D" w:rsidRPr="007C0C99">
              <w:t xml:space="preserve"> of this analysis</w:t>
            </w:r>
            <w:r w:rsidR="007C0C99" w:rsidRPr="007C0C99">
              <w:t>,</w:t>
            </w:r>
            <w:r w:rsidR="0095055D" w:rsidRPr="007C0C99">
              <w:t xml:space="preserve"> and </w:t>
            </w:r>
            <w:r w:rsidR="007C0C99" w:rsidRPr="007C0C99">
              <w:t xml:space="preserve">statistical </w:t>
            </w:r>
            <w:r w:rsidR="0095055D" w:rsidRPr="007C0C99">
              <w:t xml:space="preserve">analysis </w:t>
            </w:r>
            <w:r w:rsidR="007C0C99" w:rsidRPr="007C0C99">
              <w:t xml:space="preserve">of </w:t>
            </w:r>
            <w:r w:rsidR="002B1E84" w:rsidRPr="007C0C99">
              <w:t xml:space="preserve">the ratio of HRs across subgroups categorised as TPS ≥50% </w:t>
            </w:r>
            <w:proofErr w:type="spellStart"/>
            <w:r w:rsidR="002B1E84" w:rsidRPr="007C0C99">
              <w:t>vs</w:t>
            </w:r>
            <w:proofErr w:type="spellEnd"/>
            <w:r w:rsidR="002B1E84" w:rsidRPr="007C0C99">
              <w:t xml:space="preserve"> TPS 1</w:t>
            </w:r>
            <w:r w:rsidR="002B1E84" w:rsidRPr="007C0C99">
              <w:rPr>
                <w:rFonts w:ascii="Arial" w:hAnsi="Arial" w:cs="Arial"/>
              </w:rPr>
              <w:t>‒</w:t>
            </w:r>
            <w:r w:rsidR="002B1E84" w:rsidRPr="007C0C99">
              <w:t>49%</w:t>
            </w:r>
            <w:r w:rsidR="0095055D" w:rsidRPr="007C0C99">
              <w:t>.</w:t>
            </w:r>
            <w:r w:rsidR="0095055D" w:rsidRPr="00675587">
              <w:t xml:space="preserve"> While it may be reasonable to model PD-L1 testing and pembrolizumab treatment in the non-squamous </w:t>
            </w:r>
            <w:r w:rsidR="00DF1CFA" w:rsidRPr="00675587">
              <w:t>subgroup</w:t>
            </w:r>
            <w:r w:rsidR="0095055D" w:rsidRPr="00675587">
              <w:t xml:space="preserve">, if the evidence to support either PD-L1 testing and/or pembrolizumab treatment in the squamous </w:t>
            </w:r>
            <w:r w:rsidR="00DF1CFA" w:rsidRPr="00675587">
              <w:t>subgroup</w:t>
            </w:r>
            <w:r w:rsidR="0095055D" w:rsidRPr="00675587">
              <w:t xml:space="preserve"> is inadequate, then the modelled results may not be </w:t>
            </w:r>
            <w:r w:rsidR="00A854A3" w:rsidRPr="00675587">
              <w:t>a robust estimate for the squamous subgroup</w:t>
            </w:r>
            <w:r w:rsidR="0095055D" w:rsidRPr="00675587">
              <w:t>.</w:t>
            </w:r>
          </w:p>
          <w:p w:rsidR="00294FAB" w:rsidRPr="00675587" w:rsidRDefault="00294FAB" w:rsidP="00A854A3">
            <w:pPr>
              <w:pStyle w:val="TableText0"/>
              <w:keepNext w:val="0"/>
            </w:pPr>
            <w:r w:rsidRPr="00675587">
              <w:t xml:space="preserve">The PSCR </w:t>
            </w:r>
            <w:r w:rsidR="00F93B40" w:rsidRPr="00675587">
              <w:t xml:space="preserve">(p4) </w:t>
            </w:r>
            <w:r w:rsidRPr="00675587">
              <w:t>argued that the KN-010 trial was not sufficiently powered to detect treatment effect variation by PD-L1 statu</w:t>
            </w:r>
            <w:r w:rsidR="00F93B40" w:rsidRPr="00675587">
              <w:t>s within the squamous subgroup.</w:t>
            </w:r>
          </w:p>
          <w:p w:rsidR="00294FAB" w:rsidRPr="00675587" w:rsidRDefault="00294FAB" w:rsidP="00A854A3">
            <w:pPr>
              <w:pStyle w:val="TableText0"/>
              <w:keepNext w:val="0"/>
            </w:pPr>
            <w:r w:rsidRPr="00675587">
              <w:t>The ESC</w:t>
            </w:r>
            <w:r w:rsidR="00F01BA7" w:rsidRPr="00675587">
              <w:t>s</w:t>
            </w:r>
            <w:r w:rsidRPr="00675587">
              <w:t xml:space="preserve"> considered that there was insufficient evidence regarding PD-L1 status as a treatment effect mod</w:t>
            </w:r>
            <w:r w:rsidR="00F93B40" w:rsidRPr="00675587">
              <w:t>ifier in the squamous subgroup.</w:t>
            </w:r>
          </w:p>
        </w:tc>
      </w:tr>
      <w:tr w:rsidR="0095055D" w:rsidRPr="00675587" w:rsidTr="00AF11A9">
        <w:tc>
          <w:tcPr>
            <w:tcW w:w="8363" w:type="dxa"/>
            <w:gridSpan w:val="2"/>
          </w:tcPr>
          <w:p w:rsidR="0095055D" w:rsidRPr="00675587" w:rsidRDefault="0095055D" w:rsidP="00A36DD4">
            <w:pPr>
              <w:pStyle w:val="TableText0"/>
              <w:jc w:val="left"/>
              <w:rPr>
                <w:b/>
              </w:rPr>
            </w:pPr>
            <w:r w:rsidRPr="00675587">
              <w:rPr>
                <w:b/>
              </w:rPr>
              <w:t xml:space="preserve">Extrapolation </w:t>
            </w:r>
            <w:proofErr w:type="spellStart"/>
            <w:r w:rsidRPr="00675587">
              <w:rPr>
                <w:b/>
              </w:rPr>
              <w:t>premodelling</w:t>
            </w:r>
            <w:proofErr w:type="spellEnd"/>
            <w:r w:rsidRPr="00675587">
              <w:rPr>
                <w:b/>
              </w:rPr>
              <w:t xml:space="preserve"> studies</w:t>
            </w:r>
          </w:p>
        </w:tc>
      </w:tr>
      <w:tr w:rsidR="0095055D" w:rsidRPr="00675587" w:rsidTr="00AF11A9">
        <w:tc>
          <w:tcPr>
            <w:tcW w:w="1451" w:type="dxa"/>
          </w:tcPr>
          <w:p w:rsidR="0095055D" w:rsidRPr="00675587" w:rsidRDefault="0095055D" w:rsidP="00A36DD4">
            <w:pPr>
              <w:pStyle w:val="TableText0"/>
              <w:keepNext w:val="0"/>
              <w:jc w:val="left"/>
            </w:pPr>
            <w:r w:rsidRPr="00675587">
              <w:t>Extrapolation of PFS and OS</w:t>
            </w:r>
          </w:p>
        </w:tc>
        <w:tc>
          <w:tcPr>
            <w:tcW w:w="6912" w:type="dxa"/>
          </w:tcPr>
          <w:p w:rsidR="0095055D" w:rsidRPr="00675587" w:rsidRDefault="0095055D" w:rsidP="00C10161">
            <w:pPr>
              <w:pStyle w:val="TableText0"/>
              <w:keepNext w:val="0"/>
            </w:pPr>
            <w:r w:rsidRPr="00675587">
              <w:t xml:space="preserve">Kaplan-Meier OS and PFS curves from KN-010 were used in the model up to 52 and 28 weeks respectively for OS and PFS. Data was modelled separately by treatment and by histology. Parametric models were fitted to the remaining Kaplan-Meier data, and model selection was based on an assessment of AIC and BIC, and clinical plausibility of results. Extrapolation may be sensitive to the point at which the parametric model takes over from the Kaplan-Meier data and therefore a clear rationale for the selection of the time point is required. </w:t>
            </w:r>
            <w:r w:rsidR="00C10161" w:rsidRPr="00675587">
              <w:t>T</w:t>
            </w:r>
            <w:r w:rsidRPr="00675587">
              <w:t xml:space="preserve">he impact of fitting and extrapolation for different </w:t>
            </w:r>
            <w:r w:rsidR="00FD0859" w:rsidRPr="00675587">
              <w:t>time points</w:t>
            </w:r>
            <w:r w:rsidRPr="00675587">
              <w:t xml:space="preserve"> and for all trial data, w</w:t>
            </w:r>
            <w:r w:rsidR="00C10161" w:rsidRPr="00675587">
              <w:t>ere</w:t>
            </w:r>
            <w:r w:rsidRPr="00675587">
              <w:t xml:space="preserve"> not tested as part of sensitivity analyses in the submission. The model structure did allow for the selected time point to change from 28 weeks to 9 weeks for PFS, however, no alternative data truncation time points were allowed for OS. Therefore uncertainty remains in both model selection and the modelled estimates.</w:t>
            </w:r>
          </w:p>
          <w:p w:rsidR="00F93B40" w:rsidRPr="00675587" w:rsidRDefault="00C10161" w:rsidP="00C10161">
            <w:pPr>
              <w:pStyle w:val="TableText0"/>
              <w:keepNext w:val="0"/>
            </w:pPr>
            <w:r w:rsidRPr="00675587">
              <w:t xml:space="preserve">The PSCR </w:t>
            </w:r>
            <w:r w:rsidR="000347E7" w:rsidRPr="00675587">
              <w:t xml:space="preserve">(p5) </w:t>
            </w:r>
            <w:r w:rsidRPr="00675587">
              <w:t>stated that</w:t>
            </w:r>
            <w:r w:rsidR="000347E7" w:rsidRPr="00675587">
              <w:t>,</w:t>
            </w:r>
            <w:r w:rsidRPr="00675587">
              <w:t xml:space="preserve"> when the full parametric exponential models are selected (base-case model), the ICER decreased by $</w:t>
            </w:r>
            <w:r w:rsidR="00153EAE">
              <w:rPr>
                <w:noProof/>
                <w:color w:val="000000"/>
                <w:highlight w:val="black"/>
              </w:rPr>
              <w:t>'''''''''''''''</w:t>
            </w:r>
            <w:r w:rsidRPr="00675587">
              <w:t xml:space="preserve"> to </w:t>
            </w:r>
            <w:r w:rsidR="006101B6">
              <w:t>$45,000 - $75,00</w:t>
            </w:r>
            <w:r w:rsidR="00752B87">
              <w:t>0</w:t>
            </w:r>
            <w:r w:rsidRPr="00675587">
              <w:t>.</w:t>
            </w:r>
          </w:p>
          <w:p w:rsidR="00C10161" w:rsidRPr="00675587" w:rsidRDefault="00F93B40" w:rsidP="00F93B40">
            <w:pPr>
              <w:pStyle w:val="TableText0"/>
              <w:keepNext w:val="0"/>
            </w:pPr>
            <w:r w:rsidRPr="00675587">
              <w:t>The ESC</w:t>
            </w:r>
            <w:r w:rsidR="00F01BA7" w:rsidRPr="00675587">
              <w:t>s</w:t>
            </w:r>
            <w:r w:rsidRPr="00675587">
              <w:t xml:space="preserve"> considered that i</w:t>
            </w:r>
            <w:r w:rsidR="00C10161" w:rsidRPr="00675587">
              <w:rPr>
                <w:rFonts w:cs="Calibri"/>
              </w:rPr>
              <w:t>t was unclear whether the analysis presented in the PSCR fitted the parametric models to all data available (as requested in the suggestions for further interaction in the commentary), or whether the same model used in the base case analysis was used (and so only fitted to data available after week 52), but applied from time = 0.</w:t>
            </w:r>
          </w:p>
        </w:tc>
      </w:tr>
      <w:tr w:rsidR="0095055D" w:rsidRPr="00675587" w:rsidTr="00AF11A9">
        <w:tc>
          <w:tcPr>
            <w:tcW w:w="1451" w:type="dxa"/>
          </w:tcPr>
          <w:p w:rsidR="0095055D" w:rsidRPr="00675587" w:rsidRDefault="0095055D" w:rsidP="00A36DD4">
            <w:pPr>
              <w:pStyle w:val="TableText0"/>
              <w:keepNext w:val="0"/>
              <w:jc w:val="left"/>
            </w:pPr>
            <w:r w:rsidRPr="00675587">
              <w:t>Time horizon</w:t>
            </w:r>
          </w:p>
        </w:tc>
        <w:tc>
          <w:tcPr>
            <w:tcW w:w="6912" w:type="dxa"/>
          </w:tcPr>
          <w:p w:rsidR="0095055D" w:rsidRPr="00675587" w:rsidRDefault="0095055D" w:rsidP="00A36DD4">
            <w:pPr>
              <w:pStyle w:val="TableText0"/>
              <w:keepNext w:val="0"/>
            </w:pPr>
            <w:r w:rsidRPr="00675587">
              <w:t>A review of submissions for second-line NSCLC treatments to three HTA agencies demonstrated time horizons ranging from 2 to 15 years. A time horizon of seven years was used in the economic evaluation. The time horizon chosen was not consistent with previous submissions to the PBAC for advanced NSCLC (five years). The ICER was sensitive to such a change.</w:t>
            </w:r>
          </w:p>
          <w:p w:rsidR="00294FAB" w:rsidRPr="00675587" w:rsidRDefault="00294FAB" w:rsidP="00A36DD4">
            <w:pPr>
              <w:pStyle w:val="TableText0"/>
              <w:keepNext w:val="0"/>
            </w:pPr>
            <w:r w:rsidRPr="00675587">
              <w:t xml:space="preserve">The PSCR </w:t>
            </w:r>
            <w:r w:rsidR="000347E7" w:rsidRPr="00675587">
              <w:t xml:space="preserve">(p6) stated </w:t>
            </w:r>
            <w:r w:rsidRPr="00675587">
              <w:t xml:space="preserve">that the costs and benefits associated with immunotherapies such as pembrolizumab required a longer time </w:t>
            </w:r>
            <w:r w:rsidR="000347E7" w:rsidRPr="00675587">
              <w:t>horizon to be fully considered.</w:t>
            </w:r>
          </w:p>
          <w:p w:rsidR="008D5192" w:rsidRDefault="008D5192" w:rsidP="00A36DD4">
            <w:pPr>
              <w:pStyle w:val="TableText0"/>
              <w:keepNext w:val="0"/>
            </w:pPr>
            <w:r w:rsidRPr="00675587">
              <w:t>The ESC</w:t>
            </w:r>
            <w:r w:rsidR="00F01BA7" w:rsidRPr="00675587">
              <w:t>s</w:t>
            </w:r>
            <w:r w:rsidRPr="00675587">
              <w:t xml:space="preserve"> considered that a time horizon of five years wou</w:t>
            </w:r>
            <w:r w:rsidR="000347E7" w:rsidRPr="00675587">
              <w:t>ld be more appropriate.</w:t>
            </w:r>
          </w:p>
          <w:p w:rsidR="001C3866" w:rsidRPr="00675587" w:rsidRDefault="001C3866" w:rsidP="00A36DD4">
            <w:pPr>
              <w:pStyle w:val="TableText0"/>
              <w:keepNext w:val="0"/>
            </w:pPr>
            <w:r>
              <w:t>The PBAC noted that the time horizon of seven years used by the submission favoured pembrolizumab, and that changing the time horizon to five years would increase the base case ICER.</w:t>
            </w:r>
          </w:p>
        </w:tc>
      </w:tr>
      <w:tr w:rsidR="0095055D" w:rsidRPr="00675587" w:rsidTr="00AF11A9">
        <w:tc>
          <w:tcPr>
            <w:tcW w:w="8363" w:type="dxa"/>
            <w:gridSpan w:val="2"/>
          </w:tcPr>
          <w:p w:rsidR="0095055D" w:rsidRPr="00675587" w:rsidRDefault="0095055D" w:rsidP="00A36DD4">
            <w:pPr>
              <w:pStyle w:val="TableText0"/>
              <w:jc w:val="left"/>
              <w:rPr>
                <w:b/>
              </w:rPr>
            </w:pPr>
            <w:r w:rsidRPr="00675587">
              <w:rPr>
                <w:b/>
              </w:rPr>
              <w:t xml:space="preserve">Transformation </w:t>
            </w:r>
            <w:proofErr w:type="spellStart"/>
            <w:r w:rsidRPr="00675587">
              <w:rPr>
                <w:b/>
              </w:rPr>
              <w:t>premodelling</w:t>
            </w:r>
            <w:proofErr w:type="spellEnd"/>
            <w:r w:rsidRPr="00675587">
              <w:rPr>
                <w:b/>
              </w:rPr>
              <w:t xml:space="preserve"> studies</w:t>
            </w:r>
          </w:p>
        </w:tc>
      </w:tr>
      <w:tr w:rsidR="0095055D" w:rsidRPr="00675587" w:rsidTr="00AF11A9">
        <w:tc>
          <w:tcPr>
            <w:tcW w:w="1451" w:type="dxa"/>
          </w:tcPr>
          <w:p w:rsidR="0095055D" w:rsidRPr="00675587" w:rsidRDefault="0095055D" w:rsidP="00A36DD4">
            <w:pPr>
              <w:pStyle w:val="TableText0"/>
              <w:keepNext w:val="0"/>
              <w:jc w:val="left"/>
            </w:pPr>
            <w:r w:rsidRPr="00675587">
              <w:t>AEs in false positives</w:t>
            </w:r>
          </w:p>
        </w:tc>
        <w:tc>
          <w:tcPr>
            <w:tcW w:w="6912" w:type="dxa"/>
          </w:tcPr>
          <w:p w:rsidR="0095055D" w:rsidRPr="00675587" w:rsidRDefault="0095055D" w:rsidP="00A36DD4">
            <w:pPr>
              <w:pStyle w:val="TableText0"/>
              <w:keepNext w:val="0"/>
            </w:pPr>
            <w:r w:rsidRPr="00675587">
              <w:t xml:space="preserve">AE rates between PD-L1-positive and </w:t>
            </w:r>
            <w:r w:rsidRPr="00675587">
              <w:noBreakHyphen/>
              <w:t>negative patients in KN-001 were compared, with tests for statistically significant differences undertaken. AE rates were assumed to be the same for true positives and false positives treated with. This appeared reasonable.</w:t>
            </w:r>
          </w:p>
        </w:tc>
      </w:tr>
      <w:tr w:rsidR="0095055D" w:rsidRPr="00675587" w:rsidTr="00AF11A9">
        <w:tc>
          <w:tcPr>
            <w:tcW w:w="1451" w:type="dxa"/>
          </w:tcPr>
          <w:p w:rsidR="0095055D" w:rsidRPr="00675587" w:rsidRDefault="0095055D" w:rsidP="00A36DD4">
            <w:pPr>
              <w:pStyle w:val="TableText0"/>
              <w:keepNext w:val="0"/>
              <w:jc w:val="left"/>
            </w:pPr>
            <w:r w:rsidRPr="00675587">
              <w:t>Utilities</w:t>
            </w:r>
          </w:p>
        </w:tc>
        <w:tc>
          <w:tcPr>
            <w:tcW w:w="6912" w:type="dxa"/>
          </w:tcPr>
          <w:p w:rsidR="0095055D" w:rsidRPr="00675587" w:rsidRDefault="0095055D" w:rsidP="00A36DD4">
            <w:pPr>
              <w:pStyle w:val="TableText0"/>
              <w:keepNext w:val="0"/>
            </w:pPr>
            <w:r w:rsidRPr="00675587">
              <w:t xml:space="preserve">Utilities from KN-010 mapped to Australian values for pembrolizumab and </w:t>
            </w:r>
            <w:proofErr w:type="spellStart"/>
            <w:r w:rsidRPr="00675587">
              <w:t>docetaxel</w:t>
            </w:r>
            <w:proofErr w:type="spellEnd"/>
            <w:r w:rsidRPr="00675587">
              <w:t xml:space="preserve"> were found to be comparable to utilities identified for NSCLC patients in the literature. Trial-based utilities mapped to Australian values by progression status were used in the economic model. Utility differences modelled were not observed to be statistically significant, and a higher utility for pembrolizumab was modelled in the progressive disease state. This might not be reasonable as this was based on data to approximately 30 days post-progression (of an average 10 months in the progressive disease health state). It was not reasonable to assume that a higher utility for pembrolizumab treatment continue</w:t>
            </w:r>
            <w:r w:rsidR="000222C3" w:rsidRPr="00675587">
              <w:t>d</w:t>
            </w:r>
            <w:r w:rsidRPr="00675587">
              <w:t xml:space="preserve"> after treatment has stopped without significant, ongoing data.</w:t>
            </w:r>
          </w:p>
          <w:p w:rsidR="000222C3" w:rsidRPr="00675587" w:rsidRDefault="000222C3" w:rsidP="00A36DD4">
            <w:pPr>
              <w:pStyle w:val="TableText0"/>
              <w:keepNext w:val="0"/>
            </w:pPr>
            <w:r w:rsidRPr="00675587">
              <w:t>The ESC</w:t>
            </w:r>
            <w:r w:rsidR="00F01BA7" w:rsidRPr="00675587">
              <w:t>s</w:t>
            </w:r>
            <w:r w:rsidRPr="00675587">
              <w:t xml:space="preserve"> agreed with the commentary that it was not appropriate to assume that utilities at 30 days post-progression would remain constant throughout the duration of the post-progression disease state. The ESC</w:t>
            </w:r>
            <w:r w:rsidR="00F01BA7" w:rsidRPr="00675587">
              <w:t>s</w:t>
            </w:r>
            <w:r w:rsidRPr="00675587">
              <w:t xml:space="preserve"> considered that patients were likely to experience worse utilities later in disease progre</w:t>
            </w:r>
            <w:r w:rsidR="000347E7" w:rsidRPr="00675587">
              <w:t>ssion than at an earlier stage.</w:t>
            </w:r>
          </w:p>
          <w:p w:rsidR="007633E8" w:rsidRPr="00675587" w:rsidRDefault="0095055D" w:rsidP="00A36DD4">
            <w:pPr>
              <w:pStyle w:val="TableText0"/>
              <w:keepNext w:val="0"/>
            </w:pPr>
            <w:r w:rsidRPr="00675587">
              <w:t xml:space="preserve">Utilities for </w:t>
            </w:r>
            <w:proofErr w:type="spellStart"/>
            <w:r w:rsidRPr="00675587">
              <w:t>pemetrexed</w:t>
            </w:r>
            <w:proofErr w:type="spellEnd"/>
            <w:r w:rsidRPr="00675587">
              <w:t xml:space="preserve"> treatment were assumed to be the same as for </w:t>
            </w:r>
            <w:proofErr w:type="spellStart"/>
            <w:r w:rsidRPr="00675587">
              <w:t>docetaxel</w:t>
            </w:r>
            <w:proofErr w:type="spellEnd"/>
            <w:r w:rsidRPr="00675587">
              <w:t xml:space="preserve"> treatment. This was not appropriate given the different safety profiles of </w:t>
            </w:r>
            <w:proofErr w:type="spellStart"/>
            <w:r w:rsidRPr="00675587">
              <w:t>docetaxel</w:t>
            </w:r>
            <w:proofErr w:type="spellEnd"/>
            <w:r w:rsidRPr="00675587">
              <w:t xml:space="preserve"> and </w:t>
            </w:r>
            <w:proofErr w:type="spellStart"/>
            <w:r w:rsidRPr="00675587">
              <w:t>pemetrexed</w:t>
            </w:r>
            <w:proofErr w:type="spellEnd"/>
            <w:r w:rsidRPr="00675587">
              <w:t>. This led to bias in favour of pembrolizumab.</w:t>
            </w:r>
          </w:p>
          <w:p w:rsidR="0095055D" w:rsidRPr="00675587" w:rsidRDefault="000222C3" w:rsidP="00A36DD4">
            <w:pPr>
              <w:pStyle w:val="TableText0"/>
              <w:keepNext w:val="0"/>
            </w:pPr>
            <w:r w:rsidRPr="00675587">
              <w:t>The ESC</w:t>
            </w:r>
            <w:r w:rsidR="00F01BA7" w:rsidRPr="00675587">
              <w:t>s</w:t>
            </w:r>
            <w:r w:rsidRPr="00675587">
              <w:t xml:space="preserve"> considered that the utilities for </w:t>
            </w:r>
            <w:proofErr w:type="spellStart"/>
            <w:r w:rsidRPr="00675587">
              <w:t>pemetrexed</w:t>
            </w:r>
            <w:proofErr w:type="spellEnd"/>
            <w:r w:rsidRPr="00675587">
              <w:t xml:space="preserve"> treatment should not have been assumed to be the same as for </w:t>
            </w:r>
            <w:proofErr w:type="spellStart"/>
            <w:r w:rsidRPr="00675587">
              <w:t>docetaxel</w:t>
            </w:r>
            <w:proofErr w:type="spellEnd"/>
            <w:r w:rsidRPr="00675587">
              <w:t xml:space="preserve"> treatment.</w:t>
            </w:r>
          </w:p>
        </w:tc>
      </w:tr>
      <w:tr w:rsidR="0095055D" w:rsidRPr="00675587" w:rsidTr="00AF11A9">
        <w:tc>
          <w:tcPr>
            <w:tcW w:w="1451" w:type="dxa"/>
          </w:tcPr>
          <w:p w:rsidR="0095055D" w:rsidRPr="00675587" w:rsidRDefault="0095055D" w:rsidP="00A36DD4">
            <w:pPr>
              <w:pStyle w:val="TableText0"/>
              <w:keepNext w:val="0"/>
              <w:jc w:val="left"/>
            </w:pPr>
            <w:r w:rsidRPr="00675587">
              <w:t>Resource utilisation for disease management</w:t>
            </w:r>
          </w:p>
        </w:tc>
        <w:tc>
          <w:tcPr>
            <w:tcW w:w="6912" w:type="dxa"/>
          </w:tcPr>
          <w:p w:rsidR="0095055D" w:rsidRPr="00675587" w:rsidRDefault="0095055D" w:rsidP="00A36DD4">
            <w:pPr>
              <w:pStyle w:val="TableText0"/>
              <w:keepNext w:val="0"/>
            </w:pPr>
            <w:r w:rsidRPr="00675587">
              <w:t xml:space="preserve">The submission concluded that resource utilisation in PIVOTAL may overestimate resource utilisation for disease management, as the number of hospital outpatient visits may include chemotherapy administrations, which would be accounted elsewhere in the model. An alternative source was identified (NICE TA347). Resource utilisation for disease management was based on that reported in the NICE Technology Appraisal for </w:t>
            </w:r>
            <w:proofErr w:type="spellStart"/>
            <w:r w:rsidRPr="00675587">
              <w:t>nintedanib</w:t>
            </w:r>
            <w:proofErr w:type="spellEnd"/>
            <w:r w:rsidRPr="00675587">
              <w:t xml:space="preserve"> for later-line NSCLC. This was reasonably </w:t>
            </w:r>
            <w:proofErr w:type="gramStart"/>
            <w:r w:rsidRPr="00675587">
              <w:t>justified,</w:t>
            </w:r>
            <w:proofErr w:type="gramEnd"/>
            <w:r w:rsidRPr="00675587">
              <w:t xml:space="preserve"> however the cost of the additional GP consultation every 10 weeks may be inappropriate.</w:t>
            </w:r>
          </w:p>
        </w:tc>
      </w:tr>
      <w:tr w:rsidR="0095055D" w:rsidRPr="00675587" w:rsidTr="00AF11A9">
        <w:tc>
          <w:tcPr>
            <w:tcW w:w="1451" w:type="dxa"/>
          </w:tcPr>
          <w:p w:rsidR="0095055D" w:rsidRPr="00675587" w:rsidRDefault="0095055D" w:rsidP="00A36DD4">
            <w:pPr>
              <w:pStyle w:val="TableText0"/>
              <w:keepNext w:val="0"/>
              <w:jc w:val="left"/>
            </w:pPr>
            <w:r w:rsidRPr="00675587">
              <w:t>Effect of PD-L1 testing on re-biopsy rates</w:t>
            </w:r>
          </w:p>
        </w:tc>
        <w:tc>
          <w:tcPr>
            <w:tcW w:w="6912" w:type="dxa"/>
          </w:tcPr>
          <w:p w:rsidR="0095055D" w:rsidRPr="00675587" w:rsidRDefault="0095055D" w:rsidP="007633E8">
            <w:pPr>
              <w:pStyle w:val="TableText0"/>
              <w:keepNext w:val="0"/>
            </w:pPr>
            <w:r w:rsidRPr="00675587">
              <w:t xml:space="preserve">Pathologist members of the sponsor’s Pathologist Advisory Board were surveyed. The majority of respondents (4/5) answered that re-biopsy rates would not change with the introduction of the PD-L1 test The submission assumed the same re-biopsy rate across both arms of the economic model. This </w:t>
            </w:r>
            <w:r w:rsidR="007633E8" w:rsidRPr="00675587">
              <w:t xml:space="preserve">would be </w:t>
            </w:r>
            <w:r w:rsidRPr="00675587">
              <w:t xml:space="preserve">a reasonable conclusion </w:t>
            </w:r>
            <w:r w:rsidR="007633E8" w:rsidRPr="00675587">
              <w:t xml:space="preserve">if it </w:t>
            </w:r>
            <w:r w:rsidR="000347E7" w:rsidRPr="00675587">
              <w:t xml:space="preserve">could be </w:t>
            </w:r>
            <w:r w:rsidR="007633E8" w:rsidRPr="00675587">
              <w:t xml:space="preserve">assumed that </w:t>
            </w:r>
            <w:r w:rsidRPr="00675587">
              <w:t xml:space="preserve">PD-L1 </w:t>
            </w:r>
            <w:r w:rsidR="000347E7" w:rsidRPr="00675587">
              <w:t xml:space="preserve">expression </w:t>
            </w:r>
            <w:r w:rsidRPr="00675587">
              <w:t xml:space="preserve">status </w:t>
            </w:r>
            <w:r w:rsidR="000347E7" w:rsidRPr="00675587">
              <w:t>would</w:t>
            </w:r>
            <w:r w:rsidRPr="00675587">
              <w:t xml:space="preserve"> not change with prior treatment, however there is some evidence to suggest that it may.</w:t>
            </w:r>
          </w:p>
          <w:p w:rsidR="007633E8" w:rsidRPr="00675587" w:rsidRDefault="007633E8" w:rsidP="007633E8">
            <w:pPr>
              <w:pStyle w:val="TableText0"/>
              <w:keepNext w:val="0"/>
            </w:pPr>
            <w:r w:rsidRPr="00675587">
              <w:t>The ESC</w:t>
            </w:r>
            <w:r w:rsidR="00F01BA7" w:rsidRPr="00675587">
              <w:t>s</w:t>
            </w:r>
            <w:r w:rsidRPr="00675587">
              <w:t xml:space="preserve"> considered that</w:t>
            </w:r>
            <w:r w:rsidR="000347E7" w:rsidRPr="00675587">
              <w:t>,</w:t>
            </w:r>
            <w:r w:rsidRPr="00675587">
              <w:t xml:space="preserve"> if PD-L1 testing was subsidised by the Medical Benefits Schedule, it would drive and potentially change clinical practice such that the rates of re-testing archival biopsies</w:t>
            </w:r>
            <w:r w:rsidR="000347E7" w:rsidRPr="00675587">
              <w:t xml:space="preserve"> or re-biopsies would increase.</w:t>
            </w:r>
          </w:p>
        </w:tc>
      </w:tr>
    </w:tbl>
    <w:p w:rsidR="00F93B40" w:rsidRDefault="00F93B40" w:rsidP="00AF11A9">
      <w:pPr>
        <w:pStyle w:val="TableFooter"/>
        <w:tabs>
          <w:tab w:val="left" w:pos="709"/>
        </w:tabs>
        <w:ind w:left="709"/>
      </w:pPr>
      <w:r>
        <w:t xml:space="preserve">AE = adverse event; AIC = </w:t>
      </w:r>
      <w:proofErr w:type="spellStart"/>
      <w:r w:rsidRPr="00CF71A6">
        <w:t>Akaike</w:t>
      </w:r>
      <w:proofErr w:type="spellEnd"/>
      <w:r w:rsidRPr="00CF71A6">
        <w:t xml:space="preserve"> Info</w:t>
      </w:r>
      <w:r>
        <w:t xml:space="preserve">rmation Criterion; BIC = </w:t>
      </w:r>
      <w:r w:rsidRPr="00CF71A6">
        <w:t>Bayesian Information Criterion</w:t>
      </w:r>
      <w:r>
        <w:t xml:space="preserve">; ICER = incremental cost-effectiveness ratio; HR = hazard ratio; HTA = health technology assessment; NICE = </w:t>
      </w:r>
      <w:r w:rsidRPr="00F463F2">
        <w:t>National Institute for Health and Care Excellence</w:t>
      </w:r>
      <w:r>
        <w:t>; NSCLC = non-small cell lung cancer; OS = overall survival; PBAC = Pharmaceutical Benefits Advisory Committee; PD-L1 = programmed death-ligand 1; PFS = progression-free survival.</w:t>
      </w:r>
    </w:p>
    <w:p w:rsidR="0095055D" w:rsidRPr="009E132D" w:rsidRDefault="0095055D" w:rsidP="00AF11A9">
      <w:pPr>
        <w:pStyle w:val="TableFooter"/>
        <w:tabs>
          <w:tab w:val="left" w:pos="709"/>
        </w:tabs>
        <w:ind w:left="709"/>
      </w:pPr>
      <w:r w:rsidRPr="009E132D">
        <w:t xml:space="preserve">Source: </w:t>
      </w:r>
      <w:r>
        <w:t>Table C.5</w:t>
      </w:r>
      <w:r w:rsidR="00F93B40">
        <w:t>-1, pp304-310 of the submission</w:t>
      </w:r>
    </w:p>
    <w:p w:rsidR="0095055D" w:rsidRPr="00F93B40" w:rsidRDefault="0095055D" w:rsidP="00A36DD4">
      <w:pPr>
        <w:rPr>
          <w:rFonts w:ascii="Arial" w:hAnsi="Arial" w:cs="Arial"/>
          <w:sz w:val="22"/>
          <w:szCs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The submission did not adequately address the applicability issue regarding which PD-L1 test will be used in the Australian context, given the potential availability of several PD-1/PD-L1 assays. Accuracy and prevalence estimates used in the modelling may differ from Australian clinical practice depending on the assay(s) available.</w:t>
      </w:r>
    </w:p>
    <w:p w:rsidR="0014359C" w:rsidRPr="009015FA" w:rsidRDefault="0014359C" w:rsidP="0014359C">
      <w:pPr>
        <w:pStyle w:val="ListParagraph"/>
        <w:ind w:left="0" w:firstLine="0"/>
        <w:rPr>
          <w:rFonts w:ascii="Arial" w:hAnsi="Arial" w:cs="Arial"/>
          <w:sz w:val="22"/>
        </w:rPr>
      </w:pPr>
    </w:p>
    <w:bookmarkEnd w:id="39"/>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The submission presented a two phase modelled economic evaluation for patients with Stage IIIB/IV NSCLC where PD-L1 status was determined in the ‘Testing phase’; and treatment after disease progression from platinum-doublet chemotherapy was guided by PD-L1 status in the ‘Treatment phase’. Each sub-cohort of patients (by PD-L1 status and treatment) entered a Markov model, where three health states were possible: progression-</w:t>
      </w:r>
      <w:r w:rsidRPr="00675587">
        <w:rPr>
          <w:rFonts w:ascii="Arial" w:hAnsi="Arial" w:cs="Arial"/>
          <w:sz w:val="22"/>
        </w:rPr>
        <w:t>free; progressive disease; and dead. The modelled time horizon was seven years.</w:t>
      </w:r>
      <w:r w:rsidR="005101EF" w:rsidRPr="00675587">
        <w:rPr>
          <w:rFonts w:ascii="Arial" w:hAnsi="Arial" w:cs="Arial"/>
          <w:sz w:val="22"/>
        </w:rPr>
        <w:t xml:space="preserve"> The ESC</w:t>
      </w:r>
      <w:r w:rsidR="00F01BA7" w:rsidRPr="00675587">
        <w:rPr>
          <w:rFonts w:ascii="Arial" w:hAnsi="Arial" w:cs="Arial"/>
          <w:sz w:val="22"/>
        </w:rPr>
        <w:t>s</w:t>
      </w:r>
      <w:r w:rsidR="005101EF" w:rsidRPr="00675587">
        <w:rPr>
          <w:rFonts w:ascii="Arial" w:hAnsi="Arial" w:cs="Arial"/>
          <w:sz w:val="22"/>
        </w:rPr>
        <w:t xml:space="preserve"> considered that the time horizon of seven years was optimistic and that five years would have been more appropriate</w:t>
      </w:r>
      <w:r w:rsidR="00405DD5" w:rsidRPr="00675587">
        <w:rPr>
          <w:rFonts w:ascii="Arial" w:hAnsi="Arial" w:cs="Arial"/>
          <w:sz w:val="22"/>
        </w:rPr>
        <w:t xml:space="preserve">, consistent with the recent PBAC advice in the context of </w:t>
      </w:r>
      <w:proofErr w:type="spellStart"/>
      <w:r w:rsidR="00405DD5" w:rsidRPr="00675587">
        <w:rPr>
          <w:rFonts w:ascii="Arial" w:hAnsi="Arial" w:cs="Arial"/>
          <w:sz w:val="22"/>
        </w:rPr>
        <w:t>nivolumab</w:t>
      </w:r>
      <w:proofErr w:type="spellEnd"/>
      <w:r w:rsidR="00405DD5" w:rsidRPr="00675587">
        <w:rPr>
          <w:rFonts w:ascii="Arial" w:hAnsi="Arial" w:cs="Arial"/>
          <w:sz w:val="22"/>
        </w:rPr>
        <w:t xml:space="preserve"> for the treatment of NSCLC</w:t>
      </w:r>
      <w:r w:rsidR="005101EF" w:rsidRPr="00675587">
        <w:rPr>
          <w:rFonts w:ascii="Arial" w:hAnsi="Arial" w:cs="Arial"/>
          <w:sz w:val="22"/>
        </w:rPr>
        <w:t>.</w:t>
      </w:r>
      <w:r w:rsidR="001C3866">
        <w:rPr>
          <w:rFonts w:ascii="Arial" w:hAnsi="Arial" w:cs="Arial"/>
          <w:sz w:val="22"/>
        </w:rPr>
        <w:t xml:space="preserve"> The PBAC agreed with the ESCs that a five</w:t>
      </w:r>
      <w:r w:rsidR="00EB43C5">
        <w:rPr>
          <w:rFonts w:ascii="Arial" w:hAnsi="Arial" w:cs="Arial"/>
          <w:sz w:val="22"/>
        </w:rPr>
        <w:t>-</w:t>
      </w:r>
      <w:r w:rsidR="001C3866">
        <w:rPr>
          <w:rFonts w:ascii="Arial" w:hAnsi="Arial" w:cs="Arial"/>
          <w:sz w:val="22"/>
        </w:rPr>
        <w:t>year time horizon would be more appropriate.</w:t>
      </w:r>
    </w:p>
    <w:p w:rsidR="0095055D" w:rsidRPr="009015FA" w:rsidRDefault="0095055D" w:rsidP="00956B85">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comparator in the ‘Testing phase’ was no PD-L1 testing, while that in the ‘Treatment phase’ was determined by histology: </w:t>
      </w:r>
      <w:proofErr w:type="spellStart"/>
      <w:r w:rsidRPr="009015FA">
        <w:rPr>
          <w:rFonts w:ascii="Arial" w:hAnsi="Arial" w:cs="Arial"/>
          <w:sz w:val="22"/>
        </w:rPr>
        <w:t>docetaxel</w:t>
      </w:r>
      <w:proofErr w:type="spellEnd"/>
      <w:r w:rsidRPr="009015FA">
        <w:rPr>
          <w:rFonts w:ascii="Arial" w:hAnsi="Arial" w:cs="Arial"/>
          <w:sz w:val="22"/>
        </w:rPr>
        <w:t xml:space="preserve"> for patients with squamous histology, and </w:t>
      </w:r>
      <w:proofErr w:type="spellStart"/>
      <w:r w:rsidRPr="009015FA">
        <w:rPr>
          <w:rFonts w:ascii="Arial" w:hAnsi="Arial" w:cs="Arial"/>
          <w:sz w:val="22"/>
        </w:rPr>
        <w:t>pemetrexed</w:t>
      </w:r>
      <w:proofErr w:type="spellEnd"/>
      <w:r w:rsidRPr="009015FA">
        <w:rPr>
          <w:rFonts w:ascii="Arial" w:hAnsi="Arial" w:cs="Arial"/>
          <w:sz w:val="22"/>
        </w:rPr>
        <w:t xml:space="preserve"> for patients with non-squamous histology.</w:t>
      </w:r>
    </w:p>
    <w:p w:rsidR="0095055D" w:rsidRPr="009015FA" w:rsidRDefault="0095055D" w:rsidP="00956B85">
      <w:pPr>
        <w:pStyle w:val="ListParagraph"/>
        <w:ind w:left="0" w:firstLine="0"/>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key structural features of the model are presented in Table </w:t>
      </w:r>
      <w:r w:rsidR="003B0261">
        <w:rPr>
          <w:rFonts w:ascii="Arial" w:hAnsi="Arial" w:cs="Arial"/>
          <w:sz w:val="22"/>
        </w:rPr>
        <w:t>1</w:t>
      </w:r>
      <w:r w:rsidR="006405DD">
        <w:rPr>
          <w:rFonts w:ascii="Arial" w:hAnsi="Arial" w:cs="Arial"/>
          <w:sz w:val="22"/>
        </w:rPr>
        <w:t>7</w:t>
      </w:r>
      <w:r w:rsidRPr="009015FA">
        <w:rPr>
          <w:rFonts w:ascii="Arial" w:hAnsi="Arial" w:cs="Arial"/>
          <w:sz w:val="22"/>
        </w:rPr>
        <w:t>.</w:t>
      </w:r>
    </w:p>
    <w:p w:rsidR="0095055D" w:rsidRPr="00405DD5" w:rsidRDefault="0095055D" w:rsidP="00A36DD4">
      <w:pPr>
        <w:rPr>
          <w:rFonts w:ascii="Arial" w:hAnsi="Arial" w:cs="Arial"/>
          <w:sz w:val="22"/>
          <w:szCs w:val="22"/>
        </w:rPr>
      </w:pPr>
    </w:p>
    <w:p w:rsidR="0095055D" w:rsidRPr="001E345C" w:rsidRDefault="0095055D" w:rsidP="00AF11A9">
      <w:pPr>
        <w:pStyle w:val="TableHeading0"/>
        <w:ind w:firstLine="720"/>
      </w:pPr>
      <w:r w:rsidRPr="00A23F2B">
        <w:t xml:space="preserve">Table </w:t>
      </w:r>
      <w:r w:rsidR="003B0261">
        <w:t>1</w:t>
      </w:r>
      <w:r w:rsidR="006405DD">
        <w:t>7</w:t>
      </w:r>
      <w:r w:rsidRPr="00A23F2B">
        <w:t>: Key structural features of the model</w:t>
      </w:r>
    </w:p>
    <w:tbl>
      <w:tblPr>
        <w:tblW w:w="8363"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134"/>
        <w:gridCol w:w="2560"/>
        <w:gridCol w:w="858"/>
        <w:gridCol w:w="3811"/>
      </w:tblGrid>
      <w:tr w:rsidR="0095055D" w:rsidRPr="009E132D" w:rsidTr="00AF11A9">
        <w:tc>
          <w:tcPr>
            <w:tcW w:w="1134" w:type="dxa"/>
            <w:shd w:val="clear" w:color="auto" w:fill="auto"/>
            <w:vAlign w:val="center"/>
          </w:tcPr>
          <w:p w:rsidR="0095055D" w:rsidRPr="00691750" w:rsidRDefault="0095055D" w:rsidP="00CF7BB3">
            <w:pPr>
              <w:pStyle w:val="TableText0"/>
              <w:jc w:val="left"/>
              <w:rPr>
                <w:b/>
              </w:rPr>
            </w:pPr>
          </w:p>
        </w:tc>
        <w:tc>
          <w:tcPr>
            <w:tcW w:w="0" w:type="auto"/>
            <w:shd w:val="clear" w:color="auto" w:fill="auto"/>
            <w:vAlign w:val="center"/>
          </w:tcPr>
          <w:p w:rsidR="0095055D" w:rsidRPr="00691750" w:rsidRDefault="0095055D" w:rsidP="00CF7BB3">
            <w:pPr>
              <w:pStyle w:val="TableText0"/>
              <w:jc w:val="left"/>
              <w:rPr>
                <w:b/>
              </w:rPr>
            </w:pPr>
            <w:r w:rsidRPr="00691750">
              <w:rPr>
                <w:b/>
              </w:rPr>
              <w:t>Summary</w:t>
            </w:r>
          </w:p>
        </w:tc>
        <w:tc>
          <w:tcPr>
            <w:tcW w:w="0" w:type="auto"/>
            <w:shd w:val="clear" w:color="auto" w:fill="auto"/>
            <w:vAlign w:val="center"/>
          </w:tcPr>
          <w:p w:rsidR="0095055D" w:rsidRPr="00691750" w:rsidRDefault="0095055D" w:rsidP="00CF7BB3">
            <w:pPr>
              <w:pStyle w:val="TableText0"/>
              <w:jc w:val="left"/>
              <w:rPr>
                <w:b/>
              </w:rPr>
            </w:pPr>
            <w:r w:rsidRPr="00691750">
              <w:rPr>
                <w:b/>
              </w:rPr>
              <w:t>Able to be varied?</w:t>
            </w:r>
          </w:p>
        </w:tc>
        <w:tc>
          <w:tcPr>
            <w:tcW w:w="3811" w:type="dxa"/>
            <w:shd w:val="clear" w:color="auto" w:fill="auto"/>
            <w:vAlign w:val="center"/>
          </w:tcPr>
          <w:p w:rsidR="0095055D" w:rsidRPr="00691750" w:rsidRDefault="0095055D" w:rsidP="00CF7BB3">
            <w:pPr>
              <w:pStyle w:val="TableText0"/>
              <w:jc w:val="left"/>
              <w:rPr>
                <w:b/>
              </w:rPr>
            </w:pPr>
            <w:r w:rsidRPr="00691750">
              <w:rPr>
                <w:b/>
              </w:rPr>
              <w:t>Appropriate?</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Duration</w:t>
            </w:r>
          </w:p>
        </w:tc>
        <w:tc>
          <w:tcPr>
            <w:tcW w:w="0" w:type="auto"/>
            <w:shd w:val="clear" w:color="auto" w:fill="auto"/>
            <w:vAlign w:val="center"/>
          </w:tcPr>
          <w:p w:rsidR="0095055D" w:rsidRPr="008D79C8" w:rsidRDefault="0095055D" w:rsidP="00CF7BB3">
            <w:pPr>
              <w:pStyle w:val="TableText0"/>
              <w:keepNext w:val="0"/>
              <w:jc w:val="left"/>
            </w:pPr>
            <w:r>
              <w:t>7 years</w:t>
            </w:r>
          </w:p>
        </w:tc>
        <w:tc>
          <w:tcPr>
            <w:tcW w:w="0" w:type="auto"/>
            <w:shd w:val="clear" w:color="auto" w:fill="auto"/>
            <w:vAlign w:val="center"/>
          </w:tcPr>
          <w:p w:rsidR="0095055D" w:rsidRPr="008D79C8" w:rsidRDefault="0095055D" w:rsidP="00CF7BB3">
            <w:pPr>
              <w:pStyle w:val="TableText0"/>
              <w:keepNext w:val="0"/>
              <w:jc w:val="left"/>
            </w:pPr>
            <w:r>
              <w:t>Yes</w:t>
            </w:r>
          </w:p>
        </w:tc>
        <w:tc>
          <w:tcPr>
            <w:tcW w:w="3811" w:type="dxa"/>
            <w:shd w:val="clear" w:color="auto" w:fill="auto"/>
            <w:vAlign w:val="center"/>
          </w:tcPr>
          <w:p w:rsidR="0095055D" w:rsidRPr="004B427D" w:rsidRDefault="00405DD5" w:rsidP="00405DD5">
            <w:pPr>
              <w:pStyle w:val="TableText0"/>
              <w:keepNext w:val="0"/>
              <w:jc w:val="left"/>
            </w:pPr>
            <w:r w:rsidRPr="004B427D">
              <w:t>The ESC</w:t>
            </w:r>
            <w:r w:rsidR="00F01BA7" w:rsidRPr="004B427D">
              <w:t>s</w:t>
            </w:r>
            <w:r w:rsidRPr="004B427D">
              <w:t xml:space="preserve"> considered that a 5-year time horizon would have been more appropriate, consistent with recent relevant advice by PBAC.</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Cycle length</w:t>
            </w:r>
          </w:p>
        </w:tc>
        <w:tc>
          <w:tcPr>
            <w:tcW w:w="0" w:type="auto"/>
            <w:shd w:val="clear" w:color="auto" w:fill="auto"/>
            <w:vAlign w:val="center"/>
          </w:tcPr>
          <w:p w:rsidR="0095055D" w:rsidRPr="008D79C8" w:rsidRDefault="0095055D" w:rsidP="00CF7BB3">
            <w:pPr>
              <w:pStyle w:val="TableText0"/>
              <w:keepNext w:val="0"/>
              <w:jc w:val="left"/>
            </w:pPr>
            <w:r>
              <w:t>1 week</w:t>
            </w:r>
          </w:p>
        </w:tc>
        <w:tc>
          <w:tcPr>
            <w:tcW w:w="0" w:type="auto"/>
            <w:shd w:val="clear" w:color="auto" w:fill="auto"/>
            <w:vAlign w:val="center"/>
          </w:tcPr>
          <w:p w:rsidR="0095055D" w:rsidRPr="008D79C8" w:rsidRDefault="0095055D" w:rsidP="00CF7BB3">
            <w:pPr>
              <w:pStyle w:val="TableText0"/>
              <w:keepNext w:val="0"/>
              <w:jc w:val="left"/>
            </w:pPr>
            <w:r>
              <w:t>No</w:t>
            </w:r>
          </w:p>
        </w:tc>
        <w:tc>
          <w:tcPr>
            <w:tcW w:w="3811" w:type="dxa"/>
            <w:shd w:val="clear" w:color="auto" w:fill="auto"/>
            <w:vAlign w:val="center"/>
          </w:tcPr>
          <w:p w:rsidR="0095055D" w:rsidRPr="00981D8B" w:rsidRDefault="0095055D" w:rsidP="00CF7BB3">
            <w:pPr>
              <w:pStyle w:val="TableText0"/>
              <w:keepNext w:val="0"/>
              <w:jc w:val="left"/>
            </w:pPr>
            <w:r w:rsidRPr="00981D8B">
              <w:t xml:space="preserve">A one-week cycle length may be reasonable, however a three-week cycle </w:t>
            </w:r>
            <w:r w:rsidR="001C3866">
              <w:t>w</w:t>
            </w:r>
            <w:r w:rsidRPr="00981D8B">
              <w:t xml:space="preserve">ould be more appropriate, as this is consistent with time between treatment administrations. </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When tested</w:t>
            </w:r>
          </w:p>
        </w:tc>
        <w:tc>
          <w:tcPr>
            <w:tcW w:w="0" w:type="auto"/>
            <w:shd w:val="clear" w:color="auto" w:fill="auto"/>
            <w:vAlign w:val="center"/>
          </w:tcPr>
          <w:p w:rsidR="0095055D" w:rsidRPr="008D79C8" w:rsidRDefault="0095055D" w:rsidP="00CF7BB3">
            <w:pPr>
              <w:pStyle w:val="TableText0"/>
              <w:keepNext w:val="0"/>
              <w:jc w:val="left"/>
            </w:pPr>
            <w:r>
              <w:t>At diagnosis of advanced disease</w:t>
            </w:r>
          </w:p>
        </w:tc>
        <w:tc>
          <w:tcPr>
            <w:tcW w:w="0" w:type="auto"/>
            <w:shd w:val="clear" w:color="auto" w:fill="auto"/>
            <w:vAlign w:val="center"/>
          </w:tcPr>
          <w:p w:rsidR="0095055D" w:rsidRPr="008D79C8" w:rsidRDefault="0095055D" w:rsidP="00CF7BB3">
            <w:pPr>
              <w:pStyle w:val="TableText0"/>
              <w:keepNext w:val="0"/>
              <w:jc w:val="left"/>
            </w:pPr>
            <w:r>
              <w:t>No</w:t>
            </w:r>
          </w:p>
        </w:tc>
        <w:tc>
          <w:tcPr>
            <w:tcW w:w="3811" w:type="dxa"/>
            <w:shd w:val="clear" w:color="auto" w:fill="auto"/>
            <w:vAlign w:val="center"/>
          </w:tcPr>
          <w:p w:rsidR="0095055D" w:rsidRPr="00981D8B" w:rsidRDefault="0095055D" w:rsidP="00CF7BB3">
            <w:pPr>
              <w:pStyle w:val="TableText0"/>
              <w:keepNext w:val="0"/>
              <w:jc w:val="left"/>
            </w:pPr>
            <w:r w:rsidRPr="00981D8B">
              <w:t>Alternative scenarios for the timing of the test should also have been presented in scenario analyses.</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Who tested</w:t>
            </w:r>
          </w:p>
        </w:tc>
        <w:tc>
          <w:tcPr>
            <w:tcW w:w="0" w:type="auto"/>
            <w:shd w:val="clear" w:color="auto" w:fill="auto"/>
            <w:vAlign w:val="center"/>
          </w:tcPr>
          <w:p w:rsidR="0095055D" w:rsidRPr="008D79C8" w:rsidRDefault="0095055D" w:rsidP="00CF7BB3">
            <w:pPr>
              <w:pStyle w:val="TableText0"/>
              <w:keepNext w:val="0"/>
              <w:jc w:val="left"/>
            </w:pPr>
            <w:r>
              <w:t>Stage IIIB/IV NSCLC</w:t>
            </w:r>
          </w:p>
        </w:tc>
        <w:tc>
          <w:tcPr>
            <w:tcW w:w="0" w:type="auto"/>
            <w:shd w:val="clear" w:color="auto" w:fill="auto"/>
            <w:vAlign w:val="center"/>
          </w:tcPr>
          <w:p w:rsidR="0095055D" w:rsidRPr="008D79C8" w:rsidRDefault="0095055D" w:rsidP="00CF7BB3">
            <w:pPr>
              <w:pStyle w:val="TableText0"/>
              <w:keepNext w:val="0"/>
              <w:jc w:val="left"/>
            </w:pPr>
            <w:r>
              <w:t>No</w:t>
            </w:r>
          </w:p>
        </w:tc>
        <w:tc>
          <w:tcPr>
            <w:tcW w:w="3811" w:type="dxa"/>
            <w:shd w:val="clear" w:color="auto" w:fill="auto"/>
            <w:vAlign w:val="center"/>
          </w:tcPr>
          <w:p w:rsidR="0095055D" w:rsidRPr="00981D8B" w:rsidRDefault="0095055D" w:rsidP="00CF7BB3">
            <w:pPr>
              <w:pStyle w:val="TableText0"/>
              <w:keepNext w:val="0"/>
              <w:jc w:val="left"/>
            </w:pPr>
            <w:r w:rsidRPr="00981D8B">
              <w:t xml:space="preserve">Evidence presented in the submission does support treatment effect modification by PD-L1 status in patients with non-squamous histology, however is inconclusive in patients with squamous histology. </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Outcomes</w:t>
            </w:r>
          </w:p>
        </w:tc>
        <w:tc>
          <w:tcPr>
            <w:tcW w:w="0" w:type="auto"/>
            <w:shd w:val="clear" w:color="auto" w:fill="auto"/>
            <w:vAlign w:val="center"/>
          </w:tcPr>
          <w:p w:rsidR="0095055D" w:rsidRPr="008D79C8" w:rsidRDefault="0095055D" w:rsidP="00CF7BB3">
            <w:pPr>
              <w:pStyle w:val="TableText0"/>
              <w:keepNext w:val="0"/>
              <w:jc w:val="left"/>
            </w:pPr>
            <w:r>
              <w:t>QALYs, L</w:t>
            </w:r>
            <w:r w:rsidR="0091472A">
              <w:t>y</w:t>
            </w:r>
            <w:r>
              <w:t>s</w:t>
            </w:r>
          </w:p>
        </w:tc>
        <w:tc>
          <w:tcPr>
            <w:tcW w:w="0" w:type="auto"/>
            <w:shd w:val="clear" w:color="auto" w:fill="auto"/>
            <w:vAlign w:val="center"/>
          </w:tcPr>
          <w:p w:rsidR="0095055D" w:rsidRPr="008D79C8" w:rsidRDefault="0095055D" w:rsidP="00CF7BB3">
            <w:pPr>
              <w:pStyle w:val="TableText0"/>
              <w:keepNext w:val="0"/>
              <w:jc w:val="left"/>
            </w:pPr>
            <w:r>
              <w:t>Can vary utility values</w:t>
            </w:r>
          </w:p>
        </w:tc>
        <w:tc>
          <w:tcPr>
            <w:tcW w:w="3811" w:type="dxa"/>
            <w:shd w:val="clear" w:color="auto" w:fill="auto"/>
            <w:vAlign w:val="center"/>
          </w:tcPr>
          <w:p w:rsidR="0095055D" w:rsidRPr="00981D8B" w:rsidRDefault="0095055D" w:rsidP="00CF7BB3">
            <w:pPr>
              <w:pStyle w:val="TableText0"/>
              <w:keepNext w:val="0"/>
              <w:jc w:val="left"/>
            </w:pPr>
            <w:r w:rsidRPr="00981D8B">
              <w:t>Yes</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Methods used to generate results</w:t>
            </w:r>
          </w:p>
        </w:tc>
        <w:tc>
          <w:tcPr>
            <w:tcW w:w="0" w:type="auto"/>
            <w:shd w:val="clear" w:color="auto" w:fill="auto"/>
            <w:vAlign w:val="center"/>
          </w:tcPr>
          <w:p w:rsidR="0095055D" w:rsidRPr="008D79C8" w:rsidRDefault="0095055D" w:rsidP="00CF7BB3">
            <w:pPr>
              <w:pStyle w:val="TableText0"/>
              <w:keepNext w:val="0"/>
              <w:jc w:val="left"/>
            </w:pPr>
            <w:r>
              <w:t>Markov model. Co</w:t>
            </w:r>
            <w:r w:rsidRPr="00EF2C20">
              <w:t>hort expected value analysis</w:t>
            </w:r>
          </w:p>
        </w:tc>
        <w:tc>
          <w:tcPr>
            <w:tcW w:w="0" w:type="auto"/>
            <w:shd w:val="clear" w:color="auto" w:fill="auto"/>
            <w:vAlign w:val="center"/>
          </w:tcPr>
          <w:p w:rsidR="0095055D" w:rsidRPr="008D79C8" w:rsidRDefault="0095055D" w:rsidP="00CF7BB3">
            <w:pPr>
              <w:pStyle w:val="TableText0"/>
              <w:keepNext w:val="0"/>
              <w:jc w:val="left"/>
            </w:pPr>
            <w:r>
              <w:t>No</w:t>
            </w:r>
          </w:p>
        </w:tc>
        <w:tc>
          <w:tcPr>
            <w:tcW w:w="3811" w:type="dxa"/>
            <w:shd w:val="clear" w:color="auto" w:fill="auto"/>
            <w:vAlign w:val="center"/>
          </w:tcPr>
          <w:p w:rsidR="0095055D" w:rsidRPr="00981D8B" w:rsidRDefault="0095055D" w:rsidP="00CF7BB3">
            <w:pPr>
              <w:pStyle w:val="TableText0"/>
              <w:keepNext w:val="0"/>
              <w:jc w:val="left"/>
            </w:pPr>
            <w:r w:rsidRPr="00981D8B">
              <w:t>Yes</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Health states</w:t>
            </w:r>
          </w:p>
        </w:tc>
        <w:tc>
          <w:tcPr>
            <w:tcW w:w="0" w:type="auto"/>
            <w:shd w:val="clear" w:color="auto" w:fill="auto"/>
            <w:vAlign w:val="center"/>
          </w:tcPr>
          <w:p w:rsidR="0095055D" w:rsidRPr="008D79C8" w:rsidRDefault="0095055D" w:rsidP="00CF7BB3">
            <w:pPr>
              <w:pStyle w:val="TableText0"/>
              <w:keepNext w:val="0"/>
              <w:jc w:val="left"/>
            </w:pPr>
            <w:r>
              <w:t>Progression-free, progressive disease and dead</w:t>
            </w:r>
          </w:p>
        </w:tc>
        <w:tc>
          <w:tcPr>
            <w:tcW w:w="0" w:type="auto"/>
            <w:shd w:val="clear" w:color="auto" w:fill="auto"/>
            <w:vAlign w:val="center"/>
          </w:tcPr>
          <w:p w:rsidR="0095055D" w:rsidRPr="008D79C8" w:rsidRDefault="0095055D" w:rsidP="00CF7BB3">
            <w:pPr>
              <w:pStyle w:val="TableText0"/>
              <w:keepNext w:val="0"/>
              <w:jc w:val="left"/>
            </w:pPr>
            <w:r>
              <w:t>No</w:t>
            </w:r>
          </w:p>
        </w:tc>
        <w:tc>
          <w:tcPr>
            <w:tcW w:w="3811" w:type="dxa"/>
            <w:shd w:val="clear" w:color="auto" w:fill="auto"/>
            <w:vAlign w:val="center"/>
          </w:tcPr>
          <w:p w:rsidR="0095055D" w:rsidRPr="00981D8B" w:rsidRDefault="0095055D" w:rsidP="00CF7BB3">
            <w:pPr>
              <w:pStyle w:val="TableText0"/>
              <w:keepNext w:val="0"/>
              <w:jc w:val="left"/>
            </w:pPr>
            <w:r w:rsidRPr="00981D8B">
              <w:t>Yes</w:t>
            </w:r>
          </w:p>
        </w:tc>
      </w:tr>
      <w:tr w:rsidR="0095055D" w:rsidRPr="009E132D" w:rsidTr="00AF11A9">
        <w:tc>
          <w:tcPr>
            <w:tcW w:w="1134" w:type="dxa"/>
            <w:shd w:val="clear" w:color="auto" w:fill="auto"/>
            <w:vAlign w:val="center"/>
          </w:tcPr>
          <w:p w:rsidR="0095055D" w:rsidRPr="008D79C8" w:rsidRDefault="0095055D" w:rsidP="00CF7BB3">
            <w:pPr>
              <w:pStyle w:val="TableText0"/>
              <w:keepNext w:val="0"/>
              <w:jc w:val="left"/>
            </w:pPr>
            <w:r w:rsidRPr="008D79C8">
              <w:t>Transition probabilities</w:t>
            </w:r>
          </w:p>
        </w:tc>
        <w:tc>
          <w:tcPr>
            <w:tcW w:w="0" w:type="auto"/>
            <w:shd w:val="clear" w:color="auto" w:fill="auto"/>
            <w:vAlign w:val="center"/>
          </w:tcPr>
          <w:p w:rsidR="0095055D" w:rsidRPr="008D79C8" w:rsidRDefault="0095055D" w:rsidP="00CF7BB3">
            <w:pPr>
              <w:pStyle w:val="TableText0"/>
              <w:keepNext w:val="0"/>
              <w:jc w:val="left"/>
            </w:pPr>
            <w:r>
              <w:t xml:space="preserve">Based on PFS and OS from KN-010, or derived from application of HR from indirect comparison (for </w:t>
            </w:r>
            <w:proofErr w:type="spellStart"/>
            <w:r>
              <w:t>pemetrexed</w:t>
            </w:r>
            <w:proofErr w:type="spellEnd"/>
            <w:r>
              <w:t>)</w:t>
            </w:r>
          </w:p>
        </w:tc>
        <w:tc>
          <w:tcPr>
            <w:tcW w:w="0" w:type="auto"/>
            <w:shd w:val="clear" w:color="auto" w:fill="auto"/>
            <w:vAlign w:val="center"/>
          </w:tcPr>
          <w:p w:rsidR="0095055D" w:rsidRPr="008D79C8" w:rsidRDefault="0095055D" w:rsidP="00CF7BB3">
            <w:pPr>
              <w:pStyle w:val="TableText0"/>
              <w:keepNext w:val="0"/>
              <w:jc w:val="left"/>
            </w:pPr>
            <w:r>
              <w:t>Yes.</w:t>
            </w:r>
          </w:p>
        </w:tc>
        <w:tc>
          <w:tcPr>
            <w:tcW w:w="3811" w:type="dxa"/>
            <w:shd w:val="clear" w:color="auto" w:fill="auto"/>
            <w:vAlign w:val="center"/>
          </w:tcPr>
          <w:p w:rsidR="0095055D" w:rsidRPr="00981D8B" w:rsidRDefault="0095055D" w:rsidP="00CF7BB3">
            <w:pPr>
              <w:pStyle w:val="TableText0"/>
              <w:keepNext w:val="0"/>
              <w:jc w:val="left"/>
            </w:pPr>
            <w:r w:rsidRPr="00981D8B">
              <w:t>It may also have been appropriate to present analyses for extrapolation based on model selection based on all reliable trial data available, rather than only that remaining after the time from which extrapolation takes over.</w:t>
            </w:r>
          </w:p>
        </w:tc>
      </w:tr>
    </w:tbl>
    <w:p w:rsidR="009015FA" w:rsidRDefault="009015FA" w:rsidP="003B0261">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1C3866">
        <w:rPr>
          <w:rFonts w:ascii="Arial" w:hAnsi="Arial" w:cs="Arial"/>
          <w:sz w:val="22"/>
        </w:rPr>
        <w:t>The model presented in the submission was structurally sound.</w:t>
      </w:r>
    </w:p>
    <w:p w:rsidR="001C3866" w:rsidRDefault="001C3866" w:rsidP="00EB43C5">
      <w:pPr>
        <w:pStyle w:val="ListParagraph"/>
        <w:ind w:left="0" w:firstLine="0"/>
        <w:rPr>
          <w:rFonts w:ascii="Arial" w:hAnsi="Arial" w:cs="Arial"/>
          <w:sz w:val="22"/>
        </w:rPr>
      </w:pPr>
    </w:p>
    <w:p w:rsidR="0095055D" w:rsidRPr="00EB43C5" w:rsidRDefault="001C3866" w:rsidP="009C3A29">
      <w:pPr>
        <w:pStyle w:val="ListParagraph"/>
        <w:numPr>
          <w:ilvl w:val="1"/>
          <w:numId w:val="3"/>
        </w:numPr>
        <w:ind w:left="720"/>
        <w:rPr>
          <w:rFonts w:ascii="Arial" w:hAnsi="Arial" w:cs="Arial"/>
          <w:sz w:val="22"/>
          <w:szCs w:val="22"/>
        </w:rPr>
      </w:pPr>
      <w:r w:rsidRPr="001C3866">
        <w:rPr>
          <w:rFonts w:ascii="Arial" w:hAnsi="Arial" w:cs="Arial"/>
          <w:sz w:val="22"/>
        </w:rPr>
        <w:t>Variables used in the economic model are presented in Table 1</w:t>
      </w:r>
      <w:r w:rsidR="006405DD">
        <w:rPr>
          <w:rFonts w:ascii="Arial" w:hAnsi="Arial" w:cs="Arial"/>
          <w:sz w:val="22"/>
        </w:rPr>
        <w:t>8</w:t>
      </w:r>
      <w:r w:rsidRPr="00EB43C5">
        <w:rPr>
          <w:rFonts w:ascii="Arial" w:hAnsi="Arial" w:cs="Arial"/>
          <w:sz w:val="22"/>
          <w:szCs w:val="22"/>
        </w:rPr>
        <w:t>.</w:t>
      </w:r>
    </w:p>
    <w:p w:rsidR="001C3866" w:rsidRPr="00EB43C5" w:rsidRDefault="001C3866" w:rsidP="001C3866">
      <w:pPr>
        <w:pStyle w:val="ListParagraph"/>
        <w:ind w:left="0" w:firstLine="0"/>
        <w:rPr>
          <w:rFonts w:ascii="Arial" w:hAnsi="Arial" w:cs="Arial"/>
          <w:sz w:val="22"/>
          <w:szCs w:val="22"/>
        </w:rPr>
      </w:pPr>
    </w:p>
    <w:p w:rsidR="0095055D" w:rsidRPr="00A23F2B" w:rsidRDefault="00AF11A9" w:rsidP="002D458F">
      <w:pPr>
        <w:pStyle w:val="TableHeading0"/>
        <w:ind w:firstLine="709"/>
      </w:pPr>
      <w:r>
        <w:br w:type="page"/>
      </w:r>
      <w:r w:rsidR="0095055D" w:rsidRPr="00A23F2B">
        <w:t xml:space="preserve">Table </w:t>
      </w:r>
      <w:r w:rsidR="00F514D9">
        <w:t>1</w:t>
      </w:r>
      <w:r w:rsidR="006405DD">
        <w:t>8</w:t>
      </w:r>
      <w:r w:rsidR="0095055D" w:rsidRPr="00A23F2B">
        <w:t>: Variables in the economic model</w:t>
      </w:r>
    </w:p>
    <w:tbl>
      <w:tblPr>
        <w:tblW w:w="4626"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4A0" w:firstRow="1" w:lastRow="0" w:firstColumn="1" w:lastColumn="0" w:noHBand="0" w:noVBand="1"/>
      </w:tblPr>
      <w:tblGrid>
        <w:gridCol w:w="1985"/>
        <w:gridCol w:w="1956"/>
        <w:gridCol w:w="2496"/>
        <w:gridCol w:w="1967"/>
      </w:tblGrid>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F514D9">
            <w:pPr>
              <w:pStyle w:val="TableText0"/>
              <w:jc w:val="left"/>
              <w:rPr>
                <w:b/>
              </w:rPr>
            </w:pPr>
            <w:r w:rsidRPr="00E50E41">
              <w:rPr>
                <w:b/>
              </w:rPr>
              <w:t>Variable</w:t>
            </w:r>
          </w:p>
        </w:tc>
        <w:tc>
          <w:tcPr>
            <w:tcW w:w="1164" w:type="pct"/>
            <w:shd w:val="clear" w:color="auto" w:fill="auto"/>
            <w:tcMar>
              <w:top w:w="28" w:type="dxa"/>
              <w:left w:w="28" w:type="dxa"/>
              <w:bottom w:w="28" w:type="dxa"/>
              <w:right w:w="28" w:type="dxa"/>
            </w:tcMar>
            <w:vAlign w:val="center"/>
          </w:tcPr>
          <w:p w:rsidR="0095055D" w:rsidRPr="00E50E41" w:rsidRDefault="0095055D" w:rsidP="00CF7BB3">
            <w:pPr>
              <w:pStyle w:val="TableText0"/>
              <w:jc w:val="left"/>
              <w:rPr>
                <w:b/>
              </w:rPr>
            </w:pPr>
            <w:r w:rsidRPr="00E50E41">
              <w:rPr>
                <w:b/>
              </w:rPr>
              <w:t>Base case value</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jc w:val="left"/>
              <w:rPr>
                <w:b/>
              </w:rPr>
            </w:pPr>
            <w:r w:rsidRPr="00E50E41">
              <w:rPr>
                <w:b/>
              </w:rPr>
              <w:t>Source</w:t>
            </w:r>
          </w:p>
        </w:tc>
        <w:tc>
          <w:tcPr>
            <w:tcW w:w="1170" w:type="pct"/>
            <w:shd w:val="clear" w:color="auto" w:fill="auto"/>
            <w:tcMar>
              <w:top w:w="28" w:type="dxa"/>
              <w:left w:w="28" w:type="dxa"/>
              <w:bottom w:w="28" w:type="dxa"/>
              <w:right w:w="28" w:type="dxa"/>
            </w:tcMar>
            <w:vAlign w:val="center"/>
          </w:tcPr>
          <w:p w:rsidR="0095055D" w:rsidRPr="00E50E41" w:rsidRDefault="0095055D" w:rsidP="00CF7BB3">
            <w:pPr>
              <w:pStyle w:val="TableText0"/>
              <w:jc w:val="left"/>
              <w:rPr>
                <w:b/>
              </w:rPr>
            </w:pPr>
            <w:r w:rsidRPr="00E50E41">
              <w:rPr>
                <w:b/>
              </w:rPr>
              <w:t>Tested in sensitivity analyses?</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rPr>
                <w:i/>
              </w:rPr>
            </w:pPr>
            <w:r w:rsidRPr="00E50E41">
              <w:t>Test cost</w:t>
            </w:r>
          </w:p>
        </w:tc>
        <w:tc>
          <w:tcPr>
            <w:tcW w:w="1164"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w:t>
            </w:r>
            <w:r w:rsidR="00153EAE">
              <w:rPr>
                <w:noProof/>
                <w:color w:val="000000"/>
                <w:highlight w:val="black"/>
              </w:rPr>
              <w:t>''''''''''''</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 xml:space="preserve">Based on MBS item </w:t>
            </w:r>
            <w:r w:rsidR="00153EAE">
              <w:rPr>
                <w:noProof/>
                <w:color w:val="000000"/>
                <w:highlight w:val="black"/>
              </w:rPr>
              <w:t>'''''''''''''''</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No. Re-testing (4.8%) costs tested in evaluation sensitivity analyses</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Re-biopsy</w:t>
            </w:r>
          </w:p>
        </w:tc>
        <w:tc>
          <w:tcPr>
            <w:tcW w:w="1164" w:type="pct"/>
            <w:shd w:val="clear" w:color="auto" w:fill="auto"/>
            <w:tcMar>
              <w:top w:w="28" w:type="dxa"/>
              <w:left w:w="28" w:type="dxa"/>
              <w:bottom w:w="28" w:type="dxa"/>
              <w:right w:w="28" w:type="dxa"/>
            </w:tcMar>
            <w:vAlign w:val="center"/>
          </w:tcPr>
          <w:p w:rsidR="0095055D" w:rsidRPr="00E50E41" w:rsidRDefault="00153EAE" w:rsidP="00CF7BB3">
            <w:pPr>
              <w:pStyle w:val="TableText0"/>
              <w:keepNext w:val="0"/>
              <w:jc w:val="left"/>
            </w:pPr>
            <w:r>
              <w:rPr>
                <w:noProof/>
                <w:color w:val="000000"/>
                <w:highlight w:val="black"/>
              </w:rPr>
              <w:t>''''''''''</w:t>
            </w:r>
            <w:r w:rsidR="0095055D">
              <w:t xml:space="preserve">% re-biopsy rate; assuming </w:t>
            </w:r>
            <w:r>
              <w:rPr>
                <w:noProof/>
                <w:color w:val="000000"/>
                <w:highlight w:val="black"/>
              </w:rPr>
              <w:t>''''''</w:t>
            </w:r>
            <w:r w:rsidR="0095055D">
              <w:t>% AEs</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Re-biopsy rate: PIVOTAL study</w:t>
            </w:r>
          </w:p>
          <w:p w:rsidR="0095055D" w:rsidRPr="00E50E41" w:rsidRDefault="0095055D" w:rsidP="00CF7BB3">
            <w:pPr>
              <w:pStyle w:val="TableText0"/>
              <w:keepNext w:val="0"/>
              <w:jc w:val="left"/>
            </w:pPr>
            <w:r>
              <w:t xml:space="preserve">Re-biopsy AE: </w:t>
            </w:r>
            <w:proofErr w:type="spellStart"/>
            <w:r w:rsidRPr="00E50E41">
              <w:t>Heerink</w:t>
            </w:r>
            <w:proofErr w:type="spellEnd"/>
            <w:r w:rsidRPr="00E50E41">
              <w:t xml:space="preserve"> et al (2016)</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Re-biopsy rate: Yes (</w:t>
            </w:r>
            <w:r w:rsidR="00153EAE">
              <w:rPr>
                <w:noProof/>
                <w:color w:val="000000"/>
                <w:highlight w:val="black"/>
              </w:rPr>
              <w:t xml:space="preserve">''''''' </w:t>
            </w:r>
            <w:r w:rsidRPr="00981D8B">
              <w:t xml:space="preserve">– </w:t>
            </w:r>
            <w:proofErr w:type="gramStart"/>
            <w:r w:rsidR="00153EAE">
              <w:rPr>
                <w:noProof/>
                <w:color w:val="000000"/>
                <w:highlight w:val="black"/>
              </w:rPr>
              <w:t>''''''''''''</w:t>
            </w:r>
            <w:r w:rsidRPr="00981D8B">
              <w:t>%</w:t>
            </w:r>
            <w:proofErr w:type="gramEnd"/>
            <w:r w:rsidRPr="00981D8B">
              <w:t>)</w:t>
            </w:r>
          </w:p>
          <w:p w:rsidR="0095055D" w:rsidRPr="00981D8B" w:rsidRDefault="0095055D" w:rsidP="00CF7BB3">
            <w:pPr>
              <w:pStyle w:val="TableText0"/>
              <w:keepNext w:val="0"/>
              <w:jc w:val="left"/>
            </w:pPr>
            <w:r w:rsidRPr="00981D8B">
              <w:t>Re-biopsy AEs: No</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Prevalence</w:t>
            </w:r>
          </w:p>
        </w:tc>
        <w:tc>
          <w:tcPr>
            <w:tcW w:w="1164" w:type="pct"/>
            <w:shd w:val="clear" w:color="auto" w:fill="auto"/>
            <w:tcMar>
              <w:top w:w="28" w:type="dxa"/>
              <w:left w:w="28" w:type="dxa"/>
              <w:bottom w:w="28" w:type="dxa"/>
              <w:right w:w="28" w:type="dxa"/>
            </w:tcMar>
            <w:vAlign w:val="center"/>
          </w:tcPr>
          <w:p w:rsidR="0095055D" w:rsidRDefault="00153EAE" w:rsidP="00CF7BB3">
            <w:pPr>
              <w:pStyle w:val="TableText0"/>
              <w:keepNext w:val="0"/>
              <w:jc w:val="left"/>
            </w:pPr>
            <w:r>
              <w:rPr>
                <w:noProof/>
                <w:color w:val="000000"/>
                <w:highlight w:val="black"/>
              </w:rPr>
              <w:t>''''''''''''</w:t>
            </w:r>
            <w:r w:rsidR="0095055D">
              <w:t>%</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 Australian patients with TPS ≥50% PD-L1 expression screened for KN-010 and KN-001 </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w:t>
            </w:r>
            <w:r w:rsidR="00153EAE">
              <w:rPr>
                <w:noProof/>
                <w:color w:val="000000"/>
                <w:highlight w:val="black"/>
              </w:rPr>
              <w:t xml:space="preserve">''''''''''' </w:t>
            </w:r>
            <w:r w:rsidRPr="00981D8B">
              <w:t xml:space="preserve">– </w:t>
            </w:r>
            <w:proofErr w:type="gramStart"/>
            <w:r w:rsidR="00153EAE">
              <w:rPr>
                <w:noProof/>
                <w:color w:val="000000"/>
                <w:highlight w:val="black"/>
              </w:rPr>
              <w:t>''''''''''</w:t>
            </w:r>
            <w:r w:rsidRPr="00981D8B">
              <w:t>%</w:t>
            </w:r>
            <w:proofErr w:type="gramEnd"/>
            <w:r w:rsidRPr="00981D8B">
              <w:t>)</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E50E41">
              <w:t>Test performance</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Sensitivity: </w:t>
            </w:r>
            <w:r w:rsidR="00153EAE">
              <w:rPr>
                <w:noProof/>
                <w:color w:val="000000"/>
                <w:highlight w:val="black"/>
              </w:rPr>
              <w:t>'''''''''</w:t>
            </w:r>
            <w:r>
              <w:t>%</w:t>
            </w:r>
          </w:p>
          <w:p w:rsidR="0095055D" w:rsidRPr="00E50E41" w:rsidRDefault="0095055D" w:rsidP="00CF7BB3">
            <w:pPr>
              <w:pStyle w:val="TableText0"/>
              <w:keepNext w:val="0"/>
              <w:jc w:val="left"/>
            </w:pPr>
            <w:r>
              <w:t xml:space="preserve">Specificity: </w:t>
            </w:r>
            <w:r w:rsidR="00153EAE">
              <w:rPr>
                <w:noProof/>
                <w:color w:val="000000"/>
                <w:highlight w:val="black"/>
              </w:rPr>
              <w:t>''''''''''''</w:t>
            </w:r>
            <w:r>
              <w:t>%</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CTA v GMP study (Appendix 20)</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lower limit of 95% CI</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E50E41">
              <w:t>Baseline risk</w:t>
            </w:r>
            <w:r>
              <w:t xml:space="preserve"> by PD-L1 status</w:t>
            </w:r>
          </w:p>
        </w:tc>
        <w:tc>
          <w:tcPr>
            <w:tcW w:w="1164"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No difference</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Systematic review</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No</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How costs and benefits of treatment have been accrued</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Costs: one-off</w:t>
            </w:r>
          </w:p>
          <w:p w:rsidR="0095055D" w:rsidRDefault="0095055D" w:rsidP="00CF7BB3">
            <w:pPr>
              <w:pStyle w:val="TableText0"/>
              <w:keepNext w:val="0"/>
              <w:jc w:val="left"/>
            </w:pPr>
            <w:r>
              <w:t>Benefits: over time</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KN-010</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Accrual of costs over time is tested in the evaluation.</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Source of data, squamous population</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Data included patients with squamous and non-squamous histology</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KN-010 strong positive </w:t>
            </w:r>
            <w:r w:rsidRPr="00D27D97">
              <w:t>(TPS ≥50%)</w:t>
            </w:r>
            <w:r>
              <w:t>, ITT population</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KN-010 strong positive population (TPS ≥50%), squamous subgroup</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Source of data, non-squamous population</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Non-squamous data</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KN-010 strong positive </w:t>
            </w:r>
            <w:r w:rsidRPr="00D27D97">
              <w:t>(TPS ≥50%)</w:t>
            </w:r>
            <w:r>
              <w:t>, non-squamous subgroup</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No</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E50E41">
              <w:t>Treatment effect</w:t>
            </w:r>
            <w:r>
              <w:t xml:space="preserve"> v </w:t>
            </w:r>
            <w:proofErr w:type="spellStart"/>
            <w:r>
              <w:t>docetaxel</w:t>
            </w:r>
            <w:proofErr w:type="spellEnd"/>
          </w:p>
          <w:p w:rsidR="0095055D" w:rsidRPr="00E50E41" w:rsidRDefault="0095055D" w:rsidP="00CF7BB3">
            <w:pPr>
              <w:pStyle w:val="TableText0"/>
              <w:keepNext w:val="0"/>
              <w:jc w:val="left"/>
            </w:pPr>
            <w:r w:rsidRPr="00E50E41">
              <w:t>(in trial period)</w:t>
            </w:r>
          </w:p>
        </w:tc>
        <w:tc>
          <w:tcPr>
            <w:tcW w:w="1164"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Per trial</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KN-010</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No</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rsidRPr="00E50E41">
              <w:t>Treatment effect</w:t>
            </w:r>
            <w:r>
              <w:t xml:space="preserve"> v </w:t>
            </w:r>
            <w:proofErr w:type="spellStart"/>
            <w:r>
              <w:t>docetaxel</w:t>
            </w:r>
            <w:proofErr w:type="spellEnd"/>
          </w:p>
          <w:p w:rsidR="0095055D" w:rsidRPr="00E50E41" w:rsidRDefault="0095055D" w:rsidP="00CF7BB3">
            <w:pPr>
              <w:pStyle w:val="TableText0"/>
              <w:keepNext w:val="0"/>
              <w:jc w:val="left"/>
            </w:pPr>
            <w:r w:rsidRPr="00E50E41">
              <w:t>(extrapolated)</w:t>
            </w:r>
          </w:p>
        </w:tc>
        <w:tc>
          <w:tcPr>
            <w:tcW w:w="1164"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Per trial, extrapolated treatment arms separately. OS curves do not converge within model time horizon</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CF7BB3">
              <w:t>Section C.3.1</w:t>
            </w:r>
            <w:r w:rsidR="00CF7BB3">
              <w:t xml:space="preserve"> of the submission</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 different distributions tested</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 xml:space="preserve">Treatment effect v </w:t>
            </w:r>
            <w:proofErr w:type="spellStart"/>
            <w:r>
              <w:t>pemetrexed</w:t>
            </w:r>
            <w:proofErr w:type="spellEnd"/>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PFS: </w:t>
            </w:r>
            <w:r w:rsidR="00153EAE">
              <w:rPr>
                <w:noProof/>
                <w:color w:val="000000"/>
                <w:highlight w:val="black"/>
              </w:rPr>
              <w:t>''''''''''</w:t>
            </w:r>
          </w:p>
          <w:p w:rsidR="0095055D" w:rsidRDefault="0095055D" w:rsidP="00CF7BB3">
            <w:pPr>
              <w:pStyle w:val="TableText0"/>
              <w:keepNext w:val="0"/>
              <w:jc w:val="left"/>
            </w:pPr>
            <w:r>
              <w:t xml:space="preserve">OS: </w:t>
            </w:r>
            <w:r w:rsidR="00153EAE">
              <w:rPr>
                <w:noProof/>
                <w:color w:val="000000"/>
                <w:highlight w:val="black"/>
              </w:rPr>
              <w:t>''''''''''''</w:t>
            </w:r>
          </w:p>
          <w:p w:rsidR="0095055D" w:rsidRDefault="0095055D" w:rsidP="00CF7BB3">
            <w:pPr>
              <w:pStyle w:val="TableText0"/>
              <w:keepNext w:val="0"/>
              <w:jc w:val="left"/>
            </w:pPr>
            <w:r>
              <w:t>Assumed for model time horizon</w:t>
            </w:r>
          </w:p>
        </w:tc>
        <w:tc>
          <w:tcPr>
            <w:tcW w:w="1485"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Indirect comparison, </w:t>
            </w:r>
            <w:r w:rsidRPr="00CF7BB3">
              <w:t>Section B.6.3</w:t>
            </w:r>
            <w:r w:rsidR="00CF7BB3">
              <w:t xml:space="preserve"> of the submission</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 different subgroup analysis of indirect comparison. 95% CIs are tested in the evaluation</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E50E41">
              <w:t>Utilities</w:t>
            </w:r>
            <w:r>
              <w:t>: progression-free</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Pembrolizumab: </w:t>
            </w:r>
            <w:r w:rsidR="00153EAE">
              <w:rPr>
                <w:noProof/>
                <w:color w:val="000000"/>
                <w:highlight w:val="black"/>
              </w:rPr>
              <w:t>''''''''''</w:t>
            </w:r>
          </w:p>
          <w:p w:rsidR="0095055D" w:rsidRPr="00E50E41" w:rsidRDefault="0095055D" w:rsidP="00CF7BB3">
            <w:pPr>
              <w:pStyle w:val="TableText0"/>
              <w:keepNext w:val="0"/>
              <w:jc w:val="left"/>
            </w:pPr>
            <w:r>
              <w:t xml:space="preserve">D/P: </w:t>
            </w:r>
            <w:r w:rsidR="00153EAE">
              <w:rPr>
                <w:noProof/>
                <w:color w:val="000000"/>
                <w:highlight w:val="black"/>
              </w:rPr>
              <w:t>''''''''''</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KN-010, mapped to Australian algorithm</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(by time-to-death)</w:t>
            </w:r>
          </w:p>
        </w:tc>
      </w:tr>
      <w:tr w:rsidR="0095055D" w:rsidRPr="00E50E41" w:rsidTr="002D458F">
        <w:tc>
          <w:tcPr>
            <w:tcW w:w="1181"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rsidRPr="00E50E41">
              <w:t>Utilities</w:t>
            </w:r>
            <w:r>
              <w:t>: progressive-disease</w:t>
            </w:r>
          </w:p>
        </w:tc>
        <w:tc>
          <w:tcPr>
            <w:tcW w:w="1164" w:type="pct"/>
            <w:shd w:val="clear" w:color="auto" w:fill="auto"/>
            <w:tcMar>
              <w:top w:w="28" w:type="dxa"/>
              <w:left w:w="28" w:type="dxa"/>
              <w:bottom w:w="28" w:type="dxa"/>
              <w:right w:w="28" w:type="dxa"/>
            </w:tcMar>
            <w:vAlign w:val="center"/>
          </w:tcPr>
          <w:p w:rsidR="0095055D" w:rsidRDefault="0095055D" w:rsidP="00CF7BB3">
            <w:pPr>
              <w:pStyle w:val="TableText0"/>
              <w:keepNext w:val="0"/>
              <w:jc w:val="left"/>
            </w:pPr>
            <w:r>
              <w:t xml:space="preserve">Pembrolizumab: </w:t>
            </w:r>
            <w:r w:rsidR="00153EAE">
              <w:rPr>
                <w:noProof/>
                <w:color w:val="000000"/>
                <w:highlight w:val="black"/>
              </w:rPr>
              <w:t>''''''''''</w:t>
            </w:r>
          </w:p>
          <w:p w:rsidR="0095055D" w:rsidRPr="00E50E41" w:rsidRDefault="0095055D" w:rsidP="00CF7BB3">
            <w:pPr>
              <w:pStyle w:val="TableText0"/>
              <w:keepNext w:val="0"/>
              <w:jc w:val="left"/>
            </w:pPr>
            <w:r>
              <w:t xml:space="preserve">D/P: </w:t>
            </w:r>
            <w:r w:rsidR="00153EAE">
              <w:rPr>
                <w:noProof/>
                <w:color w:val="000000"/>
                <w:highlight w:val="black"/>
              </w:rPr>
              <w:t>'''''''''''</w:t>
            </w:r>
          </w:p>
        </w:tc>
        <w:tc>
          <w:tcPr>
            <w:tcW w:w="1485" w:type="pct"/>
            <w:shd w:val="clear" w:color="auto" w:fill="auto"/>
            <w:tcMar>
              <w:top w:w="28" w:type="dxa"/>
              <w:left w:w="28" w:type="dxa"/>
              <w:bottom w:w="28" w:type="dxa"/>
              <w:right w:w="28" w:type="dxa"/>
            </w:tcMar>
            <w:vAlign w:val="center"/>
          </w:tcPr>
          <w:p w:rsidR="0095055D" w:rsidRPr="00E50E41" w:rsidRDefault="0095055D" w:rsidP="00CF7BB3">
            <w:pPr>
              <w:pStyle w:val="TableText0"/>
              <w:keepNext w:val="0"/>
              <w:jc w:val="left"/>
            </w:pPr>
            <w:r>
              <w:t>KN-010, mapped to Australian algorithm</w:t>
            </w:r>
          </w:p>
        </w:tc>
        <w:tc>
          <w:tcPr>
            <w:tcW w:w="1170" w:type="pct"/>
            <w:shd w:val="clear" w:color="auto" w:fill="auto"/>
            <w:tcMar>
              <w:top w:w="28" w:type="dxa"/>
              <w:left w:w="28" w:type="dxa"/>
              <w:bottom w:w="28" w:type="dxa"/>
              <w:right w:w="28" w:type="dxa"/>
            </w:tcMar>
            <w:vAlign w:val="center"/>
          </w:tcPr>
          <w:p w:rsidR="0095055D" w:rsidRPr="00981D8B" w:rsidRDefault="0095055D" w:rsidP="00CF7BB3">
            <w:pPr>
              <w:pStyle w:val="TableText0"/>
              <w:keepNext w:val="0"/>
              <w:jc w:val="left"/>
            </w:pPr>
            <w:r w:rsidRPr="00981D8B">
              <w:t>Yes (by time-to-death)</w:t>
            </w:r>
          </w:p>
        </w:tc>
      </w:tr>
    </w:tbl>
    <w:p w:rsidR="0095055D" w:rsidRPr="009E132D" w:rsidRDefault="0095055D" w:rsidP="00AF11A9">
      <w:pPr>
        <w:pStyle w:val="TableFooter"/>
        <w:ind w:firstLine="709"/>
      </w:pPr>
      <w:r w:rsidRPr="009E132D">
        <w:t xml:space="preserve">Source: </w:t>
      </w:r>
      <w:r>
        <w:t>C</w:t>
      </w:r>
      <w:r w:rsidRPr="009E132D">
        <w:t>ompiled during the evaluation</w:t>
      </w:r>
    </w:p>
    <w:p w:rsidR="0095055D" w:rsidRPr="00405DD5" w:rsidRDefault="0095055D" w:rsidP="00956B85">
      <w:pPr>
        <w:pStyle w:val="ListParagraph"/>
        <w:ind w:left="0" w:firstLine="0"/>
        <w:rPr>
          <w:rFonts w:ascii="Arial" w:hAnsi="Arial" w:cs="Arial"/>
          <w:sz w:val="22"/>
          <w:szCs w:val="22"/>
        </w:rPr>
      </w:pPr>
    </w:p>
    <w:p w:rsidR="0095055D" w:rsidRPr="00405DD5" w:rsidRDefault="0095055D" w:rsidP="009C3A29">
      <w:pPr>
        <w:pStyle w:val="ListParagraph"/>
        <w:numPr>
          <w:ilvl w:val="1"/>
          <w:numId w:val="3"/>
        </w:numPr>
        <w:ind w:left="720"/>
        <w:rPr>
          <w:rFonts w:ascii="Arial" w:hAnsi="Arial" w:cs="Arial"/>
          <w:sz w:val="22"/>
          <w:szCs w:val="22"/>
        </w:rPr>
      </w:pPr>
      <w:r w:rsidRPr="00405DD5">
        <w:rPr>
          <w:rFonts w:ascii="Arial" w:hAnsi="Arial" w:cs="Arial"/>
          <w:sz w:val="22"/>
          <w:szCs w:val="22"/>
        </w:rPr>
        <w:t xml:space="preserve">The key drivers of the model are presented in Table </w:t>
      </w:r>
      <w:r w:rsidR="00F514D9" w:rsidRPr="00405DD5">
        <w:rPr>
          <w:rFonts w:ascii="Arial" w:hAnsi="Arial" w:cs="Arial"/>
          <w:sz w:val="22"/>
          <w:szCs w:val="22"/>
        </w:rPr>
        <w:t>1</w:t>
      </w:r>
      <w:r w:rsidR="006405DD">
        <w:rPr>
          <w:rFonts w:ascii="Arial" w:hAnsi="Arial" w:cs="Arial"/>
          <w:sz w:val="22"/>
          <w:szCs w:val="22"/>
        </w:rPr>
        <w:t>9</w:t>
      </w:r>
      <w:r w:rsidRPr="00405DD5">
        <w:rPr>
          <w:rFonts w:ascii="Arial" w:hAnsi="Arial" w:cs="Arial"/>
          <w:sz w:val="22"/>
          <w:szCs w:val="22"/>
        </w:rPr>
        <w:t>.</w:t>
      </w:r>
    </w:p>
    <w:p w:rsidR="0095055D" w:rsidRPr="00405DD5" w:rsidRDefault="0095055D" w:rsidP="00A36DD4">
      <w:pPr>
        <w:ind w:left="-12"/>
        <w:rPr>
          <w:rFonts w:ascii="Arial" w:hAnsi="Arial" w:cs="Arial"/>
          <w:sz w:val="22"/>
          <w:szCs w:val="22"/>
        </w:rPr>
      </w:pPr>
    </w:p>
    <w:p w:rsidR="0095055D" w:rsidRPr="00A23F2B" w:rsidRDefault="0095055D" w:rsidP="002D458F">
      <w:pPr>
        <w:pStyle w:val="TableHeading0"/>
        <w:ind w:firstLine="709"/>
      </w:pPr>
      <w:r w:rsidRPr="00A23F2B">
        <w:t xml:space="preserve">Table </w:t>
      </w:r>
      <w:r w:rsidR="00F514D9">
        <w:t>1</w:t>
      </w:r>
      <w:r w:rsidR="006405DD">
        <w:t>9</w:t>
      </w:r>
      <w:r w:rsidRPr="00A23F2B">
        <w:t>: Key drivers of the model</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2"/>
        <w:gridCol w:w="4928"/>
        <w:gridCol w:w="1984"/>
      </w:tblGrid>
      <w:tr w:rsidR="0095055D" w:rsidRPr="009E132D" w:rsidTr="002D458F">
        <w:trPr>
          <w:tblHeader/>
        </w:trPr>
        <w:tc>
          <w:tcPr>
            <w:tcW w:w="868" w:type="pct"/>
            <w:shd w:val="clear" w:color="auto" w:fill="auto"/>
            <w:vAlign w:val="center"/>
          </w:tcPr>
          <w:p w:rsidR="0095055D" w:rsidRPr="00691750" w:rsidRDefault="0095055D" w:rsidP="00A36DD4">
            <w:pPr>
              <w:pStyle w:val="TableText0"/>
              <w:rPr>
                <w:b/>
                <w:lang w:val="en-US"/>
              </w:rPr>
            </w:pPr>
            <w:r w:rsidRPr="00691750">
              <w:rPr>
                <w:b/>
                <w:lang w:val="en-US"/>
              </w:rPr>
              <w:t>Description</w:t>
            </w:r>
          </w:p>
        </w:tc>
        <w:tc>
          <w:tcPr>
            <w:tcW w:w="2946" w:type="pct"/>
            <w:shd w:val="clear" w:color="auto" w:fill="auto"/>
            <w:vAlign w:val="center"/>
          </w:tcPr>
          <w:p w:rsidR="0095055D" w:rsidRPr="00691750" w:rsidRDefault="0095055D" w:rsidP="00A36DD4">
            <w:pPr>
              <w:pStyle w:val="TableText0"/>
              <w:rPr>
                <w:b/>
                <w:lang w:val="en-US"/>
              </w:rPr>
            </w:pPr>
            <w:r w:rsidRPr="00691750">
              <w:rPr>
                <w:b/>
                <w:lang w:val="en-US"/>
              </w:rPr>
              <w:t>Method/Value</w:t>
            </w:r>
          </w:p>
        </w:tc>
        <w:tc>
          <w:tcPr>
            <w:tcW w:w="1186" w:type="pct"/>
            <w:shd w:val="clear" w:color="auto" w:fill="auto"/>
            <w:vAlign w:val="center"/>
          </w:tcPr>
          <w:p w:rsidR="0095055D" w:rsidRPr="00691750" w:rsidRDefault="0095055D" w:rsidP="00A36DD4">
            <w:pPr>
              <w:pStyle w:val="TableText0"/>
              <w:rPr>
                <w:b/>
                <w:lang w:val="en-US"/>
              </w:rPr>
            </w:pPr>
            <w:r w:rsidRPr="00691750">
              <w:rPr>
                <w:b/>
                <w:lang w:val="en-US"/>
              </w:rPr>
              <w:t>Impact</w:t>
            </w:r>
          </w:p>
        </w:tc>
      </w:tr>
      <w:tr w:rsidR="0095055D" w:rsidRPr="009E132D" w:rsidTr="002D458F">
        <w:tc>
          <w:tcPr>
            <w:tcW w:w="868" w:type="pct"/>
            <w:shd w:val="clear" w:color="auto" w:fill="auto"/>
            <w:vAlign w:val="center"/>
          </w:tcPr>
          <w:p w:rsidR="0095055D" w:rsidRPr="00542247" w:rsidRDefault="0095055D" w:rsidP="00CF7BB3">
            <w:pPr>
              <w:pStyle w:val="TableText0"/>
              <w:jc w:val="left"/>
              <w:rPr>
                <w:lang w:val="en-US"/>
              </w:rPr>
            </w:pPr>
            <w:r>
              <w:rPr>
                <w:lang w:val="en-US"/>
              </w:rPr>
              <w:t xml:space="preserve">Pembrolizumab v </w:t>
            </w:r>
            <w:proofErr w:type="spellStart"/>
            <w:r>
              <w:rPr>
                <w:lang w:val="en-US"/>
              </w:rPr>
              <w:t>pemetrexed</w:t>
            </w:r>
            <w:proofErr w:type="spellEnd"/>
            <w:r>
              <w:rPr>
                <w:lang w:val="en-US"/>
              </w:rPr>
              <w:t xml:space="preserve"> OS HR</w:t>
            </w:r>
          </w:p>
        </w:tc>
        <w:tc>
          <w:tcPr>
            <w:tcW w:w="2946" w:type="pct"/>
            <w:shd w:val="clear" w:color="auto" w:fill="auto"/>
            <w:vAlign w:val="center"/>
          </w:tcPr>
          <w:p w:rsidR="0095055D" w:rsidRPr="00542247" w:rsidRDefault="0095055D" w:rsidP="00FD0859">
            <w:pPr>
              <w:pStyle w:val="TableText0"/>
              <w:rPr>
                <w:lang w:val="en-US"/>
              </w:rPr>
            </w:pPr>
            <w:r>
              <w:rPr>
                <w:lang w:val="en-US"/>
              </w:rPr>
              <w:t>Derived from an indirect comparison</w:t>
            </w:r>
            <w:r w:rsidR="00FD0859">
              <w:rPr>
                <w:lang w:val="en-US"/>
              </w:rPr>
              <w:t xml:space="preserve"> of</w:t>
            </w:r>
            <w:r>
              <w:rPr>
                <w:lang w:val="en-US"/>
              </w:rPr>
              <w:t xml:space="preserve"> trials that have limited exchangeability.</w:t>
            </w:r>
          </w:p>
        </w:tc>
        <w:tc>
          <w:tcPr>
            <w:tcW w:w="1186" w:type="pct"/>
            <w:shd w:val="clear" w:color="auto" w:fill="auto"/>
            <w:vAlign w:val="center"/>
          </w:tcPr>
          <w:p w:rsidR="0095055D" w:rsidRPr="00542247" w:rsidRDefault="0095055D" w:rsidP="006C7CEF">
            <w:pPr>
              <w:pStyle w:val="TableText0"/>
              <w:jc w:val="left"/>
              <w:rPr>
                <w:lang w:val="en-US"/>
              </w:rPr>
            </w:pPr>
            <w:r>
              <w:rPr>
                <w:lang w:val="en-US"/>
              </w:rPr>
              <w:t>High, favours PD-L1/pembrolizumab</w:t>
            </w:r>
          </w:p>
        </w:tc>
      </w:tr>
      <w:tr w:rsidR="0095055D" w:rsidRPr="009E132D" w:rsidTr="002D458F">
        <w:tc>
          <w:tcPr>
            <w:tcW w:w="868" w:type="pct"/>
            <w:shd w:val="clear" w:color="auto" w:fill="auto"/>
            <w:vAlign w:val="center"/>
          </w:tcPr>
          <w:p w:rsidR="0095055D" w:rsidRDefault="0095055D" w:rsidP="00CF7BB3">
            <w:pPr>
              <w:pStyle w:val="TableText0"/>
              <w:jc w:val="left"/>
              <w:rPr>
                <w:lang w:val="en-US"/>
              </w:rPr>
            </w:pPr>
            <w:r>
              <w:rPr>
                <w:lang w:val="en-US"/>
              </w:rPr>
              <w:t>Progression-free treatment costs</w:t>
            </w:r>
          </w:p>
        </w:tc>
        <w:tc>
          <w:tcPr>
            <w:tcW w:w="2946" w:type="pct"/>
            <w:shd w:val="clear" w:color="auto" w:fill="auto"/>
            <w:vAlign w:val="center"/>
          </w:tcPr>
          <w:p w:rsidR="0095055D" w:rsidRDefault="0095055D" w:rsidP="00A36DD4">
            <w:pPr>
              <w:pStyle w:val="TableText0"/>
              <w:rPr>
                <w:lang w:val="en-US"/>
              </w:rPr>
            </w:pPr>
            <w:r>
              <w:rPr>
                <w:lang w:val="en-US"/>
              </w:rPr>
              <w:t>Applied a one-off truncated treatment cost, rather than cost per cycle for the proportion of patients in the progression-free health state.</w:t>
            </w:r>
          </w:p>
        </w:tc>
        <w:tc>
          <w:tcPr>
            <w:tcW w:w="1186" w:type="pct"/>
            <w:shd w:val="clear" w:color="auto" w:fill="auto"/>
            <w:vAlign w:val="center"/>
          </w:tcPr>
          <w:p w:rsidR="0095055D" w:rsidRDefault="0095055D" w:rsidP="00CF7BB3">
            <w:pPr>
              <w:pStyle w:val="TableText0"/>
              <w:jc w:val="left"/>
              <w:rPr>
                <w:lang w:val="en-US"/>
              </w:rPr>
            </w:pPr>
            <w:r>
              <w:rPr>
                <w:lang w:val="en-US"/>
              </w:rPr>
              <w:t>High, favours PD-L1/pembrolizumab</w:t>
            </w:r>
          </w:p>
        </w:tc>
      </w:tr>
      <w:tr w:rsidR="0095055D" w:rsidRPr="009E132D" w:rsidTr="002D458F">
        <w:tc>
          <w:tcPr>
            <w:tcW w:w="868" w:type="pct"/>
            <w:shd w:val="clear" w:color="auto" w:fill="auto"/>
            <w:vAlign w:val="center"/>
          </w:tcPr>
          <w:p w:rsidR="0095055D" w:rsidRPr="00542247" w:rsidRDefault="0095055D" w:rsidP="00CF7BB3">
            <w:pPr>
              <w:pStyle w:val="TableText0"/>
              <w:jc w:val="left"/>
              <w:rPr>
                <w:lang w:val="en-US"/>
              </w:rPr>
            </w:pPr>
            <w:r>
              <w:rPr>
                <w:lang w:val="en-US"/>
              </w:rPr>
              <w:t>Time horizon</w:t>
            </w:r>
          </w:p>
        </w:tc>
        <w:tc>
          <w:tcPr>
            <w:tcW w:w="2946" w:type="pct"/>
            <w:shd w:val="clear" w:color="auto" w:fill="auto"/>
            <w:vAlign w:val="center"/>
          </w:tcPr>
          <w:p w:rsidR="0095055D" w:rsidRPr="00542247" w:rsidRDefault="0095055D" w:rsidP="00A36DD4">
            <w:pPr>
              <w:pStyle w:val="TableText0"/>
              <w:rPr>
                <w:lang w:val="en-US"/>
              </w:rPr>
            </w:pPr>
            <w:r>
              <w:rPr>
                <w:lang w:val="en-US"/>
              </w:rPr>
              <w:t>7 years</w:t>
            </w:r>
            <w:r w:rsidR="006C7CEF">
              <w:rPr>
                <w:lang w:val="en-US"/>
              </w:rPr>
              <w:t>.</w:t>
            </w:r>
          </w:p>
        </w:tc>
        <w:tc>
          <w:tcPr>
            <w:tcW w:w="1186" w:type="pct"/>
            <w:shd w:val="clear" w:color="auto" w:fill="auto"/>
            <w:vAlign w:val="center"/>
          </w:tcPr>
          <w:p w:rsidR="0095055D" w:rsidRPr="00542247" w:rsidRDefault="0095055D" w:rsidP="00CF7BB3">
            <w:pPr>
              <w:pStyle w:val="TableText0"/>
              <w:jc w:val="left"/>
              <w:rPr>
                <w:lang w:val="en-US"/>
              </w:rPr>
            </w:pPr>
            <w:r>
              <w:rPr>
                <w:lang w:val="en-US"/>
              </w:rPr>
              <w:t>Moderate-high, favours PD-L1/pembrolizumab</w:t>
            </w:r>
          </w:p>
        </w:tc>
      </w:tr>
      <w:tr w:rsidR="0095055D" w:rsidRPr="009E132D" w:rsidTr="002D458F">
        <w:tc>
          <w:tcPr>
            <w:tcW w:w="868" w:type="pct"/>
            <w:shd w:val="clear" w:color="auto" w:fill="auto"/>
            <w:vAlign w:val="center"/>
          </w:tcPr>
          <w:p w:rsidR="0095055D" w:rsidRDefault="0095055D" w:rsidP="00CF7BB3">
            <w:pPr>
              <w:pStyle w:val="TableText0"/>
              <w:jc w:val="left"/>
              <w:rPr>
                <w:lang w:val="en-US"/>
              </w:rPr>
            </w:pPr>
            <w:r>
              <w:rPr>
                <w:lang w:val="en-US"/>
              </w:rPr>
              <w:t>Indirect comparison population</w:t>
            </w:r>
          </w:p>
        </w:tc>
        <w:tc>
          <w:tcPr>
            <w:tcW w:w="2946" w:type="pct"/>
            <w:shd w:val="clear" w:color="auto" w:fill="auto"/>
            <w:vAlign w:val="center"/>
          </w:tcPr>
          <w:p w:rsidR="0095055D" w:rsidRDefault="0095055D" w:rsidP="00A36DD4">
            <w:pPr>
              <w:pStyle w:val="TableText0"/>
              <w:rPr>
                <w:lang w:val="en-US"/>
              </w:rPr>
            </w:pPr>
            <w:r>
              <w:rPr>
                <w:lang w:val="en-US"/>
              </w:rPr>
              <w:t>The HR for the indirect comparison was based on the adenocarcinoma subset of the non-squamous subgroups of trials that have limited exchangeability.</w:t>
            </w:r>
          </w:p>
        </w:tc>
        <w:tc>
          <w:tcPr>
            <w:tcW w:w="1186" w:type="pct"/>
            <w:shd w:val="clear" w:color="auto" w:fill="auto"/>
            <w:vAlign w:val="center"/>
          </w:tcPr>
          <w:p w:rsidR="0095055D" w:rsidRDefault="0095055D" w:rsidP="00CF7BB3">
            <w:pPr>
              <w:pStyle w:val="TableText0"/>
              <w:jc w:val="left"/>
              <w:rPr>
                <w:lang w:val="en-US"/>
              </w:rPr>
            </w:pPr>
            <w:r>
              <w:rPr>
                <w:lang w:val="en-US"/>
              </w:rPr>
              <w:t>Moderate-high, favours PD-L1/pembrolizumab</w:t>
            </w:r>
          </w:p>
        </w:tc>
      </w:tr>
      <w:tr w:rsidR="0095055D" w:rsidRPr="009E132D" w:rsidTr="002D458F">
        <w:tc>
          <w:tcPr>
            <w:tcW w:w="868" w:type="pct"/>
            <w:shd w:val="clear" w:color="auto" w:fill="auto"/>
            <w:vAlign w:val="center"/>
          </w:tcPr>
          <w:p w:rsidR="0095055D" w:rsidRPr="00542247" w:rsidRDefault="0095055D" w:rsidP="00CF7BB3">
            <w:pPr>
              <w:pStyle w:val="TableText0"/>
              <w:jc w:val="left"/>
              <w:rPr>
                <w:lang w:val="en-US"/>
              </w:rPr>
            </w:pPr>
            <w:r>
              <w:rPr>
                <w:lang w:val="en-US"/>
              </w:rPr>
              <w:t>Squamous OS and PFS data</w:t>
            </w:r>
          </w:p>
        </w:tc>
        <w:tc>
          <w:tcPr>
            <w:tcW w:w="2946" w:type="pct"/>
            <w:shd w:val="clear" w:color="auto" w:fill="auto"/>
            <w:vAlign w:val="center"/>
          </w:tcPr>
          <w:p w:rsidR="0095055D" w:rsidRPr="00542247" w:rsidRDefault="0095055D" w:rsidP="00A36DD4">
            <w:pPr>
              <w:pStyle w:val="TableText0"/>
              <w:rPr>
                <w:lang w:val="en-US"/>
              </w:rPr>
            </w:pPr>
            <w:r>
              <w:rPr>
                <w:lang w:val="en-US"/>
              </w:rPr>
              <w:t>KN-010 OS and PFS regardless of histology.</w:t>
            </w:r>
          </w:p>
        </w:tc>
        <w:tc>
          <w:tcPr>
            <w:tcW w:w="1186" w:type="pct"/>
            <w:shd w:val="clear" w:color="auto" w:fill="auto"/>
            <w:vAlign w:val="center"/>
          </w:tcPr>
          <w:p w:rsidR="0095055D" w:rsidRPr="00542247" w:rsidRDefault="0095055D" w:rsidP="00CF7BB3">
            <w:pPr>
              <w:pStyle w:val="TableText0"/>
              <w:jc w:val="left"/>
              <w:rPr>
                <w:lang w:val="en-US"/>
              </w:rPr>
            </w:pPr>
            <w:r>
              <w:rPr>
                <w:lang w:val="en-US"/>
              </w:rPr>
              <w:t>Moderate-high, favours PD-L1/pembrolizumab</w:t>
            </w:r>
          </w:p>
        </w:tc>
      </w:tr>
      <w:tr w:rsidR="0095055D" w:rsidRPr="009E132D" w:rsidTr="002D458F">
        <w:tc>
          <w:tcPr>
            <w:tcW w:w="868" w:type="pct"/>
            <w:shd w:val="clear" w:color="auto" w:fill="auto"/>
            <w:vAlign w:val="center"/>
          </w:tcPr>
          <w:p w:rsidR="0095055D" w:rsidRPr="00542247" w:rsidRDefault="0095055D" w:rsidP="00CF7BB3">
            <w:pPr>
              <w:pStyle w:val="TableText0"/>
              <w:jc w:val="left"/>
              <w:rPr>
                <w:lang w:val="en-US"/>
              </w:rPr>
            </w:pPr>
            <w:r>
              <w:rPr>
                <w:lang w:val="en-US"/>
              </w:rPr>
              <w:t>Post progression treatment costs</w:t>
            </w:r>
          </w:p>
        </w:tc>
        <w:tc>
          <w:tcPr>
            <w:tcW w:w="2946" w:type="pct"/>
            <w:shd w:val="clear" w:color="auto" w:fill="auto"/>
            <w:vAlign w:val="center"/>
          </w:tcPr>
          <w:p w:rsidR="0095055D" w:rsidRPr="00542247" w:rsidRDefault="0095055D" w:rsidP="00A36DD4">
            <w:pPr>
              <w:pStyle w:val="TableText0"/>
              <w:rPr>
                <w:lang w:val="en-US"/>
              </w:rPr>
            </w:pPr>
            <w:r>
              <w:rPr>
                <w:lang w:val="en-US"/>
              </w:rPr>
              <w:t xml:space="preserve">Assumes higher post-progression treatment cost after comparator than pembrolizumab, due to higher comparator post-progression </w:t>
            </w:r>
            <w:proofErr w:type="spellStart"/>
            <w:r>
              <w:rPr>
                <w:lang w:val="en-US"/>
              </w:rPr>
              <w:t>pemetrexed</w:t>
            </w:r>
            <w:proofErr w:type="spellEnd"/>
            <w:r>
              <w:rPr>
                <w:lang w:val="en-US"/>
              </w:rPr>
              <w:t xml:space="preserve"> use.</w:t>
            </w:r>
          </w:p>
        </w:tc>
        <w:tc>
          <w:tcPr>
            <w:tcW w:w="1186" w:type="pct"/>
            <w:shd w:val="clear" w:color="auto" w:fill="auto"/>
            <w:vAlign w:val="center"/>
          </w:tcPr>
          <w:p w:rsidR="0095055D" w:rsidRPr="00542247" w:rsidRDefault="0095055D" w:rsidP="00CF7BB3">
            <w:pPr>
              <w:pStyle w:val="TableText0"/>
              <w:jc w:val="left"/>
              <w:rPr>
                <w:lang w:val="en-US"/>
              </w:rPr>
            </w:pPr>
            <w:r>
              <w:rPr>
                <w:lang w:val="en-US"/>
              </w:rPr>
              <w:t>Moderate, favours PD-L1/pembrolizumab</w:t>
            </w:r>
          </w:p>
        </w:tc>
      </w:tr>
    </w:tbl>
    <w:p w:rsidR="0095055D" w:rsidRPr="009E132D" w:rsidRDefault="0095055D" w:rsidP="002D458F">
      <w:pPr>
        <w:pStyle w:val="TableFooter"/>
        <w:ind w:firstLine="720"/>
      </w:pPr>
      <w:r w:rsidRPr="009E132D">
        <w:t xml:space="preserve">Source: </w:t>
      </w:r>
      <w:r>
        <w:t>C</w:t>
      </w:r>
      <w:r w:rsidRPr="009E132D">
        <w:t>ompiled during the evaluation</w:t>
      </w:r>
    </w:p>
    <w:p w:rsidR="0095055D" w:rsidRPr="00405DD5" w:rsidRDefault="0095055D" w:rsidP="00405DD5">
      <w:pPr>
        <w:pStyle w:val="ListParagraph"/>
        <w:ind w:left="0" w:firstLine="0"/>
        <w:rPr>
          <w:rFonts w:ascii="Arial" w:hAnsi="Arial" w:cs="Arial"/>
          <w:sz w:val="22"/>
          <w:szCs w:val="22"/>
        </w:rPr>
      </w:pPr>
    </w:p>
    <w:p w:rsidR="0095055D" w:rsidRPr="00405DD5" w:rsidRDefault="0095055D" w:rsidP="009C3A29">
      <w:pPr>
        <w:pStyle w:val="ListParagraph"/>
        <w:numPr>
          <w:ilvl w:val="1"/>
          <w:numId w:val="3"/>
        </w:numPr>
        <w:ind w:left="720"/>
        <w:rPr>
          <w:rFonts w:ascii="Arial" w:hAnsi="Arial" w:cs="Arial"/>
          <w:sz w:val="22"/>
          <w:szCs w:val="22"/>
        </w:rPr>
      </w:pPr>
      <w:bookmarkStart w:id="40" w:name="_Toc431891747"/>
      <w:r w:rsidRPr="00405DD5">
        <w:rPr>
          <w:rFonts w:ascii="Arial" w:hAnsi="Arial" w:cs="Arial"/>
          <w:sz w:val="22"/>
          <w:szCs w:val="22"/>
        </w:rPr>
        <w:t xml:space="preserve">The results of the economic evaluation (with some re-specification) are presented in Table </w:t>
      </w:r>
      <w:r w:rsidR="006405DD">
        <w:rPr>
          <w:rFonts w:ascii="Arial" w:hAnsi="Arial" w:cs="Arial"/>
          <w:sz w:val="22"/>
          <w:szCs w:val="22"/>
        </w:rPr>
        <w:t>20</w:t>
      </w:r>
      <w:r w:rsidRPr="00405DD5">
        <w:rPr>
          <w:rFonts w:ascii="Arial" w:hAnsi="Arial" w:cs="Arial"/>
          <w:sz w:val="22"/>
          <w:szCs w:val="22"/>
        </w:rPr>
        <w:t>.</w:t>
      </w:r>
      <w:r w:rsidR="002D458F">
        <w:rPr>
          <w:rFonts w:ascii="Arial" w:hAnsi="Arial" w:cs="Arial"/>
          <w:sz w:val="22"/>
          <w:szCs w:val="22"/>
        </w:rPr>
        <w:t xml:space="preserve"> The redacted table below shows </w:t>
      </w:r>
      <w:r w:rsidR="00BE56B8">
        <w:rPr>
          <w:rFonts w:ascii="Arial" w:hAnsi="Arial" w:cs="Arial"/>
          <w:sz w:val="22"/>
          <w:szCs w:val="22"/>
        </w:rPr>
        <w:t>ICERs in the range</w:t>
      </w:r>
      <w:r w:rsidR="002D458F">
        <w:rPr>
          <w:rFonts w:ascii="Arial" w:hAnsi="Arial" w:cs="Arial"/>
          <w:sz w:val="22"/>
          <w:szCs w:val="22"/>
        </w:rPr>
        <w:t xml:space="preserve"> of $45,000 - $75,000 per QALY.</w:t>
      </w:r>
    </w:p>
    <w:p w:rsidR="0095055D" w:rsidRPr="00405DD5" w:rsidRDefault="0095055D" w:rsidP="00A36DD4">
      <w:pPr>
        <w:rPr>
          <w:rFonts w:ascii="Arial" w:hAnsi="Arial" w:cs="Arial"/>
          <w:sz w:val="22"/>
          <w:szCs w:val="22"/>
        </w:rPr>
      </w:pPr>
    </w:p>
    <w:p w:rsidR="0095055D" w:rsidRPr="00A23F2B" w:rsidRDefault="0095055D" w:rsidP="002D458F">
      <w:pPr>
        <w:pStyle w:val="TableHeading0"/>
        <w:ind w:firstLine="720"/>
      </w:pPr>
      <w:r w:rsidRPr="00A23F2B">
        <w:t xml:space="preserve">Table </w:t>
      </w:r>
      <w:r w:rsidR="006405DD">
        <w:t>20</w:t>
      </w:r>
      <w:r w:rsidRPr="00A23F2B">
        <w:t>: Results of the economic evaluation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77"/>
        <w:gridCol w:w="3827"/>
        <w:gridCol w:w="1489"/>
        <w:gridCol w:w="1771"/>
      </w:tblGrid>
      <w:tr w:rsidR="0095055D" w:rsidRPr="009E132D" w:rsidTr="002D458F">
        <w:tc>
          <w:tcPr>
            <w:tcW w:w="763" w:type="pct"/>
          </w:tcPr>
          <w:p w:rsidR="0095055D" w:rsidRPr="00A23F2B" w:rsidRDefault="0095055D" w:rsidP="00A36DD4">
            <w:pPr>
              <w:pStyle w:val="TableText0"/>
              <w:keepNext w:val="0"/>
              <w:rPr>
                <w:b/>
              </w:rPr>
            </w:pPr>
            <w:r w:rsidRPr="004D2D86">
              <w:rPr>
                <w:b/>
              </w:rPr>
              <w:t>Component</w:t>
            </w:r>
          </w:p>
        </w:tc>
        <w:tc>
          <w:tcPr>
            <w:tcW w:w="2288" w:type="pct"/>
            <w:vAlign w:val="center"/>
          </w:tcPr>
          <w:p w:rsidR="0095055D" w:rsidRPr="00A23F2B" w:rsidRDefault="0095055D" w:rsidP="002D458F">
            <w:pPr>
              <w:pStyle w:val="TableText0"/>
              <w:keepNext w:val="0"/>
              <w:jc w:val="center"/>
              <w:rPr>
                <w:b/>
              </w:rPr>
            </w:pPr>
            <w:r w:rsidRPr="004D2D86">
              <w:rPr>
                <w:b/>
              </w:rPr>
              <w:t>PD-L1/pembrolizumab</w:t>
            </w:r>
          </w:p>
        </w:tc>
        <w:tc>
          <w:tcPr>
            <w:tcW w:w="0" w:type="auto"/>
            <w:vAlign w:val="center"/>
          </w:tcPr>
          <w:p w:rsidR="0095055D" w:rsidRPr="00A23F2B" w:rsidRDefault="0095055D" w:rsidP="002D458F">
            <w:pPr>
              <w:pStyle w:val="TableText0"/>
              <w:keepNext w:val="0"/>
              <w:jc w:val="center"/>
              <w:rPr>
                <w:b/>
              </w:rPr>
            </w:pPr>
            <w:proofErr w:type="spellStart"/>
            <w:r w:rsidRPr="004D2D86">
              <w:rPr>
                <w:b/>
              </w:rPr>
              <w:t>SoC</w:t>
            </w:r>
            <w:proofErr w:type="spellEnd"/>
          </w:p>
        </w:tc>
        <w:tc>
          <w:tcPr>
            <w:tcW w:w="1059" w:type="pct"/>
            <w:vAlign w:val="center"/>
          </w:tcPr>
          <w:p w:rsidR="0095055D" w:rsidRPr="00A23F2B" w:rsidRDefault="0095055D" w:rsidP="002D458F">
            <w:pPr>
              <w:pStyle w:val="TableText0"/>
              <w:keepNext w:val="0"/>
              <w:jc w:val="center"/>
              <w:rPr>
                <w:b/>
              </w:rPr>
            </w:pPr>
            <w:r w:rsidRPr="004D2D86">
              <w:rPr>
                <w:b/>
              </w:rPr>
              <w:t>Increment</w:t>
            </w:r>
          </w:p>
        </w:tc>
      </w:tr>
      <w:tr w:rsidR="0095055D" w:rsidRPr="009E132D" w:rsidTr="002D458F">
        <w:tc>
          <w:tcPr>
            <w:tcW w:w="763" w:type="pct"/>
          </w:tcPr>
          <w:p w:rsidR="0095055D" w:rsidRPr="00A23F2B" w:rsidRDefault="0095055D" w:rsidP="00A36DD4">
            <w:pPr>
              <w:pStyle w:val="TableText0"/>
              <w:keepNext w:val="0"/>
            </w:pPr>
            <w:r w:rsidRPr="004D2D86">
              <w:t>Costs</w:t>
            </w:r>
          </w:p>
        </w:tc>
        <w:tc>
          <w:tcPr>
            <w:tcW w:w="2288" w:type="pct"/>
            <w:vAlign w:val="center"/>
          </w:tcPr>
          <w:p w:rsidR="0095055D" w:rsidRPr="00CB5806" w:rsidRDefault="0095055D" w:rsidP="002D458F">
            <w:pPr>
              <w:pStyle w:val="TableText0"/>
              <w:keepNext w:val="0"/>
              <w:jc w:val="center"/>
            </w:pPr>
            <w:r w:rsidRPr="00CB5806">
              <w:t>$</w:t>
            </w:r>
            <w:r w:rsidR="00153EAE">
              <w:rPr>
                <w:noProof/>
                <w:color w:val="000000"/>
                <w:highlight w:val="black"/>
              </w:rPr>
              <w:t>''''''''''''''''''</w:t>
            </w:r>
          </w:p>
        </w:tc>
        <w:tc>
          <w:tcPr>
            <w:tcW w:w="0" w:type="auto"/>
            <w:vAlign w:val="center"/>
          </w:tcPr>
          <w:p w:rsidR="0095055D" w:rsidRPr="00CB5806" w:rsidRDefault="0095055D" w:rsidP="002D458F">
            <w:pPr>
              <w:pStyle w:val="TableText0"/>
              <w:keepNext w:val="0"/>
              <w:jc w:val="center"/>
            </w:pPr>
            <w:r w:rsidRPr="00CB5806">
              <w:t>$</w:t>
            </w:r>
            <w:r w:rsidR="00153EAE">
              <w:rPr>
                <w:noProof/>
                <w:color w:val="000000"/>
                <w:highlight w:val="black"/>
              </w:rPr>
              <w:t>''''''''''''''''</w:t>
            </w:r>
          </w:p>
        </w:tc>
        <w:tc>
          <w:tcPr>
            <w:tcW w:w="1059" w:type="pct"/>
            <w:vAlign w:val="center"/>
          </w:tcPr>
          <w:p w:rsidR="0095055D" w:rsidRPr="00CB5806" w:rsidRDefault="0095055D" w:rsidP="002D458F">
            <w:pPr>
              <w:pStyle w:val="TableText0"/>
              <w:keepNext w:val="0"/>
              <w:jc w:val="center"/>
            </w:pPr>
            <w:r w:rsidRPr="00CB5806">
              <w:t>$</w:t>
            </w:r>
            <w:r w:rsidR="00153EAE">
              <w:rPr>
                <w:noProof/>
                <w:color w:val="000000"/>
                <w:highlight w:val="black"/>
              </w:rPr>
              <w:t>''''''''''''''</w:t>
            </w:r>
          </w:p>
        </w:tc>
      </w:tr>
      <w:tr w:rsidR="0095055D" w:rsidRPr="009E132D" w:rsidTr="002D458F">
        <w:tc>
          <w:tcPr>
            <w:tcW w:w="763" w:type="pct"/>
          </w:tcPr>
          <w:p w:rsidR="0095055D" w:rsidRPr="003A6C31" w:rsidRDefault="0095055D" w:rsidP="00A36DD4">
            <w:pPr>
              <w:pStyle w:val="TableText0"/>
              <w:keepNext w:val="0"/>
              <w:rPr>
                <w:rStyle w:val="CommentReference"/>
                <w:b w:val="0"/>
              </w:rPr>
            </w:pPr>
            <w:r>
              <w:t>L</w:t>
            </w:r>
            <w:r w:rsidR="00F45E4E">
              <w:t>y</w:t>
            </w:r>
            <w:r>
              <w:t>s</w:t>
            </w:r>
          </w:p>
        </w:tc>
        <w:tc>
          <w:tcPr>
            <w:tcW w:w="2288" w:type="pct"/>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c>
          <w:tcPr>
            <w:tcW w:w="0" w:type="auto"/>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c>
          <w:tcPr>
            <w:tcW w:w="1059" w:type="pct"/>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r>
      <w:tr w:rsidR="0095055D" w:rsidRPr="009E132D" w:rsidTr="002D458F">
        <w:tc>
          <w:tcPr>
            <w:tcW w:w="763" w:type="pct"/>
          </w:tcPr>
          <w:p w:rsidR="0095055D" w:rsidRPr="003A6C31" w:rsidRDefault="0095055D" w:rsidP="00A36DD4">
            <w:pPr>
              <w:pStyle w:val="TableText0"/>
              <w:keepNext w:val="0"/>
              <w:rPr>
                <w:rStyle w:val="CommentReference"/>
                <w:b w:val="0"/>
              </w:rPr>
            </w:pPr>
            <w:r w:rsidRPr="005E4C13">
              <w:t>QALYs</w:t>
            </w:r>
          </w:p>
        </w:tc>
        <w:tc>
          <w:tcPr>
            <w:tcW w:w="2288" w:type="pct"/>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c>
          <w:tcPr>
            <w:tcW w:w="0" w:type="auto"/>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c>
          <w:tcPr>
            <w:tcW w:w="1059" w:type="pct"/>
            <w:vAlign w:val="center"/>
          </w:tcPr>
          <w:p w:rsidR="0095055D" w:rsidRPr="00153EAE" w:rsidRDefault="00153EAE" w:rsidP="002D458F">
            <w:pPr>
              <w:pStyle w:val="TableText0"/>
              <w:keepNext w:val="0"/>
              <w:jc w:val="center"/>
              <w:rPr>
                <w:rStyle w:val="CommentReference"/>
                <w:b w:val="0"/>
                <w:highlight w:val="black"/>
              </w:rPr>
            </w:pPr>
            <w:r>
              <w:rPr>
                <w:noProof/>
                <w:color w:val="000000"/>
                <w:highlight w:val="black"/>
              </w:rPr>
              <w:t>''''''''''</w:t>
            </w:r>
          </w:p>
        </w:tc>
      </w:tr>
      <w:tr w:rsidR="0095055D" w:rsidRPr="009E132D" w:rsidTr="002D458F">
        <w:tc>
          <w:tcPr>
            <w:tcW w:w="3941" w:type="pct"/>
            <w:gridSpan w:val="3"/>
          </w:tcPr>
          <w:p w:rsidR="0095055D" w:rsidRPr="00CB5806" w:rsidRDefault="0095055D" w:rsidP="00A36DD4">
            <w:pPr>
              <w:pStyle w:val="TableText0"/>
              <w:keepNext w:val="0"/>
              <w:rPr>
                <w:rStyle w:val="CommentReference"/>
              </w:rPr>
            </w:pPr>
            <w:r w:rsidRPr="00CB5806">
              <w:rPr>
                <w:b/>
              </w:rPr>
              <w:t>Incremental cost/extra LY gained (with some re-specification)</w:t>
            </w:r>
          </w:p>
        </w:tc>
        <w:tc>
          <w:tcPr>
            <w:tcW w:w="1059" w:type="pct"/>
          </w:tcPr>
          <w:p w:rsidR="0095055D" w:rsidRPr="00CB5806" w:rsidRDefault="0095055D" w:rsidP="00A36DD4">
            <w:pPr>
              <w:pStyle w:val="TableText0"/>
              <w:keepNext w:val="0"/>
              <w:jc w:val="center"/>
              <w:rPr>
                <w:rStyle w:val="CommentReference"/>
                <w:b w:val="0"/>
              </w:rPr>
            </w:pPr>
            <w:r w:rsidRPr="00CB5806">
              <w:rPr>
                <w:b/>
              </w:rPr>
              <w:t>$</w:t>
            </w:r>
            <w:r w:rsidR="00153EAE">
              <w:rPr>
                <w:b/>
                <w:noProof/>
                <w:color w:val="000000"/>
                <w:highlight w:val="black"/>
              </w:rPr>
              <w:t>'''''''''''''</w:t>
            </w:r>
          </w:p>
        </w:tc>
      </w:tr>
      <w:tr w:rsidR="0095055D" w:rsidRPr="009E132D" w:rsidTr="002D458F">
        <w:tc>
          <w:tcPr>
            <w:tcW w:w="3941" w:type="pct"/>
            <w:gridSpan w:val="3"/>
          </w:tcPr>
          <w:p w:rsidR="0095055D" w:rsidRPr="00CB5806" w:rsidRDefault="0095055D" w:rsidP="00A36DD4">
            <w:pPr>
              <w:pStyle w:val="TableText0"/>
              <w:keepNext w:val="0"/>
              <w:rPr>
                <w:rStyle w:val="CommentReference"/>
              </w:rPr>
            </w:pPr>
            <w:r w:rsidRPr="00CB5806">
              <w:rPr>
                <w:b/>
              </w:rPr>
              <w:t>Incremental cost/extra QALY gained (with some re-specification)</w:t>
            </w:r>
          </w:p>
        </w:tc>
        <w:tc>
          <w:tcPr>
            <w:tcW w:w="1059" w:type="pct"/>
          </w:tcPr>
          <w:p w:rsidR="0095055D" w:rsidRPr="00CB5806" w:rsidRDefault="0095055D" w:rsidP="00A36DD4">
            <w:pPr>
              <w:pStyle w:val="TableText0"/>
              <w:keepNext w:val="0"/>
              <w:jc w:val="center"/>
              <w:rPr>
                <w:rStyle w:val="CommentReference"/>
                <w:b w:val="0"/>
              </w:rPr>
            </w:pPr>
            <w:r w:rsidRPr="00CB5806">
              <w:rPr>
                <w:b/>
              </w:rPr>
              <w:t>$</w:t>
            </w:r>
            <w:r w:rsidR="00153EAE">
              <w:rPr>
                <w:b/>
                <w:noProof/>
                <w:color w:val="000000"/>
                <w:highlight w:val="black"/>
              </w:rPr>
              <w:t>''''''''''''''</w:t>
            </w:r>
          </w:p>
        </w:tc>
      </w:tr>
    </w:tbl>
    <w:p w:rsidR="0095055D" w:rsidRPr="00CB5806" w:rsidRDefault="0095055D" w:rsidP="002D458F">
      <w:pPr>
        <w:pStyle w:val="TableFooter"/>
        <w:ind w:left="720"/>
      </w:pPr>
      <w:r w:rsidRPr="009E132D">
        <w:t xml:space="preserve">Source: </w:t>
      </w:r>
      <w:r w:rsidRPr="00CB5806">
        <w:t xml:space="preserve">Constructed during the evaluation from Section D Workbook (Pembrolizumab 2L NSCLC) v0607 FINAL.xlsm of the submission. The base case </w:t>
      </w:r>
      <w:r w:rsidR="00405DD5">
        <w:t>was re-specified</w:t>
      </w:r>
      <w:r w:rsidRPr="00CB5806">
        <w:t xml:space="preserve"> to correct for </w:t>
      </w:r>
      <w:proofErr w:type="spellStart"/>
      <w:r w:rsidRPr="00CB5806">
        <w:t>i</w:t>
      </w:r>
      <w:proofErr w:type="spellEnd"/>
      <w:r w:rsidRPr="00CB5806">
        <w:t>) the approach used to determine the proportion of patients who are true positives, false positives, true negatives and false negatives; and ii) drug acquisition costs to be based on the efficient combination of vials, allowable maximum PBS dose and update efficient funding of chemotherapy fees (1 July, 2016).</w:t>
      </w:r>
    </w:p>
    <w:p w:rsidR="0095055D" w:rsidRPr="00405DD5" w:rsidRDefault="0095055D" w:rsidP="00A36DD4">
      <w:pPr>
        <w:rPr>
          <w:rFonts w:ascii="Arial" w:hAnsi="Arial" w:cs="Arial"/>
          <w:sz w:val="22"/>
          <w:szCs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Additional scenarios of test/drug accessibility </w:t>
      </w:r>
      <w:r w:rsidR="00827207">
        <w:rPr>
          <w:rFonts w:ascii="Arial" w:hAnsi="Arial" w:cs="Arial"/>
          <w:sz w:val="22"/>
        </w:rPr>
        <w:t>conducted</w:t>
      </w:r>
      <w:r w:rsidRPr="009015FA">
        <w:rPr>
          <w:rFonts w:ascii="Arial" w:hAnsi="Arial" w:cs="Arial"/>
          <w:sz w:val="22"/>
        </w:rPr>
        <w:t xml:space="preserve"> during the evaluation (compared to standard of care)</w:t>
      </w:r>
      <w:r w:rsidR="00827207">
        <w:rPr>
          <w:rFonts w:ascii="Arial" w:hAnsi="Arial" w:cs="Arial"/>
          <w:sz w:val="22"/>
        </w:rPr>
        <w:t xml:space="preserve"> </w:t>
      </w:r>
      <w:r w:rsidRPr="009015FA">
        <w:rPr>
          <w:rFonts w:ascii="Arial" w:hAnsi="Arial" w:cs="Arial"/>
          <w:sz w:val="22"/>
        </w:rPr>
        <w:t xml:space="preserve">are presented in Table </w:t>
      </w:r>
      <w:r w:rsidR="006405DD">
        <w:rPr>
          <w:rFonts w:ascii="Arial" w:hAnsi="Arial" w:cs="Arial"/>
          <w:sz w:val="22"/>
        </w:rPr>
        <w:t>21</w:t>
      </w:r>
      <w:r w:rsidR="00405DD5">
        <w:rPr>
          <w:rFonts w:ascii="Arial" w:hAnsi="Arial" w:cs="Arial"/>
          <w:sz w:val="22"/>
        </w:rPr>
        <w:t>.</w:t>
      </w:r>
      <w:r w:rsidR="002D458F">
        <w:rPr>
          <w:rFonts w:ascii="Arial" w:hAnsi="Arial" w:cs="Arial"/>
          <w:sz w:val="22"/>
        </w:rPr>
        <w:t xml:space="preserve"> The redacted table below shows ICERs ranging from $45,000 - $75,000 to $105,000 - $200,000 per QALY.</w:t>
      </w:r>
    </w:p>
    <w:p w:rsidR="00827207" w:rsidRDefault="00827207" w:rsidP="00405DD5">
      <w:pPr>
        <w:pStyle w:val="ListParagraph"/>
        <w:ind w:left="0" w:firstLine="0"/>
        <w:rPr>
          <w:rFonts w:ascii="Arial" w:hAnsi="Arial" w:cs="Arial"/>
          <w:sz w:val="22"/>
        </w:rPr>
      </w:pPr>
    </w:p>
    <w:p w:rsidR="0095055D" w:rsidRPr="00A23F2B" w:rsidRDefault="002D458F" w:rsidP="002D458F">
      <w:pPr>
        <w:pStyle w:val="TableHeading0"/>
        <w:ind w:firstLine="720"/>
      </w:pPr>
      <w:r>
        <w:br w:type="page"/>
      </w:r>
      <w:r w:rsidR="0095055D" w:rsidRPr="00A23F2B">
        <w:t xml:space="preserve">Table </w:t>
      </w:r>
      <w:r w:rsidR="006405DD">
        <w:t>21</w:t>
      </w:r>
      <w:r w:rsidR="0095055D" w:rsidRPr="00A23F2B">
        <w:t xml:space="preserve">: Results of key </w:t>
      </w:r>
      <w:r w:rsidR="008300D9">
        <w:t>scenario</w:t>
      </w:r>
      <w:r w:rsidR="0095055D" w:rsidRPr="00A23F2B">
        <w:t xml:space="preserve"> analyses</w:t>
      </w:r>
      <w:r w:rsidR="00CB5806">
        <w:t xml:space="preserve"> conducted during the evaluation</w:t>
      </w:r>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9"/>
        <w:gridCol w:w="1275"/>
      </w:tblGrid>
      <w:tr w:rsidR="0095055D" w:rsidRPr="00CB5806" w:rsidTr="002D458F">
        <w:trPr>
          <w:cantSplit/>
          <w:trHeight w:val="20"/>
          <w:tblHeader/>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b/>
                <w:lang w:eastAsia="en-AU"/>
              </w:rPr>
            </w:pPr>
            <w:r w:rsidRPr="00CB5806">
              <w:rPr>
                <w:b/>
                <w:lang w:eastAsia="en-AU"/>
              </w:rPr>
              <w:t xml:space="preserve">ICER </w:t>
            </w:r>
            <w:proofErr w:type="spellStart"/>
            <w:r w:rsidRPr="00CB5806">
              <w:rPr>
                <w:b/>
                <w:lang w:eastAsia="en-AU"/>
              </w:rPr>
              <w:t>vs</w:t>
            </w:r>
            <w:proofErr w:type="spellEnd"/>
            <w:r w:rsidRPr="00CB5806">
              <w:rPr>
                <w:b/>
                <w:lang w:eastAsia="en-AU"/>
              </w:rPr>
              <w:t xml:space="preserve"> </w:t>
            </w:r>
            <w:proofErr w:type="spellStart"/>
            <w:r w:rsidRPr="00CB5806">
              <w:rPr>
                <w:b/>
                <w:lang w:eastAsia="en-AU"/>
              </w:rPr>
              <w:t>SoC</w:t>
            </w:r>
            <w:proofErr w:type="spellEnd"/>
          </w:p>
        </w:tc>
      </w:tr>
      <w:tr w:rsidR="0095055D" w:rsidRPr="00CB5806" w:rsidTr="002D458F">
        <w:trPr>
          <w:cantSplit/>
          <w:trHeight w:val="20"/>
          <w:tblHeader/>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Base case (with some re-specification)</w:t>
            </w:r>
          </w:p>
          <w:p w:rsidR="0095055D" w:rsidRPr="00CB5806" w:rsidRDefault="0095055D" w:rsidP="00A36DD4">
            <w:pPr>
              <w:pStyle w:val="TableText0"/>
              <w:keepNext w:val="0"/>
              <w:numPr>
                <w:ilvl w:val="0"/>
                <w:numId w:val="2"/>
              </w:numPr>
              <w:tabs>
                <w:tab w:val="clear" w:pos="720"/>
              </w:tabs>
              <w:ind w:left="313" w:hanging="266"/>
              <w:rPr>
                <w:lang w:eastAsia="en-AU"/>
              </w:rPr>
            </w:pPr>
            <w:r w:rsidRPr="00CB5806">
              <w:rPr>
                <w:lang w:eastAsia="en-AU"/>
              </w:rPr>
              <w:t>MSAC funded test: testing at same time as EGFR, ALK</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Strong positive patients (TPS ≥50%) eligible for pembrolizumab</w:t>
            </w:r>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lang w:eastAsia="en-AU"/>
              </w:rPr>
            </w:pPr>
            <w:r w:rsidRPr="00CB5806">
              <w:rPr>
                <w:lang w:eastAsia="en-AU"/>
              </w:rPr>
              <w:t>$</w:t>
            </w:r>
            <w:r w:rsidR="00153EAE">
              <w:rPr>
                <w:noProof/>
                <w:color w:val="000000"/>
                <w:highlight w:val="black"/>
                <w:lang w:eastAsia="en-AU"/>
              </w:rPr>
              <w:t>''''''''''''''''</w:t>
            </w:r>
            <w:r w:rsidRPr="00CB5806">
              <w:rPr>
                <w:lang w:eastAsia="en-AU"/>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No MSAC funded test</w:t>
            </w:r>
          </w:p>
          <w:p w:rsidR="0095055D" w:rsidRPr="00CB5806" w:rsidRDefault="0095055D" w:rsidP="00A36DD4">
            <w:pPr>
              <w:pStyle w:val="TableText0"/>
              <w:keepNext w:val="0"/>
              <w:numPr>
                <w:ilvl w:val="0"/>
                <w:numId w:val="2"/>
              </w:numPr>
              <w:tabs>
                <w:tab w:val="clear" w:pos="720"/>
              </w:tabs>
              <w:ind w:left="318" w:hanging="284"/>
              <w:jc w:val="left"/>
              <w:rPr>
                <w:lang w:eastAsia="en-AU"/>
              </w:rPr>
            </w:pPr>
            <w:r w:rsidRPr="00CB5806">
              <w:rPr>
                <w:lang w:eastAsia="en-AU"/>
              </w:rPr>
              <w:t>All patients eligible for pembrolizumab</w:t>
            </w:r>
          </w:p>
          <w:p w:rsidR="0095055D" w:rsidRPr="00CB5806" w:rsidRDefault="0095055D" w:rsidP="00CB5806">
            <w:pPr>
              <w:pStyle w:val="TableText0"/>
              <w:keepNext w:val="0"/>
              <w:numPr>
                <w:ilvl w:val="0"/>
                <w:numId w:val="2"/>
              </w:numPr>
              <w:tabs>
                <w:tab w:val="clear" w:pos="720"/>
              </w:tabs>
              <w:ind w:left="313" w:hanging="266"/>
              <w:rPr>
                <w:lang w:eastAsia="en-AU"/>
              </w:rPr>
            </w:pPr>
            <w:r w:rsidRPr="00CB5806">
              <w:rPr>
                <w:lang w:eastAsia="en-AU"/>
              </w:rPr>
              <w:t>Assumptions regarding treatment duration in PD-L1 negative (TPS &lt;1%) and weak positives (TPS 1</w:t>
            </w:r>
            <w:r w:rsidRPr="00CB5806">
              <w:rPr>
                <w:rFonts w:ascii="Arial" w:hAnsi="Arial" w:cs="Arial"/>
                <w:lang w:eastAsia="en-AU"/>
              </w:rPr>
              <w:t>‒</w:t>
            </w:r>
            <w:r w:rsidR="00405DD5">
              <w:rPr>
                <w:lang w:eastAsia="en-AU"/>
              </w:rPr>
              <w:t>49%)</w:t>
            </w:r>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lang w:eastAsia="en-AU"/>
              </w:rPr>
            </w:pPr>
            <w:r w:rsidRPr="00CB5806">
              <w:rPr>
                <w:lang w:eastAsia="en-AU"/>
              </w:rPr>
              <w:t>$</w:t>
            </w:r>
            <w:r w:rsidR="00153EAE">
              <w:rPr>
                <w:noProof/>
                <w:color w:val="000000"/>
                <w:highlight w:val="black"/>
                <w:lang w:eastAsia="en-AU"/>
              </w:rPr>
              <w:t>'''''''''''''''''''''</w:t>
            </w:r>
            <w:r w:rsidRPr="00CB5806">
              <w:rPr>
                <w:lang w:eastAsia="en-AU"/>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 xml:space="preserve">All PD-L1 positive patients, defined as TPS ≥1%, eligible for pembrolizumab </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Test performance for TPS ≥1% (</w:t>
            </w:r>
            <w:r w:rsidR="00153EAE">
              <w:rPr>
                <w:noProof/>
                <w:color w:val="000000"/>
                <w:highlight w:val="black"/>
                <w:lang w:eastAsia="en-AU"/>
              </w:rPr>
              <w:t>''''''''''</w:t>
            </w:r>
            <w:r w:rsidRPr="00CB5806">
              <w:rPr>
                <w:lang w:eastAsia="en-AU"/>
              </w:rPr>
              <w:t xml:space="preserve">% sensitivity, </w:t>
            </w:r>
            <w:r w:rsidR="00153EAE">
              <w:rPr>
                <w:noProof/>
                <w:color w:val="000000"/>
                <w:highlight w:val="black"/>
                <w:lang w:eastAsia="en-AU"/>
              </w:rPr>
              <w:t>''''''''''</w:t>
            </w:r>
            <w:r w:rsidRPr="00CB5806">
              <w:rPr>
                <w:lang w:eastAsia="en-AU"/>
              </w:rPr>
              <w:t>% specificity)</w:t>
            </w:r>
          </w:p>
          <w:p w:rsidR="0095055D" w:rsidRPr="00CB5806" w:rsidRDefault="0095055D" w:rsidP="00CB5806">
            <w:pPr>
              <w:pStyle w:val="TableText0"/>
              <w:keepNext w:val="0"/>
              <w:numPr>
                <w:ilvl w:val="0"/>
                <w:numId w:val="2"/>
              </w:numPr>
              <w:tabs>
                <w:tab w:val="clear" w:pos="720"/>
              </w:tabs>
              <w:ind w:left="313" w:hanging="266"/>
              <w:rPr>
                <w:lang w:eastAsia="en-AU"/>
              </w:rPr>
            </w:pPr>
            <w:r w:rsidRPr="00CB5806">
              <w:rPr>
                <w:lang w:eastAsia="en-AU"/>
              </w:rPr>
              <w:t>Assumptions regarding treatment duration in PD-L1 weak positives (TPS 1</w:t>
            </w:r>
            <w:r w:rsidRPr="00CB5806">
              <w:rPr>
                <w:rFonts w:ascii="Arial" w:hAnsi="Arial" w:cs="Arial"/>
                <w:lang w:eastAsia="en-AU"/>
              </w:rPr>
              <w:t>‒</w:t>
            </w:r>
            <w:r w:rsidR="00405DD5">
              <w:rPr>
                <w:lang w:eastAsia="en-AU"/>
              </w:rPr>
              <w:t>49%)</w:t>
            </w:r>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lang w:eastAsia="en-AU"/>
              </w:rPr>
            </w:pPr>
            <w:r w:rsidRPr="00CB5806">
              <w:rPr>
                <w:lang w:eastAsia="en-AU"/>
              </w:rPr>
              <w:t>$</w:t>
            </w:r>
            <w:r w:rsidR="00153EAE">
              <w:rPr>
                <w:noProof/>
                <w:color w:val="000000"/>
                <w:highlight w:val="black"/>
                <w:lang w:eastAsia="en-AU"/>
              </w:rPr>
              <w:t>'''''''''''''''''</w:t>
            </w:r>
            <w:r w:rsidRPr="00CB5806">
              <w:rPr>
                <w:lang w:eastAsia="en-AU"/>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95055D" w:rsidRPr="00CB5806" w:rsidRDefault="0095055D" w:rsidP="00A36DD4">
            <w:pPr>
              <w:pStyle w:val="TableText0"/>
              <w:keepNext w:val="0"/>
              <w:numPr>
                <w:ilvl w:val="0"/>
                <w:numId w:val="2"/>
              </w:numPr>
              <w:tabs>
                <w:tab w:val="clear" w:pos="720"/>
              </w:tabs>
              <w:ind w:left="313" w:hanging="266"/>
              <w:rPr>
                <w:lang w:eastAsia="en-AU"/>
              </w:rPr>
            </w:pPr>
            <w:r w:rsidRPr="00CB5806">
              <w:rPr>
                <w:lang w:eastAsia="en-AU"/>
              </w:rPr>
              <w:t>Testing performed on sample taken after disease progression (i.e. treatment experienced) (100% re-biopsy rate)</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Strong positive patients (TPS ≥50%) eligible for pembrolizumab</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Assumes same prevalence (22.2%)</w:t>
            </w:r>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lang w:eastAsia="en-AU"/>
              </w:rPr>
            </w:pPr>
            <w:r w:rsidRPr="00CB5806">
              <w:rPr>
                <w:lang w:eastAsia="en-AU"/>
              </w:rPr>
              <w:t>$</w:t>
            </w:r>
            <w:r w:rsidR="00153EAE">
              <w:rPr>
                <w:noProof/>
                <w:color w:val="000000"/>
                <w:highlight w:val="black"/>
                <w:lang w:eastAsia="en-AU"/>
              </w:rPr>
              <w:t>'''''''''''''''''</w:t>
            </w:r>
            <w:r w:rsidRPr="00CB5806">
              <w:rPr>
                <w:lang w:eastAsia="en-AU"/>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 xml:space="preserve">Strong positive patients (TPS ≥50%) with squamous and non-squamous histology eligible for pembrolizumab, comparison to </w:t>
            </w:r>
            <w:proofErr w:type="spellStart"/>
            <w:r w:rsidRPr="00CB5806">
              <w:rPr>
                <w:lang w:eastAsia="en-AU"/>
              </w:rPr>
              <w:t>docetaxel</w:t>
            </w:r>
            <w:proofErr w:type="spellEnd"/>
            <w:r w:rsidRPr="00CB5806">
              <w:rPr>
                <w:lang w:eastAsia="en-AU"/>
              </w:rPr>
              <w:t xml:space="preserve"> (100% proportion squamous, implicitly assuming that the proportion of squamous in the KN-010 trial population (18.9%) is applicable to the Australian population) </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 xml:space="preserve">Comparator </w:t>
            </w:r>
            <w:proofErr w:type="spellStart"/>
            <w:r w:rsidRPr="00CB5806">
              <w:rPr>
                <w:lang w:eastAsia="en-AU"/>
              </w:rPr>
              <w:t>docetaxel</w:t>
            </w:r>
            <w:proofErr w:type="spellEnd"/>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lang w:eastAsia="en-AU"/>
              </w:rPr>
            </w:pPr>
            <w:r w:rsidRPr="00CB5806">
              <w:rPr>
                <w:lang w:eastAsia="en-AU"/>
              </w:rPr>
              <w:t>$</w:t>
            </w:r>
            <w:r w:rsidR="00153EAE">
              <w:rPr>
                <w:noProof/>
                <w:color w:val="000000"/>
                <w:highlight w:val="black"/>
                <w:lang w:eastAsia="en-AU"/>
              </w:rPr>
              <w:t>'''''''''''''''</w:t>
            </w:r>
            <w:r w:rsidRPr="00CB5806">
              <w:rPr>
                <w:lang w:eastAsia="en-AU"/>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Strong positive patients (TPS ≥50%) with non-squamous histology only eligible for pembroliz</w:t>
            </w:r>
            <w:r w:rsidR="00405DD5">
              <w:rPr>
                <w:lang w:eastAsia="en-AU"/>
              </w:rPr>
              <w:t>umab (0% proportion squamous)</w:t>
            </w:r>
          </w:p>
          <w:p w:rsidR="0095055D" w:rsidRPr="00CB5806" w:rsidRDefault="0095055D" w:rsidP="00A36DD4">
            <w:pPr>
              <w:pStyle w:val="TableText0"/>
              <w:keepNext w:val="0"/>
              <w:numPr>
                <w:ilvl w:val="0"/>
                <w:numId w:val="2"/>
              </w:numPr>
              <w:tabs>
                <w:tab w:val="clear" w:pos="720"/>
              </w:tabs>
              <w:ind w:left="313" w:hanging="266"/>
              <w:rPr>
                <w:lang w:eastAsia="en-AU"/>
              </w:rPr>
            </w:pPr>
            <w:r w:rsidRPr="00CB5806">
              <w:rPr>
                <w:lang w:eastAsia="en-AU"/>
              </w:rPr>
              <w:t xml:space="preserve">Comparator </w:t>
            </w:r>
            <w:proofErr w:type="spellStart"/>
            <w:r w:rsidRPr="00CB5806">
              <w:rPr>
                <w:lang w:eastAsia="en-AU"/>
              </w:rPr>
              <w:t>pemetrexed</w:t>
            </w:r>
            <w:proofErr w:type="spellEnd"/>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r w:rsidRPr="00CB5806">
              <w:rPr>
                <w:iCs/>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Strong positive patients (TPS ≥50%) with non-squamous histology only eligible for pembrolizumab (0% proportion squamous)</w:t>
            </w:r>
          </w:p>
          <w:p w:rsidR="0095055D"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 xml:space="preserve">Comparator </w:t>
            </w:r>
            <w:proofErr w:type="spellStart"/>
            <w:r w:rsidRPr="00CB5806">
              <w:rPr>
                <w:lang w:eastAsia="en-AU"/>
              </w:rPr>
              <w:t>docetaxel</w:t>
            </w:r>
            <w:proofErr w:type="spellEnd"/>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r w:rsidRPr="00CB5806">
              <w:rPr>
                <w:iCs/>
              </w:rPr>
              <w:t>/QALY</w:t>
            </w:r>
          </w:p>
        </w:tc>
      </w:tr>
      <w:tr w:rsidR="0095055D" w:rsidRPr="00CB5806" w:rsidTr="002D458F">
        <w:trPr>
          <w:cantSplit/>
          <w:trHeight w:val="20"/>
        </w:trPr>
        <w:tc>
          <w:tcPr>
            <w:tcW w:w="4238" w:type="pct"/>
            <w:tcMar>
              <w:top w:w="28" w:type="dxa"/>
              <w:left w:w="28" w:type="dxa"/>
              <w:bottom w:w="28" w:type="dxa"/>
              <w:right w:w="28" w:type="dxa"/>
            </w:tcMar>
          </w:tcPr>
          <w:p w:rsidR="0095055D" w:rsidRPr="00CB5806" w:rsidRDefault="0095055D" w:rsidP="00A36DD4">
            <w:pPr>
              <w:pStyle w:val="TableText0"/>
              <w:keepNext w:val="0"/>
              <w:rPr>
                <w:lang w:eastAsia="en-AU"/>
              </w:rPr>
            </w:pPr>
            <w:r w:rsidRPr="00CB5806">
              <w:rPr>
                <w:lang w:eastAsia="en-AU"/>
              </w:rPr>
              <w:t>MSAC funded test:</w:t>
            </w:r>
          </w:p>
          <w:p w:rsidR="00CB5806" w:rsidRPr="00CB5806" w:rsidRDefault="0095055D" w:rsidP="00D82AD3">
            <w:pPr>
              <w:pStyle w:val="TableText0"/>
              <w:keepNext w:val="0"/>
              <w:numPr>
                <w:ilvl w:val="0"/>
                <w:numId w:val="2"/>
              </w:numPr>
              <w:tabs>
                <w:tab w:val="clear" w:pos="720"/>
              </w:tabs>
              <w:ind w:left="313" w:hanging="266"/>
              <w:rPr>
                <w:lang w:eastAsia="en-AU"/>
              </w:rPr>
            </w:pPr>
            <w:r w:rsidRPr="00CB5806">
              <w:rPr>
                <w:lang w:eastAsia="en-AU"/>
              </w:rPr>
              <w:t>Strong positive patients (TPS ≥50%) with squamous histology only eligible for pembrolizumab (100% proportion squamous and only pa</w:t>
            </w:r>
            <w:r w:rsidR="00405DD5">
              <w:rPr>
                <w:lang w:eastAsia="en-AU"/>
              </w:rPr>
              <w:t>tients with squamous histology)</w:t>
            </w:r>
          </w:p>
          <w:p w:rsidR="0095055D" w:rsidRPr="00CB5806" w:rsidRDefault="0095055D" w:rsidP="00A36DD4">
            <w:pPr>
              <w:pStyle w:val="TableText0"/>
              <w:keepNext w:val="0"/>
              <w:numPr>
                <w:ilvl w:val="0"/>
                <w:numId w:val="2"/>
              </w:numPr>
              <w:tabs>
                <w:tab w:val="clear" w:pos="720"/>
              </w:tabs>
              <w:ind w:left="313" w:hanging="266"/>
              <w:rPr>
                <w:lang w:eastAsia="en-AU"/>
              </w:rPr>
            </w:pPr>
            <w:r w:rsidRPr="00CB5806">
              <w:rPr>
                <w:lang w:eastAsia="en-AU"/>
              </w:rPr>
              <w:t xml:space="preserve">Comparator </w:t>
            </w:r>
            <w:proofErr w:type="spellStart"/>
            <w:r w:rsidRPr="00CB5806">
              <w:rPr>
                <w:lang w:eastAsia="en-AU"/>
              </w:rPr>
              <w:t>docetaxel</w:t>
            </w:r>
            <w:proofErr w:type="spellEnd"/>
          </w:p>
        </w:tc>
        <w:tc>
          <w:tcPr>
            <w:tcW w:w="762" w:type="pct"/>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r w:rsidRPr="00CB5806">
              <w:rPr>
                <w:iCs/>
              </w:rPr>
              <w:t>/QALY</w:t>
            </w:r>
          </w:p>
        </w:tc>
      </w:tr>
    </w:tbl>
    <w:p w:rsidR="00CB5806" w:rsidRDefault="00CB5806" w:rsidP="002D458F">
      <w:pPr>
        <w:pStyle w:val="TableFooter"/>
        <w:ind w:left="709"/>
      </w:pPr>
      <w:r w:rsidRPr="00100DFB">
        <w:t>ALK</w:t>
      </w:r>
      <w:r>
        <w:t xml:space="preserve"> </w:t>
      </w:r>
      <w:r w:rsidRPr="00100DFB">
        <w:t>=</w:t>
      </w:r>
      <w:r>
        <w:t xml:space="preserve"> </w:t>
      </w:r>
      <w:r w:rsidRPr="00100DFB">
        <w:t>anaplastic lymphoma kinase; EGFR</w:t>
      </w:r>
      <w:r>
        <w:t xml:space="preserve"> </w:t>
      </w:r>
      <w:r w:rsidRPr="00100DFB">
        <w:t>=</w:t>
      </w:r>
      <w:r>
        <w:t xml:space="preserve"> </w:t>
      </w:r>
      <w:r w:rsidRPr="00100DFB">
        <w:t>epidermal growth factor receptor;</w:t>
      </w:r>
      <w:r>
        <w:t xml:space="preserve"> MSAC = </w:t>
      </w:r>
      <w:r w:rsidRPr="00100DFB">
        <w:t>Medical Services Advisory Committee</w:t>
      </w:r>
      <w:r w:rsidR="00827207">
        <w:t xml:space="preserve">; </w:t>
      </w:r>
      <w:proofErr w:type="spellStart"/>
      <w:r w:rsidR="00827207">
        <w:t>SoC</w:t>
      </w:r>
      <w:proofErr w:type="spellEnd"/>
      <w:r w:rsidR="00827207">
        <w:t xml:space="preserve"> = standard of care</w:t>
      </w:r>
    </w:p>
    <w:p w:rsidR="0095055D" w:rsidRPr="00CB5806" w:rsidRDefault="0095055D" w:rsidP="002D458F">
      <w:pPr>
        <w:pStyle w:val="TableFooter"/>
        <w:ind w:left="709"/>
      </w:pPr>
      <w:r w:rsidRPr="009E132D">
        <w:t>Source:</w:t>
      </w:r>
      <w:r w:rsidRPr="00CB5806">
        <w:t xml:space="preserve"> Analyses conducted during the evaluation The base case </w:t>
      </w:r>
      <w:r w:rsidR="00405DD5">
        <w:t>was</w:t>
      </w:r>
      <w:r w:rsidRPr="00CB5806">
        <w:t xml:space="preserve"> re-specifi</w:t>
      </w:r>
      <w:r w:rsidR="00405DD5">
        <w:t>ed</w:t>
      </w:r>
      <w:r w:rsidRPr="00CB5806">
        <w:t xml:space="preserve"> to correct for </w:t>
      </w:r>
      <w:proofErr w:type="spellStart"/>
      <w:r w:rsidRPr="00CB5806">
        <w:t>i</w:t>
      </w:r>
      <w:proofErr w:type="spellEnd"/>
      <w:r w:rsidRPr="00CB5806">
        <w:t>) the approach used to determine the proportion of patients who are true positives, false positives, true negatives and false negatives; and ii) drug acquisition costs to be based on the efficient combination of vials, allowable maximum PBS dose and update efficient funding of chemotherapy fees (1 July, 2016).</w:t>
      </w:r>
    </w:p>
    <w:p w:rsidR="0095055D" w:rsidRDefault="0095055D" w:rsidP="00A36DD4">
      <w:pPr>
        <w:rPr>
          <w:rFonts w:ascii="Arial" w:hAnsi="Arial" w:cs="Arial"/>
          <w:sz w:val="22"/>
          <w:szCs w:val="22"/>
        </w:rPr>
      </w:pPr>
    </w:p>
    <w:p w:rsidR="002D3220" w:rsidRDefault="002D3220" w:rsidP="002D3220">
      <w:pPr>
        <w:jc w:val="center"/>
        <w:rPr>
          <w:rFonts w:ascii="Arial" w:hAnsi="Arial" w:cs="Arial"/>
          <w:b/>
          <w:sz w:val="22"/>
          <w:u w:val="single"/>
        </w:rPr>
      </w:pPr>
      <w:r w:rsidRPr="00781E51">
        <w:rPr>
          <w:rFonts w:ascii="Arial" w:hAnsi="Arial" w:cs="Arial"/>
          <w:b/>
          <w:sz w:val="22"/>
          <w:u w:val="single"/>
        </w:rPr>
        <w:t>Committee-In-Confidence information</w:t>
      </w:r>
    </w:p>
    <w:p w:rsidR="00C07792" w:rsidRPr="00781E51" w:rsidRDefault="00C07792" w:rsidP="002D3220">
      <w:pPr>
        <w:jc w:val="center"/>
        <w:rPr>
          <w:rFonts w:ascii="Arial" w:hAnsi="Arial" w:cs="Arial"/>
          <w:b/>
          <w:sz w:val="22"/>
          <w:u w:val="single"/>
        </w:rPr>
      </w:pPr>
    </w:p>
    <w:p w:rsidR="00827207" w:rsidRPr="008141D5" w:rsidRDefault="006B4304" w:rsidP="008141D5">
      <w:pPr>
        <w:pStyle w:val="ListParagraph"/>
        <w:numPr>
          <w:ilvl w:val="1"/>
          <w:numId w:val="3"/>
        </w:numPr>
        <w:ind w:left="720"/>
        <w:rPr>
          <w:rFonts w:ascii="Arial" w:hAnsi="Arial" w:cs="Arial"/>
          <w:sz w:val="22"/>
          <w:highlight w:val="black"/>
        </w:rPr>
      </w:pPr>
      <w:r w:rsidRPr="008141D5">
        <w:rPr>
          <w:rFonts w:ascii="Arial" w:hAnsi="Arial" w:cs="Arial"/>
          <w:sz w:val="22"/>
          <w:highlight w:val="black"/>
        </w:rPr>
        <w:t>'''''''''''''' ''''''''' '''''''' '''''''''''' '''''''''''''' '''''''''''''' ''''' ''''''''' '''''''''''''''''''''' ''''''''''''''''''''''' '''''''''' '''''''''''''''''''</w:t>
      </w:r>
      <w:r w:rsidRPr="008141D5">
        <w:rPr>
          <w:rFonts w:ascii="Arial" w:hAnsi="Arial" w:cs="Arial"/>
          <w:noProof/>
          <w:color w:val="000000"/>
          <w:sz w:val="22"/>
          <w:highlight w:val="black"/>
        </w:rPr>
        <w:t xml:space="preserve"> ''''''''''''''''' ''''' '''''''''''''''''''' '''''''''''''''''''' ''''''''' ''''''''''''''''''''' ''''''''' '''''''''''''''' '''''''''''' '''''''''''' '''''''''''''''' '''' ''''''''' ''''''''''''''''''''''''''' '''''''''''''''''''''''''' '''' ''''''' '''''''''''''''''''''' ''''''''''''''''''''''''''''''''''' '''''''''''''''''''''''''''' '''''''''''''''' ''''''''''''''''''''' '''''''' '''''''''''''' ''''''''''' ''''''''''''''' ''''''''' '''''''''''''' '''''''''''''''''''''''' '''''''' '''''''''''''''' ''''''''''''''''''''''' ''''' ''''''''''''''''''' ''''''''' ''''''''''''''''' '''''''''''''''''''''''' '''''''''''''''' '''''''''''' '''''''''''''''</w:t>
      </w:r>
    </w:p>
    <w:p w:rsidR="00827207" w:rsidRPr="00781E51" w:rsidRDefault="00827207" w:rsidP="00405DD5">
      <w:pPr>
        <w:pStyle w:val="ListParagraph"/>
        <w:ind w:left="0" w:firstLine="0"/>
        <w:rPr>
          <w:rFonts w:ascii="Arial" w:hAnsi="Arial" w:cs="Arial"/>
          <w:sz w:val="22"/>
        </w:rPr>
      </w:pPr>
    </w:p>
    <w:p w:rsidR="002D3220" w:rsidRPr="002D3220" w:rsidRDefault="002D3220" w:rsidP="002D3220">
      <w:pPr>
        <w:jc w:val="center"/>
        <w:rPr>
          <w:rFonts w:ascii="Arial" w:hAnsi="Arial" w:cs="Arial"/>
          <w:b/>
          <w:sz w:val="22"/>
          <w:u w:val="single"/>
        </w:rPr>
      </w:pPr>
      <w:r w:rsidRPr="00781E51">
        <w:rPr>
          <w:rFonts w:ascii="Arial" w:hAnsi="Arial" w:cs="Arial"/>
          <w:b/>
          <w:sz w:val="22"/>
          <w:u w:val="single"/>
        </w:rPr>
        <w:t>End Committee-In-Confidence information</w:t>
      </w:r>
    </w:p>
    <w:p w:rsidR="002D3220" w:rsidRPr="00827207" w:rsidRDefault="002D3220" w:rsidP="00405DD5">
      <w:pPr>
        <w:pStyle w:val="ListParagraph"/>
        <w:ind w:left="0" w:firstLine="0"/>
        <w:rPr>
          <w:rFonts w:ascii="Arial" w:hAnsi="Arial" w:cs="Arial"/>
          <w:sz w:val="22"/>
        </w:rPr>
      </w:pPr>
    </w:p>
    <w:p w:rsidR="00827207" w:rsidRPr="009015FA" w:rsidRDefault="00827207" w:rsidP="009C3A29">
      <w:pPr>
        <w:pStyle w:val="ListParagraph"/>
        <w:numPr>
          <w:ilvl w:val="1"/>
          <w:numId w:val="3"/>
        </w:numPr>
        <w:ind w:left="720"/>
        <w:rPr>
          <w:rFonts w:ascii="Arial" w:hAnsi="Arial" w:cs="Arial"/>
          <w:sz w:val="22"/>
        </w:rPr>
      </w:pPr>
      <w:r w:rsidRPr="009015FA">
        <w:rPr>
          <w:rFonts w:ascii="Arial" w:hAnsi="Arial" w:cs="Arial"/>
          <w:sz w:val="22"/>
        </w:rPr>
        <w:t xml:space="preserve">The results of key sensitivity analyses </w:t>
      </w:r>
      <w:r>
        <w:rPr>
          <w:rFonts w:ascii="Arial" w:hAnsi="Arial" w:cs="Arial"/>
          <w:sz w:val="22"/>
        </w:rPr>
        <w:t xml:space="preserve">conducted during the evaluation </w:t>
      </w:r>
      <w:r w:rsidRPr="009015FA">
        <w:rPr>
          <w:rFonts w:ascii="Arial" w:hAnsi="Arial" w:cs="Arial"/>
          <w:sz w:val="22"/>
        </w:rPr>
        <w:t>are presented in Table 2</w:t>
      </w:r>
      <w:r w:rsidR="006405DD">
        <w:rPr>
          <w:rFonts w:ascii="Arial" w:hAnsi="Arial" w:cs="Arial"/>
          <w:sz w:val="22"/>
        </w:rPr>
        <w:t>2</w:t>
      </w:r>
      <w:r w:rsidRPr="009015FA">
        <w:rPr>
          <w:rFonts w:ascii="Arial" w:hAnsi="Arial" w:cs="Arial"/>
          <w:sz w:val="22"/>
        </w:rPr>
        <w:t>.</w:t>
      </w:r>
      <w:r w:rsidR="009068DF">
        <w:rPr>
          <w:rFonts w:ascii="Arial" w:hAnsi="Arial" w:cs="Arial"/>
          <w:sz w:val="22"/>
        </w:rPr>
        <w:t xml:space="preserve"> The redacted table below shows ICERs ranging from $45,000 - $75,000 to over $200,000 per QALY.</w:t>
      </w:r>
    </w:p>
    <w:p w:rsidR="002D3220" w:rsidRPr="00E75277" w:rsidRDefault="002D3220" w:rsidP="00E75277">
      <w:pPr>
        <w:pStyle w:val="TableHeading0"/>
        <w:keepNext w:val="0"/>
        <w:rPr>
          <w:rFonts w:ascii="Arial" w:hAnsi="Arial"/>
          <w:b w:val="0"/>
          <w:sz w:val="22"/>
          <w:szCs w:val="22"/>
        </w:rPr>
      </w:pPr>
    </w:p>
    <w:p w:rsidR="0095055D" w:rsidRPr="00A23F2B" w:rsidRDefault="00210DDC" w:rsidP="0030293B">
      <w:pPr>
        <w:pStyle w:val="TableHeading0"/>
        <w:ind w:firstLine="720"/>
      </w:pPr>
      <w:r>
        <w:t xml:space="preserve">Table </w:t>
      </w:r>
      <w:r w:rsidR="0095055D" w:rsidRPr="00A23F2B">
        <w:t>2</w:t>
      </w:r>
      <w:r w:rsidR="006405DD">
        <w:t>2</w:t>
      </w:r>
      <w:r w:rsidR="0095055D" w:rsidRPr="00A23F2B">
        <w:t>: Results of key sensitivity analyses</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4"/>
        <w:gridCol w:w="4113"/>
        <w:gridCol w:w="994"/>
        <w:gridCol w:w="1139"/>
        <w:gridCol w:w="930"/>
        <w:gridCol w:w="764"/>
      </w:tblGrid>
      <w:tr w:rsidR="0095055D" w:rsidRPr="00CB5806" w:rsidTr="0030293B">
        <w:trPr>
          <w:cantSplit/>
          <w:trHeight w:val="20"/>
          <w:tblHeader/>
        </w:trPr>
        <w:tc>
          <w:tcPr>
            <w:tcW w:w="2712" w:type="pct"/>
            <w:gridSpan w:val="2"/>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left"/>
              <w:rPr>
                <w:b/>
              </w:rPr>
            </w:pPr>
            <w:r w:rsidRPr="00CB5806">
              <w:rPr>
                <w:b/>
              </w:rPr>
              <w:t xml:space="preserve">Sensitivity analyses </w:t>
            </w:r>
          </w:p>
        </w:tc>
        <w:tc>
          <w:tcPr>
            <w:tcW w:w="1275"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Incremental</w:t>
            </w:r>
          </w:p>
        </w:tc>
        <w:tc>
          <w:tcPr>
            <w:tcW w:w="556"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ICER</w:t>
            </w:r>
          </w:p>
        </w:tc>
        <w:tc>
          <w:tcPr>
            <w:tcW w:w="458" w:type="pct"/>
            <w:vMerge w:val="restart"/>
            <w:tcBorders>
              <w:top w:val="single" w:sz="4" w:space="0" w:color="auto"/>
              <w:left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 change</w:t>
            </w:r>
          </w:p>
        </w:tc>
      </w:tr>
      <w:tr w:rsidR="0095055D" w:rsidRPr="00CB5806" w:rsidTr="0030293B">
        <w:trPr>
          <w:cantSplit/>
          <w:trHeight w:val="257"/>
          <w:tblHeader/>
        </w:trPr>
        <w:tc>
          <w:tcPr>
            <w:tcW w:w="2712" w:type="pct"/>
            <w:gridSpan w:val="2"/>
            <w:vMerge/>
            <w:tcBorders>
              <w:left w:val="single" w:sz="4" w:space="0" w:color="auto"/>
              <w:bottom w:val="single" w:sz="4" w:space="0" w:color="auto"/>
              <w:right w:val="single" w:sz="4" w:space="0" w:color="auto"/>
            </w:tcBorders>
            <w:tcMar>
              <w:top w:w="28" w:type="dxa"/>
              <w:left w:w="28" w:type="dxa"/>
              <w:bottom w:w="28" w:type="dxa"/>
              <w:right w:w="28" w:type="dxa"/>
            </w:tcMar>
          </w:tcPr>
          <w:p w:rsidR="0095055D" w:rsidRPr="00CB5806" w:rsidRDefault="0095055D" w:rsidP="00A36DD4">
            <w:pPr>
              <w:pStyle w:val="TableText0"/>
              <w:jc w:val="left"/>
              <w:rPr>
                <w:b/>
              </w:rPr>
            </w:pP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Costs</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Effectiveness</w:t>
            </w:r>
          </w:p>
        </w:tc>
        <w:tc>
          <w:tcPr>
            <w:tcW w:w="556"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p>
        </w:tc>
        <w:tc>
          <w:tcPr>
            <w:tcW w:w="458" w:type="pct"/>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p>
        </w:tc>
      </w:tr>
      <w:tr w:rsidR="0095055D" w:rsidRPr="00CB5806" w:rsidTr="0030293B">
        <w:trPr>
          <w:cantSplit/>
          <w:tblHeader/>
        </w:trPr>
        <w:tc>
          <w:tcPr>
            <w:tcW w:w="2712"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055D" w:rsidRPr="00CB5806" w:rsidRDefault="0095055D" w:rsidP="00A36DD4">
            <w:pPr>
              <w:pStyle w:val="TableText0"/>
              <w:rPr>
                <w:b/>
              </w:rPr>
            </w:pPr>
            <w:r w:rsidRPr="00CB5806">
              <w:rPr>
                <w:b/>
              </w:rPr>
              <w:t>Base case (with some re-specification)</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w:t>
            </w:r>
            <w:r w:rsidR="00153EAE">
              <w:rPr>
                <w:b/>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b/>
                <w:highlight w:val="black"/>
              </w:rPr>
            </w:pPr>
            <w:r>
              <w:rPr>
                <w:b/>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w:t>
            </w:r>
            <w:r w:rsidR="00153EAE">
              <w:rPr>
                <w:b/>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b/>
              </w:rPr>
            </w:pPr>
            <w:r w:rsidRPr="00CB5806">
              <w:rPr>
                <w:b/>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ITC OS HR upper limit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2</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 xml:space="preserve">Modelling </w:t>
            </w:r>
            <w:r w:rsidR="00480330">
              <w:t>progression-free</w:t>
            </w:r>
            <w:r w:rsidRPr="00CB5806">
              <w:t xml:space="preserve"> drugs per cycle</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3</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 xml:space="preserve">Model </w:t>
            </w:r>
            <w:proofErr w:type="spellStart"/>
            <w:r w:rsidRPr="00CB5806">
              <w:t>pemetrexed</w:t>
            </w:r>
            <w:proofErr w:type="spellEnd"/>
            <w:r w:rsidRPr="00CB5806">
              <w:t xml:space="preserve"> based on </w:t>
            </w:r>
            <w:proofErr w:type="spellStart"/>
            <w:r w:rsidRPr="00CB5806">
              <w:t>docetaxel</w:t>
            </w:r>
            <w:proofErr w:type="spellEnd"/>
            <w:r w:rsidRPr="00CB5806">
              <w:t xml:space="preserve"> curves (applied non-squamous HR from </w:t>
            </w:r>
            <w:proofErr w:type="spellStart"/>
            <w:r w:rsidRPr="00CB5806">
              <w:t>Scagliotti</w:t>
            </w:r>
            <w:proofErr w:type="spellEnd"/>
            <w:r w:rsidRPr="00CB5806">
              <w: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4</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proofErr w:type="spellStart"/>
            <w:r w:rsidRPr="00CB5806">
              <w:t>Gompertz</w:t>
            </w:r>
            <w:proofErr w:type="spellEnd"/>
            <w:r w:rsidRPr="00CB5806">
              <w:t xml:space="preserve"> for OS pembrolizumab squamous</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5</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Mean number of doses Pembrolizumab= 10.2 / D/P=5.3</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6</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Time horizon = 5 years</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7</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 xml:space="preserve">Specificity of PD-L1 testing = </w:t>
            </w:r>
            <w:r w:rsidR="00153EAE">
              <w:rPr>
                <w:noProof/>
                <w:color w:val="000000"/>
                <w:highlight w:val="black"/>
              </w:rPr>
              <w:t>'''''''''''</w:t>
            </w:r>
            <w:r w:rsidRPr="00CB5806">
              <w:t xml:space="preserve">% </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8</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ITC based on non-squamous population</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9</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Use of PIVOTAL ongoing disease management costs</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10</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OS/PFS models stratified by histology</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11</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Discounting=10%</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9%</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12</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Post-progression treatment*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13</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 xml:space="preserve">Model </w:t>
            </w:r>
            <w:proofErr w:type="spellStart"/>
            <w:r w:rsidRPr="00CB5806">
              <w:t>pemetrexed</w:t>
            </w:r>
            <w:proofErr w:type="spellEnd"/>
            <w:r w:rsidRPr="00CB5806">
              <w:t xml:space="preserve"> based on </w:t>
            </w:r>
            <w:proofErr w:type="spellStart"/>
            <w:r w:rsidRPr="00CB5806">
              <w:t>docetaxel</w:t>
            </w:r>
            <w:proofErr w:type="spellEnd"/>
            <w:r w:rsidRPr="00CB5806">
              <w:t xml:space="preserve"> curves (applied adenocarcinoma HR from </w:t>
            </w:r>
            <w:proofErr w:type="spellStart"/>
            <w:r w:rsidRPr="00CB5806">
              <w:t>Scagliotti</w:t>
            </w:r>
            <w:proofErr w:type="spellEnd"/>
            <w:r w:rsidRPr="00CB5806">
              <w: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rPr>
                <w:iCs/>
              </w:rPr>
            </w:pPr>
            <w:r>
              <w:rPr>
                <w:iCs/>
                <w:noProof/>
                <w:color w:val="000000"/>
                <w:highlight w:val="black"/>
              </w:rPr>
              <w:t>'''</w:t>
            </w:r>
            <w:r w:rsidR="0095055D" w:rsidRPr="00CB5806">
              <w:rPr>
                <w:iCs/>
              </w:rPr>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14</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Discounting=0%</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r w:rsidRPr="007B6C47">
              <w:t>%</w:t>
            </w:r>
          </w:p>
        </w:tc>
      </w:tr>
      <w:tr w:rsidR="00CB5806" w:rsidRPr="00CB5806" w:rsidTr="009068DF">
        <w:trPr>
          <w:cantSplit/>
        </w:trPr>
        <w:tc>
          <w:tcPr>
            <w:tcW w:w="25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7D5324">
            <w:pPr>
              <w:pStyle w:val="TableText0"/>
              <w:keepNext w:val="0"/>
              <w:jc w:val="left"/>
            </w:pPr>
            <w:r w:rsidRPr="00CB5806">
              <w:t>15</w:t>
            </w:r>
          </w:p>
        </w:tc>
        <w:tc>
          <w:tcPr>
            <w:tcW w:w="245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9068DF">
            <w:pPr>
              <w:pStyle w:val="TableText0"/>
              <w:keepNext w:val="0"/>
              <w:jc w:val="left"/>
            </w:pPr>
            <w:r w:rsidRPr="00CB5806">
              <w:t>ITC OS HR lower limit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keepNext w:val="0"/>
              <w:jc w:val="center"/>
              <w:rPr>
                <w:iCs/>
                <w:highlight w:val="black"/>
              </w:rPr>
            </w:pPr>
            <w:r>
              <w:rPr>
                <w:iCs/>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keepNext w:val="0"/>
              <w:jc w:val="center"/>
              <w:rPr>
                <w:iCs/>
              </w:rPr>
            </w:pPr>
            <w:r w:rsidRPr="00CB5806">
              <w:rPr>
                <w:iCs/>
              </w:rPr>
              <w:t>-</w:t>
            </w:r>
            <w:r w:rsidR="00153EAE">
              <w:rPr>
                <w:iCs/>
                <w:noProof/>
                <w:color w:val="000000"/>
                <w:highlight w:val="black"/>
              </w:rPr>
              <w:t>''''''</w:t>
            </w:r>
            <w:r w:rsidRPr="00CB5806">
              <w:rPr>
                <w:iCs/>
              </w:rPr>
              <w:t>%</w:t>
            </w:r>
          </w:p>
        </w:tc>
      </w:tr>
      <w:tr w:rsidR="0095055D" w:rsidRPr="00CB5806" w:rsidTr="0030293B">
        <w:trPr>
          <w:cantSplit/>
        </w:trPr>
        <w:tc>
          <w:tcPr>
            <w:tcW w:w="5000" w:type="pct"/>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055D" w:rsidRPr="00CB5806" w:rsidRDefault="0095055D" w:rsidP="00A36DD4">
            <w:pPr>
              <w:pStyle w:val="TableText0"/>
              <w:jc w:val="left"/>
              <w:rPr>
                <w:b/>
                <w:iCs/>
              </w:rPr>
            </w:pPr>
            <w:r w:rsidRPr="00CB5806">
              <w:rPr>
                <w:b/>
              </w:rPr>
              <w:t>Multivariate analyses</w:t>
            </w:r>
          </w:p>
        </w:tc>
      </w:tr>
      <w:tr w:rsidR="0095055D" w:rsidRPr="00CB5806" w:rsidTr="0030293B">
        <w:trPr>
          <w:cantSplit/>
        </w:trPr>
        <w:tc>
          <w:tcPr>
            <w:tcW w:w="253" w:type="pct"/>
            <w:tcBorders>
              <w:top w:val="single" w:sz="4" w:space="0" w:color="auto"/>
              <w:left w:val="single" w:sz="4" w:space="0" w:color="auto"/>
              <w:bottom w:val="single" w:sz="4" w:space="0" w:color="auto"/>
              <w:right w:val="nil"/>
            </w:tcBorders>
            <w:tcMar>
              <w:top w:w="28" w:type="dxa"/>
              <w:left w:w="28" w:type="dxa"/>
              <w:bottom w:w="28" w:type="dxa"/>
              <w:right w:w="28" w:type="dxa"/>
            </w:tcMar>
          </w:tcPr>
          <w:p w:rsidR="0095055D" w:rsidRPr="00CB5806" w:rsidRDefault="0095055D" w:rsidP="00A36DD4">
            <w:pPr>
              <w:pStyle w:val="TableText0"/>
              <w:keepNext w:val="0"/>
            </w:pPr>
          </w:p>
        </w:tc>
        <w:tc>
          <w:tcPr>
            <w:tcW w:w="2459" w:type="pc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30293B">
            <w:pPr>
              <w:pStyle w:val="TableText0"/>
              <w:keepNext w:val="0"/>
              <w:jc w:val="left"/>
            </w:pPr>
            <w:r w:rsidRPr="00CB5806">
              <w:t>#2 AND #10</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95055D" w:rsidRPr="00CB5806" w:rsidTr="0030293B">
        <w:trPr>
          <w:cantSplit/>
        </w:trPr>
        <w:tc>
          <w:tcPr>
            <w:tcW w:w="253" w:type="pct"/>
            <w:tcBorders>
              <w:top w:val="single" w:sz="4" w:space="0" w:color="auto"/>
              <w:left w:val="single" w:sz="4" w:space="0" w:color="auto"/>
              <w:bottom w:val="single" w:sz="4" w:space="0" w:color="auto"/>
              <w:right w:val="nil"/>
            </w:tcBorders>
            <w:tcMar>
              <w:top w:w="28" w:type="dxa"/>
              <w:left w:w="28" w:type="dxa"/>
              <w:bottom w:w="28" w:type="dxa"/>
              <w:right w:w="28" w:type="dxa"/>
            </w:tcMar>
          </w:tcPr>
          <w:p w:rsidR="0095055D" w:rsidRPr="00CB5806" w:rsidRDefault="0095055D" w:rsidP="00A36DD4">
            <w:pPr>
              <w:pStyle w:val="TableText0"/>
              <w:keepNext w:val="0"/>
            </w:pPr>
          </w:p>
        </w:tc>
        <w:tc>
          <w:tcPr>
            <w:tcW w:w="2459" w:type="pc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30293B">
            <w:pPr>
              <w:pStyle w:val="TableText0"/>
              <w:keepNext w:val="0"/>
              <w:jc w:val="left"/>
            </w:pPr>
            <w:r w:rsidRPr="00CB5806">
              <w:t xml:space="preserve"> #2, #10 AND #3</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95055D" w:rsidRPr="00CB5806" w:rsidTr="0030293B">
        <w:trPr>
          <w:cantSplit/>
        </w:trPr>
        <w:tc>
          <w:tcPr>
            <w:tcW w:w="253" w:type="pct"/>
            <w:tcBorders>
              <w:top w:val="single" w:sz="4" w:space="0" w:color="auto"/>
              <w:left w:val="single" w:sz="4" w:space="0" w:color="auto"/>
              <w:bottom w:val="single" w:sz="4" w:space="0" w:color="auto"/>
              <w:right w:val="nil"/>
            </w:tcBorders>
            <w:tcMar>
              <w:top w:w="28" w:type="dxa"/>
              <w:left w:w="28" w:type="dxa"/>
              <w:bottom w:w="28" w:type="dxa"/>
              <w:right w:w="28" w:type="dxa"/>
            </w:tcMar>
          </w:tcPr>
          <w:p w:rsidR="0095055D" w:rsidRPr="00CB5806" w:rsidRDefault="0095055D" w:rsidP="00A36DD4">
            <w:pPr>
              <w:pStyle w:val="TableText0"/>
              <w:keepNext w:val="0"/>
            </w:pPr>
          </w:p>
        </w:tc>
        <w:tc>
          <w:tcPr>
            <w:tcW w:w="2459" w:type="pc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30293B">
            <w:pPr>
              <w:pStyle w:val="TableText0"/>
              <w:keepNext w:val="0"/>
              <w:jc w:val="left"/>
            </w:pPr>
            <w:r w:rsidRPr="00CB5806">
              <w:t xml:space="preserve"> #2, #10, #3 AND #6</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95055D" w:rsidRPr="00CB5806" w:rsidTr="0030293B">
        <w:trPr>
          <w:cantSplit/>
        </w:trPr>
        <w:tc>
          <w:tcPr>
            <w:tcW w:w="253" w:type="pct"/>
            <w:tcBorders>
              <w:top w:val="single" w:sz="4" w:space="0" w:color="auto"/>
              <w:left w:val="single" w:sz="4" w:space="0" w:color="auto"/>
              <w:bottom w:val="single" w:sz="4" w:space="0" w:color="auto"/>
              <w:right w:val="nil"/>
            </w:tcBorders>
            <w:tcMar>
              <w:top w:w="28" w:type="dxa"/>
              <w:left w:w="28" w:type="dxa"/>
              <w:bottom w:w="28" w:type="dxa"/>
              <w:right w:w="28" w:type="dxa"/>
            </w:tcMar>
          </w:tcPr>
          <w:p w:rsidR="0095055D" w:rsidRPr="00CB5806" w:rsidRDefault="0095055D" w:rsidP="00A36DD4">
            <w:pPr>
              <w:pStyle w:val="TableText0"/>
              <w:keepNext w:val="0"/>
            </w:pPr>
          </w:p>
        </w:tc>
        <w:tc>
          <w:tcPr>
            <w:tcW w:w="2459" w:type="pc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30293B">
            <w:pPr>
              <w:pStyle w:val="TableText0"/>
              <w:keepNext w:val="0"/>
              <w:jc w:val="left"/>
              <w:rPr>
                <w:highlight w:val="yellow"/>
              </w:rPr>
            </w:pPr>
            <w:r w:rsidRPr="00CB5806">
              <w:t xml:space="preserve"> #2, #10, #3, #6 AND #12</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r w:rsidR="0095055D" w:rsidRPr="00CB5806" w:rsidTr="0030293B">
        <w:trPr>
          <w:cantSplit/>
        </w:trPr>
        <w:tc>
          <w:tcPr>
            <w:tcW w:w="253" w:type="pct"/>
            <w:tcBorders>
              <w:top w:val="single" w:sz="4" w:space="0" w:color="auto"/>
              <w:left w:val="single" w:sz="4" w:space="0" w:color="auto"/>
              <w:bottom w:val="single" w:sz="4" w:space="0" w:color="auto"/>
              <w:right w:val="nil"/>
            </w:tcBorders>
            <w:tcMar>
              <w:top w:w="28" w:type="dxa"/>
              <w:left w:w="28" w:type="dxa"/>
              <w:bottom w:w="28" w:type="dxa"/>
              <w:right w:w="28" w:type="dxa"/>
            </w:tcMar>
          </w:tcPr>
          <w:p w:rsidR="0095055D" w:rsidRPr="00CB5806" w:rsidRDefault="0095055D" w:rsidP="00A36DD4">
            <w:pPr>
              <w:pStyle w:val="TableText0"/>
              <w:keepNext w:val="0"/>
            </w:pPr>
          </w:p>
        </w:tc>
        <w:tc>
          <w:tcPr>
            <w:tcW w:w="2459" w:type="pct"/>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30293B">
            <w:pPr>
              <w:pStyle w:val="TableText0"/>
              <w:keepNext w:val="0"/>
              <w:jc w:val="left"/>
              <w:rPr>
                <w:highlight w:val="yellow"/>
              </w:rPr>
            </w:pPr>
            <w:r w:rsidRPr="00CB5806">
              <w:t xml:space="preserve"> #2, #10, #3, #6, #12 AND using the parametric model that best fit the pembrolizumab OS squamous curve (</w:t>
            </w:r>
            <w:proofErr w:type="spellStart"/>
            <w:r w:rsidR="00FD0859" w:rsidRPr="00CB5806">
              <w:t>Weibull</w:t>
            </w:r>
            <w:proofErr w:type="spellEnd"/>
            <w:r w:rsidRPr="00CB5806">
              <w:t>)*</w:t>
            </w:r>
          </w:p>
        </w:tc>
        <w:tc>
          <w:tcPr>
            <w:tcW w:w="59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680"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153EAE" w:rsidRDefault="00153EAE" w:rsidP="00F514D9">
            <w:pPr>
              <w:pStyle w:val="TableText0"/>
              <w:jc w:val="center"/>
              <w:rPr>
                <w:highlight w:val="black"/>
              </w:rPr>
            </w:pPr>
            <w:r>
              <w:rPr>
                <w:noProof/>
                <w:color w:val="000000"/>
                <w:highlight w:val="black"/>
              </w:rPr>
              <w:t>'''''''''''</w:t>
            </w:r>
          </w:p>
        </w:tc>
        <w:tc>
          <w:tcPr>
            <w:tcW w:w="556"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95055D" w:rsidP="00F514D9">
            <w:pPr>
              <w:pStyle w:val="TableText0"/>
              <w:jc w:val="center"/>
            </w:pPr>
            <w:r w:rsidRPr="00CB5806">
              <w:t>$</w:t>
            </w:r>
            <w:r w:rsidR="00153EAE">
              <w:rPr>
                <w:noProof/>
                <w:color w:val="000000"/>
                <w:highlight w:val="black"/>
              </w:rPr>
              <w:t>''''''''''''''''''</w:t>
            </w:r>
          </w:p>
        </w:tc>
        <w:tc>
          <w:tcPr>
            <w:tcW w:w="4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CB5806" w:rsidRDefault="00153EAE" w:rsidP="00F514D9">
            <w:pPr>
              <w:pStyle w:val="TableText0"/>
              <w:jc w:val="center"/>
            </w:pPr>
            <w:r>
              <w:rPr>
                <w:noProof/>
                <w:color w:val="000000"/>
                <w:highlight w:val="black"/>
              </w:rPr>
              <w:t>'''''''''</w:t>
            </w:r>
            <w:r w:rsidR="0095055D" w:rsidRPr="00CB5806">
              <w:t>%</w:t>
            </w:r>
          </w:p>
        </w:tc>
      </w:tr>
    </w:tbl>
    <w:p w:rsidR="0095055D" w:rsidRDefault="0095055D" w:rsidP="0030293B">
      <w:pPr>
        <w:pStyle w:val="TableFooter"/>
        <w:ind w:left="709"/>
      </w:pPr>
      <w:r>
        <w:t>Note: Analys</w:t>
      </w:r>
      <w:r w:rsidR="00CB5806">
        <w:t xml:space="preserve">is 1, 2, 3, 4, 12, 13 and the multivariate analyses </w:t>
      </w:r>
      <w:r>
        <w:t xml:space="preserve">were conducted during the evaluation. </w:t>
      </w:r>
      <w:r w:rsidRPr="00CB5806">
        <w:t xml:space="preserve">The base case </w:t>
      </w:r>
      <w:r w:rsidR="00C341BE">
        <w:t>w</w:t>
      </w:r>
      <w:r w:rsidRPr="00CB5806">
        <w:t>as re-specifi</w:t>
      </w:r>
      <w:r w:rsidR="00C341BE">
        <w:t>ed</w:t>
      </w:r>
      <w:r w:rsidRPr="00CB5806">
        <w:t xml:space="preserve"> to correct for </w:t>
      </w:r>
      <w:proofErr w:type="spellStart"/>
      <w:r w:rsidRPr="00CB5806">
        <w:t>i</w:t>
      </w:r>
      <w:proofErr w:type="spellEnd"/>
      <w:r w:rsidRPr="00CB5806">
        <w:t>) the approach used to determine the proportion of patients who are true positives, false positives, true negatives and false negatives; and ii) drug acquisition costs to be based on the efficient combination of vials, allowable maximum PBS dose and update efficient funding of chemotherapy fees (1 July, 2016).</w:t>
      </w:r>
    </w:p>
    <w:p w:rsidR="0095055D" w:rsidRDefault="0095055D" w:rsidP="0030293B">
      <w:pPr>
        <w:pStyle w:val="TableFooter"/>
        <w:ind w:left="709"/>
      </w:pPr>
      <w:r w:rsidRPr="00D94960">
        <w:t>* Sensitivity analysis assumes that of the patients that uptake post-progression therapy, post-progression treatment is determined by histology. After pembrolizumab treatment, 77.6%</w:t>
      </w:r>
      <w:r>
        <w:t xml:space="preserve"> </w:t>
      </w:r>
      <w:r w:rsidRPr="00D94960">
        <w:t xml:space="preserve">of patients </w:t>
      </w:r>
      <w:r>
        <w:t>(i.e. proportion non-squamous)</w:t>
      </w:r>
      <w:r w:rsidRPr="00D94960">
        <w:t xml:space="preserve"> who uptake post-progression therapy are assumed to receive </w:t>
      </w:r>
      <w:proofErr w:type="spellStart"/>
      <w:proofErr w:type="gramStart"/>
      <w:r w:rsidRPr="00D94960">
        <w:t>pemetrexed</w:t>
      </w:r>
      <w:proofErr w:type="spellEnd"/>
      <w:r w:rsidRPr="00D94960">
        <w:t>,</w:t>
      </w:r>
      <w:proofErr w:type="gramEnd"/>
      <w:r w:rsidRPr="00D94960">
        <w:t xml:space="preserve"> and the remaining receive </w:t>
      </w:r>
      <w:proofErr w:type="spellStart"/>
      <w:r w:rsidRPr="00D94960">
        <w:t>docetaxel</w:t>
      </w:r>
      <w:proofErr w:type="spellEnd"/>
      <w:r w:rsidRPr="00D94960">
        <w:t xml:space="preserve">. </w:t>
      </w:r>
      <w:r>
        <w:t xml:space="preserve">Patients on comparator treatment who received </w:t>
      </w:r>
      <w:proofErr w:type="spellStart"/>
      <w:r>
        <w:t>pemetrexed</w:t>
      </w:r>
      <w:proofErr w:type="spellEnd"/>
      <w:r>
        <w:t xml:space="preserve"> (i.e. non-squamous patients, 77.6%) are assumed to receive </w:t>
      </w:r>
      <w:proofErr w:type="spellStart"/>
      <w:r>
        <w:t>docetaxel</w:t>
      </w:r>
      <w:proofErr w:type="spellEnd"/>
      <w:r>
        <w:t xml:space="preserve"> after disease progression, and vice-versa.</w:t>
      </w:r>
    </w:p>
    <w:p w:rsidR="0095055D" w:rsidRDefault="0095055D" w:rsidP="0030293B">
      <w:pPr>
        <w:pStyle w:val="TableFooter"/>
        <w:ind w:left="709"/>
      </w:pPr>
      <w:r>
        <w:t>^ Conducting sensitivity analyses #4 from Table D.6.1 would have no effect on the ICER as the KN-010 pembrolizumab OS strong positive</w:t>
      </w:r>
      <w:r w:rsidRPr="00D27D97">
        <w:t xml:space="preserve"> (TPS ≥50%)</w:t>
      </w:r>
      <w:r>
        <w:t xml:space="preserve"> ITT curve is no longer modelled (as per sensitivity analysis #9). Instead, the KN-010 strong positive </w:t>
      </w:r>
      <w:r w:rsidRPr="00D27D97">
        <w:t>(TPS ≥50%)</w:t>
      </w:r>
      <w:r>
        <w:t xml:space="preserve"> squamous data are modelled. The parametric model that best fit these data was a </w:t>
      </w:r>
      <w:proofErr w:type="spellStart"/>
      <w:r>
        <w:t>Weibull</w:t>
      </w:r>
      <w:proofErr w:type="spellEnd"/>
      <w:r>
        <w:t xml:space="preserve"> model.</w:t>
      </w:r>
    </w:p>
    <w:p w:rsidR="00CB5806" w:rsidRDefault="00CB5806" w:rsidP="0030293B">
      <w:pPr>
        <w:pStyle w:val="TableFooter"/>
        <w:ind w:left="709"/>
      </w:pPr>
      <w:r w:rsidRPr="00FB02D2">
        <w:t>HR = hazard ratio; ICER = incremental cost-effectiveness ratio; ITC = indirect treatment comparison; OS = overall survival; PD-L1 = programmed death ligand 1; P</w:t>
      </w:r>
      <w:r>
        <w:t>FS = progression-free survival</w:t>
      </w:r>
    </w:p>
    <w:p w:rsidR="0095055D" w:rsidRDefault="0095055D" w:rsidP="0030293B">
      <w:pPr>
        <w:pStyle w:val="TableFooter"/>
        <w:ind w:left="709"/>
      </w:pPr>
      <w:r w:rsidRPr="009E132D">
        <w:t>Source: Table</w:t>
      </w:r>
      <w:r>
        <w:t xml:space="preserve"> D.6-1</w:t>
      </w:r>
      <w:r w:rsidRPr="009E132D">
        <w:t>,</w:t>
      </w:r>
      <w:r>
        <w:t xml:space="preserve"> </w:t>
      </w:r>
      <w:r w:rsidRPr="009E132D">
        <w:t>pp</w:t>
      </w:r>
      <w:r>
        <w:t>357-8</w:t>
      </w:r>
      <w:r w:rsidRPr="009E132D">
        <w:t xml:space="preserve"> of the submission</w:t>
      </w:r>
    </w:p>
    <w:p w:rsidR="009E725E" w:rsidRPr="00C341BE" w:rsidRDefault="009E725E" w:rsidP="00A36DD4">
      <w:pPr>
        <w:pStyle w:val="TableFooter"/>
        <w:rPr>
          <w:rFonts w:ascii="Arial" w:hAnsi="Arial"/>
          <w:sz w:val="22"/>
          <w:szCs w:val="22"/>
        </w:rPr>
      </w:pPr>
    </w:p>
    <w:p w:rsidR="00305EF5" w:rsidRPr="001C3866" w:rsidRDefault="004034E7" w:rsidP="009C3A29">
      <w:pPr>
        <w:pStyle w:val="ListParagraph"/>
        <w:numPr>
          <w:ilvl w:val="1"/>
          <w:numId w:val="3"/>
        </w:numPr>
        <w:ind w:left="720"/>
        <w:rPr>
          <w:rFonts w:ascii="Arial" w:hAnsi="Arial" w:cs="Arial"/>
          <w:sz w:val="22"/>
          <w:szCs w:val="22"/>
        </w:rPr>
      </w:pPr>
      <w:r w:rsidRPr="00675587">
        <w:rPr>
          <w:rFonts w:ascii="Arial" w:hAnsi="Arial" w:cs="Arial"/>
          <w:sz w:val="22"/>
        </w:rPr>
        <w:t>T</w:t>
      </w:r>
      <w:r w:rsidR="009E725E" w:rsidRPr="00675587">
        <w:rPr>
          <w:rFonts w:ascii="Arial" w:hAnsi="Arial" w:cs="Arial"/>
          <w:sz w:val="22"/>
        </w:rPr>
        <w:t>he PSCR</w:t>
      </w:r>
      <w:r w:rsidRPr="00675587">
        <w:rPr>
          <w:rFonts w:ascii="Arial" w:hAnsi="Arial" w:cs="Arial"/>
          <w:sz w:val="22"/>
        </w:rPr>
        <w:t xml:space="preserve"> (p1) offered</w:t>
      </w:r>
      <w:r w:rsidR="009E725E" w:rsidRPr="00675587">
        <w:rPr>
          <w:rFonts w:ascii="Arial" w:hAnsi="Arial" w:cs="Arial"/>
          <w:sz w:val="22"/>
        </w:rPr>
        <w:t xml:space="preserve"> a new price for pembrolizumab of $</w:t>
      </w:r>
      <w:r w:rsidR="00153EAE">
        <w:rPr>
          <w:rFonts w:ascii="Arial" w:hAnsi="Arial" w:cs="Arial"/>
          <w:noProof/>
          <w:color w:val="000000"/>
          <w:sz w:val="22"/>
          <w:highlight w:val="black"/>
        </w:rPr>
        <w:t>'''''''''''''</w:t>
      </w:r>
      <w:r w:rsidR="009E725E" w:rsidRPr="00675587">
        <w:rPr>
          <w:rFonts w:ascii="Arial" w:hAnsi="Arial" w:cs="Arial"/>
          <w:sz w:val="22"/>
        </w:rPr>
        <w:t xml:space="preserve"> per 50</w:t>
      </w:r>
      <w:r w:rsidRPr="00675587">
        <w:rPr>
          <w:rFonts w:ascii="Arial" w:hAnsi="Arial" w:cs="Arial"/>
          <w:sz w:val="22"/>
        </w:rPr>
        <w:t> </w:t>
      </w:r>
      <w:r w:rsidR="009E725E" w:rsidRPr="00675587">
        <w:rPr>
          <w:rFonts w:ascii="Arial" w:hAnsi="Arial" w:cs="Arial"/>
          <w:sz w:val="22"/>
        </w:rPr>
        <w:t xml:space="preserve">mg vial to reflect longer time on treatment than </w:t>
      </w:r>
      <w:r w:rsidRPr="00675587">
        <w:rPr>
          <w:rFonts w:ascii="Arial" w:hAnsi="Arial" w:cs="Arial"/>
          <w:sz w:val="22"/>
        </w:rPr>
        <w:t xml:space="preserve">was </w:t>
      </w:r>
      <w:r w:rsidR="009E725E" w:rsidRPr="00675587">
        <w:rPr>
          <w:rFonts w:ascii="Arial" w:hAnsi="Arial" w:cs="Arial"/>
          <w:sz w:val="22"/>
        </w:rPr>
        <w:t>previously estimated.</w:t>
      </w:r>
      <w:r w:rsidR="00180AEF" w:rsidRPr="00675587">
        <w:rPr>
          <w:rFonts w:ascii="Arial" w:hAnsi="Arial" w:cs="Arial"/>
          <w:sz w:val="22"/>
        </w:rPr>
        <w:t xml:space="preserve"> On the basis of 13 administrations of pembrolizumab and 9 administrations of </w:t>
      </w:r>
      <w:proofErr w:type="spellStart"/>
      <w:r w:rsidR="00180AEF" w:rsidRPr="00675587">
        <w:rPr>
          <w:rFonts w:ascii="Arial" w:hAnsi="Arial" w:cs="Arial"/>
          <w:sz w:val="22"/>
        </w:rPr>
        <w:t>pemetrexed</w:t>
      </w:r>
      <w:proofErr w:type="spellEnd"/>
      <w:r w:rsidR="00180AEF" w:rsidRPr="00675587">
        <w:rPr>
          <w:rFonts w:ascii="Arial" w:hAnsi="Arial" w:cs="Arial"/>
          <w:sz w:val="22"/>
        </w:rPr>
        <w:t xml:space="preserve">, the PSCR (p8) stated that the resulting ICER was </w:t>
      </w:r>
      <w:r w:rsidR="009068DF">
        <w:rPr>
          <w:rFonts w:ascii="Arial" w:hAnsi="Arial" w:cs="Arial"/>
          <w:sz w:val="22"/>
        </w:rPr>
        <w:t xml:space="preserve">$45,000 - $75,000 per </w:t>
      </w:r>
      <w:r w:rsidR="00180AEF" w:rsidRPr="00675587">
        <w:rPr>
          <w:rFonts w:ascii="Arial" w:hAnsi="Arial" w:cs="Arial"/>
          <w:sz w:val="22"/>
        </w:rPr>
        <w:t xml:space="preserve">QALY. </w:t>
      </w:r>
      <w:r w:rsidR="00305EF5" w:rsidRPr="00675587">
        <w:rPr>
          <w:rFonts w:ascii="Arial" w:hAnsi="Arial" w:cs="Arial"/>
          <w:sz w:val="22"/>
        </w:rPr>
        <w:t>However, v</w:t>
      </w:r>
      <w:r w:rsidR="00180AEF" w:rsidRPr="00675587">
        <w:rPr>
          <w:rFonts w:ascii="Arial" w:hAnsi="Arial" w:cs="Arial"/>
          <w:sz w:val="22"/>
        </w:rPr>
        <w:t xml:space="preserve">erification of the updated assumptions indicated that the resulting ICER was </w:t>
      </w:r>
      <w:r w:rsidR="009068DF">
        <w:rPr>
          <w:rFonts w:ascii="Arial" w:hAnsi="Arial" w:cs="Arial"/>
          <w:sz w:val="22"/>
        </w:rPr>
        <w:t xml:space="preserve">$45,000 - $75,000 per </w:t>
      </w:r>
      <w:r w:rsidR="00180AEF" w:rsidRPr="00675587">
        <w:rPr>
          <w:rFonts w:ascii="Arial" w:hAnsi="Arial" w:cs="Arial"/>
          <w:sz w:val="22"/>
        </w:rPr>
        <w:t>QALY.</w:t>
      </w:r>
      <w:bookmarkStart w:id="41" w:name="_Toc461627096"/>
    </w:p>
    <w:p w:rsidR="001C3866" w:rsidRPr="001C3866" w:rsidRDefault="001C3866" w:rsidP="00E75277">
      <w:pPr>
        <w:pStyle w:val="ListParagraph"/>
        <w:ind w:left="0" w:firstLine="0"/>
        <w:rPr>
          <w:rFonts w:ascii="Arial" w:hAnsi="Arial" w:cs="Arial"/>
          <w:sz w:val="22"/>
          <w:szCs w:val="22"/>
        </w:rPr>
      </w:pPr>
    </w:p>
    <w:p w:rsidR="00524F60" w:rsidRPr="00524F60" w:rsidRDefault="001C3866" w:rsidP="009C3A29">
      <w:pPr>
        <w:pStyle w:val="ListParagraph"/>
        <w:numPr>
          <w:ilvl w:val="1"/>
          <w:numId w:val="3"/>
        </w:numPr>
        <w:ind w:left="720"/>
        <w:rPr>
          <w:rFonts w:ascii="Arial" w:hAnsi="Arial" w:cs="Arial"/>
          <w:sz w:val="22"/>
          <w:szCs w:val="22"/>
        </w:rPr>
      </w:pPr>
      <w:r>
        <w:rPr>
          <w:rFonts w:ascii="Arial" w:hAnsi="Arial" w:cs="Arial"/>
          <w:sz w:val="22"/>
        </w:rPr>
        <w:t>The PBAC noted that the PSCR changed variables in the economic model</w:t>
      </w:r>
      <w:r w:rsidR="00CE29D4">
        <w:rPr>
          <w:rFonts w:ascii="Arial" w:hAnsi="Arial" w:cs="Arial"/>
          <w:sz w:val="22"/>
        </w:rPr>
        <w:t xml:space="preserve"> and offered a price reduction for pembrolizumab</w:t>
      </w:r>
      <w:r>
        <w:rPr>
          <w:rFonts w:ascii="Arial" w:hAnsi="Arial" w:cs="Arial"/>
          <w:sz w:val="22"/>
        </w:rPr>
        <w:t>, which resulted in a</w:t>
      </w:r>
      <w:r w:rsidR="00E75277">
        <w:rPr>
          <w:rFonts w:ascii="Arial" w:hAnsi="Arial" w:cs="Arial"/>
          <w:sz w:val="22"/>
        </w:rPr>
        <w:t xml:space="preserve"> </w:t>
      </w:r>
      <w:r w:rsidR="00F314D1">
        <w:rPr>
          <w:rFonts w:ascii="Arial" w:hAnsi="Arial" w:cs="Arial"/>
          <w:sz w:val="22"/>
        </w:rPr>
        <w:t>new verified</w:t>
      </w:r>
      <w:r w:rsidR="006134AD">
        <w:rPr>
          <w:rFonts w:ascii="Arial" w:hAnsi="Arial" w:cs="Arial"/>
          <w:sz w:val="22"/>
        </w:rPr>
        <w:t xml:space="preserve"> base case</w:t>
      </w:r>
      <w:r>
        <w:rPr>
          <w:rFonts w:ascii="Arial" w:hAnsi="Arial" w:cs="Arial"/>
          <w:sz w:val="22"/>
        </w:rPr>
        <w:t xml:space="preserve"> ICER of </w:t>
      </w:r>
      <w:r w:rsidR="007A4DD4">
        <w:rPr>
          <w:rFonts w:ascii="Arial" w:hAnsi="Arial" w:cs="Arial"/>
          <w:sz w:val="22"/>
        </w:rPr>
        <w:t xml:space="preserve">$45,000 - $75,000 per </w:t>
      </w:r>
      <w:r w:rsidRPr="00675587">
        <w:rPr>
          <w:rFonts w:ascii="Arial" w:hAnsi="Arial" w:cs="Arial"/>
          <w:sz w:val="22"/>
        </w:rPr>
        <w:t>QALY</w:t>
      </w:r>
      <w:r w:rsidR="00CE29D4">
        <w:rPr>
          <w:rFonts w:ascii="Arial" w:hAnsi="Arial" w:cs="Arial"/>
          <w:sz w:val="22"/>
        </w:rPr>
        <w:t xml:space="preserve">. </w:t>
      </w:r>
      <w:r w:rsidR="00524F60">
        <w:rPr>
          <w:rFonts w:ascii="Arial" w:hAnsi="Arial" w:cs="Arial"/>
          <w:sz w:val="22"/>
        </w:rPr>
        <w:t xml:space="preserve">The PBAC </w:t>
      </w:r>
      <w:r w:rsidR="0014629D">
        <w:rPr>
          <w:rFonts w:ascii="Arial" w:hAnsi="Arial" w:cs="Arial"/>
          <w:sz w:val="22"/>
        </w:rPr>
        <w:t>acknowledged</w:t>
      </w:r>
      <w:r w:rsidR="00524F60">
        <w:rPr>
          <w:rFonts w:ascii="Arial" w:hAnsi="Arial" w:cs="Arial"/>
          <w:sz w:val="22"/>
        </w:rPr>
        <w:t xml:space="preserve"> that the results of the economic evaluation and sensitivity analyses, with some re-specification made by the evaluation, were not revised to reflect the changes from the PSCR. </w:t>
      </w:r>
      <w:r w:rsidR="0014629D">
        <w:rPr>
          <w:rFonts w:ascii="Arial" w:hAnsi="Arial" w:cs="Arial"/>
          <w:sz w:val="22"/>
        </w:rPr>
        <w:t>However, t</w:t>
      </w:r>
      <w:r w:rsidR="00524F60">
        <w:rPr>
          <w:rFonts w:ascii="Arial" w:hAnsi="Arial" w:cs="Arial"/>
          <w:sz w:val="22"/>
        </w:rPr>
        <w:t xml:space="preserve">he PBAC considered that the changes introduced by the PSCR had a minor difference on the ICER and </w:t>
      </w:r>
      <w:r w:rsidR="00D138AC">
        <w:rPr>
          <w:rFonts w:ascii="Arial" w:hAnsi="Arial" w:cs="Arial"/>
          <w:sz w:val="22"/>
        </w:rPr>
        <w:t xml:space="preserve">so also </w:t>
      </w:r>
      <w:r w:rsidR="00524F60">
        <w:rPr>
          <w:rFonts w:ascii="Arial" w:hAnsi="Arial" w:cs="Arial"/>
          <w:sz w:val="22"/>
        </w:rPr>
        <w:t>refer</w:t>
      </w:r>
      <w:r w:rsidR="00D138AC">
        <w:rPr>
          <w:rFonts w:ascii="Arial" w:hAnsi="Arial" w:cs="Arial"/>
          <w:sz w:val="22"/>
        </w:rPr>
        <w:t>red</w:t>
      </w:r>
      <w:r w:rsidR="00524F60">
        <w:rPr>
          <w:rFonts w:ascii="Arial" w:hAnsi="Arial" w:cs="Arial"/>
          <w:sz w:val="22"/>
        </w:rPr>
        <w:t xml:space="preserve"> to the </w:t>
      </w:r>
      <w:r w:rsidR="00D138AC">
        <w:rPr>
          <w:rFonts w:ascii="Arial" w:hAnsi="Arial" w:cs="Arial"/>
          <w:sz w:val="22"/>
        </w:rPr>
        <w:t xml:space="preserve">sensitivity analyses </w:t>
      </w:r>
      <w:r w:rsidR="00524F60">
        <w:rPr>
          <w:rFonts w:ascii="Arial" w:hAnsi="Arial" w:cs="Arial"/>
          <w:sz w:val="22"/>
        </w:rPr>
        <w:t>presented by the commentary</w:t>
      </w:r>
      <w:r w:rsidR="00E75277">
        <w:rPr>
          <w:rFonts w:ascii="Arial" w:hAnsi="Arial" w:cs="Arial"/>
          <w:sz w:val="22"/>
        </w:rPr>
        <w:t xml:space="preserve"> </w:t>
      </w:r>
      <w:r w:rsidR="00D138AC">
        <w:rPr>
          <w:rFonts w:ascii="Arial" w:hAnsi="Arial" w:cs="Arial"/>
          <w:sz w:val="22"/>
        </w:rPr>
        <w:t xml:space="preserve">around its base case of </w:t>
      </w:r>
      <w:r w:rsidR="00E75277">
        <w:rPr>
          <w:rFonts w:ascii="Arial" w:hAnsi="Arial" w:cs="Arial"/>
          <w:sz w:val="22"/>
        </w:rPr>
        <w:t>(</w:t>
      </w:r>
      <w:r w:rsidR="007A4DD4">
        <w:rPr>
          <w:rFonts w:ascii="Arial" w:hAnsi="Arial" w:cs="Arial"/>
          <w:sz w:val="22"/>
        </w:rPr>
        <w:t xml:space="preserve">$45,000 - $75,000 per </w:t>
      </w:r>
      <w:r w:rsidR="00E75277">
        <w:rPr>
          <w:rFonts w:ascii="Arial" w:hAnsi="Arial" w:cs="Arial"/>
          <w:sz w:val="22"/>
        </w:rPr>
        <w:t>QALY)</w:t>
      </w:r>
      <w:r w:rsidR="00524F60">
        <w:rPr>
          <w:rFonts w:ascii="Arial" w:hAnsi="Arial" w:cs="Arial"/>
          <w:sz w:val="22"/>
        </w:rPr>
        <w:t xml:space="preserve">. The PBAC therefore </w:t>
      </w:r>
      <w:r w:rsidR="0014629D">
        <w:rPr>
          <w:rFonts w:ascii="Arial" w:hAnsi="Arial" w:cs="Arial"/>
          <w:sz w:val="22"/>
        </w:rPr>
        <w:t>acknowledge</w:t>
      </w:r>
      <w:r w:rsidR="00E75277">
        <w:rPr>
          <w:rFonts w:ascii="Arial" w:hAnsi="Arial" w:cs="Arial"/>
          <w:sz w:val="22"/>
        </w:rPr>
        <w:t>d</w:t>
      </w:r>
      <w:r w:rsidR="00524F60">
        <w:rPr>
          <w:rFonts w:ascii="Arial" w:hAnsi="Arial" w:cs="Arial"/>
          <w:sz w:val="22"/>
        </w:rPr>
        <w:t xml:space="preserve"> that its reference to the below figures do not reflect the changes from the PSCR, but considered that this did not impact on its overall decision making.</w:t>
      </w:r>
    </w:p>
    <w:p w:rsidR="00524F60" w:rsidRDefault="00524F60" w:rsidP="00E75277">
      <w:pPr>
        <w:pStyle w:val="ListParagraph"/>
        <w:ind w:left="0" w:firstLine="0"/>
        <w:rPr>
          <w:rFonts w:ascii="Arial" w:hAnsi="Arial" w:cs="Arial"/>
          <w:sz w:val="22"/>
        </w:rPr>
      </w:pPr>
    </w:p>
    <w:p w:rsidR="001C3866" w:rsidRPr="00675587" w:rsidRDefault="0014629D" w:rsidP="009C3A29">
      <w:pPr>
        <w:pStyle w:val="ListParagraph"/>
        <w:numPr>
          <w:ilvl w:val="1"/>
          <w:numId w:val="3"/>
        </w:numPr>
        <w:ind w:left="720"/>
        <w:rPr>
          <w:rFonts w:ascii="Arial" w:hAnsi="Arial" w:cs="Arial"/>
          <w:sz w:val="22"/>
          <w:szCs w:val="22"/>
        </w:rPr>
      </w:pPr>
      <w:r w:rsidRPr="00E24D22">
        <w:rPr>
          <w:rFonts w:ascii="Arial" w:hAnsi="Arial" w:cs="Arial"/>
          <w:sz w:val="22"/>
        </w:rPr>
        <w:t>The PBAC noted that the base case ICER</w:t>
      </w:r>
      <w:r w:rsidR="00D138AC" w:rsidRPr="00E24D22">
        <w:rPr>
          <w:rFonts w:ascii="Arial" w:hAnsi="Arial" w:cs="Arial"/>
          <w:sz w:val="22"/>
        </w:rPr>
        <w:t>s</w:t>
      </w:r>
      <w:r w:rsidRPr="00E24D22">
        <w:rPr>
          <w:rFonts w:ascii="Arial" w:hAnsi="Arial" w:cs="Arial"/>
          <w:sz w:val="22"/>
        </w:rPr>
        <w:t xml:space="preserve"> presented by the submission </w:t>
      </w:r>
      <w:r w:rsidR="00D138AC" w:rsidRPr="00E24D22">
        <w:rPr>
          <w:rFonts w:ascii="Arial" w:hAnsi="Arial" w:cs="Arial"/>
          <w:sz w:val="22"/>
        </w:rPr>
        <w:t xml:space="preserve">and the commentary </w:t>
      </w:r>
      <w:r w:rsidRPr="00E24D22">
        <w:rPr>
          <w:rFonts w:ascii="Arial" w:hAnsi="Arial" w:cs="Arial"/>
          <w:sz w:val="22"/>
        </w:rPr>
        <w:t>w</w:t>
      </w:r>
      <w:r w:rsidR="00D138AC" w:rsidRPr="00E24D22">
        <w:rPr>
          <w:rFonts w:ascii="Arial" w:hAnsi="Arial" w:cs="Arial"/>
          <w:sz w:val="22"/>
        </w:rPr>
        <w:t>ere</w:t>
      </w:r>
      <w:r w:rsidRPr="00E24D22">
        <w:rPr>
          <w:rFonts w:ascii="Arial" w:hAnsi="Arial" w:cs="Arial"/>
          <w:sz w:val="22"/>
        </w:rPr>
        <w:t xml:space="preserve"> based on the </w:t>
      </w:r>
      <w:r w:rsidR="00D138AC" w:rsidRPr="00E24D22">
        <w:rPr>
          <w:rFonts w:ascii="Arial" w:hAnsi="Arial" w:cs="Arial"/>
          <w:sz w:val="22"/>
        </w:rPr>
        <w:t xml:space="preserve">requested </w:t>
      </w:r>
      <w:r w:rsidRPr="00E24D22">
        <w:rPr>
          <w:rFonts w:ascii="Arial" w:hAnsi="Arial" w:cs="Arial"/>
          <w:sz w:val="22"/>
        </w:rPr>
        <w:t>TPS ≥50% subgroup of patients receiving pembrolizumab</w:t>
      </w:r>
      <w:r w:rsidR="007C0C99" w:rsidRPr="00E24D22">
        <w:rPr>
          <w:rFonts w:ascii="Arial" w:hAnsi="Arial" w:cs="Arial"/>
          <w:sz w:val="22"/>
        </w:rPr>
        <w:t xml:space="preserve">. </w:t>
      </w:r>
      <w:r w:rsidR="004720F1">
        <w:rPr>
          <w:rFonts w:ascii="Arial" w:hAnsi="Arial" w:cs="Arial"/>
          <w:sz w:val="22"/>
        </w:rPr>
        <w:t xml:space="preserve">Given the unresolved issues with using PD-L1 expression as a biomarker, </w:t>
      </w:r>
      <w:r w:rsidR="007C0C99">
        <w:rPr>
          <w:rFonts w:ascii="Arial" w:hAnsi="Arial" w:cs="Arial"/>
          <w:sz w:val="22"/>
        </w:rPr>
        <w:t xml:space="preserve">the PBAC </w:t>
      </w:r>
      <w:r w:rsidR="004720F1">
        <w:rPr>
          <w:rFonts w:ascii="Arial" w:hAnsi="Arial" w:cs="Arial"/>
          <w:sz w:val="22"/>
        </w:rPr>
        <w:t xml:space="preserve">considered it important </w:t>
      </w:r>
      <w:r w:rsidRPr="006F3965">
        <w:rPr>
          <w:rFonts w:ascii="Arial" w:hAnsi="Arial" w:cs="Arial"/>
          <w:sz w:val="22"/>
        </w:rPr>
        <w:t>that th</w:t>
      </w:r>
      <w:r w:rsidR="00D138AC" w:rsidRPr="006F3965">
        <w:rPr>
          <w:rFonts w:ascii="Arial" w:hAnsi="Arial" w:cs="Arial"/>
          <w:sz w:val="22"/>
        </w:rPr>
        <w:t xml:space="preserve">e </w:t>
      </w:r>
      <w:r w:rsidR="007C0C99" w:rsidRPr="006F3965">
        <w:rPr>
          <w:rFonts w:ascii="Arial" w:hAnsi="Arial" w:cs="Arial"/>
          <w:sz w:val="22"/>
        </w:rPr>
        <w:t xml:space="preserve">ICER </w:t>
      </w:r>
      <w:r w:rsidRPr="006F3965">
        <w:rPr>
          <w:rFonts w:ascii="Arial" w:hAnsi="Arial" w:cs="Arial"/>
          <w:sz w:val="22"/>
        </w:rPr>
        <w:t xml:space="preserve">would increase </w:t>
      </w:r>
      <w:r w:rsidR="008300D9" w:rsidRPr="006F3965">
        <w:rPr>
          <w:rFonts w:ascii="Arial" w:hAnsi="Arial" w:cs="Arial"/>
          <w:sz w:val="22"/>
        </w:rPr>
        <w:t xml:space="preserve">from </w:t>
      </w:r>
      <w:r w:rsidR="007A4DD4">
        <w:rPr>
          <w:rFonts w:ascii="Arial" w:hAnsi="Arial" w:cs="Arial"/>
          <w:sz w:val="22"/>
        </w:rPr>
        <w:t xml:space="preserve">$45,000 - $75,000 per </w:t>
      </w:r>
      <w:r w:rsidR="008300D9" w:rsidRPr="006F3965">
        <w:rPr>
          <w:rFonts w:ascii="Arial" w:hAnsi="Arial" w:cs="Arial"/>
          <w:sz w:val="22"/>
        </w:rPr>
        <w:t xml:space="preserve">QALY to </w:t>
      </w:r>
      <w:r w:rsidR="007A4DD4">
        <w:rPr>
          <w:rFonts w:ascii="Arial" w:hAnsi="Arial" w:cs="Arial"/>
          <w:sz w:val="22"/>
        </w:rPr>
        <w:t xml:space="preserve">$75,000 - $105,000 per </w:t>
      </w:r>
      <w:r w:rsidR="008300D9" w:rsidRPr="006F3965">
        <w:rPr>
          <w:rFonts w:ascii="Arial" w:hAnsi="Arial" w:cs="Arial"/>
          <w:sz w:val="22"/>
        </w:rPr>
        <w:t xml:space="preserve">QALY </w:t>
      </w:r>
      <w:r w:rsidRPr="006F3965">
        <w:rPr>
          <w:rFonts w:ascii="Arial" w:hAnsi="Arial" w:cs="Arial"/>
          <w:sz w:val="22"/>
        </w:rPr>
        <w:t>if all PD-L1 positive patients (TPS ≥1%) were eligible to receive treatment</w:t>
      </w:r>
      <w:r w:rsidR="004720F1">
        <w:rPr>
          <w:rFonts w:ascii="Arial" w:hAnsi="Arial" w:cs="Arial"/>
          <w:sz w:val="22"/>
        </w:rPr>
        <w:t xml:space="preserve">, and would likely increase further if PD-L1 negative patients were also eligible to receive </w:t>
      </w:r>
      <w:r w:rsidR="00AF7548">
        <w:rPr>
          <w:rFonts w:ascii="Arial" w:hAnsi="Arial" w:cs="Arial"/>
          <w:sz w:val="22"/>
        </w:rPr>
        <w:t>pembrolizumab</w:t>
      </w:r>
      <w:r w:rsidRPr="006F3965">
        <w:rPr>
          <w:rFonts w:ascii="Arial" w:hAnsi="Arial" w:cs="Arial"/>
          <w:sz w:val="22"/>
        </w:rPr>
        <w:t>.</w:t>
      </w:r>
    </w:p>
    <w:p w:rsidR="00305EF5" w:rsidRPr="00675587" w:rsidRDefault="00305EF5" w:rsidP="00305EF5">
      <w:pPr>
        <w:pStyle w:val="ListParagraph"/>
        <w:ind w:left="0" w:firstLine="0"/>
        <w:rPr>
          <w:rFonts w:ascii="Arial" w:hAnsi="Arial" w:cs="Arial"/>
          <w:sz w:val="22"/>
        </w:rPr>
      </w:pPr>
    </w:p>
    <w:p w:rsidR="0014359C" w:rsidRDefault="0014359C" w:rsidP="00305EF5">
      <w:pPr>
        <w:pStyle w:val="ListParagraph"/>
        <w:ind w:left="0" w:firstLine="0"/>
        <w:rPr>
          <w:rFonts w:ascii="Arial" w:hAnsi="Arial" w:cs="Arial"/>
          <w:i/>
          <w:sz w:val="22"/>
          <w:szCs w:val="22"/>
        </w:rPr>
      </w:pPr>
      <w:r w:rsidRPr="00EB2A52">
        <w:rPr>
          <w:rFonts w:ascii="Arial" w:hAnsi="Arial" w:cs="Arial"/>
          <w:b/>
          <w:bCs/>
          <w:i/>
          <w:sz w:val="22"/>
          <w:szCs w:val="22"/>
          <w:lang w:eastAsia="en-AU"/>
        </w:rPr>
        <w:t>Drug cost/patient/course:</w:t>
      </w:r>
      <w:r w:rsidRPr="00EB2A52">
        <w:rPr>
          <w:rFonts w:ascii="Arial" w:hAnsi="Arial" w:cs="Arial"/>
          <w:i/>
          <w:sz w:val="22"/>
          <w:szCs w:val="22"/>
        </w:rPr>
        <w:t xml:space="preserve"> $</w:t>
      </w:r>
      <w:r w:rsidR="00153EAE">
        <w:rPr>
          <w:rFonts w:ascii="Arial" w:hAnsi="Arial" w:cs="Arial"/>
          <w:i/>
          <w:noProof/>
          <w:color w:val="000000"/>
          <w:sz w:val="22"/>
          <w:szCs w:val="22"/>
          <w:highlight w:val="black"/>
        </w:rPr>
        <w:t>''''''''''''''''</w:t>
      </w:r>
      <w:r w:rsidR="00305EF5" w:rsidRPr="00EB2A52">
        <w:rPr>
          <w:rFonts w:ascii="Arial" w:hAnsi="Arial" w:cs="Arial"/>
          <w:i/>
          <w:sz w:val="22"/>
          <w:szCs w:val="22"/>
        </w:rPr>
        <w:t xml:space="preserve"> </w:t>
      </w:r>
      <w:r w:rsidR="00305EF5" w:rsidRPr="00EB2A52">
        <w:rPr>
          <w:rFonts w:ascii="Arial" w:hAnsi="Arial" w:cs="Arial"/>
          <w:i/>
          <w:sz w:val="22"/>
        </w:rPr>
        <w:t>(revised: $</w:t>
      </w:r>
      <w:r w:rsidR="00153EAE">
        <w:rPr>
          <w:rFonts w:ascii="Arial" w:hAnsi="Arial" w:cs="Arial"/>
          <w:i/>
          <w:noProof/>
          <w:color w:val="000000"/>
          <w:sz w:val="22"/>
          <w:highlight w:val="black"/>
        </w:rPr>
        <w:t>'''''''''''''''''</w:t>
      </w:r>
      <w:r w:rsidR="00305EF5" w:rsidRPr="00EB2A52">
        <w:rPr>
          <w:rFonts w:ascii="Arial" w:hAnsi="Arial" w:cs="Arial"/>
          <w:i/>
          <w:sz w:val="22"/>
        </w:rPr>
        <w:t>)</w:t>
      </w:r>
    </w:p>
    <w:p w:rsidR="00305EF5" w:rsidRPr="00480330" w:rsidRDefault="00305EF5" w:rsidP="00305EF5">
      <w:pPr>
        <w:pStyle w:val="ListParagraph"/>
        <w:ind w:left="0" w:firstLine="0"/>
        <w:rPr>
          <w:rFonts w:ascii="Arial" w:hAnsi="Arial" w:cs="Arial"/>
          <w:i/>
          <w:sz w:val="22"/>
          <w:szCs w:val="22"/>
        </w:rPr>
      </w:pPr>
    </w:p>
    <w:p w:rsidR="0014359C" w:rsidRPr="009015FA" w:rsidRDefault="0014359C" w:rsidP="009C3A29">
      <w:pPr>
        <w:pStyle w:val="ListParagraph"/>
        <w:numPr>
          <w:ilvl w:val="1"/>
          <w:numId w:val="3"/>
        </w:numPr>
        <w:ind w:left="720"/>
        <w:rPr>
          <w:rFonts w:ascii="Arial" w:hAnsi="Arial" w:cs="Arial"/>
          <w:sz w:val="22"/>
        </w:rPr>
      </w:pPr>
      <w:r w:rsidRPr="009015FA">
        <w:rPr>
          <w:rFonts w:ascii="Arial" w:hAnsi="Arial" w:cs="Arial"/>
          <w:sz w:val="22"/>
        </w:rPr>
        <w:t>The submission estimated that the cost per patient per treatment cour</w:t>
      </w:r>
      <w:r w:rsidR="0007303D">
        <w:rPr>
          <w:rFonts w:ascii="Arial" w:hAnsi="Arial" w:cs="Arial"/>
          <w:sz w:val="22"/>
        </w:rPr>
        <w:t>se was $</w:t>
      </w:r>
      <w:r w:rsidR="00153EAE">
        <w:rPr>
          <w:rFonts w:ascii="Arial" w:hAnsi="Arial" w:cs="Arial"/>
          <w:noProof/>
          <w:color w:val="000000"/>
          <w:sz w:val="22"/>
          <w:highlight w:val="black"/>
        </w:rPr>
        <w:t>'''''''''''''''''</w:t>
      </w:r>
      <w:r w:rsidR="0007303D">
        <w:rPr>
          <w:rFonts w:ascii="Arial" w:hAnsi="Arial" w:cs="Arial"/>
          <w:sz w:val="22"/>
        </w:rPr>
        <w:t xml:space="preserve"> (</w:t>
      </w:r>
      <w:r w:rsidR="0007303D" w:rsidRPr="0007303D">
        <w:rPr>
          <w:rFonts w:ascii="Arial" w:hAnsi="Arial" w:cs="Arial"/>
          <w:i/>
          <w:sz w:val="22"/>
        </w:rPr>
        <w:t>revised: $</w:t>
      </w:r>
      <w:r w:rsidR="00153EAE">
        <w:rPr>
          <w:rFonts w:ascii="Arial" w:hAnsi="Arial" w:cs="Arial"/>
          <w:i/>
          <w:noProof/>
          <w:color w:val="000000"/>
          <w:sz w:val="22"/>
          <w:highlight w:val="black"/>
        </w:rPr>
        <w:t>'''''''''''''''</w:t>
      </w:r>
      <w:r w:rsidRPr="009015FA">
        <w:rPr>
          <w:rFonts w:ascii="Arial" w:hAnsi="Arial" w:cs="Arial"/>
          <w:sz w:val="22"/>
        </w:rPr>
        <w:t>)</w:t>
      </w:r>
      <w:r w:rsidRPr="009015FA">
        <w:rPr>
          <w:rStyle w:val="FootnoteReference"/>
          <w:rFonts w:ascii="Arial" w:hAnsi="Arial" w:cs="Arial"/>
          <w:sz w:val="22"/>
        </w:rPr>
        <w:footnoteReference w:id="7"/>
      </w:r>
      <w:r w:rsidRPr="009015FA">
        <w:rPr>
          <w:rFonts w:ascii="Arial" w:hAnsi="Arial" w:cs="Arial"/>
          <w:sz w:val="22"/>
        </w:rPr>
        <w:t>. The average cost per administra</w:t>
      </w:r>
      <w:r w:rsidR="0007303D">
        <w:rPr>
          <w:rFonts w:ascii="Arial" w:hAnsi="Arial" w:cs="Arial"/>
          <w:sz w:val="22"/>
        </w:rPr>
        <w:t>tion was $</w:t>
      </w:r>
      <w:r w:rsidR="00153EAE">
        <w:rPr>
          <w:rFonts w:ascii="Arial" w:hAnsi="Arial" w:cs="Arial"/>
          <w:noProof/>
          <w:color w:val="000000"/>
          <w:sz w:val="22"/>
          <w:highlight w:val="black"/>
        </w:rPr>
        <w:t>'''''''''''''</w:t>
      </w:r>
      <w:r w:rsidR="0007303D">
        <w:rPr>
          <w:rFonts w:ascii="Arial" w:hAnsi="Arial" w:cs="Arial"/>
          <w:sz w:val="22"/>
        </w:rPr>
        <w:t xml:space="preserve"> (</w:t>
      </w:r>
      <w:r w:rsidR="0007303D" w:rsidRPr="0007303D">
        <w:rPr>
          <w:rFonts w:ascii="Arial" w:hAnsi="Arial" w:cs="Arial"/>
          <w:i/>
          <w:sz w:val="22"/>
        </w:rPr>
        <w:t>revised: $</w:t>
      </w:r>
      <w:r w:rsidR="00153EAE">
        <w:rPr>
          <w:rFonts w:ascii="Arial" w:hAnsi="Arial" w:cs="Arial"/>
          <w:i/>
          <w:noProof/>
          <w:color w:val="000000"/>
          <w:sz w:val="22"/>
          <w:highlight w:val="black"/>
        </w:rPr>
        <w:t>'''''''''''''</w:t>
      </w:r>
      <w:r w:rsidRPr="009015FA">
        <w:rPr>
          <w:rFonts w:ascii="Arial" w:hAnsi="Arial" w:cs="Arial"/>
          <w:sz w:val="22"/>
        </w:rPr>
        <w:t>)</w:t>
      </w:r>
      <w:r w:rsidRPr="009015FA">
        <w:rPr>
          <w:rStyle w:val="FootnoteReference"/>
          <w:rFonts w:ascii="Arial" w:hAnsi="Arial" w:cs="Arial"/>
          <w:sz w:val="22"/>
        </w:rPr>
        <w:footnoteReference w:id="8"/>
      </w:r>
      <w:r w:rsidRPr="009015FA">
        <w:rPr>
          <w:rFonts w:ascii="Arial" w:hAnsi="Arial" w:cs="Arial"/>
          <w:sz w:val="22"/>
        </w:rPr>
        <w:t>, which was based on an average number of 3.34 vials per patient (including wastage) per administration. Each patient was assumed to have an average of 9.04 administrations</w:t>
      </w:r>
      <w:r w:rsidR="0007303D">
        <w:rPr>
          <w:rFonts w:ascii="Arial" w:hAnsi="Arial" w:cs="Arial"/>
          <w:sz w:val="22"/>
        </w:rPr>
        <w:t xml:space="preserve"> </w:t>
      </w:r>
      <w:r w:rsidR="0007303D" w:rsidRPr="00883A35">
        <w:rPr>
          <w:rFonts w:ascii="Arial" w:hAnsi="Arial" w:cs="Arial"/>
          <w:sz w:val="22"/>
        </w:rPr>
        <w:t>(updated to 13.0 in the PSCR)</w:t>
      </w:r>
      <w:r w:rsidR="00883A35">
        <w:rPr>
          <w:rFonts w:ascii="Arial" w:hAnsi="Arial" w:cs="Arial"/>
          <w:sz w:val="22"/>
        </w:rPr>
        <w:t xml:space="preserve">, </w:t>
      </w:r>
      <w:r w:rsidRPr="009015FA">
        <w:rPr>
          <w:rFonts w:ascii="Arial" w:hAnsi="Arial" w:cs="Arial"/>
          <w:sz w:val="22"/>
        </w:rPr>
        <w:t>given every three weeks</w:t>
      </w:r>
      <w:r w:rsidR="00883A35">
        <w:rPr>
          <w:rFonts w:ascii="Arial" w:hAnsi="Arial" w:cs="Arial"/>
          <w:sz w:val="22"/>
        </w:rPr>
        <w:t>,</w:t>
      </w:r>
      <w:r w:rsidRPr="009015FA">
        <w:rPr>
          <w:rFonts w:ascii="Arial" w:hAnsi="Arial" w:cs="Arial"/>
          <w:sz w:val="22"/>
        </w:rPr>
        <w:t xml:space="preserve"> per treatment course, based on the truncated average treat</w:t>
      </w:r>
      <w:r w:rsidR="00480330">
        <w:rPr>
          <w:rFonts w:ascii="Arial" w:hAnsi="Arial" w:cs="Arial"/>
          <w:sz w:val="22"/>
        </w:rPr>
        <w:t>ment cycles in the KN-010 trial.</w:t>
      </w:r>
      <w:r w:rsidRPr="009015FA">
        <w:rPr>
          <w:rFonts w:ascii="Arial" w:hAnsi="Arial" w:cs="Arial"/>
          <w:sz w:val="22"/>
        </w:rPr>
        <w:t xml:space="preserve"> Continuing treatment until progression of disease would increase this estimate.</w:t>
      </w:r>
    </w:p>
    <w:p w:rsidR="0014359C" w:rsidRPr="009015FA" w:rsidRDefault="0014359C" w:rsidP="0014359C">
      <w:pPr>
        <w:pStyle w:val="ListParagraph"/>
        <w:ind w:left="0" w:firstLine="0"/>
        <w:rPr>
          <w:rFonts w:ascii="Arial" w:hAnsi="Arial" w:cs="Arial"/>
          <w:sz w:val="22"/>
        </w:rPr>
      </w:pPr>
    </w:p>
    <w:p w:rsidR="0014359C" w:rsidRPr="00675587" w:rsidRDefault="0014359C" w:rsidP="009C3A29">
      <w:pPr>
        <w:pStyle w:val="ListParagraph"/>
        <w:numPr>
          <w:ilvl w:val="1"/>
          <w:numId w:val="3"/>
        </w:numPr>
        <w:ind w:left="720"/>
        <w:rPr>
          <w:rFonts w:ascii="Arial" w:hAnsi="Arial" w:cs="Arial"/>
          <w:sz w:val="22"/>
        </w:rPr>
      </w:pPr>
      <w:r w:rsidRPr="00675587">
        <w:rPr>
          <w:rFonts w:ascii="Arial" w:hAnsi="Arial" w:cs="Arial"/>
          <w:sz w:val="22"/>
        </w:rPr>
        <w:t>Comparator treatment cost per patient per course was $754 (revised: $757)</w:t>
      </w:r>
      <w:r w:rsidRPr="00675587">
        <w:rPr>
          <w:rStyle w:val="FootnoteReference"/>
          <w:rFonts w:ascii="Arial" w:hAnsi="Arial" w:cs="Arial"/>
          <w:sz w:val="22"/>
        </w:rPr>
        <w:footnoteReference w:id="9"/>
      </w:r>
      <w:r w:rsidRPr="00675587">
        <w:rPr>
          <w:rFonts w:ascii="Arial" w:hAnsi="Arial" w:cs="Arial"/>
          <w:sz w:val="22"/>
        </w:rPr>
        <w:t xml:space="preserve"> for </w:t>
      </w:r>
      <w:proofErr w:type="spellStart"/>
      <w:r w:rsidRPr="00675587">
        <w:rPr>
          <w:rFonts w:ascii="Arial" w:hAnsi="Arial" w:cs="Arial"/>
          <w:sz w:val="22"/>
        </w:rPr>
        <w:t>docetaxel</w:t>
      </w:r>
      <w:proofErr w:type="spellEnd"/>
      <w:r w:rsidR="0007303D" w:rsidRPr="00675587">
        <w:rPr>
          <w:rFonts w:ascii="Arial" w:hAnsi="Arial" w:cs="Arial"/>
          <w:sz w:val="22"/>
        </w:rPr>
        <w:t xml:space="preserve"> based on 4.78 treatment cycles (as per KN-010), assuming 7.29 20 mg </w:t>
      </w:r>
      <w:proofErr w:type="spellStart"/>
      <w:r w:rsidR="0007303D" w:rsidRPr="00675587">
        <w:rPr>
          <w:rFonts w:ascii="Arial" w:hAnsi="Arial" w:cs="Arial"/>
          <w:sz w:val="22"/>
        </w:rPr>
        <w:t>docetaxel</w:t>
      </w:r>
      <w:proofErr w:type="spellEnd"/>
      <w:r w:rsidR="0007303D" w:rsidRPr="00675587">
        <w:rPr>
          <w:rFonts w:ascii="Arial" w:hAnsi="Arial" w:cs="Arial"/>
          <w:sz w:val="22"/>
        </w:rPr>
        <w:t xml:space="preserve"> vials, and $14,996 (revised: $28,062</w:t>
      </w:r>
      <w:r w:rsidRPr="00675587">
        <w:rPr>
          <w:rFonts w:ascii="Arial" w:hAnsi="Arial" w:cs="Arial"/>
          <w:sz w:val="22"/>
        </w:rPr>
        <w:t>)</w:t>
      </w:r>
      <w:r w:rsidRPr="00675587">
        <w:rPr>
          <w:rStyle w:val="FootnoteReference"/>
          <w:rFonts w:ascii="Arial" w:hAnsi="Arial" w:cs="Arial"/>
          <w:sz w:val="22"/>
        </w:rPr>
        <w:footnoteReference w:id="10"/>
      </w:r>
      <w:r w:rsidRPr="00675587">
        <w:rPr>
          <w:rFonts w:ascii="Arial" w:hAnsi="Arial" w:cs="Arial"/>
          <w:sz w:val="22"/>
        </w:rPr>
        <w:t xml:space="preserve"> for </w:t>
      </w:r>
      <w:proofErr w:type="spellStart"/>
      <w:r w:rsidRPr="00675587">
        <w:rPr>
          <w:rFonts w:ascii="Arial" w:hAnsi="Arial" w:cs="Arial"/>
          <w:sz w:val="22"/>
        </w:rPr>
        <w:t>pemetrexed</w:t>
      </w:r>
      <w:proofErr w:type="spellEnd"/>
      <w:r w:rsidRPr="00675587">
        <w:rPr>
          <w:rFonts w:ascii="Arial" w:hAnsi="Arial" w:cs="Arial"/>
          <w:sz w:val="22"/>
        </w:rPr>
        <w:t xml:space="preserve">, </w:t>
      </w:r>
      <w:r w:rsidR="0007303D" w:rsidRPr="00675587">
        <w:rPr>
          <w:rFonts w:ascii="Arial" w:hAnsi="Arial" w:cs="Arial"/>
          <w:sz w:val="22"/>
        </w:rPr>
        <w:t xml:space="preserve">assuming 4.78 treatment cycles (updated to 9.0 in the PSCR) of </w:t>
      </w:r>
      <w:r w:rsidRPr="00675587">
        <w:rPr>
          <w:rFonts w:ascii="Arial" w:hAnsi="Arial" w:cs="Arial"/>
          <w:sz w:val="22"/>
        </w:rPr>
        <w:t>9.55 100</w:t>
      </w:r>
      <w:r w:rsidR="00480330" w:rsidRPr="00675587">
        <w:rPr>
          <w:rFonts w:ascii="Arial" w:hAnsi="Arial" w:cs="Arial"/>
          <w:sz w:val="22"/>
        </w:rPr>
        <w:t> </w:t>
      </w:r>
      <w:r w:rsidRPr="00675587">
        <w:rPr>
          <w:rFonts w:ascii="Arial" w:hAnsi="Arial" w:cs="Arial"/>
          <w:sz w:val="22"/>
        </w:rPr>
        <w:t xml:space="preserve">mg </w:t>
      </w:r>
      <w:proofErr w:type="spellStart"/>
      <w:r w:rsidRPr="00675587">
        <w:rPr>
          <w:rFonts w:ascii="Arial" w:hAnsi="Arial" w:cs="Arial"/>
          <w:sz w:val="22"/>
        </w:rPr>
        <w:t>pemetrexed</w:t>
      </w:r>
      <w:proofErr w:type="spellEnd"/>
      <w:r w:rsidRPr="00675587">
        <w:rPr>
          <w:rFonts w:ascii="Arial" w:hAnsi="Arial" w:cs="Arial"/>
          <w:sz w:val="22"/>
        </w:rPr>
        <w:t xml:space="preserve"> vials (including wastage) per cycle.</w:t>
      </w:r>
    </w:p>
    <w:p w:rsidR="0095055D" w:rsidRPr="00AC1A54" w:rsidRDefault="0095055D" w:rsidP="0014359C">
      <w:pPr>
        <w:pStyle w:val="Heading2"/>
        <w:keepNext w:val="0"/>
        <w:ind w:left="0" w:firstLine="0"/>
        <w:rPr>
          <w:rFonts w:ascii="Arial" w:hAnsi="Arial" w:cs="Arial"/>
          <w:b/>
          <w:sz w:val="22"/>
          <w:szCs w:val="22"/>
        </w:rPr>
      </w:pPr>
      <w:r w:rsidRPr="00AC1A54">
        <w:rPr>
          <w:rFonts w:ascii="Arial" w:hAnsi="Arial" w:cs="Arial"/>
          <w:b/>
          <w:sz w:val="22"/>
          <w:szCs w:val="22"/>
        </w:rPr>
        <w:t>Estimated extent of use and financial implications</w:t>
      </w:r>
      <w:bookmarkEnd w:id="40"/>
      <w:bookmarkEnd w:id="41"/>
    </w:p>
    <w:p w:rsidR="0014359C" w:rsidRPr="00AC1A54" w:rsidRDefault="0095055D" w:rsidP="009C3A29">
      <w:pPr>
        <w:pStyle w:val="ListParagraph"/>
        <w:numPr>
          <w:ilvl w:val="1"/>
          <w:numId w:val="3"/>
        </w:numPr>
        <w:ind w:left="720"/>
        <w:rPr>
          <w:rFonts w:ascii="Arial" w:hAnsi="Arial" w:cs="Arial"/>
          <w:sz w:val="22"/>
          <w:lang w:val="en-US"/>
        </w:rPr>
      </w:pPr>
      <w:r w:rsidRPr="00AC1A54">
        <w:rPr>
          <w:rFonts w:ascii="Arial" w:hAnsi="Arial" w:cs="Arial"/>
          <w:sz w:val="22"/>
          <w:lang w:val="en-US"/>
        </w:rPr>
        <w:t xml:space="preserve">This submission </w:t>
      </w:r>
      <w:r w:rsidR="009C18CE" w:rsidRPr="00AC1A54">
        <w:rPr>
          <w:rFonts w:ascii="Arial" w:hAnsi="Arial" w:cs="Arial"/>
          <w:sz w:val="22"/>
          <w:lang w:val="en-US"/>
        </w:rPr>
        <w:t>was not</w:t>
      </w:r>
      <w:r w:rsidRPr="00AC1A54">
        <w:rPr>
          <w:rFonts w:ascii="Arial" w:hAnsi="Arial" w:cs="Arial"/>
          <w:sz w:val="22"/>
          <w:lang w:val="en-US"/>
        </w:rPr>
        <w:t xml:space="preserve"> considered by DUSC.</w:t>
      </w:r>
    </w:p>
    <w:p w:rsidR="0095055D" w:rsidRPr="00AC1A54" w:rsidRDefault="0095055D" w:rsidP="00480330">
      <w:pPr>
        <w:pStyle w:val="ListParagraph"/>
        <w:ind w:left="0" w:firstLine="0"/>
        <w:rPr>
          <w:rFonts w:ascii="Arial" w:hAnsi="Arial" w:cs="Arial"/>
          <w:sz w:val="22"/>
          <w:lang w:val="en-US"/>
        </w:rPr>
      </w:pPr>
    </w:p>
    <w:p w:rsidR="0095055D" w:rsidRPr="009015FA" w:rsidRDefault="0095055D" w:rsidP="009C3A29">
      <w:pPr>
        <w:pStyle w:val="ListParagraph"/>
        <w:numPr>
          <w:ilvl w:val="1"/>
          <w:numId w:val="3"/>
        </w:numPr>
        <w:ind w:left="720"/>
        <w:rPr>
          <w:rFonts w:ascii="Arial" w:hAnsi="Arial" w:cs="Arial"/>
          <w:sz w:val="22"/>
        </w:rPr>
      </w:pPr>
      <w:r w:rsidRPr="00AC1A54">
        <w:rPr>
          <w:rFonts w:ascii="Arial" w:hAnsi="Arial" w:cs="Arial"/>
          <w:sz w:val="22"/>
          <w:lang w:val="en-US"/>
        </w:rPr>
        <w:t>An</w:t>
      </w:r>
      <w:r w:rsidRPr="009015FA">
        <w:rPr>
          <w:rFonts w:ascii="Arial" w:hAnsi="Arial" w:cs="Arial"/>
          <w:sz w:val="22"/>
          <w:lang w:val="en-US"/>
        </w:rPr>
        <w:t xml:space="preserve"> </w:t>
      </w:r>
      <w:r w:rsidRPr="009015FA">
        <w:rPr>
          <w:rFonts w:ascii="Arial" w:hAnsi="Arial" w:cs="Arial"/>
          <w:sz w:val="22"/>
        </w:rPr>
        <w:t>epidemiological</w:t>
      </w:r>
      <w:r w:rsidRPr="009015FA">
        <w:rPr>
          <w:rFonts w:ascii="Arial" w:hAnsi="Arial" w:cs="Arial"/>
          <w:sz w:val="22"/>
          <w:lang w:val="en-US"/>
        </w:rPr>
        <w:t xml:space="preserve"> approach was used in the submission to estimate the number of patients eligible for PD-L1 testing and pembrolizumab treatment each year, over a five-year period. This was based on data presented in the sponsor-commissioned </w:t>
      </w:r>
      <w:proofErr w:type="spellStart"/>
      <w:r w:rsidRPr="009015FA">
        <w:rPr>
          <w:rFonts w:ascii="Arial" w:hAnsi="Arial" w:cs="Arial"/>
          <w:sz w:val="22"/>
          <w:lang w:val="en-US"/>
        </w:rPr>
        <w:t>ONCOSight</w:t>
      </w:r>
      <w:proofErr w:type="spellEnd"/>
      <w:r w:rsidRPr="009015FA">
        <w:rPr>
          <w:rFonts w:ascii="Arial" w:hAnsi="Arial" w:cs="Arial"/>
          <w:sz w:val="22"/>
          <w:lang w:val="en-US"/>
        </w:rPr>
        <w:t xml:space="preserve"> report that estimated </w:t>
      </w:r>
      <w:r w:rsidRPr="009015FA">
        <w:rPr>
          <w:rFonts w:ascii="Arial" w:hAnsi="Arial" w:cs="Arial"/>
          <w:sz w:val="22"/>
        </w:rPr>
        <w:t xml:space="preserve">the number of Stage IIIB/IV NSCLC patients treated with first-line therapy. A summary of the approach used in the commissioned report is presented in Table </w:t>
      </w:r>
      <w:r w:rsidR="00956B85" w:rsidRPr="009015FA">
        <w:rPr>
          <w:rFonts w:ascii="Arial" w:hAnsi="Arial" w:cs="Arial"/>
          <w:sz w:val="22"/>
        </w:rPr>
        <w:t>2</w:t>
      </w:r>
      <w:r w:rsidR="006405DD">
        <w:rPr>
          <w:rFonts w:ascii="Arial" w:hAnsi="Arial" w:cs="Arial"/>
          <w:sz w:val="22"/>
        </w:rPr>
        <w:t>3</w:t>
      </w:r>
      <w:r w:rsidR="00956B85" w:rsidRPr="009015FA">
        <w:rPr>
          <w:rFonts w:ascii="Arial" w:hAnsi="Arial" w:cs="Arial"/>
          <w:sz w:val="22"/>
        </w:rPr>
        <w:t>.</w:t>
      </w:r>
      <w:r w:rsidR="00515978">
        <w:rPr>
          <w:rFonts w:ascii="Arial" w:hAnsi="Arial" w:cs="Arial"/>
          <w:sz w:val="22"/>
        </w:rPr>
        <w:t xml:space="preserve"> The redacted table below shows that at year 5 the estimated number of patients treated with pembrolizumab was less than 10,000 per year.</w:t>
      </w:r>
    </w:p>
    <w:p w:rsidR="0095055D" w:rsidRPr="004C7DB6" w:rsidRDefault="0095055D" w:rsidP="00A36DD4">
      <w:pPr>
        <w:rPr>
          <w:rFonts w:ascii="Arial" w:hAnsi="Arial" w:cs="Arial"/>
          <w:sz w:val="22"/>
          <w:szCs w:val="22"/>
        </w:rPr>
      </w:pPr>
    </w:p>
    <w:p w:rsidR="0095055D" w:rsidRPr="005B30C7" w:rsidRDefault="0095055D" w:rsidP="007A4DD4">
      <w:pPr>
        <w:pStyle w:val="TableHeading0"/>
        <w:ind w:left="720"/>
      </w:pPr>
      <w:r w:rsidRPr="00A23F2B">
        <w:t>Table 2</w:t>
      </w:r>
      <w:r w:rsidR="006405DD">
        <w:t>3</w:t>
      </w:r>
      <w:r w:rsidRPr="00A23F2B">
        <w:t xml:space="preserve">: </w:t>
      </w:r>
      <w:r w:rsidR="00B4383C">
        <w:t>Estimated n</w:t>
      </w:r>
      <w:r w:rsidRPr="00A23F2B">
        <w:t xml:space="preserve">umber of patients who </w:t>
      </w:r>
      <w:r w:rsidR="00F7178A">
        <w:t>would be tested and who received</w:t>
      </w:r>
      <w:r w:rsidR="00B4383C">
        <w:t xml:space="preserve"> </w:t>
      </w:r>
      <w:r w:rsidRPr="00A23F2B">
        <w:t>first-line treatment</w:t>
      </w:r>
      <w:r w:rsidR="00F7178A">
        <w:t xml:space="preserve"> in year prior to pembrolizumab listing</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683"/>
        <w:gridCol w:w="708"/>
        <w:gridCol w:w="709"/>
        <w:gridCol w:w="709"/>
        <w:gridCol w:w="709"/>
        <w:gridCol w:w="708"/>
      </w:tblGrid>
      <w:tr w:rsidR="0095055D" w:rsidRPr="00A82ADD" w:rsidTr="007A4DD4">
        <w:trPr>
          <w:tblHeader/>
        </w:trPr>
        <w:tc>
          <w:tcPr>
            <w:tcW w:w="2473" w:type="pct"/>
            <w:tcBorders>
              <w:bottom w:val="single" w:sz="4" w:space="0" w:color="auto"/>
            </w:tcBorders>
            <w:tcMar>
              <w:top w:w="28" w:type="dxa"/>
              <w:left w:w="28" w:type="dxa"/>
              <w:bottom w:w="28" w:type="dxa"/>
              <w:right w:w="28" w:type="dxa"/>
            </w:tcMar>
          </w:tcPr>
          <w:p w:rsidR="0095055D" w:rsidRPr="00A82ADD" w:rsidRDefault="0095055D" w:rsidP="00A36DD4">
            <w:pPr>
              <w:pStyle w:val="TableText0"/>
            </w:pPr>
          </w:p>
        </w:tc>
        <w:tc>
          <w:tcPr>
            <w:tcW w:w="408"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0</w:t>
            </w:r>
          </w:p>
        </w:tc>
        <w:tc>
          <w:tcPr>
            <w:tcW w:w="423"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1</w:t>
            </w:r>
          </w:p>
        </w:tc>
        <w:tc>
          <w:tcPr>
            <w:tcW w:w="424"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2</w:t>
            </w:r>
          </w:p>
        </w:tc>
        <w:tc>
          <w:tcPr>
            <w:tcW w:w="424"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3</w:t>
            </w:r>
          </w:p>
        </w:tc>
        <w:tc>
          <w:tcPr>
            <w:tcW w:w="424"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4</w:t>
            </w:r>
          </w:p>
        </w:tc>
        <w:tc>
          <w:tcPr>
            <w:tcW w:w="423" w:type="pct"/>
            <w:tcBorders>
              <w:bottom w:val="single" w:sz="4" w:space="0" w:color="auto"/>
            </w:tcBorders>
            <w:tcMar>
              <w:top w:w="28" w:type="dxa"/>
              <w:left w:w="28" w:type="dxa"/>
              <w:bottom w:w="28" w:type="dxa"/>
              <w:right w:w="28" w:type="dxa"/>
            </w:tcMar>
          </w:tcPr>
          <w:p w:rsidR="0095055D" w:rsidRPr="007A7A7B" w:rsidRDefault="0095055D" w:rsidP="00A36DD4">
            <w:pPr>
              <w:pStyle w:val="TableText0"/>
              <w:jc w:val="center"/>
              <w:rPr>
                <w:b/>
              </w:rPr>
            </w:pPr>
            <w:r w:rsidRPr="007A7A7B">
              <w:rPr>
                <w:b/>
              </w:rPr>
              <w:t>Year 5</w:t>
            </w:r>
          </w:p>
        </w:tc>
      </w:tr>
      <w:tr w:rsidR="0095055D" w:rsidRPr="00A82ADD" w:rsidTr="007A4DD4">
        <w:tc>
          <w:tcPr>
            <w:tcW w:w="2473" w:type="pct"/>
            <w:tcMar>
              <w:top w:w="28" w:type="dxa"/>
              <w:left w:w="28" w:type="dxa"/>
              <w:bottom w:w="28" w:type="dxa"/>
              <w:right w:w="28" w:type="dxa"/>
            </w:tcMar>
            <w:vAlign w:val="center"/>
          </w:tcPr>
          <w:p w:rsidR="0095055D" w:rsidRPr="007F43DD" w:rsidRDefault="0095055D" w:rsidP="007A4DD4">
            <w:pPr>
              <w:pStyle w:val="TableText0"/>
              <w:jc w:val="left"/>
            </w:pPr>
            <w:r>
              <w:t>No. prevalent Stage IIIB/IV cases</w:t>
            </w:r>
          </w:p>
        </w:tc>
        <w:tc>
          <w:tcPr>
            <w:tcW w:w="408" w:type="pct"/>
            <w:tcMar>
              <w:top w:w="28" w:type="dxa"/>
              <w:left w:w="28" w:type="dxa"/>
              <w:bottom w:w="28" w:type="dxa"/>
              <w:right w:w="28" w:type="dxa"/>
            </w:tcMar>
            <w:vAlign w:val="center"/>
          </w:tcPr>
          <w:p w:rsidR="0095055D" w:rsidRPr="007A7A7B" w:rsidRDefault="0095055D" w:rsidP="007A4DD4">
            <w:pPr>
              <w:pStyle w:val="TableText0"/>
              <w:jc w:val="center"/>
            </w:pPr>
            <w:r w:rsidRPr="007A7A7B">
              <w:t>5,622</w:t>
            </w:r>
          </w:p>
        </w:tc>
        <w:tc>
          <w:tcPr>
            <w:tcW w:w="423" w:type="pct"/>
            <w:tcMar>
              <w:top w:w="28" w:type="dxa"/>
              <w:left w:w="28" w:type="dxa"/>
              <w:bottom w:w="28" w:type="dxa"/>
              <w:right w:w="28" w:type="dxa"/>
            </w:tcMar>
            <w:vAlign w:val="center"/>
          </w:tcPr>
          <w:p w:rsidR="0095055D" w:rsidRPr="007A7A7B" w:rsidRDefault="0095055D" w:rsidP="007A4DD4">
            <w:pPr>
              <w:pStyle w:val="TableText0"/>
              <w:jc w:val="center"/>
            </w:pPr>
            <w:r w:rsidRPr="007A7A7B">
              <w:t>-</w:t>
            </w:r>
          </w:p>
        </w:tc>
        <w:tc>
          <w:tcPr>
            <w:tcW w:w="424" w:type="pct"/>
            <w:tcMar>
              <w:top w:w="28" w:type="dxa"/>
              <w:left w:w="28" w:type="dxa"/>
              <w:bottom w:w="28" w:type="dxa"/>
              <w:right w:w="28" w:type="dxa"/>
            </w:tcMar>
            <w:vAlign w:val="center"/>
          </w:tcPr>
          <w:p w:rsidR="0095055D" w:rsidRPr="007A7A7B" w:rsidRDefault="0095055D" w:rsidP="007A4DD4">
            <w:pPr>
              <w:pStyle w:val="TableText0"/>
              <w:jc w:val="center"/>
            </w:pPr>
            <w:r w:rsidRPr="007A7A7B">
              <w:t>-</w:t>
            </w:r>
          </w:p>
        </w:tc>
        <w:tc>
          <w:tcPr>
            <w:tcW w:w="424" w:type="pct"/>
            <w:tcMar>
              <w:top w:w="28" w:type="dxa"/>
              <w:left w:w="28" w:type="dxa"/>
              <w:bottom w:w="28" w:type="dxa"/>
              <w:right w:w="28" w:type="dxa"/>
            </w:tcMar>
            <w:vAlign w:val="center"/>
          </w:tcPr>
          <w:p w:rsidR="0095055D" w:rsidRPr="007A7A7B" w:rsidRDefault="0095055D" w:rsidP="007A4DD4">
            <w:pPr>
              <w:pStyle w:val="TableText0"/>
              <w:jc w:val="center"/>
            </w:pPr>
            <w:r w:rsidRPr="007A7A7B">
              <w:t>-</w:t>
            </w:r>
          </w:p>
        </w:tc>
        <w:tc>
          <w:tcPr>
            <w:tcW w:w="424" w:type="pct"/>
            <w:tcMar>
              <w:top w:w="28" w:type="dxa"/>
              <w:left w:w="28" w:type="dxa"/>
              <w:bottom w:w="28" w:type="dxa"/>
              <w:right w:w="28" w:type="dxa"/>
            </w:tcMar>
            <w:vAlign w:val="center"/>
          </w:tcPr>
          <w:p w:rsidR="0095055D" w:rsidRPr="007A7A7B" w:rsidRDefault="0095055D" w:rsidP="007A4DD4">
            <w:pPr>
              <w:pStyle w:val="TableText0"/>
              <w:jc w:val="center"/>
            </w:pPr>
            <w:r w:rsidRPr="007A7A7B">
              <w:t>-</w:t>
            </w:r>
          </w:p>
        </w:tc>
        <w:tc>
          <w:tcPr>
            <w:tcW w:w="423" w:type="pct"/>
            <w:tcMar>
              <w:top w:w="28" w:type="dxa"/>
              <w:left w:w="28" w:type="dxa"/>
              <w:bottom w:w="28" w:type="dxa"/>
              <w:right w:w="28" w:type="dxa"/>
            </w:tcMar>
            <w:vAlign w:val="center"/>
          </w:tcPr>
          <w:p w:rsidR="0095055D" w:rsidRPr="007A7A7B" w:rsidRDefault="0095055D" w:rsidP="007A4DD4">
            <w:pPr>
              <w:pStyle w:val="TableText0"/>
              <w:jc w:val="center"/>
            </w:pPr>
            <w:r w:rsidRPr="007A7A7B">
              <w:t>-</w:t>
            </w:r>
          </w:p>
        </w:tc>
      </w:tr>
      <w:tr w:rsidR="0095055D" w:rsidRPr="00A82ADD" w:rsidTr="007A4DD4">
        <w:trPr>
          <w:tblHeader/>
        </w:trPr>
        <w:tc>
          <w:tcPr>
            <w:tcW w:w="2473" w:type="pct"/>
            <w:tcBorders>
              <w:bottom w:val="single" w:sz="4" w:space="0" w:color="auto"/>
            </w:tcBorders>
            <w:tcMar>
              <w:top w:w="28" w:type="dxa"/>
              <w:left w:w="28" w:type="dxa"/>
              <w:bottom w:w="28" w:type="dxa"/>
              <w:right w:w="28" w:type="dxa"/>
            </w:tcMar>
            <w:vAlign w:val="center"/>
          </w:tcPr>
          <w:p w:rsidR="0095055D" w:rsidRPr="00A82ADD" w:rsidRDefault="0095055D" w:rsidP="007A4DD4">
            <w:pPr>
              <w:pStyle w:val="TableText0"/>
              <w:jc w:val="left"/>
            </w:pPr>
            <w:r>
              <w:t>No. incident NSCLC cases</w:t>
            </w:r>
          </w:p>
        </w:tc>
        <w:tc>
          <w:tcPr>
            <w:tcW w:w="408"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10,399</w:t>
            </w:r>
          </w:p>
        </w:tc>
        <w:tc>
          <w:tcPr>
            <w:tcW w:w="423"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10,721</w:t>
            </w:r>
          </w:p>
        </w:tc>
        <w:tc>
          <w:tcPr>
            <w:tcW w:w="424"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11,054</w:t>
            </w:r>
          </w:p>
        </w:tc>
        <w:tc>
          <w:tcPr>
            <w:tcW w:w="424"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11,396</w:t>
            </w:r>
          </w:p>
        </w:tc>
        <w:tc>
          <w:tcPr>
            <w:tcW w:w="424"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11,744</w:t>
            </w:r>
          </w:p>
        </w:tc>
        <w:tc>
          <w:tcPr>
            <w:tcW w:w="423" w:type="pct"/>
            <w:tcBorders>
              <w:bottom w:val="single" w:sz="4" w:space="0" w:color="auto"/>
            </w:tcBorders>
            <w:tcMar>
              <w:top w:w="28" w:type="dxa"/>
              <w:left w:w="28" w:type="dxa"/>
              <w:bottom w:w="28" w:type="dxa"/>
              <w:right w:w="28" w:type="dxa"/>
            </w:tcMar>
            <w:vAlign w:val="center"/>
          </w:tcPr>
          <w:p w:rsidR="0095055D" w:rsidRPr="007A7A7B" w:rsidRDefault="0095055D" w:rsidP="007A4DD4">
            <w:pPr>
              <w:pStyle w:val="TableText0"/>
              <w:jc w:val="center"/>
              <w:rPr>
                <w:b/>
              </w:rPr>
            </w:pPr>
            <w:r w:rsidRPr="007A7A7B">
              <w:t>12,093</w:t>
            </w:r>
          </w:p>
        </w:tc>
      </w:tr>
      <w:tr w:rsidR="00915CB3" w:rsidRPr="00A82ADD" w:rsidTr="007A4DD4">
        <w:tc>
          <w:tcPr>
            <w:tcW w:w="2473" w:type="pct"/>
            <w:tcMar>
              <w:top w:w="28" w:type="dxa"/>
              <w:left w:w="28" w:type="dxa"/>
              <w:bottom w:w="28" w:type="dxa"/>
              <w:right w:w="28" w:type="dxa"/>
            </w:tcMar>
            <w:vAlign w:val="center"/>
          </w:tcPr>
          <w:p w:rsidR="00915CB3" w:rsidRPr="007A7A7B" w:rsidRDefault="00915CB3" w:rsidP="007A4DD4">
            <w:pPr>
              <w:pStyle w:val="TableText0"/>
              <w:keepNext w:val="0"/>
              <w:jc w:val="left"/>
              <w:rPr>
                <w:vertAlign w:val="superscript"/>
              </w:rPr>
            </w:pPr>
            <w:r w:rsidRPr="007F43DD">
              <w:t>No. incident Stage IIIB/IV NSCLC cases</w:t>
            </w:r>
            <w:r>
              <w:t xml:space="preserve"> </w:t>
            </w:r>
            <w:r w:rsidRPr="007A7A7B">
              <w:t>(65%)</w:t>
            </w:r>
            <w:r w:rsidR="007A7A7B" w:rsidRPr="007A7A7B">
              <w:rPr>
                <w:vertAlign w:val="superscript"/>
              </w:rPr>
              <w:t>a</w:t>
            </w:r>
          </w:p>
        </w:tc>
        <w:tc>
          <w:tcPr>
            <w:tcW w:w="408"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6,759</w:t>
            </w:r>
          </w:p>
        </w:tc>
        <w:tc>
          <w:tcPr>
            <w:tcW w:w="423"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6,969</w:t>
            </w:r>
          </w:p>
        </w:tc>
        <w:tc>
          <w:tcPr>
            <w:tcW w:w="424"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7,185</w:t>
            </w:r>
          </w:p>
        </w:tc>
        <w:tc>
          <w:tcPr>
            <w:tcW w:w="424"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7,408</w:t>
            </w:r>
          </w:p>
        </w:tc>
        <w:tc>
          <w:tcPr>
            <w:tcW w:w="424"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7,634</w:t>
            </w:r>
          </w:p>
        </w:tc>
        <w:tc>
          <w:tcPr>
            <w:tcW w:w="423" w:type="pct"/>
            <w:tcMar>
              <w:top w:w="28" w:type="dxa"/>
              <w:left w:w="28" w:type="dxa"/>
              <w:bottom w:w="28" w:type="dxa"/>
              <w:right w:w="28" w:type="dxa"/>
            </w:tcMar>
            <w:vAlign w:val="center"/>
          </w:tcPr>
          <w:p w:rsidR="00915CB3" w:rsidRPr="007A7A7B" w:rsidRDefault="00915CB3" w:rsidP="007A4DD4">
            <w:pPr>
              <w:pStyle w:val="TableText0"/>
              <w:keepNext w:val="0"/>
              <w:jc w:val="center"/>
            </w:pPr>
            <w:r w:rsidRPr="007A7A7B">
              <w:t>7,860</w:t>
            </w:r>
          </w:p>
        </w:tc>
      </w:tr>
      <w:tr w:rsidR="0095055D" w:rsidRPr="00A82ADD" w:rsidTr="007A4DD4">
        <w:tc>
          <w:tcPr>
            <w:tcW w:w="2473" w:type="pct"/>
            <w:tcMar>
              <w:top w:w="28" w:type="dxa"/>
              <w:left w:w="28" w:type="dxa"/>
              <w:bottom w:w="28" w:type="dxa"/>
              <w:right w:w="28" w:type="dxa"/>
            </w:tcMar>
            <w:vAlign w:val="center"/>
          </w:tcPr>
          <w:p w:rsidR="0095055D" w:rsidRDefault="0095055D" w:rsidP="007A4DD4">
            <w:pPr>
              <w:pStyle w:val="TableText0"/>
              <w:keepNext w:val="0"/>
              <w:jc w:val="left"/>
            </w:pPr>
            <w:r w:rsidRPr="007F43DD">
              <w:t xml:space="preserve">No. </w:t>
            </w:r>
            <w:r>
              <w:t xml:space="preserve">earlier </w:t>
            </w:r>
            <w:r w:rsidRPr="007F43DD">
              <w:t>cases that progress to Stage IIIB/IV</w:t>
            </w:r>
          </w:p>
        </w:tc>
        <w:tc>
          <w:tcPr>
            <w:tcW w:w="408"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3,833</w:t>
            </w:r>
          </w:p>
        </w:tc>
        <w:tc>
          <w:tcPr>
            <w:tcW w:w="423"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3,951</w:t>
            </w:r>
          </w:p>
        </w:tc>
        <w:tc>
          <w:tcPr>
            <w:tcW w:w="424"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4,074</w:t>
            </w:r>
          </w:p>
        </w:tc>
        <w:tc>
          <w:tcPr>
            <w:tcW w:w="424"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4,200</w:t>
            </w:r>
          </w:p>
        </w:tc>
        <w:tc>
          <w:tcPr>
            <w:tcW w:w="424"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4,328</w:t>
            </w:r>
          </w:p>
        </w:tc>
        <w:tc>
          <w:tcPr>
            <w:tcW w:w="423" w:type="pct"/>
            <w:tcMar>
              <w:top w:w="28" w:type="dxa"/>
              <w:left w:w="28" w:type="dxa"/>
              <w:bottom w:w="28" w:type="dxa"/>
              <w:right w:w="28" w:type="dxa"/>
            </w:tcMar>
            <w:vAlign w:val="center"/>
          </w:tcPr>
          <w:p w:rsidR="0095055D" w:rsidRPr="007A7A7B" w:rsidRDefault="0095055D" w:rsidP="007A4DD4">
            <w:pPr>
              <w:pStyle w:val="TableText0"/>
              <w:keepNext w:val="0"/>
              <w:jc w:val="center"/>
            </w:pPr>
            <w:r w:rsidRPr="007A7A7B">
              <w:t>4,457</w:t>
            </w:r>
          </w:p>
        </w:tc>
      </w:tr>
      <w:tr w:rsidR="0095055D" w:rsidRPr="00A82ADD" w:rsidTr="007A4DD4">
        <w:tc>
          <w:tcPr>
            <w:tcW w:w="2473" w:type="pct"/>
            <w:tcMar>
              <w:top w:w="28" w:type="dxa"/>
              <w:left w:w="28" w:type="dxa"/>
              <w:bottom w:w="28" w:type="dxa"/>
              <w:right w:w="28" w:type="dxa"/>
            </w:tcMar>
            <w:vAlign w:val="center"/>
          </w:tcPr>
          <w:p w:rsidR="0095055D" w:rsidRDefault="0095055D" w:rsidP="007A4DD4">
            <w:pPr>
              <w:pStyle w:val="TableText0"/>
              <w:keepNext w:val="0"/>
              <w:jc w:val="left"/>
              <w:rPr>
                <w:b/>
              </w:rPr>
            </w:pPr>
            <w:r w:rsidRPr="00310FBB">
              <w:rPr>
                <w:b/>
              </w:rPr>
              <w:t>Total patients uptake PD-L1 testing</w:t>
            </w:r>
            <w:r>
              <w:rPr>
                <w:b/>
              </w:rPr>
              <w:t xml:space="preserve"> (</w:t>
            </w:r>
            <w:r w:rsidRPr="00310FBB">
              <w:rPr>
                <w:b/>
              </w:rPr>
              <w:t xml:space="preserve">prevalent </w:t>
            </w:r>
            <w:r>
              <w:rPr>
                <w:b/>
              </w:rPr>
              <w:t xml:space="preserve">year prior </w:t>
            </w:r>
            <w:r w:rsidRPr="00310FBB">
              <w:rPr>
                <w:b/>
              </w:rPr>
              <w:t xml:space="preserve">+ </w:t>
            </w:r>
            <w:r w:rsidR="00F7178A">
              <w:rPr>
                <w:b/>
              </w:rPr>
              <w:t xml:space="preserve">Stage IIIB/IV </w:t>
            </w:r>
            <w:r w:rsidRPr="00310FBB">
              <w:rPr>
                <w:b/>
              </w:rPr>
              <w:t>incident cases)</w:t>
            </w:r>
          </w:p>
          <w:p w:rsidR="00F7178A" w:rsidRPr="007A7A7B" w:rsidRDefault="00C22E9E" w:rsidP="007A4DD4">
            <w:pPr>
              <w:pStyle w:val="TableText0"/>
              <w:keepNext w:val="0"/>
              <w:jc w:val="left"/>
              <w:rPr>
                <w:b/>
              </w:rPr>
            </w:pPr>
            <w:proofErr w:type="spellStart"/>
            <w:r>
              <w:rPr>
                <w:b/>
              </w:rPr>
              <w:t>Revised</w:t>
            </w:r>
            <w:r w:rsidR="007A7A7B" w:rsidRPr="007A7A7B">
              <w:rPr>
                <w:b/>
                <w:vertAlign w:val="superscript"/>
              </w:rPr>
              <w:t>a</w:t>
            </w:r>
            <w:proofErr w:type="spellEnd"/>
            <w:r w:rsidR="00F7178A" w:rsidRPr="007A7A7B">
              <w:rPr>
                <w:b/>
              </w:rPr>
              <w:t xml:space="preserve"> (prevalent year prior + all incident cases)</w:t>
            </w:r>
          </w:p>
        </w:tc>
        <w:tc>
          <w:tcPr>
            <w:tcW w:w="408" w:type="pct"/>
            <w:tcMar>
              <w:top w:w="28" w:type="dxa"/>
              <w:left w:w="28" w:type="dxa"/>
              <w:bottom w:w="28" w:type="dxa"/>
              <w:right w:w="28" w:type="dxa"/>
            </w:tcMar>
            <w:vAlign w:val="center"/>
          </w:tcPr>
          <w:p w:rsidR="0095055D" w:rsidRPr="007A7A7B" w:rsidRDefault="0095055D" w:rsidP="007A4DD4">
            <w:pPr>
              <w:pStyle w:val="TableText0"/>
              <w:keepNext w:val="0"/>
              <w:jc w:val="center"/>
              <w:rPr>
                <w:b/>
              </w:rPr>
            </w:pPr>
            <w:r w:rsidRPr="007A7A7B">
              <w:rPr>
                <w:b/>
              </w:rPr>
              <w:t>-</w:t>
            </w:r>
          </w:p>
          <w:p w:rsidR="00F7178A" w:rsidRPr="007A7A7B" w:rsidRDefault="00F7178A" w:rsidP="007A4DD4">
            <w:pPr>
              <w:pStyle w:val="TableText0"/>
              <w:keepNext w:val="0"/>
              <w:jc w:val="center"/>
              <w:rPr>
                <w:b/>
              </w:rPr>
            </w:pPr>
          </w:p>
          <w:p w:rsidR="00F7178A" w:rsidRPr="007A7A7B" w:rsidRDefault="00F7178A" w:rsidP="007A4DD4">
            <w:pPr>
              <w:pStyle w:val="TableText0"/>
              <w:keepNext w:val="0"/>
              <w:jc w:val="center"/>
              <w:rPr>
                <w:b/>
              </w:rPr>
            </w:pPr>
            <w:r w:rsidRPr="007A7A7B">
              <w:rPr>
                <w:b/>
              </w:rPr>
              <w:t>-</w:t>
            </w:r>
          </w:p>
        </w:tc>
        <w:tc>
          <w:tcPr>
            <w:tcW w:w="423" w:type="pct"/>
            <w:tcMar>
              <w:top w:w="28" w:type="dxa"/>
              <w:left w:w="28" w:type="dxa"/>
              <w:bottom w:w="28" w:type="dxa"/>
              <w:right w:w="28" w:type="dxa"/>
            </w:tcMar>
            <w:vAlign w:val="center"/>
          </w:tcPr>
          <w:p w:rsidR="0095055D" w:rsidRPr="00153EAE" w:rsidRDefault="00153EAE" w:rsidP="007A4DD4">
            <w:pPr>
              <w:pStyle w:val="TableText0"/>
              <w:keepNext w:val="0"/>
              <w:jc w:val="center"/>
              <w:rPr>
                <w:b/>
                <w:highlight w:val="black"/>
              </w:rPr>
            </w:pPr>
            <w:r>
              <w:rPr>
                <w:b/>
                <w:noProof/>
                <w:color w:val="000000"/>
                <w:highlight w:val="black"/>
              </w:rPr>
              <w:t>''''''''''''</w:t>
            </w:r>
          </w:p>
          <w:p w:rsidR="00F7178A" w:rsidRPr="00153EAE" w:rsidRDefault="00F7178A" w:rsidP="007A4DD4">
            <w:pPr>
              <w:pStyle w:val="TableText0"/>
              <w:keepNext w:val="0"/>
              <w:jc w:val="center"/>
              <w:rPr>
                <w:b/>
              </w:rPr>
            </w:pPr>
          </w:p>
          <w:p w:rsidR="00F7178A" w:rsidRPr="00153EAE" w:rsidRDefault="00153EAE" w:rsidP="007A4DD4">
            <w:pPr>
              <w:pStyle w:val="TableText0"/>
              <w:keepNext w:val="0"/>
              <w:jc w:val="center"/>
              <w:rPr>
                <w:b/>
                <w:highlight w:val="black"/>
              </w:rPr>
            </w:pPr>
            <w:r>
              <w:rPr>
                <w:b/>
                <w:noProof/>
                <w:color w:val="000000"/>
                <w:highlight w:val="black"/>
              </w:rPr>
              <w:t>'''''''''''''</w:t>
            </w:r>
          </w:p>
        </w:tc>
        <w:tc>
          <w:tcPr>
            <w:tcW w:w="424" w:type="pct"/>
            <w:tcMar>
              <w:top w:w="28" w:type="dxa"/>
              <w:left w:w="28" w:type="dxa"/>
              <w:bottom w:w="28" w:type="dxa"/>
              <w:right w:w="28" w:type="dxa"/>
            </w:tcMar>
            <w:vAlign w:val="center"/>
          </w:tcPr>
          <w:p w:rsidR="0095055D" w:rsidRPr="00153EAE" w:rsidRDefault="00153EAE" w:rsidP="007A4DD4">
            <w:pPr>
              <w:pStyle w:val="TableText0"/>
              <w:keepNext w:val="0"/>
              <w:jc w:val="center"/>
              <w:rPr>
                <w:b/>
                <w:highlight w:val="black"/>
              </w:rPr>
            </w:pPr>
            <w:r>
              <w:rPr>
                <w:b/>
                <w:noProof/>
                <w:color w:val="000000"/>
                <w:highlight w:val="black"/>
              </w:rPr>
              <w:t>''''''''''''</w:t>
            </w:r>
          </w:p>
          <w:p w:rsidR="00F7178A" w:rsidRPr="00153EAE" w:rsidRDefault="00F7178A" w:rsidP="007A4DD4">
            <w:pPr>
              <w:pStyle w:val="TableText0"/>
              <w:keepNext w:val="0"/>
              <w:jc w:val="center"/>
              <w:rPr>
                <w:b/>
              </w:rPr>
            </w:pPr>
          </w:p>
          <w:p w:rsidR="00F7178A" w:rsidRPr="00153EAE" w:rsidRDefault="00153EAE" w:rsidP="007A4DD4">
            <w:pPr>
              <w:pStyle w:val="TableText0"/>
              <w:keepNext w:val="0"/>
              <w:jc w:val="center"/>
              <w:rPr>
                <w:b/>
                <w:highlight w:val="black"/>
              </w:rPr>
            </w:pPr>
            <w:r>
              <w:rPr>
                <w:b/>
                <w:noProof/>
                <w:color w:val="000000"/>
                <w:highlight w:val="black"/>
              </w:rPr>
              <w:t>'''''''''''''</w:t>
            </w:r>
          </w:p>
        </w:tc>
        <w:tc>
          <w:tcPr>
            <w:tcW w:w="424" w:type="pct"/>
            <w:tcMar>
              <w:top w:w="28" w:type="dxa"/>
              <w:left w:w="28" w:type="dxa"/>
              <w:bottom w:w="28" w:type="dxa"/>
              <w:right w:w="28" w:type="dxa"/>
            </w:tcMar>
            <w:vAlign w:val="center"/>
          </w:tcPr>
          <w:p w:rsidR="0095055D" w:rsidRPr="00153EAE" w:rsidRDefault="00153EAE" w:rsidP="007A4DD4">
            <w:pPr>
              <w:pStyle w:val="TableText0"/>
              <w:keepNext w:val="0"/>
              <w:jc w:val="center"/>
              <w:rPr>
                <w:b/>
                <w:highlight w:val="black"/>
              </w:rPr>
            </w:pPr>
            <w:r>
              <w:rPr>
                <w:b/>
                <w:noProof/>
                <w:color w:val="000000"/>
                <w:highlight w:val="black"/>
              </w:rPr>
              <w:t>''''''''''''</w:t>
            </w:r>
          </w:p>
          <w:p w:rsidR="00F7178A" w:rsidRPr="00153EAE" w:rsidRDefault="00F7178A" w:rsidP="007A4DD4">
            <w:pPr>
              <w:pStyle w:val="TableText0"/>
              <w:keepNext w:val="0"/>
              <w:jc w:val="center"/>
              <w:rPr>
                <w:b/>
              </w:rPr>
            </w:pPr>
          </w:p>
          <w:p w:rsidR="00F7178A" w:rsidRPr="00153EAE" w:rsidRDefault="00153EAE" w:rsidP="007A4DD4">
            <w:pPr>
              <w:pStyle w:val="TableText0"/>
              <w:keepNext w:val="0"/>
              <w:jc w:val="center"/>
              <w:rPr>
                <w:b/>
                <w:highlight w:val="black"/>
              </w:rPr>
            </w:pPr>
            <w:r>
              <w:rPr>
                <w:b/>
                <w:noProof/>
                <w:color w:val="000000"/>
                <w:highlight w:val="black"/>
              </w:rPr>
              <w:t>'''''''''''''</w:t>
            </w:r>
          </w:p>
        </w:tc>
        <w:tc>
          <w:tcPr>
            <w:tcW w:w="424" w:type="pct"/>
            <w:tcMar>
              <w:top w:w="28" w:type="dxa"/>
              <w:left w:w="28" w:type="dxa"/>
              <w:bottom w:w="28" w:type="dxa"/>
              <w:right w:w="28" w:type="dxa"/>
            </w:tcMar>
            <w:vAlign w:val="center"/>
          </w:tcPr>
          <w:p w:rsidR="0095055D" w:rsidRPr="00153EAE" w:rsidRDefault="00153EAE" w:rsidP="007A4DD4">
            <w:pPr>
              <w:pStyle w:val="TableText0"/>
              <w:keepNext w:val="0"/>
              <w:jc w:val="center"/>
              <w:rPr>
                <w:b/>
                <w:highlight w:val="black"/>
              </w:rPr>
            </w:pPr>
            <w:r>
              <w:rPr>
                <w:b/>
                <w:noProof/>
                <w:color w:val="000000"/>
                <w:highlight w:val="black"/>
              </w:rPr>
              <w:t>'''''''''''</w:t>
            </w:r>
          </w:p>
          <w:p w:rsidR="00F7178A" w:rsidRPr="00153EAE" w:rsidRDefault="00F7178A" w:rsidP="007A4DD4">
            <w:pPr>
              <w:pStyle w:val="TableText0"/>
              <w:keepNext w:val="0"/>
              <w:jc w:val="center"/>
              <w:rPr>
                <w:b/>
              </w:rPr>
            </w:pPr>
          </w:p>
          <w:p w:rsidR="00F7178A" w:rsidRPr="00153EAE" w:rsidRDefault="00153EAE" w:rsidP="007A4DD4">
            <w:pPr>
              <w:pStyle w:val="TableText0"/>
              <w:keepNext w:val="0"/>
              <w:jc w:val="center"/>
              <w:rPr>
                <w:b/>
                <w:highlight w:val="black"/>
              </w:rPr>
            </w:pPr>
            <w:r>
              <w:rPr>
                <w:b/>
                <w:noProof/>
                <w:color w:val="000000"/>
                <w:highlight w:val="black"/>
              </w:rPr>
              <w:t>''''''''''''</w:t>
            </w:r>
          </w:p>
        </w:tc>
        <w:tc>
          <w:tcPr>
            <w:tcW w:w="423" w:type="pct"/>
            <w:tcMar>
              <w:top w:w="28" w:type="dxa"/>
              <w:left w:w="28" w:type="dxa"/>
              <w:bottom w:w="28" w:type="dxa"/>
              <w:right w:w="28" w:type="dxa"/>
            </w:tcMar>
            <w:vAlign w:val="center"/>
          </w:tcPr>
          <w:p w:rsidR="0095055D" w:rsidRPr="00153EAE" w:rsidRDefault="00153EAE" w:rsidP="007A4DD4">
            <w:pPr>
              <w:pStyle w:val="TableText0"/>
              <w:keepNext w:val="0"/>
              <w:jc w:val="center"/>
              <w:rPr>
                <w:b/>
                <w:highlight w:val="black"/>
              </w:rPr>
            </w:pPr>
            <w:r>
              <w:rPr>
                <w:b/>
                <w:noProof/>
                <w:color w:val="000000"/>
                <w:highlight w:val="black"/>
              </w:rPr>
              <w:t>''''''''''</w:t>
            </w:r>
          </w:p>
          <w:p w:rsidR="00F7178A" w:rsidRPr="00153EAE" w:rsidRDefault="00F7178A" w:rsidP="007A4DD4">
            <w:pPr>
              <w:pStyle w:val="TableText0"/>
              <w:keepNext w:val="0"/>
              <w:jc w:val="center"/>
              <w:rPr>
                <w:b/>
              </w:rPr>
            </w:pPr>
          </w:p>
          <w:p w:rsidR="00F7178A" w:rsidRPr="00153EAE" w:rsidRDefault="00153EAE" w:rsidP="007A4DD4">
            <w:pPr>
              <w:pStyle w:val="TableText0"/>
              <w:keepNext w:val="0"/>
              <w:jc w:val="center"/>
              <w:rPr>
                <w:b/>
                <w:highlight w:val="black"/>
              </w:rPr>
            </w:pPr>
            <w:r>
              <w:rPr>
                <w:b/>
                <w:noProof/>
                <w:color w:val="000000"/>
                <w:highlight w:val="black"/>
              </w:rPr>
              <w:t>'''''''''''''</w:t>
            </w:r>
          </w:p>
        </w:tc>
      </w:tr>
      <w:tr w:rsidR="00915CB3" w:rsidRPr="00A82ADD" w:rsidTr="007A4DD4">
        <w:tc>
          <w:tcPr>
            <w:tcW w:w="247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Default="00915CB3" w:rsidP="007A4DD4">
            <w:pPr>
              <w:pStyle w:val="TableText0"/>
              <w:keepNext w:val="0"/>
              <w:jc w:val="left"/>
            </w:pPr>
            <w:r w:rsidRPr="007F43DD">
              <w:t xml:space="preserve">Population eligible for </w:t>
            </w:r>
            <w:r>
              <w:t>1L</w:t>
            </w:r>
            <w:r w:rsidRPr="007F43DD">
              <w:t xml:space="preserve"> treatment</w:t>
            </w:r>
            <w:r>
              <w:t xml:space="preserve"> </w:t>
            </w:r>
            <w:r w:rsidR="007A7A7B">
              <w:rPr>
                <w:vertAlign w:val="superscript"/>
              </w:rPr>
              <w:t>a</w:t>
            </w:r>
            <w:r>
              <w:br/>
              <w:t>(incident + progressed cases)</w:t>
            </w:r>
          </w:p>
        </w:tc>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r>
      <w:tr w:rsidR="00915CB3" w:rsidRPr="00A82ADD" w:rsidTr="007A4DD4">
        <w:tc>
          <w:tcPr>
            <w:tcW w:w="247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7A7A7B" w:rsidRDefault="00915CB3" w:rsidP="007A4DD4">
            <w:pPr>
              <w:pStyle w:val="TableText0"/>
              <w:keepNext w:val="0"/>
              <w:jc w:val="left"/>
              <w:rPr>
                <w:vertAlign w:val="superscript"/>
              </w:rPr>
            </w:pPr>
            <w:r w:rsidRPr="007F43DD">
              <w:t xml:space="preserve">No. that uptake </w:t>
            </w:r>
            <w:r>
              <w:t>1L</w:t>
            </w:r>
            <w:r w:rsidRPr="007F43DD">
              <w:t xml:space="preserve"> treatment</w:t>
            </w:r>
            <w:r>
              <w:t xml:space="preserve"> (</w:t>
            </w:r>
            <w:r w:rsidR="00153EAE">
              <w:rPr>
                <w:noProof/>
                <w:color w:val="000000"/>
                <w:highlight w:val="black"/>
              </w:rPr>
              <w:t>'''''''</w:t>
            </w:r>
            <w:r>
              <w:t>%)</w:t>
            </w:r>
            <w:r w:rsidR="007A7A7B">
              <w:rPr>
                <w:vertAlign w:val="superscript"/>
              </w:rPr>
              <w:t>a</w:t>
            </w:r>
          </w:p>
        </w:tc>
        <w:tc>
          <w:tcPr>
            <w:tcW w:w="4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4"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7A4DD4">
            <w:pPr>
              <w:pStyle w:val="TableText0"/>
              <w:keepNext w:val="0"/>
              <w:jc w:val="center"/>
              <w:rPr>
                <w:highlight w:val="black"/>
              </w:rPr>
            </w:pPr>
            <w:r>
              <w:rPr>
                <w:noProof/>
                <w:color w:val="000000"/>
                <w:highlight w:val="black"/>
              </w:rPr>
              <w:t>'''''''''''''''</w:t>
            </w:r>
          </w:p>
        </w:tc>
      </w:tr>
    </w:tbl>
    <w:p w:rsidR="00952BF9" w:rsidRDefault="007A7A7B" w:rsidP="007A4DD4">
      <w:pPr>
        <w:pStyle w:val="TableFooter"/>
        <w:tabs>
          <w:tab w:val="left" w:pos="709"/>
          <w:tab w:val="left" w:pos="993"/>
        </w:tabs>
        <w:ind w:left="709"/>
      </w:pPr>
      <w:proofErr w:type="spellStart"/>
      <w:proofErr w:type="gramStart"/>
      <w:r w:rsidRPr="00B302B4">
        <w:rPr>
          <w:vertAlign w:val="superscript"/>
        </w:rPr>
        <w:t>a</w:t>
      </w:r>
      <w:proofErr w:type="spellEnd"/>
      <w:proofErr w:type="gramEnd"/>
      <w:r>
        <w:t xml:space="preserve"> </w:t>
      </w:r>
      <w:r w:rsidR="00B302B4">
        <w:t>These e</w:t>
      </w:r>
      <w:r w:rsidR="00952BF9">
        <w:t xml:space="preserve">stimates </w:t>
      </w:r>
      <w:r w:rsidR="00B302B4">
        <w:t xml:space="preserve">were </w:t>
      </w:r>
      <w:r w:rsidR="00952BF9">
        <w:t xml:space="preserve">revised to take into account a 10% increase in the number of patients with Stage IIIB/IV disease at diagnosis (65% </w:t>
      </w:r>
      <w:proofErr w:type="spellStart"/>
      <w:r w:rsidR="00952BF9">
        <w:t>vs</w:t>
      </w:r>
      <w:proofErr w:type="spellEnd"/>
      <w:r w:rsidR="00952BF9">
        <w:t xml:space="preserve"> 55%), per the PSCR (p8 and Table 5, p10).</w:t>
      </w:r>
    </w:p>
    <w:p w:rsidR="0095055D" w:rsidRDefault="0095055D" w:rsidP="007A4DD4">
      <w:pPr>
        <w:pStyle w:val="TableFooter"/>
        <w:tabs>
          <w:tab w:val="left" w:pos="709"/>
          <w:tab w:val="left" w:pos="993"/>
        </w:tabs>
        <w:ind w:left="709"/>
      </w:pPr>
      <w:r>
        <w:t>NSCLC = non-small cell lung cancer</w:t>
      </w:r>
    </w:p>
    <w:p w:rsidR="0095055D" w:rsidRDefault="0095055D" w:rsidP="007A4DD4">
      <w:pPr>
        <w:pStyle w:val="TableFooter"/>
        <w:tabs>
          <w:tab w:val="left" w:pos="709"/>
          <w:tab w:val="left" w:pos="993"/>
        </w:tabs>
        <w:ind w:left="709"/>
      </w:pPr>
      <w:r>
        <w:t xml:space="preserve">Source: </w:t>
      </w:r>
      <w:proofErr w:type="spellStart"/>
      <w:r>
        <w:t>ONCOSight</w:t>
      </w:r>
      <w:proofErr w:type="spellEnd"/>
      <w:r>
        <w:t xml:space="preserve"> report</w:t>
      </w:r>
      <w:r w:rsidR="00B4383C">
        <w:t xml:space="preserve"> (based on the number of patients in the year before pembrolizumab listing)</w:t>
      </w:r>
      <w:r>
        <w:t>, Appendix 30 of the submission.</w:t>
      </w:r>
    </w:p>
    <w:p w:rsidR="0095055D" w:rsidRPr="00B302B4" w:rsidRDefault="0095055D" w:rsidP="00956B85">
      <w:pPr>
        <w:pStyle w:val="ListParagraph"/>
        <w:ind w:left="0" w:firstLine="0"/>
        <w:rPr>
          <w:rFonts w:ascii="Arial" w:hAnsi="Arial" w:cs="Arial"/>
          <w:iCs/>
          <w:sz w:val="22"/>
          <w:szCs w:val="22"/>
          <w:lang w:val="en-US"/>
        </w:rPr>
      </w:pPr>
    </w:p>
    <w:p w:rsidR="0095055D" w:rsidRPr="002C08B2"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Assumptions used to </w:t>
      </w:r>
      <w:r w:rsidR="00B4383C">
        <w:rPr>
          <w:rFonts w:ascii="Arial" w:hAnsi="Arial" w:cs="Arial"/>
          <w:sz w:val="22"/>
        </w:rPr>
        <w:t xml:space="preserve">generate these </w:t>
      </w:r>
      <w:r w:rsidRPr="009015FA">
        <w:rPr>
          <w:rFonts w:ascii="Arial" w:hAnsi="Arial" w:cs="Arial"/>
          <w:sz w:val="22"/>
        </w:rPr>
        <w:t>estimate</w:t>
      </w:r>
      <w:r w:rsidR="00B4383C">
        <w:rPr>
          <w:rFonts w:ascii="Arial" w:hAnsi="Arial" w:cs="Arial"/>
          <w:sz w:val="22"/>
        </w:rPr>
        <w:t>s</w:t>
      </w:r>
      <w:r w:rsidRPr="009015FA">
        <w:rPr>
          <w:rFonts w:ascii="Arial" w:hAnsi="Arial" w:cs="Arial"/>
          <w:sz w:val="22"/>
        </w:rPr>
        <w:t xml:space="preserve"> may not be reasonable as:</w:t>
      </w:r>
    </w:p>
    <w:p w:rsidR="0095055D" w:rsidRPr="009015FA" w:rsidRDefault="0095055D" w:rsidP="009C3A29">
      <w:pPr>
        <w:pStyle w:val="ListParagraph"/>
        <w:numPr>
          <w:ilvl w:val="0"/>
          <w:numId w:val="16"/>
        </w:numPr>
        <w:ind w:left="1134"/>
        <w:rPr>
          <w:rFonts w:ascii="Arial" w:hAnsi="Arial" w:cs="Arial"/>
          <w:sz w:val="22"/>
        </w:rPr>
      </w:pPr>
      <w:r w:rsidRPr="009015FA">
        <w:rPr>
          <w:rFonts w:ascii="Arial" w:hAnsi="Arial" w:cs="Arial"/>
          <w:sz w:val="22"/>
        </w:rPr>
        <w:t>the number of patients who progress to Stage IIIB/IV disease was not adequately described; and</w:t>
      </w:r>
    </w:p>
    <w:p w:rsidR="0095055D" w:rsidRPr="009015FA" w:rsidRDefault="0095055D" w:rsidP="009C3A29">
      <w:pPr>
        <w:pStyle w:val="ListParagraph"/>
        <w:numPr>
          <w:ilvl w:val="0"/>
          <w:numId w:val="16"/>
        </w:numPr>
        <w:ind w:left="1134"/>
        <w:rPr>
          <w:rFonts w:ascii="Arial" w:hAnsi="Arial" w:cs="Arial"/>
          <w:sz w:val="22"/>
        </w:rPr>
      </w:pPr>
      <w:proofErr w:type="gramStart"/>
      <w:r w:rsidRPr="009015FA">
        <w:rPr>
          <w:rFonts w:ascii="Arial" w:hAnsi="Arial" w:cs="Arial"/>
          <w:sz w:val="22"/>
        </w:rPr>
        <w:t>the</w:t>
      </w:r>
      <w:proofErr w:type="gramEnd"/>
      <w:r w:rsidRPr="009015FA">
        <w:rPr>
          <w:rFonts w:ascii="Arial" w:hAnsi="Arial" w:cs="Arial"/>
          <w:sz w:val="22"/>
        </w:rPr>
        <w:t xml:space="preserve"> proportion who take</w:t>
      </w:r>
      <w:r w:rsidR="00900ABC">
        <w:rPr>
          <w:rFonts w:ascii="Arial" w:hAnsi="Arial" w:cs="Arial"/>
          <w:sz w:val="22"/>
        </w:rPr>
        <w:t xml:space="preserve"> up</w:t>
      </w:r>
      <w:r w:rsidRPr="009015FA">
        <w:rPr>
          <w:rFonts w:ascii="Arial" w:hAnsi="Arial" w:cs="Arial"/>
          <w:sz w:val="22"/>
        </w:rPr>
        <w:t xml:space="preserve"> first-line treatment (</w:t>
      </w:r>
      <w:r w:rsidR="00153EAE">
        <w:rPr>
          <w:rFonts w:ascii="Arial" w:hAnsi="Arial" w:cs="Arial"/>
          <w:noProof/>
          <w:color w:val="000000"/>
          <w:sz w:val="22"/>
          <w:highlight w:val="black"/>
        </w:rPr>
        <w:t>''''''</w:t>
      </w:r>
      <w:r w:rsidRPr="009015FA">
        <w:rPr>
          <w:rFonts w:ascii="Arial" w:hAnsi="Arial" w:cs="Arial"/>
          <w:sz w:val="22"/>
        </w:rPr>
        <w:t>%) may be an underestimate, as it was assumed that all patients who progress to Stage IIIB/IV develop Stage IV disease.</w:t>
      </w:r>
    </w:p>
    <w:p w:rsidR="0095055D" w:rsidRPr="009015FA" w:rsidRDefault="0095055D" w:rsidP="00A36DD4">
      <w:pPr>
        <w:rPr>
          <w:rFonts w:ascii="Arial" w:hAnsi="Arial" w:cs="Arial"/>
          <w:sz w:val="22"/>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Of patients treated in the prior year with first-line therapy, </w:t>
      </w:r>
      <w:r w:rsidR="00153EAE">
        <w:rPr>
          <w:rFonts w:ascii="Arial" w:hAnsi="Arial" w:cs="Arial"/>
          <w:noProof/>
          <w:color w:val="000000"/>
          <w:sz w:val="22"/>
          <w:highlight w:val="black"/>
        </w:rPr>
        <w:t>''''''''''''</w:t>
      </w:r>
      <w:r w:rsidRPr="009015FA">
        <w:rPr>
          <w:rFonts w:ascii="Arial" w:hAnsi="Arial" w:cs="Arial"/>
          <w:sz w:val="22"/>
        </w:rPr>
        <w:t>% were estimated to have TPS ≥50% PD-L1 expression, based on the proportion of Australian patients screened for KN-001 and KN-010 who strongly expressed PD-L1 (TPS ≥50%). Of all patients screened for KN-001, the proportion with TPS ≥50% was observed to be higher (</w:t>
      </w:r>
      <w:proofErr w:type="gramStart"/>
      <w:r w:rsidR="00153EAE">
        <w:rPr>
          <w:rFonts w:ascii="Arial" w:hAnsi="Arial" w:cs="Arial"/>
          <w:noProof/>
          <w:color w:val="000000"/>
          <w:sz w:val="22"/>
          <w:highlight w:val="black"/>
        </w:rPr>
        <w:t>''''''''''</w:t>
      </w:r>
      <w:r w:rsidRPr="009015FA">
        <w:rPr>
          <w:rFonts w:ascii="Arial" w:hAnsi="Arial" w:cs="Arial"/>
          <w:sz w:val="22"/>
        </w:rPr>
        <w:t>%</w:t>
      </w:r>
      <w:proofErr w:type="gramEnd"/>
      <w:r w:rsidRPr="009015FA">
        <w:rPr>
          <w:rFonts w:ascii="Arial" w:hAnsi="Arial" w:cs="Arial"/>
          <w:sz w:val="22"/>
        </w:rPr>
        <w:t>). No rationale was provided in the submission as to why prevalence in the Australian population would differ from the more complete dataset. The financial implications are highly sensitive to changes in the prevalence estimate.</w:t>
      </w:r>
    </w:p>
    <w:p w:rsidR="0095055D" w:rsidRPr="009015FA" w:rsidRDefault="0095055D" w:rsidP="00C14058">
      <w:pPr>
        <w:pStyle w:val="ListParagraph"/>
        <w:ind w:left="0" w:firstLine="0"/>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proportion of patients likely to be treated was disaggregated by histology and by line of therapy, as patients with non-squamous histology who have EGFR or ALK mutations would only be eligible for pembrolizumab at third-line. The introduction of pembrolizumab to the market was assumed to increase second- and third-line treatment uptake from </w:t>
      </w:r>
      <w:r w:rsidR="00153EAE">
        <w:rPr>
          <w:rFonts w:ascii="Arial" w:hAnsi="Arial" w:cs="Arial"/>
          <w:noProof/>
          <w:color w:val="000000"/>
          <w:sz w:val="22"/>
          <w:highlight w:val="black"/>
        </w:rPr>
        <w:t>''''''</w:t>
      </w:r>
      <w:r w:rsidRPr="009015FA">
        <w:rPr>
          <w:rFonts w:ascii="Arial" w:hAnsi="Arial" w:cs="Arial"/>
          <w:sz w:val="22"/>
        </w:rPr>
        <w:t xml:space="preserve">% and </w:t>
      </w:r>
      <w:r w:rsidR="00153EAE">
        <w:rPr>
          <w:rFonts w:ascii="Arial" w:hAnsi="Arial" w:cs="Arial"/>
          <w:noProof/>
          <w:color w:val="000000"/>
          <w:sz w:val="22"/>
          <w:highlight w:val="black"/>
        </w:rPr>
        <w:t>''''''</w:t>
      </w:r>
      <w:r w:rsidRPr="009015FA">
        <w:rPr>
          <w:rFonts w:ascii="Arial" w:hAnsi="Arial" w:cs="Arial"/>
          <w:sz w:val="22"/>
        </w:rPr>
        <w:t xml:space="preserve">%, respectively, by </w:t>
      </w:r>
      <w:r w:rsidR="00153EAE">
        <w:rPr>
          <w:rFonts w:ascii="Arial" w:hAnsi="Arial" w:cs="Arial"/>
          <w:noProof/>
          <w:color w:val="000000"/>
          <w:sz w:val="22"/>
          <w:highlight w:val="black"/>
        </w:rPr>
        <w:t>''''</w:t>
      </w:r>
      <w:r w:rsidRPr="009015FA">
        <w:rPr>
          <w:rFonts w:ascii="Arial" w:hAnsi="Arial" w:cs="Arial"/>
          <w:sz w:val="22"/>
        </w:rPr>
        <w:t>% per annum (see Table 2</w:t>
      </w:r>
      <w:r w:rsidR="00900ABC">
        <w:rPr>
          <w:rFonts w:ascii="Arial" w:hAnsi="Arial" w:cs="Arial"/>
          <w:sz w:val="22"/>
        </w:rPr>
        <w:t>2</w:t>
      </w:r>
      <w:r w:rsidRPr="009015FA">
        <w:rPr>
          <w:rFonts w:ascii="Arial" w:hAnsi="Arial" w:cs="Arial"/>
          <w:sz w:val="22"/>
        </w:rPr>
        <w:t>).</w:t>
      </w:r>
    </w:p>
    <w:p w:rsidR="00900ABC" w:rsidRDefault="00900ABC" w:rsidP="00480330">
      <w:pPr>
        <w:pStyle w:val="ListParagraph"/>
        <w:ind w:left="0" w:firstLine="0"/>
        <w:rPr>
          <w:rFonts w:ascii="Arial" w:hAnsi="Arial" w:cs="Arial"/>
          <w:sz w:val="22"/>
        </w:rPr>
      </w:pPr>
    </w:p>
    <w:p w:rsidR="00900ABC" w:rsidRPr="009015FA" w:rsidRDefault="00900ABC" w:rsidP="009C3A29">
      <w:pPr>
        <w:pStyle w:val="ListParagraph"/>
        <w:numPr>
          <w:ilvl w:val="1"/>
          <w:numId w:val="3"/>
        </w:numPr>
        <w:ind w:left="720"/>
        <w:rPr>
          <w:rFonts w:ascii="Arial" w:hAnsi="Arial" w:cs="Arial"/>
          <w:sz w:val="22"/>
        </w:rPr>
      </w:pPr>
      <w:r w:rsidRPr="009015FA">
        <w:rPr>
          <w:rFonts w:ascii="Arial" w:hAnsi="Arial" w:cs="Arial"/>
          <w:sz w:val="22"/>
        </w:rPr>
        <w:t>The submission’s estimates for the number of pembrolizumab prescriptions per year are presented in Table 2</w:t>
      </w:r>
      <w:r w:rsidR="006405DD">
        <w:rPr>
          <w:rFonts w:ascii="Arial" w:hAnsi="Arial" w:cs="Arial"/>
          <w:sz w:val="22"/>
        </w:rPr>
        <w:t>4</w:t>
      </w:r>
      <w:r w:rsidRPr="009015FA">
        <w:rPr>
          <w:rFonts w:ascii="Arial" w:hAnsi="Arial" w:cs="Arial"/>
          <w:sz w:val="22"/>
        </w:rPr>
        <w:t>.</w:t>
      </w:r>
      <w:r w:rsidR="00CF0B71">
        <w:rPr>
          <w:rFonts w:ascii="Arial" w:hAnsi="Arial" w:cs="Arial"/>
          <w:sz w:val="22"/>
        </w:rPr>
        <w:t xml:space="preserve"> The redacted table below shows that at year 5</w:t>
      </w:r>
      <w:r w:rsidR="00C07792">
        <w:rPr>
          <w:rFonts w:ascii="Arial" w:hAnsi="Arial" w:cs="Arial"/>
          <w:sz w:val="22"/>
        </w:rPr>
        <w:t>,</w:t>
      </w:r>
      <w:r w:rsidR="00CF0B71">
        <w:rPr>
          <w:rFonts w:ascii="Arial" w:hAnsi="Arial" w:cs="Arial"/>
          <w:sz w:val="22"/>
        </w:rPr>
        <w:t xml:space="preserve"> the estimated number of patients to uptake pembrolizumab w</w:t>
      </w:r>
      <w:r w:rsidR="008157E1">
        <w:rPr>
          <w:rFonts w:ascii="Arial" w:hAnsi="Arial" w:cs="Arial"/>
          <w:sz w:val="22"/>
        </w:rPr>
        <w:t>ould be</w:t>
      </w:r>
      <w:r w:rsidR="00CF0B71">
        <w:rPr>
          <w:rFonts w:ascii="Arial" w:hAnsi="Arial" w:cs="Arial"/>
          <w:sz w:val="22"/>
        </w:rPr>
        <w:t xml:space="preserve"> less than 10,000 per year.</w:t>
      </w:r>
    </w:p>
    <w:p w:rsidR="0095055D" w:rsidRPr="00B302B4" w:rsidRDefault="0095055D" w:rsidP="00A36DD4">
      <w:pPr>
        <w:rPr>
          <w:rFonts w:ascii="Arial" w:hAnsi="Arial" w:cs="Arial"/>
          <w:sz w:val="22"/>
          <w:szCs w:val="22"/>
        </w:rPr>
      </w:pPr>
    </w:p>
    <w:p w:rsidR="0095055D" w:rsidRPr="004730DC" w:rsidRDefault="0095055D" w:rsidP="00515978">
      <w:pPr>
        <w:pStyle w:val="TableHeading0"/>
        <w:ind w:firstLine="720"/>
        <w:rPr>
          <w:vertAlign w:val="superscript"/>
        </w:rPr>
      </w:pPr>
      <w:r w:rsidRPr="00A23F2B">
        <w:t>Table 2</w:t>
      </w:r>
      <w:r w:rsidR="006405DD">
        <w:t>4</w:t>
      </w:r>
      <w:r w:rsidRPr="00A23F2B">
        <w:t xml:space="preserve">: Number of patients eligible and uptake pembrolizumab, by line of </w:t>
      </w:r>
      <w:proofErr w:type="spellStart"/>
      <w:r w:rsidRPr="00A23F2B">
        <w:t>treatment</w:t>
      </w:r>
      <w:r w:rsidR="004730DC">
        <w:rPr>
          <w:vertAlign w:val="superscript"/>
        </w:rPr>
        <w:t>a</w:t>
      </w:r>
      <w:proofErr w:type="spellEnd"/>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850"/>
        <w:gridCol w:w="851"/>
        <w:gridCol w:w="851"/>
        <w:gridCol w:w="708"/>
        <w:gridCol w:w="850"/>
      </w:tblGrid>
      <w:tr w:rsidR="00515978" w:rsidRPr="004730DC" w:rsidTr="00515978">
        <w:tc>
          <w:tcPr>
            <w:tcW w:w="25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95055D" w:rsidRPr="004730DC" w:rsidRDefault="0095055D" w:rsidP="00A36DD4">
            <w:pPr>
              <w:pStyle w:val="TableText0"/>
              <w:rPr>
                <w:b/>
              </w:rPr>
            </w:pP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jc w:val="center"/>
              <w:rPr>
                <w:b/>
              </w:rPr>
            </w:pPr>
            <w:r w:rsidRPr="004730DC">
              <w:rPr>
                <w:b/>
              </w:rPr>
              <w:t>Year 1</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jc w:val="center"/>
              <w:rPr>
                <w:b/>
              </w:rPr>
            </w:pPr>
            <w:r w:rsidRPr="004730DC">
              <w:rPr>
                <w:b/>
              </w:rPr>
              <w:t>Year 2</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jc w:val="center"/>
              <w:rPr>
                <w:b/>
              </w:rPr>
            </w:pPr>
            <w:r w:rsidRPr="004730DC">
              <w:rPr>
                <w:b/>
              </w:rPr>
              <w:t>Year 3</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jc w:val="center"/>
              <w:rPr>
                <w:b/>
              </w:rPr>
            </w:pPr>
            <w:r w:rsidRPr="004730DC">
              <w:rPr>
                <w:b/>
              </w:rPr>
              <w:t>Year 4</w:t>
            </w: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jc w:val="center"/>
              <w:rPr>
                <w:b/>
              </w:rPr>
            </w:pPr>
            <w:r w:rsidRPr="004730DC">
              <w:rPr>
                <w:b/>
              </w:rPr>
              <w:t>Year 5</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pPr>
            <w:r w:rsidRPr="004730DC">
              <w:t>1L treated patients from previous year</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pPr>
            <w:r w:rsidRPr="004730DC">
              <w:t>No. patients TPS ≥50% (22.2%)</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rPr>
                <w:b/>
              </w:rPr>
            </w:pPr>
            <w:r w:rsidRPr="004730DC">
              <w:rPr>
                <w:b/>
              </w:rPr>
              <w:t>No. with squamous histology eligible for 2L (22.4%)</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r>
      <w:tr w:rsidR="00515978" w:rsidRPr="004730DC" w:rsidTr="00515978">
        <w:tc>
          <w:tcPr>
            <w:tcW w:w="2543" w:type="pct"/>
            <w:tcBorders>
              <w:bottom w:val="single" w:sz="4" w:space="0" w:color="auto"/>
            </w:tcBorders>
            <w:tcMar>
              <w:top w:w="28" w:type="dxa"/>
              <w:left w:w="28" w:type="dxa"/>
              <w:bottom w:w="28" w:type="dxa"/>
              <w:right w:w="28" w:type="dxa"/>
            </w:tcMar>
            <w:vAlign w:val="center"/>
          </w:tcPr>
          <w:p w:rsidR="0095055D" w:rsidRPr="004730DC" w:rsidRDefault="0095055D" w:rsidP="00515978">
            <w:pPr>
              <w:pStyle w:val="TableText0"/>
              <w:keepNext w:val="0"/>
              <w:jc w:val="left"/>
            </w:pPr>
            <w:r w:rsidRPr="004730DC">
              <w:t>% of patients that uptake 2L pembrolizumab</w:t>
            </w:r>
          </w:p>
        </w:tc>
        <w:tc>
          <w:tcPr>
            <w:tcW w:w="508" w:type="pct"/>
            <w:tcBorders>
              <w:bottom w:val="single" w:sz="4" w:space="0" w:color="auto"/>
            </w:tcBorders>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9" w:type="pct"/>
            <w:tcBorders>
              <w:bottom w:val="single" w:sz="4" w:space="0" w:color="auto"/>
            </w:tcBorders>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9" w:type="pct"/>
            <w:tcBorders>
              <w:bottom w:val="single" w:sz="4" w:space="0" w:color="auto"/>
            </w:tcBorders>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423" w:type="pct"/>
            <w:tcBorders>
              <w:bottom w:val="single" w:sz="4" w:space="0" w:color="auto"/>
            </w:tcBorders>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8" w:type="pct"/>
            <w:tcBorders>
              <w:bottom w:val="single" w:sz="4" w:space="0" w:color="auto"/>
            </w:tcBorders>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r>
      <w:tr w:rsidR="00515978" w:rsidRPr="004730DC" w:rsidTr="00515978">
        <w:tc>
          <w:tcPr>
            <w:tcW w:w="2543" w:type="pct"/>
            <w:tcBorders>
              <w:bottom w:val="double" w:sz="4" w:space="0" w:color="auto"/>
            </w:tcBorders>
            <w:tcMar>
              <w:top w:w="28" w:type="dxa"/>
              <w:left w:w="28" w:type="dxa"/>
              <w:bottom w:w="28" w:type="dxa"/>
              <w:right w:w="28" w:type="dxa"/>
            </w:tcMar>
            <w:vAlign w:val="center"/>
          </w:tcPr>
          <w:p w:rsidR="00915CB3" w:rsidRPr="004730DC" w:rsidRDefault="00915CB3" w:rsidP="00515978">
            <w:pPr>
              <w:pStyle w:val="TableText0"/>
              <w:keepNext w:val="0"/>
              <w:jc w:val="left"/>
            </w:pPr>
            <w:r w:rsidRPr="004730DC">
              <w:t>No. patients that uptake 2L pembrolizumab</w:t>
            </w:r>
          </w:p>
        </w:tc>
        <w:tc>
          <w:tcPr>
            <w:tcW w:w="508" w:type="pct"/>
            <w:tcBorders>
              <w:bottom w:val="doub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Borders>
              <w:bottom w:val="doub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Borders>
              <w:bottom w:val="doub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423" w:type="pct"/>
            <w:tcBorders>
              <w:bottom w:val="doub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8" w:type="pct"/>
            <w:tcBorders>
              <w:bottom w:val="doub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pPr>
            <w:r w:rsidRPr="004730DC">
              <w:t>No. with non-squamous histology (77.6%)</w:t>
            </w:r>
          </w:p>
        </w:tc>
        <w:tc>
          <w:tcPr>
            <w:tcW w:w="508" w:type="pct"/>
            <w:tcMar>
              <w:top w:w="28" w:type="dxa"/>
              <w:left w:w="28" w:type="dxa"/>
              <w:bottom w:w="28" w:type="dxa"/>
              <w:right w:w="28" w:type="dxa"/>
            </w:tcMar>
            <w:vAlign w:val="bottom"/>
          </w:tcPr>
          <w:p w:rsidR="00915CB3" w:rsidRPr="00153EAE" w:rsidRDefault="00153EAE" w:rsidP="00515978">
            <w:pPr>
              <w:pStyle w:val="TableText0"/>
              <w:jc w:val="center"/>
              <w:rPr>
                <w:highlight w:val="black"/>
              </w:rPr>
            </w:pPr>
            <w:r>
              <w:rPr>
                <w:noProof/>
                <w:color w:val="000000"/>
                <w:highlight w:val="black"/>
              </w:rPr>
              <w:t>'''''''''''''</w:t>
            </w:r>
          </w:p>
        </w:tc>
        <w:tc>
          <w:tcPr>
            <w:tcW w:w="509" w:type="pct"/>
            <w:tcMar>
              <w:top w:w="28" w:type="dxa"/>
              <w:left w:w="28" w:type="dxa"/>
              <w:bottom w:w="28" w:type="dxa"/>
              <w:right w:w="28" w:type="dxa"/>
            </w:tcMar>
            <w:vAlign w:val="bottom"/>
          </w:tcPr>
          <w:p w:rsidR="00915CB3" w:rsidRPr="00153EAE" w:rsidRDefault="00153EAE" w:rsidP="00515978">
            <w:pPr>
              <w:pStyle w:val="TableText0"/>
              <w:jc w:val="center"/>
              <w:rPr>
                <w:highlight w:val="black"/>
              </w:rPr>
            </w:pPr>
            <w:r>
              <w:rPr>
                <w:noProof/>
                <w:color w:val="000000"/>
                <w:highlight w:val="black"/>
              </w:rPr>
              <w:t>''''''''''''''</w:t>
            </w:r>
          </w:p>
        </w:tc>
        <w:tc>
          <w:tcPr>
            <w:tcW w:w="509" w:type="pct"/>
            <w:tcMar>
              <w:top w:w="28" w:type="dxa"/>
              <w:left w:w="28" w:type="dxa"/>
              <w:bottom w:w="28" w:type="dxa"/>
              <w:right w:w="28" w:type="dxa"/>
            </w:tcMar>
            <w:vAlign w:val="bottom"/>
          </w:tcPr>
          <w:p w:rsidR="00915CB3" w:rsidRPr="00153EAE" w:rsidRDefault="00153EAE" w:rsidP="00515978">
            <w:pPr>
              <w:pStyle w:val="TableText0"/>
              <w:jc w:val="center"/>
              <w:rPr>
                <w:highlight w:val="black"/>
              </w:rPr>
            </w:pPr>
            <w:r>
              <w:rPr>
                <w:noProof/>
                <w:color w:val="000000"/>
                <w:highlight w:val="black"/>
              </w:rPr>
              <w:t>'''''''''''''</w:t>
            </w:r>
          </w:p>
        </w:tc>
        <w:tc>
          <w:tcPr>
            <w:tcW w:w="423" w:type="pct"/>
            <w:tcMar>
              <w:top w:w="28" w:type="dxa"/>
              <w:left w:w="28" w:type="dxa"/>
              <w:bottom w:w="28" w:type="dxa"/>
              <w:right w:w="28" w:type="dxa"/>
            </w:tcMar>
            <w:vAlign w:val="bottom"/>
          </w:tcPr>
          <w:p w:rsidR="00915CB3" w:rsidRPr="00153EAE" w:rsidRDefault="00153EAE" w:rsidP="00515978">
            <w:pPr>
              <w:pStyle w:val="TableText0"/>
              <w:jc w:val="center"/>
              <w:rPr>
                <w:highlight w:val="black"/>
              </w:rPr>
            </w:pPr>
            <w:r>
              <w:rPr>
                <w:noProof/>
                <w:color w:val="000000"/>
                <w:highlight w:val="black"/>
              </w:rPr>
              <w:t>'''''''''''''</w:t>
            </w:r>
          </w:p>
        </w:tc>
        <w:tc>
          <w:tcPr>
            <w:tcW w:w="508" w:type="pct"/>
            <w:tcMar>
              <w:top w:w="28" w:type="dxa"/>
              <w:left w:w="28" w:type="dxa"/>
              <w:bottom w:w="28" w:type="dxa"/>
              <w:right w:w="28" w:type="dxa"/>
            </w:tcMar>
            <w:vAlign w:val="bottom"/>
          </w:tcPr>
          <w:p w:rsidR="00915CB3" w:rsidRPr="00153EAE" w:rsidRDefault="00153EAE" w:rsidP="00515978">
            <w:pPr>
              <w:pStyle w:val="TableText0"/>
              <w:jc w:val="center"/>
              <w:rPr>
                <w:highlight w:val="black"/>
              </w:rPr>
            </w:pPr>
            <w:r>
              <w:rPr>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rPr>
                <w:b/>
              </w:rPr>
            </w:pPr>
            <w:r w:rsidRPr="004730DC">
              <w:rPr>
                <w:b/>
              </w:rPr>
              <w:t>No. with non-squamous histology eligible for 2L (EGFR or ALK M-: 83.5%)</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5055D" w:rsidRPr="004730DC" w:rsidRDefault="0095055D" w:rsidP="00515978">
            <w:pPr>
              <w:pStyle w:val="TableText0"/>
              <w:keepNext w:val="0"/>
              <w:jc w:val="left"/>
            </w:pPr>
            <w:r w:rsidRPr="004730DC">
              <w:t>% of patients that uptake 2L pembrolizumab</w:t>
            </w:r>
          </w:p>
        </w:tc>
        <w:tc>
          <w:tcPr>
            <w:tcW w:w="508" w:type="pct"/>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9" w:type="pct"/>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9" w:type="pct"/>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423" w:type="pct"/>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c>
          <w:tcPr>
            <w:tcW w:w="508" w:type="pct"/>
            <w:tcMar>
              <w:top w:w="28" w:type="dxa"/>
              <w:left w:w="28" w:type="dxa"/>
              <w:bottom w:w="28" w:type="dxa"/>
              <w:right w:w="28" w:type="dxa"/>
            </w:tcMar>
            <w:vAlign w:val="center"/>
          </w:tcPr>
          <w:p w:rsidR="0095055D" w:rsidRPr="004730DC" w:rsidRDefault="00153EAE" w:rsidP="00515978">
            <w:pPr>
              <w:pStyle w:val="TableText0"/>
              <w:jc w:val="center"/>
            </w:pPr>
            <w:r>
              <w:rPr>
                <w:noProof/>
                <w:color w:val="000000"/>
                <w:highlight w:val="black"/>
              </w:rPr>
              <w:t>''''''</w:t>
            </w:r>
            <w:r w:rsidR="0095055D" w:rsidRPr="004730DC">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pPr>
            <w:r w:rsidRPr="004730DC">
              <w:t>No. patients that uptake 2L pembrolizumab</w:t>
            </w:r>
          </w:p>
        </w:tc>
        <w:tc>
          <w:tcPr>
            <w:tcW w:w="508" w:type="pct"/>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r>
      <w:tr w:rsidR="00515978" w:rsidRPr="004730DC" w:rsidTr="00515978">
        <w:tc>
          <w:tcPr>
            <w:tcW w:w="2543" w:type="pct"/>
            <w:tcMar>
              <w:top w:w="28" w:type="dxa"/>
              <w:left w:w="28" w:type="dxa"/>
              <w:bottom w:w="28" w:type="dxa"/>
              <w:right w:w="28" w:type="dxa"/>
            </w:tcMar>
            <w:vAlign w:val="center"/>
          </w:tcPr>
          <w:p w:rsidR="00915CB3" w:rsidRPr="004730DC" w:rsidRDefault="00915CB3" w:rsidP="00515978">
            <w:pPr>
              <w:pStyle w:val="TableText0"/>
              <w:keepNext w:val="0"/>
              <w:jc w:val="left"/>
              <w:rPr>
                <w:b/>
              </w:rPr>
            </w:pPr>
            <w:r w:rsidRPr="004730DC">
              <w:rPr>
                <w:b/>
              </w:rPr>
              <w:t>No. with non-squamous histology eligible for 3L (EGFR or ALK M+: 16.5%)</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423"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8" w:type="pct"/>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r>
      <w:tr w:rsidR="00515978" w:rsidRPr="004730DC" w:rsidTr="00515978">
        <w:tc>
          <w:tcPr>
            <w:tcW w:w="25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95055D" w:rsidP="00515978">
            <w:pPr>
              <w:pStyle w:val="TableText0"/>
              <w:keepNext w:val="0"/>
              <w:jc w:val="left"/>
            </w:pPr>
            <w:r w:rsidRPr="004730DC">
              <w:t>% of patients that uptake 3L pembrolizumab</w:t>
            </w: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153EAE" w:rsidP="00515978">
            <w:pPr>
              <w:pStyle w:val="TableText0"/>
              <w:keepNext w:val="0"/>
              <w:jc w:val="center"/>
            </w:pPr>
            <w:r>
              <w:rPr>
                <w:noProof/>
                <w:color w:val="000000"/>
                <w:highlight w:val="black"/>
              </w:rPr>
              <w:t>''''''</w:t>
            </w:r>
            <w:r w:rsidR="0095055D" w:rsidRPr="004730DC">
              <w:t>%</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153EAE" w:rsidP="00515978">
            <w:pPr>
              <w:pStyle w:val="TableText0"/>
              <w:keepNext w:val="0"/>
              <w:jc w:val="center"/>
            </w:pPr>
            <w:r>
              <w:rPr>
                <w:noProof/>
                <w:color w:val="000000"/>
                <w:highlight w:val="black"/>
              </w:rPr>
              <w:t>'''''</w:t>
            </w:r>
            <w:r w:rsidR="0095055D" w:rsidRPr="004730DC">
              <w:t>%</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153EAE" w:rsidP="00515978">
            <w:pPr>
              <w:pStyle w:val="TableText0"/>
              <w:keepNext w:val="0"/>
              <w:jc w:val="center"/>
            </w:pPr>
            <w:r>
              <w:rPr>
                <w:noProof/>
                <w:color w:val="000000"/>
                <w:highlight w:val="black"/>
              </w:rPr>
              <w:t>'''''</w:t>
            </w:r>
            <w:r w:rsidR="0095055D" w:rsidRPr="004730DC">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153EAE" w:rsidP="00515978">
            <w:pPr>
              <w:pStyle w:val="TableText0"/>
              <w:keepNext w:val="0"/>
              <w:jc w:val="center"/>
            </w:pPr>
            <w:r>
              <w:rPr>
                <w:noProof/>
                <w:color w:val="000000"/>
                <w:highlight w:val="black"/>
              </w:rPr>
              <w:t>''''''</w:t>
            </w:r>
            <w:r w:rsidR="0095055D" w:rsidRPr="004730DC">
              <w:t>%</w:t>
            </w: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5055D" w:rsidRPr="004730DC" w:rsidRDefault="00153EAE" w:rsidP="00515978">
            <w:pPr>
              <w:pStyle w:val="TableText0"/>
              <w:keepNext w:val="0"/>
              <w:jc w:val="center"/>
            </w:pPr>
            <w:r>
              <w:rPr>
                <w:noProof/>
                <w:color w:val="000000"/>
                <w:highlight w:val="black"/>
              </w:rPr>
              <w:t>''''''</w:t>
            </w:r>
            <w:r w:rsidR="0095055D" w:rsidRPr="004730DC">
              <w:t>%</w:t>
            </w:r>
          </w:p>
        </w:tc>
      </w:tr>
      <w:tr w:rsidR="00515978" w:rsidRPr="004730DC" w:rsidTr="00515978">
        <w:tc>
          <w:tcPr>
            <w:tcW w:w="2543"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4730DC" w:rsidRDefault="00915CB3" w:rsidP="00515978">
            <w:pPr>
              <w:pStyle w:val="TableText0"/>
              <w:keepNext w:val="0"/>
              <w:jc w:val="left"/>
            </w:pPr>
            <w:r w:rsidRPr="004730DC">
              <w:t>No. patients that uptake 3L pembrolizumab</w:t>
            </w:r>
          </w:p>
        </w:tc>
        <w:tc>
          <w:tcPr>
            <w:tcW w:w="508"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9"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423"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c>
          <w:tcPr>
            <w:tcW w:w="508" w:type="pct"/>
            <w:tcBorders>
              <w:top w:val="single" w:sz="4" w:space="0" w:color="auto"/>
              <w:left w:val="single" w:sz="4" w:space="0" w:color="auto"/>
              <w:bottom w:val="doub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jc w:val="center"/>
              <w:rPr>
                <w:highlight w:val="black"/>
              </w:rPr>
            </w:pPr>
            <w:r>
              <w:rPr>
                <w:noProof/>
                <w:color w:val="000000"/>
                <w:highlight w:val="black"/>
              </w:rPr>
              <w:t>'''''</w:t>
            </w:r>
          </w:p>
        </w:tc>
      </w:tr>
      <w:tr w:rsidR="00515978" w:rsidRPr="004730DC" w:rsidTr="00515978">
        <w:tc>
          <w:tcPr>
            <w:tcW w:w="2543"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4730DC" w:rsidRDefault="00915CB3" w:rsidP="00515978">
            <w:pPr>
              <w:pStyle w:val="TableText0"/>
              <w:keepNext w:val="0"/>
              <w:jc w:val="left"/>
              <w:rPr>
                <w:b/>
              </w:rPr>
            </w:pPr>
            <w:r w:rsidRPr="004730DC">
              <w:rPr>
                <w:b/>
              </w:rPr>
              <w:t>Total patients who uptake pembrolizumab treatment</w:t>
            </w:r>
          </w:p>
        </w:tc>
        <w:tc>
          <w:tcPr>
            <w:tcW w:w="508"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9"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423"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c>
          <w:tcPr>
            <w:tcW w:w="508" w:type="pct"/>
            <w:tcBorders>
              <w:top w:val="doub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b/>
                <w:highlight w:val="black"/>
              </w:rPr>
            </w:pPr>
            <w:r>
              <w:rPr>
                <w:b/>
                <w:noProof/>
                <w:color w:val="000000"/>
                <w:highlight w:val="black"/>
              </w:rPr>
              <w:t>''''''''''''</w:t>
            </w:r>
          </w:p>
        </w:tc>
      </w:tr>
      <w:tr w:rsidR="00515978" w:rsidRPr="004730DC" w:rsidTr="00515978">
        <w:tc>
          <w:tcPr>
            <w:tcW w:w="254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4730DC" w:rsidRDefault="00915CB3" w:rsidP="00515978">
            <w:pPr>
              <w:pStyle w:val="TableText0"/>
              <w:keepNext w:val="0"/>
              <w:jc w:val="left"/>
            </w:pPr>
            <w:r w:rsidRPr="004730DC">
              <w:t>Total administrations (9.04 per patient)</w:t>
            </w:r>
          </w:p>
          <w:p w:rsidR="00915CB3" w:rsidRPr="004730DC" w:rsidRDefault="00B302B4" w:rsidP="00515978">
            <w:pPr>
              <w:pStyle w:val="TableText0"/>
              <w:keepNext w:val="0"/>
              <w:jc w:val="left"/>
            </w:pPr>
            <w:r>
              <w:t>Revised</w:t>
            </w:r>
            <w:r w:rsidR="00915CB3" w:rsidRPr="004730DC">
              <w:t xml:space="preserve"> total administrations (13.0 per patient)</w:t>
            </w:r>
            <w:r w:rsidRPr="00B302B4">
              <w:rPr>
                <w:vertAlign w:val="superscript"/>
              </w:rPr>
              <w:t>b</w:t>
            </w: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p w:rsidR="00915CB3" w:rsidRPr="00153EAE" w:rsidRDefault="00153EAE" w:rsidP="00515978">
            <w:pPr>
              <w:pStyle w:val="TableText0"/>
              <w:keepNext w:val="0"/>
              <w:jc w:val="center"/>
              <w:rPr>
                <w:highlight w:val="black"/>
              </w:rPr>
            </w:pPr>
            <w:r>
              <w:rPr>
                <w:noProof/>
                <w:color w:val="000000"/>
                <w:highlight w:val="black"/>
              </w:rPr>
              <w:t>''''''''''''''''</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p w:rsidR="00915CB3" w:rsidRPr="00153EAE" w:rsidRDefault="00153EAE" w:rsidP="00515978">
            <w:pPr>
              <w:pStyle w:val="TableText0"/>
              <w:keepNext w:val="0"/>
              <w:jc w:val="center"/>
              <w:rPr>
                <w:highlight w:val="black"/>
              </w:rPr>
            </w:pPr>
            <w:r>
              <w:rPr>
                <w:noProof/>
                <w:color w:val="000000"/>
                <w:highlight w:val="black"/>
              </w:rPr>
              <w:t>''''''''''''''''</w:t>
            </w:r>
          </w:p>
        </w:tc>
        <w:tc>
          <w:tcPr>
            <w:tcW w:w="509"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p w:rsidR="00915CB3" w:rsidRPr="00153EAE" w:rsidRDefault="00153EAE" w:rsidP="00515978">
            <w:pPr>
              <w:pStyle w:val="TableText0"/>
              <w:keepNext w:val="0"/>
              <w:jc w:val="center"/>
              <w:rPr>
                <w:highlight w:val="black"/>
              </w:rPr>
            </w:pPr>
            <w:r>
              <w:rPr>
                <w:noProof/>
                <w:color w:val="000000"/>
                <w:highlight w:val="black"/>
              </w:rPr>
              <w:t>'''''''''''''''''</w:t>
            </w:r>
          </w:p>
        </w:tc>
        <w:tc>
          <w:tcPr>
            <w:tcW w:w="423"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p w:rsidR="00915CB3" w:rsidRPr="00153EAE" w:rsidRDefault="00153EAE" w:rsidP="00515978">
            <w:pPr>
              <w:pStyle w:val="TableText0"/>
              <w:keepNext w:val="0"/>
              <w:jc w:val="center"/>
              <w:rPr>
                <w:highlight w:val="black"/>
              </w:rPr>
            </w:pPr>
            <w:r>
              <w:rPr>
                <w:noProof/>
                <w:color w:val="000000"/>
                <w:highlight w:val="black"/>
              </w:rPr>
              <w:t>'''''''''''''''''</w:t>
            </w:r>
          </w:p>
        </w:tc>
        <w:tc>
          <w:tcPr>
            <w:tcW w:w="50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915CB3" w:rsidRPr="00153EAE" w:rsidRDefault="00153EAE" w:rsidP="00515978">
            <w:pPr>
              <w:pStyle w:val="TableText0"/>
              <w:keepNext w:val="0"/>
              <w:jc w:val="center"/>
              <w:rPr>
                <w:highlight w:val="black"/>
              </w:rPr>
            </w:pPr>
            <w:r>
              <w:rPr>
                <w:noProof/>
                <w:color w:val="000000"/>
                <w:highlight w:val="black"/>
              </w:rPr>
              <w:t>'''''''''''''''</w:t>
            </w:r>
          </w:p>
          <w:p w:rsidR="00915CB3" w:rsidRPr="00153EAE" w:rsidRDefault="00153EAE" w:rsidP="00515978">
            <w:pPr>
              <w:pStyle w:val="TableText0"/>
              <w:keepNext w:val="0"/>
              <w:jc w:val="center"/>
              <w:rPr>
                <w:highlight w:val="black"/>
              </w:rPr>
            </w:pPr>
            <w:r>
              <w:rPr>
                <w:noProof/>
                <w:color w:val="000000"/>
                <w:highlight w:val="black"/>
              </w:rPr>
              <w:t>'''''''''''''''''</w:t>
            </w:r>
          </w:p>
        </w:tc>
      </w:tr>
    </w:tbl>
    <w:p w:rsidR="00952BF9" w:rsidRDefault="004730DC" w:rsidP="00515978">
      <w:pPr>
        <w:pStyle w:val="TableFooter"/>
        <w:ind w:left="709"/>
      </w:pPr>
      <w:proofErr w:type="spellStart"/>
      <w:proofErr w:type="gramStart"/>
      <w:r w:rsidRPr="00B302B4">
        <w:rPr>
          <w:vertAlign w:val="superscript"/>
        </w:rPr>
        <w:t>a</w:t>
      </w:r>
      <w:proofErr w:type="spellEnd"/>
      <w:proofErr w:type="gramEnd"/>
      <w:r>
        <w:t xml:space="preserve"> </w:t>
      </w:r>
      <w:r w:rsidR="00B302B4">
        <w:t>These e</w:t>
      </w:r>
      <w:r w:rsidR="00952BF9">
        <w:t xml:space="preserve">stimates </w:t>
      </w:r>
      <w:r w:rsidR="00B302B4">
        <w:t xml:space="preserve">were </w:t>
      </w:r>
      <w:r w:rsidR="00952BF9">
        <w:t xml:space="preserve">revised to take into account a 10% increase in the number of patients with Stage IIIB/IV disease at diagnosis (65% </w:t>
      </w:r>
      <w:proofErr w:type="spellStart"/>
      <w:r w:rsidR="00952BF9">
        <w:t>vs</w:t>
      </w:r>
      <w:proofErr w:type="spellEnd"/>
      <w:r w:rsidR="00952BF9">
        <w:t xml:space="preserve"> 55%), per the PSCR (p8 and Table 5, p10).</w:t>
      </w:r>
    </w:p>
    <w:p w:rsidR="00B302B4" w:rsidRPr="00B302B4" w:rsidRDefault="00B302B4" w:rsidP="00515978">
      <w:pPr>
        <w:pStyle w:val="TableFooter"/>
        <w:ind w:left="709"/>
        <w:rPr>
          <w:vertAlign w:val="superscript"/>
        </w:rPr>
      </w:pPr>
      <w:proofErr w:type="gramStart"/>
      <w:r w:rsidRPr="00B302B4">
        <w:rPr>
          <w:vertAlign w:val="superscript"/>
        </w:rPr>
        <w:t>b</w:t>
      </w:r>
      <w:proofErr w:type="gramEnd"/>
      <w:r w:rsidRPr="00B302B4">
        <w:t xml:space="preserve"> </w:t>
      </w:r>
      <w:r>
        <w:t>These estimates were also revised to take into account the updated</w:t>
      </w:r>
      <w:r w:rsidR="00C22E9E">
        <w:t xml:space="preserve"> number of</w:t>
      </w:r>
      <w:r>
        <w:t xml:space="preserve"> administrations of pembrolizumab in the PSCR.</w:t>
      </w:r>
    </w:p>
    <w:p w:rsidR="0095055D" w:rsidRDefault="0095055D" w:rsidP="00515978">
      <w:pPr>
        <w:pStyle w:val="TableFooter"/>
        <w:ind w:left="709"/>
      </w:pPr>
      <w:r>
        <w:t>Source: Table E.2-1, pp363-364 of the submission; Table E.2-2, p364 of the submission; Tables E.2-4 and E.2-5, p366 of the submission; and Tables E.2-6 and E.2-7, p368 of the submission; Table E.2-10, p370 of the submission; Table E.2-11, p371 of the submission.</w:t>
      </w:r>
    </w:p>
    <w:p w:rsidR="0095055D" w:rsidRDefault="0095055D" w:rsidP="00515978">
      <w:pPr>
        <w:pStyle w:val="TableFooter"/>
        <w:ind w:left="709"/>
      </w:pPr>
      <w:r>
        <w:t xml:space="preserve">1L = first-line; 2L = second-line; 3L = third-line; </w:t>
      </w:r>
      <w:r w:rsidRPr="00604D82">
        <w:t>ALK</w:t>
      </w:r>
      <w:r>
        <w:t xml:space="preserve"> </w:t>
      </w:r>
      <w:r w:rsidRPr="00604D82">
        <w:t>=</w:t>
      </w:r>
      <w:r>
        <w:t xml:space="preserve"> </w:t>
      </w:r>
      <w:r w:rsidRPr="00604D82">
        <w:t>anaplastic lymphoma kinase; EGFR</w:t>
      </w:r>
      <w:r>
        <w:t xml:space="preserve"> </w:t>
      </w:r>
      <w:r w:rsidRPr="00604D82">
        <w:t>=</w:t>
      </w:r>
      <w:r>
        <w:t xml:space="preserve"> </w:t>
      </w:r>
      <w:r w:rsidRPr="00604D82">
        <w:t xml:space="preserve">epidermal growth factor receptor; </w:t>
      </w:r>
      <w:r>
        <w:t xml:space="preserve">PD-L1 = </w:t>
      </w:r>
      <w:r w:rsidRPr="00604D82">
        <w:t>programmed death-ligand 1</w:t>
      </w:r>
      <w:r>
        <w:t>.</w:t>
      </w:r>
    </w:p>
    <w:p w:rsidR="0095055D" w:rsidRPr="00480330" w:rsidRDefault="0095055D" w:rsidP="00C14058">
      <w:pPr>
        <w:pStyle w:val="ListParagraph"/>
        <w:ind w:left="0" w:firstLine="0"/>
        <w:rPr>
          <w:rFonts w:ascii="Arial" w:hAnsi="Arial" w:cs="Arial"/>
          <w:iCs/>
          <w:sz w:val="22"/>
          <w:szCs w:val="22"/>
          <w:lang w:val="en-US"/>
        </w:rPr>
      </w:pPr>
    </w:p>
    <w:p w:rsidR="0095055D" w:rsidRPr="009015FA" w:rsidRDefault="0095055D" w:rsidP="009C3A29">
      <w:pPr>
        <w:pStyle w:val="ListParagraph"/>
        <w:numPr>
          <w:ilvl w:val="1"/>
          <w:numId w:val="3"/>
        </w:numPr>
        <w:ind w:left="720"/>
        <w:rPr>
          <w:rFonts w:ascii="Arial" w:hAnsi="Arial" w:cs="Arial"/>
          <w:sz w:val="22"/>
          <w:lang w:val="en-US"/>
        </w:rPr>
      </w:pPr>
      <w:r w:rsidRPr="009015FA">
        <w:rPr>
          <w:rFonts w:ascii="Arial" w:hAnsi="Arial" w:cs="Arial"/>
          <w:sz w:val="22"/>
          <w:lang w:val="en-US"/>
        </w:rPr>
        <w:t xml:space="preserve">The </w:t>
      </w:r>
      <w:r w:rsidRPr="009015FA">
        <w:rPr>
          <w:rFonts w:ascii="Arial" w:hAnsi="Arial" w:cs="Arial"/>
          <w:sz w:val="22"/>
        </w:rPr>
        <w:t>submission</w:t>
      </w:r>
      <w:r w:rsidRPr="009015FA">
        <w:rPr>
          <w:rFonts w:ascii="Arial" w:hAnsi="Arial" w:cs="Arial"/>
          <w:sz w:val="22"/>
          <w:lang w:val="en-US"/>
        </w:rPr>
        <w:t xml:space="preserve"> assumed that </w:t>
      </w:r>
      <w:r w:rsidRPr="009015FA">
        <w:rPr>
          <w:rFonts w:ascii="Arial" w:hAnsi="Arial" w:cs="Arial"/>
          <w:iCs/>
          <w:sz w:val="22"/>
          <w:lang w:val="en-US"/>
        </w:rPr>
        <w:t xml:space="preserve">the number of patients eligible for testing was based on the number of incident Stage IIIB/IV NSCLC cases. </w:t>
      </w:r>
      <w:r w:rsidRPr="009015FA">
        <w:rPr>
          <w:rFonts w:ascii="Arial" w:hAnsi="Arial" w:cs="Arial"/>
          <w:sz w:val="22"/>
        </w:rPr>
        <w:t xml:space="preserve">In the first year of listing, catch up testing of prevalent cases was also assumed based on the number of prevalent Stage IIIB/IV cases in the year prior to listing. </w:t>
      </w:r>
      <w:r w:rsidRPr="009015FA">
        <w:rPr>
          <w:rFonts w:ascii="Arial" w:hAnsi="Arial" w:cs="Arial"/>
          <w:iCs/>
          <w:sz w:val="22"/>
          <w:lang w:val="en-US"/>
        </w:rPr>
        <w:t>The submission did not include testing patients who progress to Stage IIIB/IV disease from an earlier stage – this increased the number of patients eligible for testing by 26% in the first ye</w:t>
      </w:r>
      <w:r w:rsidR="00C14058" w:rsidRPr="009015FA">
        <w:rPr>
          <w:rFonts w:ascii="Arial" w:hAnsi="Arial" w:cs="Arial"/>
          <w:iCs/>
          <w:sz w:val="22"/>
          <w:lang w:val="en-US"/>
        </w:rPr>
        <w:t>ar, to 40% in subsequent years.</w:t>
      </w:r>
    </w:p>
    <w:p w:rsidR="0014359C" w:rsidRPr="009015FA" w:rsidRDefault="0014359C" w:rsidP="00173899">
      <w:pPr>
        <w:pStyle w:val="ListParagraph"/>
        <w:ind w:left="0" w:firstLine="0"/>
        <w:rPr>
          <w:rFonts w:ascii="Arial" w:hAnsi="Arial" w:cs="Arial"/>
          <w:sz w:val="22"/>
          <w:lang w:val="en-US"/>
        </w:rPr>
      </w:pPr>
    </w:p>
    <w:p w:rsidR="0095055D" w:rsidRPr="009015FA" w:rsidRDefault="0095055D" w:rsidP="009C3A29">
      <w:pPr>
        <w:pStyle w:val="ListParagraph"/>
        <w:numPr>
          <w:ilvl w:val="1"/>
          <w:numId w:val="3"/>
        </w:numPr>
        <w:ind w:left="720"/>
        <w:rPr>
          <w:rFonts w:ascii="Arial" w:hAnsi="Arial" w:cs="Arial"/>
          <w:iCs/>
          <w:sz w:val="22"/>
          <w:lang w:val="en-US"/>
        </w:rPr>
      </w:pPr>
      <w:r w:rsidRPr="009015FA">
        <w:rPr>
          <w:rFonts w:ascii="Arial" w:hAnsi="Arial" w:cs="Arial"/>
          <w:sz w:val="22"/>
        </w:rPr>
        <w:t xml:space="preserve">The submission estimated up to 10,000 prescriptions of pembrolizumab dispensed per year, with a cumulative total of </w:t>
      </w:r>
      <w:r w:rsidR="00C61895">
        <w:rPr>
          <w:rFonts w:ascii="Arial" w:hAnsi="Arial" w:cs="Arial"/>
          <w:sz w:val="22"/>
        </w:rPr>
        <w:t>10,000 – 50,000</w:t>
      </w:r>
      <w:r w:rsidRPr="009015FA">
        <w:rPr>
          <w:rFonts w:ascii="Arial" w:hAnsi="Arial" w:cs="Arial"/>
          <w:sz w:val="22"/>
        </w:rPr>
        <w:t xml:space="preserve"> prescriptions over the five-year period.</w:t>
      </w:r>
      <w:r w:rsidR="00F7178A">
        <w:rPr>
          <w:rFonts w:ascii="Arial" w:hAnsi="Arial" w:cs="Arial"/>
          <w:sz w:val="22"/>
        </w:rPr>
        <w:t xml:space="preserve"> </w:t>
      </w:r>
      <w:r w:rsidR="00F7178A" w:rsidRPr="00675587">
        <w:rPr>
          <w:rFonts w:ascii="Arial" w:hAnsi="Arial" w:cs="Arial"/>
          <w:sz w:val="22"/>
        </w:rPr>
        <w:t xml:space="preserve">The updated estimates provided in the PSCR increased the number of prescriptions dispensed per year up to </w:t>
      </w:r>
      <w:r w:rsidR="00C61895">
        <w:rPr>
          <w:rFonts w:ascii="Arial" w:hAnsi="Arial" w:cs="Arial"/>
          <w:sz w:val="22"/>
        </w:rPr>
        <w:t>10,000 – 50,000</w:t>
      </w:r>
      <w:r w:rsidR="00915CB3" w:rsidRPr="00675587">
        <w:rPr>
          <w:rFonts w:ascii="Arial" w:hAnsi="Arial" w:cs="Arial"/>
          <w:sz w:val="22"/>
        </w:rPr>
        <w:t xml:space="preserve"> and </w:t>
      </w:r>
      <w:r w:rsidR="00C61895">
        <w:rPr>
          <w:rFonts w:ascii="Arial" w:hAnsi="Arial" w:cs="Arial"/>
          <w:sz w:val="22"/>
        </w:rPr>
        <w:t>50,000 – 100,000</w:t>
      </w:r>
      <w:r w:rsidR="00F7178A" w:rsidRPr="00675587">
        <w:rPr>
          <w:rFonts w:ascii="Arial" w:hAnsi="Arial" w:cs="Arial"/>
          <w:sz w:val="22"/>
        </w:rPr>
        <w:t xml:space="preserve"> over the five-year period.</w:t>
      </w:r>
    </w:p>
    <w:p w:rsidR="0095055D" w:rsidRPr="009015FA" w:rsidRDefault="0095055D" w:rsidP="00C14058">
      <w:pPr>
        <w:pStyle w:val="ListParagraph"/>
        <w:ind w:left="0" w:firstLine="0"/>
        <w:rPr>
          <w:rFonts w:ascii="Arial" w:hAnsi="Arial" w:cs="Arial"/>
          <w:sz w:val="22"/>
          <w:highlight w:val="yellow"/>
          <w:lang w:val="en-US"/>
        </w:rPr>
      </w:pPr>
    </w:p>
    <w:p w:rsidR="0095055D" w:rsidRPr="00675587" w:rsidRDefault="0095055D" w:rsidP="009C3A29">
      <w:pPr>
        <w:pStyle w:val="ListParagraph"/>
        <w:numPr>
          <w:ilvl w:val="1"/>
          <w:numId w:val="3"/>
        </w:numPr>
        <w:ind w:left="720"/>
        <w:rPr>
          <w:rFonts w:ascii="Arial" w:hAnsi="Arial" w:cs="Arial"/>
          <w:sz w:val="22"/>
          <w:lang w:val="en-US"/>
        </w:rPr>
      </w:pPr>
      <w:r w:rsidRPr="00675587">
        <w:rPr>
          <w:rFonts w:ascii="Arial" w:hAnsi="Arial" w:cs="Arial"/>
          <w:sz w:val="22"/>
          <w:lang w:val="en-US"/>
        </w:rPr>
        <w:t xml:space="preserve">The </w:t>
      </w:r>
      <w:r w:rsidRPr="00675587">
        <w:rPr>
          <w:rFonts w:ascii="Arial" w:hAnsi="Arial" w:cs="Arial"/>
          <w:sz w:val="22"/>
        </w:rPr>
        <w:t>submission</w:t>
      </w:r>
      <w:r w:rsidRPr="00675587">
        <w:rPr>
          <w:rFonts w:ascii="Arial" w:hAnsi="Arial" w:cs="Arial"/>
          <w:sz w:val="22"/>
          <w:lang w:val="en-US"/>
        </w:rPr>
        <w:t xml:space="preserve"> estimated the net cost of listing pembrolizumab in the PBS/RPBS would be approximately </w:t>
      </w:r>
      <w:r w:rsidR="00C61895">
        <w:rPr>
          <w:rFonts w:ascii="Arial" w:hAnsi="Arial" w:cs="Arial"/>
          <w:sz w:val="22"/>
          <w:lang w:val="en-US"/>
        </w:rPr>
        <w:t>more than $100</w:t>
      </w:r>
      <w:r w:rsidRPr="00675587">
        <w:rPr>
          <w:rFonts w:ascii="Arial" w:hAnsi="Arial" w:cs="Arial"/>
          <w:sz w:val="22"/>
          <w:lang w:val="en-US"/>
        </w:rPr>
        <w:t xml:space="preserve"> million over the first five years</w:t>
      </w:r>
      <w:r w:rsidR="00F7178A" w:rsidRPr="00675587">
        <w:rPr>
          <w:rFonts w:ascii="Arial" w:hAnsi="Arial" w:cs="Arial"/>
          <w:sz w:val="22"/>
          <w:lang w:val="en-US"/>
        </w:rPr>
        <w:t xml:space="preserve"> (</w:t>
      </w:r>
      <w:r w:rsidR="002C08B2" w:rsidRPr="00675587">
        <w:rPr>
          <w:rFonts w:ascii="Arial" w:hAnsi="Arial" w:cs="Arial"/>
          <w:sz w:val="22"/>
          <w:lang w:val="en-US"/>
        </w:rPr>
        <w:t xml:space="preserve">revised: </w:t>
      </w:r>
      <w:r w:rsidR="006101B6">
        <w:rPr>
          <w:rFonts w:ascii="Arial" w:hAnsi="Arial" w:cs="Arial"/>
          <w:sz w:val="22"/>
          <w:lang w:val="en-US"/>
        </w:rPr>
        <w:t>more than</w:t>
      </w:r>
      <w:r w:rsidR="00C61895">
        <w:rPr>
          <w:rFonts w:ascii="Arial" w:hAnsi="Arial" w:cs="Arial"/>
          <w:sz w:val="22"/>
          <w:lang w:val="en-US"/>
        </w:rPr>
        <w:t xml:space="preserve"> $100</w:t>
      </w:r>
      <w:r w:rsidR="00F7178A" w:rsidRPr="00675587">
        <w:rPr>
          <w:rFonts w:ascii="Arial" w:hAnsi="Arial" w:cs="Arial"/>
          <w:sz w:val="22"/>
          <w:lang w:val="en-US"/>
        </w:rPr>
        <w:t xml:space="preserve"> million)</w:t>
      </w:r>
      <w:r w:rsidRPr="00675587">
        <w:rPr>
          <w:rFonts w:ascii="Arial" w:hAnsi="Arial" w:cs="Arial"/>
          <w:sz w:val="22"/>
          <w:lang w:val="en-US"/>
        </w:rPr>
        <w:t xml:space="preserve">. This is likely to be an underestimate, as the number of patients eligible for pembrolizumab may be underestimated, the number of pembrolizumab treatment cycles was likely to be underestimated and cost offsets may be overestimated, as cost savings have been claimed on the basis of reduced </w:t>
      </w:r>
      <w:proofErr w:type="spellStart"/>
      <w:r w:rsidRPr="00675587">
        <w:rPr>
          <w:rFonts w:ascii="Arial" w:hAnsi="Arial" w:cs="Arial"/>
          <w:sz w:val="22"/>
          <w:lang w:val="en-US"/>
        </w:rPr>
        <w:t>pemetrexed</w:t>
      </w:r>
      <w:proofErr w:type="spellEnd"/>
      <w:r w:rsidRPr="00675587">
        <w:rPr>
          <w:rFonts w:ascii="Arial" w:hAnsi="Arial" w:cs="Arial"/>
          <w:sz w:val="22"/>
          <w:lang w:val="en-US"/>
        </w:rPr>
        <w:t xml:space="preserve"> and </w:t>
      </w:r>
      <w:proofErr w:type="spellStart"/>
      <w:r w:rsidRPr="00675587">
        <w:rPr>
          <w:rFonts w:ascii="Arial" w:hAnsi="Arial" w:cs="Arial"/>
          <w:sz w:val="22"/>
          <w:lang w:val="en-US"/>
        </w:rPr>
        <w:t>docetaxel</w:t>
      </w:r>
      <w:proofErr w:type="spellEnd"/>
      <w:r w:rsidRPr="00675587">
        <w:rPr>
          <w:rFonts w:ascii="Arial" w:hAnsi="Arial" w:cs="Arial"/>
          <w:sz w:val="22"/>
          <w:lang w:val="en-US"/>
        </w:rPr>
        <w:t xml:space="preserve"> use, however, </w:t>
      </w:r>
      <w:r w:rsidRPr="00675587">
        <w:rPr>
          <w:rFonts w:ascii="Arial" w:hAnsi="Arial" w:cs="Arial"/>
          <w:sz w:val="22"/>
        </w:rPr>
        <w:t>these treatments may be used following treatment with pembrolizumab.</w:t>
      </w:r>
    </w:p>
    <w:p w:rsidR="0095055D" w:rsidRPr="00675587" w:rsidRDefault="0095055D" w:rsidP="00C14058">
      <w:pPr>
        <w:pStyle w:val="ListParagraph"/>
        <w:ind w:left="0" w:firstLine="0"/>
        <w:rPr>
          <w:rFonts w:ascii="Arial" w:hAnsi="Arial" w:cs="Arial"/>
          <w:sz w:val="22"/>
          <w:lang w:val="en-US"/>
        </w:rPr>
      </w:pPr>
    </w:p>
    <w:p w:rsidR="0095055D" w:rsidRPr="00675587" w:rsidRDefault="0095055D" w:rsidP="009C3A29">
      <w:pPr>
        <w:pStyle w:val="ListParagraph"/>
        <w:numPr>
          <w:ilvl w:val="1"/>
          <w:numId w:val="3"/>
        </w:numPr>
        <w:ind w:left="720"/>
        <w:rPr>
          <w:rFonts w:ascii="Arial" w:hAnsi="Arial" w:cs="Arial"/>
          <w:sz w:val="22"/>
          <w:lang w:val="en-US"/>
        </w:rPr>
      </w:pPr>
      <w:r w:rsidRPr="00675587">
        <w:rPr>
          <w:rFonts w:ascii="Arial" w:hAnsi="Arial" w:cs="Arial"/>
          <w:sz w:val="22"/>
          <w:lang w:val="en-GB"/>
        </w:rPr>
        <w:t xml:space="preserve">The </w:t>
      </w:r>
      <w:r w:rsidRPr="00675587">
        <w:rPr>
          <w:rFonts w:ascii="Arial" w:hAnsi="Arial" w:cs="Arial"/>
          <w:sz w:val="22"/>
        </w:rPr>
        <w:t>submission</w:t>
      </w:r>
      <w:r w:rsidRPr="00675587">
        <w:rPr>
          <w:rFonts w:ascii="Arial" w:hAnsi="Arial" w:cs="Arial"/>
          <w:sz w:val="22"/>
          <w:lang w:val="en-GB"/>
        </w:rPr>
        <w:t xml:space="preserve"> estimated that the overall net cost of PD-L1 testing and pembrolizumab to the Government would be approximately </w:t>
      </w:r>
      <w:r w:rsidR="00824ECD">
        <w:rPr>
          <w:rFonts w:ascii="Arial" w:hAnsi="Arial" w:cs="Arial"/>
          <w:sz w:val="22"/>
          <w:lang w:val="en-GB"/>
        </w:rPr>
        <w:t>more than $100</w:t>
      </w:r>
      <w:r w:rsidRPr="00675587">
        <w:rPr>
          <w:rFonts w:ascii="Arial" w:hAnsi="Arial" w:cs="Arial"/>
          <w:sz w:val="22"/>
          <w:lang w:val="en-GB"/>
        </w:rPr>
        <w:t xml:space="preserve"> million over the first five years</w:t>
      </w:r>
      <w:r w:rsidR="00F7178A" w:rsidRPr="00675587">
        <w:rPr>
          <w:rFonts w:ascii="Arial" w:hAnsi="Arial" w:cs="Arial"/>
          <w:sz w:val="22"/>
          <w:lang w:val="en-GB"/>
        </w:rPr>
        <w:t xml:space="preserve"> (</w:t>
      </w:r>
      <w:r w:rsidR="002C08B2" w:rsidRPr="00675587">
        <w:rPr>
          <w:rFonts w:ascii="Arial" w:hAnsi="Arial" w:cs="Arial"/>
          <w:sz w:val="22"/>
          <w:lang w:val="en-GB"/>
        </w:rPr>
        <w:t xml:space="preserve">revised: </w:t>
      </w:r>
      <w:r w:rsidR="00824ECD">
        <w:rPr>
          <w:rFonts w:ascii="Arial" w:hAnsi="Arial" w:cs="Arial"/>
          <w:sz w:val="22"/>
          <w:lang w:val="en-GB"/>
        </w:rPr>
        <w:t>more than $100</w:t>
      </w:r>
      <w:r w:rsidR="00F7178A" w:rsidRPr="00675587">
        <w:rPr>
          <w:rFonts w:ascii="Arial" w:hAnsi="Arial" w:cs="Arial"/>
          <w:sz w:val="22"/>
          <w:lang w:val="en-GB"/>
        </w:rPr>
        <w:t xml:space="preserve"> million) as presented in </w:t>
      </w:r>
      <w:r w:rsidRPr="00675587">
        <w:rPr>
          <w:rFonts w:ascii="Arial" w:hAnsi="Arial" w:cs="Arial"/>
          <w:sz w:val="22"/>
          <w:lang w:val="en-GB"/>
        </w:rPr>
        <w:t>Table 2</w:t>
      </w:r>
      <w:r w:rsidR="006405DD">
        <w:rPr>
          <w:rFonts w:ascii="Arial" w:hAnsi="Arial" w:cs="Arial"/>
          <w:sz w:val="22"/>
          <w:lang w:val="en-GB"/>
        </w:rPr>
        <w:t>5</w:t>
      </w:r>
      <w:r w:rsidRPr="00675587">
        <w:rPr>
          <w:rFonts w:ascii="Arial" w:hAnsi="Arial" w:cs="Arial"/>
          <w:sz w:val="22"/>
          <w:lang w:val="en-GB"/>
        </w:rPr>
        <w:t>.</w:t>
      </w:r>
    </w:p>
    <w:p w:rsidR="0095055D" w:rsidRPr="00173899" w:rsidRDefault="0095055D" w:rsidP="00A36DD4">
      <w:pPr>
        <w:rPr>
          <w:rFonts w:ascii="Arial" w:hAnsi="Arial" w:cs="Arial"/>
          <w:sz w:val="22"/>
          <w:szCs w:val="22"/>
          <w:lang w:val="en-US"/>
        </w:rPr>
      </w:pPr>
    </w:p>
    <w:p w:rsidR="0095055D" w:rsidRPr="005B30C7" w:rsidRDefault="0095055D" w:rsidP="00C61895">
      <w:pPr>
        <w:pStyle w:val="TableHeading0"/>
        <w:ind w:firstLine="720"/>
      </w:pPr>
      <w:r w:rsidRPr="00A23F2B">
        <w:t>Table 2</w:t>
      </w:r>
      <w:r w:rsidR="006405DD">
        <w:t>5</w:t>
      </w:r>
      <w:r w:rsidRPr="00A23F2B">
        <w:t>: Cost of PD-L1 testing and pembrolizumab treatment to the MBS and PBS</w:t>
      </w:r>
    </w:p>
    <w:tbl>
      <w:tblPr>
        <w:tblW w:w="458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1028"/>
        <w:gridCol w:w="1005"/>
        <w:gridCol w:w="1044"/>
        <w:gridCol w:w="1060"/>
        <w:gridCol w:w="1089"/>
      </w:tblGrid>
      <w:tr w:rsidR="00C61895" w:rsidRPr="000A6B0E" w:rsidTr="00C61895">
        <w:tc>
          <w:tcPr>
            <w:tcW w:w="1864" w:type="pct"/>
            <w:tcBorders>
              <w:bottom w:val="single" w:sz="4" w:space="0" w:color="auto"/>
            </w:tcBorders>
            <w:tcMar>
              <w:top w:w="28" w:type="dxa"/>
              <w:left w:w="28" w:type="dxa"/>
              <w:bottom w:w="28" w:type="dxa"/>
              <w:right w:w="28" w:type="dxa"/>
            </w:tcMar>
          </w:tcPr>
          <w:p w:rsidR="0095055D" w:rsidRPr="000A6B0E" w:rsidRDefault="0095055D" w:rsidP="007D5324">
            <w:pPr>
              <w:pStyle w:val="TableText0"/>
              <w:keepNext w:val="0"/>
              <w:jc w:val="left"/>
            </w:pPr>
          </w:p>
        </w:tc>
        <w:tc>
          <w:tcPr>
            <w:tcW w:w="610"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Year 1</w:t>
            </w:r>
          </w:p>
        </w:tc>
        <w:tc>
          <w:tcPr>
            <w:tcW w:w="593"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Year 2</w:t>
            </w:r>
          </w:p>
        </w:tc>
        <w:tc>
          <w:tcPr>
            <w:tcW w:w="629"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Year 3</w:t>
            </w:r>
          </w:p>
        </w:tc>
        <w:tc>
          <w:tcPr>
            <w:tcW w:w="639"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Year 4</w:t>
            </w:r>
          </w:p>
        </w:tc>
        <w:tc>
          <w:tcPr>
            <w:tcW w:w="665"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Year 5</w:t>
            </w:r>
          </w:p>
        </w:tc>
      </w:tr>
      <w:tr w:rsidR="00C61895" w:rsidRPr="000A6B0E" w:rsidTr="00C61895">
        <w:tc>
          <w:tcPr>
            <w:tcW w:w="1864" w:type="pct"/>
            <w:tcMar>
              <w:top w:w="28" w:type="dxa"/>
              <w:left w:w="28" w:type="dxa"/>
              <w:bottom w:w="28" w:type="dxa"/>
              <w:right w:w="28" w:type="dxa"/>
            </w:tcMar>
          </w:tcPr>
          <w:p w:rsidR="0095055D" w:rsidRPr="000A6B0E" w:rsidRDefault="0095055D" w:rsidP="007D5324">
            <w:pPr>
              <w:pStyle w:val="TableText0"/>
              <w:keepNext w:val="0"/>
              <w:jc w:val="left"/>
            </w:pPr>
            <w:r w:rsidRPr="000A6B0E">
              <w:t>Cost of PD-L1 testing</w:t>
            </w:r>
          </w:p>
          <w:p w:rsidR="000A707B" w:rsidRPr="000A6B0E" w:rsidRDefault="000A707B" w:rsidP="007D5324">
            <w:pPr>
              <w:pStyle w:val="TableText0"/>
              <w:keepNext w:val="0"/>
              <w:jc w:val="left"/>
            </w:pPr>
            <w:r w:rsidRPr="000A6B0E">
              <w:t>Revised (</w:t>
            </w:r>
            <w:proofErr w:type="spellStart"/>
            <w:r w:rsidRPr="000A6B0E">
              <w:t>i</w:t>
            </w:r>
            <w:proofErr w:type="spellEnd"/>
            <w:r w:rsidRPr="000A6B0E">
              <w:t>)</w:t>
            </w:r>
          </w:p>
        </w:tc>
        <w:tc>
          <w:tcPr>
            <w:tcW w:w="610" w:type="pct"/>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593" w:type="pct"/>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29" w:type="pct"/>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39" w:type="pct"/>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65" w:type="pct"/>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bottom w:val="single" w:sz="4" w:space="0" w:color="auto"/>
            </w:tcBorders>
            <w:tcMar>
              <w:top w:w="28" w:type="dxa"/>
              <w:left w:w="28" w:type="dxa"/>
              <w:bottom w:w="28" w:type="dxa"/>
              <w:right w:w="28" w:type="dxa"/>
            </w:tcMar>
          </w:tcPr>
          <w:p w:rsidR="0095055D" w:rsidRPr="000A6B0E" w:rsidRDefault="0095055D" w:rsidP="007D5324">
            <w:pPr>
              <w:pStyle w:val="TableText0"/>
              <w:keepNext w:val="0"/>
              <w:jc w:val="left"/>
            </w:pPr>
            <w:r w:rsidRPr="000A6B0E">
              <w:t>Administration &amp; management costs</w:t>
            </w:r>
          </w:p>
          <w:p w:rsidR="000A707B" w:rsidRPr="000A6B0E" w:rsidRDefault="000A707B" w:rsidP="007D5324">
            <w:pPr>
              <w:pStyle w:val="TableText0"/>
              <w:keepNext w:val="0"/>
              <w:jc w:val="left"/>
            </w:pPr>
            <w:r w:rsidRPr="000A6B0E">
              <w:t>Revised (ii)</w:t>
            </w:r>
          </w:p>
        </w:tc>
        <w:tc>
          <w:tcPr>
            <w:tcW w:w="610"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593"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29"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39"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c>
          <w:tcPr>
            <w:tcW w:w="665" w:type="pct"/>
            <w:tcBorders>
              <w:bottom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p w:rsidR="000A707B" w:rsidRPr="000A6B0E" w:rsidRDefault="000A707B" w:rsidP="007D5324">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bottom w:val="double" w:sz="4" w:space="0" w:color="auto"/>
            </w:tcBorders>
            <w:tcMar>
              <w:top w:w="28" w:type="dxa"/>
              <w:left w:w="28" w:type="dxa"/>
              <w:bottom w:w="28" w:type="dxa"/>
              <w:right w:w="28" w:type="dxa"/>
            </w:tcMar>
          </w:tcPr>
          <w:p w:rsidR="0095055D" w:rsidRPr="000A6B0E" w:rsidRDefault="000A707B" w:rsidP="007D5324">
            <w:pPr>
              <w:pStyle w:val="TableText0"/>
              <w:keepNext w:val="0"/>
              <w:jc w:val="left"/>
              <w:rPr>
                <w:b/>
              </w:rPr>
            </w:pPr>
            <w:r w:rsidRPr="000A6B0E">
              <w:rPr>
                <w:b/>
              </w:rPr>
              <w:t>Net</w:t>
            </w:r>
            <w:r w:rsidR="0095055D" w:rsidRPr="000A6B0E">
              <w:rPr>
                <w:b/>
              </w:rPr>
              <w:t xml:space="preserve"> cost to the MBS</w:t>
            </w:r>
          </w:p>
          <w:p w:rsidR="000A707B" w:rsidRPr="000A6B0E" w:rsidRDefault="000A707B" w:rsidP="007D5324">
            <w:pPr>
              <w:pStyle w:val="TableText0"/>
              <w:keepNext w:val="0"/>
              <w:jc w:val="left"/>
              <w:rPr>
                <w:b/>
              </w:rPr>
            </w:pPr>
            <w:r w:rsidRPr="000A6B0E">
              <w:rPr>
                <w:b/>
              </w:rPr>
              <w:t>Revised</w:t>
            </w:r>
          </w:p>
        </w:tc>
        <w:tc>
          <w:tcPr>
            <w:tcW w:w="610" w:type="pct"/>
            <w:tcBorders>
              <w:bottom w:val="doub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p w:rsidR="000A707B" w:rsidRPr="000A6B0E" w:rsidRDefault="000A707B" w:rsidP="007D5324">
            <w:pPr>
              <w:pStyle w:val="TableText0"/>
              <w:keepNext w:val="0"/>
              <w:jc w:val="center"/>
              <w:rPr>
                <w:b/>
              </w:rPr>
            </w:pPr>
            <w:r w:rsidRPr="000A6B0E">
              <w:rPr>
                <w:b/>
              </w:rPr>
              <w:t>$</w:t>
            </w:r>
            <w:r w:rsidR="00153EAE">
              <w:rPr>
                <w:b/>
                <w:noProof/>
                <w:color w:val="000000"/>
                <w:highlight w:val="black"/>
              </w:rPr>
              <w:t>'''''''''''''''''''</w:t>
            </w:r>
          </w:p>
        </w:tc>
        <w:tc>
          <w:tcPr>
            <w:tcW w:w="593" w:type="pct"/>
            <w:tcBorders>
              <w:bottom w:val="doub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p w:rsidR="000A707B" w:rsidRPr="000A6B0E" w:rsidRDefault="000A707B" w:rsidP="007D5324">
            <w:pPr>
              <w:pStyle w:val="TableText0"/>
              <w:keepNext w:val="0"/>
              <w:jc w:val="center"/>
              <w:rPr>
                <w:b/>
              </w:rPr>
            </w:pPr>
            <w:r w:rsidRPr="000A6B0E">
              <w:rPr>
                <w:b/>
              </w:rPr>
              <w:t>$</w:t>
            </w:r>
            <w:r w:rsidR="00153EAE">
              <w:rPr>
                <w:b/>
                <w:noProof/>
                <w:color w:val="000000"/>
                <w:highlight w:val="black"/>
              </w:rPr>
              <w:t>''''''''''''''''''''</w:t>
            </w:r>
          </w:p>
        </w:tc>
        <w:tc>
          <w:tcPr>
            <w:tcW w:w="629" w:type="pct"/>
            <w:tcBorders>
              <w:bottom w:val="doub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p w:rsidR="000A707B" w:rsidRPr="000A6B0E" w:rsidRDefault="000A707B" w:rsidP="007D5324">
            <w:pPr>
              <w:pStyle w:val="TableText0"/>
              <w:keepNext w:val="0"/>
              <w:jc w:val="center"/>
              <w:rPr>
                <w:b/>
              </w:rPr>
            </w:pPr>
            <w:r w:rsidRPr="000A6B0E">
              <w:rPr>
                <w:b/>
              </w:rPr>
              <w:t>$</w:t>
            </w:r>
            <w:r w:rsidR="00153EAE">
              <w:rPr>
                <w:b/>
                <w:noProof/>
                <w:color w:val="000000"/>
                <w:highlight w:val="black"/>
              </w:rPr>
              <w:t>''''''''''''''''''''</w:t>
            </w:r>
          </w:p>
        </w:tc>
        <w:tc>
          <w:tcPr>
            <w:tcW w:w="639" w:type="pct"/>
            <w:tcBorders>
              <w:bottom w:val="doub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p w:rsidR="000A707B" w:rsidRPr="000A6B0E" w:rsidRDefault="000A707B" w:rsidP="007D5324">
            <w:pPr>
              <w:pStyle w:val="TableText0"/>
              <w:keepNext w:val="0"/>
              <w:jc w:val="center"/>
              <w:rPr>
                <w:b/>
              </w:rPr>
            </w:pPr>
            <w:r w:rsidRPr="000A6B0E">
              <w:rPr>
                <w:b/>
              </w:rPr>
              <w:t>$</w:t>
            </w:r>
            <w:r w:rsidR="00153EAE">
              <w:rPr>
                <w:b/>
                <w:noProof/>
                <w:color w:val="000000"/>
                <w:highlight w:val="black"/>
              </w:rPr>
              <w:t>'''''''''''''''''</w:t>
            </w:r>
          </w:p>
        </w:tc>
        <w:tc>
          <w:tcPr>
            <w:tcW w:w="665" w:type="pct"/>
            <w:tcBorders>
              <w:bottom w:val="doub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p w:rsidR="000A707B" w:rsidRPr="000A6B0E" w:rsidRDefault="000A707B" w:rsidP="007D5324">
            <w:pPr>
              <w:pStyle w:val="TableText0"/>
              <w:keepNext w:val="0"/>
              <w:jc w:val="center"/>
              <w:rPr>
                <w:b/>
              </w:rPr>
            </w:pPr>
            <w:r w:rsidRPr="000A6B0E">
              <w:rPr>
                <w:b/>
              </w:rPr>
              <w:t>$</w:t>
            </w:r>
            <w:r w:rsidR="00153EAE">
              <w:rPr>
                <w:b/>
                <w:noProof/>
                <w:color w:val="000000"/>
                <w:highlight w:val="black"/>
              </w:rPr>
              <w:t>''''''''''''''''''</w:t>
            </w:r>
          </w:p>
        </w:tc>
      </w:tr>
      <w:tr w:rsidR="00C61895" w:rsidRPr="000A6B0E" w:rsidTr="00C61895">
        <w:tc>
          <w:tcPr>
            <w:tcW w:w="1864" w:type="pct"/>
            <w:tcBorders>
              <w:top w:val="double" w:sz="4" w:space="0" w:color="auto"/>
              <w:bottom w:val="nil"/>
            </w:tcBorders>
            <w:tcMar>
              <w:top w:w="28" w:type="dxa"/>
              <w:left w:w="28" w:type="dxa"/>
              <w:bottom w:w="28" w:type="dxa"/>
              <w:right w:w="28" w:type="dxa"/>
            </w:tcMar>
          </w:tcPr>
          <w:p w:rsidR="0095055D" w:rsidRPr="000A6B0E" w:rsidRDefault="0095055D" w:rsidP="007D5324">
            <w:pPr>
              <w:pStyle w:val="TableText0"/>
              <w:keepNext w:val="0"/>
              <w:jc w:val="left"/>
            </w:pPr>
            <w:r w:rsidRPr="000A6B0E">
              <w:t>Cost of pembrolizumab to the PBS/RPBS</w:t>
            </w:r>
          </w:p>
        </w:tc>
        <w:tc>
          <w:tcPr>
            <w:tcW w:w="610" w:type="pct"/>
            <w:tcBorders>
              <w:top w:val="double" w:sz="4" w:space="0" w:color="auto"/>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593" w:type="pct"/>
            <w:tcBorders>
              <w:top w:val="double" w:sz="4" w:space="0" w:color="auto"/>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29" w:type="pct"/>
            <w:tcBorders>
              <w:top w:val="double" w:sz="4" w:space="0" w:color="auto"/>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39" w:type="pct"/>
            <w:tcBorders>
              <w:top w:val="double" w:sz="4" w:space="0" w:color="auto"/>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65" w:type="pct"/>
            <w:tcBorders>
              <w:top w:val="double" w:sz="4" w:space="0" w:color="auto"/>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top w:val="nil"/>
              <w:bottom w:val="single" w:sz="4" w:space="0" w:color="auto"/>
            </w:tcBorders>
            <w:tcMar>
              <w:top w:w="28" w:type="dxa"/>
              <w:left w:w="28" w:type="dxa"/>
              <w:bottom w:w="28" w:type="dxa"/>
              <w:right w:w="28" w:type="dxa"/>
            </w:tcMar>
          </w:tcPr>
          <w:p w:rsidR="00511977" w:rsidRPr="000A6B0E" w:rsidRDefault="00511977" w:rsidP="007D5324">
            <w:pPr>
              <w:pStyle w:val="TableText0"/>
              <w:keepNext w:val="0"/>
              <w:jc w:val="left"/>
            </w:pPr>
            <w:r w:rsidRPr="000A6B0E">
              <w:t>Revised (ii, iii, iv, vii and viii)</w:t>
            </w:r>
          </w:p>
        </w:tc>
        <w:tc>
          <w:tcPr>
            <w:tcW w:w="610"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593"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29"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39"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65"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bottom w:val="nil"/>
            </w:tcBorders>
            <w:tcMar>
              <w:top w:w="28" w:type="dxa"/>
              <w:left w:w="28" w:type="dxa"/>
              <w:bottom w:w="28" w:type="dxa"/>
              <w:right w:w="28" w:type="dxa"/>
            </w:tcMar>
          </w:tcPr>
          <w:p w:rsidR="0095055D" w:rsidRPr="000A6B0E" w:rsidRDefault="0095055D" w:rsidP="007D5324">
            <w:pPr>
              <w:pStyle w:val="TableText0"/>
              <w:keepNext w:val="0"/>
              <w:jc w:val="left"/>
            </w:pPr>
            <w:r w:rsidRPr="000A6B0E">
              <w:t>Cost offsets to the PBS/RPBS</w:t>
            </w:r>
          </w:p>
        </w:tc>
        <w:tc>
          <w:tcPr>
            <w:tcW w:w="610"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593"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29"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39"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c>
          <w:tcPr>
            <w:tcW w:w="665"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top w:val="nil"/>
              <w:bottom w:val="single" w:sz="4" w:space="0" w:color="auto"/>
            </w:tcBorders>
            <w:tcMar>
              <w:top w:w="28" w:type="dxa"/>
              <w:left w:w="28" w:type="dxa"/>
              <w:bottom w:w="28" w:type="dxa"/>
              <w:right w:w="28" w:type="dxa"/>
            </w:tcMar>
          </w:tcPr>
          <w:p w:rsidR="00511977" w:rsidRPr="000A6B0E" w:rsidRDefault="00511977" w:rsidP="007D5324">
            <w:pPr>
              <w:pStyle w:val="TableText0"/>
              <w:keepNext w:val="0"/>
              <w:jc w:val="left"/>
            </w:pPr>
            <w:r w:rsidRPr="000A6B0E">
              <w:t>Revised (ii, v, vi, vii and viii)</w:t>
            </w:r>
          </w:p>
        </w:tc>
        <w:tc>
          <w:tcPr>
            <w:tcW w:w="610"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593"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29"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39"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c>
          <w:tcPr>
            <w:tcW w:w="665" w:type="pct"/>
            <w:tcBorders>
              <w:top w:val="nil"/>
              <w:bottom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pPr>
            <w:r w:rsidRPr="000A6B0E">
              <w:t>$</w:t>
            </w:r>
            <w:r w:rsidR="00153EAE">
              <w:rPr>
                <w:noProof/>
                <w:color w:val="000000"/>
                <w:highlight w:val="black"/>
              </w:rPr>
              <w:t>''''''''''''''''''''''''</w:t>
            </w:r>
          </w:p>
        </w:tc>
      </w:tr>
      <w:tr w:rsidR="00C61895" w:rsidRPr="000A6B0E" w:rsidTr="00C61895">
        <w:tc>
          <w:tcPr>
            <w:tcW w:w="1864" w:type="pct"/>
            <w:tcBorders>
              <w:bottom w:val="nil"/>
            </w:tcBorders>
            <w:tcMar>
              <w:top w:w="28" w:type="dxa"/>
              <w:left w:w="28" w:type="dxa"/>
              <w:bottom w:w="28" w:type="dxa"/>
              <w:right w:w="28" w:type="dxa"/>
            </w:tcMar>
          </w:tcPr>
          <w:p w:rsidR="0095055D" w:rsidRPr="000A6B0E" w:rsidRDefault="0095055D" w:rsidP="007D5324">
            <w:pPr>
              <w:pStyle w:val="TableText0"/>
              <w:keepNext w:val="0"/>
              <w:jc w:val="left"/>
              <w:rPr>
                <w:b/>
              </w:rPr>
            </w:pPr>
            <w:r w:rsidRPr="000A6B0E">
              <w:rPr>
                <w:b/>
              </w:rPr>
              <w:t>Total cost to the PBS/RPBS</w:t>
            </w:r>
          </w:p>
        </w:tc>
        <w:tc>
          <w:tcPr>
            <w:tcW w:w="610"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593"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29"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39"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65" w:type="pct"/>
            <w:tcBorders>
              <w:bottom w:val="nil"/>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r>
      <w:tr w:rsidR="00C61895" w:rsidRPr="000A6B0E" w:rsidTr="00C61895">
        <w:tc>
          <w:tcPr>
            <w:tcW w:w="1864" w:type="pct"/>
            <w:tcBorders>
              <w:top w:val="nil"/>
              <w:bottom w:val="double" w:sz="4" w:space="0" w:color="auto"/>
            </w:tcBorders>
            <w:tcMar>
              <w:top w:w="28" w:type="dxa"/>
              <w:left w:w="28" w:type="dxa"/>
              <w:bottom w:w="28" w:type="dxa"/>
              <w:right w:w="28" w:type="dxa"/>
            </w:tcMar>
          </w:tcPr>
          <w:p w:rsidR="00511977" w:rsidRPr="000A6B0E" w:rsidRDefault="00511977" w:rsidP="007D5324">
            <w:pPr>
              <w:pStyle w:val="TableText0"/>
              <w:keepNext w:val="0"/>
              <w:jc w:val="left"/>
              <w:rPr>
                <w:b/>
                <w:vertAlign w:val="superscript"/>
              </w:rPr>
            </w:pPr>
            <w:proofErr w:type="spellStart"/>
            <w:r w:rsidRPr="000A6B0E">
              <w:rPr>
                <w:b/>
              </w:rPr>
              <w:t>Revised</w:t>
            </w:r>
            <w:r w:rsidR="000A6B0E" w:rsidRPr="000A6B0E">
              <w:rPr>
                <w:b/>
                <w:vertAlign w:val="superscript"/>
              </w:rPr>
              <w:t>a</w:t>
            </w:r>
            <w:proofErr w:type="spellEnd"/>
          </w:p>
        </w:tc>
        <w:tc>
          <w:tcPr>
            <w:tcW w:w="610" w:type="pct"/>
            <w:tcBorders>
              <w:top w:val="nil"/>
              <w:bottom w:val="doub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593" w:type="pct"/>
            <w:tcBorders>
              <w:top w:val="nil"/>
              <w:bottom w:val="doub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29" w:type="pct"/>
            <w:tcBorders>
              <w:top w:val="nil"/>
              <w:bottom w:val="doub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39" w:type="pct"/>
            <w:tcBorders>
              <w:top w:val="nil"/>
              <w:bottom w:val="doub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65" w:type="pct"/>
            <w:tcBorders>
              <w:top w:val="nil"/>
              <w:bottom w:val="doub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r>
      <w:tr w:rsidR="00C61895" w:rsidRPr="000A6B0E" w:rsidTr="00C61895">
        <w:tc>
          <w:tcPr>
            <w:tcW w:w="1864" w:type="pct"/>
            <w:tcBorders>
              <w:top w:val="double" w:sz="4" w:space="0" w:color="auto"/>
              <w:left w:val="single" w:sz="4" w:space="0" w:color="auto"/>
              <w:bottom w:val="nil"/>
              <w:right w:val="single" w:sz="4" w:space="0" w:color="auto"/>
            </w:tcBorders>
            <w:tcMar>
              <w:top w:w="28" w:type="dxa"/>
              <w:left w:w="28" w:type="dxa"/>
              <w:bottom w:w="28" w:type="dxa"/>
              <w:right w:w="28" w:type="dxa"/>
            </w:tcMar>
          </w:tcPr>
          <w:p w:rsidR="0095055D" w:rsidRPr="000A6B0E" w:rsidRDefault="0095055D" w:rsidP="007D5324">
            <w:pPr>
              <w:pStyle w:val="TableText0"/>
              <w:keepNext w:val="0"/>
              <w:jc w:val="left"/>
              <w:rPr>
                <w:b/>
              </w:rPr>
            </w:pPr>
            <w:r w:rsidRPr="000A6B0E">
              <w:rPr>
                <w:b/>
              </w:rPr>
              <w:t>Net cost to government</w:t>
            </w:r>
          </w:p>
        </w:tc>
        <w:tc>
          <w:tcPr>
            <w:tcW w:w="610" w:type="pct"/>
            <w:tcBorders>
              <w:top w:val="double" w:sz="4" w:space="0" w:color="auto"/>
              <w:left w:val="single" w:sz="4" w:space="0" w:color="auto"/>
              <w:bottom w:val="nil"/>
              <w:right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593" w:type="pct"/>
            <w:tcBorders>
              <w:top w:val="double" w:sz="4" w:space="0" w:color="auto"/>
              <w:left w:val="single" w:sz="4" w:space="0" w:color="auto"/>
              <w:bottom w:val="nil"/>
              <w:right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29" w:type="pct"/>
            <w:tcBorders>
              <w:top w:val="double" w:sz="4" w:space="0" w:color="auto"/>
              <w:left w:val="single" w:sz="4" w:space="0" w:color="auto"/>
              <w:bottom w:val="nil"/>
              <w:right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39" w:type="pct"/>
            <w:tcBorders>
              <w:top w:val="double" w:sz="4" w:space="0" w:color="auto"/>
              <w:left w:val="single" w:sz="4" w:space="0" w:color="auto"/>
              <w:bottom w:val="nil"/>
              <w:right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c>
          <w:tcPr>
            <w:tcW w:w="665" w:type="pct"/>
            <w:tcBorders>
              <w:top w:val="double" w:sz="4" w:space="0" w:color="auto"/>
              <w:left w:val="single" w:sz="4" w:space="0" w:color="auto"/>
              <w:bottom w:val="nil"/>
              <w:right w:val="single" w:sz="4" w:space="0" w:color="auto"/>
            </w:tcBorders>
            <w:tcMar>
              <w:top w:w="28" w:type="dxa"/>
              <w:left w:w="28" w:type="dxa"/>
              <w:bottom w:w="28" w:type="dxa"/>
              <w:right w:w="28" w:type="dxa"/>
            </w:tcMar>
            <w:vAlign w:val="center"/>
          </w:tcPr>
          <w:p w:rsidR="0095055D" w:rsidRPr="000A6B0E" w:rsidRDefault="0095055D" w:rsidP="007D5324">
            <w:pPr>
              <w:pStyle w:val="TableText0"/>
              <w:keepNext w:val="0"/>
              <w:jc w:val="center"/>
              <w:rPr>
                <w:b/>
              </w:rPr>
            </w:pPr>
            <w:r w:rsidRPr="000A6B0E">
              <w:rPr>
                <w:b/>
              </w:rPr>
              <w:t>$</w:t>
            </w:r>
            <w:r w:rsidR="00153EAE">
              <w:rPr>
                <w:b/>
                <w:noProof/>
                <w:color w:val="000000"/>
                <w:highlight w:val="black"/>
              </w:rPr>
              <w:t>''''''''''''''''''''</w:t>
            </w:r>
          </w:p>
        </w:tc>
      </w:tr>
      <w:tr w:rsidR="00C61895" w:rsidRPr="000A6B0E" w:rsidTr="00C61895">
        <w:tc>
          <w:tcPr>
            <w:tcW w:w="1864"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7D5324">
            <w:pPr>
              <w:pStyle w:val="TableText0"/>
              <w:keepNext w:val="0"/>
              <w:jc w:val="left"/>
              <w:rPr>
                <w:b/>
                <w:vertAlign w:val="superscript"/>
              </w:rPr>
            </w:pPr>
            <w:proofErr w:type="spellStart"/>
            <w:r w:rsidRPr="000A6B0E">
              <w:rPr>
                <w:b/>
              </w:rPr>
              <w:t>Revised</w:t>
            </w:r>
            <w:r w:rsidR="000A6B0E" w:rsidRPr="000A6B0E">
              <w:rPr>
                <w:b/>
                <w:vertAlign w:val="superscript"/>
              </w:rPr>
              <w:t>a</w:t>
            </w:r>
            <w:proofErr w:type="spellEnd"/>
          </w:p>
        </w:tc>
        <w:tc>
          <w:tcPr>
            <w:tcW w:w="610"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593"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29"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39"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c>
          <w:tcPr>
            <w:tcW w:w="665"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511977" w:rsidRPr="000A6B0E" w:rsidRDefault="00511977" w:rsidP="00F20A4F">
            <w:pPr>
              <w:pStyle w:val="TableText0"/>
              <w:keepNext w:val="0"/>
              <w:jc w:val="center"/>
              <w:rPr>
                <w:b/>
              </w:rPr>
            </w:pPr>
            <w:r w:rsidRPr="000A6B0E">
              <w:rPr>
                <w:b/>
              </w:rPr>
              <w:t>$</w:t>
            </w:r>
            <w:r w:rsidR="00153EAE">
              <w:rPr>
                <w:b/>
                <w:noProof/>
                <w:color w:val="000000"/>
                <w:highlight w:val="black"/>
              </w:rPr>
              <w:t>'''''''''''''''''''''</w:t>
            </w:r>
          </w:p>
        </w:tc>
      </w:tr>
    </w:tbl>
    <w:p w:rsidR="000A707B" w:rsidRDefault="000A6B0E" w:rsidP="00C61895">
      <w:pPr>
        <w:pStyle w:val="TableFooter"/>
        <w:ind w:left="709"/>
      </w:pPr>
      <w:proofErr w:type="spellStart"/>
      <w:r w:rsidRPr="00B302B4">
        <w:rPr>
          <w:vertAlign w:val="superscript"/>
        </w:rPr>
        <w:t>a</w:t>
      </w:r>
      <w:proofErr w:type="spellEnd"/>
      <w:r>
        <w:t xml:space="preserve"> </w:t>
      </w:r>
      <w:r w:rsidR="00B302B4">
        <w:t>These e</w:t>
      </w:r>
      <w:r w:rsidR="0095055D">
        <w:t xml:space="preserve">stimates </w:t>
      </w:r>
      <w:r w:rsidR="00B302B4">
        <w:t xml:space="preserve">were </w:t>
      </w:r>
      <w:r w:rsidR="000A707B">
        <w:t>revised</w:t>
      </w:r>
      <w:r w:rsidR="0095055D">
        <w:t xml:space="preserve"> to take into account </w:t>
      </w:r>
      <w:proofErr w:type="spellStart"/>
      <w:r w:rsidR="000A707B">
        <w:t>i</w:t>
      </w:r>
      <w:proofErr w:type="spellEnd"/>
      <w:r w:rsidR="000A707B">
        <w:t xml:space="preserve">) testing irrespective of disease stage; ii) </w:t>
      </w:r>
      <w:r w:rsidR="000A707B" w:rsidRPr="00567B8D">
        <w:t xml:space="preserve">the updated administrations of pembrolizumab (13.0) and </w:t>
      </w:r>
      <w:proofErr w:type="spellStart"/>
      <w:r w:rsidR="000A707B" w:rsidRPr="00567B8D">
        <w:t>pemetrexed</w:t>
      </w:r>
      <w:proofErr w:type="spellEnd"/>
      <w:r w:rsidR="000A707B" w:rsidRPr="00567B8D">
        <w:t xml:space="preserve"> (9.0)</w:t>
      </w:r>
      <w:r w:rsidR="00B302B4">
        <w:t xml:space="preserve"> in the PSCR</w:t>
      </w:r>
      <w:r w:rsidR="000A707B">
        <w:t>; iii) the proposed price reduction of pembrolizumab</w:t>
      </w:r>
      <w:r w:rsidR="00B302B4">
        <w:t xml:space="preserve"> in the PSCR</w:t>
      </w:r>
      <w:r w:rsidR="000A707B">
        <w:t xml:space="preserve">; iv) the maximum dose of pembrolizumab; v) the efficient combination of </w:t>
      </w:r>
      <w:proofErr w:type="spellStart"/>
      <w:r w:rsidR="000A707B">
        <w:t>docetaxel</w:t>
      </w:r>
      <w:proofErr w:type="spellEnd"/>
      <w:r w:rsidR="000A707B">
        <w:t xml:space="preserve"> vials; vi) the maximum dose of </w:t>
      </w:r>
      <w:proofErr w:type="spellStart"/>
      <w:r w:rsidR="000A707B">
        <w:t>pemetre</w:t>
      </w:r>
      <w:r w:rsidR="00511977">
        <w:t>xed</w:t>
      </w:r>
      <w:proofErr w:type="spellEnd"/>
      <w:r w:rsidR="00511977">
        <w:t>;</w:t>
      </w:r>
      <w:r w:rsidR="000A707B">
        <w:t xml:space="preserve"> vii) the updated Efficient Funding of Chemotherapy fees (1 July, 2016), </w:t>
      </w:r>
      <w:r w:rsidR="00511977">
        <w:t xml:space="preserve">and viii) 10% increase in the number of patients with Stage IIIB/IV disease at diagnosis (65% </w:t>
      </w:r>
      <w:proofErr w:type="spellStart"/>
      <w:r w:rsidR="00511977">
        <w:t>vs</w:t>
      </w:r>
      <w:proofErr w:type="spellEnd"/>
      <w:r w:rsidR="00511977">
        <w:t xml:space="preserve"> 55%)</w:t>
      </w:r>
      <w:r w:rsidR="00B302B4">
        <w:t xml:space="preserve"> in the PSCR</w:t>
      </w:r>
      <w:r w:rsidR="00511977">
        <w:t xml:space="preserve">, </w:t>
      </w:r>
      <w:r w:rsidR="000A707B">
        <w:t>as denoted.</w:t>
      </w:r>
    </w:p>
    <w:p w:rsidR="0095055D" w:rsidRDefault="0095055D" w:rsidP="00C61895">
      <w:pPr>
        <w:pStyle w:val="TableFooter"/>
        <w:ind w:left="709"/>
      </w:pPr>
      <w:r>
        <w:t xml:space="preserve">Source: Table E.5-9, p392 of the submission and Table E.4-1, p387 </w:t>
      </w:r>
      <w:r w:rsidR="00480330">
        <w:t>o</w:t>
      </w:r>
      <w:r>
        <w:t>f the submission.</w:t>
      </w:r>
    </w:p>
    <w:p w:rsidR="0095055D" w:rsidRDefault="0095055D" w:rsidP="00A36DD4">
      <w:pPr>
        <w:rPr>
          <w:rFonts w:cs="Calibri"/>
        </w:rPr>
      </w:pPr>
    </w:p>
    <w:p w:rsidR="0095055D" w:rsidRPr="009015FA" w:rsidRDefault="0095055D" w:rsidP="009C3A29">
      <w:pPr>
        <w:pStyle w:val="ListParagraph"/>
        <w:numPr>
          <w:ilvl w:val="1"/>
          <w:numId w:val="3"/>
        </w:numPr>
        <w:ind w:left="720"/>
        <w:rPr>
          <w:rFonts w:ascii="Arial" w:hAnsi="Arial" w:cs="Arial"/>
          <w:sz w:val="22"/>
        </w:rPr>
      </w:pPr>
      <w:r w:rsidRPr="009015FA">
        <w:rPr>
          <w:rFonts w:ascii="Arial" w:hAnsi="Arial" w:cs="Arial"/>
          <w:sz w:val="22"/>
        </w:rPr>
        <w:t>There is potential for the net cost/year for the Government to be greater than the estimate in the submission due to underestimated costs to the MBS and PBS, and overestimated cost</w:t>
      </w:r>
      <w:r w:rsidR="00900ABC">
        <w:rPr>
          <w:rFonts w:ascii="Arial" w:hAnsi="Arial" w:cs="Arial"/>
          <w:sz w:val="22"/>
        </w:rPr>
        <w:t xml:space="preserve"> </w:t>
      </w:r>
      <w:r w:rsidRPr="009015FA">
        <w:rPr>
          <w:rFonts w:ascii="Arial" w:hAnsi="Arial" w:cs="Arial"/>
          <w:sz w:val="22"/>
        </w:rPr>
        <w:t>offsets.</w:t>
      </w:r>
    </w:p>
    <w:p w:rsidR="0095055D" w:rsidRPr="009015FA" w:rsidRDefault="0095055D" w:rsidP="00A36DD4">
      <w:pPr>
        <w:rPr>
          <w:rFonts w:ascii="Arial" w:hAnsi="Arial" w:cs="Arial"/>
          <w:sz w:val="22"/>
        </w:rPr>
      </w:pPr>
    </w:p>
    <w:p w:rsidR="0095055D"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As the proposed TGA indication of pembrolizumab is for use in patients who express PD-L1, there is potential for usage outside of the requested listing in patients who weakly express PD-L1 (TPS 1‒49%). There may be potential for off-label use of pembrolizumab in an unselected population – particularly in patients with squamous histology as the evidence does not conclusively support treatment effect modification by PD-L1 status, and if </w:t>
      </w:r>
      <w:proofErr w:type="spellStart"/>
      <w:r w:rsidR="0083696A" w:rsidRPr="009015FA">
        <w:rPr>
          <w:rFonts w:ascii="Arial" w:hAnsi="Arial" w:cs="Arial"/>
          <w:sz w:val="22"/>
        </w:rPr>
        <w:t>nivolumab</w:t>
      </w:r>
      <w:proofErr w:type="spellEnd"/>
      <w:r w:rsidRPr="009015FA">
        <w:rPr>
          <w:rFonts w:ascii="Arial" w:hAnsi="Arial" w:cs="Arial"/>
          <w:sz w:val="22"/>
        </w:rPr>
        <w:t xml:space="preserve"> (another PD-1 inhibitor) is listed</w:t>
      </w:r>
      <w:r w:rsidR="00900ABC">
        <w:rPr>
          <w:rFonts w:ascii="Arial" w:hAnsi="Arial" w:cs="Arial"/>
          <w:sz w:val="22"/>
        </w:rPr>
        <w:t xml:space="preserve"> </w:t>
      </w:r>
      <w:r w:rsidR="00173899">
        <w:rPr>
          <w:rFonts w:ascii="Arial" w:hAnsi="Arial" w:cs="Arial"/>
          <w:sz w:val="22"/>
        </w:rPr>
        <w:t>i</w:t>
      </w:r>
      <w:r w:rsidR="00900ABC">
        <w:rPr>
          <w:rFonts w:ascii="Arial" w:hAnsi="Arial" w:cs="Arial"/>
          <w:sz w:val="22"/>
        </w:rPr>
        <w:t>n the PBS</w:t>
      </w:r>
      <w:r w:rsidRPr="009015FA">
        <w:rPr>
          <w:rFonts w:ascii="Arial" w:hAnsi="Arial" w:cs="Arial"/>
          <w:sz w:val="22"/>
        </w:rPr>
        <w:t>, as has been requested, without reference to PD-L1 status.</w:t>
      </w:r>
      <w:r w:rsidR="004C7DB6" w:rsidRPr="004C7DB6">
        <w:rPr>
          <w:rFonts w:ascii="Arial" w:hAnsi="Arial" w:cs="Arial"/>
          <w:sz w:val="22"/>
        </w:rPr>
        <w:t xml:space="preserve"> </w:t>
      </w:r>
      <w:r w:rsidR="004C7DB6" w:rsidRPr="00675587">
        <w:rPr>
          <w:rFonts w:ascii="Arial" w:hAnsi="Arial" w:cs="Arial"/>
          <w:sz w:val="22"/>
        </w:rPr>
        <w:t>The PSCR (p8) proposed that the risk of leakage be addressed through a Risk Share Arrangement.</w:t>
      </w:r>
    </w:p>
    <w:p w:rsidR="00F3099D" w:rsidRDefault="00F3099D" w:rsidP="00CC4396">
      <w:pPr>
        <w:pStyle w:val="ListParagraph"/>
        <w:ind w:left="0" w:firstLine="0"/>
        <w:rPr>
          <w:rFonts w:ascii="Arial" w:hAnsi="Arial" w:cs="Arial"/>
          <w:sz w:val="22"/>
        </w:rPr>
      </w:pPr>
    </w:p>
    <w:p w:rsidR="00F3099D" w:rsidRPr="009015FA" w:rsidRDefault="00F3099D" w:rsidP="009C3A29">
      <w:pPr>
        <w:pStyle w:val="ListParagraph"/>
        <w:numPr>
          <w:ilvl w:val="1"/>
          <w:numId w:val="3"/>
        </w:numPr>
        <w:ind w:left="720"/>
        <w:rPr>
          <w:rFonts w:ascii="Arial" w:hAnsi="Arial" w:cs="Arial"/>
          <w:sz w:val="22"/>
        </w:rPr>
      </w:pPr>
      <w:r>
        <w:rPr>
          <w:rFonts w:ascii="Arial" w:hAnsi="Arial" w:cs="Arial"/>
          <w:sz w:val="22"/>
        </w:rPr>
        <w:t xml:space="preserve">The PBAC noted that in the scenario </w:t>
      </w:r>
      <w:r w:rsidR="00CC4396">
        <w:rPr>
          <w:rFonts w:ascii="Arial" w:hAnsi="Arial" w:cs="Arial"/>
          <w:sz w:val="22"/>
        </w:rPr>
        <w:t xml:space="preserve">analysis </w:t>
      </w:r>
      <w:r>
        <w:rPr>
          <w:rFonts w:ascii="Arial" w:hAnsi="Arial" w:cs="Arial"/>
          <w:sz w:val="22"/>
        </w:rPr>
        <w:t xml:space="preserve">where </w:t>
      </w:r>
      <w:r w:rsidR="00CC4396">
        <w:rPr>
          <w:rFonts w:ascii="Arial" w:hAnsi="Arial" w:cs="Arial"/>
          <w:sz w:val="22"/>
        </w:rPr>
        <w:t>a</w:t>
      </w:r>
      <w:r>
        <w:rPr>
          <w:rFonts w:ascii="Arial" w:hAnsi="Arial" w:cs="Arial"/>
          <w:sz w:val="22"/>
        </w:rPr>
        <w:t xml:space="preserve"> PD-L1 expression threshold of TPS ≥1% was used instead of the base case of TPS ≥50%, </w:t>
      </w:r>
      <w:r w:rsidRPr="00675587">
        <w:rPr>
          <w:rFonts w:ascii="Arial" w:hAnsi="Arial" w:cs="Arial"/>
          <w:sz w:val="22"/>
          <w:lang w:val="en-GB"/>
        </w:rPr>
        <w:t>the overall net cost of PD-L1 testing and pembrolizumab to the Governme</w:t>
      </w:r>
      <w:r>
        <w:rPr>
          <w:rFonts w:ascii="Arial" w:hAnsi="Arial" w:cs="Arial"/>
          <w:sz w:val="22"/>
          <w:lang w:val="en-GB"/>
        </w:rPr>
        <w:t xml:space="preserve">nt would be approximately </w:t>
      </w:r>
      <w:r w:rsidR="006101B6">
        <w:rPr>
          <w:rFonts w:ascii="Arial" w:hAnsi="Arial" w:cs="Arial"/>
          <w:sz w:val="22"/>
          <w:lang w:val="en-GB"/>
        </w:rPr>
        <w:t>more than</w:t>
      </w:r>
      <w:r w:rsidR="00824ECD">
        <w:rPr>
          <w:rFonts w:ascii="Arial" w:hAnsi="Arial" w:cs="Arial"/>
          <w:sz w:val="22"/>
          <w:lang w:val="en-GB"/>
        </w:rPr>
        <w:t xml:space="preserve"> $100</w:t>
      </w:r>
      <w:r w:rsidRPr="00675587">
        <w:rPr>
          <w:rFonts w:ascii="Arial" w:hAnsi="Arial" w:cs="Arial"/>
          <w:sz w:val="22"/>
          <w:lang w:val="en-GB"/>
        </w:rPr>
        <w:t xml:space="preserve"> million over the first five years</w:t>
      </w:r>
      <w:r>
        <w:rPr>
          <w:rFonts w:ascii="Arial" w:hAnsi="Arial" w:cs="Arial"/>
          <w:sz w:val="22"/>
          <w:lang w:val="en-GB"/>
        </w:rPr>
        <w:t xml:space="preserve"> of listing (not including the updated figures from the PSCR, which would increase the estimated 5-year financial estimates).</w:t>
      </w:r>
    </w:p>
    <w:p w:rsidR="0095055D" w:rsidRPr="009015FA" w:rsidRDefault="0095055D" w:rsidP="009015FA">
      <w:pPr>
        <w:pStyle w:val="Heading2"/>
        <w:keepNext w:val="0"/>
        <w:ind w:left="0" w:firstLine="0"/>
        <w:rPr>
          <w:rFonts w:ascii="Arial" w:hAnsi="Arial" w:cs="Arial"/>
          <w:b/>
          <w:sz w:val="22"/>
          <w:szCs w:val="22"/>
        </w:rPr>
      </w:pPr>
      <w:bookmarkStart w:id="42" w:name="_Toc461627102"/>
      <w:r w:rsidRPr="009015FA">
        <w:rPr>
          <w:rFonts w:ascii="Arial" w:hAnsi="Arial" w:cs="Arial"/>
          <w:b/>
          <w:sz w:val="22"/>
          <w:szCs w:val="22"/>
        </w:rPr>
        <w:t>Quality Use of Medicines</w:t>
      </w:r>
      <w:bookmarkEnd w:id="38"/>
      <w:bookmarkEnd w:id="42"/>
    </w:p>
    <w:p w:rsidR="00B8619A" w:rsidRPr="009015FA" w:rsidRDefault="00B8619A" w:rsidP="009C3A29">
      <w:pPr>
        <w:pStyle w:val="ListParagraph"/>
        <w:numPr>
          <w:ilvl w:val="1"/>
          <w:numId w:val="3"/>
        </w:numPr>
        <w:ind w:left="720"/>
        <w:rPr>
          <w:rFonts w:ascii="Arial" w:hAnsi="Arial" w:cs="Arial"/>
          <w:sz w:val="22"/>
        </w:rPr>
      </w:pPr>
      <w:r w:rsidRPr="009015FA">
        <w:rPr>
          <w:rFonts w:ascii="Arial" w:hAnsi="Arial" w:cs="Arial"/>
          <w:sz w:val="22"/>
        </w:rPr>
        <w:t>Although not the recommended dose in the pembrolizumab draft Product Information</w:t>
      </w:r>
      <w:r w:rsidR="00173899">
        <w:rPr>
          <w:rFonts w:ascii="Arial" w:hAnsi="Arial" w:cs="Arial"/>
          <w:sz w:val="22"/>
        </w:rPr>
        <w:t xml:space="preserve"> for NSCLC</w:t>
      </w:r>
      <w:r w:rsidRPr="009015FA">
        <w:rPr>
          <w:rFonts w:ascii="Arial" w:hAnsi="Arial" w:cs="Arial"/>
          <w:sz w:val="22"/>
        </w:rPr>
        <w:t xml:space="preserve">, there was some indication from Trial KN-010 that pembrolizumab 10 mg/kg was associated with larger median OS gain versus </w:t>
      </w:r>
      <w:proofErr w:type="spellStart"/>
      <w:r w:rsidRPr="009015FA">
        <w:rPr>
          <w:rFonts w:ascii="Arial" w:hAnsi="Arial" w:cs="Arial"/>
          <w:sz w:val="22"/>
        </w:rPr>
        <w:t>docetaxel</w:t>
      </w:r>
      <w:proofErr w:type="spellEnd"/>
      <w:r w:rsidRPr="009015FA">
        <w:rPr>
          <w:rFonts w:ascii="Arial" w:hAnsi="Arial" w:cs="Arial"/>
          <w:sz w:val="22"/>
        </w:rPr>
        <w:t xml:space="preserve"> compared to the pembrolizumab 2 mg/kg dose. Whether future regulatory decisions and clinical practice would conform to this evidence and whether there would be any impact on quality use of medicine, economic and financial issues remain</w:t>
      </w:r>
      <w:r w:rsidR="00173899">
        <w:rPr>
          <w:rFonts w:ascii="Arial" w:hAnsi="Arial" w:cs="Arial"/>
          <w:sz w:val="22"/>
        </w:rPr>
        <w:t>ed</w:t>
      </w:r>
      <w:r w:rsidRPr="009015FA">
        <w:rPr>
          <w:rFonts w:ascii="Arial" w:hAnsi="Arial" w:cs="Arial"/>
          <w:sz w:val="22"/>
        </w:rPr>
        <w:t xml:space="preserve"> uncertain.</w:t>
      </w:r>
      <w:r w:rsidR="00900ABC">
        <w:rPr>
          <w:rFonts w:ascii="Arial" w:hAnsi="Arial" w:cs="Arial"/>
          <w:sz w:val="22"/>
        </w:rPr>
        <w:t xml:space="preserve"> </w:t>
      </w:r>
      <w:r w:rsidR="00173899" w:rsidRPr="00675587">
        <w:rPr>
          <w:rFonts w:ascii="Arial" w:hAnsi="Arial" w:cs="Arial"/>
          <w:sz w:val="22"/>
        </w:rPr>
        <w:t>Similar issues would arise if shifting to a 200 mg dose without reference to body weight</w:t>
      </w:r>
      <w:r w:rsidR="00173899" w:rsidRPr="00C85952">
        <w:rPr>
          <w:rFonts w:ascii="Arial" w:hAnsi="Arial" w:cs="Arial"/>
          <w:i/>
          <w:sz w:val="22"/>
        </w:rPr>
        <w:t>.</w:t>
      </w:r>
    </w:p>
    <w:p w:rsidR="0095055D" w:rsidRPr="009015FA" w:rsidRDefault="0095055D" w:rsidP="009015FA">
      <w:pPr>
        <w:pStyle w:val="Heading2"/>
        <w:keepNext w:val="0"/>
        <w:ind w:left="0" w:firstLine="0"/>
        <w:rPr>
          <w:rFonts w:ascii="Arial" w:hAnsi="Arial" w:cs="Arial"/>
          <w:b/>
          <w:sz w:val="22"/>
          <w:szCs w:val="22"/>
        </w:rPr>
      </w:pPr>
      <w:bookmarkStart w:id="43" w:name="_Toc461627103"/>
      <w:r w:rsidRPr="009015FA">
        <w:rPr>
          <w:rFonts w:ascii="Arial" w:hAnsi="Arial" w:cs="Arial"/>
          <w:b/>
          <w:sz w:val="22"/>
          <w:szCs w:val="22"/>
        </w:rPr>
        <w:t>Financial Management – Risk Sharing Arrangements</w:t>
      </w:r>
      <w:bookmarkEnd w:id="43"/>
    </w:p>
    <w:p w:rsidR="00F44D3E" w:rsidRDefault="0095055D" w:rsidP="009C3A29">
      <w:pPr>
        <w:pStyle w:val="ListParagraph"/>
        <w:numPr>
          <w:ilvl w:val="1"/>
          <w:numId w:val="3"/>
        </w:numPr>
        <w:ind w:left="720"/>
        <w:rPr>
          <w:rFonts w:ascii="Arial" w:hAnsi="Arial" w:cs="Arial"/>
          <w:sz w:val="22"/>
        </w:rPr>
      </w:pPr>
      <w:r w:rsidRPr="009015FA">
        <w:rPr>
          <w:rFonts w:ascii="Arial" w:hAnsi="Arial" w:cs="Arial"/>
          <w:sz w:val="22"/>
        </w:rPr>
        <w:t xml:space="preserve">The submission proposed a Special Pricing Arrangement (SPA) where the published price is greater than the effective price. </w:t>
      </w:r>
    </w:p>
    <w:p w:rsidR="0095055D" w:rsidRDefault="0095055D" w:rsidP="009015FA">
      <w:pPr>
        <w:pStyle w:val="Heading2"/>
        <w:keepNext w:val="0"/>
        <w:ind w:left="0" w:firstLine="0"/>
        <w:rPr>
          <w:rFonts w:ascii="Arial" w:hAnsi="Arial" w:cs="Arial"/>
          <w:b/>
          <w:sz w:val="22"/>
          <w:szCs w:val="22"/>
        </w:rPr>
      </w:pPr>
      <w:bookmarkStart w:id="44" w:name="_Toc461627104"/>
      <w:bookmarkStart w:id="45" w:name="_Toc431891754"/>
      <w:r w:rsidRPr="009015FA">
        <w:rPr>
          <w:rFonts w:ascii="Arial" w:hAnsi="Arial" w:cs="Arial"/>
          <w:b/>
          <w:sz w:val="22"/>
          <w:szCs w:val="22"/>
        </w:rPr>
        <w:t>Other relevant factors</w:t>
      </w:r>
      <w:bookmarkEnd w:id="44"/>
    </w:p>
    <w:p w:rsidR="00F44D3E" w:rsidRDefault="00F44D3E" w:rsidP="00F44D3E">
      <w:pPr>
        <w:rPr>
          <w:rFonts w:ascii="Arial" w:hAnsi="Arial" w:cs="Arial"/>
          <w:i/>
          <w:sz w:val="22"/>
          <w:u w:val="single"/>
        </w:rPr>
      </w:pPr>
      <w:r>
        <w:rPr>
          <w:rFonts w:ascii="Arial" w:hAnsi="Arial" w:cs="Arial"/>
          <w:i/>
          <w:sz w:val="22"/>
          <w:u w:val="single"/>
        </w:rPr>
        <w:t>Impact of patient age on treatment response</w:t>
      </w:r>
    </w:p>
    <w:p w:rsidR="00173899" w:rsidRPr="00173899" w:rsidRDefault="00173899" w:rsidP="00173899">
      <w:pPr>
        <w:pStyle w:val="ListParagraph"/>
        <w:ind w:left="0" w:firstLine="0"/>
        <w:rPr>
          <w:rFonts w:ascii="Arial" w:hAnsi="Arial" w:cs="Arial"/>
          <w:bCs/>
          <w:sz w:val="22"/>
          <w:szCs w:val="22"/>
          <w:lang w:eastAsia="en-AU"/>
        </w:rPr>
      </w:pPr>
    </w:p>
    <w:p w:rsidR="00F44D3E" w:rsidRPr="00675587" w:rsidRDefault="00F44D3E" w:rsidP="009C3A29">
      <w:pPr>
        <w:pStyle w:val="ListParagraph"/>
        <w:numPr>
          <w:ilvl w:val="1"/>
          <w:numId w:val="3"/>
        </w:numPr>
        <w:ind w:left="720"/>
        <w:rPr>
          <w:rFonts w:ascii="Arial" w:hAnsi="Arial" w:cs="Arial"/>
          <w:bCs/>
          <w:sz w:val="22"/>
          <w:szCs w:val="22"/>
          <w:lang w:eastAsia="en-AU"/>
        </w:rPr>
      </w:pPr>
      <w:r w:rsidRPr="00675587">
        <w:rPr>
          <w:rFonts w:ascii="Arial" w:hAnsi="Arial" w:cs="Arial"/>
          <w:sz w:val="22"/>
        </w:rPr>
        <w:t>The ESC</w:t>
      </w:r>
      <w:r w:rsidR="00F01BA7" w:rsidRPr="00675587">
        <w:rPr>
          <w:rFonts w:ascii="Arial" w:hAnsi="Arial" w:cs="Arial"/>
          <w:sz w:val="22"/>
        </w:rPr>
        <w:t>s</w:t>
      </w:r>
      <w:r w:rsidRPr="00675587">
        <w:rPr>
          <w:rFonts w:ascii="Arial" w:hAnsi="Arial" w:cs="Arial"/>
          <w:sz w:val="22"/>
        </w:rPr>
        <w:t xml:space="preserve"> discussed whether the OS outcomes varied by age and </w:t>
      </w:r>
      <w:r w:rsidR="00F01BA7" w:rsidRPr="00675587">
        <w:rPr>
          <w:rFonts w:ascii="Arial" w:hAnsi="Arial" w:cs="Arial"/>
          <w:sz w:val="22"/>
        </w:rPr>
        <w:t>whether</w:t>
      </w:r>
      <w:r w:rsidRPr="00675587">
        <w:rPr>
          <w:rFonts w:ascii="Arial" w:hAnsi="Arial" w:cs="Arial"/>
          <w:sz w:val="22"/>
        </w:rPr>
        <w:t xml:space="preserve"> this would represent applicability issues to the </w:t>
      </w:r>
      <w:r w:rsidR="00F419B4" w:rsidRPr="00675587">
        <w:rPr>
          <w:rFonts w:ascii="Arial" w:hAnsi="Arial" w:cs="Arial"/>
          <w:sz w:val="22"/>
        </w:rPr>
        <w:t>potential</w:t>
      </w:r>
      <w:r w:rsidRPr="00675587">
        <w:rPr>
          <w:rFonts w:ascii="Arial" w:hAnsi="Arial" w:cs="Arial"/>
          <w:sz w:val="22"/>
        </w:rPr>
        <w:t xml:space="preserve"> PBS population</w:t>
      </w:r>
      <w:r w:rsidR="00F419B4" w:rsidRPr="00675587">
        <w:rPr>
          <w:rFonts w:ascii="Arial" w:hAnsi="Arial" w:cs="Arial"/>
          <w:sz w:val="22"/>
        </w:rPr>
        <w:t xml:space="preserve"> who might be</w:t>
      </w:r>
      <w:r w:rsidRPr="00675587">
        <w:rPr>
          <w:rFonts w:ascii="Arial" w:hAnsi="Arial" w:cs="Arial"/>
          <w:sz w:val="22"/>
        </w:rPr>
        <w:t xml:space="preserve"> </w:t>
      </w:r>
      <w:r w:rsidR="00173899" w:rsidRPr="00675587">
        <w:rPr>
          <w:rFonts w:ascii="Arial" w:hAnsi="Arial" w:cs="Arial"/>
          <w:sz w:val="22"/>
        </w:rPr>
        <w:t xml:space="preserve">substantially </w:t>
      </w:r>
      <w:r w:rsidRPr="00675587">
        <w:rPr>
          <w:rFonts w:ascii="Arial" w:hAnsi="Arial" w:cs="Arial"/>
          <w:sz w:val="22"/>
        </w:rPr>
        <w:t xml:space="preserve">older </w:t>
      </w:r>
      <w:r w:rsidR="00173899" w:rsidRPr="00675587">
        <w:rPr>
          <w:rFonts w:ascii="Arial" w:hAnsi="Arial" w:cs="Arial"/>
          <w:sz w:val="22"/>
        </w:rPr>
        <w:t xml:space="preserve">on average </w:t>
      </w:r>
      <w:r w:rsidRPr="00675587">
        <w:rPr>
          <w:rFonts w:ascii="Arial" w:hAnsi="Arial" w:cs="Arial"/>
          <w:sz w:val="22"/>
        </w:rPr>
        <w:t>than the patients enrolled in KN-010</w:t>
      </w:r>
      <w:r w:rsidR="007274C4" w:rsidRPr="00675587">
        <w:rPr>
          <w:rFonts w:ascii="Arial" w:hAnsi="Arial" w:cs="Arial"/>
          <w:sz w:val="22"/>
        </w:rPr>
        <w:t xml:space="preserve"> (median age of pembrolizumab patients = 63 years)</w:t>
      </w:r>
      <w:r w:rsidRPr="00675587">
        <w:rPr>
          <w:rFonts w:ascii="Arial" w:hAnsi="Arial" w:cs="Arial"/>
          <w:sz w:val="22"/>
        </w:rPr>
        <w:t>. The HR for OS of pembrolizumab 2</w:t>
      </w:r>
      <w:r w:rsidR="00173899" w:rsidRPr="00675587">
        <w:rPr>
          <w:rFonts w:ascii="Arial" w:hAnsi="Arial" w:cs="Arial"/>
          <w:sz w:val="22"/>
        </w:rPr>
        <w:t> </w:t>
      </w:r>
      <w:r w:rsidRPr="00675587">
        <w:rPr>
          <w:rFonts w:ascii="Arial" w:hAnsi="Arial" w:cs="Arial"/>
          <w:sz w:val="22"/>
        </w:rPr>
        <w:t xml:space="preserve">mg/kg versus </w:t>
      </w:r>
      <w:proofErr w:type="spellStart"/>
      <w:r w:rsidRPr="00675587">
        <w:rPr>
          <w:rFonts w:ascii="Arial" w:hAnsi="Arial" w:cs="Arial"/>
          <w:sz w:val="22"/>
        </w:rPr>
        <w:t>docetaxel</w:t>
      </w:r>
      <w:proofErr w:type="spellEnd"/>
      <w:r w:rsidRPr="00675587">
        <w:rPr>
          <w:rFonts w:ascii="Arial" w:hAnsi="Arial" w:cs="Arial"/>
          <w:sz w:val="22"/>
        </w:rPr>
        <w:t xml:space="preserve"> from KN-010 is presented in Table</w:t>
      </w:r>
      <w:r w:rsidR="007274C4" w:rsidRPr="00675587">
        <w:rPr>
          <w:rFonts w:ascii="Arial" w:hAnsi="Arial" w:cs="Arial"/>
          <w:sz w:val="22"/>
        </w:rPr>
        <w:t xml:space="preserve"> 2</w:t>
      </w:r>
      <w:r w:rsidR="006405DD">
        <w:rPr>
          <w:rFonts w:ascii="Arial" w:hAnsi="Arial" w:cs="Arial"/>
          <w:sz w:val="22"/>
        </w:rPr>
        <w:t>6</w:t>
      </w:r>
      <w:r w:rsidR="007274C4" w:rsidRPr="00675587">
        <w:rPr>
          <w:rFonts w:ascii="Arial" w:hAnsi="Arial" w:cs="Arial"/>
          <w:sz w:val="22"/>
        </w:rPr>
        <w:t>.</w:t>
      </w:r>
    </w:p>
    <w:p w:rsidR="00F44D3E" w:rsidRPr="00173899" w:rsidRDefault="00F44D3E" w:rsidP="00F44D3E">
      <w:pPr>
        <w:pStyle w:val="ListParagraph"/>
        <w:ind w:left="0" w:firstLine="0"/>
        <w:rPr>
          <w:rFonts w:ascii="Arial" w:hAnsi="Arial" w:cs="Arial"/>
          <w:bCs/>
          <w:sz w:val="22"/>
          <w:szCs w:val="22"/>
          <w:lang w:eastAsia="en-AU"/>
        </w:rPr>
      </w:pPr>
    </w:p>
    <w:p w:rsidR="00F44D3E" w:rsidRPr="00C00F1D" w:rsidRDefault="00CA537F" w:rsidP="00824ECD">
      <w:pPr>
        <w:keepNext/>
        <w:ind w:left="720"/>
        <w:rPr>
          <w:rFonts w:ascii="Arial Narrow" w:eastAsia="Calibri" w:hAnsi="Arial Narrow"/>
          <w:b/>
          <w:bCs/>
          <w:sz w:val="20"/>
          <w:szCs w:val="20"/>
          <w:lang w:eastAsia="en-AU"/>
        </w:rPr>
      </w:pPr>
      <w:r>
        <w:rPr>
          <w:rFonts w:ascii="Arial Narrow" w:eastAsia="Calibri" w:hAnsi="Arial Narrow"/>
          <w:b/>
          <w:bCs/>
          <w:sz w:val="20"/>
          <w:szCs w:val="20"/>
          <w:lang w:eastAsia="en-AU"/>
        </w:rPr>
        <w:br w:type="page"/>
      </w:r>
      <w:r w:rsidR="00F44D3E" w:rsidRPr="00C00F1D">
        <w:rPr>
          <w:rFonts w:ascii="Arial Narrow" w:eastAsia="Calibri" w:hAnsi="Arial Narrow"/>
          <w:b/>
          <w:bCs/>
          <w:sz w:val="20"/>
          <w:szCs w:val="20"/>
          <w:lang w:eastAsia="en-AU"/>
        </w:rPr>
        <w:t>Table</w:t>
      </w:r>
      <w:r w:rsidR="007274C4" w:rsidRPr="00C00F1D">
        <w:rPr>
          <w:rFonts w:ascii="Arial Narrow" w:eastAsia="Calibri" w:hAnsi="Arial Narrow"/>
          <w:b/>
          <w:bCs/>
          <w:sz w:val="20"/>
          <w:szCs w:val="20"/>
          <w:lang w:eastAsia="en-AU"/>
        </w:rPr>
        <w:t xml:space="preserve"> 2</w:t>
      </w:r>
      <w:r w:rsidR="006405DD">
        <w:rPr>
          <w:rFonts w:ascii="Arial Narrow" w:eastAsia="Calibri" w:hAnsi="Arial Narrow"/>
          <w:b/>
          <w:bCs/>
          <w:sz w:val="20"/>
          <w:szCs w:val="20"/>
          <w:lang w:eastAsia="en-AU"/>
        </w:rPr>
        <w:t>6</w:t>
      </w:r>
      <w:r w:rsidR="00F44D3E" w:rsidRPr="00C00F1D">
        <w:rPr>
          <w:rFonts w:ascii="Arial Narrow" w:eastAsia="Calibri" w:hAnsi="Arial Narrow"/>
          <w:b/>
          <w:bCs/>
          <w:sz w:val="20"/>
          <w:szCs w:val="20"/>
          <w:lang w:eastAsia="en-AU"/>
        </w:rPr>
        <w:t xml:space="preserve">: Pembrolizumab KN-010 (regardless of histology), OS HR by age (in years) for pembrolizumab, 2 mg/kg Q3W </w:t>
      </w:r>
      <w:proofErr w:type="spellStart"/>
      <w:r w:rsidR="00F44D3E" w:rsidRPr="00C00F1D">
        <w:rPr>
          <w:rFonts w:ascii="Arial Narrow" w:eastAsia="Calibri" w:hAnsi="Arial Narrow"/>
          <w:b/>
          <w:bCs/>
          <w:sz w:val="20"/>
          <w:szCs w:val="20"/>
          <w:lang w:eastAsia="en-AU"/>
        </w:rPr>
        <w:t>vs</w:t>
      </w:r>
      <w:proofErr w:type="spellEnd"/>
      <w:r w:rsidR="00F44D3E" w:rsidRPr="00C00F1D">
        <w:rPr>
          <w:rFonts w:ascii="Arial Narrow" w:eastAsia="Calibri" w:hAnsi="Arial Narrow"/>
          <w:b/>
          <w:bCs/>
          <w:sz w:val="20"/>
          <w:szCs w:val="20"/>
          <w:lang w:eastAsia="en-AU"/>
        </w:rPr>
        <w:t xml:space="preserve"> </w:t>
      </w:r>
      <w:proofErr w:type="spellStart"/>
      <w:r w:rsidR="00F44D3E" w:rsidRPr="00C00F1D">
        <w:rPr>
          <w:rFonts w:ascii="Arial Narrow" w:eastAsia="Calibri" w:hAnsi="Arial Narrow"/>
          <w:b/>
          <w:bCs/>
          <w:sz w:val="20"/>
          <w:szCs w:val="20"/>
          <w:lang w:eastAsia="en-AU"/>
        </w:rPr>
        <w:t>docetaxel</w:t>
      </w:r>
      <w:proofErr w:type="spellEnd"/>
    </w:p>
    <w:tbl>
      <w:tblPr>
        <w:tblW w:w="4604" w:type="pc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126"/>
        <w:gridCol w:w="2268"/>
        <w:gridCol w:w="3970"/>
      </w:tblGrid>
      <w:tr w:rsidR="007274C4" w:rsidRPr="00C00F1D" w:rsidTr="00824ECD">
        <w:tc>
          <w:tcPr>
            <w:tcW w:w="1271" w:type="pct"/>
            <w:shd w:val="clear" w:color="auto" w:fill="auto"/>
          </w:tcPr>
          <w:p w:rsidR="00F44D3E" w:rsidRPr="00C00F1D" w:rsidRDefault="007274C4" w:rsidP="004E4DE0">
            <w:pPr>
              <w:keepNext/>
              <w:rPr>
                <w:rFonts w:ascii="Arial Narrow" w:eastAsia="Calibri" w:hAnsi="Arial Narrow"/>
                <w:b/>
                <w:bCs/>
                <w:sz w:val="20"/>
                <w:szCs w:val="20"/>
              </w:rPr>
            </w:pPr>
            <w:r w:rsidRPr="00C00F1D">
              <w:rPr>
                <w:rFonts w:ascii="Arial Narrow" w:eastAsia="Calibri" w:hAnsi="Arial Narrow"/>
                <w:b/>
                <w:bCs/>
                <w:sz w:val="20"/>
                <w:szCs w:val="20"/>
              </w:rPr>
              <w:t>Population</w:t>
            </w:r>
          </w:p>
        </w:tc>
        <w:tc>
          <w:tcPr>
            <w:tcW w:w="1356" w:type="pct"/>
            <w:shd w:val="clear" w:color="auto" w:fill="auto"/>
          </w:tcPr>
          <w:p w:rsidR="00F44D3E" w:rsidRPr="00C00F1D" w:rsidRDefault="00F44D3E" w:rsidP="004E4DE0">
            <w:pPr>
              <w:keepNext/>
              <w:jc w:val="center"/>
              <w:rPr>
                <w:rFonts w:ascii="Arial Narrow" w:eastAsia="Calibri" w:hAnsi="Arial Narrow"/>
                <w:b/>
                <w:bCs/>
                <w:sz w:val="20"/>
                <w:szCs w:val="20"/>
              </w:rPr>
            </w:pPr>
            <w:r w:rsidRPr="00C00F1D">
              <w:rPr>
                <w:rFonts w:ascii="Arial Narrow" w:eastAsia="Calibri" w:hAnsi="Arial Narrow"/>
                <w:b/>
                <w:bCs/>
                <w:sz w:val="20"/>
                <w:szCs w:val="20"/>
              </w:rPr>
              <w:t>n events/N</w:t>
            </w:r>
          </w:p>
        </w:tc>
        <w:tc>
          <w:tcPr>
            <w:tcW w:w="2373" w:type="pct"/>
            <w:shd w:val="clear" w:color="auto" w:fill="auto"/>
          </w:tcPr>
          <w:p w:rsidR="00F44D3E" w:rsidRPr="00C00F1D" w:rsidRDefault="00F44D3E" w:rsidP="004E4DE0">
            <w:pPr>
              <w:keepNext/>
              <w:jc w:val="center"/>
              <w:rPr>
                <w:rFonts w:ascii="Arial Narrow" w:eastAsia="Calibri" w:hAnsi="Arial Narrow"/>
                <w:b/>
                <w:bCs/>
                <w:sz w:val="20"/>
                <w:szCs w:val="20"/>
              </w:rPr>
            </w:pPr>
            <w:r w:rsidRPr="00C00F1D">
              <w:rPr>
                <w:rFonts w:ascii="Arial Narrow" w:eastAsia="Calibri" w:hAnsi="Arial Narrow"/>
                <w:b/>
                <w:bCs/>
                <w:sz w:val="20"/>
                <w:szCs w:val="20"/>
              </w:rPr>
              <w:t>HR (95% CI)</w:t>
            </w:r>
          </w:p>
        </w:tc>
      </w:tr>
      <w:tr w:rsidR="00F44D3E" w:rsidRPr="00C00F1D" w:rsidTr="00824ECD">
        <w:tc>
          <w:tcPr>
            <w:tcW w:w="5000" w:type="pct"/>
            <w:gridSpan w:val="3"/>
            <w:shd w:val="clear" w:color="auto" w:fill="auto"/>
          </w:tcPr>
          <w:p w:rsidR="00F44D3E" w:rsidRPr="00C00F1D" w:rsidRDefault="007274C4" w:rsidP="004E4DE0">
            <w:pPr>
              <w:spacing w:line="252" w:lineRule="auto"/>
              <w:rPr>
                <w:rFonts w:ascii="Arial Narrow" w:eastAsia="Calibri" w:hAnsi="Arial Narrow"/>
                <w:sz w:val="20"/>
                <w:szCs w:val="20"/>
              </w:rPr>
            </w:pPr>
            <w:r w:rsidRPr="00C00F1D">
              <w:rPr>
                <w:rFonts w:ascii="Arial Narrow" w:eastAsia="Calibri" w:hAnsi="Arial Narrow"/>
                <w:b/>
                <w:sz w:val="20"/>
                <w:szCs w:val="20"/>
              </w:rPr>
              <w:t xml:space="preserve">ITT </w:t>
            </w:r>
            <w:r w:rsidR="00F44D3E" w:rsidRPr="00C00F1D">
              <w:rPr>
                <w:rFonts w:ascii="Arial Narrow" w:eastAsia="Calibri" w:hAnsi="Arial Narrow"/>
                <w:b/>
                <w:sz w:val="20"/>
                <w:szCs w:val="20"/>
              </w:rPr>
              <w:t>(PD-L1 TPS ≥1%)</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&lt;65</w:t>
            </w:r>
          </w:p>
        </w:tc>
        <w:tc>
          <w:tcPr>
            <w:tcW w:w="1356" w:type="pct"/>
            <w:shd w:val="clear" w:color="auto" w:fill="auto"/>
            <w:vAlign w:val="center"/>
          </w:tcPr>
          <w:p w:rsidR="00F44D3E" w:rsidRPr="00C00F1D" w:rsidRDefault="00F44D3E" w:rsidP="00824ECD">
            <w:pPr>
              <w:spacing w:line="252" w:lineRule="auto"/>
              <w:jc w:val="center"/>
              <w:rPr>
                <w:rFonts w:ascii="Arial Narrow" w:eastAsia="Calibri" w:hAnsi="Arial Narrow"/>
                <w:sz w:val="20"/>
                <w:szCs w:val="20"/>
              </w:rPr>
            </w:pPr>
            <w:r w:rsidRPr="00C00F1D">
              <w:rPr>
                <w:rFonts w:ascii="Arial Narrow" w:eastAsia="Calibri" w:hAnsi="Arial Narrow"/>
                <w:sz w:val="20"/>
                <w:szCs w:val="20"/>
              </w:rPr>
              <w:t>228/410</w:t>
            </w:r>
          </w:p>
        </w:tc>
        <w:tc>
          <w:tcPr>
            <w:tcW w:w="2373" w:type="pct"/>
            <w:shd w:val="clear" w:color="auto" w:fill="auto"/>
            <w:vAlign w:val="center"/>
          </w:tcPr>
          <w:p w:rsidR="00F44D3E" w:rsidRPr="00C00F1D" w:rsidRDefault="00F44D3E" w:rsidP="00824ECD">
            <w:pPr>
              <w:spacing w:line="252" w:lineRule="auto"/>
              <w:jc w:val="center"/>
              <w:rPr>
                <w:rFonts w:ascii="Arial Narrow" w:eastAsia="Calibri" w:hAnsi="Arial Narrow"/>
                <w:sz w:val="20"/>
                <w:szCs w:val="20"/>
              </w:rPr>
            </w:pPr>
            <w:r w:rsidRPr="00C00F1D">
              <w:rPr>
                <w:rFonts w:ascii="Arial Narrow" w:eastAsia="Calibri" w:hAnsi="Arial Narrow"/>
                <w:sz w:val="20"/>
                <w:szCs w:val="20"/>
              </w:rPr>
              <w:t>0.69 (0.53, 0.91)</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≥65</w:t>
            </w:r>
          </w:p>
        </w:tc>
        <w:tc>
          <w:tcPr>
            <w:tcW w:w="1356" w:type="pct"/>
            <w:shd w:val="clear" w:color="auto" w:fill="auto"/>
            <w:vAlign w:val="center"/>
          </w:tcPr>
          <w:p w:rsidR="00F44D3E" w:rsidRPr="00C00F1D" w:rsidRDefault="00F44D3E" w:rsidP="00824ECD">
            <w:pPr>
              <w:spacing w:line="252" w:lineRule="auto"/>
              <w:jc w:val="center"/>
              <w:rPr>
                <w:rFonts w:ascii="Arial Narrow" w:eastAsia="Calibri" w:hAnsi="Arial Narrow"/>
                <w:sz w:val="20"/>
                <w:szCs w:val="20"/>
              </w:rPr>
            </w:pPr>
            <w:r w:rsidRPr="00C00F1D">
              <w:rPr>
                <w:rFonts w:ascii="Arial Narrow" w:eastAsia="Calibri" w:hAnsi="Arial Narrow"/>
                <w:sz w:val="20"/>
                <w:szCs w:val="20"/>
              </w:rPr>
              <w:t>137/277</w:t>
            </w:r>
          </w:p>
        </w:tc>
        <w:tc>
          <w:tcPr>
            <w:tcW w:w="2373" w:type="pct"/>
            <w:shd w:val="clear" w:color="auto" w:fill="auto"/>
            <w:vAlign w:val="center"/>
          </w:tcPr>
          <w:p w:rsidR="00F44D3E" w:rsidRPr="00C00F1D" w:rsidRDefault="00F44D3E" w:rsidP="00824ECD">
            <w:pPr>
              <w:spacing w:line="252" w:lineRule="auto"/>
              <w:jc w:val="center"/>
              <w:rPr>
                <w:rFonts w:ascii="Arial Narrow" w:eastAsia="Calibri" w:hAnsi="Arial Narrow"/>
                <w:sz w:val="20"/>
                <w:szCs w:val="20"/>
              </w:rPr>
            </w:pPr>
            <w:r w:rsidRPr="00C00F1D">
              <w:rPr>
                <w:rFonts w:ascii="Arial Narrow" w:eastAsia="Calibri" w:hAnsi="Arial Narrow"/>
                <w:sz w:val="20"/>
                <w:szCs w:val="20"/>
              </w:rPr>
              <w:t>0.78 (0.55, 1.10)</w:t>
            </w:r>
          </w:p>
        </w:tc>
      </w:tr>
      <w:tr w:rsidR="00F44D3E" w:rsidRPr="00C00F1D" w:rsidTr="00CA537F">
        <w:tc>
          <w:tcPr>
            <w:tcW w:w="5000" w:type="pct"/>
            <w:gridSpan w:val="3"/>
            <w:shd w:val="clear" w:color="auto" w:fill="auto"/>
            <w:vAlign w:val="center"/>
          </w:tcPr>
          <w:p w:rsidR="00F44D3E" w:rsidRPr="00C00F1D" w:rsidRDefault="007274C4" w:rsidP="00CA537F">
            <w:pPr>
              <w:spacing w:line="252" w:lineRule="auto"/>
              <w:jc w:val="left"/>
              <w:rPr>
                <w:rFonts w:ascii="Arial Narrow" w:eastAsia="Calibri" w:hAnsi="Arial Narrow"/>
                <w:sz w:val="20"/>
                <w:szCs w:val="20"/>
              </w:rPr>
            </w:pPr>
            <w:r w:rsidRPr="00C00F1D">
              <w:rPr>
                <w:rFonts w:ascii="Arial Narrow" w:eastAsia="Calibri" w:hAnsi="Arial Narrow"/>
                <w:b/>
                <w:sz w:val="20"/>
                <w:szCs w:val="20"/>
              </w:rPr>
              <w:t xml:space="preserve">Subgroup: </w:t>
            </w:r>
            <w:r w:rsidR="00F44D3E" w:rsidRPr="00C00F1D">
              <w:rPr>
                <w:rFonts w:ascii="Arial Narrow" w:eastAsia="Calibri" w:hAnsi="Arial Narrow"/>
                <w:b/>
                <w:sz w:val="20"/>
                <w:szCs w:val="20"/>
              </w:rPr>
              <w:t>TPS ≥50%</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&lt;65</w:t>
            </w:r>
          </w:p>
        </w:tc>
        <w:tc>
          <w:tcPr>
            <w:tcW w:w="1356"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96/180</w:t>
            </w:r>
          </w:p>
        </w:tc>
        <w:tc>
          <w:tcPr>
            <w:tcW w:w="2373"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0.63 (0.41. 0.95)</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≥65</w:t>
            </w:r>
          </w:p>
        </w:tc>
        <w:tc>
          <w:tcPr>
            <w:tcW w:w="1356"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48/111</w:t>
            </w:r>
          </w:p>
        </w:tc>
        <w:tc>
          <w:tcPr>
            <w:tcW w:w="2373"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0.43 (0.23, 0.82)</w:t>
            </w:r>
          </w:p>
        </w:tc>
      </w:tr>
      <w:tr w:rsidR="00F44D3E" w:rsidRPr="00C00F1D" w:rsidTr="00CA537F">
        <w:tc>
          <w:tcPr>
            <w:tcW w:w="5000" w:type="pct"/>
            <w:gridSpan w:val="3"/>
            <w:shd w:val="clear" w:color="auto" w:fill="auto"/>
            <w:vAlign w:val="center"/>
          </w:tcPr>
          <w:p w:rsidR="00F44D3E" w:rsidRPr="00C00F1D" w:rsidRDefault="007274C4" w:rsidP="00CA537F">
            <w:pPr>
              <w:spacing w:line="252" w:lineRule="auto"/>
              <w:jc w:val="left"/>
              <w:rPr>
                <w:rFonts w:ascii="Arial Narrow" w:eastAsia="Calibri" w:hAnsi="Arial Narrow"/>
                <w:sz w:val="20"/>
                <w:szCs w:val="20"/>
              </w:rPr>
            </w:pPr>
            <w:r w:rsidRPr="00C00F1D">
              <w:rPr>
                <w:rFonts w:ascii="Arial Narrow" w:eastAsia="Calibri" w:hAnsi="Arial Narrow"/>
                <w:b/>
                <w:sz w:val="20"/>
                <w:szCs w:val="20"/>
              </w:rPr>
              <w:t>Subgroup:</w:t>
            </w:r>
            <w:r w:rsidR="00F44D3E" w:rsidRPr="00C00F1D">
              <w:rPr>
                <w:rFonts w:ascii="Arial Narrow" w:eastAsia="Calibri" w:hAnsi="Arial Narrow"/>
                <w:b/>
                <w:sz w:val="20"/>
                <w:szCs w:val="20"/>
              </w:rPr>
              <w:t xml:space="preserve"> TPS 1–49%</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&lt;65</w:t>
            </w:r>
          </w:p>
        </w:tc>
        <w:tc>
          <w:tcPr>
            <w:tcW w:w="1356"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132/230</w:t>
            </w:r>
          </w:p>
        </w:tc>
        <w:tc>
          <w:tcPr>
            <w:tcW w:w="2373"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0.70 (0.49, 0.99)</w:t>
            </w:r>
          </w:p>
        </w:tc>
      </w:tr>
      <w:tr w:rsidR="007274C4" w:rsidRPr="00C00F1D" w:rsidTr="00CA537F">
        <w:tc>
          <w:tcPr>
            <w:tcW w:w="1271" w:type="pct"/>
            <w:shd w:val="clear" w:color="auto" w:fill="auto"/>
            <w:vAlign w:val="center"/>
          </w:tcPr>
          <w:p w:rsidR="00F44D3E" w:rsidRPr="00C00F1D" w:rsidRDefault="00F44D3E" w:rsidP="00CA537F">
            <w:pPr>
              <w:spacing w:line="252" w:lineRule="auto"/>
              <w:jc w:val="left"/>
              <w:rPr>
                <w:rFonts w:ascii="Arial Narrow" w:eastAsia="Calibri" w:hAnsi="Arial Narrow"/>
                <w:sz w:val="20"/>
                <w:szCs w:val="20"/>
              </w:rPr>
            </w:pPr>
            <w:r w:rsidRPr="00C00F1D">
              <w:rPr>
                <w:rFonts w:ascii="Arial Narrow" w:eastAsia="Calibri" w:hAnsi="Arial Narrow"/>
                <w:sz w:val="20"/>
                <w:szCs w:val="20"/>
              </w:rPr>
              <w:t>≥65</w:t>
            </w:r>
          </w:p>
        </w:tc>
        <w:tc>
          <w:tcPr>
            <w:tcW w:w="1356"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89/166</w:t>
            </w:r>
          </w:p>
        </w:tc>
        <w:tc>
          <w:tcPr>
            <w:tcW w:w="2373" w:type="pct"/>
            <w:shd w:val="clear" w:color="auto" w:fill="auto"/>
            <w:vAlign w:val="center"/>
          </w:tcPr>
          <w:p w:rsidR="00F44D3E" w:rsidRPr="00C00F1D" w:rsidRDefault="00F44D3E" w:rsidP="00CA537F">
            <w:pPr>
              <w:spacing w:line="252" w:lineRule="auto"/>
              <w:jc w:val="center"/>
              <w:rPr>
                <w:rFonts w:ascii="Arial Narrow" w:eastAsia="Calibri" w:hAnsi="Arial Narrow"/>
                <w:sz w:val="20"/>
                <w:szCs w:val="20"/>
              </w:rPr>
            </w:pPr>
            <w:r w:rsidRPr="00C00F1D">
              <w:rPr>
                <w:rFonts w:ascii="Arial Narrow" w:eastAsia="Calibri" w:hAnsi="Arial Narrow"/>
                <w:sz w:val="20"/>
                <w:szCs w:val="20"/>
              </w:rPr>
              <w:t>0.99 (0.65, 1.52)</w:t>
            </w:r>
          </w:p>
        </w:tc>
      </w:tr>
    </w:tbl>
    <w:p w:rsidR="00F44D3E" w:rsidRPr="00C00F1D" w:rsidRDefault="00F44D3E" w:rsidP="00824ECD">
      <w:pPr>
        <w:ind w:firstLine="709"/>
        <w:rPr>
          <w:rFonts w:ascii="Arial Narrow" w:eastAsia="Calibri" w:hAnsi="Arial Narrow"/>
          <w:snapToGrid w:val="0"/>
          <w:sz w:val="18"/>
          <w:szCs w:val="18"/>
        </w:rPr>
      </w:pPr>
      <w:r w:rsidRPr="00C00F1D">
        <w:rPr>
          <w:rFonts w:ascii="Arial Narrow" w:eastAsia="Calibri" w:hAnsi="Arial Narrow"/>
          <w:snapToGrid w:val="0"/>
          <w:sz w:val="18"/>
          <w:szCs w:val="18"/>
        </w:rPr>
        <w:t xml:space="preserve">Database </w:t>
      </w:r>
      <w:r w:rsidR="001A373C" w:rsidRPr="00C00F1D">
        <w:rPr>
          <w:rFonts w:ascii="Arial Narrow" w:eastAsia="Calibri" w:hAnsi="Arial Narrow"/>
          <w:snapToGrid w:val="0"/>
          <w:sz w:val="18"/>
          <w:szCs w:val="18"/>
        </w:rPr>
        <w:t>c</w:t>
      </w:r>
      <w:r w:rsidRPr="00C00F1D">
        <w:rPr>
          <w:rFonts w:ascii="Arial Narrow" w:eastAsia="Calibri" w:hAnsi="Arial Narrow"/>
          <w:snapToGrid w:val="0"/>
          <w:sz w:val="18"/>
          <w:szCs w:val="18"/>
        </w:rPr>
        <w:t>ut-off: 30 September 2015</w:t>
      </w:r>
    </w:p>
    <w:p w:rsidR="00F44D3E" w:rsidRPr="00C00F1D" w:rsidRDefault="00F44D3E" w:rsidP="00CA537F">
      <w:pPr>
        <w:ind w:left="709"/>
        <w:rPr>
          <w:rFonts w:ascii="Arial Narrow" w:eastAsia="Calibri" w:hAnsi="Arial Narrow"/>
          <w:snapToGrid w:val="0"/>
          <w:sz w:val="18"/>
          <w:szCs w:val="18"/>
        </w:rPr>
      </w:pPr>
      <w:r w:rsidRPr="00C00F1D">
        <w:rPr>
          <w:rFonts w:ascii="Arial Narrow" w:eastAsia="Calibri" w:hAnsi="Arial Narrow"/>
          <w:snapToGrid w:val="0"/>
          <w:sz w:val="18"/>
          <w:szCs w:val="18"/>
        </w:rPr>
        <w:t>CI = confidence interval; HR = hazard ratio; ITT = intention-to-treat; OS = overall survival; PD-L1 = programmed death ligand 1; Q3W = every three weeks; TPS = tumour proportion score.</w:t>
      </w:r>
    </w:p>
    <w:p w:rsidR="00F44D3E" w:rsidRPr="00173899" w:rsidRDefault="00F44D3E" w:rsidP="00F44D3E">
      <w:pPr>
        <w:pStyle w:val="ListParagraph"/>
        <w:ind w:left="0" w:firstLine="0"/>
        <w:rPr>
          <w:rFonts w:ascii="Arial" w:hAnsi="Arial" w:cs="Arial"/>
          <w:bCs/>
          <w:sz w:val="22"/>
          <w:szCs w:val="22"/>
          <w:lang w:eastAsia="en-AU"/>
        </w:rPr>
      </w:pPr>
    </w:p>
    <w:p w:rsidR="00F44D3E" w:rsidRPr="00675587" w:rsidRDefault="00F44D3E" w:rsidP="009C3A29">
      <w:pPr>
        <w:pStyle w:val="ListParagraph"/>
        <w:numPr>
          <w:ilvl w:val="1"/>
          <w:numId w:val="3"/>
        </w:numPr>
        <w:ind w:left="720"/>
        <w:rPr>
          <w:rFonts w:ascii="Arial" w:hAnsi="Arial" w:cs="Arial"/>
          <w:sz w:val="22"/>
        </w:rPr>
      </w:pPr>
      <w:r w:rsidRPr="00675587">
        <w:rPr>
          <w:rFonts w:ascii="Arial" w:hAnsi="Arial" w:cs="Arial"/>
          <w:sz w:val="22"/>
        </w:rPr>
        <w:t>KN-010 did not stratify by age at randomisation and such analyses are only exploratory.</w:t>
      </w:r>
      <w:r w:rsidR="007274C4" w:rsidRPr="00675587">
        <w:rPr>
          <w:rFonts w:ascii="Arial" w:hAnsi="Arial" w:cs="Arial"/>
          <w:sz w:val="22"/>
        </w:rPr>
        <w:t xml:space="preserve"> Interpretation of these results should consider the inherent caveats of the subgroup analyses. T</w:t>
      </w:r>
      <w:r w:rsidRPr="00675587">
        <w:rPr>
          <w:rFonts w:ascii="Arial" w:hAnsi="Arial" w:cs="Arial"/>
          <w:sz w:val="22"/>
        </w:rPr>
        <w:t>here are no data by age and histology subtype</w:t>
      </w:r>
      <w:r w:rsidR="00882E48" w:rsidRPr="00675587">
        <w:rPr>
          <w:rFonts w:ascii="Arial" w:hAnsi="Arial" w:cs="Arial"/>
          <w:sz w:val="22"/>
        </w:rPr>
        <w:t>.</w:t>
      </w:r>
    </w:p>
    <w:bookmarkEnd w:id="45"/>
    <w:p w:rsidR="00147D6A" w:rsidRPr="00DD353C" w:rsidRDefault="00147D6A" w:rsidP="00A36DD4">
      <w:pPr>
        <w:numPr>
          <w:ilvl w:val="1"/>
          <w:numId w:val="0"/>
        </w:numPr>
        <w:contextualSpacing/>
        <w:rPr>
          <w:rFonts w:ascii="Arial" w:hAnsi="Arial" w:cs="Arial"/>
          <w:sz w:val="22"/>
        </w:rPr>
      </w:pPr>
    </w:p>
    <w:p w:rsidR="00841A44" w:rsidRDefault="00AC2A2D" w:rsidP="00AC2A2D">
      <w:pPr>
        <w:pStyle w:val="ListParagraph"/>
        <w:ind w:left="720" w:firstLine="0"/>
        <w:rPr>
          <w:rFonts w:ascii="Arial" w:hAnsi="Arial"/>
          <w:i/>
          <w:sz w:val="22"/>
          <w:szCs w:val="22"/>
        </w:rPr>
      </w:pPr>
      <w:r w:rsidRPr="00C00F1D">
        <w:rPr>
          <w:rFonts w:ascii="Arial" w:hAnsi="Arial"/>
          <w:i/>
          <w:sz w:val="22"/>
          <w:szCs w:val="22"/>
        </w:rPr>
        <w:t>For more detail on PBAC’s view, see section 7 “PBAC outcome”</w:t>
      </w:r>
      <w:bookmarkEnd w:id="2"/>
      <w:bookmarkEnd w:id="3"/>
      <w:bookmarkEnd w:id="4"/>
      <w:bookmarkEnd w:id="5"/>
      <w:bookmarkEnd w:id="6"/>
      <w:bookmarkEnd w:id="7"/>
      <w:r w:rsidR="002B262C">
        <w:rPr>
          <w:rFonts w:ascii="Arial" w:hAnsi="Arial"/>
          <w:i/>
          <w:sz w:val="22"/>
          <w:szCs w:val="22"/>
        </w:rPr>
        <w:t>.</w:t>
      </w:r>
    </w:p>
    <w:p w:rsidR="00675587" w:rsidRDefault="00675587" w:rsidP="00CC4396">
      <w:pPr>
        <w:pStyle w:val="ListParagraph"/>
        <w:ind w:left="0" w:firstLine="0"/>
        <w:rPr>
          <w:rFonts w:ascii="Arial" w:hAnsi="Arial"/>
          <w:sz w:val="22"/>
          <w:szCs w:val="22"/>
        </w:rPr>
      </w:pPr>
    </w:p>
    <w:p w:rsidR="00C00F1D" w:rsidRPr="00C00F1D" w:rsidRDefault="00C00F1D" w:rsidP="00CC4396">
      <w:pPr>
        <w:pStyle w:val="ListParagraph"/>
        <w:ind w:left="0" w:firstLine="0"/>
        <w:rPr>
          <w:rFonts w:ascii="Arial" w:hAnsi="Arial"/>
          <w:sz w:val="22"/>
          <w:szCs w:val="22"/>
        </w:rPr>
      </w:pPr>
    </w:p>
    <w:p w:rsidR="00675587" w:rsidRPr="00F11F0B" w:rsidRDefault="00675587" w:rsidP="009C3A29">
      <w:pPr>
        <w:widowControl w:val="0"/>
        <w:numPr>
          <w:ilvl w:val="0"/>
          <w:numId w:val="3"/>
        </w:numPr>
        <w:outlineLvl w:val="0"/>
        <w:rPr>
          <w:rFonts w:ascii="Arial" w:hAnsi="Arial" w:cs="Arial"/>
          <w:b/>
          <w:bCs/>
          <w:snapToGrid w:val="0"/>
          <w:sz w:val="22"/>
          <w:szCs w:val="22"/>
        </w:rPr>
      </w:pPr>
      <w:r w:rsidRPr="00F11F0B">
        <w:rPr>
          <w:rFonts w:ascii="Arial" w:hAnsi="Arial" w:cs="Arial"/>
          <w:b/>
          <w:bCs/>
          <w:snapToGrid w:val="0"/>
          <w:sz w:val="22"/>
          <w:szCs w:val="22"/>
        </w:rPr>
        <w:t>PBAC Outcome</w:t>
      </w:r>
    </w:p>
    <w:p w:rsidR="00675587" w:rsidRPr="005521DF" w:rsidRDefault="00675587" w:rsidP="00675587">
      <w:pPr>
        <w:contextualSpacing/>
        <w:rPr>
          <w:rFonts w:ascii="Arial" w:hAnsi="Arial" w:cs="Arial"/>
          <w:bCs/>
          <w:snapToGrid w:val="0"/>
          <w:sz w:val="22"/>
          <w:szCs w:val="22"/>
          <w:lang w:val="en-GB"/>
        </w:rPr>
      </w:pPr>
    </w:p>
    <w:p w:rsidR="005F28C7" w:rsidRPr="005F28C7" w:rsidRDefault="00F11F0B" w:rsidP="009C3A29">
      <w:pPr>
        <w:widowControl w:val="0"/>
        <w:numPr>
          <w:ilvl w:val="1"/>
          <w:numId w:val="3"/>
        </w:numPr>
        <w:ind w:left="720"/>
        <w:contextualSpacing/>
        <w:rPr>
          <w:rFonts w:ascii="Arial" w:hAnsi="Arial" w:cs="Arial"/>
          <w:bCs/>
          <w:snapToGrid w:val="0"/>
          <w:sz w:val="22"/>
          <w:szCs w:val="22"/>
        </w:rPr>
      </w:pPr>
      <w:r>
        <w:rPr>
          <w:rFonts w:ascii="Arial" w:hAnsi="Arial" w:cs="Arial"/>
          <w:bCs/>
          <w:snapToGrid w:val="0"/>
          <w:sz w:val="22"/>
          <w:szCs w:val="22"/>
          <w:lang w:val="en-GB"/>
        </w:rPr>
        <w:t>The PBAC decided not to recommend that pembrolizumab be listed in the PBS for the treatment of PD-L1 positive NSCLC on the basis of unfavourable and uncertain cost-effectiveness.</w:t>
      </w:r>
    </w:p>
    <w:p w:rsidR="00352082" w:rsidRDefault="00352082" w:rsidP="00CC4396">
      <w:pPr>
        <w:widowControl w:val="0"/>
        <w:contextualSpacing/>
        <w:rPr>
          <w:rFonts w:ascii="Arial" w:hAnsi="Arial" w:cs="Arial"/>
          <w:bCs/>
          <w:snapToGrid w:val="0"/>
          <w:sz w:val="22"/>
          <w:szCs w:val="22"/>
        </w:rPr>
      </w:pPr>
    </w:p>
    <w:p w:rsidR="00352082" w:rsidRDefault="00352082" w:rsidP="009C3A29">
      <w:pPr>
        <w:widowControl w:val="0"/>
        <w:numPr>
          <w:ilvl w:val="1"/>
          <w:numId w:val="3"/>
        </w:numPr>
        <w:ind w:left="720"/>
        <w:contextualSpacing/>
        <w:rPr>
          <w:rFonts w:ascii="Arial" w:hAnsi="Arial" w:cs="Arial"/>
          <w:bCs/>
          <w:snapToGrid w:val="0"/>
          <w:sz w:val="22"/>
          <w:szCs w:val="22"/>
        </w:rPr>
      </w:pPr>
      <w:r>
        <w:rPr>
          <w:rFonts w:ascii="Arial" w:hAnsi="Arial" w:cs="Arial"/>
          <w:bCs/>
          <w:snapToGrid w:val="0"/>
          <w:sz w:val="22"/>
          <w:szCs w:val="22"/>
        </w:rPr>
        <w:t>The PBAC recognised that there is a clinical need for new treatments for patients with NSCLC, and that there is a clinical place for pembrolizumab in this population. The PBAC noted that the submission requested a second- and third-line PBS listing for pembrolizumab, following progression on or after platinum-based chemotherapy, for squamous and non-squamous NSCLC respectively.</w:t>
      </w:r>
    </w:p>
    <w:p w:rsidR="0041768A" w:rsidRDefault="0041768A" w:rsidP="00A90104">
      <w:pPr>
        <w:pStyle w:val="ListParagraph"/>
        <w:ind w:left="0" w:firstLine="0"/>
        <w:rPr>
          <w:rFonts w:ascii="Arial" w:hAnsi="Arial" w:cs="Arial"/>
          <w:bCs/>
          <w:snapToGrid w:val="0"/>
          <w:sz w:val="22"/>
          <w:szCs w:val="22"/>
          <w:lang w:val="en-GB"/>
        </w:rPr>
      </w:pPr>
    </w:p>
    <w:p w:rsidR="0041768A" w:rsidRDefault="0041768A"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w:t>
      </w:r>
      <w:r w:rsidR="00CC4396">
        <w:rPr>
          <w:rFonts w:ascii="Arial" w:hAnsi="Arial" w:cs="Arial"/>
          <w:bCs/>
          <w:snapToGrid w:val="0"/>
          <w:sz w:val="22"/>
          <w:szCs w:val="22"/>
          <w:lang w:val="en-GB"/>
        </w:rPr>
        <w:t>advised</w:t>
      </w:r>
      <w:r>
        <w:rPr>
          <w:rFonts w:ascii="Arial" w:hAnsi="Arial" w:cs="Arial"/>
          <w:bCs/>
          <w:snapToGrid w:val="0"/>
          <w:sz w:val="22"/>
          <w:szCs w:val="22"/>
          <w:lang w:val="en-GB"/>
        </w:rPr>
        <w:t xml:space="preserve"> the following with regard to the requested restriction:</w:t>
      </w:r>
    </w:p>
    <w:p w:rsidR="0041768A" w:rsidRDefault="0041768A" w:rsidP="009C3A29">
      <w:pPr>
        <w:numPr>
          <w:ilvl w:val="0"/>
          <w:numId w:val="9"/>
        </w:numPr>
        <w:rPr>
          <w:rFonts w:ascii="Arial" w:hAnsi="Arial" w:cs="Arial"/>
          <w:bCs/>
          <w:snapToGrid w:val="0"/>
          <w:sz w:val="22"/>
          <w:szCs w:val="22"/>
          <w:lang w:val="en-GB"/>
        </w:rPr>
      </w:pPr>
      <w:r>
        <w:rPr>
          <w:rFonts w:ascii="Arial" w:hAnsi="Arial" w:cs="Arial"/>
          <w:bCs/>
          <w:snapToGrid w:val="0"/>
          <w:sz w:val="22"/>
          <w:szCs w:val="22"/>
          <w:lang w:val="en-GB"/>
        </w:rPr>
        <w:t xml:space="preserve">that there was uncertainty in selecting a PD-L1 expression threshold </w:t>
      </w:r>
      <w:r w:rsidRPr="0041768A">
        <w:rPr>
          <w:rFonts w:ascii="Arial" w:hAnsi="Arial" w:cs="Arial"/>
          <w:bCs/>
          <w:snapToGrid w:val="0"/>
          <w:sz w:val="22"/>
          <w:szCs w:val="22"/>
          <w:lang w:val="en-GB"/>
        </w:rPr>
        <w:t xml:space="preserve">to define an </w:t>
      </w:r>
      <w:r w:rsidR="00B1519F">
        <w:rPr>
          <w:rFonts w:ascii="Arial" w:hAnsi="Arial" w:cs="Arial"/>
          <w:bCs/>
          <w:snapToGrid w:val="0"/>
          <w:sz w:val="22"/>
          <w:szCs w:val="22"/>
          <w:lang w:val="en-GB"/>
        </w:rPr>
        <w:t>optimal patient population mostly likely to</w:t>
      </w:r>
      <w:r>
        <w:rPr>
          <w:rFonts w:ascii="Arial" w:hAnsi="Arial" w:cs="Arial"/>
          <w:bCs/>
          <w:snapToGrid w:val="0"/>
          <w:sz w:val="22"/>
          <w:szCs w:val="22"/>
          <w:lang w:val="en-GB"/>
        </w:rPr>
        <w:t xml:space="preserve"> respond to treatment;</w:t>
      </w:r>
    </w:p>
    <w:p w:rsidR="00B32371" w:rsidRPr="0041768A" w:rsidRDefault="00B32371" w:rsidP="009C3A29">
      <w:pPr>
        <w:numPr>
          <w:ilvl w:val="0"/>
          <w:numId w:val="9"/>
        </w:numPr>
        <w:rPr>
          <w:rFonts w:ascii="Arial" w:hAnsi="Arial" w:cs="Arial"/>
          <w:bCs/>
          <w:snapToGrid w:val="0"/>
          <w:sz w:val="22"/>
          <w:szCs w:val="22"/>
          <w:lang w:val="en-GB"/>
        </w:rPr>
      </w:pPr>
      <w:r w:rsidRPr="00B32371">
        <w:rPr>
          <w:rFonts w:ascii="Arial" w:hAnsi="Arial" w:cs="Arial"/>
          <w:bCs/>
          <w:snapToGrid w:val="0"/>
          <w:sz w:val="22"/>
          <w:szCs w:val="22"/>
          <w:lang w:val="en-GB"/>
        </w:rPr>
        <w:t>that the continuing treatment restriction would need to contain the criterion already used for PD-1 inhibitors requiring stable or responding disease</w:t>
      </w:r>
      <w:r>
        <w:rPr>
          <w:rFonts w:ascii="Arial" w:hAnsi="Arial" w:cs="Arial"/>
          <w:bCs/>
          <w:snapToGrid w:val="0"/>
          <w:sz w:val="22"/>
          <w:szCs w:val="22"/>
          <w:lang w:val="en-GB"/>
        </w:rPr>
        <w:t>; and</w:t>
      </w:r>
    </w:p>
    <w:p w:rsidR="00B32371" w:rsidRPr="00B32371" w:rsidRDefault="00B32371" w:rsidP="009C3A29">
      <w:pPr>
        <w:numPr>
          <w:ilvl w:val="0"/>
          <w:numId w:val="9"/>
        </w:numPr>
        <w:rPr>
          <w:rFonts w:ascii="Arial" w:hAnsi="Arial" w:cs="Arial"/>
          <w:bCs/>
          <w:snapToGrid w:val="0"/>
          <w:sz w:val="22"/>
          <w:szCs w:val="22"/>
          <w:lang w:val="en-GB"/>
        </w:rPr>
      </w:pPr>
      <w:proofErr w:type="gramStart"/>
      <w:r w:rsidRPr="00B32371">
        <w:rPr>
          <w:rFonts w:ascii="Arial" w:hAnsi="Arial" w:cs="Arial"/>
          <w:bCs/>
          <w:snapToGrid w:val="0"/>
          <w:sz w:val="22"/>
          <w:szCs w:val="22"/>
          <w:lang w:val="en-GB"/>
        </w:rPr>
        <w:t>that</w:t>
      </w:r>
      <w:proofErr w:type="gramEnd"/>
      <w:r w:rsidRPr="00B32371">
        <w:rPr>
          <w:rFonts w:ascii="Arial" w:hAnsi="Arial" w:cs="Arial"/>
          <w:bCs/>
          <w:snapToGrid w:val="0"/>
          <w:sz w:val="22"/>
          <w:szCs w:val="22"/>
          <w:lang w:val="en-GB"/>
        </w:rPr>
        <w:t xml:space="preserve"> the patient’s performan</w:t>
      </w:r>
      <w:r>
        <w:rPr>
          <w:rFonts w:ascii="Arial" w:hAnsi="Arial" w:cs="Arial"/>
          <w:bCs/>
          <w:snapToGrid w:val="0"/>
          <w:sz w:val="22"/>
          <w:szCs w:val="22"/>
          <w:lang w:val="en-GB"/>
        </w:rPr>
        <w:t xml:space="preserve">ce status would need to be 0 or </w:t>
      </w:r>
      <w:r w:rsidRPr="00B32371">
        <w:rPr>
          <w:rFonts w:ascii="Arial" w:hAnsi="Arial" w:cs="Arial"/>
          <w:bCs/>
          <w:snapToGrid w:val="0"/>
          <w:sz w:val="22"/>
          <w:szCs w:val="22"/>
          <w:lang w:val="en-GB"/>
        </w:rPr>
        <w:t>1, consistent with the eligibility cri</w:t>
      </w:r>
      <w:r>
        <w:rPr>
          <w:rFonts w:ascii="Arial" w:hAnsi="Arial" w:cs="Arial"/>
          <w:bCs/>
          <w:snapToGrid w:val="0"/>
          <w:sz w:val="22"/>
          <w:szCs w:val="22"/>
          <w:lang w:val="en-GB"/>
        </w:rPr>
        <w:t>teria of the key clinical trial.</w:t>
      </w:r>
    </w:p>
    <w:p w:rsidR="005F28C7" w:rsidRDefault="005F28C7" w:rsidP="005F28C7">
      <w:pPr>
        <w:widowControl w:val="0"/>
        <w:contextualSpacing/>
        <w:rPr>
          <w:rFonts w:ascii="Arial" w:hAnsi="Arial" w:cs="Arial"/>
          <w:bCs/>
          <w:snapToGrid w:val="0"/>
          <w:sz w:val="22"/>
          <w:szCs w:val="22"/>
        </w:rPr>
      </w:pPr>
    </w:p>
    <w:p w:rsidR="005F28C7" w:rsidRDefault="005F28C7" w:rsidP="009C3A29">
      <w:pPr>
        <w:widowControl w:val="0"/>
        <w:numPr>
          <w:ilvl w:val="1"/>
          <w:numId w:val="3"/>
        </w:numPr>
        <w:ind w:left="720"/>
        <w:contextualSpacing/>
        <w:rPr>
          <w:rFonts w:ascii="Arial" w:hAnsi="Arial" w:cs="Arial"/>
          <w:bCs/>
          <w:snapToGrid w:val="0"/>
          <w:sz w:val="22"/>
          <w:szCs w:val="22"/>
        </w:rPr>
      </w:pPr>
      <w:r w:rsidRPr="00F11F0B">
        <w:rPr>
          <w:rFonts w:ascii="Arial" w:hAnsi="Arial" w:cs="Arial"/>
          <w:bCs/>
          <w:snapToGrid w:val="0"/>
          <w:sz w:val="22"/>
          <w:szCs w:val="22"/>
        </w:rPr>
        <w:t xml:space="preserve">The PBAC </w:t>
      </w:r>
      <w:r w:rsidR="0075350C">
        <w:rPr>
          <w:rFonts w:ascii="Arial" w:hAnsi="Arial" w:cs="Arial"/>
          <w:bCs/>
          <w:snapToGrid w:val="0"/>
          <w:sz w:val="22"/>
          <w:szCs w:val="22"/>
        </w:rPr>
        <w:t xml:space="preserve">considered that </w:t>
      </w:r>
      <w:r w:rsidRPr="00F11F0B">
        <w:rPr>
          <w:rFonts w:ascii="Arial" w:hAnsi="Arial" w:cs="Arial"/>
          <w:bCs/>
          <w:snapToGrid w:val="0"/>
          <w:sz w:val="22"/>
          <w:szCs w:val="22"/>
        </w:rPr>
        <w:t xml:space="preserve">the use of the </w:t>
      </w:r>
      <w:r>
        <w:rPr>
          <w:rFonts w:ascii="Arial" w:hAnsi="Arial" w:cs="Arial"/>
          <w:bCs/>
          <w:snapToGrid w:val="0"/>
          <w:sz w:val="22"/>
          <w:szCs w:val="22"/>
        </w:rPr>
        <w:t xml:space="preserve">proposed TPS </w:t>
      </w:r>
      <w:r w:rsidR="0075350C">
        <w:rPr>
          <w:rFonts w:ascii="Arial" w:hAnsi="Arial" w:cs="Arial"/>
          <w:bCs/>
          <w:snapToGrid w:val="0"/>
          <w:sz w:val="22"/>
          <w:szCs w:val="22"/>
        </w:rPr>
        <w:t>≥</w:t>
      </w:r>
      <w:r w:rsidR="0075350C" w:rsidRPr="00F11F0B">
        <w:rPr>
          <w:rFonts w:ascii="Arial" w:hAnsi="Arial" w:cs="Arial"/>
          <w:bCs/>
          <w:snapToGrid w:val="0"/>
          <w:sz w:val="22"/>
          <w:szCs w:val="22"/>
        </w:rPr>
        <w:t xml:space="preserve">50% </w:t>
      </w:r>
      <w:r>
        <w:rPr>
          <w:rFonts w:ascii="Arial" w:hAnsi="Arial" w:cs="Arial"/>
          <w:bCs/>
          <w:snapToGrid w:val="0"/>
          <w:sz w:val="22"/>
          <w:szCs w:val="22"/>
        </w:rPr>
        <w:t>threshold</w:t>
      </w:r>
      <w:r w:rsidRPr="00F11F0B">
        <w:rPr>
          <w:rFonts w:ascii="Arial" w:hAnsi="Arial" w:cs="Arial"/>
          <w:bCs/>
          <w:snapToGrid w:val="0"/>
          <w:sz w:val="22"/>
          <w:szCs w:val="22"/>
        </w:rPr>
        <w:t xml:space="preserve"> </w:t>
      </w:r>
      <w:r>
        <w:rPr>
          <w:rFonts w:ascii="Arial" w:hAnsi="Arial" w:cs="Arial"/>
          <w:bCs/>
          <w:snapToGrid w:val="0"/>
          <w:sz w:val="22"/>
          <w:szCs w:val="22"/>
        </w:rPr>
        <w:t xml:space="preserve">from </w:t>
      </w:r>
      <w:r w:rsidRPr="00F11F0B">
        <w:rPr>
          <w:rFonts w:ascii="Arial" w:hAnsi="Arial" w:cs="Arial"/>
          <w:bCs/>
          <w:snapToGrid w:val="0"/>
          <w:sz w:val="22"/>
          <w:szCs w:val="22"/>
        </w:rPr>
        <w:t>PD-L1 testing to help determine eligibility of patients with NSCLC to receive pembrolizumab was not adequately justified.</w:t>
      </w:r>
      <w:r>
        <w:rPr>
          <w:rFonts w:ascii="Arial" w:hAnsi="Arial" w:cs="Arial"/>
          <w:bCs/>
          <w:snapToGrid w:val="0"/>
          <w:sz w:val="22"/>
          <w:szCs w:val="22"/>
        </w:rPr>
        <w:t xml:space="preserve"> </w:t>
      </w:r>
      <w:r w:rsidR="0075350C">
        <w:rPr>
          <w:rFonts w:ascii="Arial" w:hAnsi="Arial" w:cs="Arial"/>
          <w:bCs/>
          <w:snapToGrid w:val="0"/>
          <w:sz w:val="22"/>
          <w:szCs w:val="22"/>
          <w:lang w:val="en-GB"/>
        </w:rPr>
        <w:t xml:space="preserve">The PBAC noted the rationale provided in the pre-PBAC response and during the sponsor hearing regarding the use of ROC curves, however, considered that this was not an appropriate methodology to determine an optimal PD-L1 threshold. </w:t>
      </w:r>
      <w:r>
        <w:rPr>
          <w:rFonts w:ascii="Arial" w:eastAsia="Calibri" w:hAnsi="Arial" w:cs="Arial"/>
          <w:sz w:val="22"/>
        </w:rPr>
        <w:t xml:space="preserve">The PBAC </w:t>
      </w:r>
      <w:r w:rsidR="0075350C">
        <w:rPr>
          <w:rFonts w:ascii="Arial" w:eastAsia="Calibri" w:hAnsi="Arial" w:cs="Arial"/>
          <w:sz w:val="22"/>
        </w:rPr>
        <w:t>also considered</w:t>
      </w:r>
      <w:r>
        <w:rPr>
          <w:rFonts w:ascii="Arial" w:eastAsia="Calibri" w:hAnsi="Arial" w:cs="Arial"/>
          <w:sz w:val="22"/>
        </w:rPr>
        <w:t xml:space="preserve"> that there were </w:t>
      </w:r>
      <w:r w:rsidRPr="009015FA">
        <w:rPr>
          <w:rFonts w:ascii="Arial" w:eastAsia="Calibri" w:hAnsi="Arial" w:cs="Arial"/>
          <w:sz w:val="22"/>
        </w:rPr>
        <w:t xml:space="preserve">important </w:t>
      </w:r>
      <w:r>
        <w:rPr>
          <w:rFonts w:ascii="Arial" w:eastAsia="Calibri" w:hAnsi="Arial" w:cs="Arial"/>
          <w:sz w:val="22"/>
        </w:rPr>
        <w:t xml:space="preserve">unresolved </w:t>
      </w:r>
      <w:r w:rsidRPr="009015FA">
        <w:rPr>
          <w:rFonts w:ascii="Arial" w:eastAsia="Calibri" w:hAnsi="Arial" w:cs="Arial"/>
          <w:sz w:val="22"/>
        </w:rPr>
        <w:t>issues regarding PD-L1 testing</w:t>
      </w:r>
      <w:r>
        <w:rPr>
          <w:rFonts w:ascii="Arial" w:eastAsia="Calibri" w:hAnsi="Arial" w:cs="Arial"/>
          <w:sz w:val="22"/>
        </w:rPr>
        <w:t xml:space="preserve"> which have consequences for this co</w:t>
      </w:r>
      <w:r w:rsidR="00AA3EF8">
        <w:rPr>
          <w:rFonts w:ascii="Arial" w:eastAsia="Calibri" w:hAnsi="Arial" w:cs="Arial"/>
          <w:sz w:val="22"/>
        </w:rPr>
        <w:t>-</w:t>
      </w:r>
      <w:r>
        <w:rPr>
          <w:rFonts w:ascii="Arial" w:eastAsia="Calibri" w:hAnsi="Arial" w:cs="Arial"/>
          <w:sz w:val="22"/>
        </w:rPr>
        <w:t>dependent submission</w:t>
      </w:r>
      <w:r w:rsidRPr="009015FA">
        <w:rPr>
          <w:rFonts w:ascii="Arial" w:eastAsia="Calibri" w:hAnsi="Arial" w:cs="Arial"/>
          <w:sz w:val="22"/>
        </w:rPr>
        <w:t xml:space="preserve">, </w:t>
      </w:r>
      <w:r>
        <w:rPr>
          <w:rFonts w:ascii="Arial" w:eastAsia="Calibri" w:hAnsi="Arial" w:cs="Arial"/>
          <w:sz w:val="22"/>
        </w:rPr>
        <w:t xml:space="preserve">including </w:t>
      </w:r>
      <w:r w:rsidRPr="009015FA">
        <w:rPr>
          <w:rFonts w:ascii="Arial" w:eastAsia="Calibri" w:hAnsi="Arial" w:cs="Arial"/>
          <w:sz w:val="22"/>
        </w:rPr>
        <w:t xml:space="preserve">the optimal </w:t>
      </w:r>
      <w:r>
        <w:rPr>
          <w:rFonts w:ascii="Arial" w:eastAsia="Calibri" w:hAnsi="Arial" w:cs="Arial"/>
          <w:sz w:val="22"/>
        </w:rPr>
        <w:t>threshold</w:t>
      </w:r>
      <w:r w:rsidRPr="009015FA">
        <w:rPr>
          <w:rFonts w:ascii="Arial" w:eastAsia="Calibri" w:hAnsi="Arial" w:cs="Arial"/>
          <w:sz w:val="22"/>
        </w:rPr>
        <w:t xml:space="preserve"> for PD-L1 positivity, the predictive effect of PD-L1 expression, </w:t>
      </w:r>
      <w:r>
        <w:rPr>
          <w:rFonts w:ascii="Arial" w:eastAsia="Calibri" w:hAnsi="Arial" w:cs="Arial"/>
          <w:sz w:val="22"/>
        </w:rPr>
        <w:t xml:space="preserve">and thus </w:t>
      </w:r>
      <w:r w:rsidRPr="009015FA">
        <w:rPr>
          <w:rFonts w:ascii="Arial" w:eastAsia="Calibri" w:hAnsi="Arial" w:cs="Arial"/>
          <w:sz w:val="22"/>
        </w:rPr>
        <w:t xml:space="preserve">the </w:t>
      </w:r>
      <w:r>
        <w:rPr>
          <w:rFonts w:ascii="Arial" w:eastAsia="Calibri" w:hAnsi="Arial" w:cs="Arial"/>
          <w:sz w:val="22"/>
        </w:rPr>
        <w:t xml:space="preserve">extent of incremental </w:t>
      </w:r>
      <w:r w:rsidRPr="009015FA">
        <w:rPr>
          <w:rFonts w:ascii="Arial" w:eastAsia="Calibri" w:hAnsi="Arial" w:cs="Arial"/>
          <w:sz w:val="22"/>
        </w:rPr>
        <w:t xml:space="preserve">effectiveness </w:t>
      </w:r>
      <w:r>
        <w:rPr>
          <w:rFonts w:ascii="Arial" w:eastAsia="Calibri" w:hAnsi="Arial" w:cs="Arial"/>
          <w:sz w:val="22"/>
        </w:rPr>
        <w:t xml:space="preserve">(and cost-effectiveness) </w:t>
      </w:r>
      <w:r w:rsidRPr="009015FA">
        <w:rPr>
          <w:rFonts w:ascii="Arial" w:eastAsia="Calibri" w:hAnsi="Arial" w:cs="Arial"/>
          <w:sz w:val="22"/>
        </w:rPr>
        <w:t>of pembrolizumab</w:t>
      </w:r>
      <w:r>
        <w:rPr>
          <w:rFonts w:ascii="Arial" w:eastAsia="Calibri" w:hAnsi="Arial" w:cs="Arial"/>
          <w:sz w:val="22"/>
        </w:rPr>
        <w:t xml:space="preserve"> over its comparators. As these issues were relevant to MSAC, PBAC decided that it should await MSAC’s assessment before first drawing any conclusions on the </w:t>
      </w:r>
      <w:r>
        <w:rPr>
          <w:rFonts w:ascii="Arial" w:hAnsi="Arial" w:cs="Arial"/>
          <w:bCs/>
          <w:snapToGrid w:val="0"/>
          <w:sz w:val="22"/>
          <w:szCs w:val="22"/>
        </w:rPr>
        <w:t xml:space="preserve">usefulness of </w:t>
      </w:r>
      <w:r w:rsidRPr="00F11F0B">
        <w:rPr>
          <w:rFonts w:ascii="Arial" w:hAnsi="Arial" w:cs="Arial"/>
          <w:bCs/>
          <w:snapToGrid w:val="0"/>
          <w:sz w:val="22"/>
          <w:szCs w:val="22"/>
        </w:rPr>
        <w:t xml:space="preserve">PD-L1 testing </w:t>
      </w:r>
      <w:r>
        <w:rPr>
          <w:rFonts w:ascii="Arial" w:hAnsi="Arial" w:cs="Arial"/>
          <w:bCs/>
          <w:snapToGrid w:val="0"/>
          <w:sz w:val="22"/>
          <w:szCs w:val="22"/>
        </w:rPr>
        <w:t>as a means of selecting patients for treatment with pembrolizumab.</w:t>
      </w:r>
    </w:p>
    <w:p w:rsidR="0041768A" w:rsidRDefault="0041768A" w:rsidP="00CC4396">
      <w:pPr>
        <w:pStyle w:val="ListParagraph"/>
        <w:ind w:left="0" w:firstLine="0"/>
        <w:rPr>
          <w:rFonts w:ascii="Arial" w:hAnsi="Arial" w:cs="Arial"/>
          <w:bCs/>
          <w:snapToGrid w:val="0"/>
          <w:sz w:val="22"/>
          <w:szCs w:val="22"/>
          <w:lang w:val="en-GB"/>
        </w:rPr>
      </w:pPr>
    </w:p>
    <w:p w:rsidR="004C2AF4" w:rsidRDefault="0047019C"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submission nominated </w:t>
      </w:r>
      <w:proofErr w:type="spellStart"/>
      <w:r>
        <w:rPr>
          <w:rFonts w:ascii="Arial" w:hAnsi="Arial" w:cs="Arial"/>
          <w:bCs/>
          <w:snapToGrid w:val="0"/>
          <w:sz w:val="22"/>
          <w:szCs w:val="22"/>
          <w:lang w:val="en-GB"/>
        </w:rPr>
        <w:t>docetaxel</w:t>
      </w:r>
      <w:proofErr w:type="spellEnd"/>
      <w:r>
        <w:rPr>
          <w:rFonts w:ascii="Arial" w:hAnsi="Arial" w:cs="Arial"/>
          <w:bCs/>
          <w:snapToGrid w:val="0"/>
          <w:sz w:val="22"/>
          <w:szCs w:val="22"/>
          <w:lang w:val="en-GB"/>
        </w:rPr>
        <w:t xml:space="preserve"> and </w:t>
      </w:r>
      <w:proofErr w:type="spellStart"/>
      <w:r>
        <w:rPr>
          <w:rFonts w:ascii="Arial" w:hAnsi="Arial" w:cs="Arial"/>
          <w:bCs/>
          <w:snapToGrid w:val="0"/>
          <w:sz w:val="22"/>
          <w:szCs w:val="22"/>
          <w:lang w:val="en-GB"/>
        </w:rPr>
        <w:t>pemetrexed</w:t>
      </w:r>
      <w:proofErr w:type="spellEnd"/>
      <w:r>
        <w:rPr>
          <w:rFonts w:ascii="Arial" w:hAnsi="Arial" w:cs="Arial"/>
          <w:bCs/>
          <w:snapToGrid w:val="0"/>
          <w:sz w:val="22"/>
          <w:szCs w:val="22"/>
          <w:lang w:val="en-GB"/>
        </w:rPr>
        <w:t xml:space="preserve"> as the main comparator for patients with squamous and non-squamous NSCLC</w:t>
      </w:r>
      <w:r w:rsidR="00CC4396">
        <w:rPr>
          <w:rFonts w:ascii="Arial" w:hAnsi="Arial" w:cs="Arial"/>
          <w:bCs/>
          <w:snapToGrid w:val="0"/>
          <w:sz w:val="22"/>
          <w:szCs w:val="22"/>
          <w:lang w:val="en-GB"/>
        </w:rPr>
        <w:t>,</w:t>
      </w:r>
      <w:r>
        <w:rPr>
          <w:rFonts w:ascii="Arial" w:hAnsi="Arial" w:cs="Arial"/>
          <w:bCs/>
          <w:snapToGrid w:val="0"/>
          <w:sz w:val="22"/>
          <w:szCs w:val="22"/>
          <w:lang w:val="en-GB"/>
        </w:rPr>
        <w:t xml:space="preserve"> respectively. The PBAC considered that these were the appropriate comparators.</w:t>
      </w:r>
    </w:p>
    <w:p w:rsidR="00761A60" w:rsidRDefault="00761A60" w:rsidP="00CC4396">
      <w:pPr>
        <w:widowControl w:val="0"/>
        <w:contextualSpacing/>
        <w:rPr>
          <w:rFonts w:ascii="Arial" w:hAnsi="Arial" w:cs="Arial"/>
          <w:bCs/>
          <w:snapToGrid w:val="0"/>
          <w:sz w:val="22"/>
          <w:szCs w:val="22"/>
          <w:lang w:val="en-GB"/>
        </w:rPr>
      </w:pPr>
    </w:p>
    <w:p w:rsidR="007C0C99" w:rsidRPr="003E65A1" w:rsidRDefault="007C0C99"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considered that </w:t>
      </w:r>
      <w:r w:rsidR="00F75605">
        <w:rPr>
          <w:rFonts w:ascii="Arial" w:hAnsi="Arial" w:cs="Arial"/>
          <w:bCs/>
          <w:snapToGrid w:val="0"/>
          <w:sz w:val="22"/>
          <w:szCs w:val="22"/>
          <w:lang w:val="en-GB"/>
        </w:rPr>
        <w:t xml:space="preserve">a </w:t>
      </w:r>
      <w:r w:rsidRPr="007C0C99">
        <w:rPr>
          <w:rFonts w:ascii="Arial" w:hAnsi="Arial" w:cs="Arial"/>
          <w:bCs/>
          <w:snapToGrid w:val="0"/>
          <w:sz w:val="22"/>
          <w:szCs w:val="22"/>
          <w:lang w:val="en-GB"/>
        </w:rPr>
        <w:t xml:space="preserve">PD-L1 </w:t>
      </w:r>
      <w:r w:rsidR="00B54739">
        <w:rPr>
          <w:rFonts w:ascii="Arial" w:hAnsi="Arial" w:cs="Arial"/>
          <w:bCs/>
          <w:snapToGrid w:val="0"/>
          <w:sz w:val="22"/>
          <w:szCs w:val="22"/>
          <w:lang w:val="en-GB"/>
        </w:rPr>
        <w:t xml:space="preserve">TPS </w:t>
      </w:r>
      <w:r w:rsidR="00F75605">
        <w:rPr>
          <w:rFonts w:ascii="Arial" w:hAnsi="Arial" w:cs="Arial"/>
          <w:bCs/>
          <w:snapToGrid w:val="0"/>
          <w:sz w:val="22"/>
          <w:szCs w:val="22"/>
          <w:lang w:val="en-GB"/>
        </w:rPr>
        <w:t xml:space="preserve">threshold of 50% </w:t>
      </w:r>
      <w:r w:rsidRPr="007C0C99">
        <w:rPr>
          <w:rFonts w:ascii="Arial" w:hAnsi="Arial" w:cs="Arial"/>
          <w:bCs/>
          <w:snapToGrid w:val="0"/>
          <w:sz w:val="22"/>
          <w:szCs w:val="22"/>
          <w:lang w:val="en-GB"/>
        </w:rPr>
        <w:t>was weakly shown to be a treatment effect modifier based on the plausibility of treatment effect variation, pre</w:t>
      </w:r>
      <w:r w:rsidR="00AA3EF8">
        <w:rPr>
          <w:rFonts w:ascii="Arial" w:hAnsi="Arial" w:cs="Arial"/>
          <w:bCs/>
          <w:snapToGrid w:val="0"/>
          <w:sz w:val="22"/>
          <w:szCs w:val="22"/>
          <w:lang w:val="en-GB"/>
        </w:rPr>
        <w:t>-</w:t>
      </w:r>
      <w:r w:rsidRPr="007C0C99">
        <w:rPr>
          <w:rFonts w:ascii="Arial" w:hAnsi="Arial" w:cs="Arial"/>
          <w:bCs/>
          <w:snapToGrid w:val="0"/>
          <w:sz w:val="22"/>
          <w:szCs w:val="22"/>
          <w:lang w:val="en-GB"/>
        </w:rPr>
        <w:t xml:space="preserve">specification of this analysis, and statistical analysis of the ratio of HRs across subgroups categorised as TPS ≥50% </w:t>
      </w:r>
      <w:proofErr w:type="spellStart"/>
      <w:r w:rsidRPr="007C0C99">
        <w:rPr>
          <w:rFonts w:ascii="Arial" w:hAnsi="Arial" w:cs="Arial"/>
          <w:bCs/>
          <w:snapToGrid w:val="0"/>
          <w:sz w:val="22"/>
          <w:szCs w:val="22"/>
          <w:lang w:val="en-GB"/>
        </w:rPr>
        <w:t>vs</w:t>
      </w:r>
      <w:proofErr w:type="spellEnd"/>
      <w:r w:rsidRPr="007C0C99">
        <w:rPr>
          <w:rFonts w:ascii="Arial" w:hAnsi="Arial" w:cs="Arial"/>
          <w:bCs/>
          <w:snapToGrid w:val="0"/>
          <w:sz w:val="22"/>
          <w:szCs w:val="22"/>
          <w:lang w:val="en-GB"/>
        </w:rPr>
        <w:t xml:space="preserve"> TPS 1‒49%.</w:t>
      </w:r>
    </w:p>
    <w:p w:rsidR="000F29B1" w:rsidRDefault="000F29B1" w:rsidP="00246FFB">
      <w:pPr>
        <w:pStyle w:val="ListParagraph"/>
        <w:ind w:left="0" w:firstLine="0"/>
        <w:rPr>
          <w:rFonts w:ascii="Arial" w:hAnsi="Arial" w:cs="Arial"/>
          <w:bCs/>
          <w:snapToGrid w:val="0"/>
          <w:sz w:val="22"/>
          <w:szCs w:val="22"/>
          <w:lang w:val="en-GB"/>
        </w:rPr>
      </w:pPr>
    </w:p>
    <w:p w:rsidR="004C2AF4" w:rsidRPr="0027703B" w:rsidRDefault="003837A8" w:rsidP="009C3A29">
      <w:pPr>
        <w:widowControl w:val="0"/>
        <w:numPr>
          <w:ilvl w:val="1"/>
          <w:numId w:val="3"/>
        </w:numPr>
        <w:ind w:left="720"/>
        <w:contextualSpacing/>
        <w:rPr>
          <w:rFonts w:ascii="Arial" w:hAnsi="Arial" w:cs="Arial"/>
          <w:bCs/>
          <w:snapToGrid w:val="0"/>
          <w:sz w:val="22"/>
          <w:szCs w:val="22"/>
          <w:lang w:val="en-GB"/>
        </w:rPr>
      </w:pPr>
      <w:r w:rsidRPr="0027703B">
        <w:rPr>
          <w:rFonts w:ascii="Arial" w:hAnsi="Arial" w:cs="Arial"/>
          <w:bCs/>
          <w:snapToGrid w:val="0"/>
          <w:sz w:val="22"/>
          <w:szCs w:val="22"/>
          <w:lang w:val="en-GB"/>
        </w:rPr>
        <w:t xml:space="preserve">The PBAC noted </w:t>
      </w:r>
      <w:r w:rsidR="004C2AF4" w:rsidRPr="0027703B">
        <w:rPr>
          <w:rFonts w:ascii="Arial" w:hAnsi="Arial" w:cs="Arial"/>
          <w:bCs/>
          <w:snapToGrid w:val="0"/>
          <w:sz w:val="22"/>
          <w:szCs w:val="22"/>
          <w:lang w:val="en-GB"/>
        </w:rPr>
        <w:t>th</w:t>
      </w:r>
      <w:r w:rsidR="00251D7A" w:rsidRPr="0027703B">
        <w:rPr>
          <w:rFonts w:ascii="Arial" w:hAnsi="Arial" w:cs="Arial"/>
          <w:bCs/>
          <w:snapToGrid w:val="0"/>
          <w:sz w:val="22"/>
          <w:szCs w:val="22"/>
          <w:lang w:val="en-GB"/>
        </w:rPr>
        <w:t>at</w:t>
      </w:r>
      <w:r w:rsidR="00246FFB">
        <w:rPr>
          <w:rFonts w:ascii="Arial" w:hAnsi="Arial" w:cs="Arial"/>
          <w:bCs/>
          <w:snapToGrid w:val="0"/>
          <w:sz w:val="22"/>
          <w:szCs w:val="22"/>
          <w:lang w:val="en-GB"/>
        </w:rPr>
        <w:t>,</w:t>
      </w:r>
      <w:r w:rsidR="00251D7A" w:rsidRPr="0027703B">
        <w:rPr>
          <w:rFonts w:ascii="Arial" w:hAnsi="Arial" w:cs="Arial"/>
          <w:bCs/>
          <w:snapToGrid w:val="0"/>
          <w:sz w:val="22"/>
          <w:szCs w:val="22"/>
          <w:lang w:val="en-GB"/>
        </w:rPr>
        <w:t xml:space="preserve"> </w:t>
      </w:r>
      <w:r w:rsidR="0027703B" w:rsidRPr="0027703B">
        <w:rPr>
          <w:rFonts w:ascii="Arial" w:hAnsi="Arial" w:cs="Arial"/>
          <w:bCs/>
          <w:snapToGrid w:val="0"/>
          <w:sz w:val="22"/>
          <w:szCs w:val="22"/>
          <w:lang w:val="en-GB"/>
        </w:rPr>
        <w:t xml:space="preserve">although the comparison between pembrolizumab and </w:t>
      </w:r>
      <w:proofErr w:type="spellStart"/>
      <w:r w:rsidR="0027703B" w:rsidRPr="0027703B">
        <w:rPr>
          <w:rFonts w:ascii="Arial" w:hAnsi="Arial" w:cs="Arial"/>
          <w:bCs/>
          <w:snapToGrid w:val="0"/>
          <w:sz w:val="22"/>
          <w:szCs w:val="22"/>
          <w:lang w:val="en-GB"/>
        </w:rPr>
        <w:t>docetaxel</w:t>
      </w:r>
      <w:proofErr w:type="spellEnd"/>
      <w:r w:rsidR="0027703B" w:rsidRPr="0027703B">
        <w:rPr>
          <w:rFonts w:ascii="Arial" w:hAnsi="Arial" w:cs="Arial"/>
          <w:bCs/>
          <w:snapToGrid w:val="0"/>
          <w:sz w:val="22"/>
          <w:szCs w:val="22"/>
          <w:lang w:val="en-GB"/>
        </w:rPr>
        <w:t xml:space="preserve"> </w:t>
      </w:r>
      <w:r w:rsidR="004F655E">
        <w:rPr>
          <w:rFonts w:ascii="Arial" w:hAnsi="Arial" w:cs="Arial"/>
          <w:bCs/>
          <w:snapToGrid w:val="0"/>
          <w:sz w:val="22"/>
          <w:szCs w:val="22"/>
          <w:lang w:val="en-GB"/>
        </w:rPr>
        <w:t xml:space="preserve">for squamous NSCLC </w:t>
      </w:r>
      <w:r w:rsidR="0027703B" w:rsidRPr="0027703B">
        <w:rPr>
          <w:rFonts w:ascii="Arial" w:hAnsi="Arial" w:cs="Arial"/>
          <w:bCs/>
          <w:snapToGrid w:val="0"/>
          <w:sz w:val="22"/>
          <w:szCs w:val="22"/>
          <w:lang w:val="en-GB"/>
        </w:rPr>
        <w:t xml:space="preserve">was based on direct evidence, </w:t>
      </w:r>
      <w:r w:rsidR="0027703B">
        <w:rPr>
          <w:rFonts w:ascii="Arial" w:hAnsi="Arial" w:cs="Arial"/>
          <w:bCs/>
          <w:snapToGrid w:val="0"/>
          <w:sz w:val="22"/>
          <w:szCs w:val="22"/>
          <w:lang w:val="en-GB"/>
        </w:rPr>
        <w:t>the</w:t>
      </w:r>
      <w:r w:rsidR="00251D7A" w:rsidRPr="0027703B">
        <w:rPr>
          <w:rFonts w:ascii="Arial" w:hAnsi="Arial" w:cs="Arial"/>
          <w:bCs/>
          <w:snapToGrid w:val="0"/>
          <w:sz w:val="22"/>
          <w:szCs w:val="22"/>
          <w:lang w:val="en-GB"/>
        </w:rPr>
        <w:t xml:space="preserve"> evidence </w:t>
      </w:r>
      <w:r w:rsidR="0027703B">
        <w:rPr>
          <w:rFonts w:ascii="Arial" w:hAnsi="Arial" w:cs="Arial"/>
          <w:bCs/>
          <w:snapToGrid w:val="0"/>
          <w:sz w:val="22"/>
          <w:szCs w:val="22"/>
          <w:lang w:val="en-GB"/>
        </w:rPr>
        <w:t>was limited</w:t>
      </w:r>
      <w:r w:rsidR="00251D7A" w:rsidRPr="0027703B">
        <w:rPr>
          <w:rFonts w:ascii="Arial" w:hAnsi="Arial" w:cs="Arial"/>
          <w:bCs/>
          <w:snapToGrid w:val="0"/>
          <w:sz w:val="22"/>
          <w:szCs w:val="22"/>
          <w:lang w:val="en-GB"/>
        </w:rPr>
        <w:t xml:space="preserve">, due to the smaller proportion </w:t>
      </w:r>
      <w:r w:rsidRPr="0027703B">
        <w:rPr>
          <w:rFonts w:ascii="Arial" w:hAnsi="Arial" w:cs="Arial"/>
          <w:bCs/>
          <w:snapToGrid w:val="0"/>
          <w:sz w:val="22"/>
          <w:szCs w:val="22"/>
          <w:lang w:val="en-GB"/>
        </w:rPr>
        <w:t>(2</w:t>
      </w:r>
      <w:r w:rsidR="00246FFB">
        <w:rPr>
          <w:rFonts w:ascii="Arial" w:hAnsi="Arial" w:cs="Arial"/>
          <w:bCs/>
          <w:snapToGrid w:val="0"/>
          <w:sz w:val="22"/>
          <w:szCs w:val="22"/>
          <w:lang w:val="en-GB"/>
        </w:rPr>
        <w:t>1</w:t>
      </w:r>
      <w:r w:rsidRPr="0027703B">
        <w:rPr>
          <w:rFonts w:ascii="Arial" w:hAnsi="Arial" w:cs="Arial"/>
          <w:bCs/>
          <w:snapToGrid w:val="0"/>
          <w:sz w:val="22"/>
          <w:szCs w:val="22"/>
          <w:lang w:val="en-GB"/>
        </w:rPr>
        <w:t xml:space="preserve">%) </w:t>
      </w:r>
      <w:r w:rsidR="00251D7A" w:rsidRPr="0027703B">
        <w:rPr>
          <w:rFonts w:ascii="Arial" w:hAnsi="Arial" w:cs="Arial"/>
          <w:bCs/>
          <w:snapToGrid w:val="0"/>
          <w:sz w:val="22"/>
          <w:szCs w:val="22"/>
          <w:lang w:val="en-GB"/>
        </w:rPr>
        <w:t>of patients with squamous NSCLC</w:t>
      </w:r>
      <w:r w:rsidRPr="0027703B">
        <w:rPr>
          <w:rFonts w:ascii="Arial" w:hAnsi="Arial" w:cs="Arial"/>
          <w:bCs/>
          <w:snapToGrid w:val="0"/>
          <w:sz w:val="22"/>
          <w:szCs w:val="22"/>
          <w:lang w:val="en-GB"/>
        </w:rPr>
        <w:t xml:space="preserve"> in the KN-010 trial</w:t>
      </w:r>
      <w:r w:rsidR="00251D7A" w:rsidRPr="0027703B">
        <w:rPr>
          <w:rFonts w:ascii="Arial" w:hAnsi="Arial" w:cs="Arial"/>
          <w:bCs/>
          <w:snapToGrid w:val="0"/>
          <w:sz w:val="22"/>
          <w:szCs w:val="22"/>
          <w:lang w:val="en-GB"/>
        </w:rPr>
        <w:t xml:space="preserve">. </w:t>
      </w:r>
      <w:r w:rsidR="00A22795" w:rsidRPr="0027703B">
        <w:rPr>
          <w:rFonts w:ascii="Arial" w:hAnsi="Arial" w:cs="Arial"/>
          <w:bCs/>
          <w:snapToGrid w:val="0"/>
          <w:sz w:val="22"/>
          <w:szCs w:val="22"/>
          <w:lang w:val="en-GB"/>
        </w:rPr>
        <w:t>However, t</w:t>
      </w:r>
      <w:r w:rsidRPr="0027703B">
        <w:rPr>
          <w:rFonts w:ascii="Arial" w:hAnsi="Arial" w:cs="Arial"/>
          <w:bCs/>
          <w:snapToGrid w:val="0"/>
          <w:sz w:val="22"/>
          <w:szCs w:val="22"/>
          <w:lang w:val="en-GB"/>
        </w:rPr>
        <w:t xml:space="preserve">he PBAC considered that </w:t>
      </w:r>
      <w:r w:rsidR="00246FFB">
        <w:rPr>
          <w:rFonts w:ascii="Arial" w:hAnsi="Arial" w:cs="Arial"/>
          <w:bCs/>
          <w:snapToGrid w:val="0"/>
          <w:sz w:val="22"/>
          <w:szCs w:val="22"/>
          <w:lang w:val="en-GB"/>
        </w:rPr>
        <w:t xml:space="preserve">the effectiveness of </w:t>
      </w:r>
      <w:r w:rsidRPr="0027703B">
        <w:rPr>
          <w:rFonts w:ascii="Arial" w:hAnsi="Arial" w:cs="Arial"/>
          <w:bCs/>
          <w:snapToGrid w:val="0"/>
          <w:sz w:val="22"/>
          <w:szCs w:val="22"/>
          <w:lang w:val="en-GB"/>
        </w:rPr>
        <w:t xml:space="preserve">pembrolizumab was likely to </w:t>
      </w:r>
      <w:r w:rsidR="00246FFB">
        <w:rPr>
          <w:rFonts w:ascii="Arial" w:hAnsi="Arial" w:cs="Arial"/>
          <w:bCs/>
          <w:snapToGrid w:val="0"/>
          <w:sz w:val="22"/>
          <w:szCs w:val="22"/>
          <w:lang w:val="en-GB"/>
        </w:rPr>
        <w:t xml:space="preserve">be </w:t>
      </w:r>
      <w:r w:rsidRPr="0027703B">
        <w:rPr>
          <w:rFonts w:ascii="Arial" w:hAnsi="Arial" w:cs="Arial"/>
          <w:bCs/>
          <w:snapToGrid w:val="0"/>
          <w:sz w:val="22"/>
          <w:szCs w:val="22"/>
          <w:lang w:val="en-GB"/>
        </w:rPr>
        <w:t xml:space="preserve">similar </w:t>
      </w:r>
      <w:r w:rsidR="00246FFB">
        <w:rPr>
          <w:rFonts w:ascii="Arial" w:hAnsi="Arial" w:cs="Arial"/>
          <w:bCs/>
          <w:snapToGrid w:val="0"/>
          <w:sz w:val="22"/>
          <w:szCs w:val="22"/>
          <w:lang w:val="en-GB"/>
        </w:rPr>
        <w:t xml:space="preserve">for both </w:t>
      </w:r>
      <w:r w:rsidRPr="0027703B">
        <w:rPr>
          <w:rFonts w:ascii="Arial" w:hAnsi="Arial" w:cs="Arial"/>
          <w:bCs/>
          <w:snapToGrid w:val="0"/>
          <w:sz w:val="22"/>
          <w:szCs w:val="22"/>
          <w:lang w:val="en-GB"/>
        </w:rPr>
        <w:t xml:space="preserve">squamous and non-squamous </w:t>
      </w:r>
      <w:r w:rsidR="004F655E" w:rsidRPr="009015FA">
        <w:rPr>
          <w:rFonts w:ascii="Arial" w:hAnsi="Arial" w:cs="Arial"/>
          <w:sz w:val="22"/>
        </w:rPr>
        <w:t xml:space="preserve">PD-L1 positive </w:t>
      </w:r>
      <w:r w:rsidR="00246FFB">
        <w:rPr>
          <w:rFonts w:ascii="Arial" w:hAnsi="Arial" w:cs="Arial"/>
          <w:bCs/>
          <w:snapToGrid w:val="0"/>
          <w:sz w:val="22"/>
          <w:szCs w:val="22"/>
          <w:lang w:val="en-GB"/>
        </w:rPr>
        <w:t>NSCLC</w:t>
      </w:r>
      <w:r w:rsidRPr="0027703B">
        <w:rPr>
          <w:rFonts w:ascii="Arial" w:hAnsi="Arial" w:cs="Arial"/>
          <w:bCs/>
          <w:snapToGrid w:val="0"/>
          <w:sz w:val="22"/>
          <w:szCs w:val="22"/>
          <w:lang w:val="en-GB"/>
        </w:rPr>
        <w:t>.</w:t>
      </w:r>
    </w:p>
    <w:p w:rsidR="003837A8" w:rsidRDefault="003837A8" w:rsidP="00246FFB">
      <w:pPr>
        <w:widowControl w:val="0"/>
        <w:contextualSpacing/>
        <w:rPr>
          <w:rFonts w:ascii="Arial" w:hAnsi="Arial" w:cs="Arial"/>
          <w:bCs/>
          <w:snapToGrid w:val="0"/>
          <w:sz w:val="22"/>
          <w:szCs w:val="22"/>
          <w:lang w:val="en-GB"/>
        </w:rPr>
      </w:pPr>
    </w:p>
    <w:p w:rsidR="003837A8" w:rsidRDefault="003837A8"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The PBAC</w:t>
      </w:r>
      <w:r w:rsidR="0027703B">
        <w:rPr>
          <w:rFonts w:ascii="Arial" w:hAnsi="Arial" w:cs="Arial"/>
          <w:bCs/>
          <w:snapToGrid w:val="0"/>
          <w:sz w:val="22"/>
          <w:szCs w:val="22"/>
          <w:lang w:val="en-GB"/>
        </w:rPr>
        <w:t xml:space="preserve"> also</w:t>
      </w:r>
      <w:r>
        <w:rPr>
          <w:rFonts w:ascii="Arial" w:hAnsi="Arial" w:cs="Arial"/>
          <w:bCs/>
          <w:snapToGrid w:val="0"/>
          <w:sz w:val="22"/>
          <w:szCs w:val="22"/>
          <w:lang w:val="en-GB"/>
        </w:rPr>
        <w:t xml:space="preserve"> noted that the submission’s claim that pembrolizumab was of superior effectiveness over </w:t>
      </w:r>
      <w:proofErr w:type="spellStart"/>
      <w:r>
        <w:rPr>
          <w:rFonts w:ascii="Arial" w:hAnsi="Arial" w:cs="Arial"/>
          <w:bCs/>
          <w:snapToGrid w:val="0"/>
          <w:sz w:val="22"/>
          <w:szCs w:val="22"/>
          <w:lang w:val="en-GB"/>
        </w:rPr>
        <w:t>pemetrexed</w:t>
      </w:r>
      <w:proofErr w:type="spellEnd"/>
      <w:r>
        <w:rPr>
          <w:rFonts w:ascii="Arial" w:hAnsi="Arial" w:cs="Arial"/>
          <w:bCs/>
          <w:snapToGrid w:val="0"/>
          <w:sz w:val="22"/>
          <w:szCs w:val="22"/>
          <w:lang w:val="en-GB"/>
        </w:rPr>
        <w:t xml:space="preserve"> in patients with non-squamous NS</w:t>
      </w:r>
      <w:r w:rsidR="0013049C">
        <w:rPr>
          <w:rFonts w:ascii="Arial" w:hAnsi="Arial" w:cs="Arial"/>
          <w:bCs/>
          <w:snapToGrid w:val="0"/>
          <w:sz w:val="22"/>
          <w:szCs w:val="22"/>
          <w:lang w:val="en-GB"/>
        </w:rPr>
        <w:t>C</w:t>
      </w:r>
      <w:r>
        <w:rPr>
          <w:rFonts w:ascii="Arial" w:hAnsi="Arial" w:cs="Arial"/>
          <w:bCs/>
          <w:snapToGrid w:val="0"/>
          <w:sz w:val="22"/>
          <w:szCs w:val="22"/>
          <w:lang w:val="en-GB"/>
        </w:rPr>
        <w:t>LC was based on indirect evidence</w:t>
      </w:r>
      <w:r w:rsidR="0027703B">
        <w:rPr>
          <w:rFonts w:ascii="Arial" w:hAnsi="Arial" w:cs="Arial"/>
          <w:bCs/>
          <w:snapToGrid w:val="0"/>
          <w:sz w:val="22"/>
          <w:szCs w:val="22"/>
          <w:lang w:val="en-GB"/>
        </w:rPr>
        <w:t>, and was associated with transitivity issues</w:t>
      </w:r>
      <w:r>
        <w:rPr>
          <w:rFonts w:ascii="Arial" w:hAnsi="Arial" w:cs="Arial"/>
          <w:bCs/>
          <w:snapToGrid w:val="0"/>
          <w:sz w:val="22"/>
          <w:szCs w:val="22"/>
          <w:lang w:val="en-GB"/>
        </w:rPr>
        <w:t xml:space="preserve">. The PBAC noted that the indirect comparison for the subgroup of patients with ≥50% TPS showed that pembrolizumab was of superior efficacy over </w:t>
      </w:r>
      <w:proofErr w:type="spellStart"/>
      <w:r>
        <w:rPr>
          <w:rFonts w:ascii="Arial" w:hAnsi="Arial" w:cs="Arial"/>
          <w:bCs/>
          <w:snapToGrid w:val="0"/>
          <w:sz w:val="22"/>
          <w:szCs w:val="22"/>
          <w:lang w:val="en-GB"/>
        </w:rPr>
        <w:t>pemetrexed</w:t>
      </w:r>
      <w:proofErr w:type="spellEnd"/>
      <w:r>
        <w:rPr>
          <w:rFonts w:ascii="Arial" w:hAnsi="Arial" w:cs="Arial"/>
          <w:bCs/>
          <w:snapToGrid w:val="0"/>
          <w:sz w:val="22"/>
          <w:szCs w:val="22"/>
          <w:lang w:val="en-GB"/>
        </w:rPr>
        <w:t xml:space="preserve">, </w:t>
      </w:r>
      <w:r w:rsidR="008E004B">
        <w:rPr>
          <w:rFonts w:ascii="Arial" w:hAnsi="Arial" w:cs="Arial"/>
          <w:bCs/>
          <w:snapToGrid w:val="0"/>
          <w:sz w:val="22"/>
          <w:szCs w:val="22"/>
          <w:lang w:val="en-GB"/>
        </w:rPr>
        <w:t>but</w:t>
      </w:r>
      <w:r>
        <w:rPr>
          <w:rFonts w:ascii="Arial" w:hAnsi="Arial" w:cs="Arial"/>
          <w:bCs/>
          <w:snapToGrid w:val="0"/>
          <w:sz w:val="22"/>
          <w:szCs w:val="22"/>
          <w:lang w:val="en-GB"/>
        </w:rPr>
        <w:t xml:space="preserve"> that the ITT analysis using all PD-L1 positive (TPS ≥1%)</w:t>
      </w:r>
      <w:r w:rsidR="00761A60">
        <w:rPr>
          <w:rFonts w:ascii="Arial" w:hAnsi="Arial" w:cs="Arial"/>
          <w:bCs/>
          <w:snapToGrid w:val="0"/>
          <w:sz w:val="22"/>
          <w:szCs w:val="22"/>
          <w:lang w:val="en-GB"/>
        </w:rPr>
        <w:t xml:space="preserve"> patients</w:t>
      </w:r>
      <w:r>
        <w:rPr>
          <w:rFonts w:ascii="Arial" w:hAnsi="Arial" w:cs="Arial"/>
          <w:bCs/>
          <w:snapToGrid w:val="0"/>
          <w:sz w:val="22"/>
          <w:szCs w:val="22"/>
          <w:lang w:val="en-GB"/>
        </w:rPr>
        <w:t xml:space="preserve"> did not show a clear </w:t>
      </w:r>
      <w:r w:rsidR="00A248F5">
        <w:rPr>
          <w:rFonts w:ascii="Arial" w:hAnsi="Arial" w:cs="Arial"/>
          <w:bCs/>
          <w:snapToGrid w:val="0"/>
          <w:sz w:val="22"/>
          <w:szCs w:val="22"/>
          <w:lang w:val="en-GB"/>
        </w:rPr>
        <w:t xml:space="preserve">gain in </w:t>
      </w:r>
      <w:r>
        <w:rPr>
          <w:rFonts w:ascii="Arial" w:hAnsi="Arial" w:cs="Arial"/>
          <w:bCs/>
          <w:snapToGrid w:val="0"/>
          <w:sz w:val="22"/>
          <w:szCs w:val="22"/>
          <w:lang w:val="en-GB"/>
        </w:rPr>
        <w:t>OS with</w:t>
      </w:r>
      <w:r w:rsidR="00761A60">
        <w:rPr>
          <w:rFonts w:ascii="Arial" w:hAnsi="Arial" w:cs="Arial"/>
          <w:bCs/>
          <w:snapToGrid w:val="0"/>
          <w:sz w:val="22"/>
          <w:szCs w:val="22"/>
          <w:lang w:val="en-GB"/>
        </w:rPr>
        <w:t xml:space="preserve"> pembrolizumab over </w:t>
      </w:r>
      <w:proofErr w:type="spellStart"/>
      <w:r w:rsidR="00761A60">
        <w:rPr>
          <w:rFonts w:ascii="Arial" w:hAnsi="Arial" w:cs="Arial"/>
          <w:bCs/>
          <w:snapToGrid w:val="0"/>
          <w:sz w:val="22"/>
          <w:szCs w:val="22"/>
          <w:lang w:val="en-GB"/>
        </w:rPr>
        <w:t>pemetrexed</w:t>
      </w:r>
      <w:proofErr w:type="spellEnd"/>
      <w:r w:rsidR="00761A60">
        <w:rPr>
          <w:rFonts w:ascii="Arial" w:hAnsi="Arial" w:cs="Arial"/>
          <w:bCs/>
          <w:snapToGrid w:val="0"/>
          <w:sz w:val="22"/>
          <w:szCs w:val="22"/>
          <w:lang w:val="en-GB"/>
        </w:rPr>
        <w:t xml:space="preserve"> as the confidence interval crossed 1.</w:t>
      </w:r>
    </w:p>
    <w:p w:rsidR="000E3238" w:rsidRDefault="000E3238" w:rsidP="00246FFB">
      <w:pPr>
        <w:pStyle w:val="ListParagraph"/>
        <w:ind w:left="0" w:firstLine="0"/>
        <w:rPr>
          <w:rFonts w:ascii="Arial" w:hAnsi="Arial" w:cs="Arial"/>
          <w:bCs/>
          <w:snapToGrid w:val="0"/>
          <w:sz w:val="22"/>
          <w:szCs w:val="22"/>
          <w:lang w:val="en-GB"/>
        </w:rPr>
      </w:pPr>
    </w:p>
    <w:p w:rsidR="000E3238" w:rsidRDefault="000E3238"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The PBAC con</w:t>
      </w:r>
      <w:r w:rsidR="008E004B">
        <w:rPr>
          <w:rFonts w:ascii="Arial" w:hAnsi="Arial" w:cs="Arial"/>
          <w:bCs/>
          <w:snapToGrid w:val="0"/>
          <w:sz w:val="22"/>
          <w:szCs w:val="22"/>
          <w:lang w:val="en-GB"/>
        </w:rPr>
        <w:t>cluded</w:t>
      </w:r>
      <w:r>
        <w:rPr>
          <w:rFonts w:ascii="Arial" w:hAnsi="Arial" w:cs="Arial"/>
          <w:bCs/>
          <w:snapToGrid w:val="0"/>
          <w:sz w:val="22"/>
          <w:szCs w:val="22"/>
          <w:lang w:val="en-GB"/>
        </w:rPr>
        <w:t xml:space="preserve"> that pembrolizumab was </w:t>
      </w:r>
      <w:r w:rsidR="003858EB">
        <w:rPr>
          <w:rFonts w:ascii="Arial" w:hAnsi="Arial" w:cs="Arial"/>
          <w:bCs/>
          <w:snapToGrid w:val="0"/>
          <w:sz w:val="22"/>
          <w:szCs w:val="22"/>
          <w:lang w:val="en-GB"/>
        </w:rPr>
        <w:t xml:space="preserve">more </w:t>
      </w:r>
      <w:r>
        <w:rPr>
          <w:rFonts w:ascii="Arial" w:hAnsi="Arial" w:cs="Arial"/>
          <w:bCs/>
          <w:snapToGrid w:val="0"/>
          <w:sz w:val="22"/>
          <w:szCs w:val="22"/>
          <w:lang w:val="en-GB"/>
        </w:rPr>
        <w:t>effective</w:t>
      </w:r>
      <w:r w:rsidR="003858EB">
        <w:rPr>
          <w:rFonts w:ascii="Arial" w:hAnsi="Arial" w:cs="Arial"/>
          <w:bCs/>
          <w:snapToGrid w:val="0"/>
          <w:sz w:val="22"/>
          <w:szCs w:val="22"/>
          <w:lang w:val="en-GB"/>
        </w:rPr>
        <w:t xml:space="preserve"> than </w:t>
      </w:r>
      <w:proofErr w:type="spellStart"/>
      <w:r w:rsidR="00442AD4">
        <w:rPr>
          <w:rFonts w:ascii="Arial" w:hAnsi="Arial" w:cs="Arial"/>
          <w:bCs/>
          <w:snapToGrid w:val="0"/>
          <w:sz w:val="22"/>
          <w:szCs w:val="22"/>
          <w:lang w:val="en-GB"/>
        </w:rPr>
        <w:t>docetaxel</w:t>
      </w:r>
      <w:proofErr w:type="spellEnd"/>
      <w:r w:rsidR="00442AD4">
        <w:rPr>
          <w:rFonts w:ascii="Arial" w:hAnsi="Arial" w:cs="Arial"/>
          <w:bCs/>
          <w:snapToGrid w:val="0"/>
          <w:sz w:val="22"/>
          <w:szCs w:val="22"/>
          <w:lang w:val="en-GB"/>
        </w:rPr>
        <w:t xml:space="preserve"> and </w:t>
      </w:r>
      <w:proofErr w:type="spellStart"/>
      <w:r w:rsidR="00442AD4">
        <w:rPr>
          <w:rFonts w:ascii="Arial" w:hAnsi="Arial" w:cs="Arial"/>
          <w:bCs/>
          <w:snapToGrid w:val="0"/>
          <w:sz w:val="22"/>
          <w:szCs w:val="22"/>
          <w:lang w:val="en-GB"/>
        </w:rPr>
        <w:t>pemetrexed</w:t>
      </w:r>
      <w:proofErr w:type="spellEnd"/>
      <w:r w:rsidR="003858EB">
        <w:rPr>
          <w:rFonts w:ascii="Arial" w:hAnsi="Arial" w:cs="Arial"/>
          <w:bCs/>
          <w:snapToGrid w:val="0"/>
          <w:sz w:val="22"/>
          <w:szCs w:val="22"/>
          <w:lang w:val="en-GB"/>
        </w:rPr>
        <w:t>, but that the magnitude of</w:t>
      </w:r>
      <w:r w:rsidR="008E004B">
        <w:rPr>
          <w:rFonts w:ascii="Arial" w:hAnsi="Arial" w:cs="Arial"/>
          <w:bCs/>
          <w:snapToGrid w:val="0"/>
          <w:sz w:val="22"/>
          <w:szCs w:val="22"/>
          <w:lang w:val="en-GB"/>
        </w:rPr>
        <w:t xml:space="preserve"> the gain in effectiveness over </w:t>
      </w:r>
      <w:proofErr w:type="spellStart"/>
      <w:r w:rsidR="008E004B">
        <w:rPr>
          <w:rFonts w:ascii="Arial" w:hAnsi="Arial" w:cs="Arial"/>
          <w:bCs/>
          <w:snapToGrid w:val="0"/>
          <w:sz w:val="22"/>
          <w:szCs w:val="22"/>
          <w:lang w:val="en-GB"/>
        </w:rPr>
        <w:t>pemetrexed</w:t>
      </w:r>
      <w:proofErr w:type="spellEnd"/>
      <w:r w:rsidR="008E004B">
        <w:rPr>
          <w:rFonts w:ascii="Arial" w:hAnsi="Arial" w:cs="Arial"/>
          <w:bCs/>
          <w:snapToGrid w:val="0"/>
          <w:sz w:val="22"/>
          <w:szCs w:val="22"/>
          <w:lang w:val="en-GB"/>
        </w:rPr>
        <w:t xml:space="preserve"> was less clear due to the need to conduct an indirect comparison.</w:t>
      </w:r>
    </w:p>
    <w:p w:rsidR="00442AD4" w:rsidRDefault="00442AD4" w:rsidP="00246FFB">
      <w:pPr>
        <w:pStyle w:val="ListParagraph"/>
        <w:ind w:left="0" w:firstLine="0"/>
        <w:rPr>
          <w:rFonts w:ascii="Arial" w:hAnsi="Arial" w:cs="Arial"/>
          <w:bCs/>
          <w:snapToGrid w:val="0"/>
          <w:sz w:val="22"/>
          <w:szCs w:val="22"/>
          <w:lang w:val="en-GB"/>
        </w:rPr>
      </w:pPr>
    </w:p>
    <w:p w:rsidR="00CF3775" w:rsidRDefault="00442AD4"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w:t>
      </w:r>
      <w:r w:rsidR="00EC7F74">
        <w:rPr>
          <w:rFonts w:ascii="Arial" w:hAnsi="Arial" w:cs="Arial"/>
          <w:bCs/>
          <w:snapToGrid w:val="0"/>
          <w:sz w:val="22"/>
          <w:szCs w:val="22"/>
          <w:lang w:val="en-GB"/>
        </w:rPr>
        <w:t xml:space="preserve">considered that pembrolizumab would likely be better tolerated </w:t>
      </w:r>
      <w:r w:rsidR="00116978">
        <w:rPr>
          <w:rFonts w:ascii="Arial" w:hAnsi="Arial" w:cs="Arial"/>
          <w:bCs/>
          <w:snapToGrid w:val="0"/>
          <w:sz w:val="22"/>
          <w:szCs w:val="22"/>
          <w:lang w:val="en-GB"/>
        </w:rPr>
        <w:t>overall than</w:t>
      </w:r>
      <w:r w:rsidR="00EC7F74">
        <w:rPr>
          <w:rFonts w:ascii="Arial" w:hAnsi="Arial" w:cs="Arial"/>
          <w:bCs/>
          <w:snapToGrid w:val="0"/>
          <w:sz w:val="22"/>
          <w:szCs w:val="22"/>
          <w:lang w:val="en-GB"/>
        </w:rPr>
        <w:t xml:space="preserve"> </w:t>
      </w:r>
      <w:proofErr w:type="spellStart"/>
      <w:r w:rsidR="00EC7F74">
        <w:rPr>
          <w:rFonts w:ascii="Arial" w:hAnsi="Arial" w:cs="Arial"/>
          <w:bCs/>
          <w:snapToGrid w:val="0"/>
          <w:sz w:val="22"/>
          <w:szCs w:val="22"/>
          <w:lang w:val="en-GB"/>
        </w:rPr>
        <w:t>docetaxel</w:t>
      </w:r>
      <w:proofErr w:type="spellEnd"/>
      <w:r w:rsidR="00EC7F74">
        <w:rPr>
          <w:rFonts w:ascii="Arial" w:hAnsi="Arial" w:cs="Arial"/>
          <w:bCs/>
          <w:snapToGrid w:val="0"/>
          <w:sz w:val="22"/>
          <w:szCs w:val="22"/>
          <w:lang w:val="en-GB"/>
        </w:rPr>
        <w:t xml:space="preserve"> or </w:t>
      </w:r>
      <w:proofErr w:type="spellStart"/>
      <w:r w:rsidR="00EC7F74">
        <w:rPr>
          <w:rFonts w:ascii="Arial" w:hAnsi="Arial" w:cs="Arial"/>
          <w:bCs/>
          <w:snapToGrid w:val="0"/>
          <w:sz w:val="22"/>
          <w:szCs w:val="22"/>
          <w:lang w:val="en-GB"/>
        </w:rPr>
        <w:t>pemetrexed</w:t>
      </w:r>
      <w:proofErr w:type="spellEnd"/>
      <w:r w:rsidR="00EC7F74">
        <w:rPr>
          <w:rFonts w:ascii="Arial" w:hAnsi="Arial" w:cs="Arial"/>
          <w:bCs/>
          <w:snapToGrid w:val="0"/>
          <w:sz w:val="22"/>
          <w:szCs w:val="22"/>
          <w:lang w:val="en-GB"/>
        </w:rPr>
        <w:t xml:space="preserve">, however, </w:t>
      </w:r>
      <w:r w:rsidR="00116978">
        <w:rPr>
          <w:rFonts w:ascii="Arial" w:hAnsi="Arial" w:cs="Arial"/>
          <w:bCs/>
          <w:snapToGrid w:val="0"/>
          <w:sz w:val="22"/>
          <w:szCs w:val="22"/>
          <w:lang w:val="en-GB"/>
        </w:rPr>
        <w:t>was more likely to increase the risk of immune-related adverse events.</w:t>
      </w:r>
    </w:p>
    <w:p w:rsidR="00CF3775" w:rsidRDefault="00CF3775" w:rsidP="00246FFB">
      <w:pPr>
        <w:pStyle w:val="ListParagraph"/>
        <w:ind w:left="0" w:firstLine="0"/>
        <w:rPr>
          <w:rFonts w:ascii="Arial" w:hAnsi="Arial" w:cs="Arial"/>
          <w:bCs/>
          <w:snapToGrid w:val="0"/>
          <w:sz w:val="22"/>
          <w:szCs w:val="22"/>
          <w:lang w:val="en-GB"/>
        </w:rPr>
      </w:pPr>
    </w:p>
    <w:p w:rsidR="00D5177B" w:rsidRDefault="008C529E" w:rsidP="009C3A29">
      <w:pPr>
        <w:widowControl w:val="0"/>
        <w:numPr>
          <w:ilvl w:val="1"/>
          <w:numId w:val="3"/>
        </w:numPr>
        <w:ind w:left="720"/>
        <w:contextualSpacing/>
        <w:rPr>
          <w:rFonts w:ascii="Arial" w:hAnsi="Arial" w:cs="Arial"/>
          <w:bCs/>
          <w:snapToGrid w:val="0"/>
          <w:sz w:val="22"/>
          <w:szCs w:val="22"/>
          <w:lang w:val="en-GB"/>
        </w:rPr>
      </w:pPr>
      <w:r w:rsidRPr="00CF3775">
        <w:rPr>
          <w:rFonts w:ascii="Arial" w:hAnsi="Arial" w:cs="Arial"/>
          <w:bCs/>
          <w:snapToGrid w:val="0"/>
          <w:sz w:val="22"/>
          <w:szCs w:val="22"/>
          <w:lang w:val="en-GB"/>
        </w:rPr>
        <w:t xml:space="preserve">The PBAC </w:t>
      </w:r>
      <w:r w:rsidR="008E004B">
        <w:rPr>
          <w:rFonts w:ascii="Arial" w:hAnsi="Arial" w:cs="Arial"/>
          <w:bCs/>
          <w:snapToGrid w:val="0"/>
          <w:sz w:val="22"/>
          <w:szCs w:val="22"/>
          <w:lang w:val="en-GB"/>
        </w:rPr>
        <w:t xml:space="preserve">noted </w:t>
      </w:r>
      <w:r w:rsidRPr="00CF3775">
        <w:rPr>
          <w:rFonts w:ascii="Arial" w:hAnsi="Arial" w:cs="Arial"/>
          <w:bCs/>
          <w:snapToGrid w:val="0"/>
          <w:sz w:val="22"/>
          <w:szCs w:val="22"/>
          <w:lang w:val="en-GB"/>
        </w:rPr>
        <w:t xml:space="preserve">that the </w:t>
      </w:r>
      <w:r w:rsidR="008E004B">
        <w:rPr>
          <w:rFonts w:ascii="Arial" w:hAnsi="Arial" w:cs="Arial"/>
          <w:bCs/>
          <w:snapToGrid w:val="0"/>
          <w:sz w:val="22"/>
          <w:szCs w:val="22"/>
          <w:lang w:val="en-GB"/>
        </w:rPr>
        <w:t xml:space="preserve">calculations for the </w:t>
      </w:r>
      <w:r w:rsidRPr="00CF3775">
        <w:rPr>
          <w:rFonts w:ascii="Arial" w:hAnsi="Arial" w:cs="Arial"/>
          <w:bCs/>
          <w:snapToGrid w:val="0"/>
          <w:sz w:val="22"/>
          <w:szCs w:val="22"/>
          <w:lang w:val="en-GB"/>
        </w:rPr>
        <w:t xml:space="preserve">incremental cost per QALY gained of </w:t>
      </w:r>
      <w:r w:rsidR="00CA537F">
        <w:rPr>
          <w:rFonts w:ascii="Arial" w:hAnsi="Arial" w:cs="Arial"/>
          <w:bCs/>
          <w:snapToGrid w:val="0"/>
          <w:sz w:val="22"/>
          <w:szCs w:val="22"/>
          <w:lang w:val="en-GB"/>
        </w:rPr>
        <w:t>$45,000 - $75.000</w:t>
      </w:r>
      <w:r w:rsidRPr="00CF3775">
        <w:rPr>
          <w:rFonts w:ascii="Arial" w:hAnsi="Arial" w:cs="Arial"/>
          <w:bCs/>
          <w:snapToGrid w:val="0"/>
          <w:sz w:val="22"/>
          <w:szCs w:val="22"/>
          <w:lang w:val="en-GB"/>
        </w:rPr>
        <w:t xml:space="preserve"> </w:t>
      </w:r>
      <w:r w:rsidR="008E004B">
        <w:rPr>
          <w:rFonts w:ascii="Arial" w:hAnsi="Arial" w:cs="Arial"/>
          <w:bCs/>
          <w:snapToGrid w:val="0"/>
          <w:sz w:val="22"/>
          <w:szCs w:val="22"/>
          <w:lang w:val="en-GB"/>
        </w:rPr>
        <w:t>from the PSCR-proposed changes</w:t>
      </w:r>
      <w:r w:rsidR="008E004B" w:rsidRPr="00CF3775">
        <w:rPr>
          <w:rFonts w:ascii="Arial" w:hAnsi="Arial" w:cs="Arial"/>
          <w:bCs/>
          <w:snapToGrid w:val="0"/>
          <w:sz w:val="22"/>
          <w:szCs w:val="22"/>
          <w:lang w:val="en-GB"/>
        </w:rPr>
        <w:t xml:space="preserve"> </w:t>
      </w:r>
      <w:r w:rsidRPr="00CF3775">
        <w:rPr>
          <w:rFonts w:ascii="Arial" w:hAnsi="Arial" w:cs="Arial"/>
          <w:bCs/>
          <w:snapToGrid w:val="0"/>
          <w:sz w:val="22"/>
          <w:szCs w:val="22"/>
          <w:lang w:val="en-GB"/>
        </w:rPr>
        <w:t>for pembrolizumab over standard of care (</w:t>
      </w:r>
      <w:proofErr w:type="spellStart"/>
      <w:r w:rsidRPr="00CF3775">
        <w:rPr>
          <w:rFonts w:ascii="Arial" w:hAnsi="Arial" w:cs="Arial"/>
          <w:bCs/>
          <w:snapToGrid w:val="0"/>
          <w:sz w:val="22"/>
          <w:szCs w:val="22"/>
          <w:lang w:val="en-GB"/>
        </w:rPr>
        <w:t>docetaxel</w:t>
      </w:r>
      <w:proofErr w:type="spellEnd"/>
      <w:r w:rsidRPr="00CF3775">
        <w:rPr>
          <w:rFonts w:ascii="Arial" w:hAnsi="Arial" w:cs="Arial"/>
          <w:bCs/>
          <w:snapToGrid w:val="0"/>
          <w:sz w:val="22"/>
          <w:szCs w:val="22"/>
          <w:lang w:val="en-GB"/>
        </w:rPr>
        <w:t xml:space="preserve"> or </w:t>
      </w:r>
      <w:proofErr w:type="spellStart"/>
      <w:r w:rsidRPr="00CF3775">
        <w:rPr>
          <w:rFonts w:ascii="Arial" w:hAnsi="Arial" w:cs="Arial"/>
          <w:bCs/>
          <w:snapToGrid w:val="0"/>
          <w:sz w:val="22"/>
          <w:szCs w:val="22"/>
          <w:lang w:val="en-GB"/>
        </w:rPr>
        <w:t>pemetrexed</w:t>
      </w:r>
      <w:proofErr w:type="spellEnd"/>
      <w:r w:rsidRPr="00CF3775">
        <w:rPr>
          <w:rFonts w:ascii="Arial" w:hAnsi="Arial" w:cs="Arial"/>
          <w:bCs/>
          <w:snapToGrid w:val="0"/>
          <w:sz w:val="22"/>
          <w:szCs w:val="22"/>
          <w:lang w:val="en-GB"/>
        </w:rPr>
        <w:t>)</w:t>
      </w:r>
      <w:r w:rsidR="008E004B">
        <w:rPr>
          <w:rFonts w:ascii="Arial" w:hAnsi="Arial" w:cs="Arial"/>
          <w:bCs/>
          <w:snapToGrid w:val="0"/>
          <w:sz w:val="22"/>
          <w:szCs w:val="22"/>
          <w:lang w:val="en-GB"/>
        </w:rPr>
        <w:t xml:space="preserve"> </w:t>
      </w:r>
      <w:r w:rsidRPr="00CF3775">
        <w:rPr>
          <w:rFonts w:ascii="Arial" w:hAnsi="Arial" w:cs="Arial"/>
          <w:bCs/>
          <w:snapToGrid w:val="0"/>
          <w:sz w:val="22"/>
          <w:szCs w:val="22"/>
          <w:lang w:val="en-GB"/>
        </w:rPr>
        <w:t>fo</w:t>
      </w:r>
      <w:r w:rsidR="00CA537F">
        <w:rPr>
          <w:rFonts w:ascii="Arial" w:hAnsi="Arial" w:cs="Arial"/>
          <w:bCs/>
          <w:snapToGrid w:val="0"/>
          <w:sz w:val="22"/>
          <w:szCs w:val="22"/>
          <w:lang w:val="en-GB"/>
        </w:rPr>
        <w:t>r NSCLC patients with strong PD</w:t>
      </w:r>
      <w:r w:rsidR="00CA537F">
        <w:rPr>
          <w:rFonts w:ascii="Arial" w:hAnsi="Arial" w:cs="Arial"/>
          <w:bCs/>
          <w:snapToGrid w:val="0"/>
          <w:sz w:val="22"/>
          <w:szCs w:val="22"/>
          <w:lang w:val="en-GB"/>
        </w:rPr>
        <w:noBreakHyphen/>
      </w:r>
      <w:r w:rsidRPr="00CF3775">
        <w:rPr>
          <w:rFonts w:ascii="Arial" w:hAnsi="Arial" w:cs="Arial"/>
          <w:bCs/>
          <w:snapToGrid w:val="0"/>
          <w:sz w:val="22"/>
          <w:szCs w:val="22"/>
          <w:lang w:val="en-GB"/>
        </w:rPr>
        <w:t>L1 expression (TPS ≥50%)</w:t>
      </w:r>
      <w:r w:rsidR="008E004B">
        <w:rPr>
          <w:rFonts w:ascii="Arial" w:hAnsi="Arial" w:cs="Arial"/>
          <w:bCs/>
          <w:snapToGrid w:val="0"/>
          <w:sz w:val="22"/>
          <w:szCs w:val="22"/>
          <w:lang w:val="en-GB"/>
        </w:rPr>
        <w:t xml:space="preserve"> had been independently verified. However, the Committee advised that this ICER/QALY </w:t>
      </w:r>
      <w:r w:rsidRPr="00CF3775">
        <w:rPr>
          <w:rFonts w:ascii="Arial" w:hAnsi="Arial" w:cs="Arial"/>
          <w:bCs/>
          <w:snapToGrid w:val="0"/>
          <w:sz w:val="22"/>
          <w:szCs w:val="22"/>
          <w:lang w:val="en-GB"/>
        </w:rPr>
        <w:t>was high, and was likely to be significantly underestimated due to several concerns raised by the ES</w:t>
      </w:r>
      <w:r w:rsidR="00D5177B" w:rsidRPr="00CF3775">
        <w:rPr>
          <w:rFonts w:ascii="Arial" w:hAnsi="Arial" w:cs="Arial"/>
          <w:bCs/>
          <w:snapToGrid w:val="0"/>
          <w:sz w:val="22"/>
          <w:szCs w:val="22"/>
          <w:lang w:val="en-GB"/>
        </w:rPr>
        <w:t>Cs regarding the economic model. The PBAC noted the ESCs</w:t>
      </w:r>
      <w:r w:rsidR="00F314D1">
        <w:rPr>
          <w:rFonts w:ascii="Arial" w:hAnsi="Arial" w:cs="Arial"/>
          <w:bCs/>
          <w:snapToGrid w:val="0"/>
          <w:sz w:val="22"/>
          <w:szCs w:val="22"/>
          <w:lang w:val="en-GB"/>
        </w:rPr>
        <w:t>’</w:t>
      </w:r>
      <w:r w:rsidR="00D5177B" w:rsidRPr="00CF3775">
        <w:rPr>
          <w:rFonts w:ascii="Arial" w:hAnsi="Arial" w:cs="Arial"/>
          <w:bCs/>
          <w:snapToGrid w:val="0"/>
          <w:sz w:val="22"/>
          <w:szCs w:val="22"/>
          <w:lang w:val="en-GB"/>
        </w:rPr>
        <w:t xml:space="preserve"> concern that the clinical claims made in the submission, which were used as the basis for economic modelling, were not substantiated by the clinical evidence presented in the submission. </w:t>
      </w:r>
      <w:r w:rsidR="00EE2C22">
        <w:rPr>
          <w:rFonts w:ascii="Arial" w:hAnsi="Arial" w:cs="Arial"/>
          <w:bCs/>
          <w:snapToGrid w:val="0"/>
          <w:sz w:val="22"/>
          <w:szCs w:val="22"/>
          <w:lang w:val="en-GB"/>
        </w:rPr>
        <w:t>T</w:t>
      </w:r>
      <w:r w:rsidR="00D5177B" w:rsidRPr="00CF3775">
        <w:rPr>
          <w:rFonts w:ascii="Arial" w:hAnsi="Arial" w:cs="Arial"/>
          <w:bCs/>
          <w:snapToGrid w:val="0"/>
          <w:sz w:val="22"/>
          <w:szCs w:val="22"/>
          <w:lang w:val="en-GB"/>
        </w:rPr>
        <w:t xml:space="preserve">he </w:t>
      </w:r>
      <w:r w:rsidR="00F114BE">
        <w:rPr>
          <w:rFonts w:ascii="Arial" w:hAnsi="Arial" w:cs="Arial"/>
          <w:bCs/>
          <w:snapToGrid w:val="0"/>
          <w:sz w:val="22"/>
          <w:szCs w:val="22"/>
          <w:lang w:val="en-GB"/>
        </w:rPr>
        <w:t xml:space="preserve">PBAC </w:t>
      </w:r>
      <w:r w:rsidR="00D5177B" w:rsidRPr="00CF3775">
        <w:rPr>
          <w:rFonts w:ascii="Arial" w:hAnsi="Arial" w:cs="Arial"/>
          <w:bCs/>
          <w:snapToGrid w:val="0"/>
          <w:sz w:val="22"/>
          <w:szCs w:val="22"/>
          <w:lang w:val="en-GB"/>
        </w:rPr>
        <w:t xml:space="preserve">considered that the uncertainty in the clinical evidence resulted in uncertainty in the results of the economic model. The PBAC agreed with the ESCs that a 5-year time horizon would be more appropriate and noted that the 7-year time horizon used by the submission underestimated the ICER. </w:t>
      </w:r>
      <w:r w:rsidR="0080086D">
        <w:rPr>
          <w:rFonts w:ascii="Arial" w:hAnsi="Arial" w:cs="Arial"/>
          <w:bCs/>
          <w:snapToGrid w:val="0"/>
          <w:sz w:val="22"/>
          <w:szCs w:val="22"/>
          <w:lang w:val="en-GB"/>
        </w:rPr>
        <w:t>The PBAC</w:t>
      </w:r>
      <w:r w:rsidR="00F114BE">
        <w:rPr>
          <w:rFonts w:ascii="Arial" w:hAnsi="Arial" w:cs="Arial"/>
          <w:bCs/>
          <w:snapToGrid w:val="0"/>
          <w:sz w:val="22"/>
          <w:szCs w:val="22"/>
          <w:lang w:val="en-GB"/>
        </w:rPr>
        <w:t xml:space="preserve"> also</w:t>
      </w:r>
      <w:r w:rsidR="0080086D">
        <w:rPr>
          <w:rFonts w:ascii="Arial" w:hAnsi="Arial" w:cs="Arial"/>
          <w:bCs/>
          <w:snapToGrid w:val="0"/>
          <w:sz w:val="22"/>
          <w:szCs w:val="22"/>
          <w:lang w:val="en-GB"/>
        </w:rPr>
        <w:t xml:space="preserve"> noted that</w:t>
      </w:r>
      <w:r w:rsidR="009B3B2D">
        <w:rPr>
          <w:rFonts w:ascii="Arial" w:hAnsi="Arial" w:cs="Arial"/>
          <w:bCs/>
          <w:snapToGrid w:val="0"/>
          <w:sz w:val="22"/>
          <w:szCs w:val="22"/>
          <w:lang w:val="en-GB"/>
        </w:rPr>
        <w:t>,</w:t>
      </w:r>
      <w:r w:rsidR="0080086D">
        <w:rPr>
          <w:rFonts w:ascii="Arial" w:hAnsi="Arial" w:cs="Arial"/>
          <w:bCs/>
          <w:snapToGrid w:val="0"/>
          <w:sz w:val="22"/>
          <w:szCs w:val="22"/>
          <w:lang w:val="en-GB"/>
        </w:rPr>
        <w:t xml:space="preserve"> if the criterion for treatment eligibility was changed from TPS ≥50% to include all of the PD-L1 positive population (TPS ≥1%)</w:t>
      </w:r>
      <w:proofErr w:type="gramStart"/>
      <w:r w:rsidR="0080086D">
        <w:rPr>
          <w:rFonts w:ascii="Arial" w:hAnsi="Arial" w:cs="Arial"/>
          <w:bCs/>
          <w:snapToGrid w:val="0"/>
          <w:sz w:val="22"/>
          <w:szCs w:val="22"/>
          <w:lang w:val="en-GB"/>
        </w:rPr>
        <w:t>,</w:t>
      </w:r>
      <w:proofErr w:type="gramEnd"/>
      <w:r w:rsidR="0080086D">
        <w:rPr>
          <w:rFonts w:ascii="Arial" w:hAnsi="Arial" w:cs="Arial"/>
          <w:bCs/>
          <w:snapToGrid w:val="0"/>
          <w:sz w:val="22"/>
          <w:szCs w:val="22"/>
          <w:lang w:val="en-GB"/>
        </w:rPr>
        <w:t xml:space="preserve"> the ICER would increase substantially, and would be unacceptably high.</w:t>
      </w:r>
    </w:p>
    <w:p w:rsidR="00F114BE" w:rsidRDefault="00F114BE" w:rsidP="00246FFB">
      <w:pPr>
        <w:widowControl w:val="0"/>
        <w:contextualSpacing/>
        <w:rPr>
          <w:rFonts w:ascii="Arial" w:hAnsi="Arial" w:cs="Arial"/>
          <w:bCs/>
          <w:snapToGrid w:val="0"/>
          <w:sz w:val="22"/>
          <w:szCs w:val="22"/>
          <w:lang w:val="en-GB"/>
        </w:rPr>
      </w:pPr>
    </w:p>
    <w:p w:rsidR="0080086D" w:rsidRDefault="00F114BE" w:rsidP="009C3A29">
      <w:pPr>
        <w:widowControl w:val="0"/>
        <w:numPr>
          <w:ilvl w:val="1"/>
          <w:numId w:val="3"/>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noted that the estimated overall net cost of PD-L1 testing and pembrolizumab for NSCLC to the Government would be approximately </w:t>
      </w:r>
      <w:r w:rsidR="00CA537F">
        <w:rPr>
          <w:rFonts w:ascii="Arial" w:hAnsi="Arial" w:cs="Arial"/>
          <w:bCs/>
          <w:snapToGrid w:val="0"/>
          <w:sz w:val="22"/>
          <w:szCs w:val="22"/>
          <w:lang w:val="en-GB"/>
        </w:rPr>
        <w:t>more than $100</w:t>
      </w:r>
      <w:r>
        <w:rPr>
          <w:rFonts w:ascii="Arial" w:hAnsi="Arial" w:cs="Arial"/>
          <w:bCs/>
          <w:snapToGrid w:val="0"/>
          <w:sz w:val="22"/>
          <w:szCs w:val="22"/>
          <w:lang w:val="en-GB"/>
        </w:rPr>
        <w:t xml:space="preserve"> million over five years, if only patients with strong PD-L1 expression (TPS ≥50%) were treated. The PBAC further noted that if all PD-L1 positive patients (TPS ≥1%) were treated, the financial implications to Government would more than double over five years.</w:t>
      </w:r>
    </w:p>
    <w:p w:rsidR="00675587" w:rsidRPr="00794458" w:rsidRDefault="00675587" w:rsidP="00794458">
      <w:pPr>
        <w:widowControl w:val="0"/>
        <w:contextualSpacing/>
        <w:rPr>
          <w:rFonts w:ascii="Arial" w:hAnsi="Arial" w:cs="Arial"/>
          <w:bCs/>
          <w:snapToGrid w:val="0"/>
          <w:sz w:val="22"/>
          <w:szCs w:val="22"/>
          <w:lang w:val="en-GB"/>
        </w:rPr>
      </w:pPr>
    </w:p>
    <w:p w:rsidR="00675587" w:rsidRPr="00246FFB" w:rsidRDefault="00675587" w:rsidP="009C3A29">
      <w:pPr>
        <w:widowControl w:val="0"/>
        <w:numPr>
          <w:ilvl w:val="1"/>
          <w:numId w:val="3"/>
        </w:numPr>
        <w:ind w:left="720"/>
        <w:contextualSpacing/>
        <w:rPr>
          <w:rFonts w:ascii="Arial" w:hAnsi="Arial" w:cs="Arial"/>
          <w:bCs/>
          <w:snapToGrid w:val="0"/>
          <w:sz w:val="22"/>
          <w:szCs w:val="22"/>
          <w:lang w:val="en-GB"/>
        </w:rPr>
      </w:pPr>
      <w:r w:rsidRPr="00794458">
        <w:rPr>
          <w:rFonts w:ascii="Arial" w:hAnsi="Arial" w:cs="Arial"/>
          <w:bCs/>
          <w:snapToGrid w:val="0"/>
          <w:sz w:val="22"/>
          <w:szCs w:val="22"/>
          <w:lang w:val="en-GB"/>
        </w:rPr>
        <w:t>The PBAC noted that this submission is elig</w:t>
      </w:r>
      <w:r w:rsidR="00246FFB">
        <w:rPr>
          <w:rFonts w:ascii="Arial" w:hAnsi="Arial" w:cs="Arial"/>
          <w:bCs/>
          <w:snapToGrid w:val="0"/>
          <w:sz w:val="22"/>
          <w:szCs w:val="22"/>
          <w:lang w:val="en-GB"/>
        </w:rPr>
        <w:t>ible for an Independent Review.</w:t>
      </w:r>
    </w:p>
    <w:p w:rsidR="00675587" w:rsidRPr="00246FFB" w:rsidRDefault="00675587" w:rsidP="00675587">
      <w:pPr>
        <w:rPr>
          <w:rFonts w:ascii="Arial" w:hAnsi="Arial" w:cs="Arial"/>
          <w:snapToGrid w:val="0"/>
          <w:sz w:val="22"/>
          <w:szCs w:val="22"/>
          <w:lang w:val="en-GB"/>
        </w:rPr>
      </w:pPr>
    </w:p>
    <w:p w:rsidR="00675587" w:rsidRPr="00E1693A" w:rsidRDefault="00675587" w:rsidP="00675587">
      <w:pPr>
        <w:rPr>
          <w:rFonts w:ascii="Arial" w:hAnsi="Arial" w:cs="Arial"/>
          <w:b/>
          <w:bCs/>
          <w:snapToGrid w:val="0"/>
          <w:sz w:val="22"/>
          <w:szCs w:val="22"/>
          <w:lang w:val="en-GB"/>
        </w:rPr>
      </w:pPr>
      <w:r w:rsidRPr="00E1693A">
        <w:rPr>
          <w:rFonts w:ascii="Arial" w:hAnsi="Arial" w:cs="Arial"/>
          <w:b/>
          <w:bCs/>
          <w:snapToGrid w:val="0"/>
          <w:sz w:val="22"/>
          <w:szCs w:val="22"/>
          <w:lang w:val="en-GB"/>
        </w:rPr>
        <w:t>Outcome:</w:t>
      </w:r>
    </w:p>
    <w:p w:rsidR="009A5612" w:rsidRDefault="00675587" w:rsidP="006405DD">
      <w:pPr>
        <w:rPr>
          <w:rFonts w:ascii="Arial" w:hAnsi="Arial" w:cs="Arial"/>
          <w:bCs/>
          <w:snapToGrid w:val="0"/>
          <w:sz w:val="22"/>
          <w:szCs w:val="22"/>
          <w:lang w:val="en-GB"/>
        </w:rPr>
      </w:pPr>
      <w:r w:rsidRPr="00E1693A">
        <w:rPr>
          <w:rFonts w:ascii="Arial" w:hAnsi="Arial" w:cs="Arial"/>
          <w:bCs/>
          <w:snapToGrid w:val="0"/>
          <w:sz w:val="22"/>
          <w:szCs w:val="22"/>
          <w:lang w:val="en-GB"/>
        </w:rPr>
        <w:t xml:space="preserve">Rejected </w:t>
      </w:r>
    </w:p>
    <w:p w:rsidR="00A30F9A" w:rsidRDefault="00A30F9A" w:rsidP="006405DD">
      <w:pPr>
        <w:rPr>
          <w:rFonts w:ascii="Arial" w:hAnsi="Arial" w:cs="Arial"/>
          <w:bCs/>
          <w:snapToGrid w:val="0"/>
          <w:sz w:val="22"/>
          <w:szCs w:val="22"/>
          <w:lang w:val="en-GB"/>
        </w:rPr>
      </w:pPr>
    </w:p>
    <w:p w:rsidR="00A30F9A" w:rsidRPr="00A30F9A" w:rsidRDefault="00A30F9A" w:rsidP="00A30F9A">
      <w:pPr>
        <w:widowControl w:val="0"/>
        <w:numPr>
          <w:ilvl w:val="0"/>
          <w:numId w:val="3"/>
        </w:numPr>
        <w:jc w:val="left"/>
        <w:outlineLvl w:val="0"/>
        <w:rPr>
          <w:rFonts w:ascii="Arial" w:hAnsi="Arial" w:cs="Arial"/>
          <w:b/>
          <w:snapToGrid w:val="0"/>
          <w:sz w:val="22"/>
          <w:szCs w:val="22"/>
        </w:rPr>
      </w:pPr>
      <w:r w:rsidRPr="00A30F9A">
        <w:rPr>
          <w:rFonts w:ascii="Arial" w:hAnsi="Arial" w:cs="Arial"/>
          <w:b/>
          <w:snapToGrid w:val="0"/>
          <w:sz w:val="22"/>
          <w:szCs w:val="22"/>
        </w:rPr>
        <w:t>Context for Decision</w:t>
      </w:r>
    </w:p>
    <w:p w:rsidR="00A30F9A" w:rsidRPr="00A30F9A" w:rsidRDefault="00A30F9A" w:rsidP="00A30F9A">
      <w:pPr>
        <w:widowControl w:val="0"/>
        <w:ind w:left="426"/>
        <w:rPr>
          <w:rFonts w:ascii="Arial" w:hAnsi="Arial" w:cs="Arial"/>
          <w:snapToGrid w:val="0"/>
          <w:sz w:val="22"/>
          <w:szCs w:val="20"/>
        </w:rPr>
      </w:pPr>
    </w:p>
    <w:p w:rsidR="00A30F9A" w:rsidRPr="00A30F9A" w:rsidRDefault="00A30F9A" w:rsidP="00A30F9A">
      <w:pPr>
        <w:widowControl w:val="0"/>
        <w:ind w:left="709"/>
        <w:rPr>
          <w:rFonts w:ascii="Arial" w:hAnsi="Arial" w:cs="Arial"/>
          <w:snapToGrid w:val="0"/>
          <w:sz w:val="22"/>
          <w:szCs w:val="20"/>
        </w:rPr>
      </w:pPr>
      <w:r w:rsidRPr="00A30F9A">
        <w:rPr>
          <w:rFonts w:ascii="Arial" w:hAnsi="Arial" w:cs="Arial"/>
          <w:snapToGrid w:val="0"/>
          <w:sz w:val="22"/>
          <w:szCs w:val="20"/>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30F9A" w:rsidRPr="00A30F9A" w:rsidRDefault="00A30F9A" w:rsidP="00A30F9A">
      <w:pPr>
        <w:widowControl w:val="0"/>
        <w:ind w:left="426"/>
        <w:rPr>
          <w:rFonts w:ascii="Arial" w:hAnsi="Arial" w:cs="Arial"/>
          <w:snapToGrid w:val="0"/>
          <w:sz w:val="22"/>
          <w:szCs w:val="20"/>
        </w:rPr>
      </w:pPr>
    </w:p>
    <w:p w:rsidR="00A30F9A" w:rsidRPr="00A30F9A" w:rsidRDefault="00A30F9A" w:rsidP="00A30F9A">
      <w:pPr>
        <w:widowControl w:val="0"/>
        <w:numPr>
          <w:ilvl w:val="0"/>
          <w:numId w:val="3"/>
        </w:numPr>
        <w:jc w:val="left"/>
        <w:outlineLvl w:val="0"/>
        <w:rPr>
          <w:rFonts w:ascii="Arial" w:hAnsi="Arial" w:cs="Arial"/>
          <w:b/>
          <w:snapToGrid w:val="0"/>
          <w:sz w:val="22"/>
          <w:szCs w:val="22"/>
        </w:rPr>
      </w:pPr>
      <w:r w:rsidRPr="00A30F9A">
        <w:rPr>
          <w:rFonts w:ascii="Arial" w:hAnsi="Arial" w:cs="Arial"/>
          <w:b/>
          <w:snapToGrid w:val="0"/>
          <w:sz w:val="22"/>
          <w:szCs w:val="22"/>
        </w:rPr>
        <w:t>Sponsor’s Comment</w:t>
      </w:r>
    </w:p>
    <w:p w:rsidR="00596D59" w:rsidRPr="00A30F9A" w:rsidRDefault="00596D59" w:rsidP="00752B87">
      <w:pPr>
        <w:widowControl w:val="0"/>
        <w:rPr>
          <w:rFonts w:ascii="Arial" w:hAnsi="Arial" w:cs="Arial"/>
          <w:bCs/>
          <w:snapToGrid w:val="0"/>
          <w:sz w:val="22"/>
          <w:szCs w:val="20"/>
          <w:highlight w:val="yellow"/>
          <w:lang w:val="en-GB"/>
        </w:rPr>
      </w:pPr>
    </w:p>
    <w:p w:rsidR="00596D59" w:rsidRPr="00A30F9A" w:rsidRDefault="00596D59" w:rsidP="00596D59">
      <w:pPr>
        <w:widowControl w:val="0"/>
        <w:spacing w:after="120"/>
        <w:ind w:left="709"/>
        <w:rPr>
          <w:rFonts w:ascii="Arial" w:hAnsi="Arial" w:cs="Arial"/>
          <w:bCs/>
          <w:snapToGrid w:val="0"/>
          <w:sz w:val="22"/>
          <w:szCs w:val="20"/>
        </w:rPr>
      </w:pPr>
      <w:r w:rsidRPr="00596D59">
        <w:rPr>
          <w:rFonts w:ascii="Arial" w:hAnsi="Arial" w:cs="Arial"/>
          <w:bCs/>
          <w:snapToGrid w:val="0"/>
          <w:sz w:val="22"/>
          <w:szCs w:val="20"/>
        </w:rPr>
        <w:t>The sponsor will continue to work with the government to ensure access to pembrolizumab for appropriate patients as soon as possible.</w:t>
      </w:r>
    </w:p>
    <w:p w:rsidR="00A30F9A" w:rsidRPr="00CA537F" w:rsidRDefault="00A30F9A" w:rsidP="006405DD">
      <w:pPr>
        <w:rPr>
          <w:rFonts w:ascii="Arial" w:hAnsi="Arial" w:cs="Arial"/>
          <w:bCs/>
          <w:snapToGrid w:val="0"/>
          <w:sz w:val="22"/>
          <w:szCs w:val="22"/>
          <w:highlight w:val="yellow"/>
          <w:lang w:val="en-GB"/>
        </w:rPr>
      </w:pPr>
    </w:p>
    <w:sectPr w:rsidR="00A30F9A" w:rsidRPr="00CA537F" w:rsidSect="00841A44">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7" w:h="16839" w:code="9"/>
      <w:pgMar w:top="1440" w:right="1440" w:bottom="1440" w:left="1440" w:header="1440" w:footer="144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E6" w:rsidRDefault="009B1CE6" w:rsidP="0095055D">
      <w:r>
        <w:separator/>
      </w:r>
    </w:p>
  </w:endnote>
  <w:endnote w:type="continuationSeparator" w:id="0">
    <w:p w:rsidR="009B1CE6" w:rsidRDefault="009B1CE6" w:rsidP="0095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00"/>
    <w:family w:val="roman"/>
    <w:notTrueType/>
    <w:pitch w:val="default"/>
    <w:sig w:usb0="00000003" w:usb1="080F0000" w:usb2="00000010" w:usb3="00000000" w:csb0="0012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8C" w:rsidRDefault="00F12F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52" w:rsidRDefault="006C2852" w:rsidP="00885737">
    <w:pPr>
      <w:pStyle w:val="Footer"/>
      <w:tabs>
        <w:tab w:val="clear" w:pos="4513"/>
        <w:tab w:val="clear" w:pos="9026"/>
        <w:tab w:val="center" w:pos="4156"/>
        <w:tab w:val="right" w:pos="8222"/>
      </w:tabs>
      <w:rPr>
        <w:sz w:val="20"/>
        <w:szCs w:val="20"/>
      </w:rPr>
    </w:pPr>
  </w:p>
  <w:p w:rsidR="006C2852" w:rsidRPr="00D9653E" w:rsidRDefault="006C2852" w:rsidP="00D9653E">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9A5086">
      <w:rPr>
        <w:rFonts w:ascii="Arial" w:hAnsi="Arial" w:cs="Arial"/>
        <w:noProof/>
        <w:sz w:val="20"/>
        <w:szCs w:val="20"/>
      </w:rPr>
      <w:t>2</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8C" w:rsidRDefault="00F12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E6" w:rsidRDefault="009B1CE6" w:rsidP="0095055D">
      <w:r>
        <w:separator/>
      </w:r>
    </w:p>
  </w:footnote>
  <w:footnote w:type="continuationSeparator" w:id="0">
    <w:p w:rsidR="009B1CE6" w:rsidRDefault="009B1CE6" w:rsidP="0095055D">
      <w:r>
        <w:continuationSeparator/>
      </w:r>
    </w:p>
  </w:footnote>
  <w:footnote w:id="1">
    <w:p w:rsidR="006C2852" w:rsidRPr="00143E6D" w:rsidRDefault="006C2852">
      <w:pPr>
        <w:pStyle w:val="FootnoteText"/>
        <w:rPr>
          <w:rFonts w:ascii="Arial" w:hAnsi="Arial" w:cs="Arial"/>
        </w:rPr>
      </w:pPr>
      <w:r w:rsidRPr="00143E6D">
        <w:rPr>
          <w:rStyle w:val="FootnoteReference"/>
          <w:rFonts w:ascii="Arial" w:hAnsi="Arial" w:cs="Arial"/>
          <w:sz w:val="16"/>
        </w:rPr>
        <w:footnoteRef/>
      </w:r>
      <w:r w:rsidRPr="00143E6D">
        <w:rPr>
          <w:rFonts w:ascii="Arial" w:hAnsi="Arial" w:cs="Arial"/>
          <w:sz w:val="16"/>
        </w:rPr>
        <w:t xml:space="preserve"> </w:t>
      </w:r>
      <w:proofErr w:type="gramStart"/>
      <w:r w:rsidRPr="00143E6D">
        <w:rPr>
          <w:rFonts w:ascii="Arial" w:hAnsi="Arial" w:cs="Arial"/>
          <w:sz w:val="16"/>
        </w:rPr>
        <w:t>Australian Government Cancer Australia.</w:t>
      </w:r>
      <w:proofErr w:type="gramEnd"/>
      <w:r w:rsidRPr="00143E6D">
        <w:rPr>
          <w:rFonts w:ascii="Arial" w:hAnsi="Arial" w:cs="Arial"/>
          <w:sz w:val="16"/>
        </w:rPr>
        <w:t xml:space="preserve"> </w:t>
      </w:r>
      <w:proofErr w:type="gramStart"/>
      <w:r w:rsidRPr="00143E6D">
        <w:rPr>
          <w:rFonts w:ascii="Arial" w:hAnsi="Arial" w:cs="Arial"/>
          <w:sz w:val="16"/>
        </w:rPr>
        <w:t>Clinical practice guidelines for the treatment of lung cancer2015 4 July 2016.</w:t>
      </w:r>
      <w:proofErr w:type="gramEnd"/>
      <w:r w:rsidRPr="00143E6D">
        <w:rPr>
          <w:rFonts w:ascii="Arial" w:hAnsi="Arial" w:cs="Arial"/>
          <w:sz w:val="16"/>
        </w:rPr>
        <w:t xml:space="preserve"> Available from: http://wiki.cancer.org.au/australia/Guidelines:Lung_cancer</w:t>
      </w:r>
    </w:p>
  </w:footnote>
  <w:footnote w:id="2">
    <w:p w:rsidR="006C2852" w:rsidRDefault="006C2852" w:rsidP="00F66CDE">
      <w:pPr>
        <w:pStyle w:val="FootnoteText"/>
        <w:rPr>
          <w:rFonts w:ascii="Arial Narrow" w:hAnsi="Arial Narrow" w:cs="Arial"/>
        </w:rPr>
      </w:pPr>
      <w:r w:rsidRPr="00143E6D">
        <w:rPr>
          <w:rStyle w:val="FootnoteReference"/>
          <w:rFonts w:ascii="Arial" w:hAnsi="Arial" w:cs="Arial"/>
        </w:rPr>
        <w:t>[1]</w:t>
      </w:r>
      <w:r>
        <w:rPr>
          <w:rFonts w:ascii="Arial Narrow" w:hAnsi="Arial Narrow"/>
        </w:rPr>
        <w:t xml:space="preserve"> </w:t>
      </w:r>
      <w:proofErr w:type="spellStart"/>
      <w:r w:rsidRPr="00143E6D">
        <w:rPr>
          <w:rFonts w:ascii="Arial" w:hAnsi="Arial" w:cs="Arial"/>
          <w:sz w:val="16"/>
        </w:rPr>
        <w:t>Cherny</w:t>
      </w:r>
      <w:proofErr w:type="spellEnd"/>
      <w:r w:rsidRPr="00143E6D">
        <w:rPr>
          <w:rFonts w:ascii="Arial" w:hAnsi="Arial" w:cs="Arial"/>
          <w:sz w:val="16"/>
        </w:rPr>
        <w:t xml:space="preserve"> NI, Sullivan R, </w:t>
      </w:r>
      <w:proofErr w:type="spellStart"/>
      <w:r w:rsidRPr="00143E6D">
        <w:rPr>
          <w:rFonts w:ascii="Arial" w:hAnsi="Arial" w:cs="Arial"/>
          <w:sz w:val="16"/>
        </w:rPr>
        <w:t>Dafni</w:t>
      </w:r>
      <w:proofErr w:type="spellEnd"/>
      <w:r w:rsidRPr="00143E6D">
        <w:rPr>
          <w:rFonts w:ascii="Arial" w:hAnsi="Arial" w:cs="Arial"/>
          <w:sz w:val="16"/>
        </w:rPr>
        <w:t xml:space="preserve"> U, et al: A standardised, generic, validated approach to stratify the magnitude of clinical benefit that can be anticipated from anti-cancer therapies: the European Society for Medical Oncology Magnitude of Clinical Benefit Scale (ESMO-MCBS). Ann </w:t>
      </w:r>
      <w:proofErr w:type="spellStart"/>
      <w:r w:rsidRPr="00143E6D">
        <w:rPr>
          <w:rFonts w:ascii="Arial" w:hAnsi="Arial" w:cs="Arial"/>
          <w:sz w:val="16"/>
        </w:rPr>
        <w:t>Oncol</w:t>
      </w:r>
      <w:proofErr w:type="spellEnd"/>
      <w:r w:rsidRPr="00143E6D">
        <w:rPr>
          <w:rFonts w:ascii="Arial" w:hAnsi="Arial" w:cs="Arial"/>
          <w:sz w:val="16"/>
        </w:rPr>
        <w:t xml:space="preserve"> 26:1547-73, 2015</w:t>
      </w:r>
    </w:p>
  </w:footnote>
  <w:footnote w:id="3">
    <w:p w:rsidR="006C2852" w:rsidRPr="00232CE0" w:rsidRDefault="006C2852">
      <w:pPr>
        <w:pStyle w:val="FootnoteText"/>
        <w:rPr>
          <w:rFonts w:ascii="Arial" w:hAnsi="Arial" w:cs="Arial"/>
        </w:rPr>
      </w:pPr>
      <w:r w:rsidRPr="00232CE0">
        <w:rPr>
          <w:rStyle w:val="FootnoteReference"/>
          <w:rFonts w:ascii="Arial" w:hAnsi="Arial" w:cs="Arial"/>
        </w:rPr>
        <w:footnoteRef/>
      </w:r>
      <w:r w:rsidRPr="00232CE0">
        <w:rPr>
          <w:rFonts w:ascii="Arial" w:hAnsi="Arial" w:cs="Arial"/>
        </w:rPr>
        <w:t xml:space="preserve"> Altman DG, Bland JM. Interaction revisited: the difference between two estimates. </w:t>
      </w:r>
      <w:proofErr w:type="gramStart"/>
      <w:r w:rsidRPr="00232CE0">
        <w:rPr>
          <w:rFonts w:ascii="Arial" w:hAnsi="Arial" w:cs="Arial"/>
        </w:rPr>
        <w:t>BMJ.</w:t>
      </w:r>
      <w:proofErr w:type="gramEnd"/>
      <w:r w:rsidRPr="00232CE0">
        <w:rPr>
          <w:rFonts w:ascii="Arial" w:hAnsi="Arial" w:cs="Arial"/>
        </w:rPr>
        <w:t xml:space="preserve"> 2003</w:t>
      </w:r>
      <w:proofErr w:type="gramStart"/>
      <w:r w:rsidRPr="00232CE0">
        <w:rPr>
          <w:rFonts w:ascii="Arial" w:hAnsi="Arial" w:cs="Arial"/>
        </w:rPr>
        <w:t>;326</w:t>
      </w:r>
      <w:proofErr w:type="gramEnd"/>
      <w:r w:rsidRPr="00232CE0">
        <w:rPr>
          <w:rFonts w:ascii="Arial" w:hAnsi="Arial" w:cs="Arial"/>
        </w:rPr>
        <w:t>(7382):219.</w:t>
      </w:r>
    </w:p>
  </w:footnote>
  <w:footnote w:id="4">
    <w:p w:rsidR="006C2852" w:rsidRDefault="006C2852" w:rsidP="00D46C54">
      <w:pPr>
        <w:pStyle w:val="FootnoteText"/>
      </w:pPr>
      <w:r>
        <w:rPr>
          <w:rStyle w:val="FootnoteReference"/>
        </w:rPr>
        <w:footnoteRef/>
      </w:r>
      <w:r>
        <w:t xml:space="preserve"> Abstract presentation by </w:t>
      </w:r>
      <w:proofErr w:type="spellStart"/>
      <w:r>
        <w:t>Hui</w:t>
      </w:r>
      <w:proofErr w:type="spellEnd"/>
      <w:r>
        <w:t xml:space="preserve"> et al. Long-Term Overall Survival </w:t>
      </w:r>
      <w:proofErr w:type="gramStart"/>
      <w:r>
        <w:t>For Patients With Advanced NSCLC Enrolled In</w:t>
      </w:r>
      <w:proofErr w:type="gramEnd"/>
      <w:r>
        <w:t xml:space="preserve"> the KEYNOTE-001 Study of Pembrolizumab.</w:t>
      </w:r>
      <w:r w:rsidRPr="00F857DC">
        <w:t xml:space="preserve"> </w:t>
      </w:r>
      <w:proofErr w:type="gramStart"/>
      <w:r>
        <w:t>American Society of Clinical Oncology (ASCO) Annual Meeting June 3-7, 2016, Chicago, Illinois.</w:t>
      </w:r>
      <w:proofErr w:type="gramEnd"/>
    </w:p>
  </w:footnote>
  <w:footnote w:id="5">
    <w:p w:rsidR="006C2852" w:rsidRPr="00BE56B8" w:rsidRDefault="006C2852" w:rsidP="00884F24">
      <w:pPr>
        <w:pStyle w:val="FootnoteText"/>
        <w:rPr>
          <w:rFonts w:ascii="Arial" w:hAnsi="Arial" w:cs="Arial"/>
        </w:rPr>
      </w:pPr>
      <w:r w:rsidRPr="00BE56B8">
        <w:rPr>
          <w:rStyle w:val="FootnoteReference"/>
          <w:rFonts w:ascii="Arial" w:hAnsi="Arial" w:cs="Arial"/>
        </w:rPr>
        <w:footnoteRef/>
      </w:r>
      <w:r w:rsidRPr="00BE56B8">
        <w:rPr>
          <w:rFonts w:ascii="Arial" w:hAnsi="Arial" w:cs="Arial"/>
        </w:rPr>
        <w:t xml:space="preserve"> Abdel-</w:t>
      </w:r>
      <w:proofErr w:type="spellStart"/>
      <w:r w:rsidRPr="00BE56B8">
        <w:rPr>
          <w:rFonts w:ascii="Arial" w:hAnsi="Arial" w:cs="Arial"/>
        </w:rPr>
        <w:t>Rahman</w:t>
      </w:r>
      <w:proofErr w:type="spellEnd"/>
      <w:r w:rsidRPr="00BE56B8">
        <w:rPr>
          <w:rFonts w:ascii="Arial" w:hAnsi="Arial" w:cs="Arial"/>
        </w:rPr>
        <w:t xml:space="preserve"> O. Correlation between PD-L1 expression and outcome of NSCLC patients treated with anti-PD-1/PD-L1 agents: A meta-analysis. Critical reviews in oncology/</w:t>
      </w:r>
      <w:proofErr w:type="spellStart"/>
      <w:r w:rsidRPr="00BE56B8">
        <w:rPr>
          <w:rFonts w:ascii="Arial" w:hAnsi="Arial" w:cs="Arial"/>
        </w:rPr>
        <w:t>hematology</w:t>
      </w:r>
      <w:proofErr w:type="spellEnd"/>
      <w:r w:rsidRPr="00BE56B8">
        <w:rPr>
          <w:rFonts w:ascii="Arial" w:hAnsi="Arial" w:cs="Arial"/>
        </w:rPr>
        <w:t>. 2016;101:75-85</w:t>
      </w:r>
    </w:p>
  </w:footnote>
  <w:footnote w:id="6">
    <w:p w:rsidR="006C2852" w:rsidRDefault="006C2852" w:rsidP="00884F24">
      <w:pPr>
        <w:pStyle w:val="FootnoteText"/>
      </w:pPr>
      <w:r w:rsidRPr="00BE56B8">
        <w:rPr>
          <w:rStyle w:val="FootnoteReference"/>
          <w:rFonts w:ascii="Arial" w:hAnsi="Arial" w:cs="Arial"/>
        </w:rPr>
        <w:footnoteRef/>
      </w:r>
      <w:r w:rsidRPr="00BE56B8">
        <w:rPr>
          <w:rFonts w:ascii="Arial" w:hAnsi="Arial" w:cs="Arial"/>
        </w:rPr>
        <w:t xml:space="preserve"> </w:t>
      </w:r>
      <w:proofErr w:type="spellStart"/>
      <w:r w:rsidRPr="00BE56B8">
        <w:rPr>
          <w:rFonts w:ascii="Arial" w:hAnsi="Arial" w:cs="Arial"/>
        </w:rPr>
        <w:t>Massi</w:t>
      </w:r>
      <w:proofErr w:type="spellEnd"/>
      <w:r w:rsidRPr="00BE56B8">
        <w:rPr>
          <w:rFonts w:ascii="Arial" w:hAnsi="Arial" w:cs="Arial"/>
        </w:rPr>
        <w:t xml:space="preserve"> D, </w:t>
      </w:r>
      <w:proofErr w:type="spellStart"/>
      <w:r w:rsidRPr="00BE56B8">
        <w:rPr>
          <w:rFonts w:ascii="Arial" w:hAnsi="Arial" w:cs="Arial"/>
        </w:rPr>
        <w:t>Mandalà</w:t>
      </w:r>
      <w:proofErr w:type="spellEnd"/>
      <w:r w:rsidRPr="00BE56B8">
        <w:rPr>
          <w:rFonts w:ascii="Arial" w:hAnsi="Arial" w:cs="Arial"/>
        </w:rPr>
        <w:t xml:space="preserve"> M. PD-L1 expression in cancer patients receiving anti PD-1/PD-L1 antibodies: A systematic review and meta-analysis Critical reviews in oncology/</w:t>
      </w:r>
      <w:proofErr w:type="spellStart"/>
      <w:r w:rsidRPr="00BE56B8">
        <w:rPr>
          <w:rFonts w:ascii="Arial" w:hAnsi="Arial" w:cs="Arial"/>
        </w:rPr>
        <w:t>hematology</w:t>
      </w:r>
      <w:proofErr w:type="spellEnd"/>
      <w:r w:rsidRPr="00BE56B8">
        <w:rPr>
          <w:rFonts w:ascii="Arial" w:hAnsi="Arial" w:cs="Arial"/>
        </w:rPr>
        <w:t xml:space="preserve">. </w:t>
      </w:r>
      <w:proofErr w:type="gramStart"/>
      <w:r w:rsidRPr="00BE56B8">
        <w:rPr>
          <w:rFonts w:ascii="Arial" w:hAnsi="Arial" w:cs="Arial"/>
        </w:rPr>
        <w:t>2016; 100: 88-98.</w:t>
      </w:r>
      <w:proofErr w:type="gramEnd"/>
    </w:p>
  </w:footnote>
  <w:footnote w:id="7">
    <w:p w:rsidR="006C2852" w:rsidRPr="00981D8B" w:rsidRDefault="006C2852" w:rsidP="0014359C">
      <w:pPr>
        <w:pStyle w:val="FootnoteText"/>
        <w:rPr>
          <w:rFonts w:ascii="Arial" w:hAnsi="Arial" w:cs="Arial"/>
          <w:sz w:val="18"/>
        </w:rPr>
      </w:pPr>
      <w:r w:rsidRPr="00981D8B">
        <w:rPr>
          <w:rStyle w:val="FootnoteReference"/>
          <w:rFonts w:ascii="Arial" w:hAnsi="Arial" w:cs="Arial"/>
          <w:sz w:val="18"/>
        </w:rPr>
        <w:footnoteRef/>
      </w:r>
      <w:r>
        <w:rPr>
          <w:rFonts w:ascii="Arial" w:hAnsi="Arial" w:cs="Arial"/>
          <w:sz w:val="18"/>
        </w:rPr>
        <w:t xml:space="preserve"> </w:t>
      </w:r>
      <w:r w:rsidRPr="00981D8B">
        <w:rPr>
          <w:rFonts w:ascii="Arial" w:hAnsi="Arial" w:cs="Arial"/>
          <w:sz w:val="18"/>
        </w:rPr>
        <w:t>Revised to take into account the</w:t>
      </w:r>
      <w:r>
        <w:rPr>
          <w:rFonts w:ascii="Arial" w:hAnsi="Arial" w:cs="Arial"/>
          <w:sz w:val="18"/>
        </w:rPr>
        <w:t xml:space="preserve"> proposed price reduction of pembrolizumab (PSCR), updated number of pembrolizumab administrations (PSCR), the</w:t>
      </w:r>
      <w:r w:rsidRPr="00981D8B">
        <w:rPr>
          <w:rFonts w:ascii="Arial" w:hAnsi="Arial" w:cs="Arial"/>
          <w:sz w:val="18"/>
        </w:rPr>
        <w:t xml:space="preserve"> maximum dose of pembrolizumab and updated EFC fees (1 July, 2016).</w:t>
      </w:r>
    </w:p>
  </w:footnote>
  <w:footnote w:id="8">
    <w:p w:rsidR="006C2852" w:rsidRPr="00981D8B" w:rsidRDefault="006C2852" w:rsidP="0014359C">
      <w:pPr>
        <w:pStyle w:val="FootnoteText"/>
        <w:rPr>
          <w:rFonts w:ascii="Arial" w:hAnsi="Arial" w:cs="Arial"/>
          <w:sz w:val="18"/>
        </w:rPr>
      </w:pPr>
      <w:r w:rsidRPr="00981D8B">
        <w:rPr>
          <w:rStyle w:val="FootnoteReference"/>
          <w:rFonts w:ascii="Arial" w:hAnsi="Arial" w:cs="Arial"/>
          <w:sz w:val="18"/>
        </w:rPr>
        <w:footnoteRef/>
      </w:r>
      <w:r w:rsidRPr="00981D8B">
        <w:rPr>
          <w:rFonts w:ascii="Arial" w:hAnsi="Arial" w:cs="Arial"/>
          <w:sz w:val="18"/>
        </w:rPr>
        <w:t xml:space="preserve"> Revised to take into account that larger than the allowed maximum dose of pembrolizumab (240mg) was used in the submission’s analyses</w:t>
      </w:r>
      <w:r>
        <w:rPr>
          <w:rFonts w:ascii="Arial" w:hAnsi="Arial" w:cs="Arial"/>
          <w:sz w:val="18"/>
        </w:rPr>
        <w:t>, and the proposed price reduction (PSCR)</w:t>
      </w:r>
      <w:r w:rsidRPr="00981D8B">
        <w:rPr>
          <w:rFonts w:ascii="Arial" w:hAnsi="Arial" w:cs="Arial"/>
          <w:sz w:val="18"/>
        </w:rPr>
        <w:t>.</w:t>
      </w:r>
    </w:p>
  </w:footnote>
  <w:footnote w:id="9">
    <w:p w:rsidR="006C2852" w:rsidRPr="00981D8B" w:rsidRDefault="006C2852" w:rsidP="0014359C">
      <w:pPr>
        <w:pStyle w:val="FootnoteText"/>
        <w:rPr>
          <w:rFonts w:ascii="Arial" w:hAnsi="Arial" w:cs="Arial"/>
          <w:sz w:val="18"/>
        </w:rPr>
      </w:pPr>
      <w:r w:rsidRPr="00981D8B">
        <w:rPr>
          <w:rStyle w:val="FootnoteReference"/>
          <w:rFonts w:ascii="Arial" w:hAnsi="Arial" w:cs="Arial"/>
          <w:sz w:val="18"/>
        </w:rPr>
        <w:footnoteRef/>
      </w:r>
      <w:r w:rsidRPr="00981D8B">
        <w:rPr>
          <w:rFonts w:ascii="Arial" w:hAnsi="Arial" w:cs="Arial"/>
          <w:sz w:val="18"/>
        </w:rPr>
        <w:t xml:space="preserve"> Revised to take into account the efficient combination of </w:t>
      </w:r>
      <w:proofErr w:type="spellStart"/>
      <w:r w:rsidRPr="00981D8B">
        <w:rPr>
          <w:rFonts w:ascii="Arial" w:hAnsi="Arial" w:cs="Arial"/>
          <w:sz w:val="18"/>
        </w:rPr>
        <w:t>docetaxel</w:t>
      </w:r>
      <w:proofErr w:type="spellEnd"/>
      <w:r w:rsidRPr="00981D8B">
        <w:rPr>
          <w:rFonts w:ascii="Arial" w:hAnsi="Arial" w:cs="Arial"/>
          <w:sz w:val="18"/>
        </w:rPr>
        <w:t xml:space="preserve"> vials and updated EFC fees (1 July, 2016).</w:t>
      </w:r>
    </w:p>
  </w:footnote>
  <w:footnote w:id="10">
    <w:p w:rsidR="006C2852" w:rsidRPr="00056D8F" w:rsidRDefault="006C2852" w:rsidP="0014359C">
      <w:pPr>
        <w:pStyle w:val="FootnoteText"/>
        <w:rPr>
          <w:i/>
        </w:rPr>
      </w:pPr>
      <w:r w:rsidRPr="00981D8B">
        <w:rPr>
          <w:rStyle w:val="FootnoteReference"/>
          <w:rFonts w:ascii="Arial" w:hAnsi="Arial" w:cs="Arial"/>
          <w:sz w:val="18"/>
        </w:rPr>
        <w:footnoteRef/>
      </w:r>
      <w:r w:rsidRPr="00981D8B">
        <w:rPr>
          <w:rFonts w:ascii="Arial" w:hAnsi="Arial" w:cs="Arial"/>
          <w:sz w:val="18"/>
        </w:rPr>
        <w:t xml:space="preserve"> Revised to take into account the</w:t>
      </w:r>
      <w:r>
        <w:rPr>
          <w:rFonts w:ascii="Arial" w:hAnsi="Arial" w:cs="Arial"/>
          <w:sz w:val="18"/>
        </w:rPr>
        <w:t xml:space="preserve"> updated </w:t>
      </w:r>
      <w:proofErr w:type="spellStart"/>
      <w:r>
        <w:rPr>
          <w:rFonts w:ascii="Arial" w:hAnsi="Arial" w:cs="Arial"/>
          <w:sz w:val="18"/>
        </w:rPr>
        <w:t>pemetrexed</w:t>
      </w:r>
      <w:proofErr w:type="spellEnd"/>
      <w:r>
        <w:rPr>
          <w:rFonts w:ascii="Arial" w:hAnsi="Arial" w:cs="Arial"/>
          <w:sz w:val="18"/>
        </w:rPr>
        <w:t xml:space="preserve"> administrations (PSCR), the</w:t>
      </w:r>
      <w:r w:rsidRPr="00981D8B">
        <w:rPr>
          <w:rFonts w:ascii="Arial" w:hAnsi="Arial" w:cs="Arial"/>
          <w:sz w:val="18"/>
        </w:rPr>
        <w:t xml:space="preserve"> maximum dose of </w:t>
      </w:r>
      <w:proofErr w:type="spellStart"/>
      <w:r w:rsidRPr="00981D8B">
        <w:rPr>
          <w:rFonts w:ascii="Arial" w:hAnsi="Arial" w:cs="Arial"/>
          <w:sz w:val="18"/>
        </w:rPr>
        <w:t>pemetrexed</w:t>
      </w:r>
      <w:proofErr w:type="spellEnd"/>
      <w:r w:rsidRPr="00981D8B">
        <w:rPr>
          <w:rFonts w:ascii="Arial" w:hAnsi="Arial" w:cs="Arial"/>
          <w:sz w:val="18"/>
        </w:rPr>
        <w:t xml:space="preserve"> and the updated EFC fees (1 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8C" w:rsidRDefault="00F12F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52" w:rsidRPr="00DF217D" w:rsidRDefault="006C2852" w:rsidP="00D9653E">
    <w:pPr>
      <w:pStyle w:val="Header"/>
      <w:ind w:left="360"/>
      <w:jc w:val="center"/>
      <w:rPr>
        <w:rFonts w:ascii="Arial" w:hAnsi="Arial" w:cs="Arial"/>
        <w:i/>
        <w:color w:val="808080"/>
        <w:sz w:val="22"/>
      </w:rPr>
    </w:pPr>
    <w:r>
      <w:rPr>
        <w:rFonts w:ascii="Arial" w:hAnsi="Arial" w:cs="Arial"/>
        <w:i/>
        <w:color w:val="808080"/>
        <w:sz w:val="22"/>
      </w:rPr>
      <w:t>Public Summary Document</w:t>
    </w:r>
    <w:r w:rsidRPr="00DF217D">
      <w:rPr>
        <w:rFonts w:ascii="Arial" w:hAnsi="Arial" w:cs="Arial"/>
        <w:i/>
        <w:color w:val="808080"/>
        <w:sz w:val="22"/>
      </w:rPr>
      <w:t xml:space="preserve"> – </w:t>
    </w:r>
    <w:r>
      <w:rPr>
        <w:rFonts w:ascii="Arial" w:hAnsi="Arial" w:cs="Arial"/>
        <w:i/>
        <w:color w:val="808080"/>
        <w:sz w:val="22"/>
      </w:rPr>
      <w:t xml:space="preserve">November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6C2852" w:rsidRPr="000F15C1" w:rsidRDefault="006C2852" w:rsidP="00A36DD4">
    <w:pPr>
      <w:pStyle w:val="Header"/>
      <w:tabs>
        <w:tab w:val="clear" w:pos="9026"/>
        <w:tab w:val="right" w:pos="8364"/>
      </w:tabs>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F8C" w:rsidRDefault="00F12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63C"/>
    <w:multiLevelType w:val="hybridMultilevel"/>
    <w:tmpl w:val="6AB4F9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C8E5634"/>
    <w:multiLevelType w:val="hybridMultilevel"/>
    <w:tmpl w:val="8452E3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E474578"/>
    <w:multiLevelType w:val="multilevel"/>
    <w:tmpl w:val="901603CE"/>
    <w:lvl w:ilvl="0">
      <w:start w:val="1"/>
      <w:numFmt w:val="decimal"/>
      <w:pStyle w:val="FigureA"/>
      <w:lvlText w:val="Figure A.%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63B5501"/>
    <w:multiLevelType w:val="hybridMultilevel"/>
    <w:tmpl w:val="B1A0CADA"/>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nsid w:val="2B157286"/>
    <w:multiLevelType w:val="hybridMultilevel"/>
    <w:tmpl w:val="FB72F8C6"/>
    <w:lvl w:ilvl="0" w:tplc="7BA27998">
      <w:start w:val="1"/>
      <w:numFmt w:val="decimal"/>
      <w:pStyle w:val="MSACHeading1"/>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650263"/>
    <w:multiLevelType w:val="hybridMultilevel"/>
    <w:tmpl w:val="B7EC729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E7862CF"/>
    <w:multiLevelType w:val="hybridMultilevel"/>
    <w:tmpl w:val="F9BC32F0"/>
    <w:lvl w:ilvl="0" w:tplc="0C090001">
      <w:start w:val="1"/>
      <w:numFmt w:val="bullet"/>
      <w:lvlText w:val=""/>
      <w:lvlJc w:val="left"/>
      <w:pPr>
        <w:ind w:left="950" w:hanging="360"/>
      </w:pPr>
      <w:rPr>
        <w:rFonts w:ascii="Symbol" w:hAnsi="Symbol" w:hint="default"/>
      </w:rPr>
    </w:lvl>
    <w:lvl w:ilvl="1" w:tplc="0C090003" w:tentative="1">
      <w:start w:val="1"/>
      <w:numFmt w:val="bullet"/>
      <w:lvlText w:val="o"/>
      <w:lvlJc w:val="left"/>
      <w:pPr>
        <w:ind w:left="1670" w:hanging="360"/>
      </w:pPr>
      <w:rPr>
        <w:rFonts w:ascii="Courier New" w:hAnsi="Courier New" w:cs="Courier New" w:hint="default"/>
      </w:rPr>
    </w:lvl>
    <w:lvl w:ilvl="2" w:tplc="0C090005" w:tentative="1">
      <w:start w:val="1"/>
      <w:numFmt w:val="bullet"/>
      <w:lvlText w:val=""/>
      <w:lvlJc w:val="left"/>
      <w:pPr>
        <w:ind w:left="2390" w:hanging="360"/>
      </w:pPr>
      <w:rPr>
        <w:rFonts w:ascii="Wingdings" w:hAnsi="Wingdings" w:hint="default"/>
      </w:rPr>
    </w:lvl>
    <w:lvl w:ilvl="3" w:tplc="0C090001" w:tentative="1">
      <w:start w:val="1"/>
      <w:numFmt w:val="bullet"/>
      <w:lvlText w:val=""/>
      <w:lvlJc w:val="left"/>
      <w:pPr>
        <w:ind w:left="3110" w:hanging="360"/>
      </w:pPr>
      <w:rPr>
        <w:rFonts w:ascii="Symbol" w:hAnsi="Symbol" w:hint="default"/>
      </w:rPr>
    </w:lvl>
    <w:lvl w:ilvl="4" w:tplc="0C090003" w:tentative="1">
      <w:start w:val="1"/>
      <w:numFmt w:val="bullet"/>
      <w:lvlText w:val="o"/>
      <w:lvlJc w:val="left"/>
      <w:pPr>
        <w:ind w:left="3830" w:hanging="360"/>
      </w:pPr>
      <w:rPr>
        <w:rFonts w:ascii="Courier New" w:hAnsi="Courier New" w:cs="Courier New" w:hint="default"/>
      </w:rPr>
    </w:lvl>
    <w:lvl w:ilvl="5" w:tplc="0C090005" w:tentative="1">
      <w:start w:val="1"/>
      <w:numFmt w:val="bullet"/>
      <w:lvlText w:val=""/>
      <w:lvlJc w:val="left"/>
      <w:pPr>
        <w:ind w:left="4550" w:hanging="360"/>
      </w:pPr>
      <w:rPr>
        <w:rFonts w:ascii="Wingdings" w:hAnsi="Wingdings" w:hint="default"/>
      </w:rPr>
    </w:lvl>
    <w:lvl w:ilvl="6" w:tplc="0C090001" w:tentative="1">
      <w:start w:val="1"/>
      <w:numFmt w:val="bullet"/>
      <w:lvlText w:val=""/>
      <w:lvlJc w:val="left"/>
      <w:pPr>
        <w:ind w:left="5270" w:hanging="360"/>
      </w:pPr>
      <w:rPr>
        <w:rFonts w:ascii="Symbol" w:hAnsi="Symbol" w:hint="default"/>
      </w:rPr>
    </w:lvl>
    <w:lvl w:ilvl="7" w:tplc="0C090003" w:tentative="1">
      <w:start w:val="1"/>
      <w:numFmt w:val="bullet"/>
      <w:lvlText w:val="o"/>
      <w:lvlJc w:val="left"/>
      <w:pPr>
        <w:ind w:left="5990" w:hanging="360"/>
      </w:pPr>
      <w:rPr>
        <w:rFonts w:ascii="Courier New" w:hAnsi="Courier New" w:cs="Courier New" w:hint="default"/>
      </w:rPr>
    </w:lvl>
    <w:lvl w:ilvl="8" w:tplc="0C090005" w:tentative="1">
      <w:start w:val="1"/>
      <w:numFmt w:val="bullet"/>
      <w:lvlText w:val=""/>
      <w:lvlJc w:val="left"/>
      <w:pPr>
        <w:ind w:left="6710" w:hanging="360"/>
      </w:pPr>
      <w:rPr>
        <w:rFonts w:ascii="Wingdings" w:hAnsi="Wingdings" w:hint="default"/>
      </w:rPr>
    </w:lvl>
  </w:abstractNum>
  <w:abstractNum w:abstractNumId="7">
    <w:nsid w:val="38DF7B3E"/>
    <w:multiLevelType w:val="hybridMultilevel"/>
    <w:tmpl w:val="94F60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BCC48EF"/>
    <w:multiLevelType w:val="hybridMultilevel"/>
    <w:tmpl w:val="94502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41701CF4"/>
    <w:multiLevelType w:val="hybridMultilevel"/>
    <w:tmpl w:val="06B83C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70B05DA8"/>
    <w:multiLevelType w:val="hybridMultilevel"/>
    <w:tmpl w:val="0BCA819A"/>
    <w:lvl w:ilvl="0" w:tplc="C6AEA2E0">
      <w:start w:val="1"/>
      <w:numFmt w:val="lowerRoman"/>
      <w:pStyle w:val="Heading9"/>
      <w:lvlText w:val="COM.%1"/>
      <w:lvlJc w:val="righ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16F7254"/>
    <w:multiLevelType w:val="hybridMultilevel"/>
    <w:tmpl w:val="81C282AE"/>
    <w:lvl w:ilvl="0" w:tplc="FFFFFFFF">
      <w:start w:val="1"/>
      <w:numFmt w:val="bullet"/>
      <w:pStyle w:val="Tabletext9ptbulleted"/>
      <w:lvlText w:val=""/>
      <w:lvlJc w:val="left"/>
      <w:pPr>
        <w:ind w:left="479" w:hanging="360"/>
      </w:pPr>
      <w:rPr>
        <w:rFonts w:ascii="Symbol" w:hAnsi="Symbol" w:hint="default"/>
        <w:color w:val="auto"/>
        <w:sz w:val="18"/>
      </w:rPr>
    </w:lvl>
    <w:lvl w:ilvl="1" w:tplc="FFFFFFFF">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2">
    <w:nsid w:val="784D033C"/>
    <w:multiLevelType w:val="multilevel"/>
    <w:tmpl w:val="9BC2E380"/>
    <w:lvl w:ilvl="0">
      <w:start w:val="1"/>
      <w:numFmt w:val="decimal"/>
      <w:lvlText w:val="%1"/>
      <w:lvlJc w:val="left"/>
      <w:pPr>
        <w:ind w:left="720" w:hanging="720"/>
      </w:pPr>
      <w:rPr>
        <w:rFonts w:hint="default"/>
        <w:b/>
      </w:rPr>
    </w:lvl>
    <w:lvl w:ilvl="1">
      <w:start w:val="1"/>
      <w:numFmt w:val="decimal"/>
      <w:lvlText w:val="%1.%2"/>
      <w:lvlJc w:val="left"/>
      <w:pPr>
        <w:ind w:left="143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BFC4E85"/>
    <w:multiLevelType w:val="hybridMultilevel"/>
    <w:tmpl w:val="FE06F3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7F8B3CC9"/>
    <w:multiLevelType w:val="hybridMultilevel"/>
    <w:tmpl w:val="58D428DE"/>
    <w:lvl w:ilvl="0" w:tplc="FFFFFFFF">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4"/>
  </w:num>
  <w:num w:numId="8">
    <w:abstractNumId w:val="14"/>
  </w:num>
  <w:num w:numId="9">
    <w:abstractNumId w:val="3"/>
  </w:num>
  <w:num w:numId="10">
    <w:abstractNumId w:val="6"/>
  </w:num>
  <w:num w:numId="11">
    <w:abstractNumId w:val="9"/>
  </w:num>
  <w:num w:numId="12">
    <w:abstractNumId w:val="1"/>
  </w:num>
  <w:num w:numId="13">
    <w:abstractNumId w:val="13"/>
  </w:num>
  <w:num w:numId="14">
    <w:abstractNumId w:val="0"/>
  </w:num>
  <w:num w:numId="15">
    <w:abstractNumId w:val="8"/>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NotTrackFormatting/>
  <w:defaultTabStop w:val="851"/>
  <w:characterSpacingControl w:val="doNotCompress"/>
  <w:hdrShapeDefaults>
    <o:shapedefaults v:ext="edit" spidmax="3074"/>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1&lt;/Suspended&gt;&lt;/ENInstantFormat&gt;"/>
  </w:docVars>
  <w:rsids>
    <w:rsidRoot w:val="0095055D"/>
    <w:rsid w:val="000006C6"/>
    <w:rsid w:val="00002B3C"/>
    <w:rsid w:val="0001378B"/>
    <w:rsid w:val="00015A30"/>
    <w:rsid w:val="00015F0E"/>
    <w:rsid w:val="000174C2"/>
    <w:rsid w:val="000222C3"/>
    <w:rsid w:val="00023F5A"/>
    <w:rsid w:val="00025906"/>
    <w:rsid w:val="000266C8"/>
    <w:rsid w:val="000272A6"/>
    <w:rsid w:val="000313B0"/>
    <w:rsid w:val="000347E7"/>
    <w:rsid w:val="000428F1"/>
    <w:rsid w:val="00052DF3"/>
    <w:rsid w:val="0005363E"/>
    <w:rsid w:val="0006090E"/>
    <w:rsid w:val="00072C3C"/>
    <w:rsid w:val="0007303D"/>
    <w:rsid w:val="0007517D"/>
    <w:rsid w:val="00081D27"/>
    <w:rsid w:val="000928B2"/>
    <w:rsid w:val="0009527F"/>
    <w:rsid w:val="00095672"/>
    <w:rsid w:val="000A291C"/>
    <w:rsid w:val="000A6B0E"/>
    <w:rsid w:val="000A707B"/>
    <w:rsid w:val="000A72AE"/>
    <w:rsid w:val="000A7A16"/>
    <w:rsid w:val="000B600D"/>
    <w:rsid w:val="000C6F18"/>
    <w:rsid w:val="000D1A0B"/>
    <w:rsid w:val="000D7BEC"/>
    <w:rsid w:val="000E3238"/>
    <w:rsid w:val="000E3EE6"/>
    <w:rsid w:val="000F0D4D"/>
    <w:rsid w:val="000F15C1"/>
    <w:rsid w:val="000F29B1"/>
    <w:rsid w:val="000F6B12"/>
    <w:rsid w:val="00100302"/>
    <w:rsid w:val="0010625A"/>
    <w:rsid w:val="001063C4"/>
    <w:rsid w:val="00116978"/>
    <w:rsid w:val="00116B06"/>
    <w:rsid w:val="001234F4"/>
    <w:rsid w:val="0013049C"/>
    <w:rsid w:val="001310FD"/>
    <w:rsid w:val="0014359C"/>
    <w:rsid w:val="00143E6D"/>
    <w:rsid w:val="0014629D"/>
    <w:rsid w:val="00147D6A"/>
    <w:rsid w:val="0015262F"/>
    <w:rsid w:val="00153EAE"/>
    <w:rsid w:val="00167DCA"/>
    <w:rsid w:val="0017289B"/>
    <w:rsid w:val="00172F2E"/>
    <w:rsid w:val="00173899"/>
    <w:rsid w:val="00175F6D"/>
    <w:rsid w:val="00180AEF"/>
    <w:rsid w:val="00182759"/>
    <w:rsid w:val="00187726"/>
    <w:rsid w:val="00190B25"/>
    <w:rsid w:val="00193333"/>
    <w:rsid w:val="00193C59"/>
    <w:rsid w:val="00194558"/>
    <w:rsid w:val="001A04A4"/>
    <w:rsid w:val="001A373C"/>
    <w:rsid w:val="001A4F41"/>
    <w:rsid w:val="001B151F"/>
    <w:rsid w:val="001B1EF0"/>
    <w:rsid w:val="001C1042"/>
    <w:rsid w:val="001C3866"/>
    <w:rsid w:val="001D5742"/>
    <w:rsid w:val="001E0E0F"/>
    <w:rsid w:val="001E15A0"/>
    <w:rsid w:val="001F10D5"/>
    <w:rsid w:val="001F3E1F"/>
    <w:rsid w:val="00204F4F"/>
    <w:rsid w:val="00205E9A"/>
    <w:rsid w:val="00206149"/>
    <w:rsid w:val="00207739"/>
    <w:rsid w:val="002077D2"/>
    <w:rsid w:val="00210DDC"/>
    <w:rsid w:val="0021175F"/>
    <w:rsid w:val="00222F2D"/>
    <w:rsid w:val="00230808"/>
    <w:rsid w:val="00230E62"/>
    <w:rsid w:val="00232CE0"/>
    <w:rsid w:val="0023773C"/>
    <w:rsid w:val="002415EA"/>
    <w:rsid w:val="0024208C"/>
    <w:rsid w:val="00246FFB"/>
    <w:rsid w:val="002474FA"/>
    <w:rsid w:val="00251D7A"/>
    <w:rsid w:val="00252CD8"/>
    <w:rsid w:val="00253BE1"/>
    <w:rsid w:val="0025423E"/>
    <w:rsid w:val="00262335"/>
    <w:rsid w:val="00271EF6"/>
    <w:rsid w:val="002722D5"/>
    <w:rsid w:val="00275A86"/>
    <w:rsid w:val="00275DAF"/>
    <w:rsid w:val="0027703B"/>
    <w:rsid w:val="00277ED2"/>
    <w:rsid w:val="0029091C"/>
    <w:rsid w:val="00294FAB"/>
    <w:rsid w:val="002A18D0"/>
    <w:rsid w:val="002A56BE"/>
    <w:rsid w:val="002B0DA6"/>
    <w:rsid w:val="002B1E84"/>
    <w:rsid w:val="002B262C"/>
    <w:rsid w:val="002B446A"/>
    <w:rsid w:val="002B6E2F"/>
    <w:rsid w:val="002C05A5"/>
    <w:rsid w:val="002C08B2"/>
    <w:rsid w:val="002C2AAF"/>
    <w:rsid w:val="002C41C5"/>
    <w:rsid w:val="002D3220"/>
    <w:rsid w:val="002D458F"/>
    <w:rsid w:val="002D58A2"/>
    <w:rsid w:val="002E0B7D"/>
    <w:rsid w:val="002E373B"/>
    <w:rsid w:val="002E3C1B"/>
    <w:rsid w:val="002E495A"/>
    <w:rsid w:val="002E6222"/>
    <w:rsid w:val="002E75AA"/>
    <w:rsid w:val="002F306F"/>
    <w:rsid w:val="002F7E97"/>
    <w:rsid w:val="0030293B"/>
    <w:rsid w:val="00303EA3"/>
    <w:rsid w:val="00304407"/>
    <w:rsid w:val="00305EF5"/>
    <w:rsid w:val="00307473"/>
    <w:rsid w:val="003125AA"/>
    <w:rsid w:val="003168CF"/>
    <w:rsid w:val="00317C64"/>
    <w:rsid w:val="003327C2"/>
    <w:rsid w:val="00334119"/>
    <w:rsid w:val="0033492B"/>
    <w:rsid w:val="0034036E"/>
    <w:rsid w:val="003459D8"/>
    <w:rsid w:val="00346DB3"/>
    <w:rsid w:val="00352082"/>
    <w:rsid w:val="003521AC"/>
    <w:rsid w:val="00354EB4"/>
    <w:rsid w:val="00355FF1"/>
    <w:rsid w:val="00357741"/>
    <w:rsid w:val="00365DD9"/>
    <w:rsid w:val="003670C5"/>
    <w:rsid w:val="00372ED2"/>
    <w:rsid w:val="0037399C"/>
    <w:rsid w:val="00375B7A"/>
    <w:rsid w:val="003837A8"/>
    <w:rsid w:val="00383F22"/>
    <w:rsid w:val="00384D39"/>
    <w:rsid w:val="003858EB"/>
    <w:rsid w:val="00390D4B"/>
    <w:rsid w:val="00392AC7"/>
    <w:rsid w:val="003B0261"/>
    <w:rsid w:val="003B3BD9"/>
    <w:rsid w:val="003D3A81"/>
    <w:rsid w:val="003D5C11"/>
    <w:rsid w:val="003D7EE1"/>
    <w:rsid w:val="003E1658"/>
    <w:rsid w:val="003E5639"/>
    <w:rsid w:val="003E6419"/>
    <w:rsid w:val="003E65A1"/>
    <w:rsid w:val="003F4A05"/>
    <w:rsid w:val="003F79E2"/>
    <w:rsid w:val="004034E7"/>
    <w:rsid w:val="00405DD5"/>
    <w:rsid w:val="004160F4"/>
    <w:rsid w:val="00416AD7"/>
    <w:rsid w:val="0041768A"/>
    <w:rsid w:val="004204EC"/>
    <w:rsid w:val="00420652"/>
    <w:rsid w:val="00423FAC"/>
    <w:rsid w:val="0042417F"/>
    <w:rsid w:val="00436392"/>
    <w:rsid w:val="00442AD4"/>
    <w:rsid w:val="0044311E"/>
    <w:rsid w:val="00446266"/>
    <w:rsid w:val="00446863"/>
    <w:rsid w:val="00447065"/>
    <w:rsid w:val="004529DB"/>
    <w:rsid w:val="00454007"/>
    <w:rsid w:val="004609C2"/>
    <w:rsid w:val="00460AAD"/>
    <w:rsid w:val="00462273"/>
    <w:rsid w:val="004625AC"/>
    <w:rsid w:val="00463605"/>
    <w:rsid w:val="0047019C"/>
    <w:rsid w:val="004720F1"/>
    <w:rsid w:val="004730DC"/>
    <w:rsid w:val="00480330"/>
    <w:rsid w:val="00486F31"/>
    <w:rsid w:val="00491FAE"/>
    <w:rsid w:val="00492BE0"/>
    <w:rsid w:val="004A08C6"/>
    <w:rsid w:val="004A3D55"/>
    <w:rsid w:val="004B133E"/>
    <w:rsid w:val="004B1F2F"/>
    <w:rsid w:val="004B427D"/>
    <w:rsid w:val="004B4A70"/>
    <w:rsid w:val="004C10D5"/>
    <w:rsid w:val="004C2AF4"/>
    <w:rsid w:val="004C3711"/>
    <w:rsid w:val="004C4285"/>
    <w:rsid w:val="004C5721"/>
    <w:rsid w:val="004C7DB6"/>
    <w:rsid w:val="004D435E"/>
    <w:rsid w:val="004D64EB"/>
    <w:rsid w:val="004E3C1D"/>
    <w:rsid w:val="004E4DE0"/>
    <w:rsid w:val="004E59F9"/>
    <w:rsid w:val="004F29EF"/>
    <w:rsid w:val="004F493D"/>
    <w:rsid w:val="004F4DA8"/>
    <w:rsid w:val="004F655E"/>
    <w:rsid w:val="004F746D"/>
    <w:rsid w:val="004F7866"/>
    <w:rsid w:val="00503D67"/>
    <w:rsid w:val="00507190"/>
    <w:rsid w:val="005078DD"/>
    <w:rsid w:val="005101EF"/>
    <w:rsid w:val="005118C7"/>
    <w:rsid w:val="00511977"/>
    <w:rsid w:val="00515978"/>
    <w:rsid w:val="00524F60"/>
    <w:rsid w:val="005315AD"/>
    <w:rsid w:val="00535BDB"/>
    <w:rsid w:val="00540EB3"/>
    <w:rsid w:val="00541EE0"/>
    <w:rsid w:val="00543306"/>
    <w:rsid w:val="00550F5F"/>
    <w:rsid w:val="005521DF"/>
    <w:rsid w:val="0055361A"/>
    <w:rsid w:val="0055367D"/>
    <w:rsid w:val="005609A1"/>
    <w:rsid w:val="00562FF9"/>
    <w:rsid w:val="0056348A"/>
    <w:rsid w:val="00574EFF"/>
    <w:rsid w:val="005837D8"/>
    <w:rsid w:val="005871B5"/>
    <w:rsid w:val="00596634"/>
    <w:rsid w:val="00596D59"/>
    <w:rsid w:val="005A1AA4"/>
    <w:rsid w:val="005A3DD4"/>
    <w:rsid w:val="005A4EAB"/>
    <w:rsid w:val="005A745B"/>
    <w:rsid w:val="005B557D"/>
    <w:rsid w:val="005C45C9"/>
    <w:rsid w:val="005C537E"/>
    <w:rsid w:val="005C72FC"/>
    <w:rsid w:val="005D2898"/>
    <w:rsid w:val="005E1DF9"/>
    <w:rsid w:val="005E5EA8"/>
    <w:rsid w:val="005F2206"/>
    <w:rsid w:val="005F28C7"/>
    <w:rsid w:val="005F3A5F"/>
    <w:rsid w:val="005F5612"/>
    <w:rsid w:val="006101B6"/>
    <w:rsid w:val="006128EA"/>
    <w:rsid w:val="00613273"/>
    <w:rsid w:val="006134AD"/>
    <w:rsid w:val="0061553B"/>
    <w:rsid w:val="0061572C"/>
    <w:rsid w:val="00615CFC"/>
    <w:rsid w:val="00615E0E"/>
    <w:rsid w:val="00620A56"/>
    <w:rsid w:val="00625B33"/>
    <w:rsid w:val="0062610F"/>
    <w:rsid w:val="0062653D"/>
    <w:rsid w:val="006307AA"/>
    <w:rsid w:val="00636175"/>
    <w:rsid w:val="006405DD"/>
    <w:rsid w:val="006458E5"/>
    <w:rsid w:val="006524ED"/>
    <w:rsid w:val="00663733"/>
    <w:rsid w:val="006667F4"/>
    <w:rsid w:val="00675587"/>
    <w:rsid w:val="00675E36"/>
    <w:rsid w:val="006775D7"/>
    <w:rsid w:val="00677911"/>
    <w:rsid w:val="00680AD7"/>
    <w:rsid w:val="00685491"/>
    <w:rsid w:val="006A6767"/>
    <w:rsid w:val="006B4304"/>
    <w:rsid w:val="006B5BD4"/>
    <w:rsid w:val="006C1917"/>
    <w:rsid w:val="006C2852"/>
    <w:rsid w:val="006C7CEF"/>
    <w:rsid w:val="006D17F7"/>
    <w:rsid w:val="006D19CA"/>
    <w:rsid w:val="006D750A"/>
    <w:rsid w:val="006E2940"/>
    <w:rsid w:val="006E6043"/>
    <w:rsid w:val="006F3965"/>
    <w:rsid w:val="006F5932"/>
    <w:rsid w:val="006F5C87"/>
    <w:rsid w:val="007021D8"/>
    <w:rsid w:val="00705B7B"/>
    <w:rsid w:val="00705E2D"/>
    <w:rsid w:val="00711303"/>
    <w:rsid w:val="00717F65"/>
    <w:rsid w:val="00722A5C"/>
    <w:rsid w:val="0072414F"/>
    <w:rsid w:val="007274C4"/>
    <w:rsid w:val="00745829"/>
    <w:rsid w:val="00750C18"/>
    <w:rsid w:val="00752B87"/>
    <w:rsid w:val="0075350C"/>
    <w:rsid w:val="00754746"/>
    <w:rsid w:val="00761A60"/>
    <w:rsid w:val="00761ADD"/>
    <w:rsid w:val="007629BE"/>
    <w:rsid w:val="007633E8"/>
    <w:rsid w:val="007646B3"/>
    <w:rsid w:val="007656C1"/>
    <w:rsid w:val="007665D9"/>
    <w:rsid w:val="00774603"/>
    <w:rsid w:val="0077484B"/>
    <w:rsid w:val="00777143"/>
    <w:rsid w:val="00780B6B"/>
    <w:rsid w:val="00781568"/>
    <w:rsid w:val="00781E51"/>
    <w:rsid w:val="00782FC4"/>
    <w:rsid w:val="0078314E"/>
    <w:rsid w:val="00787CC6"/>
    <w:rsid w:val="00794458"/>
    <w:rsid w:val="00794936"/>
    <w:rsid w:val="00795D64"/>
    <w:rsid w:val="007A4DD4"/>
    <w:rsid w:val="007A799E"/>
    <w:rsid w:val="007A7A7B"/>
    <w:rsid w:val="007B2326"/>
    <w:rsid w:val="007B6C47"/>
    <w:rsid w:val="007B6D82"/>
    <w:rsid w:val="007C0C99"/>
    <w:rsid w:val="007C65DD"/>
    <w:rsid w:val="007D1E9A"/>
    <w:rsid w:val="007D30EB"/>
    <w:rsid w:val="007D5324"/>
    <w:rsid w:val="007D6316"/>
    <w:rsid w:val="007D79DB"/>
    <w:rsid w:val="007D7B4B"/>
    <w:rsid w:val="007F5EB2"/>
    <w:rsid w:val="007F7BB6"/>
    <w:rsid w:val="0080086D"/>
    <w:rsid w:val="00800F92"/>
    <w:rsid w:val="00802E2E"/>
    <w:rsid w:val="00805664"/>
    <w:rsid w:val="008141D5"/>
    <w:rsid w:val="008157E1"/>
    <w:rsid w:val="00824ECD"/>
    <w:rsid w:val="00825A50"/>
    <w:rsid w:val="00827207"/>
    <w:rsid w:val="008300D9"/>
    <w:rsid w:val="008333A1"/>
    <w:rsid w:val="0083696A"/>
    <w:rsid w:val="00841A44"/>
    <w:rsid w:val="00842852"/>
    <w:rsid w:val="00842E44"/>
    <w:rsid w:val="00853EF2"/>
    <w:rsid w:val="008559C9"/>
    <w:rsid w:val="00857F7B"/>
    <w:rsid w:val="008605E8"/>
    <w:rsid w:val="00870200"/>
    <w:rsid w:val="00876C9D"/>
    <w:rsid w:val="00882E48"/>
    <w:rsid w:val="00883A35"/>
    <w:rsid w:val="00884EA0"/>
    <w:rsid w:val="00884F24"/>
    <w:rsid w:val="00885737"/>
    <w:rsid w:val="00890F25"/>
    <w:rsid w:val="00891C67"/>
    <w:rsid w:val="00893AE0"/>
    <w:rsid w:val="008942CB"/>
    <w:rsid w:val="008A1B01"/>
    <w:rsid w:val="008B15A9"/>
    <w:rsid w:val="008C1607"/>
    <w:rsid w:val="008C529E"/>
    <w:rsid w:val="008D5192"/>
    <w:rsid w:val="008D713B"/>
    <w:rsid w:val="008E004B"/>
    <w:rsid w:val="008E7A63"/>
    <w:rsid w:val="008F08C1"/>
    <w:rsid w:val="008F1E3A"/>
    <w:rsid w:val="008F2C0B"/>
    <w:rsid w:val="008F2F4A"/>
    <w:rsid w:val="00900ABC"/>
    <w:rsid w:val="009015FA"/>
    <w:rsid w:val="00901E8F"/>
    <w:rsid w:val="009068DF"/>
    <w:rsid w:val="00910477"/>
    <w:rsid w:val="0091472A"/>
    <w:rsid w:val="00915CB3"/>
    <w:rsid w:val="009166E4"/>
    <w:rsid w:val="00917F88"/>
    <w:rsid w:val="00920219"/>
    <w:rsid w:val="00925C1F"/>
    <w:rsid w:val="00926957"/>
    <w:rsid w:val="00933F74"/>
    <w:rsid w:val="0093755A"/>
    <w:rsid w:val="009436E2"/>
    <w:rsid w:val="00943F1F"/>
    <w:rsid w:val="0094730D"/>
    <w:rsid w:val="0095055D"/>
    <w:rsid w:val="00950FD2"/>
    <w:rsid w:val="00951009"/>
    <w:rsid w:val="00952BF9"/>
    <w:rsid w:val="00956B85"/>
    <w:rsid w:val="009612E6"/>
    <w:rsid w:val="00963FD5"/>
    <w:rsid w:val="00967A17"/>
    <w:rsid w:val="00976942"/>
    <w:rsid w:val="00981D8B"/>
    <w:rsid w:val="009822C1"/>
    <w:rsid w:val="009A1015"/>
    <w:rsid w:val="009A1FDD"/>
    <w:rsid w:val="009A2DB1"/>
    <w:rsid w:val="009A384F"/>
    <w:rsid w:val="009A4786"/>
    <w:rsid w:val="009A5086"/>
    <w:rsid w:val="009A5612"/>
    <w:rsid w:val="009B1CE6"/>
    <w:rsid w:val="009B2688"/>
    <w:rsid w:val="009B2E34"/>
    <w:rsid w:val="009B3B2D"/>
    <w:rsid w:val="009B4332"/>
    <w:rsid w:val="009B7B94"/>
    <w:rsid w:val="009C0860"/>
    <w:rsid w:val="009C18CE"/>
    <w:rsid w:val="009C2652"/>
    <w:rsid w:val="009C3A29"/>
    <w:rsid w:val="009D7524"/>
    <w:rsid w:val="009D7547"/>
    <w:rsid w:val="009D760B"/>
    <w:rsid w:val="009D7B6C"/>
    <w:rsid w:val="009E4E80"/>
    <w:rsid w:val="009E555F"/>
    <w:rsid w:val="009E6D1F"/>
    <w:rsid w:val="009E725E"/>
    <w:rsid w:val="009F089E"/>
    <w:rsid w:val="009F3452"/>
    <w:rsid w:val="009F6B39"/>
    <w:rsid w:val="00A22795"/>
    <w:rsid w:val="00A248F5"/>
    <w:rsid w:val="00A2528C"/>
    <w:rsid w:val="00A27A35"/>
    <w:rsid w:val="00A30F9A"/>
    <w:rsid w:val="00A36B27"/>
    <w:rsid w:val="00A36DD4"/>
    <w:rsid w:val="00A433C7"/>
    <w:rsid w:val="00A43BFF"/>
    <w:rsid w:val="00A504EF"/>
    <w:rsid w:val="00A53103"/>
    <w:rsid w:val="00A54118"/>
    <w:rsid w:val="00A552D4"/>
    <w:rsid w:val="00A5574B"/>
    <w:rsid w:val="00A563DB"/>
    <w:rsid w:val="00A57CC8"/>
    <w:rsid w:val="00A62C64"/>
    <w:rsid w:val="00A74260"/>
    <w:rsid w:val="00A7712C"/>
    <w:rsid w:val="00A7774F"/>
    <w:rsid w:val="00A80185"/>
    <w:rsid w:val="00A854A3"/>
    <w:rsid w:val="00A90104"/>
    <w:rsid w:val="00AA0CE0"/>
    <w:rsid w:val="00AA32A7"/>
    <w:rsid w:val="00AA346B"/>
    <w:rsid w:val="00AA3EF8"/>
    <w:rsid w:val="00AA4A03"/>
    <w:rsid w:val="00AA4E38"/>
    <w:rsid w:val="00AB05F0"/>
    <w:rsid w:val="00AB1679"/>
    <w:rsid w:val="00AB7E0F"/>
    <w:rsid w:val="00AC1A54"/>
    <w:rsid w:val="00AC2A2D"/>
    <w:rsid w:val="00AE00CE"/>
    <w:rsid w:val="00AE4DDC"/>
    <w:rsid w:val="00AE6FB2"/>
    <w:rsid w:val="00AE7413"/>
    <w:rsid w:val="00AE7CA1"/>
    <w:rsid w:val="00AF11A9"/>
    <w:rsid w:val="00AF2605"/>
    <w:rsid w:val="00AF4920"/>
    <w:rsid w:val="00AF57C8"/>
    <w:rsid w:val="00AF6689"/>
    <w:rsid w:val="00AF7548"/>
    <w:rsid w:val="00B04CC2"/>
    <w:rsid w:val="00B059E1"/>
    <w:rsid w:val="00B103D1"/>
    <w:rsid w:val="00B15049"/>
    <w:rsid w:val="00B1519F"/>
    <w:rsid w:val="00B2246E"/>
    <w:rsid w:val="00B24457"/>
    <w:rsid w:val="00B27E80"/>
    <w:rsid w:val="00B302B4"/>
    <w:rsid w:val="00B32371"/>
    <w:rsid w:val="00B4383C"/>
    <w:rsid w:val="00B464CE"/>
    <w:rsid w:val="00B52F1D"/>
    <w:rsid w:val="00B54739"/>
    <w:rsid w:val="00B5516F"/>
    <w:rsid w:val="00B65685"/>
    <w:rsid w:val="00B7246D"/>
    <w:rsid w:val="00B72DAA"/>
    <w:rsid w:val="00B807A8"/>
    <w:rsid w:val="00B80D5C"/>
    <w:rsid w:val="00B8485A"/>
    <w:rsid w:val="00B8619A"/>
    <w:rsid w:val="00B86773"/>
    <w:rsid w:val="00B90E79"/>
    <w:rsid w:val="00B91FE3"/>
    <w:rsid w:val="00B92E7E"/>
    <w:rsid w:val="00BA46CA"/>
    <w:rsid w:val="00BB300B"/>
    <w:rsid w:val="00BB612F"/>
    <w:rsid w:val="00BC05E9"/>
    <w:rsid w:val="00BC1FDC"/>
    <w:rsid w:val="00BC236F"/>
    <w:rsid w:val="00BC3DE4"/>
    <w:rsid w:val="00BC52CC"/>
    <w:rsid w:val="00BD4D46"/>
    <w:rsid w:val="00BE230E"/>
    <w:rsid w:val="00BE56B8"/>
    <w:rsid w:val="00BE7FF2"/>
    <w:rsid w:val="00BF123D"/>
    <w:rsid w:val="00BF7C7A"/>
    <w:rsid w:val="00C00F1D"/>
    <w:rsid w:val="00C06BFA"/>
    <w:rsid w:val="00C076D8"/>
    <w:rsid w:val="00C07792"/>
    <w:rsid w:val="00C10161"/>
    <w:rsid w:val="00C124EC"/>
    <w:rsid w:val="00C1255A"/>
    <w:rsid w:val="00C14058"/>
    <w:rsid w:val="00C1409F"/>
    <w:rsid w:val="00C22E9E"/>
    <w:rsid w:val="00C341BE"/>
    <w:rsid w:val="00C419A7"/>
    <w:rsid w:val="00C42736"/>
    <w:rsid w:val="00C433C8"/>
    <w:rsid w:val="00C5036C"/>
    <w:rsid w:val="00C565A6"/>
    <w:rsid w:val="00C61895"/>
    <w:rsid w:val="00C62F1A"/>
    <w:rsid w:val="00C6405C"/>
    <w:rsid w:val="00C642E9"/>
    <w:rsid w:val="00C67D33"/>
    <w:rsid w:val="00C703F3"/>
    <w:rsid w:val="00C70FBF"/>
    <w:rsid w:val="00C76A58"/>
    <w:rsid w:val="00C85952"/>
    <w:rsid w:val="00C861D8"/>
    <w:rsid w:val="00CA537F"/>
    <w:rsid w:val="00CB0E93"/>
    <w:rsid w:val="00CB174F"/>
    <w:rsid w:val="00CB2392"/>
    <w:rsid w:val="00CB27AD"/>
    <w:rsid w:val="00CB2A93"/>
    <w:rsid w:val="00CB5806"/>
    <w:rsid w:val="00CB6AF5"/>
    <w:rsid w:val="00CC4396"/>
    <w:rsid w:val="00CD09E2"/>
    <w:rsid w:val="00CD231E"/>
    <w:rsid w:val="00CE123C"/>
    <w:rsid w:val="00CE202A"/>
    <w:rsid w:val="00CE29D4"/>
    <w:rsid w:val="00CE3D1B"/>
    <w:rsid w:val="00CE5EBF"/>
    <w:rsid w:val="00CE6F91"/>
    <w:rsid w:val="00CF0B71"/>
    <w:rsid w:val="00CF3775"/>
    <w:rsid w:val="00CF6E88"/>
    <w:rsid w:val="00CF7BB3"/>
    <w:rsid w:val="00CF7D3B"/>
    <w:rsid w:val="00D025B5"/>
    <w:rsid w:val="00D03C1A"/>
    <w:rsid w:val="00D0644A"/>
    <w:rsid w:val="00D0739F"/>
    <w:rsid w:val="00D105FF"/>
    <w:rsid w:val="00D138AC"/>
    <w:rsid w:val="00D152A0"/>
    <w:rsid w:val="00D16962"/>
    <w:rsid w:val="00D2224E"/>
    <w:rsid w:val="00D269B2"/>
    <w:rsid w:val="00D27FA6"/>
    <w:rsid w:val="00D411C9"/>
    <w:rsid w:val="00D41407"/>
    <w:rsid w:val="00D46C54"/>
    <w:rsid w:val="00D5177B"/>
    <w:rsid w:val="00D5196A"/>
    <w:rsid w:val="00D719D6"/>
    <w:rsid w:val="00D727B6"/>
    <w:rsid w:val="00D751CF"/>
    <w:rsid w:val="00D765A2"/>
    <w:rsid w:val="00D76F1A"/>
    <w:rsid w:val="00D825A6"/>
    <w:rsid w:val="00D826EB"/>
    <w:rsid w:val="00D82AD3"/>
    <w:rsid w:val="00D83F0B"/>
    <w:rsid w:val="00D91E46"/>
    <w:rsid w:val="00D9638A"/>
    <w:rsid w:val="00D9653E"/>
    <w:rsid w:val="00DA5ED8"/>
    <w:rsid w:val="00DA703E"/>
    <w:rsid w:val="00DB0FFC"/>
    <w:rsid w:val="00DC2E06"/>
    <w:rsid w:val="00DD1111"/>
    <w:rsid w:val="00DD353C"/>
    <w:rsid w:val="00DD7937"/>
    <w:rsid w:val="00DE0E9B"/>
    <w:rsid w:val="00DF0D36"/>
    <w:rsid w:val="00DF1CFA"/>
    <w:rsid w:val="00DF42DF"/>
    <w:rsid w:val="00DF5893"/>
    <w:rsid w:val="00E00320"/>
    <w:rsid w:val="00E01DB2"/>
    <w:rsid w:val="00E0744B"/>
    <w:rsid w:val="00E10FA9"/>
    <w:rsid w:val="00E168D1"/>
    <w:rsid w:val="00E1693A"/>
    <w:rsid w:val="00E17663"/>
    <w:rsid w:val="00E17D34"/>
    <w:rsid w:val="00E24D22"/>
    <w:rsid w:val="00E250D7"/>
    <w:rsid w:val="00E458A4"/>
    <w:rsid w:val="00E6063E"/>
    <w:rsid w:val="00E61F2E"/>
    <w:rsid w:val="00E63BB4"/>
    <w:rsid w:val="00E75277"/>
    <w:rsid w:val="00E83A55"/>
    <w:rsid w:val="00E84DBD"/>
    <w:rsid w:val="00E90295"/>
    <w:rsid w:val="00E950D7"/>
    <w:rsid w:val="00E96289"/>
    <w:rsid w:val="00E96C92"/>
    <w:rsid w:val="00EA6153"/>
    <w:rsid w:val="00EA69AB"/>
    <w:rsid w:val="00EB0023"/>
    <w:rsid w:val="00EB2A52"/>
    <w:rsid w:val="00EB43C5"/>
    <w:rsid w:val="00EB7601"/>
    <w:rsid w:val="00EC5CF8"/>
    <w:rsid w:val="00EC7F28"/>
    <w:rsid w:val="00EC7F74"/>
    <w:rsid w:val="00ED345A"/>
    <w:rsid w:val="00ED5E63"/>
    <w:rsid w:val="00EE2C22"/>
    <w:rsid w:val="00EE59A8"/>
    <w:rsid w:val="00EF09A9"/>
    <w:rsid w:val="00EF109C"/>
    <w:rsid w:val="00EF3A39"/>
    <w:rsid w:val="00EF59DD"/>
    <w:rsid w:val="00EF6061"/>
    <w:rsid w:val="00F01BA7"/>
    <w:rsid w:val="00F079EE"/>
    <w:rsid w:val="00F1016C"/>
    <w:rsid w:val="00F101EC"/>
    <w:rsid w:val="00F10B1E"/>
    <w:rsid w:val="00F114BE"/>
    <w:rsid w:val="00F1175B"/>
    <w:rsid w:val="00F11F0B"/>
    <w:rsid w:val="00F12F8C"/>
    <w:rsid w:val="00F17713"/>
    <w:rsid w:val="00F20A4F"/>
    <w:rsid w:val="00F3099D"/>
    <w:rsid w:val="00F314D1"/>
    <w:rsid w:val="00F320E1"/>
    <w:rsid w:val="00F419B4"/>
    <w:rsid w:val="00F423EF"/>
    <w:rsid w:val="00F429B9"/>
    <w:rsid w:val="00F43994"/>
    <w:rsid w:val="00F44D3E"/>
    <w:rsid w:val="00F45E4E"/>
    <w:rsid w:val="00F50B3E"/>
    <w:rsid w:val="00F51146"/>
    <w:rsid w:val="00F512CF"/>
    <w:rsid w:val="00F514D9"/>
    <w:rsid w:val="00F5715E"/>
    <w:rsid w:val="00F63DF5"/>
    <w:rsid w:val="00F66CDE"/>
    <w:rsid w:val="00F7178A"/>
    <w:rsid w:val="00F75605"/>
    <w:rsid w:val="00F7765B"/>
    <w:rsid w:val="00F835F1"/>
    <w:rsid w:val="00F841F2"/>
    <w:rsid w:val="00F922EF"/>
    <w:rsid w:val="00F93B40"/>
    <w:rsid w:val="00F9434C"/>
    <w:rsid w:val="00F94987"/>
    <w:rsid w:val="00FB2DAA"/>
    <w:rsid w:val="00FB6283"/>
    <w:rsid w:val="00FB6EB0"/>
    <w:rsid w:val="00FC0BE7"/>
    <w:rsid w:val="00FC55C7"/>
    <w:rsid w:val="00FD0859"/>
    <w:rsid w:val="00FD4880"/>
    <w:rsid w:val="00FD664A"/>
    <w:rsid w:val="00FF066D"/>
    <w:rsid w:val="00FF1FAE"/>
    <w:rsid w:val="00FF5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7"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5D"/>
    <w:pPr>
      <w:jc w:val="both"/>
    </w:pPr>
    <w:rPr>
      <w:rFonts w:eastAsia="Times New Roman"/>
      <w:sz w:val="24"/>
      <w:szCs w:val="24"/>
      <w:lang w:eastAsia="en-US"/>
    </w:rPr>
  </w:style>
  <w:style w:type="paragraph" w:styleId="Heading1">
    <w:name w:val="heading 1"/>
    <w:basedOn w:val="Normal"/>
    <w:next w:val="Normal"/>
    <w:link w:val="Heading1Char"/>
    <w:qFormat/>
    <w:rsid w:val="0095055D"/>
    <w:pPr>
      <w:keepNext/>
      <w:spacing w:before="240" w:after="60"/>
      <w:outlineLvl w:val="0"/>
    </w:pPr>
    <w:rPr>
      <w:rFonts w:ascii="Cambria" w:hAnsi="Cambria"/>
      <w:b/>
      <w:bCs/>
      <w:i/>
      <w:caps/>
      <w:kern w:val="32"/>
      <w:sz w:val="32"/>
      <w:szCs w:val="32"/>
    </w:rPr>
  </w:style>
  <w:style w:type="paragraph" w:styleId="Heading2">
    <w:name w:val="heading 2"/>
    <w:basedOn w:val="Normal"/>
    <w:link w:val="Heading2Char"/>
    <w:qFormat/>
    <w:rsid w:val="0095055D"/>
    <w:pPr>
      <w:keepNext/>
      <w:spacing w:before="100" w:beforeAutospacing="1" w:after="100" w:afterAutospacing="1"/>
      <w:ind w:left="992" w:hanging="992"/>
      <w:outlineLvl w:val="1"/>
    </w:pPr>
    <w:rPr>
      <w:rFonts w:ascii="Cambria" w:hAnsi="Cambria"/>
      <w:bCs/>
      <w:i/>
      <w:sz w:val="32"/>
      <w:szCs w:val="32"/>
      <w:lang w:eastAsia="en-AU"/>
    </w:rPr>
  </w:style>
  <w:style w:type="paragraph" w:styleId="Heading3">
    <w:name w:val="heading 3"/>
    <w:basedOn w:val="Heading6"/>
    <w:link w:val="Heading3Char"/>
    <w:uiPriority w:val="9"/>
    <w:qFormat/>
    <w:rsid w:val="0095055D"/>
    <w:pPr>
      <w:spacing w:after="120"/>
      <w:outlineLvl w:val="2"/>
    </w:pPr>
    <w:rPr>
      <w:smallCaps/>
      <w:sz w:val="28"/>
    </w:rPr>
  </w:style>
  <w:style w:type="paragraph" w:styleId="Heading4">
    <w:name w:val="heading 4"/>
    <w:basedOn w:val="Normal"/>
    <w:next w:val="Normal"/>
    <w:link w:val="Heading4Char"/>
    <w:unhideWhenUsed/>
    <w:qFormat/>
    <w:rsid w:val="0095055D"/>
    <w:pPr>
      <w:keepNext/>
      <w:keepLines/>
      <w:spacing w:before="240" w:after="120"/>
      <w:outlineLvl w:val="3"/>
    </w:pPr>
    <w:rPr>
      <w:b/>
      <w:i/>
      <w:iCs/>
    </w:rPr>
  </w:style>
  <w:style w:type="paragraph" w:styleId="Heading5">
    <w:name w:val="heading 5"/>
    <w:basedOn w:val="Normal"/>
    <w:next w:val="Normal"/>
    <w:link w:val="Heading5Char"/>
    <w:qFormat/>
    <w:rsid w:val="0095055D"/>
    <w:pPr>
      <w:keepNext/>
      <w:spacing w:before="240" w:after="60"/>
      <w:outlineLvl w:val="4"/>
    </w:pPr>
    <w:rPr>
      <w:b/>
      <w:bCs/>
      <w:i/>
      <w:iCs/>
      <w:szCs w:val="26"/>
    </w:rPr>
  </w:style>
  <w:style w:type="paragraph" w:styleId="Heading6">
    <w:name w:val="heading 6"/>
    <w:basedOn w:val="Normal"/>
    <w:next w:val="Normal"/>
    <w:link w:val="Heading6Char"/>
    <w:rsid w:val="0095055D"/>
    <w:pPr>
      <w:keepNext/>
      <w:spacing w:before="240"/>
      <w:outlineLvl w:val="5"/>
    </w:pPr>
    <w:rPr>
      <w:b/>
      <w:bCs/>
      <w:sz w:val="22"/>
      <w:szCs w:val="22"/>
    </w:rPr>
  </w:style>
  <w:style w:type="paragraph" w:styleId="Heading9">
    <w:name w:val="heading 9"/>
    <w:aliases w:val="Page number"/>
    <w:basedOn w:val="Normal"/>
    <w:next w:val="Normal"/>
    <w:link w:val="Heading9Char"/>
    <w:rsid w:val="0095055D"/>
    <w:pPr>
      <w:numPr>
        <w:numId w:val="1"/>
      </w:numPr>
      <w:spacing w:before="240" w:after="60"/>
      <w:jc w:val="righ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055D"/>
    <w:rPr>
      <w:rFonts w:ascii="Cambria" w:eastAsia="Times New Roman" w:hAnsi="Cambria" w:cs="Times New Roman"/>
      <w:b/>
      <w:bCs/>
      <w:i/>
      <w:caps/>
      <w:kern w:val="32"/>
      <w:sz w:val="32"/>
      <w:szCs w:val="32"/>
    </w:rPr>
  </w:style>
  <w:style w:type="character" w:customStyle="1" w:styleId="Heading2Char">
    <w:name w:val="Heading 2 Char"/>
    <w:link w:val="Heading2"/>
    <w:rsid w:val="0095055D"/>
    <w:rPr>
      <w:rFonts w:ascii="Cambria" w:eastAsia="Times New Roman" w:hAnsi="Cambria" w:cs="Times New Roman"/>
      <w:bCs/>
      <w:i/>
      <w:sz w:val="32"/>
      <w:szCs w:val="32"/>
      <w:lang w:eastAsia="en-AU"/>
    </w:rPr>
  </w:style>
  <w:style w:type="character" w:customStyle="1" w:styleId="Heading3Char">
    <w:name w:val="Heading 3 Char"/>
    <w:link w:val="Heading3"/>
    <w:uiPriority w:val="9"/>
    <w:rsid w:val="0095055D"/>
    <w:rPr>
      <w:rFonts w:ascii="Calibri" w:eastAsia="Times New Roman" w:hAnsi="Calibri" w:cs="Times New Roman"/>
      <w:b/>
      <w:bCs/>
      <w:smallCaps/>
      <w:sz w:val="28"/>
    </w:rPr>
  </w:style>
  <w:style w:type="character" w:customStyle="1" w:styleId="Heading4Char">
    <w:name w:val="Heading 4 Char"/>
    <w:link w:val="Heading4"/>
    <w:rsid w:val="0095055D"/>
    <w:rPr>
      <w:rFonts w:ascii="Calibri" w:eastAsia="Times New Roman" w:hAnsi="Calibri" w:cs="Times New Roman"/>
      <w:b/>
      <w:i/>
      <w:iCs/>
      <w:sz w:val="24"/>
      <w:szCs w:val="24"/>
    </w:rPr>
  </w:style>
  <w:style w:type="character" w:customStyle="1" w:styleId="Heading5Char">
    <w:name w:val="Heading 5 Char"/>
    <w:link w:val="Heading5"/>
    <w:rsid w:val="0095055D"/>
    <w:rPr>
      <w:rFonts w:ascii="Calibri" w:eastAsia="Times New Roman" w:hAnsi="Calibri" w:cs="Times New Roman"/>
      <w:b/>
      <w:bCs/>
      <w:i/>
      <w:iCs/>
      <w:sz w:val="24"/>
      <w:szCs w:val="26"/>
    </w:rPr>
  </w:style>
  <w:style w:type="character" w:customStyle="1" w:styleId="Heading6Char">
    <w:name w:val="Heading 6 Char"/>
    <w:link w:val="Heading6"/>
    <w:rsid w:val="0095055D"/>
    <w:rPr>
      <w:rFonts w:ascii="Calibri" w:eastAsia="Times New Roman" w:hAnsi="Calibri" w:cs="Times New Roman"/>
      <w:b/>
      <w:bCs/>
    </w:rPr>
  </w:style>
  <w:style w:type="character" w:customStyle="1" w:styleId="Heading9Char">
    <w:name w:val="Heading 9 Char"/>
    <w:aliases w:val="Page number Char"/>
    <w:link w:val="Heading9"/>
    <w:rsid w:val="0095055D"/>
    <w:rPr>
      <w:rFonts w:ascii="Cambria" w:eastAsia="Times New Roman" w:hAnsi="Cambria"/>
      <w:sz w:val="22"/>
      <w:szCs w:val="22"/>
      <w:lang w:eastAsia="en-US"/>
    </w:rPr>
  </w:style>
  <w:style w:type="paragraph" w:styleId="ListParagraph">
    <w:name w:val="List Paragraph"/>
    <w:aliases w:val="BulletPoints"/>
    <w:basedOn w:val="Normal"/>
    <w:link w:val="ListParagraphChar"/>
    <w:uiPriority w:val="34"/>
    <w:qFormat/>
    <w:rsid w:val="0095055D"/>
    <w:pPr>
      <w:ind w:left="1004" w:hanging="720"/>
      <w:contextualSpacing/>
    </w:pPr>
  </w:style>
  <w:style w:type="character" w:customStyle="1" w:styleId="ListParagraphChar">
    <w:name w:val="List Paragraph Char"/>
    <w:aliases w:val="BulletPoints Char"/>
    <w:link w:val="ListParagraph"/>
    <w:uiPriority w:val="34"/>
    <w:locked/>
    <w:rsid w:val="0095055D"/>
    <w:rPr>
      <w:rFonts w:ascii="Calibri" w:eastAsia="Times New Roman" w:hAnsi="Calibri" w:cs="Times New Roman"/>
      <w:sz w:val="24"/>
      <w:szCs w:val="24"/>
    </w:rPr>
  </w:style>
  <w:style w:type="paragraph" w:styleId="FootnoteText">
    <w:name w:val="footnote text"/>
    <w:aliases w:val="Footnote Text Char1,Footnote Text Char Char,Footnote Text Char2,Footnote Text Char Char1"/>
    <w:basedOn w:val="Normal"/>
    <w:link w:val="FootnoteTextChar"/>
    <w:rsid w:val="0095055D"/>
    <w:rPr>
      <w:sz w:val="20"/>
      <w:szCs w:val="20"/>
    </w:rPr>
  </w:style>
  <w:style w:type="character" w:customStyle="1" w:styleId="FootnoteTextChar">
    <w:name w:val="Footnote Text Char"/>
    <w:aliases w:val="Footnote Text Char1 Char,Footnote Text Char Char Char,Footnote Text Char2 Char,Footnote Text Char Char1 Char"/>
    <w:link w:val="FootnoteText"/>
    <w:rsid w:val="0095055D"/>
    <w:rPr>
      <w:rFonts w:ascii="Calibri" w:eastAsia="Times New Roman" w:hAnsi="Calibri" w:cs="Times New Roman"/>
      <w:sz w:val="20"/>
      <w:szCs w:val="20"/>
    </w:rPr>
  </w:style>
  <w:style w:type="character" w:styleId="FootnoteReference">
    <w:name w:val="footnote reference"/>
    <w:uiPriority w:val="99"/>
    <w:rsid w:val="0095055D"/>
    <w:rPr>
      <w:vertAlign w:val="superscript"/>
    </w:rPr>
  </w:style>
  <w:style w:type="character" w:styleId="CommentReference">
    <w:name w:val="annotation reference"/>
    <w:aliases w:val="Table Title"/>
    <w:uiPriority w:val="99"/>
    <w:qFormat/>
    <w:rsid w:val="0095055D"/>
    <w:rPr>
      <w:rFonts w:ascii="Arial Narrow" w:hAnsi="Arial Narrow"/>
      <w:b/>
      <w:sz w:val="20"/>
      <w:szCs w:val="16"/>
    </w:rPr>
  </w:style>
  <w:style w:type="paragraph" w:styleId="CommentText">
    <w:name w:val="annotation text"/>
    <w:basedOn w:val="Normal"/>
    <w:link w:val="CommentTextChar"/>
    <w:rsid w:val="0095055D"/>
    <w:rPr>
      <w:sz w:val="20"/>
      <w:szCs w:val="20"/>
    </w:rPr>
  </w:style>
  <w:style w:type="character" w:customStyle="1" w:styleId="CommentTextChar">
    <w:name w:val="Comment Text Char"/>
    <w:link w:val="CommentText"/>
    <w:rsid w:val="0095055D"/>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95055D"/>
    <w:rPr>
      <w:b/>
      <w:bCs/>
    </w:rPr>
  </w:style>
  <w:style w:type="character" w:customStyle="1" w:styleId="CommentSubjectChar">
    <w:name w:val="Comment Subject Char"/>
    <w:link w:val="CommentSubject"/>
    <w:rsid w:val="0095055D"/>
    <w:rPr>
      <w:rFonts w:ascii="Calibri" w:eastAsia="Times New Roman" w:hAnsi="Calibri" w:cs="Times New Roman"/>
      <w:b/>
      <w:bCs/>
      <w:sz w:val="20"/>
      <w:szCs w:val="20"/>
    </w:rPr>
  </w:style>
  <w:style w:type="paragraph" w:styleId="BalloonText">
    <w:name w:val="Balloon Text"/>
    <w:basedOn w:val="Normal"/>
    <w:link w:val="BalloonTextChar"/>
    <w:uiPriority w:val="99"/>
    <w:rsid w:val="0095055D"/>
    <w:rPr>
      <w:rFonts w:ascii="Tahoma" w:hAnsi="Tahoma" w:cs="Tahoma"/>
      <w:sz w:val="16"/>
      <w:szCs w:val="16"/>
    </w:rPr>
  </w:style>
  <w:style w:type="character" w:customStyle="1" w:styleId="BalloonTextChar">
    <w:name w:val="Balloon Text Char"/>
    <w:link w:val="BalloonText"/>
    <w:uiPriority w:val="99"/>
    <w:rsid w:val="0095055D"/>
    <w:rPr>
      <w:rFonts w:ascii="Tahoma" w:eastAsia="Times New Roman" w:hAnsi="Tahoma" w:cs="Tahoma"/>
      <w:sz w:val="16"/>
      <w:szCs w:val="16"/>
    </w:rPr>
  </w:style>
  <w:style w:type="paragraph" w:customStyle="1" w:styleId="Default">
    <w:name w:val="Default"/>
    <w:rsid w:val="0095055D"/>
    <w:pPr>
      <w:autoSpaceDE w:val="0"/>
      <w:autoSpaceDN w:val="0"/>
      <w:adjustRightInd w:val="0"/>
    </w:pPr>
    <w:rPr>
      <w:rFonts w:eastAsia="Times New Roman" w:cs="Calibri"/>
      <w:color w:val="000000"/>
      <w:sz w:val="24"/>
      <w:szCs w:val="24"/>
    </w:rPr>
  </w:style>
  <w:style w:type="paragraph" w:customStyle="1" w:styleId="CM18">
    <w:name w:val="CM18"/>
    <w:basedOn w:val="Default"/>
    <w:next w:val="Default"/>
    <w:uiPriority w:val="99"/>
    <w:rsid w:val="0095055D"/>
    <w:pPr>
      <w:widowControl w:val="0"/>
    </w:pPr>
    <w:rPr>
      <w:rFonts w:ascii="Arial" w:hAnsi="Arial" w:cs="Arial"/>
      <w:color w:val="auto"/>
    </w:rPr>
  </w:style>
  <w:style w:type="paragraph" w:styleId="Header">
    <w:name w:val="header"/>
    <w:aliases w:val="Page Header,Header title,he=header,cntr/bld"/>
    <w:basedOn w:val="Normal"/>
    <w:link w:val="HeaderChar"/>
    <w:uiPriority w:val="99"/>
    <w:rsid w:val="0095055D"/>
    <w:pPr>
      <w:tabs>
        <w:tab w:val="center" w:pos="4513"/>
        <w:tab w:val="right" w:pos="9026"/>
      </w:tabs>
    </w:pPr>
  </w:style>
  <w:style w:type="character" w:customStyle="1" w:styleId="HeaderChar">
    <w:name w:val="Header Char"/>
    <w:aliases w:val="Page Header Char,Header title Char,he=header Char,cntr/bld Char"/>
    <w:link w:val="Header"/>
    <w:uiPriority w:val="99"/>
    <w:rsid w:val="0095055D"/>
    <w:rPr>
      <w:rFonts w:ascii="Calibri" w:eastAsia="Times New Roman" w:hAnsi="Calibri" w:cs="Times New Roman"/>
      <w:sz w:val="24"/>
      <w:szCs w:val="24"/>
    </w:rPr>
  </w:style>
  <w:style w:type="paragraph" w:styleId="Footer">
    <w:name w:val="footer"/>
    <w:aliases w:val="Page Footer"/>
    <w:basedOn w:val="Normal"/>
    <w:link w:val="FooterChar"/>
    <w:uiPriority w:val="99"/>
    <w:rsid w:val="0095055D"/>
    <w:pPr>
      <w:tabs>
        <w:tab w:val="center" w:pos="4513"/>
        <w:tab w:val="right" w:pos="9026"/>
      </w:tabs>
    </w:pPr>
  </w:style>
  <w:style w:type="character" w:customStyle="1" w:styleId="FooterChar">
    <w:name w:val="Footer Char"/>
    <w:aliases w:val="Page Footer Char"/>
    <w:link w:val="Footer"/>
    <w:uiPriority w:val="99"/>
    <w:rsid w:val="0095055D"/>
    <w:rPr>
      <w:rFonts w:ascii="Calibri" w:eastAsia="Times New Roman" w:hAnsi="Calibri" w:cs="Times New Roman"/>
      <w:sz w:val="24"/>
      <w:szCs w:val="24"/>
    </w:rPr>
  </w:style>
  <w:style w:type="paragraph" w:customStyle="1" w:styleId="Tabletext">
    <w:name w:val="Table text"/>
    <w:basedOn w:val="Normal"/>
    <w:link w:val="TabletextChar1"/>
    <w:rsid w:val="0095055D"/>
    <w:pPr>
      <w:spacing w:after="120"/>
    </w:pPr>
    <w:rPr>
      <w:rFonts w:ascii="Arial" w:hAnsi="Arial"/>
      <w:sz w:val="20"/>
      <w:szCs w:val="20"/>
    </w:rPr>
  </w:style>
  <w:style w:type="character" w:customStyle="1" w:styleId="TabletextChar1">
    <w:name w:val="Table text Char1"/>
    <w:link w:val="Tabletext"/>
    <w:rsid w:val="0095055D"/>
    <w:rPr>
      <w:rFonts w:ascii="Arial" w:eastAsia="Times New Roman" w:hAnsi="Arial" w:cs="Times New Roman"/>
      <w:sz w:val="20"/>
      <w:szCs w:val="20"/>
    </w:rPr>
  </w:style>
  <w:style w:type="paragraph" w:styleId="BodyText3">
    <w:name w:val="Body Text 3"/>
    <w:basedOn w:val="Normal"/>
    <w:link w:val="BodyText3Char"/>
    <w:rsid w:val="0095055D"/>
    <w:pPr>
      <w:widowControl w:val="0"/>
    </w:pPr>
    <w:rPr>
      <w:snapToGrid w:val="0"/>
      <w:color w:val="0000FF"/>
      <w:szCs w:val="20"/>
    </w:rPr>
  </w:style>
  <w:style w:type="character" w:customStyle="1" w:styleId="BodyText3Char">
    <w:name w:val="Body Text 3 Char"/>
    <w:link w:val="BodyText3"/>
    <w:rsid w:val="0095055D"/>
    <w:rPr>
      <w:rFonts w:ascii="Calibri" w:eastAsia="Times New Roman" w:hAnsi="Calibri" w:cs="Times New Roman"/>
      <w:snapToGrid w:val="0"/>
      <w:color w:val="0000FF"/>
      <w:sz w:val="24"/>
      <w:szCs w:val="20"/>
    </w:rPr>
  </w:style>
  <w:style w:type="paragraph" w:customStyle="1" w:styleId="TableNotes">
    <w:name w:val="Table Notes"/>
    <w:basedOn w:val="Normal"/>
    <w:next w:val="Normal"/>
    <w:link w:val="TableNotesChar"/>
    <w:rsid w:val="0095055D"/>
    <w:pPr>
      <w:tabs>
        <w:tab w:val="left" w:pos="1134"/>
      </w:tabs>
      <w:ind w:left="1134" w:hanging="1134"/>
    </w:pPr>
    <w:rPr>
      <w:rFonts w:ascii="Verdana" w:eastAsia="SimSun" w:hAnsi="Verdana" w:cs="Arial"/>
      <w:sz w:val="16"/>
      <w:szCs w:val="16"/>
      <w:lang w:val="fi-FI" w:eastAsia="zh-CN"/>
    </w:rPr>
  </w:style>
  <w:style w:type="character" w:customStyle="1" w:styleId="TableNotesChar">
    <w:name w:val="Table Notes Char"/>
    <w:link w:val="TableNotes"/>
    <w:rsid w:val="0095055D"/>
    <w:rPr>
      <w:rFonts w:ascii="Verdana" w:eastAsia="SimSun" w:hAnsi="Verdana" w:cs="Arial"/>
      <w:sz w:val="16"/>
      <w:szCs w:val="16"/>
      <w:lang w:val="fi-FI" w:eastAsia="zh-CN"/>
    </w:rPr>
  </w:style>
  <w:style w:type="paragraph" w:customStyle="1" w:styleId="Tablecaption">
    <w:name w:val="Table caption"/>
    <w:basedOn w:val="Caption"/>
    <w:link w:val="TablecaptionChar"/>
    <w:rsid w:val="0095055D"/>
    <w:pPr>
      <w:keepNext/>
      <w:keepLines/>
      <w:widowControl w:val="0"/>
      <w:tabs>
        <w:tab w:val="left" w:pos="1700"/>
      </w:tabs>
      <w:adjustRightInd w:val="0"/>
      <w:spacing w:before="240"/>
      <w:textAlignment w:val="baseline"/>
    </w:pPr>
    <w:rPr>
      <w:rFonts w:ascii="Verdana" w:eastAsia="SimSun" w:hAnsi="Verdana"/>
      <w:lang w:eastAsia="zh-CN"/>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iPriority w:val="7"/>
    <w:rsid w:val="0095055D"/>
    <w:rPr>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uiPriority w:val="7"/>
    <w:rsid w:val="0095055D"/>
    <w:rPr>
      <w:rFonts w:ascii="Calibri" w:eastAsia="Times New Roman" w:hAnsi="Calibri" w:cs="Times New Roman"/>
      <w:b/>
      <w:bCs/>
      <w:sz w:val="20"/>
      <w:szCs w:val="20"/>
    </w:rPr>
  </w:style>
  <w:style w:type="character" w:customStyle="1" w:styleId="TablecaptionChar">
    <w:name w:val="Table caption Char"/>
    <w:link w:val="Tablecaption"/>
    <w:rsid w:val="0095055D"/>
    <w:rPr>
      <w:rFonts w:ascii="Verdana" w:eastAsia="SimSun" w:hAnsi="Verdana" w:cs="Times New Roman"/>
      <w:b/>
      <w:bCs/>
      <w:sz w:val="20"/>
      <w:szCs w:val="20"/>
      <w:lang w:eastAsia="zh-CN"/>
    </w:rPr>
  </w:style>
  <w:style w:type="character" w:styleId="Hyperlink">
    <w:name w:val="Hyperlink"/>
    <w:uiPriority w:val="99"/>
    <w:rsid w:val="0095055D"/>
    <w:rPr>
      <w:color w:val="0000FF"/>
      <w:u w:val="single"/>
    </w:rPr>
  </w:style>
  <w:style w:type="character" w:styleId="FollowedHyperlink">
    <w:name w:val="FollowedHyperlink"/>
    <w:rsid w:val="0095055D"/>
    <w:rPr>
      <w:color w:val="800080"/>
      <w:u w:val="single"/>
    </w:rPr>
  </w:style>
  <w:style w:type="table" w:styleId="TableGrid">
    <w:name w:val="Table Grid"/>
    <w:aliases w:val="Table Gridbeth,Summary box"/>
    <w:basedOn w:val="TableNormal"/>
    <w:uiPriority w:val="39"/>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rsid w:val="0095055D"/>
    <w:rPr>
      <w:rFonts w:ascii="Cambria" w:hAnsi="Cambria"/>
      <w:i/>
      <w:iCs/>
      <w:sz w:val="28"/>
      <w:szCs w:val="28"/>
    </w:rPr>
  </w:style>
  <w:style w:type="paragraph" w:customStyle="1" w:styleId="TableText0">
    <w:name w:val="Table Text"/>
    <w:basedOn w:val="Normal"/>
    <w:link w:val="TableTextChar"/>
    <w:qFormat/>
    <w:rsid w:val="0095055D"/>
    <w:pPr>
      <w:keepNext/>
    </w:pPr>
    <w:rPr>
      <w:rFonts w:ascii="Arial Narrow" w:hAnsi="Arial Narrow"/>
      <w:sz w:val="20"/>
      <w:szCs w:val="20"/>
    </w:rPr>
  </w:style>
  <w:style w:type="character" w:customStyle="1" w:styleId="TableTextChar">
    <w:name w:val="Table Text Char"/>
    <w:link w:val="TableText0"/>
    <w:rsid w:val="0095055D"/>
    <w:rPr>
      <w:rFonts w:ascii="Arial Narrow" w:eastAsia="Times New Roman" w:hAnsi="Arial Narrow" w:cs="Times New Roman"/>
      <w:sz w:val="20"/>
      <w:szCs w:val="20"/>
    </w:rPr>
  </w:style>
  <w:style w:type="character" w:styleId="IntenseReference">
    <w:name w:val="Intense Reference"/>
    <w:uiPriority w:val="32"/>
    <w:rsid w:val="0095055D"/>
    <w:rPr>
      <w:b/>
      <w:bCs/>
      <w:smallCaps/>
      <w:color w:val="C0504D"/>
      <w:spacing w:val="5"/>
      <w:u w:val="single"/>
    </w:rPr>
  </w:style>
  <w:style w:type="paragraph" w:styleId="TOCHeading">
    <w:name w:val="TOC Heading"/>
    <w:basedOn w:val="Heading1"/>
    <w:next w:val="Normal"/>
    <w:uiPriority w:val="39"/>
    <w:qFormat/>
    <w:rsid w:val="0095055D"/>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qFormat/>
    <w:rsid w:val="0095055D"/>
    <w:pPr>
      <w:tabs>
        <w:tab w:val="right" w:leader="dot" w:pos="8303"/>
      </w:tabs>
    </w:pPr>
    <w:rPr>
      <w:b/>
      <w:noProof/>
    </w:rPr>
  </w:style>
  <w:style w:type="paragraph" w:styleId="TOC2">
    <w:name w:val="toc 2"/>
    <w:basedOn w:val="Normal"/>
    <w:next w:val="Normal"/>
    <w:autoRedefine/>
    <w:uiPriority w:val="39"/>
    <w:qFormat/>
    <w:rsid w:val="0095055D"/>
    <w:pPr>
      <w:tabs>
        <w:tab w:val="left" w:pos="873"/>
        <w:tab w:val="left" w:pos="1100"/>
        <w:tab w:val="right" w:leader="dot" w:pos="8303"/>
      </w:tabs>
      <w:ind w:left="873" w:hanging="635"/>
    </w:pPr>
  </w:style>
  <w:style w:type="paragraph" w:styleId="TOC3">
    <w:name w:val="toc 3"/>
    <w:basedOn w:val="Normal"/>
    <w:next w:val="Normal"/>
    <w:autoRedefine/>
    <w:uiPriority w:val="39"/>
    <w:unhideWhenUsed/>
    <w:qFormat/>
    <w:rsid w:val="0095055D"/>
    <w:pPr>
      <w:tabs>
        <w:tab w:val="left" w:pos="1320"/>
        <w:tab w:val="right" w:leader="dot" w:pos="8303"/>
      </w:tabs>
      <w:ind w:left="873"/>
      <w:contextualSpacing/>
    </w:pPr>
    <w:rPr>
      <w:sz w:val="22"/>
      <w:szCs w:val="22"/>
      <w:lang w:val="en-US"/>
    </w:rPr>
  </w:style>
  <w:style w:type="paragraph" w:customStyle="1" w:styleId="Style1">
    <w:name w:val="Style1"/>
    <w:basedOn w:val="Heading2"/>
    <w:link w:val="Style1Char"/>
    <w:rsid w:val="0095055D"/>
    <w:rPr>
      <w:color w:val="000000"/>
      <w:sz w:val="40"/>
      <w:szCs w:val="40"/>
    </w:rPr>
  </w:style>
  <w:style w:type="character" w:customStyle="1" w:styleId="Style1Char">
    <w:name w:val="Style1 Char"/>
    <w:link w:val="Style1"/>
    <w:rsid w:val="0095055D"/>
    <w:rPr>
      <w:rFonts w:ascii="Cambria" w:eastAsia="Times New Roman" w:hAnsi="Cambria" w:cs="Times New Roman"/>
      <w:bCs/>
      <w:i/>
      <w:color w:val="000000"/>
      <w:sz w:val="40"/>
      <w:szCs w:val="40"/>
      <w:lang w:eastAsia="en-AU"/>
    </w:rPr>
  </w:style>
  <w:style w:type="paragraph" w:styleId="BodyText">
    <w:name w:val="Body Text"/>
    <w:basedOn w:val="Normal"/>
    <w:link w:val="BodyTextChar"/>
    <w:rsid w:val="0095055D"/>
    <w:pPr>
      <w:spacing w:after="120"/>
    </w:pPr>
  </w:style>
  <w:style w:type="character" w:customStyle="1" w:styleId="BodyTextChar">
    <w:name w:val="Body Text Char"/>
    <w:link w:val="BodyText"/>
    <w:rsid w:val="0095055D"/>
    <w:rPr>
      <w:rFonts w:ascii="Calibri" w:eastAsia="Times New Roman" w:hAnsi="Calibri" w:cs="Times New Roman"/>
      <w:sz w:val="24"/>
      <w:szCs w:val="24"/>
    </w:rPr>
  </w:style>
  <w:style w:type="paragraph" w:styleId="BodyText2">
    <w:name w:val="Body Text 2"/>
    <w:basedOn w:val="Normal"/>
    <w:link w:val="BodyText2Char"/>
    <w:rsid w:val="0095055D"/>
    <w:pPr>
      <w:spacing w:after="120" w:line="480" w:lineRule="auto"/>
    </w:pPr>
  </w:style>
  <w:style w:type="character" w:customStyle="1" w:styleId="BodyText2Char">
    <w:name w:val="Body Text 2 Char"/>
    <w:link w:val="BodyText2"/>
    <w:rsid w:val="0095055D"/>
    <w:rPr>
      <w:rFonts w:ascii="Calibri" w:eastAsia="Times New Roman" w:hAnsi="Calibri" w:cs="Times New Roman"/>
      <w:sz w:val="24"/>
      <w:szCs w:val="24"/>
    </w:rPr>
  </w:style>
  <w:style w:type="paragraph" w:styleId="BodyTextIndent">
    <w:name w:val="Body Text Indent"/>
    <w:basedOn w:val="Normal"/>
    <w:link w:val="BodyTextIndentChar"/>
    <w:rsid w:val="0095055D"/>
    <w:pPr>
      <w:spacing w:after="120"/>
      <w:ind w:left="283"/>
    </w:pPr>
  </w:style>
  <w:style w:type="character" w:customStyle="1" w:styleId="BodyTextIndentChar">
    <w:name w:val="Body Text Indent Char"/>
    <w:link w:val="BodyTextIndent"/>
    <w:rsid w:val="0095055D"/>
    <w:rPr>
      <w:rFonts w:ascii="Calibri" w:eastAsia="Times New Roman" w:hAnsi="Calibri" w:cs="Times New Roman"/>
      <w:sz w:val="24"/>
      <w:szCs w:val="24"/>
    </w:rPr>
  </w:style>
  <w:style w:type="paragraph" w:styleId="NormalWeb">
    <w:name w:val="Normal (Web)"/>
    <w:basedOn w:val="Normal"/>
    <w:uiPriority w:val="99"/>
    <w:rsid w:val="0095055D"/>
    <w:pPr>
      <w:spacing w:line="360" w:lineRule="auto"/>
    </w:pPr>
    <w:rPr>
      <w:rFonts w:ascii="Times New Roman" w:hAnsi="Times New Roman"/>
    </w:rPr>
  </w:style>
  <w:style w:type="paragraph" w:customStyle="1" w:styleId="TableText1">
    <w:name w:val="TableText"/>
    <w:basedOn w:val="Normal"/>
    <w:link w:val="TableTextChar0"/>
    <w:rsid w:val="0095055D"/>
    <w:pPr>
      <w:keepNext/>
      <w:spacing w:before="40" w:after="40"/>
    </w:pPr>
    <w:rPr>
      <w:rFonts w:ascii="Arial Narrow" w:hAnsi="Arial Narrow" w:cs="Arial Narrow"/>
      <w:sz w:val="20"/>
      <w:szCs w:val="20"/>
    </w:rPr>
  </w:style>
  <w:style w:type="character" w:customStyle="1" w:styleId="TableTextChar0">
    <w:name w:val="TableText Char"/>
    <w:link w:val="TableText1"/>
    <w:uiPriority w:val="99"/>
    <w:rsid w:val="0095055D"/>
    <w:rPr>
      <w:rFonts w:ascii="Arial Narrow" w:eastAsia="Times New Roman" w:hAnsi="Arial Narrow" w:cs="Arial Narrow"/>
      <w:sz w:val="20"/>
      <w:szCs w:val="20"/>
    </w:rPr>
  </w:style>
  <w:style w:type="paragraph" w:styleId="Date">
    <w:name w:val="Date"/>
    <w:basedOn w:val="Normal"/>
    <w:next w:val="Normal"/>
    <w:link w:val="DateChar"/>
    <w:rsid w:val="0095055D"/>
    <w:pPr>
      <w:spacing w:line="360" w:lineRule="auto"/>
    </w:pPr>
    <w:rPr>
      <w:rFonts w:ascii="Times New Roman" w:hAnsi="Times New Roman"/>
      <w:sz w:val="22"/>
      <w:szCs w:val="23"/>
    </w:rPr>
  </w:style>
  <w:style w:type="character" w:customStyle="1" w:styleId="DateChar">
    <w:name w:val="Date Char"/>
    <w:link w:val="Date"/>
    <w:rsid w:val="0095055D"/>
    <w:rPr>
      <w:rFonts w:ascii="Times New Roman" w:eastAsia="Times New Roman" w:hAnsi="Times New Roman" w:cs="Times New Roman"/>
      <w:szCs w:val="23"/>
    </w:rPr>
  </w:style>
  <w:style w:type="paragraph" w:customStyle="1" w:styleId="Table">
    <w:name w:val="Table"/>
    <w:basedOn w:val="Normal"/>
    <w:link w:val="TableChar"/>
    <w:rsid w:val="0095055D"/>
    <w:pPr>
      <w:widowControl w:val="0"/>
      <w:suppressAutoHyphens/>
      <w:overflowPunct w:val="0"/>
      <w:autoSpaceDE w:val="0"/>
      <w:autoSpaceDN w:val="0"/>
      <w:adjustRightInd w:val="0"/>
      <w:spacing w:before="60" w:after="60" w:line="360" w:lineRule="auto"/>
    </w:pPr>
    <w:rPr>
      <w:rFonts w:ascii="Arial" w:hAnsi="Arial"/>
      <w:sz w:val="22"/>
      <w:szCs w:val="20"/>
      <w:lang w:val="en-US"/>
    </w:rPr>
  </w:style>
  <w:style w:type="character" w:customStyle="1" w:styleId="TableChar">
    <w:name w:val="Table Char"/>
    <w:link w:val="Table"/>
    <w:locked/>
    <w:rsid w:val="0095055D"/>
    <w:rPr>
      <w:rFonts w:ascii="Arial" w:eastAsia="Times New Roman" w:hAnsi="Arial" w:cs="Times New Roman"/>
      <w:szCs w:val="20"/>
      <w:lang w:val="en-US"/>
    </w:rPr>
  </w:style>
  <w:style w:type="table" w:styleId="LightList-Accent3">
    <w:name w:val="Light List Accent 3"/>
    <w:basedOn w:val="TableNormal"/>
    <w:uiPriority w:val="61"/>
    <w:rsid w:val="0095055D"/>
    <w:rPr>
      <w:rFonts w:eastAsia="Times New Roman"/>
      <w:lang w:val="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Web1">
    <w:name w:val="Table Web 1"/>
    <w:basedOn w:val="TableNormal"/>
    <w:rsid w:val="0095055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Heading"/>
    <w:basedOn w:val="TableText1"/>
    <w:rsid w:val="0095055D"/>
    <w:rPr>
      <w:b/>
      <w:bCs/>
    </w:rPr>
  </w:style>
  <w:style w:type="paragraph" w:styleId="TOC4">
    <w:name w:val="toc 4"/>
    <w:basedOn w:val="Normal"/>
    <w:next w:val="Normal"/>
    <w:autoRedefine/>
    <w:uiPriority w:val="39"/>
    <w:rsid w:val="0095055D"/>
    <w:pPr>
      <w:tabs>
        <w:tab w:val="right" w:leader="dot" w:pos="8303"/>
      </w:tabs>
      <w:ind w:left="720"/>
    </w:pPr>
  </w:style>
  <w:style w:type="paragraph" w:styleId="TOC5">
    <w:name w:val="toc 5"/>
    <w:basedOn w:val="Normal"/>
    <w:next w:val="Normal"/>
    <w:autoRedefine/>
    <w:uiPriority w:val="39"/>
    <w:unhideWhenUsed/>
    <w:rsid w:val="0095055D"/>
    <w:pPr>
      <w:spacing w:after="100" w:line="276" w:lineRule="auto"/>
      <w:ind w:left="880"/>
    </w:pPr>
    <w:rPr>
      <w:sz w:val="22"/>
      <w:szCs w:val="22"/>
      <w:lang w:eastAsia="en-AU"/>
    </w:rPr>
  </w:style>
  <w:style w:type="paragraph" w:styleId="TOC6">
    <w:name w:val="toc 6"/>
    <w:basedOn w:val="Normal"/>
    <w:next w:val="Normal"/>
    <w:autoRedefine/>
    <w:uiPriority w:val="39"/>
    <w:unhideWhenUsed/>
    <w:rsid w:val="0095055D"/>
    <w:pPr>
      <w:spacing w:after="100" w:line="276" w:lineRule="auto"/>
      <w:ind w:left="1100"/>
    </w:pPr>
    <w:rPr>
      <w:sz w:val="22"/>
      <w:szCs w:val="22"/>
      <w:lang w:eastAsia="en-AU"/>
    </w:rPr>
  </w:style>
  <w:style w:type="paragraph" w:styleId="TOC7">
    <w:name w:val="toc 7"/>
    <w:basedOn w:val="Normal"/>
    <w:next w:val="Normal"/>
    <w:autoRedefine/>
    <w:uiPriority w:val="39"/>
    <w:unhideWhenUsed/>
    <w:rsid w:val="0095055D"/>
    <w:pPr>
      <w:spacing w:after="100" w:line="276" w:lineRule="auto"/>
      <w:ind w:left="1320"/>
    </w:pPr>
    <w:rPr>
      <w:sz w:val="22"/>
      <w:szCs w:val="22"/>
      <w:lang w:eastAsia="en-AU"/>
    </w:rPr>
  </w:style>
  <w:style w:type="paragraph" w:styleId="TOC8">
    <w:name w:val="toc 8"/>
    <w:basedOn w:val="Normal"/>
    <w:next w:val="Normal"/>
    <w:autoRedefine/>
    <w:uiPriority w:val="39"/>
    <w:unhideWhenUsed/>
    <w:rsid w:val="0095055D"/>
    <w:pPr>
      <w:spacing w:after="100" w:line="276" w:lineRule="auto"/>
      <w:ind w:left="1540"/>
    </w:pPr>
    <w:rPr>
      <w:sz w:val="22"/>
      <w:szCs w:val="22"/>
      <w:lang w:eastAsia="en-AU"/>
    </w:rPr>
  </w:style>
  <w:style w:type="paragraph" w:styleId="TOC9">
    <w:name w:val="toc 9"/>
    <w:basedOn w:val="Normal"/>
    <w:next w:val="Normal"/>
    <w:autoRedefine/>
    <w:uiPriority w:val="39"/>
    <w:unhideWhenUsed/>
    <w:rsid w:val="0095055D"/>
    <w:pPr>
      <w:spacing w:after="100" w:line="276" w:lineRule="auto"/>
      <w:ind w:left="1760"/>
    </w:pPr>
    <w:rPr>
      <w:sz w:val="22"/>
      <w:szCs w:val="22"/>
      <w:lang w:eastAsia="en-AU"/>
    </w:rPr>
  </w:style>
  <w:style w:type="paragraph" w:styleId="Subtitle">
    <w:name w:val="Subtitle"/>
    <w:basedOn w:val="Normal"/>
    <w:next w:val="Normal"/>
    <w:link w:val="SubtitleChar"/>
    <w:rsid w:val="0095055D"/>
    <w:pPr>
      <w:spacing w:after="60"/>
      <w:jc w:val="center"/>
      <w:outlineLvl w:val="1"/>
    </w:pPr>
    <w:rPr>
      <w:rFonts w:ascii="Cambria" w:hAnsi="Cambria"/>
    </w:rPr>
  </w:style>
  <w:style w:type="character" w:customStyle="1" w:styleId="SubtitleChar">
    <w:name w:val="Subtitle Char"/>
    <w:link w:val="Subtitle"/>
    <w:rsid w:val="0095055D"/>
    <w:rPr>
      <w:rFonts w:ascii="Cambria" w:eastAsia="Times New Roman" w:hAnsi="Cambria" w:cs="Times New Roman"/>
      <w:sz w:val="24"/>
      <w:szCs w:val="24"/>
    </w:rPr>
  </w:style>
  <w:style w:type="paragraph" w:customStyle="1" w:styleId="TableFooter">
    <w:name w:val="Table Footer"/>
    <w:basedOn w:val="Normal"/>
    <w:uiPriority w:val="4"/>
    <w:qFormat/>
    <w:rsid w:val="0095055D"/>
    <w:pPr>
      <w:widowControl w:val="0"/>
      <w:spacing w:before="20"/>
    </w:pPr>
    <w:rPr>
      <w:rFonts w:ascii="Arial Narrow" w:eastAsia="TimesNewRoman" w:hAnsi="Arial Narrow" w:cs="Arial"/>
      <w:snapToGrid w:val="0"/>
      <w:sz w:val="18"/>
      <w:szCs w:val="18"/>
      <w:lang w:eastAsia="en-GB"/>
    </w:rPr>
  </w:style>
  <w:style w:type="paragraph" w:customStyle="1" w:styleId="Paragraphheading1">
    <w:name w:val="Paragraph heading 1"/>
    <w:link w:val="Paragraphheading1Char"/>
    <w:qFormat/>
    <w:rsid w:val="0095055D"/>
    <w:rPr>
      <w:rFonts w:ascii="Calibri Light" w:eastAsia="Times New Roman" w:hAnsi="Calibri Light" w:cs="Arial"/>
      <w:i/>
      <w:snapToGrid w:val="0"/>
      <w:sz w:val="32"/>
      <w:szCs w:val="32"/>
      <w:lang w:eastAsia="en-US"/>
    </w:rPr>
  </w:style>
  <w:style w:type="paragraph" w:styleId="Quote">
    <w:name w:val="Quote"/>
    <w:basedOn w:val="Normal"/>
    <w:next w:val="Normal"/>
    <w:link w:val="QuoteChar"/>
    <w:uiPriority w:val="29"/>
    <w:rsid w:val="0095055D"/>
    <w:rPr>
      <w:i/>
      <w:iCs/>
      <w:color w:val="000000"/>
    </w:rPr>
  </w:style>
  <w:style w:type="character" w:customStyle="1" w:styleId="QuoteChar">
    <w:name w:val="Quote Char"/>
    <w:link w:val="Quote"/>
    <w:uiPriority w:val="29"/>
    <w:rsid w:val="0095055D"/>
    <w:rPr>
      <w:rFonts w:ascii="Calibri" w:eastAsia="Times New Roman" w:hAnsi="Calibri" w:cs="Times New Roman"/>
      <w:i/>
      <w:iCs/>
      <w:color w:val="000000"/>
      <w:sz w:val="24"/>
      <w:szCs w:val="24"/>
    </w:rPr>
  </w:style>
  <w:style w:type="paragraph" w:customStyle="1" w:styleId="unboldsubheading">
    <w:name w:val="unbold subheading"/>
    <w:basedOn w:val="Heading3"/>
    <w:next w:val="Heading3"/>
    <w:link w:val="unboldsubheadingChar"/>
    <w:rsid w:val="0095055D"/>
    <w:rPr>
      <w:sz w:val="24"/>
    </w:rPr>
  </w:style>
  <w:style w:type="character" w:customStyle="1" w:styleId="unboldsubheadingChar">
    <w:name w:val="unbold subheading Char"/>
    <w:link w:val="unboldsubheading"/>
    <w:rsid w:val="0095055D"/>
    <w:rPr>
      <w:rFonts w:ascii="Calibri" w:eastAsia="Times New Roman" w:hAnsi="Calibri" w:cs="Times New Roman"/>
      <w:b/>
      <w:bCs/>
      <w:smallCaps/>
      <w:sz w:val="24"/>
    </w:rPr>
  </w:style>
  <w:style w:type="paragraph" w:customStyle="1" w:styleId="PBACheading1">
    <w:name w:val="PBAC heading 1"/>
    <w:rsid w:val="0095055D"/>
    <w:pPr>
      <w:ind w:left="720" w:hanging="720"/>
    </w:pPr>
    <w:rPr>
      <w:rFonts w:ascii="Arial" w:eastAsia="Times New Roman" w:hAnsi="Arial" w:cs="Arial"/>
      <w:snapToGrid w:val="0"/>
      <w:sz w:val="22"/>
      <w:szCs w:val="22"/>
      <w:lang w:eastAsia="en-US"/>
    </w:rPr>
  </w:style>
  <w:style w:type="paragraph" w:customStyle="1" w:styleId="TableHeading0">
    <w:name w:val="Table Heading"/>
    <w:basedOn w:val="TableText0"/>
    <w:link w:val="TableHeadingChar"/>
    <w:qFormat/>
    <w:rsid w:val="0095055D"/>
    <w:rPr>
      <w:rFonts w:eastAsia="SimSun" w:cs="Arial"/>
      <w:b/>
      <w:lang w:eastAsia="en-AU" w:bidi="en-US"/>
    </w:rPr>
  </w:style>
  <w:style w:type="character" w:customStyle="1" w:styleId="TableHeadingChar">
    <w:name w:val="Table Heading Char"/>
    <w:link w:val="TableHeading0"/>
    <w:locked/>
    <w:rsid w:val="0095055D"/>
    <w:rPr>
      <w:rFonts w:ascii="Arial Narrow" w:eastAsia="SimSun" w:hAnsi="Arial Narrow" w:cs="Arial"/>
      <w:b/>
      <w:sz w:val="20"/>
      <w:szCs w:val="20"/>
      <w:lang w:eastAsia="en-AU" w:bidi="en-US"/>
    </w:rPr>
  </w:style>
  <w:style w:type="paragraph" w:customStyle="1" w:styleId="Sources">
    <w:name w:val="Sources"/>
    <w:basedOn w:val="Normal"/>
    <w:rsid w:val="0095055D"/>
    <w:pPr>
      <w:spacing w:before="120" w:after="120"/>
    </w:pPr>
    <w:rPr>
      <w:rFonts w:ascii="Arial" w:eastAsia="Calibri" w:hAnsi="Arial"/>
      <w:sz w:val="16"/>
      <w:szCs w:val="22"/>
    </w:rPr>
  </w:style>
  <w:style w:type="paragraph" w:customStyle="1" w:styleId="FigureA">
    <w:name w:val="Figure A"/>
    <w:basedOn w:val="Normal"/>
    <w:next w:val="Normal"/>
    <w:rsid w:val="0095055D"/>
    <w:pPr>
      <w:numPr>
        <w:numId w:val="5"/>
      </w:numPr>
      <w:tabs>
        <w:tab w:val="left" w:pos="1134"/>
      </w:tabs>
      <w:spacing w:after="120"/>
      <w:ind w:left="1134" w:hanging="1134"/>
    </w:pPr>
    <w:rPr>
      <w:rFonts w:ascii="Arial Bold" w:hAnsi="Arial Bold"/>
      <w:b/>
      <w:sz w:val="20"/>
    </w:rPr>
  </w:style>
  <w:style w:type="paragraph" w:customStyle="1" w:styleId="PBACHeading10">
    <w:name w:val="PBAC Heading 1"/>
    <w:qFormat/>
    <w:rsid w:val="0095055D"/>
    <w:rPr>
      <w:rFonts w:ascii="Arial" w:eastAsia="Times New Roman" w:hAnsi="Arial" w:cs="Arial"/>
      <w:b/>
      <w:snapToGrid w:val="0"/>
      <w:sz w:val="22"/>
      <w:szCs w:val="22"/>
      <w:lang w:eastAsia="en-US"/>
    </w:rPr>
  </w:style>
  <w:style w:type="paragraph" w:customStyle="1" w:styleId="Tabletitle">
    <w:name w:val="Table title"/>
    <w:basedOn w:val="Normal"/>
    <w:next w:val="Normal"/>
    <w:link w:val="TabletitleChar"/>
    <w:rsid w:val="0095055D"/>
    <w:pPr>
      <w:tabs>
        <w:tab w:val="num" w:pos="720"/>
      </w:tabs>
      <w:spacing w:before="240" w:after="120"/>
    </w:pPr>
    <w:rPr>
      <w:rFonts w:ascii="Arial" w:hAnsi="Arial" w:cs="Arial"/>
      <w:b/>
      <w:sz w:val="20"/>
      <w:szCs w:val="22"/>
      <w:lang w:val="en-GB" w:eastAsia="en-GB"/>
    </w:rPr>
  </w:style>
  <w:style w:type="character" w:customStyle="1" w:styleId="TabletitleChar">
    <w:name w:val="Table title Char"/>
    <w:link w:val="Tabletitle"/>
    <w:rsid w:val="0095055D"/>
    <w:rPr>
      <w:rFonts w:ascii="Arial" w:eastAsia="Times New Roman" w:hAnsi="Arial" w:cs="Arial"/>
      <w:b/>
      <w:sz w:val="20"/>
      <w:lang w:val="en-GB" w:eastAsia="en-GB"/>
    </w:rPr>
  </w:style>
  <w:style w:type="paragraph" w:customStyle="1" w:styleId="Guidelines">
    <w:name w:val="Guidelines"/>
    <w:basedOn w:val="Normal"/>
    <w:link w:val="GuidelinesChar"/>
    <w:rsid w:val="0095055D"/>
    <w:pPr>
      <w:tabs>
        <w:tab w:val="num" w:pos="1080"/>
      </w:tabs>
      <w:ind w:left="720" w:hanging="360"/>
    </w:pPr>
    <w:rPr>
      <w:rFonts w:ascii="Garamond" w:hAnsi="Garamond"/>
      <w:color w:val="8496B0"/>
    </w:rPr>
  </w:style>
  <w:style w:type="character" w:customStyle="1" w:styleId="GuidelinesChar">
    <w:name w:val="Guidelines Char"/>
    <w:link w:val="Guidelines"/>
    <w:rsid w:val="0095055D"/>
    <w:rPr>
      <w:rFonts w:ascii="Garamond" w:eastAsia="Times New Roman" w:hAnsi="Garamond" w:cs="Times New Roman"/>
      <w:color w:val="8496B0"/>
      <w:sz w:val="24"/>
      <w:szCs w:val="24"/>
    </w:rPr>
  </w:style>
  <w:style w:type="paragraph" w:customStyle="1" w:styleId="Tabletextbold">
    <w:name w:val="Table text bold"/>
    <w:basedOn w:val="Normal"/>
    <w:link w:val="TabletextboldChar"/>
    <w:rsid w:val="0095055D"/>
    <w:pPr>
      <w:keepNext/>
      <w:jc w:val="center"/>
    </w:pPr>
    <w:rPr>
      <w:rFonts w:ascii="Arial Narrow" w:hAnsi="Arial Narrow" w:cs="Arial"/>
      <w:b/>
      <w:sz w:val="20"/>
      <w:szCs w:val="20"/>
    </w:rPr>
  </w:style>
  <w:style w:type="character" w:customStyle="1" w:styleId="TabletextboldChar">
    <w:name w:val="Table text bold Char"/>
    <w:link w:val="Tabletextbold"/>
    <w:rsid w:val="0095055D"/>
    <w:rPr>
      <w:rFonts w:ascii="Arial Narrow" w:eastAsia="Times New Roman" w:hAnsi="Arial Narrow" w:cs="Arial"/>
      <w:b/>
      <w:sz w:val="20"/>
      <w:szCs w:val="20"/>
    </w:rPr>
  </w:style>
  <w:style w:type="character" w:customStyle="1" w:styleId="TabletextChar2">
    <w:name w:val="Table text Char"/>
    <w:rsid w:val="0095055D"/>
    <w:rPr>
      <w:rFonts w:ascii="Arial Narrow" w:eastAsia="Times New Roman" w:hAnsi="Arial Narrow" w:cs="Times New Roman"/>
      <w:sz w:val="20"/>
      <w:szCs w:val="24"/>
    </w:rPr>
  </w:style>
  <w:style w:type="paragraph" w:customStyle="1" w:styleId="Tabletextboldleft">
    <w:name w:val="Table text bold left"/>
    <w:basedOn w:val="Tabletextbold"/>
    <w:link w:val="TabletextboldleftChar"/>
    <w:rsid w:val="0095055D"/>
    <w:pPr>
      <w:jc w:val="left"/>
    </w:pPr>
  </w:style>
  <w:style w:type="character" w:customStyle="1" w:styleId="TabletextboldleftChar">
    <w:name w:val="Table text bold left Char"/>
    <w:link w:val="Tabletextboldleft"/>
    <w:rsid w:val="0095055D"/>
    <w:rPr>
      <w:rFonts w:ascii="Arial Narrow" w:eastAsia="Times New Roman" w:hAnsi="Arial Narrow" w:cs="Arial"/>
      <w:b/>
      <w:sz w:val="20"/>
      <w:szCs w:val="20"/>
    </w:rPr>
  </w:style>
  <w:style w:type="paragraph" w:styleId="Revision">
    <w:name w:val="Revision"/>
    <w:hidden/>
    <w:uiPriority w:val="99"/>
    <w:semiHidden/>
    <w:rsid w:val="0095055D"/>
    <w:rPr>
      <w:rFonts w:eastAsia="Times New Roman"/>
      <w:sz w:val="24"/>
      <w:szCs w:val="24"/>
      <w:lang w:eastAsia="en-US"/>
    </w:rPr>
  </w:style>
  <w:style w:type="table" w:customStyle="1" w:styleId="Table-HERONplain">
    <w:name w:val="Table - HERON plain"/>
    <w:basedOn w:val="TableNormal"/>
    <w:uiPriority w:val="99"/>
    <w:qFormat/>
    <w:rsid w:val="0095055D"/>
    <w:rPr>
      <w:rFonts w:ascii="Tahoma" w:eastAsia="Tahoma" w:hAnsi="Tahoma"/>
      <w:sz w:val="16"/>
      <w:lang w:val="en-GB" w:eastAsia="en-GB"/>
    </w:rPr>
    <w:tblPr>
      <w:tblStyleRowBandSize w:val="1"/>
      <w:tblInd w:w="113" w:type="dxa"/>
      <w:tblBorders>
        <w:top w:val="single" w:sz="8" w:space="0" w:color="002C77"/>
        <w:left w:val="single" w:sz="8" w:space="0" w:color="002C77"/>
        <w:bottom w:val="single" w:sz="8" w:space="0" w:color="002C77"/>
        <w:right w:val="single" w:sz="8" w:space="0" w:color="002C77"/>
        <w:insideH w:val="single" w:sz="8" w:space="0" w:color="002C77"/>
        <w:insideV w:val="single" w:sz="8" w:space="0" w:color="002C77"/>
      </w:tblBorders>
      <w:tblCellMar>
        <w:top w:w="0" w:type="dxa"/>
        <w:left w:w="108" w:type="dxa"/>
        <w:bottom w:w="0" w:type="dxa"/>
        <w:right w:w="108" w:type="dxa"/>
      </w:tblCellMar>
    </w:tblPr>
    <w:trPr>
      <w:cantSplit/>
    </w:trPr>
    <w:tcPr>
      <w:shd w:val="clear" w:color="auto" w:fill="auto"/>
      <w:vAlign w:val="center"/>
    </w:tcPr>
    <w:tblStylePr w:type="firstRow">
      <w:rPr>
        <w:rFonts w:ascii="Calibri Light" w:hAnsi="Calibri Light"/>
        <w:b w:val="0"/>
        <w:sz w:val="16"/>
      </w:rPr>
      <w:tblPr/>
      <w:trPr>
        <w:cantSplit w:val="0"/>
        <w:tblHeader/>
      </w:trPr>
      <w:tcPr>
        <w:shd w:val="clear" w:color="auto" w:fill="C7C7C7"/>
      </w:tcPr>
    </w:tblStylePr>
    <w:tblStylePr w:type="lastRow">
      <w:rPr>
        <w:rFonts w:ascii="Calibri Light" w:hAnsi="Calibri Light"/>
        <w:sz w:val="16"/>
      </w:rPr>
      <w:tblPr/>
      <w:tcPr>
        <w:shd w:val="clear" w:color="auto" w:fill="DEDEDE"/>
      </w:tcPr>
    </w:tblStylePr>
    <w:tblStylePr w:type="firstCol">
      <w:rPr>
        <w:b/>
      </w:rPr>
      <w:tblPr/>
      <w:tcPr>
        <w:shd w:val="clear" w:color="auto" w:fill="BFBFBF"/>
      </w:tcPr>
    </w:tblStylePr>
    <w:tblStylePr w:type="band2Horz">
      <w:rPr>
        <w:rFonts w:ascii="Calibri Light" w:hAnsi="Calibri Light"/>
        <w:sz w:val="16"/>
      </w:rPr>
    </w:tblStylePr>
  </w:style>
  <w:style w:type="character" w:styleId="PlaceholderText">
    <w:name w:val="Placeholder Text"/>
    <w:uiPriority w:val="99"/>
    <w:semiHidden/>
    <w:rsid w:val="0095055D"/>
    <w:rPr>
      <w:color w:val="808080"/>
    </w:rPr>
  </w:style>
  <w:style w:type="character" w:customStyle="1" w:styleId="apple-converted-space">
    <w:name w:val="apple-converted-space"/>
    <w:basedOn w:val="DefaultParagraphFont"/>
    <w:rsid w:val="0095055D"/>
  </w:style>
  <w:style w:type="paragraph" w:customStyle="1" w:styleId="Equation-H22">
    <w:name w:val="Equation - H22"/>
    <w:basedOn w:val="BodyText"/>
    <w:next w:val="Normal"/>
    <w:autoRedefine/>
    <w:uiPriority w:val="1"/>
    <w:rsid w:val="0095055D"/>
    <w:pPr>
      <w:keepLines/>
      <w:widowControl w:val="0"/>
      <w:spacing w:before="240"/>
      <w:jc w:val="center"/>
    </w:pPr>
    <w:rPr>
      <w:rFonts w:ascii="Book Antiqua" w:hAnsi="Book Antiqua"/>
      <w:i/>
      <w:color w:val="000000"/>
      <w:sz w:val="22"/>
      <w:lang w:val="en-GB"/>
    </w:rPr>
  </w:style>
  <w:style w:type="paragraph" w:customStyle="1" w:styleId="Tableheadertwo">
    <w:name w:val="Table header two"/>
    <w:basedOn w:val="BodyText"/>
    <w:next w:val="BodyText"/>
    <w:uiPriority w:val="99"/>
    <w:rsid w:val="0095055D"/>
    <w:pPr>
      <w:tabs>
        <w:tab w:val="left" w:pos="1134"/>
      </w:tabs>
      <w:spacing w:before="20" w:after="40"/>
      <w:jc w:val="left"/>
    </w:pPr>
    <w:rPr>
      <w:rFonts w:ascii="Arial" w:hAnsi="Arial"/>
      <w:b/>
      <w:sz w:val="18"/>
      <w:szCs w:val="20"/>
      <w:lang w:val="en-US"/>
    </w:rPr>
  </w:style>
  <w:style w:type="paragraph" w:customStyle="1" w:styleId="TableHeader">
    <w:name w:val="Table Header"/>
    <w:basedOn w:val="Normal"/>
    <w:next w:val="Normal"/>
    <w:uiPriority w:val="3"/>
    <w:rsid w:val="0095055D"/>
    <w:pPr>
      <w:widowControl w:val="0"/>
    </w:pPr>
    <w:rPr>
      <w:rFonts w:ascii="Arial Narrow" w:hAnsi="Arial Narrow" w:cs="Arial"/>
      <w:b/>
      <w:snapToGrid w:val="0"/>
      <w:sz w:val="20"/>
      <w:szCs w:val="20"/>
    </w:rPr>
  </w:style>
  <w:style w:type="paragraph" w:customStyle="1" w:styleId="Tableheader1">
    <w:name w:val="Table header 1"/>
    <w:basedOn w:val="Normal"/>
    <w:link w:val="Tableheader1Char"/>
    <w:uiPriority w:val="99"/>
    <w:rsid w:val="0095055D"/>
    <w:pPr>
      <w:spacing w:after="120"/>
      <w:jc w:val="center"/>
    </w:pPr>
    <w:rPr>
      <w:rFonts w:ascii="Arial" w:hAnsi="Arial"/>
      <w:b/>
      <w:sz w:val="18"/>
      <w:szCs w:val="22"/>
      <w:lang w:val="en-US"/>
    </w:rPr>
  </w:style>
  <w:style w:type="character" w:customStyle="1" w:styleId="Tableheader1Char">
    <w:name w:val="Table header 1 Char"/>
    <w:link w:val="Tableheader1"/>
    <w:uiPriority w:val="99"/>
    <w:rsid w:val="0095055D"/>
    <w:rPr>
      <w:rFonts w:ascii="Arial" w:eastAsia="Times New Roman" w:hAnsi="Arial" w:cs="Times New Roman"/>
      <w:b/>
      <w:sz w:val="18"/>
      <w:lang w:val="en-US"/>
    </w:rPr>
  </w:style>
  <w:style w:type="paragraph" w:customStyle="1" w:styleId="Footnote">
    <w:name w:val="Footnote"/>
    <w:basedOn w:val="Normal"/>
    <w:rsid w:val="0095055D"/>
    <w:pPr>
      <w:spacing w:before="40"/>
      <w:jc w:val="left"/>
    </w:pPr>
    <w:rPr>
      <w:rFonts w:ascii="Arial" w:hAnsi="Arial"/>
      <w:sz w:val="18"/>
      <w:szCs w:val="18"/>
      <w:lang w:val="en-US"/>
    </w:rPr>
  </w:style>
  <w:style w:type="paragraph" w:customStyle="1" w:styleId="Tabletext9ptbulleted">
    <w:name w:val="Table text +9pt bulleted"/>
    <w:basedOn w:val="Normal"/>
    <w:rsid w:val="0095055D"/>
    <w:pPr>
      <w:keepNext/>
      <w:numPr>
        <w:numId w:val="6"/>
      </w:numPr>
      <w:autoSpaceDE w:val="0"/>
      <w:autoSpaceDN w:val="0"/>
      <w:adjustRightInd w:val="0"/>
      <w:spacing w:before="80" w:after="120" w:line="240" w:lineRule="exact"/>
      <w:jc w:val="left"/>
    </w:pPr>
    <w:rPr>
      <w:rFonts w:ascii="Arial" w:hAnsi="Arial" w:cs="Arial"/>
      <w:sz w:val="18"/>
      <w:szCs w:val="18"/>
      <w:lang w:val="en-US"/>
    </w:rPr>
  </w:style>
  <w:style w:type="character" w:customStyle="1" w:styleId="SmallBold">
    <w:name w:val="Small Bold"/>
    <w:uiPriority w:val="4"/>
    <w:rsid w:val="0095055D"/>
    <w:rPr>
      <w:rFonts w:ascii="Candara" w:hAnsi="Candara"/>
      <w:b/>
      <w:sz w:val="20"/>
      <w:lang w:val="en-AU"/>
    </w:rPr>
  </w:style>
  <w:style w:type="paragraph" w:customStyle="1" w:styleId="Tableorfigurefootnoteindent">
    <w:name w:val="Table or figure footnote indent"/>
    <w:basedOn w:val="Normal"/>
    <w:rsid w:val="0095055D"/>
    <w:pPr>
      <w:spacing w:before="40"/>
      <w:ind w:left="360" w:hanging="360"/>
      <w:jc w:val="left"/>
    </w:pPr>
    <w:rPr>
      <w:rFonts w:ascii="Arial" w:hAnsi="Arial"/>
      <w:sz w:val="16"/>
      <w:szCs w:val="20"/>
      <w:lang w:val="en-US"/>
    </w:rPr>
  </w:style>
  <w:style w:type="paragraph" w:customStyle="1" w:styleId="TextUnderTable">
    <w:name w:val="Text Under Table"/>
    <w:basedOn w:val="Normal"/>
    <w:rsid w:val="0095055D"/>
    <w:pPr>
      <w:spacing w:after="160" w:line="259" w:lineRule="auto"/>
      <w:jc w:val="left"/>
    </w:pPr>
    <w:rPr>
      <w:rFonts w:eastAsia="Calibri"/>
      <w:i/>
      <w:sz w:val="16"/>
      <w:szCs w:val="22"/>
      <w:lang w:val="en-US"/>
    </w:rPr>
  </w:style>
  <w:style w:type="paragraph" w:customStyle="1" w:styleId="Tableorfigurefootnote">
    <w:name w:val="Table or figure footnote"/>
    <w:next w:val="BodyText"/>
    <w:link w:val="TableorfigurefootnoteChar"/>
    <w:rsid w:val="0095055D"/>
    <w:rPr>
      <w:rFonts w:ascii="Arial" w:eastAsia="Times New Roman" w:hAnsi="Arial"/>
      <w:sz w:val="16"/>
      <w:szCs w:val="22"/>
      <w:lang w:val="en-GB" w:eastAsia="en-GB"/>
    </w:rPr>
  </w:style>
  <w:style w:type="character" w:customStyle="1" w:styleId="TableorfigurefootnoteChar">
    <w:name w:val="Table or figure footnote Char"/>
    <w:link w:val="Tableorfigurefootnote"/>
    <w:rsid w:val="0095055D"/>
    <w:rPr>
      <w:rFonts w:ascii="Arial" w:eastAsia="Times New Roman" w:hAnsi="Arial" w:cs="Times New Roman"/>
      <w:sz w:val="16"/>
      <w:lang w:val="en-GB" w:eastAsia="en-GB"/>
    </w:rPr>
  </w:style>
  <w:style w:type="paragraph" w:customStyle="1" w:styleId="TableCentre">
    <w:name w:val="Table Centre"/>
    <w:basedOn w:val="Table"/>
    <w:link w:val="TableCentreChar"/>
    <w:rsid w:val="0095055D"/>
    <w:pPr>
      <w:widowControl/>
      <w:suppressAutoHyphens w:val="0"/>
      <w:overflowPunct/>
      <w:autoSpaceDE/>
      <w:autoSpaceDN/>
      <w:adjustRightInd/>
      <w:spacing w:before="0" w:after="0" w:line="240" w:lineRule="auto"/>
      <w:jc w:val="center"/>
    </w:pPr>
    <w:rPr>
      <w:rFonts w:ascii="Candara" w:hAnsi="Candara"/>
      <w:sz w:val="20"/>
      <w:szCs w:val="22"/>
      <w:lang w:bidi="en-US"/>
    </w:rPr>
  </w:style>
  <w:style w:type="character" w:customStyle="1" w:styleId="TableCentreChar">
    <w:name w:val="Table Centre Char"/>
    <w:link w:val="TableCentre"/>
    <w:rsid w:val="0095055D"/>
    <w:rPr>
      <w:rFonts w:ascii="Candara" w:eastAsia="Times New Roman" w:hAnsi="Candara" w:cs="Times New Roman"/>
      <w:sz w:val="20"/>
      <w:lang w:val="en-US" w:bidi="en-US"/>
    </w:rPr>
  </w:style>
  <w:style w:type="paragraph" w:customStyle="1" w:styleId="CaptionFootnote">
    <w:name w:val="Caption Footnote"/>
    <w:basedOn w:val="Caption"/>
    <w:uiPriority w:val="99"/>
    <w:rsid w:val="0095055D"/>
    <w:pPr>
      <w:widowControl w:val="0"/>
      <w:jc w:val="left"/>
    </w:pPr>
    <w:rPr>
      <w:rFonts w:ascii="Candara" w:hAnsi="Candara"/>
      <w:b w:val="0"/>
      <w:sz w:val="16"/>
      <w:szCs w:val="18"/>
      <w:lang w:val="en-US" w:bidi="en-US"/>
    </w:rPr>
  </w:style>
  <w:style w:type="paragraph" w:customStyle="1" w:styleId="Tablefooter0">
    <w:name w:val="Table footer"/>
    <w:basedOn w:val="Normal"/>
    <w:link w:val="TablefooterChar"/>
    <w:rsid w:val="0095055D"/>
    <w:pPr>
      <w:spacing w:line="276" w:lineRule="auto"/>
      <w:jc w:val="left"/>
    </w:pPr>
    <w:rPr>
      <w:rFonts w:eastAsia="Calibri" w:cs="Arial"/>
      <w:sz w:val="16"/>
      <w:szCs w:val="16"/>
      <w:lang w:val="en-US"/>
    </w:rPr>
  </w:style>
  <w:style w:type="character" w:customStyle="1" w:styleId="TablefooterChar">
    <w:name w:val="Table footer Char"/>
    <w:link w:val="Tablefooter0"/>
    <w:rsid w:val="0095055D"/>
    <w:rPr>
      <w:rFonts w:ascii="Calibri" w:eastAsia="Calibri" w:hAnsi="Calibri" w:cs="Arial"/>
      <w:sz w:val="16"/>
      <w:szCs w:val="16"/>
      <w:lang w:val="en-US"/>
    </w:rPr>
  </w:style>
  <w:style w:type="paragraph" w:customStyle="1" w:styleId="V50Instructions">
    <w:name w:val="V5.0 Instructions"/>
    <w:basedOn w:val="Normal"/>
    <w:link w:val="V50InstructionsChar"/>
    <w:rsid w:val="0095055D"/>
    <w:pPr>
      <w:spacing w:before="120" w:after="160"/>
      <w:jc w:val="left"/>
    </w:pPr>
    <w:rPr>
      <w:rFonts w:eastAsia="Calibri"/>
      <w:color w:val="4BACC6"/>
      <w:szCs w:val="22"/>
    </w:rPr>
  </w:style>
  <w:style w:type="character" w:customStyle="1" w:styleId="V50InstructionsChar">
    <w:name w:val="V5.0 Instructions Char"/>
    <w:link w:val="V50Instructions"/>
    <w:rsid w:val="0095055D"/>
    <w:rPr>
      <w:rFonts w:ascii="Calibri" w:eastAsia="Calibri" w:hAnsi="Calibri" w:cs="Times New Roman"/>
      <w:color w:val="4BACC6"/>
      <w:sz w:val="24"/>
    </w:rPr>
  </w:style>
  <w:style w:type="paragraph" w:customStyle="1" w:styleId="ES-text">
    <w:name w:val="ES - text"/>
    <w:basedOn w:val="BodyText"/>
    <w:rsid w:val="0095055D"/>
    <w:pPr>
      <w:spacing w:after="0" w:line="276" w:lineRule="auto"/>
      <w:jc w:val="left"/>
    </w:pPr>
    <w:rPr>
      <w:rFonts w:ascii="Arial" w:hAnsi="Arial"/>
      <w:sz w:val="20"/>
      <w:lang w:val="en-US"/>
    </w:rPr>
  </w:style>
  <w:style w:type="character" w:customStyle="1" w:styleId="A1">
    <w:name w:val="A1"/>
    <w:uiPriority w:val="99"/>
    <w:rsid w:val="0095055D"/>
    <w:rPr>
      <w:color w:val="000000"/>
      <w:sz w:val="16"/>
      <w:szCs w:val="16"/>
    </w:rPr>
  </w:style>
  <w:style w:type="paragraph" w:customStyle="1" w:styleId="EndNoteBibliographyTitle">
    <w:name w:val="EndNote Bibliography Title"/>
    <w:basedOn w:val="Normal"/>
    <w:link w:val="EndNoteBibliographyTitleChar"/>
    <w:rsid w:val="0095055D"/>
    <w:pPr>
      <w:jc w:val="center"/>
    </w:pPr>
    <w:rPr>
      <w:noProof/>
      <w:lang w:val="en-US"/>
    </w:rPr>
  </w:style>
  <w:style w:type="character" w:customStyle="1" w:styleId="EndNoteBibliographyTitleChar">
    <w:name w:val="EndNote Bibliography Title Char"/>
    <w:link w:val="EndNoteBibliographyTitle"/>
    <w:rsid w:val="0095055D"/>
    <w:rPr>
      <w:rFonts w:ascii="Calibri" w:eastAsia="Times New Roman" w:hAnsi="Calibri" w:cs="Times New Roman"/>
      <w:noProof/>
      <w:sz w:val="24"/>
      <w:szCs w:val="24"/>
      <w:lang w:val="en-US"/>
    </w:rPr>
  </w:style>
  <w:style w:type="paragraph" w:customStyle="1" w:styleId="EndNoteBibliography">
    <w:name w:val="EndNote Bibliography"/>
    <w:basedOn w:val="Normal"/>
    <w:link w:val="EndNoteBibliographyChar"/>
    <w:rsid w:val="0095055D"/>
    <w:rPr>
      <w:noProof/>
      <w:lang w:val="en-US"/>
    </w:rPr>
  </w:style>
  <w:style w:type="character" w:customStyle="1" w:styleId="EndNoteBibliographyChar">
    <w:name w:val="EndNote Bibliography Char"/>
    <w:link w:val="EndNoteBibliography"/>
    <w:rsid w:val="0095055D"/>
    <w:rPr>
      <w:rFonts w:ascii="Calibri" w:eastAsia="Times New Roman" w:hAnsi="Calibri" w:cs="Times New Roman"/>
      <w:noProof/>
      <w:sz w:val="24"/>
      <w:szCs w:val="24"/>
      <w:lang w:val="en-US"/>
    </w:rPr>
  </w:style>
  <w:style w:type="paragraph" w:customStyle="1" w:styleId="Tablenotes0">
    <w:name w:val="Table notes"/>
    <w:basedOn w:val="Normal"/>
    <w:rsid w:val="0095055D"/>
    <w:pPr>
      <w:spacing w:before="60"/>
      <w:jc w:val="left"/>
    </w:pPr>
    <w:rPr>
      <w:rFonts w:ascii="Arial" w:hAnsi="Arial"/>
      <w:sz w:val="14"/>
      <w:szCs w:val="14"/>
      <w:lang w:val="en-US" w:eastAsia="en-GB"/>
    </w:rPr>
  </w:style>
  <w:style w:type="table" w:customStyle="1" w:styleId="Summarybox1">
    <w:name w:val="Summary box1"/>
    <w:basedOn w:val="TableNormal"/>
    <w:next w:val="TableGrid"/>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ummarybox2">
    <w:name w:val="Summary box2"/>
    <w:basedOn w:val="TableNormal"/>
    <w:next w:val="TableGrid"/>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0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link w:val="BodytextChar0"/>
    <w:uiPriority w:val="99"/>
    <w:rsid w:val="0095055D"/>
    <w:pPr>
      <w:spacing w:after="240" w:line="360" w:lineRule="auto"/>
      <w:jc w:val="left"/>
    </w:pPr>
    <w:rPr>
      <w:rFonts w:ascii="Arial" w:hAnsi="Arial"/>
      <w:sz w:val="22"/>
      <w:szCs w:val="20"/>
    </w:rPr>
  </w:style>
  <w:style w:type="character" w:customStyle="1" w:styleId="BodytextChar0">
    <w:name w:val="Body text Char"/>
    <w:link w:val="BodyText1"/>
    <w:uiPriority w:val="99"/>
    <w:locked/>
    <w:rsid w:val="0095055D"/>
    <w:rPr>
      <w:rFonts w:ascii="Arial" w:eastAsia="Times New Roman"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94987"/>
    <w:pPr>
      <w:spacing w:after="160" w:line="240" w:lineRule="exact"/>
      <w:jc w:val="left"/>
    </w:pPr>
    <w:rPr>
      <w:rFonts w:ascii="Verdana" w:eastAsia="MS Mincho" w:hAnsi="Verdana" w:cs="Verdana"/>
      <w:sz w:val="20"/>
      <w:szCs w:val="20"/>
      <w:lang w:val="en-US"/>
    </w:rPr>
  </w:style>
  <w:style w:type="paragraph" w:styleId="Title">
    <w:name w:val="Title"/>
    <w:basedOn w:val="Normal"/>
    <w:next w:val="Normal"/>
    <w:link w:val="TitleChar"/>
    <w:uiPriority w:val="10"/>
    <w:qFormat/>
    <w:rsid w:val="00172F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72F2E"/>
    <w:rPr>
      <w:rFonts w:ascii="Cambria" w:eastAsia="Times New Roman" w:hAnsi="Cambria" w:cs="Times New Roman"/>
      <w:b/>
      <w:bCs/>
      <w:kern w:val="28"/>
      <w:sz w:val="32"/>
      <w:szCs w:val="32"/>
      <w:lang w:eastAsia="en-US"/>
    </w:rPr>
  </w:style>
  <w:style w:type="paragraph" w:customStyle="1" w:styleId="MSACHeading1">
    <w:name w:val="MSAC Heading 1"/>
    <w:basedOn w:val="Paragraphheading1"/>
    <w:link w:val="MSACHeading1Char"/>
    <w:qFormat/>
    <w:rsid w:val="0077484B"/>
    <w:pPr>
      <w:numPr>
        <w:numId w:val="7"/>
      </w:numPr>
      <w:ind w:hanging="720"/>
      <w:outlineLvl w:val="0"/>
    </w:pPr>
  </w:style>
  <w:style w:type="character" w:customStyle="1" w:styleId="Paragraphheading1Char">
    <w:name w:val="Paragraph heading 1 Char"/>
    <w:link w:val="Paragraphheading1"/>
    <w:rsid w:val="00172F2E"/>
    <w:rPr>
      <w:rFonts w:ascii="Calibri Light" w:eastAsia="Times New Roman" w:hAnsi="Calibri Light" w:cs="Arial"/>
      <w:i/>
      <w:snapToGrid w:val="0"/>
      <w:sz w:val="32"/>
      <w:szCs w:val="32"/>
      <w:lang w:eastAsia="en-US"/>
    </w:rPr>
  </w:style>
  <w:style w:type="character" w:customStyle="1" w:styleId="MSACHeading1Char">
    <w:name w:val="MSAC Heading 1 Char"/>
    <w:link w:val="MSACHeading1"/>
    <w:rsid w:val="0077484B"/>
    <w:rPr>
      <w:rFonts w:ascii="Calibri Light" w:eastAsia="Times New Roman" w:hAnsi="Calibri Light" w:cs="Arial"/>
      <w:i/>
      <w:snapToGrid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7" w:qFormat="1"/>
    <w:lsdException w:name="annotation reference"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5D"/>
    <w:pPr>
      <w:jc w:val="both"/>
    </w:pPr>
    <w:rPr>
      <w:rFonts w:eastAsia="Times New Roman"/>
      <w:sz w:val="24"/>
      <w:szCs w:val="24"/>
      <w:lang w:eastAsia="en-US"/>
    </w:rPr>
  </w:style>
  <w:style w:type="paragraph" w:styleId="Heading1">
    <w:name w:val="heading 1"/>
    <w:basedOn w:val="Normal"/>
    <w:next w:val="Normal"/>
    <w:link w:val="Heading1Char"/>
    <w:qFormat/>
    <w:rsid w:val="0095055D"/>
    <w:pPr>
      <w:keepNext/>
      <w:spacing w:before="240" w:after="60"/>
      <w:outlineLvl w:val="0"/>
    </w:pPr>
    <w:rPr>
      <w:rFonts w:ascii="Cambria" w:hAnsi="Cambria"/>
      <w:b/>
      <w:bCs/>
      <w:i/>
      <w:caps/>
      <w:kern w:val="32"/>
      <w:sz w:val="32"/>
      <w:szCs w:val="32"/>
    </w:rPr>
  </w:style>
  <w:style w:type="paragraph" w:styleId="Heading2">
    <w:name w:val="heading 2"/>
    <w:basedOn w:val="Normal"/>
    <w:link w:val="Heading2Char"/>
    <w:qFormat/>
    <w:rsid w:val="0095055D"/>
    <w:pPr>
      <w:keepNext/>
      <w:spacing w:before="100" w:beforeAutospacing="1" w:after="100" w:afterAutospacing="1"/>
      <w:ind w:left="992" w:hanging="992"/>
      <w:outlineLvl w:val="1"/>
    </w:pPr>
    <w:rPr>
      <w:rFonts w:ascii="Cambria" w:hAnsi="Cambria"/>
      <w:bCs/>
      <w:i/>
      <w:sz w:val="32"/>
      <w:szCs w:val="32"/>
      <w:lang w:eastAsia="en-AU"/>
    </w:rPr>
  </w:style>
  <w:style w:type="paragraph" w:styleId="Heading3">
    <w:name w:val="heading 3"/>
    <w:basedOn w:val="Heading6"/>
    <w:link w:val="Heading3Char"/>
    <w:uiPriority w:val="9"/>
    <w:qFormat/>
    <w:rsid w:val="0095055D"/>
    <w:pPr>
      <w:spacing w:after="120"/>
      <w:outlineLvl w:val="2"/>
    </w:pPr>
    <w:rPr>
      <w:smallCaps/>
      <w:sz w:val="28"/>
    </w:rPr>
  </w:style>
  <w:style w:type="paragraph" w:styleId="Heading4">
    <w:name w:val="heading 4"/>
    <w:basedOn w:val="Normal"/>
    <w:next w:val="Normal"/>
    <w:link w:val="Heading4Char"/>
    <w:unhideWhenUsed/>
    <w:qFormat/>
    <w:rsid w:val="0095055D"/>
    <w:pPr>
      <w:keepNext/>
      <w:keepLines/>
      <w:spacing w:before="240" w:after="120"/>
      <w:outlineLvl w:val="3"/>
    </w:pPr>
    <w:rPr>
      <w:b/>
      <w:i/>
      <w:iCs/>
    </w:rPr>
  </w:style>
  <w:style w:type="paragraph" w:styleId="Heading5">
    <w:name w:val="heading 5"/>
    <w:basedOn w:val="Normal"/>
    <w:next w:val="Normal"/>
    <w:link w:val="Heading5Char"/>
    <w:qFormat/>
    <w:rsid w:val="0095055D"/>
    <w:pPr>
      <w:keepNext/>
      <w:spacing w:before="240" w:after="60"/>
      <w:outlineLvl w:val="4"/>
    </w:pPr>
    <w:rPr>
      <w:b/>
      <w:bCs/>
      <w:i/>
      <w:iCs/>
      <w:szCs w:val="26"/>
    </w:rPr>
  </w:style>
  <w:style w:type="paragraph" w:styleId="Heading6">
    <w:name w:val="heading 6"/>
    <w:basedOn w:val="Normal"/>
    <w:next w:val="Normal"/>
    <w:link w:val="Heading6Char"/>
    <w:rsid w:val="0095055D"/>
    <w:pPr>
      <w:keepNext/>
      <w:spacing w:before="240"/>
      <w:outlineLvl w:val="5"/>
    </w:pPr>
    <w:rPr>
      <w:b/>
      <w:bCs/>
      <w:sz w:val="22"/>
      <w:szCs w:val="22"/>
    </w:rPr>
  </w:style>
  <w:style w:type="paragraph" w:styleId="Heading9">
    <w:name w:val="heading 9"/>
    <w:aliases w:val="Page number"/>
    <w:basedOn w:val="Normal"/>
    <w:next w:val="Normal"/>
    <w:link w:val="Heading9Char"/>
    <w:rsid w:val="0095055D"/>
    <w:pPr>
      <w:numPr>
        <w:numId w:val="1"/>
      </w:numPr>
      <w:spacing w:before="240" w:after="60"/>
      <w:jc w:val="righ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055D"/>
    <w:rPr>
      <w:rFonts w:ascii="Cambria" w:eastAsia="Times New Roman" w:hAnsi="Cambria" w:cs="Times New Roman"/>
      <w:b/>
      <w:bCs/>
      <w:i/>
      <w:caps/>
      <w:kern w:val="32"/>
      <w:sz w:val="32"/>
      <w:szCs w:val="32"/>
    </w:rPr>
  </w:style>
  <w:style w:type="character" w:customStyle="1" w:styleId="Heading2Char">
    <w:name w:val="Heading 2 Char"/>
    <w:link w:val="Heading2"/>
    <w:rsid w:val="0095055D"/>
    <w:rPr>
      <w:rFonts w:ascii="Cambria" w:eastAsia="Times New Roman" w:hAnsi="Cambria" w:cs="Times New Roman"/>
      <w:bCs/>
      <w:i/>
      <w:sz w:val="32"/>
      <w:szCs w:val="32"/>
      <w:lang w:eastAsia="en-AU"/>
    </w:rPr>
  </w:style>
  <w:style w:type="character" w:customStyle="1" w:styleId="Heading3Char">
    <w:name w:val="Heading 3 Char"/>
    <w:link w:val="Heading3"/>
    <w:uiPriority w:val="9"/>
    <w:rsid w:val="0095055D"/>
    <w:rPr>
      <w:rFonts w:ascii="Calibri" w:eastAsia="Times New Roman" w:hAnsi="Calibri" w:cs="Times New Roman"/>
      <w:b/>
      <w:bCs/>
      <w:smallCaps/>
      <w:sz w:val="28"/>
    </w:rPr>
  </w:style>
  <w:style w:type="character" w:customStyle="1" w:styleId="Heading4Char">
    <w:name w:val="Heading 4 Char"/>
    <w:link w:val="Heading4"/>
    <w:rsid w:val="0095055D"/>
    <w:rPr>
      <w:rFonts w:ascii="Calibri" w:eastAsia="Times New Roman" w:hAnsi="Calibri" w:cs="Times New Roman"/>
      <w:b/>
      <w:i/>
      <w:iCs/>
      <w:sz w:val="24"/>
      <w:szCs w:val="24"/>
    </w:rPr>
  </w:style>
  <w:style w:type="character" w:customStyle="1" w:styleId="Heading5Char">
    <w:name w:val="Heading 5 Char"/>
    <w:link w:val="Heading5"/>
    <w:rsid w:val="0095055D"/>
    <w:rPr>
      <w:rFonts w:ascii="Calibri" w:eastAsia="Times New Roman" w:hAnsi="Calibri" w:cs="Times New Roman"/>
      <w:b/>
      <w:bCs/>
      <w:i/>
      <w:iCs/>
      <w:sz w:val="24"/>
      <w:szCs w:val="26"/>
    </w:rPr>
  </w:style>
  <w:style w:type="character" w:customStyle="1" w:styleId="Heading6Char">
    <w:name w:val="Heading 6 Char"/>
    <w:link w:val="Heading6"/>
    <w:rsid w:val="0095055D"/>
    <w:rPr>
      <w:rFonts w:ascii="Calibri" w:eastAsia="Times New Roman" w:hAnsi="Calibri" w:cs="Times New Roman"/>
      <w:b/>
      <w:bCs/>
    </w:rPr>
  </w:style>
  <w:style w:type="character" w:customStyle="1" w:styleId="Heading9Char">
    <w:name w:val="Heading 9 Char"/>
    <w:aliases w:val="Page number Char"/>
    <w:link w:val="Heading9"/>
    <w:rsid w:val="0095055D"/>
    <w:rPr>
      <w:rFonts w:ascii="Cambria" w:eastAsia="Times New Roman" w:hAnsi="Cambria"/>
      <w:sz w:val="22"/>
      <w:szCs w:val="22"/>
      <w:lang w:eastAsia="en-US"/>
    </w:rPr>
  </w:style>
  <w:style w:type="paragraph" w:styleId="ListParagraph">
    <w:name w:val="List Paragraph"/>
    <w:aliases w:val="BulletPoints"/>
    <w:basedOn w:val="Normal"/>
    <w:link w:val="ListParagraphChar"/>
    <w:uiPriority w:val="34"/>
    <w:qFormat/>
    <w:rsid w:val="0095055D"/>
    <w:pPr>
      <w:ind w:left="1004" w:hanging="720"/>
      <w:contextualSpacing/>
    </w:pPr>
  </w:style>
  <w:style w:type="character" w:customStyle="1" w:styleId="ListParagraphChar">
    <w:name w:val="List Paragraph Char"/>
    <w:aliases w:val="BulletPoints Char"/>
    <w:link w:val="ListParagraph"/>
    <w:uiPriority w:val="34"/>
    <w:locked/>
    <w:rsid w:val="0095055D"/>
    <w:rPr>
      <w:rFonts w:ascii="Calibri" w:eastAsia="Times New Roman" w:hAnsi="Calibri" w:cs="Times New Roman"/>
      <w:sz w:val="24"/>
      <w:szCs w:val="24"/>
    </w:rPr>
  </w:style>
  <w:style w:type="paragraph" w:styleId="FootnoteText">
    <w:name w:val="footnote text"/>
    <w:aliases w:val="Footnote Text Char1,Footnote Text Char Char,Footnote Text Char2,Footnote Text Char Char1"/>
    <w:basedOn w:val="Normal"/>
    <w:link w:val="FootnoteTextChar"/>
    <w:rsid w:val="0095055D"/>
    <w:rPr>
      <w:sz w:val="20"/>
      <w:szCs w:val="20"/>
    </w:rPr>
  </w:style>
  <w:style w:type="character" w:customStyle="1" w:styleId="FootnoteTextChar">
    <w:name w:val="Footnote Text Char"/>
    <w:aliases w:val="Footnote Text Char1 Char,Footnote Text Char Char Char,Footnote Text Char2 Char,Footnote Text Char Char1 Char"/>
    <w:link w:val="FootnoteText"/>
    <w:rsid w:val="0095055D"/>
    <w:rPr>
      <w:rFonts w:ascii="Calibri" w:eastAsia="Times New Roman" w:hAnsi="Calibri" w:cs="Times New Roman"/>
      <w:sz w:val="20"/>
      <w:szCs w:val="20"/>
    </w:rPr>
  </w:style>
  <w:style w:type="character" w:styleId="FootnoteReference">
    <w:name w:val="footnote reference"/>
    <w:uiPriority w:val="99"/>
    <w:rsid w:val="0095055D"/>
    <w:rPr>
      <w:vertAlign w:val="superscript"/>
    </w:rPr>
  </w:style>
  <w:style w:type="character" w:styleId="CommentReference">
    <w:name w:val="annotation reference"/>
    <w:aliases w:val="Table Title"/>
    <w:uiPriority w:val="99"/>
    <w:qFormat/>
    <w:rsid w:val="0095055D"/>
    <w:rPr>
      <w:rFonts w:ascii="Arial Narrow" w:hAnsi="Arial Narrow"/>
      <w:b/>
      <w:sz w:val="20"/>
      <w:szCs w:val="16"/>
    </w:rPr>
  </w:style>
  <w:style w:type="paragraph" w:styleId="CommentText">
    <w:name w:val="annotation text"/>
    <w:basedOn w:val="Normal"/>
    <w:link w:val="CommentTextChar"/>
    <w:rsid w:val="0095055D"/>
    <w:rPr>
      <w:sz w:val="20"/>
      <w:szCs w:val="20"/>
    </w:rPr>
  </w:style>
  <w:style w:type="character" w:customStyle="1" w:styleId="CommentTextChar">
    <w:name w:val="Comment Text Char"/>
    <w:link w:val="CommentText"/>
    <w:rsid w:val="0095055D"/>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95055D"/>
    <w:rPr>
      <w:b/>
      <w:bCs/>
    </w:rPr>
  </w:style>
  <w:style w:type="character" w:customStyle="1" w:styleId="CommentSubjectChar">
    <w:name w:val="Comment Subject Char"/>
    <w:link w:val="CommentSubject"/>
    <w:rsid w:val="0095055D"/>
    <w:rPr>
      <w:rFonts w:ascii="Calibri" w:eastAsia="Times New Roman" w:hAnsi="Calibri" w:cs="Times New Roman"/>
      <w:b/>
      <w:bCs/>
      <w:sz w:val="20"/>
      <w:szCs w:val="20"/>
    </w:rPr>
  </w:style>
  <w:style w:type="paragraph" w:styleId="BalloonText">
    <w:name w:val="Balloon Text"/>
    <w:basedOn w:val="Normal"/>
    <w:link w:val="BalloonTextChar"/>
    <w:uiPriority w:val="99"/>
    <w:rsid w:val="0095055D"/>
    <w:rPr>
      <w:rFonts w:ascii="Tahoma" w:hAnsi="Tahoma" w:cs="Tahoma"/>
      <w:sz w:val="16"/>
      <w:szCs w:val="16"/>
    </w:rPr>
  </w:style>
  <w:style w:type="character" w:customStyle="1" w:styleId="BalloonTextChar">
    <w:name w:val="Balloon Text Char"/>
    <w:link w:val="BalloonText"/>
    <w:uiPriority w:val="99"/>
    <w:rsid w:val="0095055D"/>
    <w:rPr>
      <w:rFonts w:ascii="Tahoma" w:eastAsia="Times New Roman" w:hAnsi="Tahoma" w:cs="Tahoma"/>
      <w:sz w:val="16"/>
      <w:szCs w:val="16"/>
    </w:rPr>
  </w:style>
  <w:style w:type="paragraph" w:customStyle="1" w:styleId="Default">
    <w:name w:val="Default"/>
    <w:rsid w:val="0095055D"/>
    <w:pPr>
      <w:autoSpaceDE w:val="0"/>
      <w:autoSpaceDN w:val="0"/>
      <w:adjustRightInd w:val="0"/>
    </w:pPr>
    <w:rPr>
      <w:rFonts w:eastAsia="Times New Roman" w:cs="Calibri"/>
      <w:color w:val="000000"/>
      <w:sz w:val="24"/>
      <w:szCs w:val="24"/>
    </w:rPr>
  </w:style>
  <w:style w:type="paragraph" w:customStyle="1" w:styleId="CM18">
    <w:name w:val="CM18"/>
    <w:basedOn w:val="Default"/>
    <w:next w:val="Default"/>
    <w:uiPriority w:val="99"/>
    <w:rsid w:val="0095055D"/>
    <w:pPr>
      <w:widowControl w:val="0"/>
    </w:pPr>
    <w:rPr>
      <w:rFonts w:ascii="Arial" w:hAnsi="Arial" w:cs="Arial"/>
      <w:color w:val="auto"/>
    </w:rPr>
  </w:style>
  <w:style w:type="paragraph" w:styleId="Header">
    <w:name w:val="header"/>
    <w:aliases w:val="Page Header,Header title,he=header,cntr/bld"/>
    <w:basedOn w:val="Normal"/>
    <w:link w:val="HeaderChar"/>
    <w:uiPriority w:val="99"/>
    <w:rsid w:val="0095055D"/>
    <w:pPr>
      <w:tabs>
        <w:tab w:val="center" w:pos="4513"/>
        <w:tab w:val="right" w:pos="9026"/>
      </w:tabs>
    </w:pPr>
  </w:style>
  <w:style w:type="character" w:customStyle="1" w:styleId="HeaderChar">
    <w:name w:val="Header Char"/>
    <w:aliases w:val="Page Header Char,Header title Char,he=header Char,cntr/bld Char"/>
    <w:link w:val="Header"/>
    <w:uiPriority w:val="99"/>
    <w:rsid w:val="0095055D"/>
    <w:rPr>
      <w:rFonts w:ascii="Calibri" w:eastAsia="Times New Roman" w:hAnsi="Calibri" w:cs="Times New Roman"/>
      <w:sz w:val="24"/>
      <w:szCs w:val="24"/>
    </w:rPr>
  </w:style>
  <w:style w:type="paragraph" w:styleId="Footer">
    <w:name w:val="footer"/>
    <w:aliases w:val="Page Footer"/>
    <w:basedOn w:val="Normal"/>
    <w:link w:val="FooterChar"/>
    <w:uiPriority w:val="99"/>
    <w:rsid w:val="0095055D"/>
    <w:pPr>
      <w:tabs>
        <w:tab w:val="center" w:pos="4513"/>
        <w:tab w:val="right" w:pos="9026"/>
      </w:tabs>
    </w:pPr>
  </w:style>
  <w:style w:type="character" w:customStyle="1" w:styleId="FooterChar">
    <w:name w:val="Footer Char"/>
    <w:aliases w:val="Page Footer Char"/>
    <w:link w:val="Footer"/>
    <w:uiPriority w:val="99"/>
    <w:rsid w:val="0095055D"/>
    <w:rPr>
      <w:rFonts w:ascii="Calibri" w:eastAsia="Times New Roman" w:hAnsi="Calibri" w:cs="Times New Roman"/>
      <w:sz w:val="24"/>
      <w:szCs w:val="24"/>
    </w:rPr>
  </w:style>
  <w:style w:type="paragraph" w:customStyle="1" w:styleId="Tabletext">
    <w:name w:val="Table text"/>
    <w:basedOn w:val="Normal"/>
    <w:link w:val="TabletextChar1"/>
    <w:rsid w:val="0095055D"/>
    <w:pPr>
      <w:spacing w:after="120"/>
    </w:pPr>
    <w:rPr>
      <w:rFonts w:ascii="Arial" w:hAnsi="Arial"/>
      <w:sz w:val="20"/>
      <w:szCs w:val="20"/>
    </w:rPr>
  </w:style>
  <w:style w:type="character" w:customStyle="1" w:styleId="TabletextChar1">
    <w:name w:val="Table text Char1"/>
    <w:link w:val="Tabletext"/>
    <w:rsid w:val="0095055D"/>
    <w:rPr>
      <w:rFonts w:ascii="Arial" w:eastAsia="Times New Roman" w:hAnsi="Arial" w:cs="Times New Roman"/>
      <w:sz w:val="20"/>
      <w:szCs w:val="20"/>
    </w:rPr>
  </w:style>
  <w:style w:type="paragraph" w:styleId="BodyText3">
    <w:name w:val="Body Text 3"/>
    <w:basedOn w:val="Normal"/>
    <w:link w:val="BodyText3Char"/>
    <w:rsid w:val="0095055D"/>
    <w:pPr>
      <w:widowControl w:val="0"/>
    </w:pPr>
    <w:rPr>
      <w:snapToGrid w:val="0"/>
      <w:color w:val="0000FF"/>
      <w:szCs w:val="20"/>
    </w:rPr>
  </w:style>
  <w:style w:type="character" w:customStyle="1" w:styleId="BodyText3Char">
    <w:name w:val="Body Text 3 Char"/>
    <w:link w:val="BodyText3"/>
    <w:rsid w:val="0095055D"/>
    <w:rPr>
      <w:rFonts w:ascii="Calibri" w:eastAsia="Times New Roman" w:hAnsi="Calibri" w:cs="Times New Roman"/>
      <w:snapToGrid w:val="0"/>
      <w:color w:val="0000FF"/>
      <w:sz w:val="24"/>
      <w:szCs w:val="20"/>
    </w:rPr>
  </w:style>
  <w:style w:type="paragraph" w:customStyle="1" w:styleId="TableNotes">
    <w:name w:val="Table Notes"/>
    <w:basedOn w:val="Normal"/>
    <w:next w:val="Normal"/>
    <w:link w:val="TableNotesChar"/>
    <w:rsid w:val="0095055D"/>
    <w:pPr>
      <w:tabs>
        <w:tab w:val="left" w:pos="1134"/>
      </w:tabs>
      <w:ind w:left="1134" w:hanging="1134"/>
    </w:pPr>
    <w:rPr>
      <w:rFonts w:ascii="Verdana" w:eastAsia="SimSun" w:hAnsi="Verdana" w:cs="Arial"/>
      <w:sz w:val="16"/>
      <w:szCs w:val="16"/>
      <w:lang w:val="fi-FI" w:eastAsia="zh-CN"/>
    </w:rPr>
  </w:style>
  <w:style w:type="character" w:customStyle="1" w:styleId="TableNotesChar">
    <w:name w:val="Table Notes Char"/>
    <w:link w:val="TableNotes"/>
    <w:rsid w:val="0095055D"/>
    <w:rPr>
      <w:rFonts w:ascii="Verdana" w:eastAsia="SimSun" w:hAnsi="Verdana" w:cs="Arial"/>
      <w:sz w:val="16"/>
      <w:szCs w:val="16"/>
      <w:lang w:val="fi-FI" w:eastAsia="zh-CN"/>
    </w:rPr>
  </w:style>
  <w:style w:type="paragraph" w:customStyle="1" w:styleId="Tablecaption">
    <w:name w:val="Table caption"/>
    <w:basedOn w:val="Caption"/>
    <w:link w:val="TablecaptionChar"/>
    <w:rsid w:val="0095055D"/>
    <w:pPr>
      <w:keepNext/>
      <w:keepLines/>
      <w:widowControl w:val="0"/>
      <w:tabs>
        <w:tab w:val="left" w:pos="1700"/>
      </w:tabs>
      <w:adjustRightInd w:val="0"/>
      <w:spacing w:before="240"/>
      <w:textAlignment w:val="baseline"/>
    </w:pPr>
    <w:rPr>
      <w:rFonts w:ascii="Verdana" w:eastAsia="SimSun" w:hAnsi="Verdana"/>
      <w:lang w:eastAsia="zh-CN"/>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iPriority w:val="7"/>
    <w:rsid w:val="0095055D"/>
    <w:rPr>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uiPriority w:val="7"/>
    <w:rsid w:val="0095055D"/>
    <w:rPr>
      <w:rFonts w:ascii="Calibri" w:eastAsia="Times New Roman" w:hAnsi="Calibri" w:cs="Times New Roman"/>
      <w:b/>
      <w:bCs/>
      <w:sz w:val="20"/>
      <w:szCs w:val="20"/>
    </w:rPr>
  </w:style>
  <w:style w:type="character" w:customStyle="1" w:styleId="TablecaptionChar">
    <w:name w:val="Table caption Char"/>
    <w:link w:val="Tablecaption"/>
    <w:rsid w:val="0095055D"/>
    <w:rPr>
      <w:rFonts w:ascii="Verdana" w:eastAsia="SimSun" w:hAnsi="Verdana" w:cs="Times New Roman"/>
      <w:b/>
      <w:bCs/>
      <w:sz w:val="20"/>
      <w:szCs w:val="20"/>
      <w:lang w:eastAsia="zh-CN"/>
    </w:rPr>
  </w:style>
  <w:style w:type="character" w:styleId="Hyperlink">
    <w:name w:val="Hyperlink"/>
    <w:uiPriority w:val="99"/>
    <w:rsid w:val="0095055D"/>
    <w:rPr>
      <w:color w:val="0000FF"/>
      <w:u w:val="single"/>
    </w:rPr>
  </w:style>
  <w:style w:type="character" w:styleId="FollowedHyperlink">
    <w:name w:val="FollowedHyperlink"/>
    <w:rsid w:val="0095055D"/>
    <w:rPr>
      <w:color w:val="800080"/>
      <w:u w:val="single"/>
    </w:rPr>
  </w:style>
  <w:style w:type="table" w:styleId="TableGrid">
    <w:name w:val="Table Grid"/>
    <w:aliases w:val="Table Gridbeth,Summary box"/>
    <w:basedOn w:val="TableNormal"/>
    <w:uiPriority w:val="39"/>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rsid w:val="0095055D"/>
    <w:rPr>
      <w:rFonts w:ascii="Cambria" w:hAnsi="Cambria"/>
      <w:i/>
      <w:iCs/>
      <w:sz w:val="28"/>
      <w:szCs w:val="28"/>
    </w:rPr>
  </w:style>
  <w:style w:type="paragraph" w:customStyle="1" w:styleId="TableText0">
    <w:name w:val="Table Text"/>
    <w:basedOn w:val="Normal"/>
    <w:link w:val="TableTextChar"/>
    <w:qFormat/>
    <w:rsid w:val="0095055D"/>
    <w:pPr>
      <w:keepNext/>
    </w:pPr>
    <w:rPr>
      <w:rFonts w:ascii="Arial Narrow" w:hAnsi="Arial Narrow"/>
      <w:sz w:val="20"/>
      <w:szCs w:val="20"/>
    </w:rPr>
  </w:style>
  <w:style w:type="character" w:customStyle="1" w:styleId="TableTextChar">
    <w:name w:val="Table Text Char"/>
    <w:link w:val="TableText0"/>
    <w:rsid w:val="0095055D"/>
    <w:rPr>
      <w:rFonts w:ascii="Arial Narrow" w:eastAsia="Times New Roman" w:hAnsi="Arial Narrow" w:cs="Times New Roman"/>
      <w:sz w:val="20"/>
      <w:szCs w:val="20"/>
    </w:rPr>
  </w:style>
  <w:style w:type="character" w:styleId="IntenseReference">
    <w:name w:val="Intense Reference"/>
    <w:uiPriority w:val="32"/>
    <w:rsid w:val="0095055D"/>
    <w:rPr>
      <w:b/>
      <w:bCs/>
      <w:smallCaps/>
      <w:color w:val="C0504D"/>
      <w:spacing w:val="5"/>
      <w:u w:val="single"/>
    </w:rPr>
  </w:style>
  <w:style w:type="paragraph" w:styleId="TOCHeading">
    <w:name w:val="TOC Heading"/>
    <w:basedOn w:val="Heading1"/>
    <w:next w:val="Normal"/>
    <w:uiPriority w:val="39"/>
    <w:qFormat/>
    <w:rsid w:val="0095055D"/>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qFormat/>
    <w:rsid w:val="0095055D"/>
    <w:pPr>
      <w:tabs>
        <w:tab w:val="right" w:leader="dot" w:pos="8303"/>
      </w:tabs>
    </w:pPr>
    <w:rPr>
      <w:b/>
      <w:noProof/>
    </w:rPr>
  </w:style>
  <w:style w:type="paragraph" w:styleId="TOC2">
    <w:name w:val="toc 2"/>
    <w:basedOn w:val="Normal"/>
    <w:next w:val="Normal"/>
    <w:autoRedefine/>
    <w:uiPriority w:val="39"/>
    <w:qFormat/>
    <w:rsid w:val="0095055D"/>
    <w:pPr>
      <w:tabs>
        <w:tab w:val="left" w:pos="873"/>
        <w:tab w:val="left" w:pos="1100"/>
        <w:tab w:val="right" w:leader="dot" w:pos="8303"/>
      </w:tabs>
      <w:ind w:left="873" w:hanging="635"/>
    </w:pPr>
  </w:style>
  <w:style w:type="paragraph" w:styleId="TOC3">
    <w:name w:val="toc 3"/>
    <w:basedOn w:val="Normal"/>
    <w:next w:val="Normal"/>
    <w:autoRedefine/>
    <w:uiPriority w:val="39"/>
    <w:unhideWhenUsed/>
    <w:qFormat/>
    <w:rsid w:val="0095055D"/>
    <w:pPr>
      <w:tabs>
        <w:tab w:val="left" w:pos="1320"/>
        <w:tab w:val="right" w:leader="dot" w:pos="8303"/>
      </w:tabs>
      <w:ind w:left="873"/>
      <w:contextualSpacing/>
    </w:pPr>
    <w:rPr>
      <w:sz w:val="22"/>
      <w:szCs w:val="22"/>
      <w:lang w:val="en-US"/>
    </w:rPr>
  </w:style>
  <w:style w:type="paragraph" w:customStyle="1" w:styleId="Style1">
    <w:name w:val="Style1"/>
    <w:basedOn w:val="Heading2"/>
    <w:link w:val="Style1Char"/>
    <w:rsid w:val="0095055D"/>
    <w:rPr>
      <w:color w:val="000000"/>
      <w:sz w:val="40"/>
      <w:szCs w:val="40"/>
    </w:rPr>
  </w:style>
  <w:style w:type="character" w:customStyle="1" w:styleId="Style1Char">
    <w:name w:val="Style1 Char"/>
    <w:link w:val="Style1"/>
    <w:rsid w:val="0095055D"/>
    <w:rPr>
      <w:rFonts w:ascii="Cambria" w:eastAsia="Times New Roman" w:hAnsi="Cambria" w:cs="Times New Roman"/>
      <w:bCs/>
      <w:i/>
      <w:color w:val="000000"/>
      <w:sz w:val="40"/>
      <w:szCs w:val="40"/>
      <w:lang w:eastAsia="en-AU"/>
    </w:rPr>
  </w:style>
  <w:style w:type="paragraph" w:styleId="BodyText">
    <w:name w:val="Body Text"/>
    <w:basedOn w:val="Normal"/>
    <w:link w:val="BodyTextChar"/>
    <w:rsid w:val="0095055D"/>
    <w:pPr>
      <w:spacing w:after="120"/>
    </w:pPr>
  </w:style>
  <w:style w:type="character" w:customStyle="1" w:styleId="BodyTextChar">
    <w:name w:val="Body Text Char"/>
    <w:link w:val="BodyText"/>
    <w:rsid w:val="0095055D"/>
    <w:rPr>
      <w:rFonts w:ascii="Calibri" w:eastAsia="Times New Roman" w:hAnsi="Calibri" w:cs="Times New Roman"/>
      <w:sz w:val="24"/>
      <w:szCs w:val="24"/>
    </w:rPr>
  </w:style>
  <w:style w:type="paragraph" w:styleId="BodyText2">
    <w:name w:val="Body Text 2"/>
    <w:basedOn w:val="Normal"/>
    <w:link w:val="BodyText2Char"/>
    <w:rsid w:val="0095055D"/>
    <w:pPr>
      <w:spacing w:after="120" w:line="480" w:lineRule="auto"/>
    </w:pPr>
  </w:style>
  <w:style w:type="character" w:customStyle="1" w:styleId="BodyText2Char">
    <w:name w:val="Body Text 2 Char"/>
    <w:link w:val="BodyText2"/>
    <w:rsid w:val="0095055D"/>
    <w:rPr>
      <w:rFonts w:ascii="Calibri" w:eastAsia="Times New Roman" w:hAnsi="Calibri" w:cs="Times New Roman"/>
      <w:sz w:val="24"/>
      <w:szCs w:val="24"/>
    </w:rPr>
  </w:style>
  <w:style w:type="paragraph" w:styleId="BodyTextIndent">
    <w:name w:val="Body Text Indent"/>
    <w:basedOn w:val="Normal"/>
    <w:link w:val="BodyTextIndentChar"/>
    <w:rsid w:val="0095055D"/>
    <w:pPr>
      <w:spacing w:after="120"/>
      <w:ind w:left="283"/>
    </w:pPr>
  </w:style>
  <w:style w:type="character" w:customStyle="1" w:styleId="BodyTextIndentChar">
    <w:name w:val="Body Text Indent Char"/>
    <w:link w:val="BodyTextIndent"/>
    <w:rsid w:val="0095055D"/>
    <w:rPr>
      <w:rFonts w:ascii="Calibri" w:eastAsia="Times New Roman" w:hAnsi="Calibri" w:cs="Times New Roman"/>
      <w:sz w:val="24"/>
      <w:szCs w:val="24"/>
    </w:rPr>
  </w:style>
  <w:style w:type="paragraph" w:styleId="NormalWeb">
    <w:name w:val="Normal (Web)"/>
    <w:basedOn w:val="Normal"/>
    <w:uiPriority w:val="99"/>
    <w:rsid w:val="0095055D"/>
    <w:pPr>
      <w:spacing w:line="360" w:lineRule="auto"/>
    </w:pPr>
    <w:rPr>
      <w:rFonts w:ascii="Times New Roman" w:hAnsi="Times New Roman"/>
    </w:rPr>
  </w:style>
  <w:style w:type="paragraph" w:customStyle="1" w:styleId="TableText1">
    <w:name w:val="TableText"/>
    <w:basedOn w:val="Normal"/>
    <w:link w:val="TableTextChar0"/>
    <w:rsid w:val="0095055D"/>
    <w:pPr>
      <w:keepNext/>
      <w:spacing w:before="40" w:after="40"/>
    </w:pPr>
    <w:rPr>
      <w:rFonts w:ascii="Arial Narrow" w:hAnsi="Arial Narrow" w:cs="Arial Narrow"/>
      <w:sz w:val="20"/>
      <w:szCs w:val="20"/>
    </w:rPr>
  </w:style>
  <w:style w:type="character" w:customStyle="1" w:styleId="TableTextChar0">
    <w:name w:val="TableText Char"/>
    <w:link w:val="TableText1"/>
    <w:uiPriority w:val="99"/>
    <w:rsid w:val="0095055D"/>
    <w:rPr>
      <w:rFonts w:ascii="Arial Narrow" w:eastAsia="Times New Roman" w:hAnsi="Arial Narrow" w:cs="Arial Narrow"/>
      <w:sz w:val="20"/>
      <w:szCs w:val="20"/>
    </w:rPr>
  </w:style>
  <w:style w:type="paragraph" w:styleId="Date">
    <w:name w:val="Date"/>
    <w:basedOn w:val="Normal"/>
    <w:next w:val="Normal"/>
    <w:link w:val="DateChar"/>
    <w:rsid w:val="0095055D"/>
    <w:pPr>
      <w:spacing w:line="360" w:lineRule="auto"/>
    </w:pPr>
    <w:rPr>
      <w:rFonts w:ascii="Times New Roman" w:hAnsi="Times New Roman"/>
      <w:sz w:val="22"/>
      <w:szCs w:val="23"/>
    </w:rPr>
  </w:style>
  <w:style w:type="character" w:customStyle="1" w:styleId="DateChar">
    <w:name w:val="Date Char"/>
    <w:link w:val="Date"/>
    <w:rsid w:val="0095055D"/>
    <w:rPr>
      <w:rFonts w:ascii="Times New Roman" w:eastAsia="Times New Roman" w:hAnsi="Times New Roman" w:cs="Times New Roman"/>
      <w:szCs w:val="23"/>
    </w:rPr>
  </w:style>
  <w:style w:type="paragraph" w:customStyle="1" w:styleId="Table">
    <w:name w:val="Table"/>
    <w:basedOn w:val="Normal"/>
    <w:link w:val="TableChar"/>
    <w:rsid w:val="0095055D"/>
    <w:pPr>
      <w:widowControl w:val="0"/>
      <w:suppressAutoHyphens/>
      <w:overflowPunct w:val="0"/>
      <w:autoSpaceDE w:val="0"/>
      <w:autoSpaceDN w:val="0"/>
      <w:adjustRightInd w:val="0"/>
      <w:spacing w:before="60" w:after="60" w:line="360" w:lineRule="auto"/>
    </w:pPr>
    <w:rPr>
      <w:rFonts w:ascii="Arial" w:hAnsi="Arial"/>
      <w:sz w:val="22"/>
      <w:szCs w:val="20"/>
      <w:lang w:val="en-US"/>
    </w:rPr>
  </w:style>
  <w:style w:type="character" w:customStyle="1" w:styleId="TableChar">
    <w:name w:val="Table Char"/>
    <w:link w:val="Table"/>
    <w:locked/>
    <w:rsid w:val="0095055D"/>
    <w:rPr>
      <w:rFonts w:ascii="Arial" w:eastAsia="Times New Roman" w:hAnsi="Arial" w:cs="Times New Roman"/>
      <w:szCs w:val="20"/>
      <w:lang w:val="en-US"/>
    </w:rPr>
  </w:style>
  <w:style w:type="table" w:styleId="LightList-Accent3">
    <w:name w:val="Light List Accent 3"/>
    <w:basedOn w:val="TableNormal"/>
    <w:uiPriority w:val="61"/>
    <w:rsid w:val="0095055D"/>
    <w:rPr>
      <w:rFonts w:eastAsia="Times New Roman"/>
      <w:lang w:val="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Web1">
    <w:name w:val="Table Web 1"/>
    <w:basedOn w:val="TableNormal"/>
    <w:rsid w:val="0095055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Heading"/>
    <w:basedOn w:val="TableText1"/>
    <w:rsid w:val="0095055D"/>
    <w:rPr>
      <w:b/>
      <w:bCs/>
    </w:rPr>
  </w:style>
  <w:style w:type="paragraph" w:styleId="TOC4">
    <w:name w:val="toc 4"/>
    <w:basedOn w:val="Normal"/>
    <w:next w:val="Normal"/>
    <w:autoRedefine/>
    <w:uiPriority w:val="39"/>
    <w:rsid w:val="0095055D"/>
    <w:pPr>
      <w:tabs>
        <w:tab w:val="right" w:leader="dot" w:pos="8303"/>
      </w:tabs>
      <w:ind w:left="720"/>
    </w:pPr>
  </w:style>
  <w:style w:type="paragraph" w:styleId="TOC5">
    <w:name w:val="toc 5"/>
    <w:basedOn w:val="Normal"/>
    <w:next w:val="Normal"/>
    <w:autoRedefine/>
    <w:uiPriority w:val="39"/>
    <w:unhideWhenUsed/>
    <w:rsid w:val="0095055D"/>
    <w:pPr>
      <w:spacing w:after="100" w:line="276" w:lineRule="auto"/>
      <w:ind w:left="880"/>
    </w:pPr>
    <w:rPr>
      <w:sz w:val="22"/>
      <w:szCs w:val="22"/>
      <w:lang w:eastAsia="en-AU"/>
    </w:rPr>
  </w:style>
  <w:style w:type="paragraph" w:styleId="TOC6">
    <w:name w:val="toc 6"/>
    <w:basedOn w:val="Normal"/>
    <w:next w:val="Normal"/>
    <w:autoRedefine/>
    <w:uiPriority w:val="39"/>
    <w:unhideWhenUsed/>
    <w:rsid w:val="0095055D"/>
    <w:pPr>
      <w:spacing w:after="100" w:line="276" w:lineRule="auto"/>
      <w:ind w:left="1100"/>
    </w:pPr>
    <w:rPr>
      <w:sz w:val="22"/>
      <w:szCs w:val="22"/>
      <w:lang w:eastAsia="en-AU"/>
    </w:rPr>
  </w:style>
  <w:style w:type="paragraph" w:styleId="TOC7">
    <w:name w:val="toc 7"/>
    <w:basedOn w:val="Normal"/>
    <w:next w:val="Normal"/>
    <w:autoRedefine/>
    <w:uiPriority w:val="39"/>
    <w:unhideWhenUsed/>
    <w:rsid w:val="0095055D"/>
    <w:pPr>
      <w:spacing w:after="100" w:line="276" w:lineRule="auto"/>
      <w:ind w:left="1320"/>
    </w:pPr>
    <w:rPr>
      <w:sz w:val="22"/>
      <w:szCs w:val="22"/>
      <w:lang w:eastAsia="en-AU"/>
    </w:rPr>
  </w:style>
  <w:style w:type="paragraph" w:styleId="TOC8">
    <w:name w:val="toc 8"/>
    <w:basedOn w:val="Normal"/>
    <w:next w:val="Normal"/>
    <w:autoRedefine/>
    <w:uiPriority w:val="39"/>
    <w:unhideWhenUsed/>
    <w:rsid w:val="0095055D"/>
    <w:pPr>
      <w:spacing w:after="100" w:line="276" w:lineRule="auto"/>
      <w:ind w:left="1540"/>
    </w:pPr>
    <w:rPr>
      <w:sz w:val="22"/>
      <w:szCs w:val="22"/>
      <w:lang w:eastAsia="en-AU"/>
    </w:rPr>
  </w:style>
  <w:style w:type="paragraph" w:styleId="TOC9">
    <w:name w:val="toc 9"/>
    <w:basedOn w:val="Normal"/>
    <w:next w:val="Normal"/>
    <w:autoRedefine/>
    <w:uiPriority w:val="39"/>
    <w:unhideWhenUsed/>
    <w:rsid w:val="0095055D"/>
    <w:pPr>
      <w:spacing w:after="100" w:line="276" w:lineRule="auto"/>
      <w:ind w:left="1760"/>
    </w:pPr>
    <w:rPr>
      <w:sz w:val="22"/>
      <w:szCs w:val="22"/>
      <w:lang w:eastAsia="en-AU"/>
    </w:rPr>
  </w:style>
  <w:style w:type="paragraph" w:styleId="Subtitle">
    <w:name w:val="Subtitle"/>
    <w:basedOn w:val="Normal"/>
    <w:next w:val="Normal"/>
    <w:link w:val="SubtitleChar"/>
    <w:rsid w:val="0095055D"/>
    <w:pPr>
      <w:spacing w:after="60"/>
      <w:jc w:val="center"/>
      <w:outlineLvl w:val="1"/>
    </w:pPr>
    <w:rPr>
      <w:rFonts w:ascii="Cambria" w:hAnsi="Cambria"/>
    </w:rPr>
  </w:style>
  <w:style w:type="character" w:customStyle="1" w:styleId="SubtitleChar">
    <w:name w:val="Subtitle Char"/>
    <w:link w:val="Subtitle"/>
    <w:rsid w:val="0095055D"/>
    <w:rPr>
      <w:rFonts w:ascii="Cambria" w:eastAsia="Times New Roman" w:hAnsi="Cambria" w:cs="Times New Roman"/>
      <w:sz w:val="24"/>
      <w:szCs w:val="24"/>
    </w:rPr>
  </w:style>
  <w:style w:type="paragraph" w:customStyle="1" w:styleId="TableFooter">
    <w:name w:val="Table Footer"/>
    <w:basedOn w:val="Normal"/>
    <w:uiPriority w:val="4"/>
    <w:qFormat/>
    <w:rsid w:val="0095055D"/>
    <w:pPr>
      <w:widowControl w:val="0"/>
      <w:spacing w:before="20"/>
    </w:pPr>
    <w:rPr>
      <w:rFonts w:ascii="Arial Narrow" w:eastAsia="TimesNewRoman" w:hAnsi="Arial Narrow" w:cs="Arial"/>
      <w:snapToGrid w:val="0"/>
      <w:sz w:val="18"/>
      <w:szCs w:val="18"/>
      <w:lang w:eastAsia="en-GB"/>
    </w:rPr>
  </w:style>
  <w:style w:type="paragraph" w:customStyle="1" w:styleId="Paragraphheading1">
    <w:name w:val="Paragraph heading 1"/>
    <w:link w:val="Paragraphheading1Char"/>
    <w:qFormat/>
    <w:rsid w:val="0095055D"/>
    <w:rPr>
      <w:rFonts w:ascii="Calibri Light" w:eastAsia="Times New Roman" w:hAnsi="Calibri Light" w:cs="Arial"/>
      <w:i/>
      <w:snapToGrid w:val="0"/>
      <w:sz w:val="32"/>
      <w:szCs w:val="32"/>
      <w:lang w:eastAsia="en-US"/>
    </w:rPr>
  </w:style>
  <w:style w:type="paragraph" w:styleId="Quote">
    <w:name w:val="Quote"/>
    <w:basedOn w:val="Normal"/>
    <w:next w:val="Normal"/>
    <w:link w:val="QuoteChar"/>
    <w:uiPriority w:val="29"/>
    <w:rsid w:val="0095055D"/>
    <w:rPr>
      <w:i/>
      <w:iCs/>
      <w:color w:val="000000"/>
    </w:rPr>
  </w:style>
  <w:style w:type="character" w:customStyle="1" w:styleId="QuoteChar">
    <w:name w:val="Quote Char"/>
    <w:link w:val="Quote"/>
    <w:uiPriority w:val="29"/>
    <w:rsid w:val="0095055D"/>
    <w:rPr>
      <w:rFonts w:ascii="Calibri" w:eastAsia="Times New Roman" w:hAnsi="Calibri" w:cs="Times New Roman"/>
      <w:i/>
      <w:iCs/>
      <w:color w:val="000000"/>
      <w:sz w:val="24"/>
      <w:szCs w:val="24"/>
    </w:rPr>
  </w:style>
  <w:style w:type="paragraph" w:customStyle="1" w:styleId="unboldsubheading">
    <w:name w:val="unbold subheading"/>
    <w:basedOn w:val="Heading3"/>
    <w:next w:val="Heading3"/>
    <w:link w:val="unboldsubheadingChar"/>
    <w:rsid w:val="0095055D"/>
    <w:rPr>
      <w:sz w:val="24"/>
    </w:rPr>
  </w:style>
  <w:style w:type="character" w:customStyle="1" w:styleId="unboldsubheadingChar">
    <w:name w:val="unbold subheading Char"/>
    <w:link w:val="unboldsubheading"/>
    <w:rsid w:val="0095055D"/>
    <w:rPr>
      <w:rFonts w:ascii="Calibri" w:eastAsia="Times New Roman" w:hAnsi="Calibri" w:cs="Times New Roman"/>
      <w:b/>
      <w:bCs/>
      <w:smallCaps/>
      <w:sz w:val="24"/>
    </w:rPr>
  </w:style>
  <w:style w:type="paragraph" w:customStyle="1" w:styleId="PBACheading1">
    <w:name w:val="PBAC heading 1"/>
    <w:rsid w:val="0095055D"/>
    <w:pPr>
      <w:ind w:left="720" w:hanging="720"/>
    </w:pPr>
    <w:rPr>
      <w:rFonts w:ascii="Arial" w:eastAsia="Times New Roman" w:hAnsi="Arial" w:cs="Arial"/>
      <w:snapToGrid w:val="0"/>
      <w:sz w:val="22"/>
      <w:szCs w:val="22"/>
      <w:lang w:eastAsia="en-US"/>
    </w:rPr>
  </w:style>
  <w:style w:type="paragraph" w:customStyle="1" w:styleId="TableHeading0">
    <w:name w:val="Table Heading"/>
    <w:basedOn w:val="TableText0"/>
    <w:link w:val="TableHeadingChar"/>
    <w:qFormat/>
    <w:rsid w:val="0095055D"/>
    <w:rPr>
      <w:rFonts w:eastAsia="SimSun" w:cs="Arial"/>
      <w:b/>
      <w:lang w:eastAsia="en-AU" w:bidi="en-US"/>
    </w:rPr>
  </w:style>
  <w:style w:type="character" w:customStyle="1" w:styleId="TableHeadingChar">
    <w:name w:val="Table Heading Char"/>
    <w:link w:val="TableHeading0"/>
    <w:locked/>
    <w:rsid w:val="0095055D"/>
    <w:rPr>
      <w:rFonts w:ascii="Arial Narrow" w:eastAsia="SimSun" w:hAnsi="Arial Narrow" w:cs="Arial"/>
      <w:b/>
      <w:sz w:val="20"/>
      <w:szCs w:val="20"/>
      <w:lang w:eastAsia="en-AU" w:bidi="en-US"/>
    </w:rPr>
  </w:style>
  <w:style w:type="paragraph" w:customStyle="1" w:styleId="Sources">
    <w:name w:val="Sources"/>
    <w:basedOn w:val="Normal"/>
    <w:rsid w:val="0095055D"/>
    <w:pPr>
      <w:spacing w:before="120" w:after="120"/>
    </w:pPr>
    <w:rPr>
      <w:rFonts w:ascii="Arial" w:eastAsia="Calibri" w:hAnsi="Arial"/>
      <w:sz w:val="16"/>
      <w:szCs w:val="22"/>
    </w:rPr>
  </w:style>
  <w:style w:type="paragraph" w:customStyle="1" w:styleId="FigureA">
    <w:name w:val="Figure A"/>
    <w:basedOn w:val="Normal"/>
    <w:next w:val="Normal"/>
    <w:rsid w:val="0095055D"/>
    <w:pPr>
      <w:numPr>
        <w:numId w:val="5"/>
      </w:numPr>
      <w:tabs>
        <w:tab w:val="left" w:pos="1134"/>
      </w:tabs>
      <w:spacing w:after="120"/>
      <w:ind w:left="1134" w:hanging="1134"/>
    </w:pPr>
    <w:rPr>
      <w:rFonts w:ascii="Arial Bold" w:hAnsi="Arial Bold"/>
      <w:b/>
      <w:sz w:val="20"/>
    </w:rPr>
  </w:style>
  <w:style w:type="paragraph" w:customStyle="1" w:styleId="PBACHeading10">
    <w:name w:val="PBAC Heading 1"/>
    <w:qFormat/>
    <w:rsid w:val="0095055D"/>
    <w:rPr>
      <w:rFonts w:ascii="Arial" w:eastAsia="Times New Roman" w:hAnsi="Arial" w:cs="Arial"/>
      <w:b/>
      <w:snapToGrid w:val="0"/>
      <w:sz w:val="22"/>
      <w:szCs w:val="22"/>
      <w:lang w:eastAsia="en-US"/>
    </w:rPr>
  </w:style>
  <w:style w:type="paragraph" w:customStyle="1" w:styleId="Tabletitle">
    <w:name w:val="Table title"/>
    <w:basedOn w:val="Normal"/>
    <w:next w:val="Normal"/>
    <w:link w:val="TabletitleChar"/>
    <w:rsid w:val="0095055D"/>
    <w:pPr>
      <w:tabs>
        <w:tab w:val="num" w:pos="720"/>
      </w:tabs>
      <w:spacing w:before="240" w:after="120"/>
    </w:pPr>
    <w:rPr>
      <w:rFonts w:ascii="Arial" w:hAnsi="Arial" w:cs="Arial"/>
      <w:b/>
      <w:sz w:val="20"/>
      <w:szCs w:val="22"/>
      <w:lang w:val="en-GB" w:eastAsia="en-GB"/>
    </w:rPr>
  </w:style>
  <w:style w:type="character" w:customStyle="1" w:styleId="TabletitleChar">
    <w:name w:val="Table title Char"/>
    <w:link w:val="Tabletitle"/>
    <w:rsid w:val="0095055D"/>
    <w:rPr>
      <w:rFonts w:ascii="Arial" w:eastAsia="Times New Roman" w:hAnsi="Arial" w:cs="Arial"/>
      <w:b/>
      <w:sz w:val="20"/>
      <w:lang w:val="en-GB" w:eastAsia="en-GB"/>
    </w:rPr>
  </w:style>
  <w:style w:type="paragraph" w:customStyle="1" w:styleId="Guidelines">
    <w:name w:val="Guidelines"/>
    <w:basedOn w:val="Normal"/>
    <w:link w:val="GuidelinesChar"/>
    <w:rsid w:val="0095055D"/>
    <w:pPr>
      <w:tabs>
        <w:tab w:val="num" w:pos="1080"/>
      </w:tabs>
      <w:ind w:left="720" w:hanging="360"/>
    </w:pPr>
    <w:rPr>
      <w:rFonts w:ascii="Garamond" w:hAnsi="Garamond"/>
      <w:color w:val="8496B0"/>
    </w:rPr>
  </w:style>
  <w:style w:type="character" w:customStyle="1" w:styleId="GuidelinesChar">
    <w:name w:val="Guidelines Char"/>
    <w:link w:val="Guidelines"/>
    <w:rsid w:val="0095055D"/>
    <w:rPr>
      <w:rFonts w:ascii="Garamond" w:eastAsia="Times New Roman" w:hAnsi="Garamond" w:cs="Times New Roman"/>
      <w:color w:val="8496B0"/>
      <w:sz w:val="24"/>
      <w:szCs w:val="24"/>
    </w:rPr>
  </w:style>
  <w:style w:type="paragraph" w:customStyle="1" w:styleId="Tabletextbold">
    <w:name w:val="Table text bold"/>
    <w:basedOn w:val="Normal"/>
    <w:link w:val="TabletextboldChar"/>
    <w:rsid w:val="0095055D"/>
    <w:pPr>
      <w:keepNext/>
      <w:jc w:val="center"/>
    </w:pPr>
    <w:rPr>
      <w:rFonts w:ascii="Arial Narrow" w:hAnsi="Arial Narrow" w:cs="Arial"/>
      <w:b/>
      <w:sz w:val="20"/>
      <w:szCs w:val="20"/>
    </w:rPr>
  </w:style>
  <w:style w:type="character" w:customStyle="1" w:styleId="TabletextboldChar">
    <w:name w:val="Table text bold Char"/>
    <w:link w:val="Tabletextbold"/>
    <w:rsid w:val="0095055D"/>
    <w:rPr>
      <w:rFonts w:ascii="Arial Narrow" w:eastAsia="Times New Roman" w:hAnsi="Arial Narrow" w:cs="Arial"/>
      <w:b/>
      <w:sz w:val="20"/>
      <w:szCs w:val="20"/>
    </w:rPr>
  </w:style>
  <w:style w:type="character" w:customStyle="1" w:styleId="TabletextChar2">
    <w:name w:val="Table text Char"/>
    <w:rsid w:val="0095055D"/>
    <w:rPr>
      <w:rFonts w:ascii="Arial Narrow" w:eastAsia="Times New Roman" w:hAnsi="Arial Narrow" w:cs="Times New Roman"/>
      <w:sz w:val="20"/>
      <w:szCs w:val="24"/>
    </w:rPr>
  </w:style>
  <w:style w:type="paragraph" w:customStyle="1" w:styleId="Tabletextboldleft">
    <w:name w:val="Table text bold left"/>
    <w:basedOn w:val="Tabletextbold"/>
    <w:link w:val="TabletextboldleftChar"/>
    <w:rsid w:val="0095055D"/>
    <w:pPr>
      <w:jc w:val="left"/>
    </w:pPr>
  </w:style>
  <w:style w:type="character" w:customStyle="1" w:styleId="TabletextboldleftChar">
    <w:name w:val="Table text bold left Char"/>
    <w:link w:val="Tabletextboldleft"/>
    <w:rsid w:val="0095055D"/>
    <w:rPr>
      <w:rFonts w:ascii="Arial Narrow" w:eastAsia="Times New Roman" w:hAnsi="Arial Narrow" w:cs="Arial"/>
      <w:b/>
      <w:sz w:val="20"/>
      <w:szCs w:val="20"/>
    </w:rPr>
  </w:style>
  <w:style w:type="paragraph" w:styleId="Revision">
    <w:name w:val="Revision"/>
    <w:hidden/>
    <w:uiPriority w:val="99"/>
    <w:semiHidden/>
    <w:rsid w:val="0095055D"/>
    <w:rPr>
      <w:rFonts w:eastAsia="Times New Roman"/>
      <w:sz w:val="24"/>
      <w:szCs w:val="24"/>
      <w:lang w:eastAsia="en-US"/>
    </w:rPr>
  </w:style>
  <w:style w:type="table" w:customStyle="1" w:styleId="Table-HERONplain">
    <w:name w:val="Table - HERON plain"/>
    <w:basedOn w:val="TableNormal"/>
    <w:uiPriority w:val="99"/>
    <w:qFormat/>
    <w:rsid w:val="0095055D"/>
    <w:rPr>
      <w:rFonts w:ascii="Tahoma" w:eastAsia="Tahoma" w:hAnsi="Tahoma"/>
      <w:sz w:val="16"/>
      <w:lang w:val="en-GB" w:eastAsia="en-GB"/>
    </w:rPr>
    <w:tblPr>
      <w:tblStyleRowBandSize w:val="1"/>
      <w:tblInd w:w="113" w:type="dxa"/>
      <w:tblBorders>
        <w:top w:val="single" w:sz="8" w:space="0" w:color="002C77"/>
        <w:left w:val="single" w:sz="8" w:space="0" w:color="002C77"/>
        <w:bottom w:val="single" w:sz="8" w:space="0" w:color="002C77"/>
        <w:right w:val="single" w:sz="8" w:space="0" w:color="002C77"/>
        <w:insideH w:val="single" w:sz="8" w:space="0" w:color="002C77"/>
        <w:insideV w:val="single" w:sz="8" w:space="0" w:color="002C77"/>
      </w:tblBorders>
      <w:tblCellMar>
        <w:top w:w="0" w:type="dxa"/>
        <w:left w:w="108" w:type="dxa"/>
        <w:bottom w:w="0" w:type="dxa"/>
        <w:right w:w="108" w:type="dxa"/>
      </w:tblCellMar>
    </w:tblPr>
    <w:trPr>
      <w:cantSplit/>
    </w:trPr>
    <w:tcPr>
      <w:shd w:val="clear" w:color="auto" w:fill="auto"/>
      <w:vAlign w:val="center"/>
    </w:tcPr>
    <w:tblStylePr w:type="firstRow">
      <w:rPr>
        <w:rFonts w:ascii="Calibri Light" w:hAnsi="Calibri Light"/>
        <w:b w:val="0"/>
        <w:sz w:val="16"/>
      </w:rPr>
      <w:tblPr/>
      <w:trPr>
        <w:cantSplit w:val="0"/>
        <w:tblHeader/>
      </w:trPr>
      <w:tcPr>
        <w:shd w:val="clear" w:color="auto" w:fill="C7C7C7"/>
      </w:tcPr>
    </w:tblStylePr>
    <w:tblStylePr w:type="lastRow">
      <w:rPr>
        <w:rFonts w:ascii="Calibri Light" w:hAnsi="Calibri Light"/>
        <w:sz w:val="16"/>
      </w:rPr>
      <w:tblPr/>
      <w:tcPr>
        <w:shd w:val="clear" w:color="auto" w:fill="DEDEDE"/>
      </w:tcPr>
    </w:tblStylePr>
    <w:tblStylePr w:type="firstCol">
      <w:rPr>
        <w:b/>
      </w:rPr>
      <w:tblPr/>
      <w:tcPr>
        <w:shd w:val="clear" w:color="auto" w:fill="BFBFBF"/>
      </w:tcPr>
    </w:tblStylePr>
    <w:tblStylePr w:type="band2Horz">
      <w:rPr>
        <w:rFonts w:ascii="Calibri Light" w:hAnsi="Calibri Light"/>
        <w:sz w:val="16"/>
      </w:rPr>
    </w:tblStylePr>
  </w:style>
  <w:style w:type="character" w:styleId="PlaceholderText">
    <w:name w:val="Placeholder Text"/>
    <w:uiPriority w:val="99"/>
    <w:semiHidden/>
    <w:rsid w:val="0095055D"/>
    <w:rPr>
      <w:color w:val="808080"/>
    </w:rPr>
  </w:style>
  <w:style w:type="character" w:customStyle="1" w:styleId="apple-converted-space">
    <w:name w:val="apple-converted-space"/>
    <w:basedOn w:val="DefaultParagraphFont"/>
    <w:rsid w:val="0095055D"/>
  </w:style>
  <w:style w:type="paragraph" w:customStyle="1" w:styleId="Equation-H22">
    <w:name w:val="Equation - H22"/>
    <w:basedOn w:val="BodyText"/>
    <w:next w:val="Normal"/>
    <w:autoRedefine/>
    <w:uiPriority w:val="1"/>
    <w:rsid w:val="0095055D"/>
    <w:pPr>
      <w:keepLines/>
      <w:widowControl w:val="0"/>
      <w:spacing w:before="240"/>
      <w:jc w:val="center"/>
    </w:pPr>
    <w:rPr>
      <w:rFonts w:ascii="Book Antiqua" w:hAnsi="Book Antiqua"/>
      <w:i/>
      <w:color w:val="000000"/>
      <w:sz w:val="22"/>
      <w:lang w:val="en-GB"/>
    </w:rPr>
  </w:style>
  <w:style w:type="paragraph" w:customStyle="1" w:styleId="Tableheadertwo">
    <w:name w:val="Table header two"/>
    <w:basedOn w:val="BodyText"/>
    <w:next w:val="BodyText"/>
    <w:uiPriority w:val="99"/>
    <w:rsid w:val="0095055D"/>
    <w:pPr>
      <w:tabs>
        <w:tab w:val="left" w:pos="1134"/>
      </w:tabs>
      <w:spacing w:before="20" w:after="40"/>
      <w:jc w:val="left"/>
    </w:pPr>
    <w:rPr>
      <w:rFonts w:ascii="Arial" w:hAnsi="Arial"/>
      <w:b/>
      <w:sz w:val="18"/>
      <w:szCs w:val="20"/>
      <w:lang w:val="en-US"/>
    </w:rPr>
  </w:style>
  <w:style w:type="paragraph" w:customStyle="1" w:styleId="TableHeader">
    <w:name w:val="Table Header"/>
    <w:basedOn w:val="Normal"/>
    <w:next w:val="Normal"/>
    <w:uiPriority w:val="3"/>
    <w:rsid w:val="0095055D"/>
    <w:pPr>
      <w:widowControl w:val="0"/>
    </w:pPr>
    <w:rPr>
      <w:rFonts w:ascii="Arial Narrow" w:hAnsi="Arial Narrow" w:cs="Arial"/>
      <w:b/>
      <w:snapToGrid w:val="0"/>
      <w:sz w:val="20"/>
      <w:szCs w:val="20"/>
    </w:rPr>
  </w:style>
  <w:style w:type="paragraph" w:customStyle="1" w:styleId="Tableheader1">
    <w:name w:val="Table header 1"/>
    <w:basedOn w:val="Normal"/>
    <w:link w:val="Tableheader1Char"/>
    <w:uiPriority w:val="99"/>
    <w:rsid w:val="0095055D"/>
    <w:pPr>
      <w:spacing w:after="120"/>
      <w:jc w:val="center"/>
    </w:pPr>
    <w:rPr>
      <w:rFonts w:ascii="Arial" w:hAnsi="Arial"/>
      <w:b/>
      <w:sz w:val="18"/>
      <w:szCs w:val="22"/>
      <w:lang w:val="en-US"/>
    </w:rPr>
  </w:style>
  <w:style w:type="character" w:customStyle="1" w:styleId="Tableheader1Char">
    <w:name w:val="Table header 1 Char"/>
    <w:link w:val="Tableheader1"/>
    <w:uiPriority w:val="99"/>
    <w:rsid w:val="0095055D"/>
    <w:rPr>
      <w:rFonts w:ascii="Arial" w:eastAsia="Times New Roman" w:hAnsi="Arial" w:cs="Times New Roman"/>
      <w:b/>
      <w:sz w:val="18"/>
      <w:lang w:val="en-US"/>
    </w:rPr>
  </w:style>
  <w:style w:type="paragraph" w:customStyle="1" w:styleId="Footnote">
    <w:name w:val="Footnote"/>
    <w:basedOn w:val="Normal"/>
    <w:rsid w:val="0095055D"/>
    <w:pPr>
      <w:spacing w:before="40"/>
      <w:jc w:val="left"/>
    </w:pPr>
    <w:rPr>
      <w:rFonts w:ascii="Arial" w:hAnsi="Arial"/>
      <w:sz w:val="18"/>
      <w:szCs w:val="18"/>
      <w:lang w:val="en-US"/>
    </w:rPr>
  </w:style>
  <w:style w:type="paragraph" w:customStyle="1" w:styleId="Tabletext9ptbulleted">
    <w:name w:val="Table text +9pt bulleted"/>
    <w:basedOn w:val="Normal"/>
    <w:rsid w:val="0095055D"/>
    <w:pPr>
      <w:keepNext/>
      <w:numPr>
        <w:numId w:val="6"/>
      </w:numPr>
      <w:autoSpaceDE w:val="0"/>
      <w:autoSpaceDN w:val="0"/>
      <w:adjustRightInd w:val="0"/>
      <w:spacing w:before="80" w:after="120" w:line="240" w:lineRule="exact"/>
      <w:jc w:val="left"/>
    </w:pPr>
    <w:rPr>
      <w:rFonts w:ascii="Arial" w:hAnsi="Arial" w:cs="Arial"/>
      <w:sz w:val="18"/>
      <w:szCs w:val="18"/>
      <w:lang w:val="en-US"/>
    </w:rPr>
  </w:style>
  <w:style w:type="character" w:customStyle="1" w:styleId="SmallBold">
    <w:name w:val="Small Bold"/>
    <w:uiPriority w:val="4"/>
    <w:rsid w:val="0095055D"/>
    <w:rPr>
      <w:rFonts w:ascii="Candara" w:hAnsi="Candara"/>
      <w:b/>
      <w:sz w:val="20"/>
      <w:lang w:val="en-AU"/>
    </w:rPr>
  </w:style>
  <w:style w:type="paragraph" w:customStyle="1" w:styleId="Tableorfigurefootnoteindent">
    <w:name w:val="Table or figure footnote indent"/>
    <w:basedOn w:val="Normal"/>
    <w:rsid w:val="0095055D"/>
    <w:pPr>
      <w:spacing w:before="40"/>
      <w:ind w:left="360" w:hanging="360"/>
      <w:jc w:val="left"/>
    </w:pPr>
    <w:rPr>
      <w:rFonts w:ascii="Arial" w:hAnsi="Arial"/>
      <w:sz w:val="16"/>
      <w:szCs w:val="20"/>
      <w:lang w:val="en-US"/>
    </w:rPr>
  </w:style>
  <w:style w:type="paragraph" w:customStyle="1" w:styleId="TextUnderTable">
    <w:name w:val="Text Under Table"/>
    <w:basedOn w:val="Normal"/>
    <w:rsid w:val="0095055D"/>
    <w:pPr>
      <w:spacing w:after="160" w:line="259" w:lineRule="auto"/>
      <w:jc w:val="left"/>
    </w:pPr>
    <w:rPr>
      <w:rFonts w:eastAsia="Calibri"/>
      <w:i/>
      <w:sz w:val="16"/>
      <w:szCs w:val="22"/>
      <w:lang w:val="en-US"/>
    </w:rPr>
  </w:style>
  <w:style w:type="paragraph" w:customStyle="1" w:styleId="Tableorfigurefootnote">
    <w:name w:val="Table or figure footnote"/>
    <w:next w:val="BodyText"/>
    <w:link w:val="TableorfigurefootnoteChar"/>
    <w:rsid w:val="0095055D"/>
    <w:rPr>
      <w:rFonts w:ascii="Arial" w:eastAsia="Times New Roman" w:hAnsi="Arial"/>
      <w:sz w:val="16"/>
      <w:szCs w:val="22"/>
      <w:lang w:val="en-GB" w:eastAsia="en-GB"/>
    </w:rPr>
  </w:style>
  <w:style w:type="character" w:customStyle="1" w:styleId="TableorfigurefootnoteChar">
    <w:name w:val="Table or figure footnote Char"/>
    <w:link w:val="Tableorfigurefootnote"/>
    <w:rsid w:val="0095055D"/>
    <w:rPr>
      <w:rFonts w:ascii="Arial" w:eastAsia="Times New Roman" w:hAnsi="Arial" w:cs="Times New Roman"/>
      <w:sz w:val="16"/>
      <w:lang w:val="en-GB" w:eastAsia="en-GB"/>
    </w:rPr>
  </w:style>
  <w:style w:type="paragraph" w:customStyle="1" w:styleId="TableCentre">
    <w:name w:val="Table Centre"/>
    <w:basedOn w:val="Table"/>
    <w:link w:val="TableCentreChar"/>
    <w:rsid w:val="0095055D"/>
    <w:pPr>
      <w:widowControl/>
      <w:suppressAutoHyphens w:val="0"/>
      <w:overflowPunct/>
      <w:autoSpaceDE/>
      <w:autoSpaceDN/>
      <w:adjustRightInd/>
      <w:spacing w:before="0" w:after="0" w:line="240" w:lineRule="auto"/>
      <w:jc w:val="center"/>
    </w:pPr>
    <w:rPr>
      <w:rFonts w:ascii="Candara" w:hAnsi="Candara"/>
      <w:sz w:val="20"/>
      <w:szCs w:val="22"/>
      <w:lang w:bidi="en-US"/>
    </w:rPr>
  </w:style>
  <w:style w:type="character" w:customStyle="1" w:styleId="TableCentreChar">
    <w:name w:val="Table Centre Char"/>
    <w:link w:val="TableCentre"/>
    <w:rsid w:val="0095055D"/>
    <w:rPr>
      <w:rFonts w:ascii="Candara" w:eastAsia="Times New Roman" w:hAnsi="Candara" w:cs="Times New Roman"/>
      <w:sz w:val="20"/>
      <w:lang w:val="en-US" w:bidi="en-US"/>
    </w:rPr>
  </w:style>
  <w:style w:type="paragraph" w:customStyle="1" w:styleId="CaptionFootnote">
    <w:name w:val="Caption Footnote"/>
    <w:basedOn w:val="Caption"/>
    <w:uiPriority w:val="99"/>
    <w:rsid w:val="0095055D"/>
    <w:pPr>
      <w:widowControl w:val="0"/>
      <w:jc w:val="left"/>
    </w:pPr>
    <w:rPr>
      <w:rFonts w:ascii="Candara" w:hAnsi="Candara"/>
      <w:b w:val="0"/>
      <w:sz w:val="16"/>
      <w:szCs w:val="18"/>
      <w:lang w:val="en-US" w:bidi="en-US"/>
    </w:rPr>
  </w:style>
  <w:style w:type="paragraph" w:customStyle="1" w:styleId="Tablefooter0">
    <w:name w:val="Table footer"/>
    <w:basedOn w:val="Normal"/>
    <w:link w:val="TablefooterChar"/>
    <w:rsid w:val="0095055D"/>
    <w:pPr>
      <w:spacing w:line="276" w:lineRule="auto"/>
      <w:jc w:val="left"/>
    </w:pPr>
    <w:rPr>
      <w:rFonts w:eastAsia="Calibri" w:cs="Arial"/>
      <w:sz w:val="16"/>
      <w:szCs w:val="16"/>
      <w:lang w:val="en-US"/>
    </w:rPr>
  </w:style>
  <w:style w:type="character" w:customStyle="1" w:styleId="TablefooterChar">
    <w:name w:val="Table footer Char"/>
    <w:link w:val="Tablefooter0"/>
    <w:rsid w:val="0095055D"/>
    <w:rPr>
      <w:rFonts w:ascii="Calibri" w:eastAsia="Calibri" w:hAnsi="Calibri" w:cs="Arial"/>
      <w:sz w:val="16"/>
      <w:szCs w:val="16"/>
      <w:lang w:val="en-US"/>
    </w:rPr>
  </w:style>
  <w:style w:type="paragraph" w:customStyle="1" w:styleId="V50Instructions">
    <w:name w:val="V5.0 Instructions"/>
    <w:basedOn w:val="Normal"/>
    <w:link w:val="V50InstructionsChar"/>
    <w:rsid w:val="0095055D"/>
    <w:pPr>
      <w:spacing w:before="120" w:after="160"/>
      <w:jc w:val="left"/>
    </w:pPr>
    <w:rPr>
      <w:rFonts w:eastAsia="Calibri"/>
      <w:color w:val="4BACC6"/>
      <w:szCs w:val="22"/>
    </w:rPr>
  </w:style>
  <w:style w:type="character" w:customStyle="1" w:styleId="V50InstructionsChar">
    <w:name w:val="V5.0 Instructions Char"/>
    <w:link w:val="V50Instructions"/>
    <w:rsid w:val="0095055D"/>
    <w:rPr>
      <w:rFonts w:ascii="Calibri" w:eastAsia="Calibri" w:hAnsi="Calibri" w:cs="Times New Roman"/>
      <w:color w:val="4BACC6"/>
      <w:sz w:val="24"/>
    </w:rPr>
  </w:style>
  <w:style w:type="paragraph" w:customStyle="1" w:styleId="ES-text">
    <w:name w:val="ES - text"/>
    <w:basedOn w:val="BodyText"/>
    <w:rsid w:val="0095055D"/>
    <w:pPr>
      <w:spacing w:after="0" w:line="276" w:lineRule="auto"/>
      <w:jc w:val="left"/>
    </w:pPr>
    <w:rPr>
      <w:rFonts w:ascii="Arial" w:hAnsi="Arial"/>
      <w:sz w:val="20"/>
      <w:lang w:val="en-US"/>
    </w:rPr>
  </w:style>
  <w:style w:type="character" w:customStyle="1" w:styleId="A1">
    <w:name w:val="A1"/>
    <w:uiPriority w:val="99"/>
    <w:rsid w:val="0095055D"/>
    <w:rPr>
      <w:color w:val="000000"/>
      <w:sz w:val="16"/>
      <w:szCs w:val="16"/>
    </w:rPr>
  </w:style>
  <w:style w:type="paragraph" w:customStyle="1" w:styleId="EndNoteBibliographyTitle">
    <w:name w:val="EndNote Bibliography Title"/>
    <w:basedOn w:val="Normal"/>
    <w:link w:val="EndNoteBibliographyTitleChar"/>
    <w:rsid w:val="0095055D"/>
    <w:pPr>
      <w:jc w:val="center"/>
    </w:pPr>
    <w:rPr>
      <w:noProof/>
      <w:lang w:val="en-US"/>
    </w:rPr>
  </w:style>
  <w:style w:type="character" w:customStyle="1" w:styleId="EndNoteBibliographyTitleChar">
    <w:name w:val="EndNote Bibliography Title Char"/>
    <w:link w:val="EndNoteBibliographyTitle"/>
    <w:rsid w:val="0095055D"/>
    <w:rPr>
      <w:rFonts w:ascii="Calibri" w:eastAsia="Times New Roman" w:hAnsi="Calibri" w:cs="Times New Roman"/>
      <w:noProof/>
      <w:sz w:val="24"/>
      <w:szCs w:val="24"/>
      <w:lang w:val="en-US"/>
    </w:rPr>
  </w:style>
  <w:style w:type="paragraph" w:customStyle="1" w:styleId="EndNoteBibliography">
    <w:name w:val="EndNote Bibliography"/>
    <w:basedOn w:val="Normal"/>
    <w:link w:val="EndNoteBibliographyChar"/>
    <w:rsid w:val="0095055D"/>
    <w:rPr>
      <w:noProof/>
      <w:lang w:val="en-US"/>
    </w:rPr>
  </w:style>
  <w:style w:type="character" w:customStyle="1" w:styleId="EndNoteBibliographyChar">
    <w:name w:val="EndNote Bibliography Char"/>
    <w:link w:val="EndNoteBibliography"/>
    <w:rsid w:val="0095055D"/>
    <w:rPr>
      <w:rFonts w:ascii="Calibri" w:eastAsia="Times New Roman" w:hAnsi="Calibri" w:cs="Times New Roman"/>
      <w:noProof/>
      <w:sz w:val="24"/>
      <w:szCs w:val="24"/>
      <w:lang w:val="en-US"/>
    </w:rPr>
  </w:style>
  <w:style w:type="paragraph" w:customStyle="1" w:styleId="Tablenotes0">
    <w:name w:val="Table notes"/>
    <w:basedOn w:val="Normal"/>
    <w:rsid w:val="0095055D"/>
    <w:pPr>
      <w:spacing w:before="60"/>
      <w:jc w:val="left"/>
    </w:pPr>
    <w:rPr>
      <w:rFonts w:ascii="Arial" w:hAnsi="Arial"/>
      <w:sz w:val="14"/>
      <w:szCs w:val="14"/>
      <w:lang w:val="en-US" w:eastAsia="en-GB"/>
    </w:rPr>
  </w:style>
  <w:style w:type="table" w:customStyle="1" w:styleId="Summarybox1">
    <w:name w:val="Summary box1"/>
    <w:basedOn w:val="TableNormal"/>
    <w:next w:val="TableGrid"/>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ummarybox2">
    <w:name w:val="Summary box2"/>
    <w:basedOn w:val="TableNormal"/>
    <w:next w:val="TableGrid"/>
    <w:rsid w:val="0095055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50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basedOn w:val="Normal"/>
    <w:link w:val="BodytextChar0"/>
    <w:uiPriority w:val="99"/>
    <w:rsid w:val="0095055D"/>
    <w:pPr>
      <w:spacing w:after="240" w:line="360" w:lineRule="auto"/>
      <w:jc w:val="left"/>
    </w:pPr>
    <w:rPr>
      <w:rFonts w:ascii="Arial" w:hAnsi="Arial"/>
      <w:sz w:val="22"/>
      <w:szCs w:val="20"/>
    </w:rPr>
  </w:style>
  <w:style w:type="character" w:customStyle="1" w:styleId="BodytextChar0">
    <w:name w:val="Body text Char"/>
    <w:link w:val="BodyText1"/>
    <w:uiPriority w:val="99"/>
    <w:locked/>
    <w:rsid w:val="0095055D"/>
    <w:rPr>
      <w:rFonts w:ascii="Arial" w:eastAsia="Times New Roman"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94987"/>
    <w:pPr>
      <w:spacing w:after="160" w:line="240" w:lineRule="exact"/>
      <w:jc w:val="left"/>
    </w:pPr>
    <w:rPr>
      <w:rFonts w:ascii="Verdana" w:eastAsia="MS Mincho" w:hAnsi="Verdana" w:cs="Verdana"/>
      <w:sz w:val="20"/>
      <w:szCs w:val="20"/>
      <w:lang w:val="en-US"/>
    </w:rPr>
  </w:style>
  <w:style w:type="paragraph" w:styleId="Title">
    <w:name w:val="Title"/>
    <w:basedOn w:val="Normal"/>
    <w:next w:val="Normal"/>
    <w:link w:val="TitleChar"/>
    <w:uiPriority w:val="10"/>
    <w:qFormat/>
    <w:rsid w:val="00172F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72F2E"/>
    <w:rPr>
      <w:rFonts w:ascii="Cambria" w:eastAsia="Times New Roman" w:hAnsi="Cambria" w:cs="Times New Roman"/>
      <w:b/>
      <w:bCs/>
      <w:kern w:val="28"/>
      <w:sz w:val="32"/>
      <w:szCs w:val="32"/>
      <w:lang w:eastAsia="en-US"/>
    </w:rPr>
  </w:style>
  <w:style w:type="paragraph" w:customStyle="1" w:styleId="MSACHeading1">
    <w:name w:val="MSAC Heading 1"/>
    <w:basedOn w:val="Paragraphheading1"/>
    <w:link w:val="MSACHeading1Char"/>
    <w:qFormat/>
    <w:rsid w:val="0077484B"/>
    <w:pPr>
      <w:numPr>
        <w:numId w:val="7"/>
      </w:numPr>
      <w:ind w:hanging="720"/>
      <w:outlineLvl w:val="0"/>
    </w:pPr>
  </w:style>
  <w:style w:type="character" w:customStyle="1" w:styleId="Paragraphheading1Char">
    <w:name w:val="Paragraph heading 1 Char"/>
    <w:link w:val="Paragraphheading1"/>
    <w:rsid w:val="00172F2E"/>
    <w:rPr>
      <w:rFonts w:ascii="Calibri Light" w:eastAsia="Times New Roman" w:hAnsi="Calibri Light" w:cs="Arial"/>
      <w:i/>
      <w:snapToGrid w:val="0"/>
      <w:sz w:val="32"/>
      <w:szCs w:val="32"/>
      <w:lang w:eastAsia="en-US"/>
    </w:rPr>
  </w:style>
  <w:style w:type="character" w:customStyle="1" w:styleId="MSACHeading1Char">
    <w:name w:val="MSAC Heading 1 Char"/>
    <w:link w:val="MSACHeading1"/>
    <w:rsid w:val="0077484B"/>
    <w:rPr>
      <w:rFonts w:ascii="Calibri Light" w:eastAsia="Times New Roman" w:hAnsi="Calibri Light" w:cs="Arial"/>
      <w:i/>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1787">
      <w:bodyDiv w:val="1"/>
      <w:marLeft w:val="0"/>
      <w:marRight w:val="0"/>
      <w:marTop w:val="0"/>
      <w:marBottom w:val="0"/>
      <w:divBdr>
        <w:top w:val="none" w:sz="0" w:space="0" w:color="auto"/>
        <w:left w:val="none" w:sz="0" w:space="0" w:color="auto"/>
        <w:bottom w:val="none" w:sz="0" w:space="0" w:color="auto"/>
        <w:right w:val="none" w:sz="0" w:space="0" w:color="auto"/>
      </w:divBdr>
    </w:div>
    <w:div w:id="475997320">
      <w:bodyDiv w:val="1"/>
      <w:marLeft w:val="0"/>
      <w:marRight w:val="0"/>
      <w:marTop w:val="0"/>
      <w:marBottom w:val="0"/>
      <w:divBdr>
        <w:top w:val="none" w:sz="0" w:space="0" w:color="auto"/>
        <w:left w:val="none" w:sz="0" w:space="0" w:color="auto"/>
        <w:bottom w:val="none" w:sz="0" w:space="0" w:color="auto"/>
        <w:right w:val="none" w:sz="0" w:space="0" w:color="auto"/>
      </w:divBdr>
    </w:div>
    <w:div w:id="1300300104">
      <w:bodyDiv w:val="1"/>
      <w:marLeft w:val="0"/>
      <w:marRight w:val="0"/>
      <w:marTop w:val="0"/>
      <w:marBottom w:val="0"/>
      <w:divBdr>
        <w:top w:val="none" w:sz="0" w:space="0" w:color="auto"/>
        <w:left w:val="none" w:sz="0" w:space="0" w:color="auto"/>
        <w:bottom w:val="none" w:sz="0" w:space="0" w:color="auto"/>
        <w:right w:val="none" w:sz="0" w:space="0" w:color="auto"/>
      </w:divBdr>
    </w:div>
    <w:div w:id="1376738911">
      <w:bodyDiv w:val="1"/>
      <w:marLeft w:val="0"/>
      <w:marRight w:val="0"/>
      <w:marTop w:val="0"/>
      <w:marBottom w:val="0"/>
      <w:divBdr>
        <w:top w:val="none" w:sz="0" w:space="0" w:color="auto"/>
        <w:left w:val="none" w:sz="0" w:space="0" w:color="auto"/>
        <w:bottom w:val="none" w:sz="0" w:space="0" w:color="auto"/>
        <w:right w:val="none" w:sz="0" w:space="0" w:color="auto"/>
      </w:divBdr>
    </w:div>
    <w:div w:id="14857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E32-CE90-42AB-A375-CF672062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17572</Words>
  <Characters>100167</Characters>
  <Application>Microsoft Office Word</Application>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2017-02-22T03:05:00Z</dcterms:created>
  <dcterms:modified xsi:type="dcterms:W3CDTF">2017-02-22T03:10:00Z</dcterms:modified>
</cp:coreProperties>
</file>