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044" w:rsidRPr="00502BF7" w:rsidRDefault="00A80D32" w:rsidP="00502BF7">
      <w:pPr>
        <w:pStyle w:val="Heading1"/>
        <w:widowControl/>
        <w:jc w:val="left"/>
        <w:rPr>
          <w:caps w:val="0"/>
          <w:sz w:val="28"/>
        </w:rPr>
      </w:pPr>
      <w:bookmarkStart w:id="0" w:name="_GoBack"/>
      <w:bookmarkEnd w:id="0"/>
      <w:r w:rsidRPr="00502BF7">
        <w:rPr>
          <w:caps w:val="0"/>
          <w:sz w:val="28"/>
        </w:rPr>
        <w:t>5.14</w:t>
      </w:r>
      <w:r w:rsidR="00B60939" w:rsidRPr="00502BF7">
        <w:rPr>
          <w:caps w:val="0"/>
          <w:sz w:val="28"/>
        </w:rPr>
        <w:tab/>
      </w:r>
      <w:r w:rsidR="00CC32AF" w:rsidRPr="00502BF7">
        <w:rPr>
          <w:caps w:val="0"/>
          <w:sz w:val="28"/>
        </w:rPr>
        <w:t xml:space="preserve">SOFOSBUVIR with VELPATASVIR, </w:t>
      </w:r>
      <w:r w:rsidR="003B7B6E">
        <w:rPr>
          <w:caps w:val="0"/>
          <w:sz w:val="28"/>
        </w:rPr>
        <w:br/>
      </w:r>
      <w:r w:rsidR="00CC32AF" w:rsidRPr="00502BF7">
        <w:rPr>
          <w:caps w:val="0"/>
          <w:sz w:val="28"/>
        </w:rPr>
        <w:t>Tablet containing 400 mg sofosbuvir with 100 mg velpatasvir, Epclusa®,</w:t>
      </w:r>
      <w:r w:rsidR="00DE65BE" w:rsidRPr="00502BF7">
        <w:rPr>
          <w:caps w:val="0"/>
          <w:sz w:val="28"/>
        </w:rPr>
        <w:t xml:space="preserve"> </w:t>
      </w:r>
      <w:r w:rsidR="00DE65BE" w:rsidRPr="00502BF7">
        <w:rPr>
          <w:caps w:val="0"/>
          <w:sz w:val="28"/>
        </w:rPr>
        <w:br/>
      </w:r>
      <w:r w:rsidR="00CC32AF" w:rsidRPr="00502BF7">
        <w:rPr>
          <w:caps w:val="0"/>
          <w:sz w:val="28"/>
        </w:rPr>
        <w:t>Gilead Sciences Pty Ltd</w:t>
      </w:r>
      <w:r w:rsidR="003B7B6E">
        <w:rPr>
          <w:caps w:val="0"/>
          <w:sz w:val="28"/>
        </w:rPr>
        <w:t>.</w:t>
      </w:r>
    </w:p>
    <w:p w:rsidR="00DA298E" w:rsidRDefault="00DA298E" w:rsidP="00DE65BE">
      <w:pPr>
        <w:ind w:left="720" w:hanging="720"/>
        <w:jc w:val="left"/>
        <w:rPr>
          <w:b/>
          <w:sz w:val="28"/>
          <w:szCs w:val="28"/>
        </w:rPr>
      </w:pPr>
    </w:p>
    <w:p w:rsidR="00554265" w:rsidRDefault="00554265">
      <w:pPr>
        <w:widowControl/>
        <w:jc w:val="left"/>
        <w:rPr>
          <w:b/>
          <w:szCs w:val="22"/>
        </w:rPr>
      </w:pPr>
      <w:bookmarkStart w:id="1" w:name="_Toc458698806"/>
      <w:bookmarkStart w:id="2" w:name="_Toc341702043"/>
      <w:bookmarkStart w:id="3" w:name="_Toc380742621"/>
      <w:bookmarkStart w:id="4" w:name="_Toc380746188"/>
      <w:bookmarkStart w:id="5" w:name="_Toc380746314"/>
      <w:bookmarkStart w:id="6" w:name="_Toc380746595"/>
    </w:p>
    <w:p w:rsidR="00FE542A" w:rsidRPr="00802DBC" w:rsidRDefault="00FE542A" w:rsidP="00FE542A">
      <w:pPr>
        <w:pStyle w:val="PBACHeading1"/>
      </w:pPr>
      <w:bookmarkStart w:id="7" w:name="_Toc461609469"/>
      <w:r w:rsidRPr="00802DBC">
        <w:t>Purpose of Application</w:t>
      </w:r>
      <w:bookmarkEnd w:id="1"/>
      <w:bookmarkEnd w:id="7"/>
    </w:p>
    <w:p w:rsidR="00FE542A" w:rsidRPr="00802DBC" w:rsidRDefault="00FE542A" w:rsidP="00FE542A">
      <w:pPr>
        <w:rPr>
          <w:szCs w:val="22"/>
        </w:rPr>
      </w:pPr>
    </w:p>
    <w:p w:rsidR="00FE542A" w:rsidRPr="00802DBC" w:rsidRDefault="004F7BD5" w:rsidP="002C4748">
      <w:pPr>
        <w:pStyle w:val="ListParagraph"/>
        <w:widowControl/>
        <w:numPr>
          <w:ilvl w:val="1"/>
          <w:numId w:val="2"/>
        </w:numPr>
        <w:rPr>
          <w:szCs w:val="22"/>
        </w:rPr>
      </w:pPr>
      <w:r>
        <w:t xml:space="preserve">The submission requested </w:t>
      </w:r>
      <w:r w:rsidR="00FE542A" w:rsidRPr="00802DBC">
        <w:t>General Schedule (Section 85) and Section 100 (Highly Specialised Drugs Program) Public and Private Hospital Authority Required listings for sofosbuvir</w:t>
      </w:r>
      <w:r>
        <w:t xml:space="preserve"> with</w:t>
      </w:r>
      <w:r w:rsidR="00FE542A" w:rsidRPr="00802DBC">
        <w:t xml:space="preserve"> velpatasvir fixed-dose combination (FDC) for the treatment of chronic hepatitis C virus (HCV) infection in adults.</w:t>
      </w:r>
    </w:p>
    <w:p w:rsidR="00FE542A" w:rsidRDefault="00FE542A" w:rsidP="00FE542A"/>
    <w:p w:rsidR="001E737B" w:rsidRPr="00802DBC" w:rsidRDefault="001E737B" w:rsidP="00FE542A"/>
    <w:p w:rsidR="00FE542A" w:rsidRPr="00802DBC" w:rsidRDefault="00FE542A" w:rsidP="00FE542A">
      <w:pPr>
        <w:pStyle w:val="PBACHeading1"/>
      </w:pPr>
      <w:bookmarkStart w:id="8" w:name="_Toc458698807"/>
      <w:bookmarkStart w:id="9" w:name="_Toc461609470"/>
      <w:r w:rsidRPr="00802DBC">
        <w:t>Requested listing</w:t>
      </w:r>
      <w:bookmarkEnd w:id="8"/>
      <w:bookmarkEnd w:id="9"/>
    </w:p>
    <w:p w:rsidR="00FE542A" w:rsidRPr="00802DBC" w:rsidRDefault="00FE542A" w:rsidP="00FE542A"/>
    <w:p w:rsidR="00FE542A" w:rsidRPr="008C3321" w:rsidRDefault="009D0727" w:rsidP="002C4748">
      <w:pPr>
        <w:pStyle w:val="ListParagraph"/>
        <w:widowControl/>
        <w:numPr>
          <w:ilvl w:val="1"/>
          <w:numId w:val="2"/>
        </w:numPr>
        <w:rPr>
          <w:szCs w:val="22"/>
        </w:rPr>
      </w:pPr>
      <w:r w:rsidRPr="008C3321">
        <w:rPr>
          <w:szCs w:val="22"/>
        </w:rPr>
        <w:t xml:space="preserve">The requested listings </w:t>
      </w:r>
      <w:r w:rsidR="000E44A0" w:rsidRPr="008C3321">
        <w:rPr>
          <w:szCs w:val="22"/>
        </w:rPr>
        <w:t xml:space="preserve">are </w:t>
      </w:r>
      <w:r w:rsidR="00700E51" w:rsidRPr="008C3321">
        <w:rPr>
          <w:szCs w:val="22"/>
        </w:rPr>
        <w:t>provided</w:t>
      </w:r>
      <w:r w:rsidR="000E44A0" w:rsidRPr="008C3321">
        <w:rPr>
          <w:szCs w:val="22"/>
        </w:rPr>
        <w:t xml:space="preserve"> below</w:t>
      </w:r>
      <w:r w:rsidR="001C459D" w:rsidRPr="008C3321">
        <w:rPr>
          <w:szCs w:val="22"/>
        </w:rPr>
        <w:t>.</w:t>
      </w:r>
      <w:r w:rsidR="00D853C8" w:rsidRPr="008C3321">
        <w:rPr>
          <w:szCs w:val="22"/>
        </w:rPr>
        <w:t xml:space="preserve"> The Secretariat proposed wording consistent with other drugs currently listed </w:t>
      </w:r>
      <w:r w:rsidR="00D853C8" w:rsidRPr="0015357F">
        <w:rPr>
          <w:i/>
          <w:szCs w:val="22"/>
        </w:rPr>
        <w:t>General Statement for Drugs for the Treatment of Hepatitis C</w:t>
      </w:r>
      <w:r w:rsidR="00560281" w:rsidRPr="008C3321">
        <w:rPr>
          <w:szCs w:val="22"/>
        </w:rPr>
        <w:t xml:space="preserve"> (the </w:t>
      </w:r>
      <w:r w:rsidR="00560281" w:rsidRPr="0015357F">
        <w:rPr>
          <w:i/>
          <w:szCs w:val="22"/>
        </w:rPr>
        <w:t>General Statement</w:t>
      </w:r>
      <w:r w:rsidR="00560281" w:rsidRPr="008C3321">
        <w:rPr>
          <w:szCs w:val="22"/>
        </w:rPr>
        <w:t>)</w:t>
      </w:r>
      <w:r w:rsidR="00D853C8" w:rsidRPr="008C3321">
        <w:rPr>
          <w:szCs w:val="22"/>
        </w:rPr>
        <w:t xml:space="preserve">. The Secretariat also proposed that the prescriber type should include medical practitioners experienced in the treatment of hepatitis C, in line with changes to the </w:t>
      </w:r>
      <w:r w:rsidR="00D853C8" w:rsidRPr="0015357F">
        <w:rPr>
          <w:i/>
          <w:szCs w:val="22"/>
        </w:rPr>
        <w:t>General Statement</w:t>
      </w:r>
      <w:r w:rsidR="00D853C8" w:rsidRPr="008C3321">
        <w:rPr>
          <w:szCs w:val="22"/>
        </w:rPr>
        <w:t xml:space="preserve"> that were </w:t>
      </w:r>
      <w:r w:rsidR="00615AB9">
        <w:rPr>
          <w:szCs w:val="22"/>
        </w:rPr>
        <w:t>implemented on 1 November 2016</w:t>
      </w:r>
      <w:r w:rsidR="00D853C8" w:rsidRPr="008C3321">
        <w:rPr>
          <w:szCs w:val="22"/>
        </w:rPr>
        <w:t>.</w:t>
      </w:r>
    </w:p>
    <w:p w:rsidR="009D0727" w:rsidRPr="00802DBC" w:rsidRDefault="009D0727" w:rsidP="009D0727">
      <w:pPr>
        <w:pStyle w:val="ListParagraph"/>
        <w:widowControl/>
        <w:rPr>
          <w:szCs w:val="22"/>
        </w:rPr>
      </w:pPr>
    </w:p>
    <w:tbl>
      <w:tblPr>
        <w:tblW w:w="4590" w:type="pct"/>
        <w:tblInd w:w="748" w:type="dxa"/>
        <w:tblLayout w:type="fixed"/>
        <w:tblCellMar>
          <w:left w:w="28" w:type="dxa"/>
          <w:right w:w="28" w:type="dxa"/>
        </w:tblCellMar>
        <w:tblLook w:val="04A0" w:firstRow="1" w:lastRow="0" w:firstColumn="1" w:lastColumn="0" w:noHBand="0" w:noVBand="1"/>
      </w:tblPr>
      <w:tblGrid>
        <w:gridCol w:w="1691"/>
        <w:gridCol w:w="424"/>
        <w:gridCol w:w="709"/>
        <w:gridCol w:w="852"/>
        <w:gridCol w:w="565"/>
        <w:gridCol w:w="2239"/>
        <w:gridCol w:w="810"/>
        <w:gridCol w:w="1047"/>
      </w:tblGrid>
      <w:tr w:rsidR="00FE542A" w:rsidRPr="00802DBC" w:rsidTr="0015357F">
        <w:trPr>
          <w:cantSplit/>
          <w:trHeight w:val="471"/>
        </w:trPr>
        <w:tc>
          <w:tcPr>
            <w:tcW w:w="1268" w:type="pct"/>
            <w:gridSpan w:val="2"/>
            <w:tcBorders>
              <w:top w:val="nil"/>
              <w:left w:val="nil"/>
              <w:bottom w:val="single" w:sz="4" w:space="0" w:color="auto"/>
              <w:right w:val="nil"/>
            </w:tcBorders>
            <w:hideMark/>
          </w:tcPr>
          <w:p w:rsidR="00FE542A" w:rsidRPr="00802DBC" w:rsidRDefault="00FE542A" w:rsidP="0094297E">
            <w:pPr>
              <w:keepNext/>
              <w:rPr>
                <w:rFonts w:ascii="Arial Narrow" w:hAnsi="Arial Narrow"/>
                <w:sz w:val="20"/>
              </w:rPr>
            </w:pPr>
            <w:r w:rsidRPr="00802DBC">
              <w:rPr>
                <w:rFonts w:ascii="Arial Narrow" w:hAnsi="Arial Narrow"/>
                <w:sz w:val="20"/>
              </w:rPr>
              <w:t>Name, Restriction,</w:t>
            </w:r>
          </w:p>
          <w:p w:rsidR="00FE542A" w:rsidRPr="00802DBC" w:rsidRDefault="00FE542A" w:rsidP="0094297E">
            <w:pPr>
              <w:keepNext/>
              <w:jc w:val="left"/>
              <w:rPr>
                <w:rFonts w:ascii="Arial Narrow" w:hAnsi="Arial Narrow"/>
                <w:sz w:val="20"/>
              </w:rPr>
            </w:pPr>
            <w:r w:rsidRPr="00802DBC">
              <w:rPr>
                <w:rFonts w:ascii="Arial Narrow" w:hAnsi="Arial Narrow"/>
                <w:sz w:val="20"/>
              </w:rPr>
              <w:t>Manner of administration and form</w:t>
            </w:r>
          </w:p>
        </w:tc>
        <w:tc>
          <w:tcPr>
            <w:tcW w:w="425" w:type="pct"/>
            <w:tcBorders>
              <w:top w:val="nil"/>
              <w:left w:val="nil"/>
              <w:bottom w:val="single" w:sz="4" w:space="0" w:color="auto"/>
              <w:right w:val="nil"/>
            </w:tcBorders>
            <w:hideMark/>
          </w:tcPr>
          <w:p w:rsidR="00FE542A" w:rsidRPr="00802DBC" w:rsidRDefault="00FE542A" w:rsidP="0094297E">
            <w:pPr>
              <w:keepNext/>
              <w:jc w:val="center"/>
              <w:rPr>
                <w:rFonts w:ascii="Arial Narrow" w:hAnsi="Arial Narrow"/>
                <w:sz w:val="20"/>
              </w:rPr>
            </w:pPr>
            <w:r w:rsidRPr="00802DBC">
              <w:rPr>
                <w:rFonts w:ascii="Arial Narrow" w:hAnsi="Arial Narrow"/>
                <w:sz w:val="20"/>
              </w:rPr>
              <w:t>Max qty packs</w:t>
            </w:r>
          </w:p>
        </w:tc>
        <w:tc>
          <w:tcPr>
            <w:tcW w:w="511" w:type="pct"/>
            <w:tcBorders>
              <w:top w:val="nil"/>
              <w:left w:val="nil"/>
              <w:bottom w:val="single" w:sz="4" w:space="0" w:color="auto"/>
              <w:right w:val="nil"/>
            </w:tcBorders>
          </w:tcPr>
          <w:p w:rsidR="00FE542A" w:rsidRPr="00802DBC" w:rsidRDefault="00FE542A" w:rsidP="0094297E">
            <w:pPr>
              <w:keepNext/>
              <w:jc w:val="center"/>
              <w:rPr>
                <w:rFonts w:ascii="Arial Narrow" w:hAnsi="Arial Narrow"/>
                <w:sz w:val="20"/>
              </w:rPr>
            </w:pPr>
            <w:r w:rsidRPr="00802DBC">
              <w:rPr>
                <w:rFonts w:ascii="Arial Narrow" w:hAnsi="Arial Narrow"/>
                <w:sz w:val="20"/>
              </w:rPr>
              <w:t>Max qty units</w:t>
            </w:r>
          </w:p>
        </w:tc>
        <w:tc>
          <w:tcPr>
            <w:tcW w:w="339" w:type="pct"/>
            <w:tcBorders>
              <w:top w:val="nil"/>
              <w:left w:val="nil"/>
              <w:bottom w:val="single" w:sz="4" w:space="0" w:color="auto"/>
              <w:right w:val="nil"/>
            </w:tcBorders>
            <w:hideMark/>
          </w:tcPr>
          <w:p w:rsidR="00FE542A" w:rsidRPr="00802DBC" w:rsidRDefault="00FE542A" w:rsidP="0094297E">
            <w:pPr>
              <w:keepNext/>
              <w:jc w:val="center"/>
              <w:rPr>
                <w:rFonts w:ascii="Arial Narrow" w:hAnsi="Arial Narrow"/>
                <w:sz w:val="20"/>
              </w:rPr>
            </w:pPr>
            <w:r w:rsidRPr="00802DBC">
              <w:rPr>
                <w:rFonts w:ascii="Arial Narrow" w:hAnsi="Arial Narrow"/>
                <w:sz w:val="20"/>
              </w:rPr>
              <w:t>№.of</w:t>
            </w:r>
          </w:p>
          <w:p w:rsidR="00FE542A" w:rsidRPr="00802DBC" w:rsidRDefault="00FE542A" w:rsidP="0094297E">
            <w:pPr>
              <w:keepNext/>
              <w:jc w:val="center"/>
              <w:rPr>
                <w:rFonts w:ascii="Arial Narrow" w:hAnsi="Arial Narrow"/>
                <w:sz w:val="20"/>
              </w:rPr>
            </w:pPr>
            <w:r w:rsidRPr="00802DBC">
              <w:rPr>
                <w:rFonts w:ascii="Arial Narrow" w:hAnsi="Arial Narrow"/>
                <w:sz w:val="20"/>
              </w:rPr>
              <w:t>Rpts</w:t>
            </w:r>
          </w:p>
        </w:tc>
        <w:tc>
          <w:tcPr>
            <w:tcW w:w="1343" w:type="pct"/>
            <w:tcBorders>
              <w:top w:val="nil"/>
              <w:left w:val="nil"/>
              <w:bottom w:val="single" w:sz="4" w:space="0" w:color="auto"/>
              <w:right w:val="nil"/>
            </w:tcBorders>
            <w:hideMark/>
          </w:tcPr>
          <w:p w:rsidR="00FE542A" w:rsidRPr="00802DBC" w:rsidRDefault="00FE542A" w:rsidP="0094297E">
            <w:pPr>
              <w:keepNext/>
              <w:jc w:val="center"/>
              <w:rPr>
                <w:rFonts w:ascii="Arial Narrow" w:hAnsi="Arial Narrow"/>
                <w:sz w:val="20"/>
              </w:rPr>
            </w:pPr>
            <w:r w:rsidRPr="00802DBC">
              <w:rPr>
                <w:rFonts w:ascii="Arial Narrow" w:hAnsi="Arial Narrow"/>
                <w:sz w:val="20"/>
              </w:rPr>
              <w:t>Dispensed Price for Max. Qty</w:t>
            </w:r>
            <w:r w:rsidR="00F77492">
              <w:rPr>
                <w:rFonts w:ascii="Arial Narrow" w:hAnsi="Arial Narrow"/>
                <w:sz w:val="20"/>
              </w:rPr>
              <w:t xml:space="preserve"> (requested published price)</w:t>
            </w:r>
          </w:p>
        </w:tc>
        <w:tc>
          <w:tcPr>
            <w:tcW w:w="1113" w:type="pct"/>
            <w:gridSpan w:val="2"/>
            <w:tcBorders>
              <w:top w:val="nil"/>
              <w:left w:val="nil"/>
              <w:bottom w:val="single" w:sz="4" w:space="0" w:color="auto"/>
              <w:right w:val="nil"/>
            </w:tcBorders>
            <w:hideMark/>
          </w:tcPr>
          <w:p w:rsidR="00FE542A" w:rsidRPr="00802DBC" w:rsidRDefault="00FE542A" w:rsidP="0094297E">
            <w:pPr>
              <w:keepNext/>
              <w:jc w:val="center"/>
              <w:rPr>
                <w:rFonts w:ascii="Arial Narrow" w:hAnsi="Arial Narrow"/>
                <w:sz w:val="20"/>
              </w:rPr>
            </w:pPr>
            <w:r w:rsidRPr="00802DBC">
              <w:rPr>
                <w:rFonts w:ascii="Arial Narrow" w:hAnsi="Arial Narrow"/>
                <w:sz w:val="20"/>
              </w:rPr>
              <w:t>Proprietary Name and Manufacturer</w:t>
            </w:r>
          </w:p>
        </w:tc>
      </w:tr>
      <w:tr w:rsidR="00FE542A" w:rsidRPr="00802DBC" w:rsidTr="0015357F">
        <w:trPr>
          <w:cantSplit/>
          <w:trHeight w:val="914"/>
        </w:trPr>
        <w:tc>
          <w:tcPr>
            <w:tcW w:w="1268" w:type="pct"/>
            <w:gridSpan w:val="2"/>
            <w:tcBorders>
              <w:top w:val="single" w:sz="4" w:space="0" w:color="auto"/>
            </w:tcBorders>
            <w:hideMark/>
          </w:tcPr>
          <w:p w:rsidR="00FE542A" w:rsidRPr="00802DBC" w:rsidRDefault="00FE542A" w:rsidP="0094297E">
            <w:pPr>
              <w:keepNext/>
              <w:rPr>
                <w:rFonts w:ascii="Arial Narrow" w:hAnsi="Arial Narrow"/>
                <w:sz w:val="20"/>
              </w:rPr>
            </w:pPr>
            <w:r w:rsidRPr="00802DBC">
              <w:rPr>
                <w:rFonts w:ascii="Arial Narrow" w:hAnsi="Arial Narrow"/>
                <w:smallCaps/>
                <w:sz w:val="20"/>
              </w:rPr>
              <w:t>Sofosbuvir / velpatasvir</w:t>
            </w:r>
          </w:p>
          <w:p w:rsidR="00FE542A" w:rsidRPr="00802DBC" w:rsidRDefault="00FE542A" w:rsidP="0094297E">
            <w:pPr>
              <w:keepNext/>
              <w:rPr>
                <w:rFonts w:ascii="Arial Narrow" w:hAnsi="Arial Narrow"/>
                <w:sz w:val="20"/>
              </w:rPr>
            </w:pPr>
            <w:r w:rsidRPr="00802DBC">
              <w:rPr>
                <w:rFonts w:ascii="Arial Narrow" w:hAnsi="Arial Narrow"/>
                <w:sz w:val="20"/>
              </w:rPr>
              <w:t>400mg / 100mg tablet, 28</w:t>
            </w:r>
          </w:p>
        </w:tc>
        <w:tc>
          <w:tcPr>
            <w:tcW w:w="425" w:type="pct"/>
            <w:tcBorders>
              <w:top w:val="single" w:sz="4" w:space="0" w:color="auto"/>
            </w:tcBorders>
            <w:vAlign w:val="center"/>
          </w:tcPr>
          <w:p w:rsidR="00FE542A" w:rsidRPr="00802DBC" w:rsidRDefault="00FE542A" w:rsidP="0094297E">
            <w:pPr>
              <w:keepNext/>
              <w:jc w:val="center"/>
              <w:rPr>
                <w:rFonts w:ascii="Arial Narrow" w:hAnsi="Arial Narrow"/>
                <w:sz w:val="20"/>
              </w:rPr>
            </w:pPr>
            <w:r w:rsidRPr="00802DBC">
              <w:rPr>
                <w:rFonts w:ascii="Arial Narrow" w:hAnsi="Arial Narrow"/>
                <w:sz w:val="20"/>
              </w:rPr>
              <w:t>1</w:t>
            </w:r>
          </w:p>
        </w:tc>
        <w:tc>
          <w:tcPr>
            <w:tcW w:w="511" w:type="pct"/>
            <w:tcBorders>
              <w:top w:val="single" w:sz="4" w:space="0" w:color="auto"/>
            </w:tcBorders>
            <w:vAlign w:val="center"/>
          </w:tcPr>
          <w:p w:rsidR="00FE542A" w:rsidRPr="00802DBC" w:rsidRDefault="00FE542A" w:rsidP="0094297E">
            <w:pPr>
              <w:keepNext/>
              <w:jc w:val="center"/>
              <w:rPr>
                <w:rFonts w:ascii="Arial Narrow" w:hAnsi="Arial Narrow"/>
                <w:sz w:val="20"/>
              </w:rPr>
            </w:pPr>
            <w:r w:rsidRPr="00802DBC">
              <w:rPr>
                <w:rFonts w:ascii="Arial Narrow" w:hAnsi="Arial Narrow"/>
                <w:sz w:val="20"/>
              </w:rPr>
              <w:t>28</w:t>
            </w:r>
          </w:p>
        </w:tc>
        <w:tc>
          <w:tcPr>
            <w:tcW w:w="339" w:type="pct"/>
            <w:tcBorders>
              <w:top w:val="single" w:sz="4" w:space="0" w:color="auto"/>
            </w:tcBorders>
            <w:vAlign w:val="center"/>
          </w:tcPr>
          <w:p w:rsidR="00FE542A" w:rsidRPr="00802DBC" w:rsidRDefault="00FE542A" w:rsidP="0094297E">
            <w:pPr>
              <w:keepNext/>
              <w:jc w:val="center"/>
              <w:rPr>
                <w:rFonts w:ascii="Arial Narrow" w:hAnsi="Arial Narrow"/>
                <w:sz w:val="20"/>
              </w:rPr>
            </w:pPr>
            <w:r w:rsidRPr="00802DBC">
              <w:rPr>
                <w:rFonts w:ascii="Arial Narrow" w:hAnsi="Arial Narrow"/>
                <w:sz w:val="20"/>
              </w:rPr>
              <w:t>2</w:t>
            </w:r>
          </w:p>
        </w:tc>
        <w:tc>
          <w:tcPr>
            <w:tcW w:w="1343" w:type="pct"/>
            <w:vAlign w:val="center"/>
          </w:tcPr>
          <w:p w:rsidR="00FE542A" w:rsidRPr="00802DBC" w:rsidRDefault="00FE542A" w:rsidP="0094297E">
            <w:pPr>
              <w:keepNext/>
              <w:jc w:val="center"/>
              <w:rPr>
                <w:rFonts w:ascii="Arial Narrow" w:hAnsi="Arial Narrow"/>
                <w:sz w:val="20"/>
              </w:rPr>
            </w:pPr>
            <w:r w:rsidRPr="00802DBC">
              <w:rPr>
                <w:rFonts w:ascii="Arial Narrow" w:hAnsi="Arial Narrow"/>
                <w:sz w:val="20"/>
              </w:rPr>
              <w:t>S100 Public: $</w:t>
            </w:r>
            <w:r w:rsidR="00EB18F5">
              <w:rPr>
                <w:rFonts w:ascii="Arial Narrow" w:hAnsi="Arial Narrow"/>
                <w:noProof/>
                <w:color w:val="000000"/>
                <w:sz w:val="20"/>
                <w:highlight w:val="black"/>
              </w:rPr>
              <w:t>'''''''''''''''''''''''</w:t>
            </w:r>
          </w:p>
          <w:p w:rsidR="00FE542A" w:rsidRPr="00802DBC" w:rsidRDefault="00FE542A" w:rsidP="0094297E">
            <w:pPr>
              <w:keepNext/>
              <w:jc w:val="center"/>
              <w:rPr>
                <w:rFonts w:ascii="Arial Narrow" w:hAnsi="Arial Narrow"/>
                <w:sz w:val="20"/>
              </w:rPr>
            </w:pPr>
            <w:r w:rsidRPr="00802DBC">
              <w:rPr>
                <w:rFonts w:ascii="Arial Narrow" w:hAnsi="Arial Narrow"/>
                <w:sz w:val="20"/>
              </w:rPr>
              <w:t>S100 Private: $</w:t>
            </w:r>
            <w:r w:rsidR="00EB18F5">
              <w:rPr>
                <w:rFonts w:ascii="Arial Narrow" w:hAnsi="Arial Narrow"/>
                <w:noProof/>
                <w:color w:val="000000"/>
                <w:sz w:val="20"/>
                <w:highlight w:val="black"/>
              </w:rPr>
              <w:t>''''''''''''''''''''''''''</w:t>
            </w:r>
          </w:p>
          <w:p w:rsidR="00FE542A" w:rsidRPr="00802DBC" w:rsidRDefault="00FE542A" w:rsidP="0094297E">
            <w:pPr>
              <w:keepNext/>
              <w:jc w:val="center"/>
              <w:rPr>
                <w:rFonts w:ascii="Arial Narrow" w:hAnsi="Arial Narrow"/>
                <w:sz w:val="20"/>
              </w:rPr>
            </w:pPr>
            <w:r w:rsidRPr="00802DBC">
              <w:rPr>
                <w:rFonts w:ascii="Arial Narrow" w:hAnsi="Arial Narrow"/>
                <w:sz w:val="20"/>
              </w:rPr>
              <w:t>S85 General: $</w:t>
            </w:r>
            <w:r w:rsidR="00EB18F5">
              <w:rPr>
                <w:rFonts w:ascii="Arial Narrow" w:hAnsi="Arial Narrow"/>
                <w:noProof/>
                <w:color w:val="000000"/>
                <w:sz w:val="20"/>
                <w:highlight w:val="black"/>
              </w:rPr>
              <w:t>''''''''''''''''''''''</w:t>
            </w:r>
          </w:p>
        </w:tc>
        <w:tc>
          <w:tcPr>
            <w:tcW w:w="486" w:type="pct"/>
            <w:vAlign w:val="center"/>
            <w:hideMark/>
          </w:tcPr>
          <w:p w:rsidR="00FE542A" w:rsidRPr="00802DBC" w:rsidRDefault="00FE542A" w:rsidP="0094297E">
            <w:pPr>
              <w:keepNext/>
              <w:jc w:val="center"/>
              <w:rPr>
                <w:rFonts w:ascii="Arial Narrow" w:hAnsi="Arial Narrow"/>
                <w:sz w:val="20"/>
              </w:rPr>
            </w:pPr>
            <w:r w:rsidRPr="00802DBC">
              <w:rPr>
                <w:rFonts w:ascii="Arial Narrow" w:hAnsi="Arial Narrow"/>
                <w:sz w:val="20"/>
              </w:rPr>
              <w:t>Epclusa</w:t>
            </w:r>
            <w:r w:rsidRPr="00802DBC">
              <w:rPr>
                <w:rFonts w:ascii="Arial Narrow" w:hAnsi="Arial Narrow"/>
                <w:sz w:val="20"/>
                <w:vertAlign w:val="superscript"/>
              </w:rPr>
              <w:t>®</w:t>
            </w:r>
          </w:p>
        </w:tc>
        <w:tc>
          <w:tcPr>
            <w:tcW w:w="627" w:type="pct"/>
            <w:vAlign w:val="center"/>
            <w:hideMark/>
          </w:tcPr>
          <w:p w:rsidR="00FE542A" w:rsidRPr="00802DBC" w:rsidRDefault="00FE542A" w:rsidP="0094297E">
            <w:pPr>
              <w:keepNext/>
              <w:jc w:val="center"/>
              <w:rPr>
                <w:rFonts w:ascii="Arial Narrow" w:hAnsi="Arial Narrow"/>
                <w:sz w:val="20"/>
              </w:rPr>
            </w:pPr>
            <w:r w:rsidRPr="00802DBC">
              <w:rPr>
                <w:rFonts w:ascii="Arial Narrow" w:hAnsi="Arial Narrow"/>
                <w:sz w:val="20"/>
              </w:rPr>
              <w:t>Gilead Sciences Pty Ltd</w:t>
            </w:r>
          </w:p>
        </w:tc>
      </w:tr>
      <w:tr w:rsidR="00FE542A" w:rsidRPr="00802DBC" w:rsidTr="00F84F8B">
        <w:tblPrEx>
          <w:tblLook w:val="0000" w:firstRow="0" w:lastRow="0" w:firstColumn="0" w:lastColumn="0" w:noHBand="0" w:noVBand="0"/>
        </w:tblPrEx>
        <w:trPr>
          <w:cantSplit/>
          <w:trHeight w:val="235"/>
        </w:trPr>
        <w:tc>
          <w:tcPr>
            <w:tcW w:w="1014" w:type="pct"/>
            <w:tcBorders>
              <w:top w:val="single" w:sz="4" w:space="0" w:color="auto"/>
              <w:left w:val="single" w:sz="4" w:space="0" w:color="auto"/>
              <w:bottom w:val="single" w:sz="4" w:space="0" w:color="auto"/>
              <w:right w:val="single" w:sz="4" w:space="0" w:color="auto"/>
            </w:tcBorders>
          </w:tcPr>
          <w:p w:rsidR="00FE542A" w:rsidRPr="00802DBC" w:rsidRDefault="00FE542A" w:rsidP="0094297E">
            <w:pPr>
              <w:rPr>
                <w:rFonts w:ascii="Arial Narrow" w:hAnsi="Arial Narrow"/>
                <w:b/>
                <w:sz w:val="20"/>
              </w:rPr>
            </w:pPr>
            <w:r w:rsidRPr="00802DBC">
              <w:rPr>
                <w:rFonts w:ascii="Arial Narrow" w:hAnsi="Arial Narrow"/>
                <w:b/>
                <w:sz w:val="20"/>
              </w:rPr>
              <w:t>Category/ Program</w:t>
            </w:r>
            <w:r w:rsidR="00F84F8B">
              <w:rPr>
                <w:rFonts w:ascii="Arial Narrow" w:hAnsi="Arial Narrow"/>
                <w:b/>
                <w:sz w:val="20"/>
              </w:rPr>
              <w:t>:</w:t>
            </w:r>
          </w:p>
        </w:tc>
        <w:tc>
          <w:tcPr>
            <w:tcW w:w="3986" w:type="pct"/>
            <w:gridSpan w:val="7"/>
            <w:tcBorders>
              <w:top w:val="single" w:sz="4" w:space="0" w:color="auto"/>
              <w:left w:val="single" w:sz="4" w:space="0" w:color="auto"/>
              <w:bottom w:val="single" w:sz="4" w:space="0" w:color="auto"/>
              <w:right w:val="single" w:sz="4" w:space="0" w:color="auto"/>
            </w:tcBorders>
          </w:tcPr>
          <w:p w:rsidR="00FE542A" w:rsidRPr="00802DBC" w:rsidRDefault="00FE542A" w:rsidP="0094297E">
            <w:pPr>
              <w:jc w:val="left"/>
              <w:rPr>
                <w:rFonts w:ascii="Arial Narrow" w:hAnsi="Arial Narrow"/>
                <w:sz w:val="20"/>
              </w:rPr>
            </w:pPr>
            <w:r w:rsidRPr="00802DBC">
              <w:rPr>
                <w:rFonts w:ascii="Arial Narrow" w:hAnsi="Arial Narrow"/>
                <w:sz w:val="20"/>
              </w:rPr>
              <w:t>General Schedule and S100 HSD (Public and Private)</w:t>
            </w:r>
          </w:p>
        </w:tc>
      </w:tr>
      <w:tr w:rsidR="00FE542A" w:rsidRPr="00802DBC" w:rsidTr="00F84F8B">
        <w:tblPrEx>
          <w:tblLook w:val="0000" w:firstRow="0" w:lastRow="0" w:firstColumn="0" w:lastColumn="0" w:noHBand="0" w:noVBand="0"/>
        </w:tblPrEx>
        <w:trPr>
          <w:cantSplit/>
          <w:trHeight w:val="72"/>
        </w:trPr>
        <w:tc>
          <w:tcPr>
            <w:tcW w:w="1014" w:type="pct"/>
            <w:tcBorders>
              <w:top w:val="single" w:sz="4" w:space="0" w:color="auto"/>
              <w:left w:val="single" w:sz="4" w:space="0" w:color="auto"/>
              <w:bottom w:val="single" w:sz="4" w:space="0" w:color="auto"/>
              <w:right w:val="single" w:sz="4" w:space="0" w:color="auto"/>
            </w:tcBorders>
          </w:tcPr>
          <w:p w:rsidR="00FE542A" w:rsidRPr="00802DBC" w:rsidRDefault="00FE542A" w:rsidP="0094297E">
            <w:pPr>
              <w:rPr>
                <w:rFonts w:ascii="Arial Narrow" w:hAnsi="Arial Narrow"/>
                <w:b/>
                <w:sz w:val="20"/>
              </w:rPr>
            </w:pPr>
            <w:r w:rsidRPr="00802DBC">
              <w:rPr>
                <w:rFonts w:ascii="Arial Narrow" w:hAnsi="Arial Narrow"/>
                <w:b/>
                <w:sz w:val="20"/>
              </w:rPr>
              <w:t>PBS Indication:</w:t>
            </w:r>
          </w:p>
        </w:tc>
        <w:tc>
          <w:tcPr>
            <w:tcW w:w="3986" w:type="pct"/>
            <w:gridSpan w:val="7"/>
            <w:tcBorders>
              <w:top w:val="single" w:sz="4" w:space="0" w:color="auto"/>
              <w:left w:val="single" w:sz="4" w:space="0" w:color="auto"/>
              <w:bottom w:val="single" w:sz="4" w:space="0" w:color="auto"/>
              <w:right w:val="single" w:sz="4" w:space="0" w:color="auto"/>
            </w:tcBorders>
          </w:tcPr>
          <w:p w:rsidR="00FE542A" w:rsidRPr="00802DBC" w:rsidRDefault="00FE542A" w:rsidP="0094297E">
            <w:pPr>
              <w:jc w:val="left"/>
              <w:rPr>
                <w:rFonts w:ascii="Arial Narrow" w:hAnsi="Arial Narrow"/>
                <w:sz w:val="20"/>
              </w:rPr>
            </w:pPr>
            <w:r w:rsidRPr="00802DBC">
              <w:rPr>
                <w:rFonts w:ascii="Arial Narrow" w:hAnsi="Arial Narrow"/>
                <w:sz w:val="20"/>
              </w:rPr>
              <w:t>Chronic HCV infection</w:t>
            </w:r>
          </w:p>
        </w:tc>
      </w:tr>
      <w:tr w:rsidR="00FE542A" w:rsidRPr="00802DBC" w:rsidTr="00F84F8B">
        <w:tblPrEx>
          <w:tblLook w:val="0000" w:firstRow="0" w:lastRow="0" w:firstColumn="0" w:lastColumn="0" w:noHBand="0" w:noVBand="0"/>
        </w:tblPrEx>
        <w:trPr>
          <w:cantSplit/>
          <w:trHeight w:val="360"/>
        </w:trPr>
        <w:tc>
          <w:tcPr>
            <w:tcW w:w="1014" w:type="pct"/>
            <w:tcBorders>
              <w:top w:val="single" w:sz="4" w:space="0" w:color="auto"/>
              <w:left w:val="single" w:sz="4" w:space="0" w:color="auto"/>
              <w:bottom w:val="single" w:sz="4" w:space="0" w:color="auto"/>
              <w:right w:val="single" w:sz="4" w:space="0" w:color="auto"/>
            </w:tcBorders>
          </w:tcPr>
          <w:p w:rsidR="00FE542A" w:rsidRPr="00802DBC" w:rsidRDefault="00FE542A" w:rsidP="0094297E">
            <w:pPr>
              <w:rPr>
                <w:rFonts w:ascii="Arial Narrow" w:hAnsi="Arial Narrow"/>
                <w:b/>
                <w:sz w:val="20"/>
              </w:rPr>
            </w:pPr>
            <w:r w:rsidRPr="00802DBC">
              <w:rPr>
                <w:rFonts w:ascii="Arial Narrow" w:hAnsi="Arial Narrow"/>
                <w:b/>
                <w:sz w:val="20"/>
              </w:rPr>
              <w:t>Treatment criteria:</w:t>
            </w:r>
          </w:p>
          <w:p w:rsidR="00FE542A" w:rsidRPr="00802DBC" w:rsidRDefault="00FE542A" w:rsidP="0094297E">
            <w:pPr>
              <w:rPr>
                <w:rFonts w:ascii="Arial Narrow" w:hAnsi="Arial Narrow"/>
                <w:sz w:val="20"/>
              </w:rPr>
            </w:pPr>
          </w:p>
        </w:tc>
        <w:tc>
          <w:tcPr>
            <w:tcW w:w="3986" w:type="pct"/>
            <w:gridSpan w:val="7"/>
            <w:tcBorders>
              <w:top w:val="single" w:sz="4" w:space="0" w:color="auto"/>
              <w:left w:val="single" w:sz="4" w:space="0" w:color="auto"/>
              <w:bottom w:val="single" w:sz="4" w:space="0" w:color="auto"/>
              <w:right w:val="single" w:sz="4" w:space="0" w:color="auto"/>
            </w:tcBorders>
          </w:tcPr>
          <w:p w:rsidR="00FE542A" w:rsidRPr="00802DBC" w:rsidRDefault="00FE542A" w:rsidP="0094297E">
            <w:pPr>
              <w:jc w:val="left"/>
              <w:rPr>
                <w:rFonts w:ascii="Arial Narrow" w:hAnsi="Arial Narrow"/>
                <w:sz w:val="20"/>
              </w:rPr>
            </w:pPr>
            <w:r w:rsidRPr="00802DBC">
              <w:rPr>
                <w:rFonts w:ascii="Arial Narrow" w:hAnsi="Arial Narrow"/>
                <w:sz w:val="20"/>
              </w:rPr>
              <w:t>Must be treated by a gastroenterologist, hepatologist or infectious diseases physician experienced in the treatment of chronic hepatitis C infection; or in consultation with a gastroenterologist, hepatologist or infectious diseases physician experienced in the treatment of chronic hepatitis C infection.</w:t>
            </w:r>
          </w:p>
          <w:p w:rsidR="00FE542A" w:rsidRPr="00802DBC" w:rsidRDefault="00FE542A" w:rsidP="0094297E">
            <w:pPr>
              <w:jc w:val="left"/>
              <w:rPr>
                <w:rFonts w:ascii="Arial Narrow" w:hAnsi="Arial Narrow"/>
                <w:sz w:val="20"/>
              </w:rPr>
            </w:pPr>
            <w:r w:rsidRPr="00802DBC">
              <w:rPr>
                <w:rFonts w:ascii="Arial Narrow" w:hAnsi="Arial Narrow"/>
                <w:sz w:val="20"/>
              </w:rPr>
              <w:t>The following information must be provided at the time of application and documented in the patient’s medical records:</w:t>
            </w:r>
          </w:p>
          <w:p w:rsidR="00FE542A" w:rsidRPr="00802DBC" w:rsidRDefault="00FE542A" w:rsidP="0094297E">
            <w:pPr>
              <w:jc w:val="left"/>
              <w:rPr>
                <w:rFonts w:ascii="Arial Narrow" w:hAnsi="Arial Narrow"/>
                <w:sz w:val="20"/>
              </w:rPr>
            </w:pPr>
            <w:r w:rsidRPr="00802DBC">
              <w:rPr>
                <w:rFonts w:ascii="Arial Narrow" w:hAnsi="Arial Narrow"/>
                <w:sz w:val="20"/>
              </w:rPr>
              <w:t>a) evidence of chronic hepatitis C infection (repeatedly antibody to hepatitis C virus (anti-HCV) positive and hepatitis C virus ribonucleic acid (HCV RNA) positive).</w:t>
            </w:r>
          </w:p>
        </w:tc>
      </w:tr>
      <w:tr w:rsidR="00FE542A" w:rsidRPr="00802DBC" w:rsidTr="00F84F8B">
        <w:tblPrEx>
          <w:tblLook w:val="0000" w:firstRow="0" w:lastRow="0" w:firstColumn="0" w:lastColumn="0" w:noHBand="0" w:noVBand="0"/>
        </w:tblPrEx>
        <w:trPr>
          <w:cantSplit/>
          <w:trHeight w:val="360"/>
        </w:trPr>
        <w:tc>
          <w:tcPr>
            <w:tcW w:w="1014" w:type="pct"/>
            <w:tcBorders>
              <w:top w:val="single" w:sz="4" w:space="0" w:color="auto"/>
              <w:left w:val="single" w:sz="4" w:space="0" w:color="auto"/>
              <w:bottom w:val="single" w:sz="4" w:space="0" w:color="auto"/>
              <w:right w:val="single" w:sz="4" w:space="0" w:color="auto"/>
            </w:tcBorders>
          </w:tcPr>
          <w:p w:rsidR="00FE542A" w:rsidRPr="00802DBC" w:rsidRDefault="00FE542A" w:rsidP="0094297E">
            <w:pPr>
              <w:rPr>
                <w:rFonts w:ascii="Arial Narrow" w:hAnsi="Arial Narrow"/>
                <w:sz w:val="20"/>
              </w:rPr>
            </w:pPr>
            <w:r w:rsidRPr="00802DBC">
              <w:rPr>
                <w:rFonts w:ascii="Arial Narrow" w:hAnsi="Arial Narrow"/>
                <w:b/>
                <w:sz w:val="20"/>
              </w:rPr>
              <w:t>Clinical criteria:</w:t>
            </w:r>
          </w:p>
        </w:tc>
        <w:tc>
          <w:tcPr>
            <w:tcW w:w="3986" w:type="pct"/>
            <w:gridSpan w:val="7"/>
            <w:tcBorders>
              <w:top w:val="single" w:sz="4" w:space="0" w:color="auto"/>
              <w:left w:val="single" w:sz="4" w:space="0" w:color="auto"/>
              <w:bottom w:val="single" w:sz="4" w:space="0" w:color="auto"/>
              <w:right w:val="single" w:sz="4" w:space="0" w:color="auto"/>
            </w:tcBorders>
          </w:tcPr>
          <w:p w:rsidR="00FE542A" w:rsidRPr="00802DBC" w:rsidRDefault="00FE542A" w:rsidP="0094297E">
            <w:pPr>
              <w:jc w:val="left"/>
              <w:rPr>
                <w:rFonts w:ascii="Arial Narrow" w:hAnsi="Arial Narrow"/>
                <w:sz w:val="20"/>
              </w:rPr>
            </w:pPr>
            <w:r w:rsidRPr="00802DBC">
              <w:rPr>
                <w:rFonts w:ascii="Arial Narrow" w:hAnsi="Arial Narrow"/>
                <w:sz w:val="20"/>
              </w:rPr>
              <w:t>Patient must meet the criteria set out in the General Statement for Drugs for the Treatment of Hepatitis C,</w:t>
            </w:r>
          </w:p>
          <w:p w:rsidR="00FE542A" w:rsidRPr="00802DBC" w:rsidRDefault="00FE542A" w:rsidP="0094297E">
            <w:pPr>
              <w:jc w:val="left"/>
              <w:rPr>
                <w:rFonts w:ascii="Arial Narrow" w:hAnsi="Arial Narrow"/>
                <w:sz w:val="20"/>
              </w:rPr>
            </w:pPr>
            <w:r w:rsidRPr="00802DBC">
              <w:rPr>
                <w:rFonts w:ascii="Arial Narrow" w:hAnsi="Arial Narrow"/>
                <w:sz w:val="20"/>
              </w:rPr>
              <w:t>AND</w:t>
            </w:r>
          </w:p>
          <w:p w:rsidR="00FE542A" w:rsidRPr="00802DBC" w:rsidRDefault="00FE542A" w:rsidP="0094297E">
            <w:pPr>
              <w:jc w:val="left"/>
              <w:rPr>
                <w:rFonts w:ascii="Arial Narrow" w:hAnsi="Arial Narrow"/>
                <w:sz w:val="20"/>
              </w:rPr>
            </w:pPr>
            <w:r w:rsidRPr="00802DBC">
              <w:rPr>
                <w:rFonts w:ascii="Arial Narrow" w:hAnsi="Arial Narrow"/>
                <w:sz w:val="20"/>
              </w:rPr>
              <w:t>Patient must be taking this drug as part of a regimen set out in the matrix in the General Statement for Drugs for the Treatment of Hepatitis C, based on presence or absence of hepatic decompensation,</w:t>
            </w:r>
          </w:p>
          <w:p w:rsidR="00FE542A" w:rsidRPr="00802DBC" w:rsidRDefault="00FE542A" w:rsidP="0094297E">
            <w:pPr>
              <w:jc w:val="left"/>
              <w:rPr>
                <w:rFonts w:ascii="Arial Narrow" w:hAnsi="Arial Narrow"/>
                <w:sz w:val="20"/>
              </w:rPr>
            </w:pPr>
            <w:r w:rsidRPr="00802DBC">
              <w:rPr>
                <w:rFonts w:ascii="Arial Narrow" w:hAnsi="Arial Narrow"/>
                <w:sz w:val="20"/>
              </w:rPr>
              <w:t>AND</w:t>
            </w:r>
          </w:p>
          <w:p w:rsidR="00FE542A" w:rsidRPr="00802DBC" w:rsidRDefault="00FE542A" w:rsidP="0094297E">
            <w:pPr>
              <w:jc w:val="left"/>
              <w:rPr>
                <w:rFonts w:ascii="Arial Narrow" w:hAnsi="Arial Narrow"/>
                <w:sz w:val="20"/>
              </w:rPr>
            </w:pPr>
            <w:r w:rsidRPr="00802DBC">
              <w:rPr>
                <w:rFonts w:ascii="Arial Narrow" w:hAnsi="Arial Narrow"/>
                <w:sz w:val="20"/>
              </w:rPr>
              <w:t>The treatment must be limited to a maximum duration of 12 weeks.</w:t>
            </w:r>
          </w:p>
        </w:tc>
      </w:tr>
    </w:tbl>
    <w:p w:rsidR="00FE542A" w:rsidRPr="00802DBC" w:rsidRDefault="00FE542A" w:rsidP="00FE542A"/>
    <w:p w:rsidR="00554265" w:rsidRDefault="00FE542A" w:rsidP="002C4748">
      <w:pPr>
        <w:pStyle w:val="ListParagraph"/>
        <w:widowControl/>
        <w:numPr>
          <w:ilvl w:val="1"/>
          <w:numId w:val="2"/>
        </w:numPr>
      </w:pPr>
      <w:r w:rsidRPr="00802DBC">
        <w:lastRenderedPageBreak/>
        <w:t xml:space="preserve">The </w:t>
      </w:r>
      <w:r w:rsidR="0015357F">
        <w:t>submission</w:t>
      </w:r>
      <w:r w:rsidRPr="00802DBC">
        <w:t xml:space="preserve"> </w:t>
      </w:r>
      <w:r w:rsidR="00615AB9">
        <w:t xml:space="preserve">also </w:t>
      </w:r>
      <w:r w:rsidRPr="00802DBC">
        <w:t xml:space="preserve">proposed to amend the wording of the </w:t>
      </w:r>
      <w:r w:rsidRPr="0015357F">
        <w:rPr>
          <w:i/>
        </w:rPr>
        <w:t xml:space="preserve">General Statement </w:t>
      </w:r>
      <w:r w:rsidRPr="00802DBC">
        <w:t>in terms of the information requirements and documentation</w:t>
      </w:r>
      <w:r w:rsidR="00FC3F5A">
        <w:t xml:space="preserve">, and to </w:t>
      </w:r>
      <w:r w:rsidRPr="00802DBC">
        <w:t xml:space="preserve">add a new </w:t>
      </w:r>
      <w:r w:rsidR="0015357F">
        <w:t>“</w:t>
      </w:r>
      <w:r w:rsidRPr="00802DBC">
        <w:t>pan</w:t>
      </w:r>
      <w:r w:rsidR="00DB2C72">
        <w:t>-</w:t>
      </w:r>
      <w:r w:rsidRPr="00802DBC">
        <w:t>genotypic</w:t>
      </w:r>
      <w:r w:rsidR="0015357F">
        <w:t>”</w:t>
      </w:r>
      <w:r w:rsidRPr="00802DBC">
        <w:t xml:space="preserve"> table to the treatment matrix</w:t>
      </w:r>
      <w:r w:rsidR="00E751D3">
        <w:t xml:space="preserve"> </w:t>
      </w:r>
      <w:r w:rsidR="000A285A">
        <w:t>(see Table 1)</w:t>
      </w:r>
      <w:r w:rsidRPr="00802DBC">
        <w:t>.</w:t>
      </w:r>
    </w:p>
    <w:p w:rsidR="00554265" w:rsidRPr="00554265" w:rsidRDefault="00554265" w:rsidP="00554265"/>
    <w:p w:rsidR="000A285A" w:rsidRPr="00C531F0" w:rsidRDefault="000A285A" w:rsidP="000A285A">
      <w:pPr>
        <w:ind w:firstLine="720"/>
        <w:rPr>
          <w:rFonts w:ascii="Arial Narrow" w:hAnsi="Arial Narrow"/>
          <w:b/>
          <w:bCs/>
          <w:sz w:val="20"/>
        </w:rPr>
      </w:pPr>
      <w:r w:rsidRPr="00C531F0">
        <w:rPr>
          <w:rFonts w:ascii="Arial Narrow" w:hAnsi="Arial Narrow"/>
          <w:b/>
          <w:bCs/>
          <w:sz w:val="20"/>
        </w:rPr>
        <w:t>Table 1: Hepatitis C – Pan</w:t>
      </w:r>
      <w:r w:rsidR="00DB2C72">
        <w:rPr>
          <w:rFonts w:ascii="Arial Narrow" w:hAnsi="Arial Narrow"/>
          <w:b/>
          <w:bCs/>
          <w:sz w:val="20"/>
        </w:rPr>
        <w:t>-</w:t>
      </w:r>
      <w:r w:rsidRPr="00C531F0">
        <w:rPr>
          <w:rFonts w:ascii="Arial Narrow" w:hAnsi="Arial Narrow"/>
          <w:b/>
          <w:bCs/>
          <w:sz w:val="20"/>
        </w:rPr>
        <w:t>genotypic PBS treatment matrix</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536"/>
      </w:tblGrid>
      <w:tr w:rsidR="000A285A" w:rsidRPr="00C531F0" w:rsidTr="009A42C8">
        <w:trPr>
          <w:trHeight w:val="70"/>
        </w:trPr>
        <w:tc>
          <w:tcPr>
            <w:tcW w:w="3827" w:type="dxa"/>
            <w:shd w:val="clear" w:color="auto" w:fill="auto"/>
          </w:tcPr>
          <w:p w:rsidR="000A285A" w:rsidRPr="00C531F0" w:rsidRDefault="000A285A" w:rsidP="00AA1FC1">
            <w:pPr>
              <w:rPr>
                <w:rFonts w:ascii="Arial Narrow" w:eastAsia="MS Mincho" w:hAnsi="Arial Narrow"/>
                <w:sz w:val="20"/>
              </w:rPr>
            </w:pPr>
          </w:p>
        </w:tc>
        <w:tc>
          <w:tcPr>
            <w:tcW w:w="4536" w:type="dxa"/>
            <w:shd w:val="clear" w:color="auto" w:fill="auto"/>
            <w:vAlign w:val="center"/>
          </w:tcPr>
          <w:p w:rsidR="000A285A" w:rsidRPr="00C531F0" w:rsidRDefault="000A285A" w:rsidP="00AA1FC1">
            <w:pPr>
              <w:rPr>
                <w:rFonts w:ascii="Arial Narrow" w:eastAsia="MS Mincho" w:hAnsi="Arial Narrow"/>
                <w:b/>
                <w:bCs/>
                <w:sz w:val="20"/>
              </w:rPr>
            </w:pPr>
            <w:r w:rsidRPr="00C531F0">
              <w:rPr>
                <w:rFonts w:ascii="Arial Narrow" w:eastAsia="MS Mincho" w:hAnsi="Arial Narrow"/>
                <w:b/>
                <w:bCs/>
                <w:sz w:val="20"/>
              </w:rPr>
              <w:t>TREATMENT NAÏVE or TREATMENT EXPERIENCED</w:t>
            </w:r>
          </w:p>
        </w:tc>
      </w:tr>
      <w:tr w:rsidR="000A285A" w:rsidRPr="00C531F0" w:rsidTr="009A42C8">
        <w:trPr>
          <w:trHeight w:val="70"/>
        </w:trPr>
        <w:tc>
          <w:tcPr>
            <w:tcW w:w="3827" w:type="dxa"/>
            <w:shd w:val="clear" w:color="auto" w:fill="auto"/>
            <w:vAlign w:val="center"/>
          </w:tcPr>
          <w:p w:rsidR="000A285A" w:rsidRPr="00C531F0" w:rsidRDefault="000A285A" w:rsidP="00AA1FC1">
            <w:pPr>
              <w:rPr>
                <w:rFonts w:ascii="Arial Narrow" w:eastAsia="MS Mincho" w:hAnsi="Arial Narrow"/>
                <w:b/>
                <w:bCs/>
                <w:sz w:val="20"/>
              </w:rPr>
            </w:pPr>
            <w:r w:rsidRPr="00C531F0">
              <w:rPr>
                <w:rFonts w:ascii="Arial Narrow" w:eastAsia="MS Mincho" w:hAnsi="Arial Narrow"/>
                <w:b/>
                <w:bCs/>
                <w:sz w:val="20"/>
              </w:rPr>
              <w:t>Non-cirrhotic or compensated cirrhotic</w:t>
            </w:r>
          </w:p>
        </w:tc>
        <w:tc>
          <w:tcPr>
            <w:tcW w:w="4536" w:type="dxa"/>
            <w:shd w:val="clear" w:color="auto" w:fill="auto"/>
            <w:vAlign w:val="center"/>
          </w:tcPr>
          <w:p w:rsidR="000A285A" w:rsidRPr="00C531F0" w:rsidRDefault="000A285A" w:rsidP="00AA1FC1">
            <w:pPr>
              <w:rPr>
                <w:rFonts w:ascii="Arial Narrow" w:eastAsia="MS Mincho" w:hAnsi="Arial Narrow"/>
                <w:sz w:val="20"/>
              </w:rPr>
            </w:pPr>
            <w:r w:rsidRPr="00C531F0">
              <w:rPr>
                <w:rFonts w:ascii="Arial Narrow" w:eastAsia="MS Mincho" w:hAnsi="Arial Narrow"/>
                <w:sz w:val="20"/>
              </w:rPr>
              <w:t>SOFOSBUVIR/VELPATASVIR [12 weeks]</w:t>
            </w:r>
          </w:p>
        </w:tc>
      </w:tr>
      <w:tr w:rsidR="000A285A" w:rsidRPr="00CD5CAE" w:rsidTr="009A42C8">
        <w:trPr>
          <w:trHeight w:val="85"/>
        </w:trPr>
        <w:tc>
          <w:tcPr>
            <w:tcW w:w="3827" w:type="dxa"/>
            <w:shd w:val="clear" w:color="auto" w:fill="auto"/>
            <w:vAlign w:val="center"/>
          </w:tcPr>
          <w:p w:rsidR="000A285A" w:rsidRPr="00C531F0" w:rsidRDefault="000A285A" w:rsidP="00AA1FC1">
            <w:pPr>
              <w:rPr>
                <w:rFonts w:ascii="Arial Narrow" w:eastAsia="MS Mincho" w:hAnsi="Arial Narrow"/>
                <w:b/>
                <w:bCs/>
                <w:sz w:val="20"/>
              </w:rPr>
            </w:pPr>
            <w:r w:rsidRPr="00C531F0">
              <w:rPr>
                <w:rFonts w:ascii="Arial Narrow" w:eastAsia="MS Mincho" w:hAnsi="Arial Narrow"/>
                <w:b/>
                <w:bCs/>
                <w:sz w:val="20"/>
              </w:rPr>
              <w:t>Decompensated liver disease</w:t>
            </w:r>
          </w:p>
        </w:tc>
        <w:tc>
          <w:tcPr>
            <w:tcW w:w="4536" w:type="dxa"/>
            <w:shd w:val="clear" w:color="auto" w:fill="auto"/>
            <w:vAlign w:val="center"/>
          </w:tcPr>
          <w:p w:rsidR="000A285A" w:rsidRPr="00C531F0" w:rsidRDefault="000A285A" w:rsidP="00AA1FC1">
            <w:pPr>
              <w:rPr>
                <w:rFonts w:ascii="Arial Narrow" w:eastAsia="MS Mincho" w:hAnsi="Arial Narrow"/>
                <w:sz w:val="20"/>
                <w:lang w:val="pt-PT"/>
              </w:rPr>
            </w:pPr>
            <w:r w:rsidRPr="00C531F0">
              <w:rPr>
                <w:rFonts w:ascii="Arial Narrow" w:eastAsia="MS Mincho" w:hAnsi="Arial Narrow"/>
                <w:sz w:val="20"/>
                <w:lang w:val="pt-PT"/>
              </w:rPr>
              <w:t>SOFOSBUVIR/VELPATASVIR and RBV [12 weeks]</w:t>
            </w:r>
          </w:p>
        </w:tc>
      </w:tr>
    </w:tbl>
    <w:p w:rsidR="000A285A" w:rsidRDefault="000A285A" w:rsidP="000A285A">
      <w:pPr>
        <w:ind w:firstLine="720"/>
        <w:rPr>
          <w:rFonts w:ascii="Arial Narrow" w:hAnsi="Arial Narrow"/>
          <w:sz w:val="18"/>
          <w:szCs w:val="18"/>
        </w:rPr>
      </w:pPr>
      <w:r>
        <w:rPr>
          <w:rFonts w:ascii="Arial Narrow" w:hAnsi="Arial Narrow"/>
          <w:sz w:val="18"/>
          <w:szCs w:val="18"/>
        </w:rPr>
        <w:t>Source: Table A-4, p30 of the submission</w:t>
      </w:r>
    </w:p>
    <w:p w:rsidR="000A285A" w:rsidRPr="00AA3372" w:rsidRDefault="000A285A" w:rsidP="000A285A">
      <w:pPr>
        <w:pStyle w:val="ListParagraph"/>
        <w:widowControl/>
        <w:rPr>
          <w:szCs w:val="22"/>
        </w:rPr>
      </w:pPr>
    </w:p>
    <w:p w:rsidR="00BB5505" w:rsidRPr="00DA298E" w:rsidRDefault="00DB2C72" w:rsidP="002C4748">
      <w:pPr>
        <w:pStyle w:val="ListParagraph"/>
        <w:widowControl/>
        <w:numPr>
          <w:ilvl w:val="1"/>
          <w:numId w:val="2"/>
        </w:numPr>
        <w:rPr>
          <w:szCs w:val="22"/>
        </w:rPr>
      </w:pPr>
      <w:r w:rsidRPr="00DA298E">
        <w:rPr>
          <w:iCs/>
          <w:szCs w:val="22"/>
        </w:rPr>
        <w:t xml:space="preserve">During the evaluation, the following was noted </w:t>
      </w:r>
      <w:r w:rsidR="00BB5505" w:rsidRPr="00DA298E">
        <w:rPr>
          <w:iCs/>
          <w:szCs w:val="22"/>
        </w:rPr>
        <w:t xml:space="preserve">regarding the requested PBS-listing and proposed changes to the </w:t>
      </w:r>
      <w:r w:rsidR="00BB5505" w:rsidRPr="00DA298E">
        <w:rPr>
          <w:szCs w:val="22"/>
        </w:rPr>
        <w:t>General Statement for Drugs for the Treatment of Hepatitis C:</w:t>
      </w:r>
    </w:p>
    <w:p w:rsidR="00BB5505" w:rsidRPr="00DA298E" w:rsidRDefault="00DB2C72" w:rsidP="002C4748">
      <w:pPr>
        <w:pStyle w:val="ListParagraph"/>
        <w:numPr>
          <w:ilvl w:val="0"/>
          <w:numId w:val="6"/>
        </w:numPr>
        <w:rPr>
          <w:iCs/>
          <w:szCs w:val="22"/>
        </w:rPr>
      </w:pPr>
      <w:r w:rsidRPr="00DA298E">
        <w:rPr>
          <w:iCs/>
          <w:szCs w:val="22"/>
        </w:rPr>
        <w:t>The PBAC has previously considered that it was inappropriate to restrict access, given the likely benefit of the [direct acting antiviral] agents across the full spectrum of patients with [chronic HCV infection], from those with early disease to those patients with existing liver cirrhosis and severe portal hypertension, decompensated liver disease, or patients post liver transplant (paragraph 7.15, ledipasvir/sofosbuvir Public Summary Document (PSD), March 2015 PBAC meeting).</w:t>
      </w:r>
      <w:r w:rsidR="003656DF" w:rsidRPr="00DA298E">
        <w:rPr>
          <w:iCs/>
          <w:szCs w:val="22"/>
        </w:rPr>
        <w:t xml:space="preserve"> </w:t>
      </w:r>
      <w:r w:rsidR="00BB5505" w:rsidRPr="00DA298E">
        <w:rPr>
          <w:iCs/>
          <w:szCs w:val="22"/>
        </w:rPr>
        <w:t>The proposed changes differentiate compensated from decompensated cirrhosis, and may effectively exclude patients with decompensated cirrhosis from accessing other treatment regimens (including the nominated main comparators</w:t>
      </w:r>
      <w:r w:rsidRPr="00DA298E">
        <w:rPr>
          <w:iCs/>
          <w:szCs w:val="22"/>
        </w:rPr>
        <w:t xml:space="preserve">, which are PBS-listed for use in those with cirrhosis, but not specifically for </w:t>
      </w:r>
      <w:r w:rsidRPr="00DA298E">
        <w:rPr>
          <w:iCs/>
          <w:szCs w:val="22"/>
          <w:u w:val="single"/>
        </w:rPr>
        <w:t>decompensated</w:t>
      </w:r>
      <w:r w:rsidRPr="00DA298E">
        <w:rPr>
          <w:iCs/>
          <w:szCs w:val="22"/>
        </w:rPr>
        <w:t xml:space="preserve"> cirrhosis</w:t>
      </w:r>
      <w:r w:rsidR="00BB5505" w:rsidRPr="00DA298E">
        <w:rPr>
          <w:iCs/>
          <w:szCs w:val="22"/>
        </w:rPr>
        <w:t>).</w:t>
      </w:r>
    </w:p>
    <w:p w:rsidR="00BB5505" w:rsidRPr="00DA298E" w:rsidRDefault="00BB5505" w:rsidP="002C4748">
      <w:pPr>
        <w:pStyle w:val="ListParagraph"/>
        <w:widowControl/>
        <w:numPr>
          <w:ilvl w:val="0"/>
          <w:numId w:val="6"/>
        </w:numPr>
        <w:rPr>
          <w:iCs/>
          <w:szCs w:val="22"/>
        </w:rPr>
      </w:pPr>
      <w:r w:rsidRPr="00DA298E">
        <w:rPr>
          <w:iCs/>
          <w:szCs w:val="22"/>
        </w:rPr>
        <w:t xml:space="preserve">The proposed changes to the </w:t>
      </w:r>
      <w:r w:rsidRPr="0015357F">
        <w:rPr>
          <w:i/>
          <w:szCs w:val="22"/>
        </w:rPr>
        <w:t>General Statement</w:t>
      </w:r>
      <w:r w:rsidR="00E671EE" w:rsidRPr="00DA298E">
        <w:rPr>
          <w:szCs w:val="22"/>
        </w:rPr>
        <w:t xml:space="preserve"> </w:t>
      </w:r>
      <w:r w:rsidRPr="00DA298E">
        <w:rPr>
          <w:iCs/>
          <w:szCs w:val="22"/>
        </w:rPr>
        <w:t>did not require provision of information or documentation of the presence or absence of decompensated cirrhosis (as per the requested PBS-listing); and omit</w:t>
      </w:r>
      <w:r w:rsidR="0015357F">
        <w:rPr>
          <w:iCs/>
          <w:szCs w:val="22"/>
        </w:rPr>
        <w:t>ted</w:t>
      </w:r>
      <w:r w:rsidRPr="00DA298E">
        <w:rPr>
          <w:iCs/>
          <w:szCs w:val="22"/>
        </w:rPr>
        <w:t xml:space="preserve"> the assessment of cirrhosis statu</w:t>
      </w:r>
      <w:r w:rsidR="0015357F">
        <w:rPr>
          <w:iCs/>
          <w:szCs w:val="22"/>
        </w:rPr>
        <w:t>s for pan-genotypic treatments.</w:t>
      </w:r>
    </w:p>
    <w:p w:rsidR="00BB5505" w:rsidRPr="00DA298E" w:rsidRDefault="00BB5505" w:rsidP="002C4748">
      <w:pPr>
        <w:pStyle w:val="ListParagraph"/>
        <w:widowControl/>
        <w:numPr>
          <w:ilvl w:val="0"/>
          <w:numId w:val="6"/>
        </w:numPr>
        <w:rPr>
          <w:iCs/>
          <w:szCs w:val="22"/>
        </w:rPr>
      </w:pPr>
      <w:r w:rsidRPr="00DA298E">
        <w:rPr>
          <w:iCs/>
          <w:szCs w:val="22"/>
        </w:rPr>
        <w:t>Epclusa</w:t>
      </w:r>
      <w:r w:rsidRPr="00DA298E">
        <w:rPr>
          <w:iCs/>
          <w:szCs w:val="22"/>
          <w:vertAlign w:val="superscript"/>
        </w:rPr>
        <w:t>®</w:t>
      </w:r>
      <w:r w:rsidRPr="00DA298E">
        <w:rPr>
          <w:iCs/>
          <w:szCs w:val="22"/>
        </w:rPr>
        <w:t xml:space="preserve"> (i.e. sofosbuvir/velpatasvir FDC) was identified as </w:t>
      </w:r>
      <w:r w:rsidR="0015357F">
        <w:rPr>
          <w:iCs/>
          <w:szCs w:val="22"/>
        </w:rPr>
        <w:t>“</w:t>
      </w:r>
      <w:r w:rsidRPr="00DA298E">
        <w:rPr>
          <w:iCs/>
          <w:szCs w:val="22"/>
        </w:rPr>
        <w:t>pan-genotypic</w:t>
      </w:r>
      <w:r w:rsidR="0015357F">
        <w:rPr>
          <w:iCs/>
          <w:szCs w:val="22"/>
        </w:rPr>
        <w:t>”</w:t>
      </w:r>
      <w:r w:rsidRPr="00DA298E">
        <w:rPr>
          <w:iCs/>
          <w:szCs w:val="22"/>
        </w:rPr>
        <w:t xml:space="preserve">; </w:t>
      </w:r>
      <w:r w:rsidRPr="00DA298E">
        <w:rPr>
          <w:iCs/>
        </w:rPr>
        <w:t xml:space="preserve">defined as </w:t>
      </w:r>
      <w:r w:rsidR="0015357F">
        <w:rPr>
          <w:iCs/>
        </w:rPr>
        <w:t>“</w:t>
      </w:r>
      <w:r w:rsidRPr="00DA298E">
        <w:rPr>
          <w:iCs/>
        </w:rPr>
        <w:t>…whereby the dose and treatment duration are not influenced by the patients’ HCV genotype</w:t>
      </w:r>
      <w:r w:rsidR="0015357F">
        <w:rPr>
          <w:iCs/>
        </w:rPr>
        <w:t>”</w:t>
      </w:r>
      <w:r w:rsidRPr="00DA298E">
        <w:rPr>
          <w:iCs/>
        </w:rPr>
        <w:t xml:space="preserve">. </w:t>
      </w:r>
      <w:r w:rsidRPr="00DA298E">
        <w:rPr>
          <w:iCs/>
          <w:szCs w:val="22"/>
        </w:rPr>
        <w:t>This definition may not be appropriate, and there are other agents that are pan-genotypic based on their pharmacological actions.</w:t>
      </w:r>
      <w:r w:rsidR="0086560B">
        <w:rPr>
          <w:iCs/>
          <w:szCs w:val="22"/>
        </w:rPr>
        <w:t xml:space="preserve"> </w:t>
      </w:r>
      <w:r w:rsidR="009939BB">
        <w:rPr>
          <w:iCs/>
          <w:szCs w:val="22"/>
        </w:rPr>
        <w:t xml:space="preserve">The Pre-PBAC Response (p2) </w:t>
      </w:r>
      <w:r w:rsidR="00F425BD">
        <w:rPr>
          <w:iCs/>
          <w:szCs w:val="22"/>
        </w:rPr>
        <w:t>reiterated</w:t>
      </w:r>
      <w:r w:rsidR="009939BB">
        <w:rPr>
          <w:iCs/>
          <w:szCs w:val="22"/>
        </w:rPr>
        <w:t xml:space="preserve"> that </w:t>
      </w:r>
      <w:r w:rsidR="00F425BD">
        <w:rPr>
          <w:iCs/>
          <w:szCs w:val="22"/>
        </w:rPr>
        <w:t xml:space="preserve">sofosbuvir/velpatasvir FDC is pan-genotypic in the sense that it is a </w:t>
      </w:r>
      <w:r w:rsidR="00F425BD" w:rsidRPr="00F425BD">
        <w:rPr>
          <w:i/>
          <w:iCs/>
          <w:szCs w:val="22"/>
        </w:rPr>
        <w:t>single</w:t>
      </w:r>
      <w:r w:rsidR="00F425BD">
        <w:rPr>
          <w:iCs/>
          <w:szCs w:val="22"/>
        </w:rPr>
        <w:t xml:space="preserve"> tablet regimen effective against all six HCV genotypes, whilst other DAAs must be co-administered with other drugs to be effective against multiple genotypes.</w:t>
      </w:r>
      <w:r w:rsidR="001A4DAE">
        <w:rPr>
          <w:iCs/>
          <w:szCs w:val="22"/>
        </w:rPr>
        <w:t xml:space="preserve"> </w:t>
      </w:r>
    </w:p>
    <w:p w:rsidR="00BB5505" w:rsidRDefault="00BB5505" w:rsidP="002C4748">
      <w:pPr>
        <w:pStyle w:val="ListParagraph"/>
        <w:widowControl/>
        <w:numPr>
          <w:ilvl w:val="0"/>
          <w:numId w:val="6"/>
        </w:numPr>
        <w:rPr>
          <w:iCs/>
          <w:szCs w:val="22"/>
        </w:rPr>
      </w:pPr>
      <w:r w:rsidRPr="00DA298E">
        <w:rPr>
          <w:iCs/>
          <w:szCs w:val="22"/>
        </w:rPr>
        <w:t>The</w:t>
      </w:r>
      <w:r w:rsidR="00FC3F5A">
        <w:rPr>
          <w:iCs/>
          <w:szCs w:val="22"/>
        </w:rPr>
        <w:t xml:space="preserve"> proposed</w:t>
      </w:r>
      <w:r w:rsidRPr="00DA298E">
        <w:rPr>
          <w:iCs/>
          <w:szCs w:val="22"/>
        </w:rPr>
        <w:t xml:space="preserve"> </w:t>
      </w:r>
      <w:r w:rsidRPr="00DA298E">
        <w:rPr>
          <w:iCs/>
        </w:rPr>
        <w:t xml:space="preserve">framing of the </w:t>
      </w:r>
      <w:r w:rsidR="0015357F">
        <w:rPr>
          <w:iCs/>
        </w:rPr>
        <w:t>“</w:t>
      </w:r>
      <w:r w:rsidRPr="00DA298E">
        <w:rPr>
          <w:iCs/>
        </w:rPr>
        <w:t>pan</w:t>
      </w:r>
      <w:r w:rsidR="00DB2C72" w:rsidRPr="00DA298E">
        <w:rPr>
          <w:iCs/>
        </w:rPr>
        <w:t>-</w:t>
      </w:r>
      <w:r w:rsidRPr="00DA298E">
        <w:rPr>
          <w:iCs/>
        </w:rPr>
        <w:t>genotypic</w:t>
      </w:r>
      <w:r w:rsidR="0015357F">
        <w:rPr>
          <w:iCs/>
        </w:rPr>
        <w:t>”</w:t>
      </w:r>
      <w:r w:rsidRPr="00DA298E">
        <w:rPr>
          <w:iCs/>
        </w:rPr>
        <w:t xml:space="preserve"> treatment matrix may effectively exclude patients with decompensated cirrhosis who cannot tolerate or have contraindications to ribavirin from </w:t>
      </w:r>
      <w:r w:rsidR="006666F7">
        <w:rPr>
          <w:iCs/>
        </w:rPr>
        <w:t xml:space="preserve">accessing </w:t>
      </w:r>
      <w:r w:rsidRPr="00DA298E">
        <w:rPr>
          <w:iCs/>
        </w:rPr>
        <w:t>PBS-subsidised sofosbuvir/velpatasvir FDC</w:t>
      </w:r>
      <w:r w:rsidR="008028B6" w:rsidRPr="00DA298E">
        <w:rPr>
          <w:iCs/>
        </w:rPr>
        <w:t>.</w:t>
      </w:r>
      <w:r w:rsidR="005C2ACC" w:rsidRPr="00DA298E">
        <w:rPr>
          <w:iCs/>
        </w:rPr>
        <w:t xml:space="preserve"> </w:t>
      </w:r>
      <w:r w:rsidR="005C2ACC" w:rsidRPr="00DA298E">
        <w:rPr>
          <w:iCs/>
          <w:szCs w:val="22"/>
        </w:rPr>
        <w:t xml:space="preserve">The results from ASTRAL-4 (patients with decompensated cirrhosis) demonstrated that </w:t>
      </w:r>
      <w:r w:rsidR="005C2ACC" w:rsidRPr="00DA298E">
        <w:rPr>
          <w:iCs/>
        </w:rPr>
        <w:t>alternative sofosbuvir/velpatasvir FDC regimens without ribavirin were less effective. ASTRAL-4 also</w:t>
      </w:r>
      <w:r w:rsidR="005C2ACC" w:rsidRPr="00DA298E">
        <w:rPr>
          <w:iCs/>
          <w:szCs w:val="22"/>
        </w:rPr>
        <w:t xml:space="preserve"> reported suboptimal adherence to protocol-defined ribavirin.</w:t>
      </w:r>
    </w:p>
    <w:p w:rsidR="00F94CDD" w:rsidRDefault="00F94CDD" w:rsidP="00F94CDD">
      <w:pPr>
        <w:pStyle w:val="ListParagraph"/>
        <w:widowControl/>
        <w:ind w:left="1080"/>
        <w:rPr>
          <w:iCs/>
          <w:szCs w:val="22"/>
        </w:rPr>
      </w:pPr>
    </w:p>
    <w:p w:rsidR="00E64DA0" w:rsidRPr="00945842" w:rsidRDefault="00E64DA0" w:rsidP="002C4748">
      <w:pPr>
        <w:pStyle w:val="ListParagraph"/>
        <w:widowControl/>
        <w:numPr>
          <w:ilvl w:val="1"/>
          <w:numId w:val="2"/>
        </w:numPr>
        <w:rPr>
          <w:szCs w:val="22"/>
        </w:rPr>
      </w:pPr>
      <w:r w:rsidRPr="00945842">
        <w:rPr>
          <w:szCs w:val="22"/>
        </w:rPr>
        <w:t xml:space="preserve">The PSCR (p1) stated that the differentiation was proposed “simply to facilitate the identification of evidence based recommendations in these severely ill patients and differentiate the requirement to add ribavirin” to sofosbuvir/velpatasvir FDC uniquely </w:t>
      </w:r>
      <w:r w:rsidR="00F94CDD" w:rsidRPr="00945842">
        <w:rPr>
          <w:szCs w:val="22"/>
        </w:rPr>
        <w:t>in patients with decompensated cirrhosis</w:t>
      </w:r>
      <w:r w:rsidRPr="00945842">
        <w:rPr>
          <w:szCs w:val="22"/>
        </w:rPr>
        <w:t>.</w:t>
      </w:r>
    </w:p>
    <w:p w:rsidR="00E64DA0" w:rsidRPr="00945842" w:rsidRDefault="00E64DA0" w:rsidP="00E64DA0">
      <w:pPr>
        <w:pStyle w:val="ListParagraph"/>
        <w:widowControl/>
        <w:rPr>
          <w:i/>
          <w:szCs w:val="22"/>
        </w:rPr>
      </w:pPr>
    </w:p>
    <w:p w:rsidR="00FE542A" w:rsidRPr="00802DBC" w:rsidRDefault="00FE542A" w:rsidP="002C4748">
      <w:pPr>
        <w:pStyle w:val="ListParagraph"/>
        <w:widowControl/>
        <w:numPr>
          <w:ilvl w:val="1"/>
          <w:numId w:val="2"/>
        </w:numPr>
        <w:rPr>
          <w:szCs w:val="22"/>
        </w:rPr>
      </w:pPr>
      <w:r w:rsidRPr="00802DBC">
        <w:rPr>
          <w:szCs w:val="22"/>
        </w:rPr>
        <w:t xml:space="preserve">Listing was requested on cost-minimisation basis to the nominated comparators based on HCV genotype and cirrhosis status. </w:t>
      </w:r>
    </w:p>
    <w:p w:rsidR="00FE542A" w:rsidRPr="00802DBC" w:rsidRDefault="00FE542A" w:rsidP="00FE542A">
      <w:pPr>
        <w:pStyle w:val="ListParagraph"/>
        <w:widowControl/>
        <w:rPr>
          <w:szCs w:val="22"/>
        </w:rPr>
      </w:pPr>
    </w:p>
    <w:p w:rsidR="00FE542A" w:rsidRDefault="00FE542A" w:rsidP="002C4748">
      <w:pPr>
        <w:pStyle w:val="ListParagraph"/>
        <w:widowControl/>
        <w:numPr>
          <w:ilvl w:val="1"/>
          <w:numId w:val="2"/>
        </w:numPr>
        <w:rPr>
          <w:szCs w:val="22"/>
        </w:rPr>
      </w:pPr>
      <w:r w:rsidRPr="00802DBC">
        <w:rPr>
          <w:szCs w:val="22"/>
        </w:rPr>
        <w:t>The sponsor indicated a willingness to engage in discussions with the Department regarding potential Special Pricing Arrangements.</w:t>
      </w:r>
    </w:p>
    <w:p w:rsidR="00FE542A" w:rsidRDefault="00FE542A" w:rsidP="00FE542A">
      <w:pPr>
        <w:pStyle w:val="ListParagraph"/>
        <w:widowControl/>
        <w:rPr>
          <w:szCs w:val="22"/>
        </w:rPr>
      </w:pPr>
    </w:p>
    <w:p w:rsidR="005A414D" w:rsidRDefault="005A414D" w:rsidP="005A414D">
      <w:pPr>
        <w:pStyle w:val="ListParagraph"/>
        <w:ind w:left="709"/>
        <w:rPr>
          <w:i/>
          <w:szCs w:val="22"/>
        </w:rPr>
      </w:pPr>
      <w:r w:rsidRPr="000535F1">
        <w:rPr>
          <w:i/>
          <w:szCs w:val="22"/>
        </w:rPr>
        <w:t>For more detail on PBAC’s view, see section 7 “PBAC outcome”</w:t>
      </w:r>
    </w:p>
    <w:p w:rsidR="00DF6326" w:rsidRDefault="00DF6326" w:rsidP="005A414D">
      <w:pPr>
        <w:pStyle w:val="ListParagraph"/>
        <w:ind w:left="709"/>
        <w:rPr>
          <w:i/>
          <w:szCs w:val="22"/>
        </w:rPr>
      </w:pPr>
    </w:p>
    <w:p w:rsidR="001E737B" w:rsidRPr="00802DBC" w:rsidRDefault="001E737B" w:rsidP="00FE542A">
      <w:pPr>
        <w:pStyle w:val="ListParagraph"/>
        <w:widowControl/>
        <w:rPr>
          <w:szCs w:val="22"/>
        </w:rPr>
      </w:pPr>
    </w:p>
    <w:p w:rsidR="00FE542A" w:rsidRPr="00802DBC" w:rsidRDefault="00FE542A" w:rsidP="00FE542A">
      <w:pPr>
        <w:pStyle w:val="PBACHeading1"/>
      </w:pPr>
      <w:bookmarkStart w:id="10" w:name="_Toc458698808"/>
      <w:bookmarkStart w:id="11" w:name="_Toc461609471"/>
      <w:r w:rsidRPr="00802DBC">
        <w:t>Background</w:t>
      </w:r>
      <w:bookmarkEnd w:id="10"/>
      <w:bookmarkEnd w:id="11"/>
    </w:p>
    <w:p w:rsidR="00FE542A" w:rsidRPr="00802DBC" w:rsidRDefault="00FE542A" w:rsidP="00FE542A">
      <w:pPr>
        <w:rPr>
          <w:szCs w:val="22"/>
        </w:rPr>
      </w:pPr>
    </w:p>
    <w:p w:rsidR="00FE542A" w:rsidRPr="009654FD" w:rsidRDefault="00FE542A" w:rsidP="002C4748">
      <w:pPr>
        <w:pStyle w:val="ListParagraph"/>
        <w:widowControl/>
        <w:numPr>
          <w:ilvl w:val="1"/>
          <w:numId w:val="2"/>
        </w:numPr>
        <w:rPr>
          <w:szCs w:val="22"/>
        </w:rPr>
      </w:pPr>
      <w:r w:rsidRPr="009654FD">
        <w:rPr>
          <w:b/>
          <w:szCs w:val="22"/>
        </w:rPr>
        <w:t>TGA status</w:t>
      </w:r>
      <w:r w:rsidR="00DA298E" w:rsidRPr="009654FD">
        <w:rPr>
          <w:b/>
          <w:szCs w:val="22"/>
        </w:rPr>
        <w:t xml:space="preserve"> at the time of </w:t>
      </w:r>
      <w:r w:rsidR="00627982" w:rsidRPr="009654FD">
        <w:rPr>
          <w:b/>
          <w:szCs w:val="22"/>
        </w:rPr>
        <w:t>PBAC consideration</w:t>
      </w:r>
      <w:r w:rsidRPr="009654FD">
        <w:rPr>
          <w:szCs w:val="22"/>
        </w:rPr>
        <w:t xml:space="preserve">: </w:t>
      </w:r>
      <w:r w:rsidRPr="009654FD">
        <w:t xml:space="preserve">The submission was made under TGA/PBAC Parallel Process. </w:t>
      </w:r>
      <w:r w:rsidR="009654FD" w:rsidRPr="009654FD">
        <w:t xml:space="preserve">At the time of the PBAC meeting, the TGA Delegate’s Overview was available. </w:t>
      </w:r>
      <w:r w:rsidRPr="009654FD">
        <w:t xml:space="preserve">At the time of the </w:t>
      </w:r>
      <w:r w:rsidR="0039505F" w:rsidRPr="009654FD">
        <w:t xml:space="preserve">ESC advice and the </w:t>
      </w:r>
      <w:r w:rsidRPr="009654FD">
        <w:t>evaluation, the Clinical Evaluation Report was available.</w:t>
      </w:r>
    </w:p>
    <w:p w:rsidR="00FE542A" w:rsidRPr="00802DBC" w:rsidRDefault="00FE542A" w:rsidP="00FE542A">
      <w:pPr>
        <w:pStyle w:val="ListParagraph"/>
        <w:widowControl/>
        <w:rPr>
          <w:szCs w:val="22"/>
        </w:rPr>
      </w:pPr>
    </w:p>
    <w:p w:rsidR="00FE542A" w:rsidRPr="00802DBC" w:rsidRDefault="00FE542A" w:rsidP="002C4748">
      <w:pPr>
        <w:pStyle w:val="ListParagraph"/>
        <w:widowControl/>
        <w:numPr>
          <w:ilvl w:val="1"/>
          <w:numId w:val="2"/>
        </w:numPr>
      </w:pPr>
      <w:r w:rsidRPr="00802DBC">
        <w:rPr>
          <w:szCs w:val="22"/>
        </w:rPr>
        <w:t xml:space="preserve">This </w:t>
      </w:r>
      <w:r w:rsidR="0012465B">
        <w:rPr>
          <w:szCs w:val="22"/>
        </w:rPr>
        <w:t>was</w:t>
      </w:r>
      <w:r w:rsidR="0012465B" w:rsidRPr="00802DBC">
        <w:rPr>
          <w:szCs w:val="22"/>
        </w:rPr>
        <w:t xml:space="preserve"> </w:t>
      </w:r>
      <w:r w:rsidRPr="00802DBC">
        <w:rPr>
          <w:szCs w:val="22"/>
        </w:rPr>
        <w:t xml:space="preserve">the first submission requesting PBS-listing of </w:t>
      </w:r>
      <w:r w:rsidRPr="00802DBC">
        <w:t xml:space="preserve">sofosbuvir/velpatasvir FDC. </w:t>
      </w:r>
    </w:p>
    <w:p w:rsidR="000829FE" w:rsidRPr="000829FE" w:rsidRDefault="000829FE" w:rsidP="000829FE">
      <w:pPr>
        <w:pStyle w:val="ListParagraph"/>
        <w:widowControl/>
        <w:rPr>
          <w:szCs w:val="22"/>
        </w:rPr>
      </w:pPr>
    </w:p>
    <w:p w:rsidR="00FE542A" w:rsidRPr="005A414D" w:rsidRDefault="00FE542A" w:rsidP="002C4748">
      <w:pPr>
        <w:pStyle w:val="ListParagraph"/>
        <w:widowControl/>
        <w:numPr>
          <w:ilvl w:val="1"/>
          <w:numId w:val="2"/>
        </w:numPr>
        <w:rPr>
          <w:szCs w:val="22"/>
        </w:rPr>
      </w:pPr>
      <w:r w:rsidRPr="00802DBC">
        <w:t xml:space="preserve">A concurrent submission seeking to expand the PBS-listing of the ledipasvir/sofosbuvir FDC </w:t>
      </w:r>
      <w:r w:rsidR="00DD66FE">
        <w:t xml:space="preserve">was withdrawn prior to consideration </w:t>
      </w:r>
      <w:r w:rsidRPr="00802DBC">
        <w:t>at the November 2016 PBAC meeting.</w:t>
      </w:r>
    </w:p>
    <w:p w:rsidR="005A414D" w:rsidRPr="005A414D" w:rsidRDefault="005A414D" w:rsidP="005A414D">
      <w:pPr>
        <w:pStyle w:val="ListParagraph"/>
        <w:rPr>
          <w:szCs w:val="22"/>
        </w:rPr>
      </w:pPr>
    </w:p>
    <w:p w:rsidR="005A414D" w:rsidRDefault="005A414D" w:rsidP="005A414D">
      <w:pPr>
        <w:pStyle w:val="ListParagraph"/>
        <w:ind w:left="709"/>
        <w:rPr>
          <w:i/>
          <w:szCs w:val="22"/>
        </w:rPr>
      </w:pPr>
      <w:r w:rsidRPr="000535F1">
        <w:rPr>
          <w:i/>
          <w:szCs w:val="22"/>
        </w:rPr>
        <w:t>For more detail on PBAC’s view, see section 7 “PBAC outcome”</w:t>
      </w:r>
    </w:p>
    <w:p w:rsidR="00FE542A" w:rsidRDefault="00FE542A" w:rsidP="00FE542A">
      <w:pPr>
        <w:pStyle w:val="ListParagraph"/>
        <w:rPr>
          <w:szCs w:val="22"/>
        </w:rPr>
      </w:pPr>
    </w:p>
    <w:p w:rsidR="004C0E95" w:rsidRDefault="004C0E95" w:rsidP="00FE542A">
      <w:pPr>
        <w:pStyle w:val="ListParagraph"/>
        <w:rPr>
          <w:szCs w:val="22"/>
        </w:rPr>
      </w:pPr>
    </w:p>
    <w:p w:rsidR="00FE542A" w:rsidRPr="00802DBC" w:rsidRDefault="00FE542A" w:rsidP="00FE542A">
      <w:pPr>
        <w:pStyle w:val="PBACHeading1"/>
      </w:pPr>
      <w:bookmarkStart w:id="12" w:name="_Toc458698809"/>
      <w:bookmarkStart w:id="13" w:name="_Toc461609472"/>
      <w:r w:rsidRPr="00802DBC">
        <w:t>Clinical place for the proposed therapy</w:t>
      </w:r>
      <w:bookmarkEnd w:id="12"/>
      <w:bookmarkEnd w:id="13"/>
    </w:p>
    <w:p w:rsidR="00FE542A" w:rsidRPr="00802DBC" w:rsidRDefault="00FE542A" w:rsidP="00FE542A">
      <w:pPr>
        <w:rPr>
          <w:szCs w:val="22"/>
        </w:rPr>
      </w:pPr>
    </w:p>
    <w:p w:rsidR="00FE542A" w:rsidRPr="00802DBC" w:rsidRDefault="00FE542A" w:rsidP="00752E30">
      <w:pPr>
        <w:pStyle w:val="ListParagraph"/>
        <w:widowControl/>
        <w:numPr>
          <w:ilvl w:val="1"/>
          <w:numId w:val="2"/>
        </w:numPr>
        <w:rPr>
          <w:szCs w:val="22"/>
        </w:rPr>
      </w:pPr>
      <w:r w:rsidRPr="00802DBC">
        <w:rPr>
          <w:szCs w:val="22"/>
        </w:rPr>
        <w:t>Hepatitis C is a blood</w:t>
      </w:r>
      <w:r w:rsidR="001F5C97">
        <w:rPr>
          <w:szCs w:val="22"/>
        </w:rPr>
        <w:t>-</w:t>
      </w:r>
      <w:r w:rsidRPr="00802DBC">
        <w:rPr>
          <w:szCs w:val="22"/>
        </w:rPr>
        <w:t>borne inflammatory liver disease caused by HCV, with around 75-80% of people exposed to HCV developing chronic infection which may lead to cirrhosis, liver failure, hepatocellular carcinoma and death. Approximately 230,000 people in Australia were estimated to be living with chronic HCV infection in 2014</w:t>
      </w:r>
      <w:r w:rsidR="00C132D5">
        <w:rPr>
          <w:szCs w:val="22"/>
        </w:rPr>
        <w:t xml:space="preserve"> </w:t>
      </w:r>
      <w:r w:rsidR="00C132D5" w:rsidRPr="00A43429">
        <w:rPr>
          <w:szCs w:val="22"/>
        </w:rPr>
        <w:t>(Kirby 2015)</w:t>
      </w:r>
      <w:r w:rsidRPr="00802DBC">
        <w:rPr>
          <w:szCs w:val="22"/>
        </w:rPr>
        <w:t xml:space="preserve">.  </w:t>
      </w:r>
      <w:r w:rsidR="00752E30">
        <w:rPr>
          <w:szCs w:val="22"/>
        </w:rPr>
        <w:t>The s</w:t>
      </w:r>
      <w:r w:rsidR="00752E30" w:rsidRPr="00752E30">
        <w:rPr>
          <w:szCs w:val="22"/>
        </w:rPr>
        <w:t>ofosbuvir/velpatasvir FDC</w:t>
      </w:r>
      <w:r w:rsidR="00752E30">
        <w:rPr>
          <w:szCs w:val="22"/>
        </w:rPr>
        <w:t xml:space="preserve"> is an alternative treatment option to those already listed on the PBS for the treatment of this condition.</w:t>
      </w:r>
    </w:p>
    <w:p w:rsidR="00FE542A" w:rsidRPr="00802DBC" w:rsidRDefault="00FE542A" w:rsidP="00FE542A">
      <w:pPr>
        <w:pStyle w:val="ListParagraph"/>
        <w:widowControl/>
        <w:rPr>
          <w:szCs w:val="22"/>
        </w:rPr>
      </w:pPr>
    </w:p>
    <w:p w:rsidR="001E737B" w:rsidRPr="00DA298E" w:rsidRDefault="001E737B" w:rsidP="00FE542A">
      <w:pPr>
        <w:pStyle w:val="Header"/>
        <w:rPr>
          <w:szCs w:val="22"/>
        </w:rPr>
      </w:pPr>
    </w:p>
    <w:p w:rsidR="00FE542A" w:rsidRPr="00802DBC" w:rsidRDefault="00FE542A" w:rsidP="0056189C">
      <w:pPr>
        <w:pStyle w:val="PBACHeading1"/>
        <w:rPr>
          <w:b w:val="0"/>
        </w:rPr>
      </w:pPr>
      <w:bookmarkStart w:id="14" w:name="_Toc461609473"/>
      <w:r w:rsidRPr="00802DBC">
        <w:t>Comparator</w:t>
      </w:r>
      <w:bookmarkEnd w:id="14"/>
    </w:p>
    <w:p w:rsidR="00E3041E" w:rsidRPr="00802DBC" w:rsidRDefault="00E3041E" w:rsidP="00E3041E">
      <w:pPr>
        <w:tabs>
          <w:tab w:val="left" w:pos="3990"/>
        </w:tabs>
      </w:pPr>
    </w:p>
    <w:p w:rsidR="00085D96" w:rsidRPr="00085D96" w:rsidRDefault="00FE542A" w:rsidP="0071437A">
      <w:pPr>
        <w:numPr>
          <w:ilvl w:val="1"/>
          <w:numId w:val="2"/>
        </w:numPr>
        <w:contextualSpacing/>
        <w:rPr>
          <w:bCs/>
          <w:szCs w:val="22"/>
          <w:lang w:val="en-GB"/>
        </w:rPr>
      </w:pPr>
      <w:r w:rsidRPr="00802DBC">
        <w:t xml:space="preserve">The submission nominated one main comparator for the each of the identified subgroups by HCV genotype and cirrhosis status </w:t>
      </w:r>
      <w:r w:rsidR="00D1476A">
        <w:t>based on the regimen most frequently prescribed (see</w:t>
      </w:r>
      <w:r w:rsidRPr="00802DBC">
        <w:t xml:space="preserve"> Table </w:t>
      </w:r>
      <w:r w:rsidR="0052346C">
        <w:t>2</w:t>
      </w:r>
      <w:r w:rsidR="00D1476A">
        <w:t>)</w:t>
      </w:r>
      <w:r w:rsidR="00D773C7">
        <w:t>.</w:t>
      </w:r>
    </w:p>
    <w:p w:rsidR="00085D96" w:rsidRPr="00085D96" w:rsidRDefault="00085D96" w:rsidP="00085D96">
      <w:pPr>
        <w:ind w:left="720"/>
        <w:contextualSpacing/>
        <w:rPr>
          <w:bCs/>
          <w:szCs w:val="22"/>
          <w:lang w:val="en-GB"/>
        </w:rPr>
      </w:pPr>
    </w:p>
    <w:p w:rsidR="0071437A" w:rsidRPr="0071437A" w:rsidRDefault="003B03BA" w:rsidP="0071437A">
      <w:pPr>
        <w:numPr>
          <w:ilvl w:val="1"/>
          <w:numId w:val="2"/>
        </w:numPr>
        <w:contextualSpacing/>
        <w:rPr>
          <w:bCs/>
          <w:szCs w:val="22"/>
          <w:lang w:val="en-GB"/>
        </w:rPr>
      </w:pPr>
      <w:r w:rsidRPr="008C3321">
        <w:t xml:space="preserve">The ESC </w:t>
      </w:r>
      <w:r w:rsidR="00085D96">
        <w:t>advised</w:t>
      </w:r>
      <w:r w:rsidR="00085D96" w:rsidRPr="008C3321">
        <w:t xml:space="preserve"> </w:t>
      </w:r>
      <w:r w:rsidRPr="008C3321">
        <w:t>that the submission did not conduct a thorough review of appropriate comparators, and that in at least one instance there was an omission of data for a nominated comparator. The ESC considered that the submission did not present the totality of evidence available</w:t>
      </w:r>
      <w:r w:rsidRPr="0071437A">
        <w:rPr>
          <w:i/>
        </w:rPr>
        <w:t>.</w:t>
      </w:r>
      <w:r w:rsidR="0071437A">
        <w:t xml:space="preserve"> </w:t>
      </w:r>
      <w:r w:rsidR="00D773C7">
        <w:rPr>
          <w:szCs w:val="22"/>
        </w:rPr>
        <w:t>The Pre-PBAC Response (p2)</w:t>
      </w:r>
      <w:r w:rsidR="0071437A" w:rsidRPr="0071437A">
        <w:rPr>
          <w:szCs w:val="22"/>
        </w:rPr>
        <w:t xml:space="preserve"> argued that while the sponsor </w:t>
      </w:r>
      <w:r w:rsidR="00D773C7">
        <w:rPr>
          <w:szCs w:val="22"/>
        </w:rPr>
        <w:t>“</w:t>
      </w:r>
      <w:r w:rsidR="0071437A" w:rsidRPr="0071437A">
        <w:t>was not averse to presenting the totality of the data, this would have unnecessarily complicated and prolonged the evaluation, without providing any further relevant information to inform and assist the PBAC’s decision making.</w:t>
      </w:r>
      <w:r w:rsidR="00D773C7">
        <w:t>”</w:t>
      </w:r>
    </w:p>
    <w:p w:rsidR="00B51095" w:rsidRPr="00B51095" w:rsidRDefault="00B51095" w:rsidP="00B51095">
      <w:pPr>
        <w:pStyle w:val="ListParagraph"/>
        <w:widowControl/>
      </w:pPr>
    </w:p>
    <w:p w:rsidR="0052346C" w:rsidRDefault="0052346C">
      <w:pPr>
        <w:widowControl/>
        <w:jc w:val="left"/>
        <w:rPr>
          <w:rFonts w:ascii="Arial Narrow" w:hAnsi="Arial Narrow"/>
          <w:b/>
          <w:bCs/>
          <w:iCs/>
          <w:sz w:val="20"/>
        </w:rPr>
      </w:pPr>
      <w:r>
        <w:rPr>
          <w:rFonts w:ascii="Arial Narrow" w:hAnsi="Arial Narrow"/>
          <w:b/>
          <w:bCs/>
          <w:iCs/>
          <w:sz w:val="20"/>
        </w:rPr>
        <w:br w:type="page"/>
      </w:r>
    </w:p>
    <w:p w:rsidR="00494FBD" w:rsidRPr="00802DBC" w:rsidRDefault="00FE542A" w:rsidP="00A314C5">
      <w:pPr>
        <w:ind w:firstLine="720"/>
      </w:pPr>
      <w:r w:rsidRPr="00802DBC">
        <w:rPr>
          <w:rFonts w:ascii="Arial Narrow" w:hAnsi="Arial Narrow"/>
          <w:b/>
          <w:bCs/>
          <w:iCs/>
          <w:sz w:val="20"/>
        </w:rPr>
        <w:lastRenderedPageBreak/>
        <w:t xml:space="preserve">Table </w:t>
      </w:r>
      <w:r w:rsidR="0052346C">
        <w:rPr>
          <w:rFonts w:ascii="Arial Narrow" w:hAnsi="Arial Narrow"/>
          <w:b/>
          <w:bCs/>
          <w:iCs/>
          <w:sz w:val="20"/>
        </w:rPr>
        <w:t>2</w:t>
      </w:r>
      <w:r w:rsidRPr="00802DBC">
        <w:rPr>
          <w:rFonts w:ascii="Arial Narrow" w:hAnsi="Arial Narrow"/>
          <w:b/>
          <w:bCs/>
          <w:iCs/>
          <w:sz w:val="20"/>
        </w:rPr>
        <w:t>: Nominated main comparators by HCV genotype and cirrhosis status</w:t>
      </w:r>
    </w:p>
    <w:tbl>
      <w:tblPr>
        <w:tblStyle w:val="TableGrid"/>
        <w:tblW w:w="0" w:type="auto"/>
        <w:tblInd w:w="737" w:type="dxa"/>
        <w:tblCellMar>
          <w:left w:w="28" w:type="dxa"/>
          <w:right w:w="28" w:type="dxa"/>
        </w:tblCellMar>
        <w:tblLook w:val="04A0" w:firstRow="1" w:lastRow="0" w:firstColumn="1" w:lastColumn="0" w:noHBand="0" w:noVBand="1"/>
        <w:tblCaption w:val="Table 2: Nominated main comparators by HCV genotype and cirrhosis status"/>
        <w:tblDescription w:val="Table 2: Nominated main comparators by HCV genotype and cirrhosis status"/>
      </w:tblPr>
      <w:tblGrid>
        <w:gridCol w:w="709"/>
        <w:gridCol w:w="2480"/>
        <w:gridCol w:w="2481"/>
        <w:gridCol w:w="2675"/>
      </w:tblGrid>
      <w:tr w:rsidR="00FE542A" w:rsidRPr="00802DBC" w:rsidTr="00460056">
        <w:trPr>
          <w:cantSplit/>
          <w:tblHeader/>
        </w:trPr>
        <w:tc>
          <w:tcPr>
            <w:tcW w:w="709" w:type="dxa"/>
            <w:shd w:val="clear" w:color="auto" w:fill="auto"/>
          </w:tcPr>
          <w:p w:rsidR="00FE542A" w:rsidRPr="00802DBC" w:rsidRDefault="00FE542A" w:rsidP="0094297E">
            <w:pPr>
              <w:rPr>
                <w:rFonts w:ascii="Arial Narrow" w:hAnsi="Arial Narrow"/>
                <w:sz w:val="20"/>
              </w:rPr>
            </w:pPr>
            <w:r w:rsidRPr="00802DBC">
              <w:rPr>
                <w:rFonts w:ascii="Arial Narrow" w:hAnsi="Arial Narrow"/>
                <w:b/>
                <w:bCs/>
                <w:sz w:val="20"/>
              </w:rPr>
              <w:t>HCV Gt</w:t>
            </w:r>
          </w:p>
        </w:tc>
        <w:tc>
          <w:tcPr>
            <w:tcW w:w="2480" w:type="dxa"/>
            <w:shd w:val="clear" w:color="auto" w:fill="auto"/>
          </w:tcPr>
          <w:p w:rsidR="00FE542A" w:rsidRPr="00802DBC" w:rsidRDefault="00FE542A" w:rsidP="0094297E">
            <w:pPr>
              <w:jc w:val="center"/>
              <w:rPr>
                <w:rFonts w:ascii="Arial Narrow" w:hAnsi="Arial Narrow"/>
                <w:b/>
                <w:bCs/>
                <w:sz w:val="20"/>
              </w:rPr>
            </w:pPr>
            <w:r w:rsidRPr="00802DBC">
              <w:rPr>
                <w:rFonts w:ascii="Arial Narrow" w:hAnsi="Arial Narrow"/>
                <w:b/>
                <w:bCs/>
                <w:sz w:val="20"/>
              </w:rPr>
              <w:t>Non-cirrhotic patients</w:t>
            </w:r>
          </w:p>
        </w:tc>
        <w:tc>
          <w:tcPr>
            <w:tcW w:w="2481" w:type="dxa"/>
            <w:shd w:val="clear" w:color="auto" w:fill="auto"/>
          </w:tcPr>
          <w:p w:rsidR="00FE542A" w:rsidRPr="00802DBC" w:rsidRDefault="00FE542A" w:rsidP="0094297E">
            <w:pPr>
              <w:jc w:val="center"/>
              <w:rPr>
                <w:rFonts w:ascii="Arial Narrow" w:hAnsi="Arial Narrow"/>
                <w:b/>
                <w:bCs/>
                <w:sz w:val="20"/>
              </w:rPr>
            </w:pPr>
            <w:r w:rsidRPr="00802DBC">
              <w:rPr>
                <w:rFonts w:ascii="Arial Narrow" w:hAnsi="Arial Narrow"/>
                <w:b/>
                <w:bCs/>
                <w:sz w:val="20"/>
              </w:rPr>
              <w:t>Compensated cirrhosis</w:t>
            </w:r>
          </w:p>
        </w:tc>
        <w:tc>
          <w:tcPr>
            <w:tcW w:w="2675" w:type="dxa"/>
          </w:tcPr>
          <w:p w:rsidR="00FE542A" w:rsidRPr="00802DBC" w:rsidRDefault="00FE542A" w:rsidP="0094297E">
            <w:pPr>
              <w:jc w:val="center"/>
              <w:rPr>
                <w:rFonts w:ascii="Arial Narrow" w:hAnsi="Arial Narrow"/>
                <w:b/>
                <w:bCs/>
                <w:sz w:val="20"/>
              </w:rPr>
            </w:pPr>
            <w:r w:rsidRPr="00802DBC">
              <w:rPr>
                <w:rFonts w:ascii="Arial Narrow" w:hAnsi="Arial Narrow"/>
                <w:b/>
                <w:bCs/>
                <w:sz w:val="20"/>
              </w:rPr>
              <w:t>Decompensated cirrhosis</w:t>
            </w:r>
          </w:p>
        </w:tc>
      </w:tr>
      <w:tr w:rsidR="00FE542A" w:rsidRPr="00802DBC" w:rsidTr="0094297E">
        <w:trPr>
          <w:cantSplit/>
        </w:trPr>
        <w:tc>
          <w:tcPr>
            <w:tcW w:w="709" w:type="dxa"/>
            <w:shd w:val="clear" w:color="auto" w:fill="auto"/>
            <w:vAlign w:val="center"/>
          </w:tcPr>
          <w:p w:rsidR="00FE542A" w:rsidRPr="00802DBC" w:rsidRDefault="00FE542A" w:rsidP="0094297E">
            <w:pPr>
              <w:jc w:val="left"/>
              <w:rPr>
                <w:rFonts w:ascii="Arial Narrow" w:hAnsi="Arial Narrow"/>
                <w:sz w:val="20"/>
              </w:rPr>
            </w:pPr>
            <w:r w:rsidRPr="00802DBC">
              <w:rPr>
                <w:rFonts w:ascii="Arial Narrow" w:hAnsi="Arial Narrow"/>
                <w:sz w:val="20"/>
              </w:rPr>
              <w:t>1</w:t>
            </w:r>
          </w:p>
        </w:tc>
        <w:tc>
          <w:tcPr>
            <w:tcW w:w="2480" w:type="dxa"/>
            <w:shd w:val="clear" w:color="auto" w:fill="auto"/>
            <w:vAlign w:val="center"/>
          </w:tcPr>
          <w:p w:rsidR="00FE542A" w:rsidRPr="00802DBC" w:rsidRDefault="00FE542A" w:rsidP="0094297E">
            <w:pPr>
              <w:jc w:val="center"/>
              <w:rPr>
                <w:rFonts w:ascii="Arial Narrow" w:hAnsi="Arial Narrow"/>
                <w:sz w:val="20"/>
              </w:rPr>
            </w:pPr>
            <w:r w:rsidRPr="00802DBC">
              <w:rPr>
                <w:rFonts w:ascii="Arial Narrow" w:hAnsi="Arial Narrow"/>
                <w:sz w:val="20"/>
              </w:rPr>
              <w:t>Ledipasvir/sofosbuvir FDC</w:t>
            </w:r>
          </w:p>
          <w:p w:rsidR="00FE542A" w:rsidRPr="00802DBC" w:rsidRDefault="00FE542A" w:rsidP="0094297E">
            <w:pPr>
              <w:jc w:val="center"/>
              <w:rPr>
                <w:rFonts w:ascii="Arial Narrow" w:hAnsi="Arial Narrow"/>
                <w:sz w:val="20"/>
              </w:rPr>
            </w:pPr>
            <w:r w:rsidRPr="00802DBC">
              <w:rPr>
                <w:rFonts w:ascii="Arial Narrow" w:hAnsi="Arial Narrow"/>
                <w:sz w:val="20"/>
              </w:rPr>
              <w:t>(8 or 12 weeks)</w:t>
            </w:r>
          </w:p>
        </w:tc>
        <w:tc>
          <w:tcPr>
            <w:tcW w:w="2481" w:type="dxa"/>
            <w:shd w:val="clear" w:color="auto" w:fill="auto"/>
            <w:vAlign w:val="center"/>
          </w:tcPr>
          <w:p w:rsidR="00FE542A" w:rsidRPr="00802DBC" w:rsidRDefault="00FE542A" w:rsidP="0094297E">
            <w:pPr>
              <w:jc w:val="center"/>
              <w:rPr>
                <w:rFonts w:ascii="Arial Narrow" w:hAnsi="Arial Narrow"/>
                <w:sz w:val="20"/>
              </w:rPr>
            </w:pPr>
            <w:r w:rsidRPr="00802DBC">
              <w:rPr>
                <w:rFonts w:ascii="Arial Narrow" w:hAnsi="Arial Narrow"/>
                <w:sz w:val="20"/>
              </w:rPr>
              <w:t>Ledipasvir/sofosbuvir FDC</w:t>
            </w:r>
          </w:p>
          <w:p w:rsidR="00FE542A" w:rsidRPr="00802DBC" w:rsidRDefault="00FE542A" w:rsidP="0094297E">
            <w:pPr>
              <w:jc w:val="center"/>
              <w:rPr>
                <w:rFonts w:ascii="Arial Narrow" w:hAnsi="Arial Narrow"/>
                <w:sz w:val="20"/>
              </w:rPr>
            </w:pPr>
            <w:r w:rsidRPr="00802DBC">
              <w:rPr>
                <w:rFonts w:ascii="Arial Narrow" w:hAnsi="Arial Narrow"/>
                <w:sz w:val="20"/>
              </w:rPr>
              <w:t>(12 or 24 weeks)</w:t>
            </w:r>
          </w:p>
        </w:tc>
        <w:tc>
          <w:tcPr>
            <w:tcW w:w="2675"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Daclatasvir + sofosbuvir + ribavirin</w:t>
            </w:r>
          </w:p>
          <w:p w:rsidR="00FE542A" w:rsidRPr="00802DBC" w:rsidRDefault="00FE542A" w:rsidP="0094297E">
            <w:pPr>
              <w:jc w:val="center"/>
              <w:rPr>
                <w:rFonts w:ascii="Arial Narrow" w:hAnsi="Arial Narrow"/>
                <w:sz w:val="20"/>
              </w:rPr>
            </w:pPr>
            <w:r w:rsidRPr="00802DBC">
              <w:rPr>
                <w:rFonts w:ascii="Arial Narrow" w:hAnsi="Arial Narrow"/>
                <w:sz w:val="20"/>
              </w:rPr>
              <w:t>(12 weeks)</w:t>
            </w:r>
          </w:p>
        </w:tc>
      </w:tr>
      <w:tr w:rsidR="00FE542A" w:rsidRPr="00802DBC" w:rsidTr="0094297E">
        <w:trPr>
          <w:cantSplit/>
        </w:trPr>
        <w:tc>
          <w:tcPr>
            <w:tcW w:w="709" w:type="dxa"/>
            <w:shd w:val="clear" w:color="auto" w:fill="auto"/>
            <w:vAlign w:val="center"/>
          </w:tcPr>
          <w:p w:rsidR="00FE542A" w:rsidRPr="00802DBC" w:rsidRDefault="00FE542A" w:rsidP="0094297E">
            <w:pPr>
              <w:jc w:val="left"/>
              <w:rPr>
                <w:rFonts w:ascii="Arial Narrow" w:hAnsi="Arial Narrow"/>
                <w:sz w:val="20"/>
              </w:rPr>
            </w:pPr>
            <w:r w:rsidRPr="00802DBC">
              <w:rPr>
                <w:rFonts w:ascii="Arial Narrow" w:hAnsi="Arial Narrow"/>
                <w:sz w:val="20"/>
              </w:rPr>
              <w:t>2</w:t>
            </w:r>
          </w:p>
        </w:tc>
        <w:tc>
          <w:tcPr>
            <w:tcW w:w="2480" w:type="dxa"/>
            <w:shd w:val="clear" w:color="auto" w:fill="auto"/>
            <w:vAlign w:val="center"/>
          </w:tcPr>
          <w:p w:rsidR="00FE542A" w:rsidRPr="00802DBC" w:rsidRDefault="00FE542A" w:rsidP="0094297E">
            <w:pPr>
              <w:jc w:val="center"/>
              <w:rPr>
                <w:rFonts w:ascii="Arial Narrow" w:hAnsi="Arial Narrow"/>
                <w:sz w:val="20"/>
              </w:rPr>
            </w:pPr>
            <w:r w:rsidRPr="00802DBC">
              <w:rPr>
                <w:rFonts w:ascii="Arial Narrow" w:hAnsi="Arial Narrow"/>
                <w:sz w:val="20"/>
              </w:rPr>
              <w:t>Sofosbuvir + ribavirin</w:t>
            </w:r>
          </w:p>
          <w:p w:rsidR="00FE542A" w:rsidRPr="00802DBC" w:rsidRDefault="00FE542A" w:rsidP="0094297E">
            <w:pPr>
              <w:jc w:val="center"/>
              <w:rPr>
                <w:rFonts w:ascii="Arial Narrow" w:hAnsi="Arial Narrow"/>
                <w:sz w:val="20"/>
              </w:rPr>
            </w:pPr>
            <w:r w:rsidRPr="00802DBC">
              <w:rPr>
                <w:rFonts w:ascii="Arial Narrow" w:hAnsi="Arial Narrow"/>
                <w:sz w:val="20"/>
              </w:rPr>
              <w:t>(12 weeks)</w:t>
            </w:r>
          </w:p>
        </w:tc>
        <w:tc>
          <w:tcPr>
            <w:tcW w:w="2481" w:type="dxa"/>
            <w:shd w:val="clear" w:color="auto" w:fill="auto"/>
            <w:vAlign w:val="center"/>
          </w:tcPr>
          <w:p w:rsidR="00FE542A" w:rsidRPr="00802DBC" w:rsidRDefault="00FE542A" w:rsidP="0094297E">
            <w:pPr>
              <w:jc w:val="center"/>
              <w:rPr>
                <w:rFonts w:ascii="Arial Narrow" w:hAnsi="Arial Narrow"/>
                <w:sz w:val="20"/>
              </w:rPr>
            </w:pPr>
            <w:r w:rsidRPr="00802DBC">
              <w:rPr>
                <w:rFonts w:ascii="Arial Narrow" w:hAnsi="Arial Narrow"/>
                <w:sz w:val="20"/>
              </w:rPr>
              <w:t>Sofosbuvir + ribavirin</w:t>
            </w:r>
          </w:p>
          <w:p w:rsidR="00FE542A" w:rsidRPr="00802DBC" w:rsidRDefault="00FE542A" w:rsidP="0094297E">
            <w:pPr>
              <w:jc w:val="center"/>
              <w:rPr>
                <w:rFonts w:ascii="Arial Narrow" w:hAnsi="Arial Narrow"/>
                <w:sz w:val="20"/>
              </w:rPr>
            </w:pPr>
            <w:r w:rsidRPr="00802DBC">
              <w:rPr>
                <w:rFonts w:ascii="Arial Narrow" w:hAnsi="Arial Narrow"/>
                <w:sz w:val="20"/>
              </w:rPr>
              <w:t>(12 weeks)</w:t>
            </w:r>
          </w:p>
        </w:tc>
        <w:tc>
          <w:tcPr>
            <w:tcW w:w="2675" w:type="dxa"/>
            <w:vAlign w:val="center"/>
          </w:tcPr>
          <w:p w:rsidR="00FE542A" w:rsidRPr="007D0ACC" w:rsidRDefault="00FE542A" w:rsidP="0094297E">
            <w:pPr>
              <w:jc w:val="center"/>
              <w:rPr>
                <w:rFonts w:ascii="Arial Narrow" w:hAnsi="Arial Narrow"/>
                <w:iCs/>
                <w:sz w:val="20"/>
              </w:rPr>
            </w:pPr>
            <w:r w:rsidRPr="007D0ACC">
              <w:rPr>
                <w:rFonts w:ascii="Arial Narrow" w:hAnsi="Arial Narrow"/>
                <w:iCs/>
                <w:sz w:val="20"/>
              </w:rPr>
              <w:t>[None specified]</w:t>
            </w:r>
          </w:p>
        </w:tc>
      </w:tr>
      <w:tr w:rsidR="00FE542A" w:rsidRPr="00802DBC" w:rsidTr="0094297E">
        <w:trPr>
          <w:cantSplit/>
        </w:trPr>
        <w:tc>
          <w:tcPr>
            <w:tcW w:w="709" w:type="dxa"/>
            <w:shd w:val="clear" w:color="auto" w:fill="auto"/>
            <w:vAlign w:val="center"/>
          </w:tcPr>
          <w:p w:rsidR="00FE542A" w:rsidRPr="00802DBC" w:rsidRDefault="00FE542A" w:rsidP="0094297E">
            <w:pPr>
              <w:jc w:val="left"/>
              <w:rPr>
                <w:rFonts w:ascii="Arial Narrow" w:hAnsi="Arial Narrow"/>
                <w:sz w:val="20"/>
              </w:rPr>
            </w:pPr>
            <w:r w:rsidRPr="00802DBC">
              <w:rPr>
                <w:rFonts w:ascii="Arial Narrow" w:hAnsi="Arial Narrow"/>
                <w:sz w:val="20"/>
              </w:rPr>
              <w:t>3</w:t>
            </w:r>
          </w:p>
        </w:tc>
        <w:tc>
          <w:tcPr>
            <w:tcW w:w="2480" w:type="dxa"/>
            <w:shd w:val="clear" w:color="auto" w:fill="auto"/>
            <w:vAlign w:val="center"/>
          </w:tcPr>
          <w:p w:rsidR="00FE542A" w:rsidRPr="00802DBC" w:rsidRDefault="00FE542A" w:rsidP="0094297E">
            <w:pPr>
              <w:jc w:val="center"/>
              <w:rPr>
                <w:rFonts w:ascii="Arial Narrow" w:hAnsi="Arial Narrow"/>
                <w:sz w:val="20"/>
              </w:rPr>
            </w:pPr>
            <w:r w:rsidRPr="00802DBC">
              <w:rPr>
                <w:rFonts w:ascii="Arial Narrow" w:hAnsi="Arial Narrow"/>
                <w:sz w:val="20"/>
              </w:rPr>
              <w:t>Daclatasvir + sofosbuvir</w:t>
            </w:r>
          </w:p>
          <w:p w:rsidR="00FE542A" w:rsidRPr="00802DBC" w:rsidRDefault="00FE542A" w:rsidP="0094297E">
            <w:pPr>
              <w:jc w:val="center"/>
              <w:rPr>
                <w:rFonts w:ascii="Arial Narrow" w:hAnsi="Arial Narrow"/>
                <w:sz w:val="20"/>
              </w:rPr>
            </w:pPr>
            <w:r w:rsidRPr="00802DBC">
              <w:rPr>
                <w:rFonts w:ascii="Arial Narrow" w:hAnsi="Arial Narrow"/>
                <w:sz w:val="20"/>
              </w:rPr>
              <w:t>(12 weeks)</w:t>
            </w:r>
          </w:p>
        </w:tc>
        <w:tc>
          <w:tcPr>
            <w:tcW w:w="2481" w:type="dxa"/>
            <w:shd w:val="clear" w:color="auto" w:fill="auto"/>
            <w:vAlign w:val="center"/>
          </w:tcPr>
          <w:p w:rsidR="00FE542A" w:rsidRPr="00802DBC" w:rsidRDefault="00FE542A" w:rsidP="0094297E">
            <w:pPr>
              <w:jc w:val="center"/>
              <w:rPr>
                <w:rFonts w:ascii="Arial Narrow" w:hAnsi="Arial Narrow"/>
                <w:sz w:val="20"/>
              </w:rPr>
            </w:pPr>
            <w:r w:rsidRPr="00802DBC">
              <w:rPr>
                <w:rFonts w:ascii="Arial Narrow" w:hAnsi="Arial Narrow"/>
                <w:sz w:val="20"/>
              </w:rPr>
              <w:t>Daclatasvir + sofosbuvir</w:t>
            </w:r>
          </w:p>
          <w:p w:rsidR="00FE542A" w:rsidRPr="00802DBC" w:rsidRDefault="00FE542A" w:rsidP="0094297E">
            <w:pPr>
              <w:jc w:val="center"/>
              <w:rPr>
                <w:rFonts w:ascii="Arial Narrow" w:hAnsi="Arial Narrow"/>
                <w:sz w:val="20"/>
              </w:rPr>
            </w:pPr>
            <w:r w:rsidRPr="00802DBC">
              <w:rPr>
                <w:rFonts w:ascii="Arial Narrow" w:hAnsi="Arial Narrow"/>
                <w:sz w:val="20"/>
              </w:rPr>
              <w:t>(24 weeks)</w:t>
            </w:r>
          </w:p>
        </w:tc>
        <w:tc>
          <w:tcPr>
            <w:tcW w:w="2675"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Daclatasvir + sofosbuvir + ribavirin</w:t>
            </w:r>
          </w:p>
          <w:p w:rsidR="00FE542A" w:rsidRPr="00802DBC" w:rsidRDefault="00FE542A" w:rsidP="0094297E">
            <w:pPr>
              <w:jc w:val="center"/>
              <w:rPr>
                <w:rFonts w:ascii="Arial Narrow" w:hAnsi="Arial Narrow"/>
                <w:sz w:val="20"/>
              </w:rPr>
            </w:pPr>
            <w:r w:rsidRPr="00802DBC">
              <w:rPr>
                <w:rFonts w:ascii="Arial Narrow" w:hAnsi="Arial Narrow"/>
                <w:sz w:val="20"/>
              </w:rPr>
              <w:t>(24 weeks)</w:t>
            </w:r>
          </w:p>
        </w:tc>
      </w:tr>
      <w:tr w:rsidR="00FE542A" w:rsidRPr="00802DBC" w:rsidTr="0094297E">
        <w:trPr>
          <w:cantSplit/>
        </w:trPr>
        <w:tc>
          <w:tcPr>
            <w:tcW w:w="709" w:type="dxa"/>
            <w:shd w:val="clear" w:color="auto" w:fill="auto"/>
            <w:vAlign w:val="center"/>
          </w:tcPr>
          <w:p w:rsidR="00FE542A" w:rsidRPr="00802DBC" w:rsidRDefault="00FE542A" w:rsidP="0094297E">
            <w:pPr>
              <w:jc w:val="left"/>
              <w:rPr>
                <w:rFonts w:ascii="Arial Narrow" w:hAnsi="Arial Narrow"/>
                <w:sz w:val="20"/>
              </w:rPr>
            </w:pPr>
            <w:r w:rsidRPr="00802DBC">
              <w:rPr>
                <w:rFonts w:ascii="Arial Narrow" w:hAnsi="Arial Narrow"/>
                <w:sz w:val="20"/>
              </w:rPr>
              <w:t>4, 5, 6</w:t>
            </w:r>
          </w:p>
        </w:tc>
        <w:tc>
          <w:tcPr>
            <w:tcW w:w="2480" w:type="dxa"/>
            <w:shd w:val="clear" w:color="auto" w:fill="auto"/>
            <w:vAlign w:val="center"/>
          </w:tcPr>
          <w:p w:rsidR="00FE542A" w:rsidRPr="00802DBC" w:rsidRDefault="00FE542A" w:rsidP="0094297E">
            <w:pPr>
              <w:jc w:val="center"/>
              <w:rPr>
                <w:rFonts w:ascii="Arial Narrow" w:hAnsi="Arial Narrow"/>
                <w:sz w:val="20"/>
              </w:rPr>
            </w:pPr>
            <w:r w:rsidRPr="00802DBC">
              <w:rPr>
                <w:rFonts w:ascii="Arial Narrow" w:hAnsi="Arial Narrow"/>
                <w:sz w:val="20"/>
              </w:rPr>
              <w:t>Sofosbuvir + peg-IFN &amp; ribavirin</w:t>
            </w:r>
          </w:p>
          <w:p w:rsidR="00FE542A" w:rsidRPr="00802DBC" w:rsidRDefault="00FE542A" w:rsidP="0094297E">
            <w:pPr>
              <w:jc w:val="center"/>
              <w:rPr>
                <w:rFonts w:ascii="Arial Narrow" w:hAnsi="Arial Narrow"/>
                <w:sz w:val="20"/>
              </w:rPr>
            </w:pPr>
            <w:r w:rsidRPr="00802DBC">
              <w:rPr>
                <w:rFonts w:ascii="Arial Narrow" w:hAnsi="Arial Narrow"/>
                <w:sz w:val="20"/>
              </w:rPr>
              <w:t>(12 weeks)</w:t>
            </w:r>
          </w:p>
        </w:tc>
        <w:tc>
          <w:tcPr>
            <w:tcW w:w="2481" w:type="dxa"/>
            <w:shd w:val="clear" w:color="auto" w:fill="auto"/>
            <w:vAlign w:val="center"/>
          </w:tcPr>
          <w:p w:rsidR="00FE542A" w:rsidRPr="00802DBC" w:rsidRDefault="00FE542A" w:rsidP="0094297E">
            <w:pPr>
              <w:jc w:val="center"/>
              <w:rPr>
                <w:rFonts w:ascii="Arial Narrow" w:hAnsi="Arial Narrow"/>
                <w:sz w:val="20"/>
              </w:rPr>
            </w:pPr>
            <w:r w:rsidRPr="00802DBC">
              <w:rPr>
                <w:rFonts w:ascii="Arial Narrow" w:hAnsi="Arial Narrow"/>
                <w:sz w:val="20"/>
              </w:rPr>
              <w:t>Sofosbuvir + peg-IFN &amp; ribavirin</w:t>
            </w:r>
          </w:p>
          <w:p w:rsidR="00FE542A" w:rsidRPr="00802DBC" w:rsidRDefault="00FE542A" w:rsidP="0094297E">
            <w:pPr>
              <w:jc w:val="center"/>
              <w:rPr>
                <w:rFonts w:ascii="Arial Narrow" w:hAnsi="Arial Narrow"/>
                <w:sz w:val="20"/>
              </w:rPr>
            </w:pPr>
            <w:r w:rsidRPr="00802DBC">
              <w:rPr>
                <w:rFonts w:ascii="Arial Narrow" w:hAnsi="Arial Narrow"/>
                <w:sz w:val="20"/>
              </w:rPr>
              <w:t>(12 weeks)</w:t>
            </w:r>
          </w:p>
        </w:tc>
        <w:tc>
          <w:tcPr>
            <w:tcW w:w="2675" w:type="dxa"/>
            <w:vAlign w:val="center"/>
          </w:tcPr>
          <w:p w:rsidR="00FE542A" w:rsidRPr="007D0ACC" w:rsidRDefault="00FE542A" w:rsidP="0094297E">
            <w:pPr>
              <w:jc w:val="center"/>
              <w:rPr>
                <w:rFonts w:ascii="Arial Narrow" w:hAnsi="Arial Narrow"/>
                <w:sz w:val="20"/>
              </w:rPr>
            </w:pPr>
            <w:r w:rsidRPr="007D0ACC">
              <w:rPr>
                <w:rFonts w:ascii="Arial Narrow" w:hAnsi="Arial Narrow"/>
                <w:iCs/>
                <w:sz w:val="20"/>
              </w:rPr>
              <w:t>[None specified]</w:t>
            </w:r>
          </w:p>
        </w:tc>
      </w:tr>
    </w:tbl>
    <w:p w:rsidR="00FE542A" w:rsidRPr="00802DBC" w:rsidRDefault="00FE542A" w:rsidP="00FE542A">
      <w:pPr>
        <w:ind w:firstLine="720"/>
        <w:rPr>
          <w:rFonts w:ascii="Arial Narrow" w:hAnsi="Arial Narrow"/>
          <w:sz w:val="18"/>
          <w:szCs w:val="18"/>
        </w:rPr>
      </w:pPr>
      <w:r w:rsidRPr="00802DBC">
        <w:rPr>
          <w:rFonts w:ascii="Arial Narrow" w:hAnsi="Arial Narrow"/>
          <w:sz w:val="18"/>
          <w:szCs w:val="18"/>
        </w:rPr>
        <w:t>Source: Adapted from Table A-6, p44 of the submission</w:t>
      </w:r>
    </w:p>
    <w:p w:rsidR="00FE542A" w:rsidRPr="00802DBC" w:rsidRDefault="00FE542A" w:rsidP="00FE542A">
      <w:pPr>
        <w:ind w:firstLine="720"/>
        <w:rPr>
          <w:rFonts w:ascii="Arial Narrow" w:hAnsi="Arial Narrow"/>
          <w:sz w:val="18"/>
          <w:szCs w:val="18"/>
        </w:rPr>
      </w:pPr>
      <w:r w:rsidRPr="00802DBC">
        <w:rPr>
          <w:rFonts w:ascii="Arial Narrow" w:hAnsi="Arial Narrow"/>
          <w:sz w:val="18"/>
          <w:szCs w:val="18"/>
        </w:rPr>
        <w:t>Abbreviations: FDC = fixed-dose combination; Gt = genotype; HCV = hepatitis C virus; peg-IFN = peginterferon alfa-2a</w:t>
      </w:r>
    </w:p>
    <w:p w:rsidR="00C14EBF" w:rsidRPr="00C14EBF" w:rsidRDefault="00C14EBF" w:rsidP="00C14EBF">
      <w:pPr>
        <w:pStyle w:val="ListParagraph"/>
        <w:rPr>
          <w:szCs w:val="22"/>
        </w:rPr>
      </w:pPr>
    </w:p>
    <w:p w:rsidR="00085D96" w:rsidRDefault="00C14EBF" w:rsidP="00B10E78">
      <w:pPr>
        <w:pStyle w:val="ListParagraph"/>
        <w:widowControl/>
        <w:numPr>
          <w:ilvl w:val="1"/>
          <w:numId w:val="2"/>
        </w:numPr>
        <w:rPr>
          <w:szCs w:val="22"/>
        </w:rPr>
      </w:pPr>
      <w:r w:rsidRPr="00085D96">
        <w:rPr>
          <w:szCs w:val="22"/>
        </w:rPr>
        <w:t>The PBAC viewed t</w:t>
      </w:r>
      <w:r w:rsidR="00A33C04" w:rsidRPr="00085D96">
        <w:rPr>
          <w:szCs w:val="22"/>
        </w:rPr>
        <w:t xml:space="preserve">hat a range of potential comparators existed </w:t>
      </w:r>
      <w:r w:rsidR="00FB5736" w:rsidRPr="00085D96">
        <w:rPr>
          <w:szCs w:val="22"/>
        </w:rPr>
        <w:t xml:space="preserve">(that is, all regimens in the </w:t>
      </w:r>
      <w:r w:rsidR="00FB5736" w:rsidRPr="00D773C7">
        <w:rPr>
          <w:i/>
          <w:szCs w:val="22"/>
        </w:rPr>
        <w:t>General Statement</w:t>
      </w:r>
      <w:r w:rsidR="00FB5736" w:rsidRPr="00085D96">
        <w:rPr>
          <w:szCs w:val="22"/>
        </w:rPr>
        <w:t xml:space="preserve">) </w:t>
      </w:r>
      <w:r w:rsidR="00A33C04" w:rsidRPr="00085D96">
        <w:rPr>
          <w:szCs w:val="22"/>
        </w:rPr>
        <w:t xml:space="preserve">and agreed with the ESC that the submission had not presented the totality of the evidence available. </w:t>
      </w:r>
      <w:r w:rsidR="00B10E78" w:rsidRPr="00085D96">
        <w:rPr>
          <w:szCs w:val="22"/>
        </w:rPr>
        <w:t xml:space="preserve">In particular, the PBAC noted that sofosbuvir plus ribavirin for 24 weeks may be a potential comparator for genotype 3 patients, and that the submission presented a head-to-head trial (ASTRAL-3) that could inform such a comparison. In that context, the sponsor’s </w:t>
      </w:r>
      <w:r w:rsidR="00D773C7">
        <w:rPr>
          <w:szCs w:val="22"/>
        </w:rPr>
        <w:t>P</w:t>
      </w:r>
      <w:r w:rsidR="00B10E78" w:rsidRPr="00085D96">
        <w:rPr>
          <w:szCs w:val="22"/>
        </w:rPr>
        <w:t xml:space="preserve">re-PBAC </w:t>
      </w:r>
      <w:r w:rsidR="00D773C7">
        <w:rPr>
          <w:szCs w:val="22"/>
        </w:rPr>
        <w:t>R</w:t>
      </w:r>
      <w:r w:rsidR="00B10E78" w:rsidRPr="00085D96">
        <w:rPr>
          <w:szCs w:val="22"/>
        </w:rPr>
        <w:t xml:space="preserve">esponse </w:t>
      </w:r>
      <w:r w:rsidR="00D773C7">
        <w:rPr>
          <w:szCs w:val="22"/>
        </w:rPr>
        <w:t>acknowledges</w:t>
      </w:r>
      <w:r w:rsidR="00085D96" w:rsidRPr="00085D96">
        <w:rPr>
          <w:szCs w:val="22"/>
        </w:rPr>
        <w:t xml:space="preserve"> that t</w:t>
      </w:r>
      <w:r w:rsidR="00B10E78" w:rsidRPr="00085D96">
        <w:rPr>
          <w:szCs w:val="22"/>
        </w:rPr>
        <w:t xml:space="preserve">he PBAC has previously accepted that </w:t>
      </w:r>
      <w:r w:rsidR="00CF6C35" w:rsidRPr="00085D96">
        <w:rPr>
          <w:szCs w:val="22"/>
        </w:rPr>
        <w:t xml:space="preserve">daclatasvir </w:t>
      </w:r>
      <w:r w:rsidR="00CF6C35">
        <w:rPr>
          <w:szCs w:val="22"/>
        </w:rPr>
        <w:t>plus sofosbuvir</w:t>
      </w:r>
      <w:r w:rsidR="00B10E78" w:rsidRPr="00085D96">
        <w:rPr>
          <w:szCs w:val="22"/>
        </w:rPr>
        <w:t xml:space="preserve"> (12 weeks) is non-inferior to </w:t>
      </w:r>
      <w:r w:rsidR="00CF6C35">
        <w:rPr>
          <w:szCs w:val="22"/>
        </w:rPr>
        <w:t>sofosbuvir plus ribavirin</w:t>
      </w:r>
      <w:r w:rsidR="00B10E78" w:rsidRPr="00085D96">
        <w:rPr>
          <w:szCs w:val="22"/>
        </w:rPr>
        <w:t xml:space="preserve"> (24 weeks) in GT3 (daclatasvir PSD, March 2015). </w:t>
      </w:r>
    </w:p>
    <w:p w:rsidR="00085D96" w:rsidRDefault="00085D96" w:rsidP="00085D96">
      <w:pPr>
        <w:pStyle w:val="ListParagraph"/>
        <w:widowControl/>
        <w:rPr>
          <w:szCs w:val="22"/>
        </w:rPr>
      </w:pPr>
    </w:p>
    <w:p w:rsidR="00A33C04" w:rsidRPr="00085D96" w:rsidRDefault="00B10E78" w:rsidP="00B10E78">
      <w:pPr>
        <w:pStyle w:val="ListParagraph"/>
        <w:widowControl/>
        <w:numPr>
          <w:ilvl w:val="1"/>
          <w:numId w:val="2"/>
        </w:numPr>
        <w:rPr>
          <w:szCs w:val="22"/>
        </w:rPr>
      </w:pPr>
      <w:r w:rsidRPr="00085D96">
        <w:rPr>
          <w:szCs w:val="22"/>
        </w:rPr>
        <w:t>T</w:t>
      </w:r>
      <w:r w:rsidR="00A33C04" w:rsidRPr="00085D96">
        <w:rPr>
          <w:szCs w:val="22"/>
        </w:rPr>
        <w:t xml:space="preserve">he PBAC </w:t>
      </w:r>
      <w:r w:rsidRPr="00085D96">
        <w:rPr>
          <w:szCs w:val="22"/>
        </w:rPr>
        <w:t xml:space="preserve">also noted </w:t>
      </w:r>
      <w:r w:rsidR="00FB5736" w:rsidRPr="00085D96">
        <w:rPr>
          <w:szCs w:val="22"/>
        </w:rPr>
        <w:t>that</w:t>
      </w:r>
      <w:r w:rsidR="00A33C04" w:rsidRPr="00085D96">
        <w:rPr>
          <w:szCs w:val="22"/>
        </w:rPr>
        <w:t xml:space="preserve"> in the</w:t>
      </w:r>
      <w:r w:rsidR="00A33C04" w:rsidRPr="008C3321">
        <w:t xml:space="preserve"> absence of demonstrated superior comparative effectiveness or comparative safety of </w:t>
      </w:r>
      <w:r w:rsidR="00A33C04" w:rsidRPr="00085D96">
        <w:rPr>
          <w:iCs/>
        </w:rPr>
        <w:t>sofosbuvir/velpatasvir FDC</w:t>
      </w:r>
      <w:r w:rsidR="00A33C04" w:rsidRPr="008C3321">
        <w:t xml:space="preserve"> over alternative regimens, there is no basis for </w:t>
      </w:r>
      <w:r w:rsidR="00A33C04" w:rsidRPr="00085D96">
        <w:rPr>
          <w:iCs/>
        </w:rPr>
        <w:t>sofosbuvir/velpatasvir FDC</w:t>
      </w:r>
      <w:r w:rsidR="00A33C04" w:rsidRPr="008C3321">
        <w:t xml:space="preserve"> to have a cost advantage over the </w:t>
      </w:r>
      <w:r>
        <w:t>relev</w:t>
      </w:r>
      <w:r w:rsidR="00724B1E">
        <w:t>a</w:t>
      </w:r>
      <w:r>
        <w:t xml:space="preserve">nt </w:t>
      </w:r>
      <w:r w:rsidR="00A33C04" w:rsidRPr="008C3321">
        <w:t xml:space="preserve">lowest priced </w:t>
      </w:r>
      <w:r>
        <w:t xml:space="preserve">alternative </w:t>
      </w:r>
      <w:r w:rsidR="00A33C04" w:rsidRPr="008C3321">
        <w:t>regimen</w:t>
      </w:r>
      <w:r>
        <w:t xml:space="preserve"> in the </w:t>
      </w:r>
      <w:r w:rsidRPr="00441A58">
        <w:rPr>
          <w:i/>
        </w:rPr>
        <w:t>General Statement</w:t>
      </w:r>
      <w:r>
        <w:t xml:space="preserve">. </w:t>
      </w:r>
    </w:p>
    <w:p w:rsidR="00B10E78" w:rsidRPr="0044550F" w:rsidRDefault="00B10E78" w:rsidP="0044550F">
      <w:pPr>
        <w:pStyle w:val="ListParagraph"/>
        <w:rPr>
          <w:szCs w:val="22"/>
        </w:rPr>
      </w:pPr>
    </w:p>
    <w:p w:rsidR="005A414D" w:rsidRDefault="005A414D" w:rsidP="005A414D">
      <w:pPr>
        <w:pStyle w:val="ListParagraph"/>
        <w:ind w:left="709"/>
        <w:rPr>
          <w:i/>
          <w:szCs w:val="22"/>
        </w:rPr>
      </w:pPr>
      <w:r w:rsidRPr="00156539">
        <w:rPr>
          <w:i/>
          <w:szCs w:val="22"/>
        </w:rPr>
        <w:t>For more detail on PBAC’s view, see section 7 “PBAC outcome”</w:t>
      </w:r>
    </w:p>
    <w:p w:rsidR="009776E9" w:rsidRDefault="009776E9" w:rsidP="005A414D">
      <w:pPr>
        <w:pStyle w:val="ListParagraph"/>
        <w:ind w:left="709"/>
        <w:rPr>
          <w:i/>
          <w:szCs w:val="22"/>
        </w:rPr>
      </w:pPr>
    </w:p>
    <w:p w:rsidR="00DB3A66" w:rsidRPr="00DA298E" w:rsidRDefault="00DB3A66" w:rsidP="00FE542A">
      <w:pPr>
        <w:rPr>
          <w:szCs w:val="22"/>
        </w:rPr>
      </w:pPr>
    </w:p>
    <w:p w:rsidR="00FE542A" w:rsidRPr="00802DBC" w:rsidRDefault="00FE542A" w:rsidP="00FE542A">
      <w:pPr>
        <w:pStyle w:val="PBACHeading1"/>
      </w:pPr>
      <w:bookmarkStart w:id="15" w:name="_Toc458698810"/>
      <w:bookmarkStart w:id="16" w:name="_Toc461609474"/>
      <w:r w:rsidRPr="00802DBC">
        <w:t>Consideration of the evidence</w:t>
      </w:r>
      <w:bookmarkEnd w:id="15"/>
      <w:bookmarkEnd w:id="16"/>
    </w:p>
    <w:p w:rsidR="00FE542A" w:rsidRPr="005A414D" w:rsidRDefault="00FE542A" w:rsidP="001B796A"/>
    <w:p w:rsidR="005A414D" w:rsidRDefault="005A414D" w:rsidP="005A414D">
      <w:pPr>
        <w:pStyle w:val="Heading2"/>
        <w:rPr>
          <w:i/>
        </w:rPr>
      </w:pPr>
      <w:r w:rsidRPr="005A414D">
        <w:rPr>
          <w:i/>
        </w:rPr>
        <w:t>Sponsor hearing</w:t>
      </w:r>
    </w:p>
    <w:p w:rsidR="005A414D" w:rsidRPr="005A414D" w:rsidRDefault="005A414D" w:rsidP="005A414D"/>
    <w:p w:rsidR="005A414D" w:rsidRPr="00504FB2" w:rsidRDefault="005A414D" w:rsidP="002C4748">
      <w:pPr>
        <w:numPr>
          <w:ilvl w:val="1"/>
          <w:numId w:val="2"/>
        </w:numPr>
        <w:contextualSpacing/>
        <w:rPr>
          <w:bCs/>
          <w:szCs w:val="22"/>
        </w:rPr>
      </w:pPr>
      <w:r w:rsidRPr="00504FB2">
        <w:rPr>
          <w:bCs/>
          <w:szCs w:val="22"/>
        </w:rPr>
        <w:t>There was no hearing for this item.</w:t>
      </w:r>
    </w:p>
    <w:p w:rsidR="005A414D" w:rsidRPr="003A49F2" w:rsidRDefault="005A414D" w:rsidP="005A414D">
      <w:pPr>
        <w:rPr>
          <w:bCs/>
          <w:szCs w:val="22"/>
          <w:highlight w:val="yellow"/>
        </w:rPr>
      </w:pPr>
    </w:p>
    <w:p w:rsidR="005A414D" w:rsidRPr="005A414D" w:rsidRDefault="005A414D" w:rsidP="005A414D">
      <w:pPr>
        <w:pStyle w:val="Heading2"/>
        <w:rPr>
          <w:i/>
        </w:rPr>
      </w:pPr>
      <w:r w:rsidRPr="005A414D">
        <w:rPr>
          <w:i/>
        </w:rPr>
        <w:t>Consumer comments</w:t>
      </w:r>
    </w:p>
    <w:p w:rsidR="001B796A" w:rsidRDefault="001B796A" w:rsidP="001B796A">
      <w:pPr>
        <w:ind w:left="720"/>
        <w:contextualSpacing/>
        <w:rPr>
          <w:bCs/>
          <w:szCs w:val="22"/>
          <w:highlight w:val="yellow"/>
        </w:rPr>
      </w:pPr>
    </w:p>
    <w:p w:rsidR="00E43658" w:rsidRPr="00E43658" w:rsidRDefault="00E43658" w:rsidP="00E43658">
      <w:pPr>
        <w:numPr>
          <w:ilvl w:val="1"/>
          <w:numId w:val="2"/>
        </w:numPr>
        <w:contextualSpacing/>
        <w:rPr>
          <w:bCs/>
          <w:szCs w:val="22"/>
        </w:rPr>
      </w:pPr>
      <w:r w:rsidRPr="00E43658">
        <w:rPr>
          <w:bCs/>
          <w:szCs w:val="22"/>
        </w:rPr>
        <w:t>The PBAC noted and welcomed the input from individuals (3) and organisations (10) via the Consumer Comments facility on the PBS website.  The comments described how this drug will improve cure rates, reduce treatment duration and offer simpler administration with fewer side effects. The simplified administration, and the fact that this drug can be used against all genotypes, may result in more prescribing by GPs. The comments also noted that this drug would provide an interferon-free treatment option for some patients with genotypes 4-6.</w:t>
      </w:r>
    </w:p>
    <w:p w:rsidR="00E43658" w:rsidRPr="00E43658" w:rsidRDefault="00E43658" w:rsidP="00E43658">
      <w:pPr>
        <w:ind w:left="720"/>
        <w:contextualSpacing/>
        <w:rPr>
          <w:bCs/>
          <w:szCs w:val="22"/>
        </w:rPr>
      </w:pPr>
    </w:p>
    <w:p w:rsidR="00E43658" w:rsidRPr="00E43658" w:rsidRDefault="00E43658" w:rsidP="00E43658">
      <w:pPr>
        <w:numPr>
          <w:ilvl w:val="1"/>
          <w:numId w:val="2"/>
        </w:numPr>
        <w:contextualSpacing/>
        <w:rPr>
          <w:bCs/>
          <w:szCs w:val="22"/>
        </w:rPr>
      </w:pPr>
      <w:r w:rsidRPr="00E43658">
        <w:rPr>
          <w:bCs/>
          <w:szCs w:val="22"/>
        </w:rPr>
        <w:t>The PBAC noted the advice received from the following organisations with regards to the three submissions for chronic hepatitis C treatment made to the PBAC  [this submission and items 5.11 paritaprevir</w:t>
      </w:r>
      <w:r w:rsidR="00444E6E">
        <w:rPr>
          <w:bCs/>
          <w:szCs w:val="22"/>
        </w:rPr>
        <w:t xml:space="preserve"> </w:t>
      </w:r>
      <w:r w:rsidRPr="00E43658">
        <w:rPr>
          <w:bCs/>
          <w:szCs w:val="22"/>
        </w:rPr>
        <w:t>+</w:t>
      </w:r>
      <w:r w:rsidR="00444E6E">
        <w:rPr>
          <w:bCs/>
          <w:szCs w:val="22"/>
        </w:rPr>
        <w:t xml:space="preserve"> </w:t>
      </w:r>
      <w:r w:rsidRPr="00E43658">
        <w:rPr>
          <w:bCs/>
          <w:szCs w:val="22"/>
        </w:rPr>
        <w:t>sofosbuvir</w:t>
      </w:r>
      <w:r w:rsidR="00444E6E">
        <w:rPr>
          <w:bCs/>
          <w:szCs w:val="22"/>
        </w:rPr>
        <w:t xml:space="preserve"> </w:t>
      </w:r>
      <w:r w:rsidRPr="00E43658">
        <w:rPr>
          <w:bCs/>
          <w:szCs w:val="22"/>
        </w:rPr>
        <w:t>+</w:t>
      </w:r>
      <w:r w:rsidR="00444E6E">
        <w:rPr>
          <w:bCs/>
          <w:szCs w:val="22"/>
        </w:rPr>
        <w:t xml:space="preserve"> </w:t>
      </w:r>
      <w:r w:rsidRPr="00E43658">
        <w:rPr>
          <w:bCs/>
          <w:szCs w:val="22"/>
        </w:rPr>
        <w:t>ombitasvir and 6.03 ledipasvir + sofosbuvir (item 6.03 was withdrawn prior to PBAC consideration)]:</w:t>
      </w:r>
    </w:p>
    <w:p w:rsidR="00E43658" w:rsidRPr="00E43658" w:rsidRDefault="00E43658" w:rsidP="00E43658">
      <w:pPr>
        <w:pStyle w:val="ListParagraph"/>
        <w:numPr>
          <w:ilvl w:val="0"/>
          <w:numId w:val="20"/>
        </w:numPr>
        <w:ind w:left="993" w:hanging="284"/>
      </w:pPr>
      <w:r w:rsidRPr="00E43658">
        <w:t>Hepatitis Australia</w:t>
      </w:r>
    </w:p>
    <w:p w:rsidR="00E43658" w:rsidRPr="00E43658" w:rsidRDefault="00E43658" w:rsidP="00E43658">
      <w:pPr>
        <w:pStyle w:val="ListParagraph"/>
        <w:numPr>
          <w:ilvl w:val="0"/>
          <w:numId w:val="20"/>
        </w:numPr>
        <w:ind w:left="993" w:hanging="284"/>
      </w:pPr>
      <w:r w:rsidRPr="00E43658">
        <w:lastRenderedPageBreak/>
        <w:t>Haemophilia Foundation Australia</w:t>
      </w:r>
    </w:p>
    <w:p w:rsidR="00E43658" w:rsidRPr="00E43658" w:rsidRDefault="00E43658" w:rsidP="00E43658">
      <w:pPr>
        <w:pStyle w:val="ListParagraph"/>
        <w:numPr>
          <w:ilvl w:val="0"/>
          <w:numId w:val="20"/>
        </w:numPr>
        <w:ind w:left="993" w:hanging="284"/>
      </w:pPr>
      <w:r w:rsidRPr="00E43658">
        <w:t>Hepatitis NSW</w:t>
      </w:r>
    </w:p>
    <w:p w:rsidR="00E43658" w:rsidRPr="00E43658" w:rsidRDefault="00E43658" w:rsidP="00E43658">
      <w:pPr>
        <w:pStyle w:val="ListParagraph"/>
        <w:numPr>
          <w:ilvl w:val="0"/>
          <w:numId w:val="20"/>
        </w:numPr>
        <w:ind w:left="993" w:hanging="284"/>
      </w:pPr>
      <w:r w:rsidRPr="00E43658">
        <w:t>ACON</w:t>
      </w:r>
    </w:p>
    <w:p w:rsidR="00E43658" w:rsidRPr="00E43658" w:rsidRDefault="00E43658" w:rsidP="00E43658">
      <w:pPr>
        <w:pStyle w:val="ListParagraph"/>
        <w:numPr>
          <w:ilvl w:val="0"/>
          <w:numId w:val="20"/>
        </w:numPr>
        <w:ind w:left="993" w:hanging="284"/>
      </w:pPr>
      <w:r w:rsidRPr="00E43658">
        <w:t>The Haymarket Foundation</w:t>
      </w:r>
    </w:p>
    <w:p w:rsidR="00E43658" w:rsidRPr="00E43658" w:rsidRDefault="00E43658" w:rsidP="00E43658">
      <w:pPr>
        <w:pStyle w:val="ListParagraph"/>
        <w:numPr>
          <w:ilvl w:val="0"/>
          <w:numId w:val="20"/>
        </w:numPr>
        <w:ind w:left="993" w:hanging="284"/>
      </w:pPr>
      <w:r w:rsidRPr="00E43658">
        <w:t>Hepatitis ACT</w:t>
      </w:r>
    </w:p>
    <w:p w:rsidR="00E43658" w:rsidRPr="00E43658" w:rsidRDefault="00E43658" w:rsidP="00E43658">
      <w:pPr>
        <w:pStyle w:val="ListParagraph"/>
        <w:numPr>
          <w:ilvl w:val="0"/>
          <w:numId w:val="20"/>
        </w:numPr>
        <w:ind w:left="993" w:hanging="284"/>
      </w:pPr>
      <w:r w:rsidRPr="00E43658">
        <w:t>Network of Alcohol and Other Drugs Agencies</w:t>
      </w:r>
    </w:p>
    <w:p w:rsidR="00E43658" w:rsidRPr="00E43658" w:rsidRDefault="00E43658" w:rsidP="00E43658">
      <w:pPr>
        <w:pStyle w:val="ListParagraph"/>
        <w:numPr>
          <w:ilvl w:val="0"/>
          <w:numId w:val="20"/>
        </w:numPr>
        <w:ind w:left="993" w:hanging="284"/>
      </w:pPr>
      <w:r w:rsidRPr="00E43658">
        <w:t>Sex Workers Outreach Project</w:t>
      </w:r>
    </w:p>
    <w:p w:rsidR="00E43658" w:rsidRPr="00E43658" w:rsidRDefault="00E43658" w:rsidP="00E43658">
      <w:pPr>
        <w:pStyle w:val="ListParagraph"/>
        <w:numPr>
          <w:ilvl w:val="0"/>
          <w:numId w:val="20"/>
        </w:numPr>
        <w:ind w:left="993" w:hanging="284"/>
      </w:pPr>
      <w:r w:rsidRPr="00E43658">
        <w:t>St Vincent de Paul Society NSW</w:t>
      </w:r>
    </w:p>
    <w:p w:rsidR="00E43658" w:rsidRPr="00E43658" w:rsidRDefault="00E43658" w:rsidP="00E43658">
      <w:pPr>
        <w:pStyle w:val="ListParagraph"/>
        <w:numPr>
          <w:ilvl w:val="0"/>
          <w:numId w:val="20"/>
        </w:numPr>
        <w:ind w:left="993" w:hanging="284"/>
      </w:pPr>
      <w:r w:rsidRPr="00E43658">
        <w:t>We Help Ourselves</w:t>
      </w:r>
    </w:p>
    <w:p w:rsidR="00E43658" w:rsidRPr="00E43658" w:rsidRDefault="00E43658" w:rsidP="00E43658">
      <w:pPr>
        <w:ind w:left="340"/>
      </w:pPr>
      <w:r w:rsidRPr="00E43658">
        <w:t xml:space="preserve">The PBAC noted the view shared amongst most organisations that these new treatments will help ensure as many GPs as possible are able to prescribe the new </w:t>
      </w:r>
      <w:r w:rsidR="00441A58">
        <w:t>d</w:t>
      </w:r>
      <w:r w:rsidRPr="00E43658">
        <w:t xml:space="preserve">irect </w:t>
      </w:r>
      <w:r w:rsidR="00441A58">
        <w:t>a</w:t>
      </w:r>
      <w:r w:rsidRPr="00E43658">
        <w:t xml:space="preserve">cting </w:t>
      </w:r>
      <w:r w:rsidR="00441A58">
        <w:t>a</w:t>
      </w:r>
      <w:r w:rsidRPr="00E43658">
        <w:t>ntivirals, that all people living with hepatitis C have access to interferon-free treatment, and that there are multiple treatment options for each hep</w:t>
      </w:r>
      <w:r w:rsidR="00441A58">
        <w:t>atitis</w:t>
      </w:r>
      <w:r w:rsidRPr="00E43658">
        <w:t xml:space="preserve"> C genotype. The PBAC also noted the advice that there are certain populations living with both HCV and other health conditions, and that successful treatment of HCV would greatly reduce the complexity of the healthcare needs of these groups.</w:t>
      </w:r>
    </w:p>
    <w:p w:rsidR="005A414D" w:rsidRPr="00802DBC" w:rsidRDefault="005A414D" w:rsidP="005A414D"/>
    <w:p w:rsidR="00FE542A" w:rsidRPr="00802DBC" w:rsidRDefault="00FE542A" w:rsidP="00FE542A">
      <w:pPr>
        <w:pStyle w:val="Heading2"/>
        <w:rPr>
          <w:i/>
        </w:rPr>
      </w:pPr>
      <w:bookmarkStart w:id="17" w:name="_Toc458698811"/>
      <w:bookmarkStart w:id="18" w:name="_Toc461609475"/>
      <w:r w:rsidRPr="00802DBC">
        <w:rPr>
          <w:i/>
        </w:rPr>
        <w:t>Clinical trials</w:t>
      </w:r>
      <w:bookmarkEnd w:id="17"/>
      <w:bookmarkEnd w:id="18"/>
    </w:p>
    <w:p w:rsidR="00FE542A" w:rsidRPr="00802DBC" w:rsidRDefault="00FE542A" w:rsidP="00FE542A">
      <w:pPr>
        <w:rPr>
          <w:szCs w:val="22"/>
        </w:rPr>
      </w:pPr>
    </w:p>
    <w:p w:rsidR="00FE542A" w:rsidRPr="00DA298E" w:rsidRDefault="00FE542A" w:rsidP="002C4748">
      <w:pPr>
        <w:pStyle w:val="ListParagraph"/>
        <w:widowControl/>
        <w:numPr>
          <w:ilvl w:val="1"/>
          <w:numId w:val="2"/>
        </w:numPr>
      </w:pPr>
      <w:r w:rsidRPr="00DA298E">
        <w:t>The submission was based on</w:t>
      </w:r>
      <w:r w:rsidR="00B037CE" w:rsidRPr="00DA298E">
        <w:t xml:space="preserve"> four key Phase III trials and one supplementary single-arm study. The details of the trials and study are summarised in Table </w:t>
      </w:r>
      <w:r w:rsidR="0052346C">
        <w:t>4</w:t>
      </w:r>
      <w:r w:rsidR="00B037CE" w:rsidRPr="00DA298E">
        <w:t xml:space="preserve">. The submission </w:t>
      </w:r>
      <w:r w:rsidR="00CA7DDC" w:rsidRPr="00DA298E">
        <w:t xml:space="preserve">then </w:t>
      </w:r>
      <w:r w:rsidR="00B037CE" w:rsidRPr="00DA298E">
        <w:t>presented a series of naïve comparisons comparing:</w:t>
      </w:r>
    </w:p>
    <w:p w:rsidR="00FE542A" w:rsidRPr="00DA298E" w:rsidRDefault="00FE542A" w:rsidP="00F0588E">
      <w:pPr>
        <w:pStyle w:val="ListParagraph"/>
        <w:widowControl/>
        <w:rPr>
          <w:u w:val="single"/>
        </w:rPr>
      </w:pPr>
      <w:r w:rsidRPr="00DA298E">
        <w:rPr>
          <w:u w:val="single"/>
        </w:rPr>
        <w:t>No cirrhosis and compensated cirrhosis</w:t>
      </w:r>
    </w:p>
    <w:p w:rsidR="00FE542A" w:rsidRPr="00DA298E" w:rsidRDefault="00FE542A" w:rsidP="002C4748">
      <w:pPr>
        <w:pStyle w:val="ListParagraph"/>
        <w:widowControl/>
        <w:numPr>
          <w:ilvl w:val="0"/>
          <w:numId w:val="3"/>
        </w:numPr>
      </w:pPr>
      <w:r w:rsidRPr="00DA298E">
        <w:t>Sofosbuvir/velpatasvir FDC (12 weeks) versus ledipasvir/sofosbuvir (8, 12 or 24 weeks) among patients with chronic HCV genotype 1 infection.</w:t>
      </w:r>
    </w:p>
    <w:p w:rsidR="00FE542A" w:rsidRPr="00DA298E" w:rsidRDefault="00FE542A" w:rsidP="002C4748">
      <w:pPr>
        <w:pStyle w:val="ListParagraph"/>
        <w:widowControl/>
        <w:numPr>
          <w:ilvl w:val="0"/>
          <w:numId w:val="3"/>
        </w:numPr>
      </w:pPr>
      <w:r w:rsidRPr="00DA298E">
        <w:t>Sofosbuvir/velpatasvir FDC (12 weeks) versus daclatasvir plus sofosbuvir (12 weeks) among patients with chronic HCV genotype 3 infection.</w:t>
      </w:r>
    </w:p>
    <w:p w:rsidR="00FE542A" w:rsidRPr="00DA298E" w:rsidRDefault="00FE542A" w:rsidP="002C4748">
      <w:pPr>
        <w:pStyle w:val="ListParagraph"/>
        <w:widowControl/>
        <w:numPr>
          <w:ilvl w:val="0"/>
          <w:numId w:val="3"/>
        </w:numPr>
      </w:pPr>
      <w:r w:rsidRPr="00DA298E">
        <w:t>Sofosbuvir/velpatasvir FDC (12 weeks) versus sofosbuvir plus peginterferon plus ribavirin (12 weeks) among patients with chronic HCV genotypes 4 to 6 infection.</w:t>
      </w:r>
    </w:p>
    <w:p w:rsidR="00FE542A" w:rsidRPr="00DA298E" w:rsidRDefault="00FE542A" w:rsidP="00F0588E">
      <w:pPr>
        <w:widowControl/>
        <w:ind w:firstLine="720"/>
        <w:rPr>
          <w:u w:val="single"/>
        </w:rPr>
      </w:pPr>
      <w:r w:rsidRPr="00DA298E">
        <w:rPr>
          <w:u w:val="single"/>
        </w:rPr>
        <w:t>Decompensated cirrhosis</w:t>
      </w:r>
    </w:p>
    <w:p w:rsidR="00FE542A" w:rsidRPr="00DA298E" w:rsidRDefault="00FE542A" w:rsidP="002C4748">
      <w:pPr>
        <w:pStyle w:val="ListParagraph"/>
        <w:widowControl/>
        <w:numPr>
          <w:ilvl w:val="0"/>
          <w:numId w:val="3"/>
        </w:numPr>
      </w:pPr>
      <w:r w:rsidRPr="00DA298E">
        <w:t>Sofosbuvir/velpatasvir FDC plus ribavirin (12 weeks) versus daclatasvir plus sofosbuvir plus ribavirin (12 weeks) and ledipasvir/sofosbuvir FDC plus ribavirin (12 weeks) among patients with chronic HCV infection.</w:t>
      </w:r>
    </w:p>
    <w:p w:rsidR="00FE542A" w:rsidRPr="00DA298E" w:rsidRDefault="00FE542A" w:rsidP="00FE542A">
      <w:pPr>
        <w:widowControl/>
      </w:pPr>
    </w:p>
    <w:p w:rsidR="00FE542A" w:rsidRPr="00DA298E" w:rsidRDefault="00FE542A" w:rsidP="00085D96">
      <w:pPr>
        <w:pStyle w:val="ListParagraph"/>
        <w:widowControl/>
        <w:numPr>
          <w:ilvl w:val="1"/>
          <w:numId w:val="2"/>
        </w:numPr>
        <w:rPr>
          <w:szCs w:val="22"/>
        </w:rPr>
      </w:pPr>
      <w:r w:rsidRPr="00DA298E">
        <w:rPr>
          <w:szCs w:val="22"/>
        </w:rPr>
        <w:t xml:space="preserve">ASTRAL-2 provided a head-to-head comparison of sofosbuvir/velpatasvir FDC versus the nominated comparator of sofosbuvir plus ribavirin for 12 weeks in patients with chronic HCV genotype 2 infection, with or without compensated cirrhosis. ASTRAL-3 was a head-to-head trial </w:t>
      </w:r>
      <w:r w:rsidR="00085D96" w:rsidRPr="00085D96">
        <w:rPr>
          <w:szCs w:val="22"/>
        </w:rPr>
        <w:t>of sofosbuvir/velpatasvir FDC</w:t>
      </w:r>
      <w:r w:rsidR="00085D96">
        <w:rPr>
          <w:szCs w:val="22"/>
        </w:rPr>
        <w:t xml:space="preserve"> versus </w:t>
      </w:r>
      <w:r w:rsidR="00085D96" w:rsidRPr="00085D96">
        <w:rPr>
          <w:szCs w:val="22"/>
        </w:rPr>
        <w:t xml:space="preserve">sofosbuvir plus ribavirin for 24 weeks </w:t>
      </w:r>
      <w:r w:rsidRPr="00DA298E">
        <w:rPr>
          <w:szCs w:val="22"/>
        </w:rPr>
        <w:t>in patients with HCV genotype 3 with or without compensated cirrhosis</w:t>
      </w:r>
      <w:r w:rsidR="00085D96">
        <w:rPr>
          <w:szCs w:val="22"/>
        </w:rPr>
        <w:t>.</w:t>
      </w:r>
    </w:p>
    <w:p w:rsidR="00FE542A" w:rsidRPr="00DA298E" w:rsidRDefault="00FE542A" w:rsidP="00FE542A">
      <w:pPr>
        <w:pStyle w:val="ListParagraph"/>
        <w:widowControl/>
        <w:rPr>
          <w:szCs w:val="22"/>
        </w:rPr>
      </w:pPr>
    </w:p>
    <w:p w:rsidR="00FE542A" w:rsidRDefault="00FE542A" w:rsidP="002C4748">
      <w:pPr>
        <w:pStyle w:val="ListParagraph"/>
        <w:widowControl/>
        <w:numPr>
          <w:ilvl w:val="1"/>
          <w:numId w:val="2"/>
        </w:numPr>
        <w:rPr>
          <w:szCs w:val="22"/>
        </w:rPr>
      </w:pPr>
      <w:r w:rsidRPr="00802DBC">
        <w:rPr>
          <w:szCs w:val="22"/>
        </w:rPr>
        <w:t xml:space="preserve">Details of the </w:t>
      </w:r>
      <w:r w:rsidRPr="00802DBC">
        <w:t xml:space="preserve">sofosbuvir/velpatasvir FDC studies </w:t>
      </w:r>
      <w:r w:rsidRPr="00802DBC">
        <w:rPr>
          <w:szCs w:val="22"/>
        </w:rPr>
        <w:t xml:space="preserve">presented in the submission are provided in </w:t>
      </w:r>
      <w:r w:rsidR="00F9410B">
        <w:rPr>
          <w:szCs w:val="22"/>
        </w:rPr>
        <w:t xml:space="preserve">Table </w:t>
      </w:r>
      <w:r w:rsidR="0052346C">
        <w:rPr>
          <w:szCs w:val="22"/>
        </w:rPr>
        <w:t>3</w:t>
      </w:r>
      <w:r w:rsidRPr="00802DBC">
        <w:rPr>
          <w:szCs w:val="22"/>
        </w:rPr>
        <w:t>.</w:t>
      </w:r>
    </w:p>
    <w:p w:rsidR="00FE542A" w:rsidRPr="00802DBC" w:rsidRDefault="00FE542A" w:rsidP="00FE542A">
      <w:pPr>
        <w:widowControl/>
        <w:rPr>
          <w:szCs w:val="22"/>
        </w:rPr>
      </w:pPr>
    </w:p>
    <w:p w:rsidR="00887D98" w:rsidRDefault="00887D98">
      <w:pPr>
        <w:widowControl/>
        <w:jc w:val="left"/>
        <w:rPr>
          <w:rStyle w:val="CommentReference"/>
        </w:rPr>
      </w:pPr>
      <w:r>
        <w:rPr>
          <w:rStyle w:val="CommentReference"/>
        </w:rPr>
        <w:br w:type="page"/>
      </w:r>
    </w:p>
    <w:p w:rsidR="00FE542A" w:rsidRPr="00802DBC" w:rsidRDefault="00FE542A" w:rsidP="00F149BC">
      <w:pPr>
        <w:ind w:firstLine="720"/>
        <w:rPr>
          <w:rStyle w:val="CommentReference"/>
        </w:rPr>
      </w:pPr>
      <w:r w:rsidRPr="00802DBC">
        <w:rPr>
          <w:rStyle w:val="CommentReference"/>
        </w:rPr>
        <w:lastRenderedPageBreak/>
        <w:t xml:space="preserve">Table </w:t>
      </w:r>
      <w:r w:rsidR="0052346C">
        <w:rPr>
          <w:rStyle w:val="CommentReference"/>
        </w:rPr>
        <w:t>3</w:t>
      </w:r>
      <w:r w:rsidR="00F149BC" w:rsidRPr="00802DBC">
        <w:rPr>
          <w:rStyle w:val="CommentReference"/>
        </w:rPr>
        <w:t xml:space="preserve">: </w:t>
      </w:r>
      <w:r w:rsidRPr="00802DBC">
        <w:rPr>
          <w:rStyle w:val="CommentReference"/>
        </w:rPr>
        <w:t>Trials and associated reports presented in the submission</w:t>
      </w:r>
    </w:p>
    <w:tbl>
      <w:tblPr>
        <w:tblW w:w="4591" w:type="pct"/>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56"/>
        <w:gridCol w:w="5018"/>
        <w:gridCol w:w="1965"/>
      </w:tblGrid>
      <w:tr w:rsidR="00FE542A" w:rsidRPr="00802DBC" w:rsidTr="0094297E">
        <w:trPr>
          <w:tblHeader/>
        </w:trPr>
        <w:tc>
          <w:tcPr>
            <w:tcW w:w="813" w:type="pct"/>
          </w:tcPr>
          <w:p w:rsidR="00FE542A" w:rsidRPr="00802DBC" w:rsidRDefault="00FE542A" w:rsidP="0094297E">
            <w:pPr>
              <w:jc w:val="left"/>
              <w:rPr>
                <w:rFonts w:ascii="Arial Narrow" w:hAnsi="Arial Narrow"/>
                <w:b/>
                <w:sz w:val="20"/>
              </w:rPr>
            </w:pPr>
            <w:r w:rsidRPr="00802DBC">
              <w:rPr>
                <w:rFonts w:ascii="Arial Narrow" w:hAnsi="Arial Narrow"/>
                <w:b/>
                <w:sz w:val="20"/>
              </w:rPr>
              <w:t>Study ID</w:t>
            </w:r>
          </w:p>
        </w:tc>
        <w:tc>
          <w:tcPr>
            <w:tcW w:w="3009" w:type="pct"/>
          </w:tcPr>
          <w:p w:rsidR="00FE542A" w:rsidRPr="00802DBC" w:rsidRDefault="00FE542A" w:rsidP="0094297E">
            <w:pPr>
              <w:jc w:val="center"/>
              <w:rPr>
                <w:rFonts w:ascii="Arial Narrow" w:hAnsi="Arial Narrow"/>
                <w:b/>
                <w:sz w:val="20"/>
              </w:rPr>
            </w:pPr>
            <w:r w:rsidRPr="00802DBC">
              <w:rPr>
                <w:rFonts w:ascii="Arial Narrow" w:hAnsi="Arial Narrow"/>
                <w:b/>
                <w:sz w:val="20"/>
              </w:rPr>
              <w:t>Protocol title/ Publication title</w:t>
            </w:r>
          </w:p>
        </w:tc>
        <w:tc>
          <w:tcPr>
            <w:tcW w:w="1178" w:type="pct"/>
          </w:tcPr>
          <w:p w:rsidR="00FE542A" w:rsidRPr="00802DBC" w:rsidRDefault="00FE542A" w:rsidP="0094297E">
            <w:pPr>
              <w:jc w:val="center"/>
              <w:rPr>
                <w:rFonts w:ascii="Arial Narrow" w:hAnsi="Arial Narrow"/>
                <w:b/>
                <w:sz w:val="20"/>
              </w:rPr>
            </w:pPr>
            <w:r w:rsidRPr="00802DBC">
              <w:rPr>
                <w:rFonts w:ascii="Arial Narrow" w:hAnsi="Arial Narrow"/>
                <w:b/>
                <w:sz w:val="20"/>
              </w:rPr>
              <w:t>Publication citation</w:t>
            </w:r>
          </w:p>
        </w:tc>
      </w:tr>
      <w:tr w:rsidR="00FE542A" w:rsidRPr="00802DBC" w:rsidTr="0094297E">
        <w:tc>
          <w:tcPr>
            <w:tcW w:w="5000" w:type="pct"/>
            <w:gridSpan w:val="3"/>
            <w:tcBorders>
              <w:bottom w:val="single" w:sz="4" w:space="0" w:color="auto"/>
            </w:tcBorders>
          </w:tcPr>
          <w:p w:rsidR="00FE542A" w:rsidRPr="00802DBC" w:rsidRDefault="00FE542A" w:rsidP="0094297E">
            <w:pPr>
              <w:jc w:val="left"/>
              <w:rPr>
                <w:rFonts w:ascii="Arial Narrow" w:hAnsi="Arial Narrow"/>
                <w:b/>
                <w:sz w:val="20"/>
              </w:rPr>
            </w:pPr>
            <w:r w:rsidRPr="00802DBC">
              <w:rPr>
                <w:rFonts w:ascii="Arial Narrow" w:hAnsi="Arial Narrow"/>
                <w:b/>
                <w:sz w:val="20"/>
              </w:rPr>
              <w:t>Key randomised trials</w:t>
            </w:r>
          </w:p>
        </w:tc>
      </w:tr>
      <w:tr w:rsidR="00FE542A" w:rsidRPr="00802DBC" w:rsidTr="0094297E">
        <w:tc>
          <w:tcPr>
            <w:tcW w:w="813" w:type="pct"/>
            <w:tcBorders>
              <w:bottom w:val="dotted" w:sz="4" w:space="0" w:color="auto"/>
            </w:tcBorders>
            <w:vAlign w:val="center"/>
          </w:tcPr>
          <w:p w:rsidR="00FE542A" w:rsidRPr="00802DBC" w:rsidRDefault="00FE542A" w:rsidP="0094297E">
            <w:pPr>
              <w:jc w:val="left"/>
              <w:rPr>
                <w:rFonts w:ascii="Arial Narrow" w:hAnsi="Arial Narrow"/>
                <w:b/>
                <w:bCs/>
                <w:sz w:val="20"/>
              </w:rPr>
            </w:pPr>
            <w:r w:rsidRPr="00802DBC">
              <w:rPr>
                <w:rFonts w:ascii="Arial Narrow" w:hAnsi="Arial Narrow"/>
                <w:b/>
                <w:bCs/>
                <w:sz w:val="20"/>
              </w:rPr>
              <w:t>ASTRAL-1</w:t>
            </w:r>
          </w:p>
          <w:p w:rsidR="00FE542A" w:rsidRPr="00802DBC" w:rsidRDefault="00FE542A" w:rsidP="0094297E">
            <w:pPr>
              <w:jc w:val="left"/>
              <w:rPr>
                <w:rFonts w:ascii="Arial Narrow" w:hAnsi="Arial Narrow"/>
                <w:sz w:val="20"/>
              </w:rPr>
            </w:pPr>
            <w:r w:rsidRPr="00802DBC">
              <w:rPr>
                <w:rFonts w:ascii="Arial Narrow" w:hAnsi="Arial Narrow"/>
                <w:sz w:val="20"/>
              </w:rPr>
              <w:t>GS-US-342-1138</w:t>
            </w:r>
          </w:p>
          <w:p w:rsidR="00FE542A" w:rsidRPr="00802DBC" w:rsidRDefault="00FE542A" w:rsidP="0094297E">
            <w:pPr>
              <w:jc w:val="left"/>
              <w:rPr>
                <w:rFonts w:ascii="Arial Narrow" w:hAnsi="Arial Narrow"/>
                <w:sz w:val="20"/>
              </w:rPr>
            </w:pPr>
            <w:r w:rsidRPr="00802DBC">
              <w:rPr>
                <w:rFonts w:ascii="Arial Narrow" w:hAnsi="Arial Narrow"/>
                <w:sz w:val="20"/>
              </w:rPr>
              <w:t>NCT02201940</w:t>
            </w:r>
          </w:p>
        </w:tc>
        <w:tc>
          <w:tcPr>
            <w:tcW w:w="3009" w:type="pct"/>
            <w:tcBorders>
              <w:bottom w:val="dotted" w:sz="4" w:space="0" w:color="auto"/>
            </w:tcBorders>
          </w:tcPr>
          <w:p w:rsidR="00FE542A" w:rsidRPr="00802DBC" w:rsidRDefault="00FE542A" w:rsidP="0094297E">
            <w:pPr>
              <w:jc w:val="left"/>
              <w:rPr>
                <w:rFonts w:ascii="Arial Narrow" w:hAnsi="Arial Narrow"/>
                <w:sz w:val="20"/>
              </w:rPr>
            </w:pPr>
            <w:r w:rsidRPr="00802DBC">
              <w:rPr>
                <w:rFonts w:ascii="Arial Narrow" w:hAnsi="Arial Narrow"/>
                <w:sz w:val="20"/>
              </w:rPr>
              <w:t xml:space="preserve">A Phase 3, Multicenter, Randomized, Double-Blind, Placebo-Controlled Study to Investigate the Efficacy and Safety of Sofosbuvir/GS-5816 Fixed Dose Combination for 12 Weeks in Subjects with Chronic HCV. Interim Clinical Study Report. </w:t>
            </w:r>
          </w:p>
          <w:p w:rsidR="00FE542A" w:rsidRPr="00802DBC" w:rsidRDefault="00FE542A" w:rsidP="0094297E">
            <w:pPr>
              <w:jc w:val="left"/>
              <w:rPr>
                <w:rFonts w:ascii="Arial Narrow" w:hAnsi="Arial Narrow"/>
                <w:b/>
                <w:sz w:val="20"/>
              </w:rPr>
            </w:pPr>
            <w:r w:rsidRPr="00802DBC">
              <w:rPr>
                <w:rFonts w:ascii="Arial Narrow" w:hAnsi="Arial Narrow"/>
                <w:sz w:val="20"/>
              </w:rPr>
              <w:t xml:space="preserve">Feld JJ, Jacobson IM, Hézode C, Asselah T, Ruane PJ, </w:t>
            </w:r>
            <w:r w:rsidRPr="00802DBC">
              <w:rPr>
                <w:rFonts w:ascii="Arial Narrow" w:hAnsi="Arial Narrow"/>
                <w:i/>
                <w:iCs/>
                <w:sz w:val="20"/>
              </w:rPr>
              <w:t xml:space="preserve">et al </w:t>
            </w:r>
            <w:r w:rsidRPr="00802DBC">
              <w:rPr>
                <w:rFonts w:ascii="Arial Narrow" w:hAnsi="Arial Narrow"/>
                <w:iCs/>
                <w:sz w:val="20"/>
              </w:rPr>
              <w:t>for the ASTRAL-1 Investigators</w:t>
            </w:r>
            <w:r w:rsidRPr="00802DBC">
              <w:rPr>
                <w:rFonts w:ascii="Arial Narrow" w:hAnsi="Arial Narrow"/>
                <w:sz w:val="20"/>
              </w:rPr>
              <w:t xml:space="preserve">. Sofosbuvir and Velpatasvir for HCV Genotype 1, 2, 4, 5, and 6 Infection. </w:t>
            </w:r>
          </w:p>
        </w:tc>
        <w:tc>
          <w:tcPr>
            <w:tcW w:w="1178" w:type="pct"/>
            <w:tcBorders>
              <w:bottom w:val="dotted" w:sz="4" w:space="0" w:color="auto"/>
            </w:tcBorders>
          </w:tcPr>
          <w:p w:rsidR="00FE542A" w:rsidRPr="00802DBC" w:rsidRDefault="00FE542A" w:rsidP="0094297E">
            <w:pPr>
              <w:jc w:val="left"/>
              <w:rPr>
                <w:rFonts w:ascii="Arial Narrow" w:hAnsi="Arial Narrow"/>
                <w:sz w:val="20"/>
              </w:rPr>
            </w:pPr>
            <w:r w:rsidRPr="00802DBC">
              <w:rPr>
                <w:rFonts w:ascii="Arial Narrow" w:hAnsi="Arial Narrow"/>
                <w:sz w:val="20"/>
              </w:rPr>
              <w:t>8 September 2015</w:t>
            </w:r>
            <w:r w:rsidRPr="00802DBC">
              <w:rPr>
                <w:rFonts w:ascii="Arial Narrow" w:hAnsi="Arial Narrow"/>
                <w:sz w:val="20"/>
              </w:rPr>
              <w:br/>
            </w:r>
          </w:p>
          <w:p w:rsidR="00FE542A" w:rsidRPr="00802DBC" w:rsidRDefault="00FE542A" w:rsidP="0094297E">
            <w:pPr>
              <w:jc w:val="left"/>
              <w:rPr>
                <w:rFonts w:ascii="Arial Narrow" w:hAnsi="Arial Narrow"/>
                <w:sz w:val="20"/>
              </w:rPr>
            </w:pPr>
          </w:p>
          <w:p w:rsidR="00FE542A" w:rsidRPr="00802DBC" w:rsidRDefault="00FE542A" w:rsidP="0094297E">
            <w:pPr>
              <w:jc w:val="left"/>
              <w:rPr>
                <w:rFonts w:ascii="Arial Narrow" w:hAnsi="Arial Narrow"/>
                <w:sz w:val="20"/>
              </w:rPr>
            </w:pPr>
          </w:p>
          <w:p w:rsidR="00FE542A" w:rsidRPr="00802DBC" w:rsidRDefault="00FE542A" w:rsidP="0094297E">
            <w:pPr>
              <w:jc w:val="left"/>
              <w:rPr>
                <w:rFonts w:ascii="Arial Narrow" w:hAnsi="Arial Narrow"/>
                <w:b/>
                <w:sz w:val="20"/>
              </w:rPr>
            </w:pPr>
            <w:r w:rsidRPr="00802DBC">
              <w:rPr>
                <w:rFonts w:ascii="Arial Narrow" w:hAnsi="Arial Narrow"/>
                <w:i/>
                <w:iCs/>
                <w:sz w:val="20"/>
              </w:rPr>
              <w:t>N Engl J Med</w:t>
            </w:r>
            <w:r w:rsidRPr="00802DBC">
              <w:rPr>
                <w:rFonts w:ascii="Arial Narrow" w:hAnsi="Arial Narrow"/>
                <w:sz w:val="20"/>
              </w:rPr>
              <w:t xml:space="preserve"> 2015; 373(27): 2599-2607.</w:t>
            </w:r>
          </w:p>
        </w:tc>
      </w:tr>
      <w:tr w:rsidR="00FE542A" w:rsidRPr="00802DBC" w:rsidTr="0094297E">
        <w:tc>
          <w:tcPr>
            <w:tcW w:w="813" w:type="pct"/>
            <w:tcBorders>
              <w:top w:val="dotted" w:sz="4" w:space="0" w:color="auto"/>
            </w:tcBorders>
            <w:vAlign w:val="center"/>
          </w:tcPr>
          <w:p w:rsidR="00FE542A" w:rsidRPr="003A2DA4" w:rsidRDefault="00FE542A" w:rsidP="0094297E">
            <w:pPr>
              <w:jc w:val="left"/>
              <w:rPr>
                <w:rFonts w:ascii="Arial Narrow" w:hAnsi="Arial Narrow"/>
                <w:b/>
                <w:bCs/>
                <w:sz w:val="20"/>
              </w:rPr>
            </w:pPr>
            <w:r w:rsidRPr="003A2DA4">
              <w:rPr>
                <w:rFonts w:ascii="Arial Narrow" w:hAnsi="Arial Narrow"/>
                <w:iCs/>
                <w:sz w:val="20"/>
              </w:rPr>
              <w:t>NCT02346721</w:t>
            </w:r>
            <w:r w:rsidR="00901067">
              <w:rPr>
                <w:rFonts w:ascii="Arial Narrow" w:hAnsi="Arial Narrow"/>
                <w:iCs/>
                <w:sz w:val="20"/>
              </w:rPr>
              <w:t xml:space="preserve">* </w:t>
            </w:r>
          </w:p>
        </w:tc>
        <w:tc>
          <w:tcPr>
            <w:tcW w:w="3009" w:type="pct"/>
            <w:tcBorders>
              <w:top w:val="dotted" w:sz="4" w:space="0" w:color="auto"/>
            </w:tcBorders>
          </w:tcPr>
          <w:p w:rsidR="00FE542A" w:rsidRPr="00802DBC" w:rsidRDefault="00FE542A" w:rsidP="0094297E">
            <w:pPr>
              <w:jc w:val="left"/>
              <w:rPr>
                <w:rFonts w:ascii="Arial Narrow" w:hAnsi="Arial Narrow"/>
                <w:sz w:val="20"/>
              </w:rPr>
            </w:pPr>
            <w:r w:rsidRPr="00E25AC2">
              <w:rPr>
                <w:rFonts w:ascii="Arial Narrow" w:hAnsi="Arial Narrow"/>
                <w:bCs/>
                <w:sz w:val="20"/>
                <w:lang w:val="fr-FR"/>
              </w:rPr>
              <w:t xml:space="preserve">Asselah T, Shafran S, Bourgeois S, Lai C-L, Cramp M, </w:t>
            </w:r>
            <w:r w:rsidRPr="00E25AC2">
              <w:rPr>
                <w:rFonts w:ascii="Arial Narrow" w:hAnsi="Arial Narrow"/>
                <w:bCs/>
                <w:i/>
                <w:iCs/>
                <w:sz w:val="20"/>
                <w:lang w:val="fr-FR"/>
              </w:rPr>
              <w:t xml:space="preserve">et al. </w:t>
            </w:r>
            <w:r w:rsidRPr="00802DBC">
              <w:rPr>
                <w:rFonts w:ascii="Arial Narrow" w:hAnsi="Arial Narrow"/>
                <w:bCs/>
                <w:sz w:val="20"/>
              </w:rPr>
              <w:t>Sofosbuvir/Velpatasvir for 12 weeks in HCV-treated patients previously treated with placebo: results of the deferred treatment study [Poster (SAT-279)].</w:t>
            </w:r>
          </w:p>
        </w:tc>
        <w:tc>
          <w:tcPr>
            <w:tcW w:w="1178" w:type="pct"/>
            <w:tcBorders>
              <w:top w:val="dotted" w:sz="4" w:space="0" w:color="auto"/>
            </w:tcBorders>
          </w:tcPr>
          <w:p w:rsidR="00FE542A" w:rsidRPr="00802DBC" w:rsidRDefault="00FE542A" w:rsidP="0094297E">
            <w:pPr>
              <w:jc w:val="left"/>
              <w:rPr>
                <w:rFonts w:ascii="Arial Narrow" w:hAnsi="Arial Narrow"/>
                <w:sz w:val="20"/>
              </w:rPr>
            </w:pPr>
            <w:r w:rsidRPr="00802DBC">
              <w:rPr>
                <w:rFonts w:ascii="Arial Narrow" w:hAnsi="Arial Narrow"/>
                <w:bCs/>
                <w:sz w:val="20"/>
              </w:rPr>
              <w:t>Presented at European Association for the Study of the Liver (EASL) 2016, Barcelona.</w:t>
            </w:r>
          </w:p>
        </w:tc>
      </w:tr>
      <w:tr w:rsidR="00FE542A" w:rsidRPr="00802DBC" w:rsidTr="0094297E">
        <w:tc>
          <w:tcPr>
            <w:tcW w:w="813" w:type="pct"/>
            <w:vAlign w:val="center"/>
          </w:tcPr>
          <w:p w:rsidR="00FE542A" w:rsidRPr="00802DBC" w:rsidRDefault="00FE542A" w:rsidP="0094297E">
            <w:pPr>
              <w:jc w:val="left"/>
              <w:rPr>
                <w:rFonts w:ascii="Arial Narrow" w:hAnsi="Arial Narrow"/>
                <w:b/>
                <w:bCs/>
                <w:sz w:val="20"/>
              </w:rPr>
            </w:pPr>
            <w:r w:rsidRPr="00802DBC">
              <w:rPr>
                <w:rFonts w:ascii="Arial Narrow" w:hAnsi="Arial Narrow"/>
                <w:b/>
                <w:bCs/>
                <w:sz w:val="20"/>
              </w:rPr>
              <w:t>ASTRAL-2</w:t>
            </w:r>
          </w:p>
          <w:p w:rsidR="00FE542A" w:rsidRPr="00802DBC" w:rsidRDefault="00FE542A" w:rsidP="0094297E">
            <w:pPr>
              <w:jc w:val="left"/>
              <w:rPr>
                <w:rFonts w:ascii="Arial Narrow" w:hAnsi="Arial Narrow"/>
                <w:sz w:val="20"/>
              </w:rPr>
            </w:pPr>
            <w:r w:rsidRPr="00802DBC">
              <w:rPr>
                <w:rFonts w:ascii="Arial Narrow" w:hAnsi="Arial Narrow"/>
                <w:sz w:val="20"/>
              </w:rPr>
              <w:t xml:space="preserve">GS-US-342-1139 </w:t>
            </w:r>
          </w:p>
          <w:p w:rsidR="00FE542A" w:rsidRPr="00802DBC" w:rsidRDefault="00FE542A" w:rsidP="0094297E">
            <w:pPr>
              <w:jc w:val="left"/>
              <w:rPr>
                <w:rFonts w:ascii="Arial Narrow" w:hAnsi="Arial Narrow"/>
                <w:sz w:val="20"/>
              </w:rPr>
            </w:pPr>
            <w:r w:rsidRPr="00802DBC">
              <w:rPr>
                <w:rFonts w:ascii="Arial Narrow" w:hAnsi="Arial Narrow"/>
                <w:sz w:val="20"/>
              </w:rPr>
              <w:t>NCT02220998</w:t>
            </w:r>
          </w:p>
        </w:tc>
        <w:tc>
          <w:tcPr>
            <w:tcW w:w="3009" w:type="pct"/>
          </w:tcPr>
          <w:p w:rsidR="00FE542A" w:rsidRPr="00802DBC" w:rsidRDefault="00FE542A" w:rsidP="0094297E">
            <w:pPr>
              <w:jc w:val="left"/>
              <w:rPr>
                <w:rFonts w:ascii="Arial Narrow" w:hAnsi="Arial Narrow"/>
                <w:sz w:val="20"/>
              </w:rPr>
            </w:pPr>
            <w:r w:rsidRPr="00802DBC">
              <w:rPr>
                <w:rFonts w:ascii="Arial Narrow" w:hAnsi="Arial Narrow"/>
                <w:sz w:val="20"/>
              </w:rPr>
              <w:t>A Phase 3, Multicenter, Randomised, Open-Label Study to Compare the Efficacy and Safety of Sofosbuvir/GS-5816 Fixed Dose Combination for 12 Weeks with Sofosbuvir and Ribavirin for 12 Weeks in Subjects with Chronic Genotype 2 HCV Infection. Interim Clinical Study Report.</w:t>
            </w:r>
          </w:p>
          <w:p w:rsidR="00FE542A" w:rsidRPr="00802DBC" w:rsidRDefault="00FE542A" w:rsidP="0094297E">
            <w:pPr>
              <w:rPr>
                <w:rFonts w:ascii="Arial Narrow" w:hAnsi="Arial Narrow"/>
                <w:sz w:val="20"/>
              </w:rPr>
            </w:pPr>
            <w:r w:rsidRPr="00802DBC">
              <w:rPr>
                <w:rFonts w:ascii="Arial Narrow" w:hAnsi="Arial Narrow"/>
                <w:sz w:val="20"/>
              </w:rPr>
              <w:t xml:space="preserve">Foster GR, Afdhal N, Roberts SK, Bräu N, Gane EJ, </w:t>
            </w:r>
            <w:r w:rsidRPr="00802DBC">
              <w:rPr>
                <w:rFonts w:ascii="Arial Narrow" w:hAnsi="Arial Narrow"/>
                <w:i/>
                <w:iCs/>
                <w:sz w:val="20"/>
              </w:rPr>
              <w:t xml:space="preserve">et al </w:t>
            </w:r>
            <w:r w:rsidRPr="00802DBC">
              <w:rPr>
                <w:rFonts w:ascii="Arial Narrow" w:hAnsi="Arial Narrow"/>
                <w:sz w:val="20"/>
              </w:rPr>
              <w:t>for the ASTRAL-2 and ASTRAL-3 Investigators.</w:t>
            </w:r>
            <w:r w:rsidRPr="00802DBC">
              <w:rPr>
                <w:rFonts w:ascii="Arial Narrow" w:hAnsi="Arial Narrow"/>
                <w:i/>
                <w:iCs/>
                <w:sz w:val="20"/>
              </w:rPr>
              <w:t xml:space="preserve"> </w:t>
            </w:r>
            <w:r w:rsidRPr="00802DBC">
              <w:rPr>
                <w:rFonts w:ascii="Arial Narrow" w:hAnsi="Arial Narrow"/>
                <w:sz w:val="20"/>
              </w:rPr>
              <w:t xml:space="preserve">Sofosbuvir and Velpatasvir for HCV Genotype 2 and 3 Infection. </w:t>
            </w:r>
          </w:p>
        </w:tc>
        <w:tc>
          <w:tcPr>
            <w:tcW w:w="1178" w:type="pct"/>
          </w:tcPr>
          <w:p w:rsidR="00FE542A" w:rsidRPr="00802DBC" w:rsidRDefault="00FE542A" w:rsidP="0094297E">
            <w:pPr>
              <w:jc w:val="left"/>
              <w:rPr>
                <w:rFonts w:ascii="Arial Narrow" w:hAnsi="Arial Narrow"/>
                <w:sz w:val="20"/>
              </w:rPr>
            </w:pPr>
            <w:r w:rsidRPr="00802DBC">
              <w:rPr>
                <w:rFonts w:ascii="Arial Narrow" w:hAnsi="Arial Narrow"/>
                <w:sz w:val="20"/>
              </w:rPr>
              <w:t xml:space="preserve">11 August 2015 </w:t>
            </w:r>
          </w:p>
          <w:p w:rsidR="00FE542A" w:rsidRPr="00802DBC" w:rsidRDefault="00FE542A" w:rsidP="0094297E">
            <w:pPr>
              <w:jc w:val="left"/>
              <w:rPr>
                <w:rFonts w:ascii="Arial Narrow" w:hAnsi="Arial Narrow"/>
                <w:sz w:val="20"/>
              </w:rPr>
            </w:pPr>
          </w:p>
          <w:p w:rsidR="00FE542A" w:rsidRPr="00802DBC" w:rsidRDefault="00FE542A" w:rsidP="0094297E">
            <w:pPr>
              <w:jc w:val="left"/>
              <w:rPr>
                <w:rFonts w:ascii="Arial Narrow" w:hAnsi="Arial Narrow"/>
                <w:sz w:val="20"/>
              </w:rPr>
            </w:pPr>
          </w:p>
          <w:p w:rsidR="00FE542A" w:rsidRPr="00802DBC" w:rsidRDefault="00FE542A" w:rsidP="0094297E">
            <w:pPr>
              <w:jc w:val="left"/>
              <w:rPr>
                <w:rFonts w:ascii="Arial Narrow" w:hAnsi="Arial Narrow"/>
                <w:sz w:val="20"/>
              </w:rPr>
            </w:pPr>
          </w:p>
          <w:p w:rsidR="00FE542A" w:rsidRPr="00802DBC" w:rsidRDefault="00FE542A" w:rsidP="0094297E">
            <w:pPr>
              <w:jc w:val="left"/>
              <w:rPr>
                <w:rFonts w:ascii="Arial Narrow" w:hAnsi="Arial Narrow"/>
                <w:sz w:val="20"/>
              </w:rPr>
            </w:pPr>
          </w:p>
          <w:p w:rsidR="00FE542A" w:rsidRPr="00802DBC" w:rsidRDefault="00FE542A" w:rsidP="0094297E">
            <w:pPr>
              <w:jc w:val="left"/>
              <w:rPr>
                <w:rFonts w:ascii="Arial Narrow" w:hAnsi="Arial Narrow"/>
                <w:sz w:val="20"/>
              </w:rPr>
            </w:pPr>
            <w:r w:rsidRPr="00802DBC">
              <w:rPr>
                <w:rFonts w:ascii="Arial Narrow" w:hAnsi="Arial Narrow"/>
                <w:i/>
                <w:iCs/>
                <w:sz w:val="20"/>
              </w:rPr>
              <w:t>N Engl J Med</w:t>
            </w:r>
            <w:r w:rsidRPr="00802DBC">
              <w:rPr>
                <w:rFonts w:ascii="Arial Narrow" w:hAnsi="Arial Narrow"/>
                <w:sz w:val="20"/>
              </w:rPr>
              <w:t xml:space="preserve"> 2015; 373(27): 2608-2617.</w:t>
            </w:r>
          </w:p>
        </w:tc>
      </w:tr>
      <w:tr w:rsidR="00FE542A" w:rsidRPr="00802DBC" w:rsidTr="0094297E">
        <w:tc>
          <w:tcPr>
            <w:tcW w:w="813" w:type="pct"/>
            <w:vAlign w:val="center"/>
          </w:tcPr>
          <w:p w:rsidR="00FE542A" w:rsidRPr="00802DBC" w:rsidRDefault="00FE542A" w:rsidP="0094297E">
            <w:pPr>
              <w:rPr>
                <w:rFonts w:ascii="Arial Narrow" w:hAnsi="Arial Narrow"/>
                <w:b/>
                <w:bCs/>
                <w:sz w:val="20"/>
              </w:rPr>
            </w:pPr>
            <w:r w:rsidRPr="00802DBC">
              <w:rPr>
                <w:rFonts w:ascii="Arial Narrow" w:hAnsi="Arial Narrow"/>
                <w:b/>
                <w:bCs/>
                <w:sz w:val="20"/>
              </w:rPr>
              <w:t>ASTRAL-3</w:t>
            </w:r>
          </w:p>
          <w:p w:rsidR="00FE542A" w:rsidRPr="00802DBC" w:rsidRDefault="00FE542A" w:rsidP="0094297E">
            <w:pPr>
              <w:rPr>
                <w:rFonts w:ascii="Arial Narrow" w:hAnsi="Arial Narrow"/>
                <w:sz w:val="20"/>
              </w:rPr>
            </w:pPr>
            <w:r w:rsidRPr="00802DBC">
              <w:rPr>
                <w:rFonts w:ascii="Arial Narrow" w:hAnsi="Arial Narrow"/>
                <w:sz w:val="20"/>
              </w:rPr>
              <w:t xml:space="preserve">GS-US-342-1140 </w:t>
            </w:r>
          </w:p>
          <w:p w:rsidR="00FE542A" w:rsidRPr="00802DBC" w:rsidRDefault="00FE542A" w:rsidP="0094297E">
            <w:pPr>
              <w:jc w:val="left"/>
              <w:rPr>
                <w:rFonts w:ascii="Arial Narrow" w:hAnsi="Arial Narrow"/>
                <w:sz w:val="20"/>
              </w:rPr>
            </w:pPr>
            <w:r w:rsidRPr="00802DBC">
              <w:rPr>
                <w:rFonts w:ascii="Arial Narrow" w:hAnsi="Arial Narrow"/>
                <w:sz w:val="20"/>
              </w:rPr>
              <w:t>NCT02201953</w:t>
            </w:r>
          </w:p>
        </w:tc>
        <w:tc>
          <w:tcPr>
            <w:tcW w:w="3009" w:type="pct"/>
          </w:tcPr>
          <w:p w:rsidR="00FE542A" w:rsidRPr="00802DBC" w:rsidRDefault="00FE542A" w:rsidP="0094297E">
            <w:pPr>
              <w:jc w:val="left"/>
              <w:rPr>
                <w:rFonts w:ascii="Arial Narrow" w:hAnsi="Arial Narrow"/>
                <w:sz w:val="20"/>
              </w:rPr>
            </w:pPr>
            <w:r w:rsidRPr="00802DBC">
              <w:rPr>
                <w:rFonts w:ascii="Arial Narrow" w:hAnsi="Arial Narrow"/>
                <w:sz w:val="20"/>
              </w:rPr>
              <w:t>A Phase 3, Multicenter, Randomised, Open-Label Study to Compare the Efficacy and Safety of Sofosbuvir/GS-5816 Fixed Dose Combination for 12 Weeks with Sofosbuvir and Ribavirin for 24 Weeks in Subjects with Chronic Genotype 3 HCV Infection. Interim Clinical Study Report.</w:t>
            </w:r>
          </w:p>
          <w:p w:rsidR="00FE542A" w:rsidRPr="00802DBC" w:rsidRDefault="00FE542A" w:rsidP="0094297E">
            <w:pPr>
              <w:jc w:val="left"/>
              <w:rPr>
                <w:rFonts w:ascii="Arial Narrow" w:hAnsi="Arial Narrow"/>
                <w:sz w:val="20"/>
              </w:rPr>
            </w:pPr>
            <w:r w:rsidRPr="00802DBC">
              <w:rPr>
                <w:rFonts w:ascii="Arial Narrow" w:hAnsi="Arial Narrow"/>
                <w:sz w:val="20"/>
              </w:rPr>
              <w:t xml:space="preserve">Foster GR, Afdhal N, Roberts SK, Bräu N, Gane EJ, </w:t>
            </w:r>
            <w:r w:rsidRPr="00802DBC">
              <w:rPr>
                <w:rFonts w:ascii="Arial Narrow" w:hAnsi="Arial Narrow"/>
                <w:i/>
                <w:iCs/>
                <w:sz w:val="20"/>
              </w:rPr>
              <w:t xml:space="preserve">et al </w:t>
            </w:r>
            <w:r w:rsidRPr="00802DBC">
              <w:rPr>
                <w:rFonts w:ascii="Arial Narrow" w:hAnsi="Arial Narrow"/>
                <w:sz w:val="20"/>
              </w:rPr>
              <w:t>for the ASTRAL-2 and ASTRAL-3 Investigators.</w:t>
            </w:r>
            <w:r w:rsidRPr="00802DBC">
              <w:rPr>
                <w:rFonts w:ascii="Arial Narrow" w:hAnsi="Arial Narrow"/>
                <w:i/>
                <w:iCs/>
                <w:sz w:val="20"/>
              </w:rPr>
              <w:t xml:space="preserve"> </w:t>
            </w:r>
            <w:r w:rsidRPr="00802DBC">
              <w:rPr>
                <w:rFonts w:ascii="Arial Narrow" w:hAnsi="Arial Narrow"/>
                <w:sz w:val="20"/>
              </w:rPr>
              <w:t>Sofosbuvir and Velpatasvir for HCV Genotype 2 and 3 Infection.</w:t>
            </w:r>
          </w:p>
        </w:tc>
        <w:tc>
          <w:tcPr>
            <w:tcW w:w="1178" w:type="pct"/>
          </w:tcPr>
          <w:p w:rsidR="00FE542A" w:rsidRPr="00802DBC" w:rsidRDefault="00FE542A" w:rsidP="0094297E">
            <w:pPr>
              <w:jc w:val="left"/>
              <w:rPr>
                <w:rFonts w:ascii="Arial Narrow" w:hAnsi="Arial Narrow"/>
                <w:sz w:val="20"/>
              </w:rPr>
            </w:pPr>
            <w:r w:rsidRPr="00802DBC">
              <w:rPr>
                <w:rFonts w:ascii="Arial Narrow" w:hAnsi="Arial Narrow"/>
                <w:sz w:val="20"/>
              </w:rPr>
              <w:t>8 October 2015</w:t>
            </w:r>
          </w:p>
          <w:p w:rsidR="00FE542A" w:rsidRPr="00802DBC" w:rsidRDefault="00FE542A" w:rsidP="0094297E">
            <w:pPr>
              <w:jc w:val="left"/>
              <w:rPr>
                <w:rFonts w:ascii="Arial Narrow" w:hAnsi="Arial Narrow"/>
                <w:sz w:val="20"/>
              </w:rPr>
            </w:pPr>
          </w:p>
          <w:p w:rsidR="00FE542A" w:rsidRPr="00802DBC" w:rsidRDefault="00FE542A" w:rsidP="0094297E">
            <w:pPr>
              <w:jc w:val="left"/>
              <w:rPr>
                <w:rFonts w:ascii="Arial Narrow" w:hAnsi="Arial Narrow"/>
                <w:sz w:val="20"/>
              </w:rPr>
            </w:pPr>
          </w:p>
          <w:p w:rsidR="00FE542A" w:rsidRPr="00802DBC" w:rsidRDefault="00FE542A" w:rsidP="0094297E">
            <w:pPr>
              <w:jc w:val="left"/>
              <w:rPr>
                <w:rFonts w:ascii="Arial Narrow" w:hAnsi="Arial Narrow"/>
                <w:sz w:val="20"/>
              </w:rPr>
            </w:pPr>
          </w:p>
          <w:p w:rsidR="00FE542A" w:rsidRPr="00802DBC" w:rsidRDefault="00FE542A" w:rsidP="0094297E">
            <w:pPr>
              <w:jc w:val="left"/>
              <w:rPr>
                <w:rFonts w:ascii="Arial Narrow" w:hAnsi="Arial Narrow"/>
                <w:sz w:val="20"/>
              </w:rPr>
            </w:pPr>
          </w:p>
          <w:p w:rsidR="00FE542A" w:rsidRPr="00802DBC" w:rsidRDefault="00FE542A" w:rsidP="0094297E">
            <w:pPr>
              <w:jc w:val="left"/>
              <w:rPr>
                <w:rFonts w:ascii="Arial Narrow" w:hAnsi="Arial Narrow"/>
                <w:sz w:val="20"/>
              </w:rPr>
            </w:pPr>
            <w:r w:rsidRPr="00802DBC">
              <w:rPr>
                <w:rFonts w:ascii="Arial Narrow" w:hAnsi="Arial Narrow"/>
                <w:i/>
                <w:iCs/>
                <w:sz w:val="20"/>
              </w:rPr>
              <w:t>N Engl J Med</w:t>
            </w:r>
            <w:r w:rsidRPr="00802DBC">
              <w:rPr>
                <w:rFonts w:ascii="Arial Narrow" w:hAnsi="Arial Narrow"/>
                <w:sz w:val="20"/>
              </w:rPr>
              <w:t xml:space="preserve"> 2015; 373(27): 2608-2617.</w:t>
            </w:r>
          </w:p>
        </w:tc>
      </w:tr>
      <w:tr w:rsidR="00FE542A" w:rsidRPr="00802DBC" w:rsidTr="0094297E">
        <w:tc>
          <w:tcPr>
            <w:tcW w:w="813" w:type="pct"/>
            <w:vAlign w:val="center"/>
          </w:tcPr>
          <w:p w:rsidR="00FE542A" w:rsidRPr="00802DBC" w:rsidRDefault="00FE542A" w:rsidP="0094297E">
            <w:pPr>
              <w:rPr>
                <w:rFonts w:ascii="Arial Narrow" w:hAnsi="Arial Narrow"/>
                <w:b/>
                <w:bCs/>
                <w:sz w:val="20"/>
              </w:rPr>
            </w:pPr>
            <w:r w:rsidRPr="00802DBC">
              <w:rPr>
                <w:rFonts w:ascii="Arial Narrow" w:hAnsi="Arial Narrow"/>
                <w:b/>
                <w:bCs/>
                <w:sz w:val="20"/>
              </w:rPr>
              <w:t>ASTRAL-4</w:t>
            </w:r>
          </w:p>
          <w:p w:rsidR="00FE542A" w:rsidRPr="00802DBC" w:rsidRDefault="00FE542A" w:rsidP="0094297E">
            <w:pPr>
              <w:rPr>
                <w:rFonts w:ascii="Arial Narrow" w:hAnsi="Arial Narrow"/>
                <w:sz w:val="20"/>
              </w:rPr>
            </w:pPr>
            <w:r w:rsidRPr="00802DBC">
              <w:rPr>
                <w:rFonts w:ascii="Arial Narrow" w:hAnsi="Arial Narrow"/>
                <w:sz w:val="20"/>
              </w:rPr>
              <w:t>GS-US-342-1137</w:t>
            </w:r>
          </w:p>
          <w:p w:rsidR="00FE542A" w:rsidRPr="00802DBC" w:rsidRDefault="00FE542A" w:rsidP="0094297E">
            <w:pPr>
              <w:jc w:val="left"/>
              <w:rPr>
                <w:rFonts w:ascii="Arial Narrow" w:hAnsi="Arial Narrow"/>
                <w:sz w:val="20"/>
              </w:rPr>
            </w:pPr>
            <w:r w:rsidRPr="00802DBC">
              <w:rPr>
                <w:rFonts w:ascii="Arial Narrow" w:hAnsi="Arial Narrow"/>
                <w:sz w:val="20"/>
              </w:rPr>
              <w:t>NCT02201901</w:t>
            </w:r>
          </w:p>
        </w:tc>
        <w:tc>
          <w:tcPr>
            <w:tcW w:w="3009" w:type="pct"/>
          </w:tcPr>
          <w:p w:rsidR="00FE542A" w:rsidRPr="00802DBC" w:rsidRDefault="00FE542A" w:rsidP="0094297E">
            <w:pPr>
              <w:jc w:val="left"/>
              <w:rPr>
                <w:rFonts w:ascii="Arial Narrow" w:hAnsi="Arial Narrow"/>
                <w:sz w:val="20"/>
              </w:rPr>
            </w:pPr>
            <w:r w:rsidRPr="00802DBC">
              <w:rPr>
                <w:rFonts w:ascii="Arial Narrow" w:hAnsi="Arial Narrow"/>
                <w:sz w:val="20"/>
              </w:rPr>
              <w:t xml:space="preserve">A Phase 3, Multicenter, Open-Label Study to Investigate the Efficacy and Safety of Sofosbuvir/GS-5816 Fixed-Dose Combination in Subjects with Chronic HCV Infection and Child-Pugh Class B Cirrhosis. Interim Clinical Study Report. </w:t>
            </w:r>
          </w:p>
          <w:p w:rsidR="00FE542A" w:rsidRPr="00802DBC" w:rsidRDefault="00FE542A" w:rsidP="0094297E">
            <w:pPr>
              <w:jc w:val="left"/>
              <w:rPr>
                <w:rFonts w:ascii="Arial Narrow" w:hAnsi="Arial Narrow"/>
                <w:sz w:val="20"/>
              </w:rPr>
            </w:pPr>
            <w:r w:rsidRPr="00802DBC">
              <w:rPr>
                <w:rFonts w:ascii="Arial Narrow" w:hAnsi="Arial Narrow"/>
                <w:sz w:val="20"/>
              </w:rPr>
              <w:t xml:space="preserve">Curry MP, O'Leary JG, Bzowej N, Muir AJ, Korenblat KM </w:t>
            </w:r>
            <w:r w:rsidRPr="00802DBC">
              <w:rPr>
                <w:rFonts w:ascii="Arial Narrow" w:hAnsi="Arial Narrow"/>
                <w:i/>
                <w:iCs/>
                <w:sz w:val="20"/>
              </w:rPr>
              <w:t xml:space="preserve">et al </w:t>
            </w:r>
            <w:r w:rsidRPr="00802DBC">
              <w:rPr>
                <w:rFonts w:ascii="Arial Narrow" w:hAnsi="Arial Narrow"/>
                <w:sz w:val="20"/>
              </w:rPr>
              <w:t xml:space="preserve">Curry, et al </w:t>
            </w:r>
            <w:r w:rsidRPr="00802DBC">
              <w:rPr>
                <w:rFonts w:ascii="Arial Narrow" w:hAnsi="Arial Narrow"/>
                <w:iCs/>
                <w:sz w:val="20"/>
              </w:rPr>
              <w:t>for the ASTRAL-4 Investigators</w:t>
            </w:r>
            <w:r w:rsidRPr="00802DBC">
              <w:rPr>
                <w:rFonts w:ascii="Arial Narrow" w:hAnsi="Arial Narrow"/>
                <w:sz w:val="20"/>
              </w:rPr>
              <w:t xml:space="preserve">. Sofosbuvir and Velpatasvir for HCV in Patients with Decompensated Cirrhosis. </w:t>
            </w:r>
          </w:p>
        </w:tc>
        <w:tc>
          <w:tcPr>
            <w:tcW w:w="1178" w:type="pct"/>
          </w:tcPr>
          <w:p w:rsidR="00FE542A" w:rsidRPr="00802DBC" w:rsidRDefault="00FE542A" w:rsidP="0094297E">
            <w:pPr>
              <w:jc w:val="left"/>
              <w:rPr>
                <w:rFonts w:ascii="Arial Narrow" w:hAnsi="Arial Narrow"/>
                <w:sz w:val="20"/>
              </w:rPr>
            </w:pPr>
            <w:r w:rsidRPr="00802DBC">
              <w:rPr>
                <w:rFonts w:ascii="Arial Narrow" w:hAnsi="Arial Narrow"/>
                <w:sz w:val="20"/>
              </w:rPr>
              <w:t>13 October 2015</w:t>
            </w:r>
          </w:p>
          <w:p w:rsidR="00FE542A" w:rsidRPr="00802DBC" w:rsidRDefault="00FE542A" w:rsidP="0094297E">
            <w:pPr>
              <w:jc w:val="left"/>
              <w:rPr>
                <w:rFonts w:ascii="Arial Narrow" w:hAnsi="Arial Narrow"/>
                <w:sz w:val="20"/>
              </w:rPr>
            </w:pPr>
          </w:p>
          <w:p w:rsidR="00FE542A" w:rsidRPr="00802DBC" w:rsidRDefault="00FE542A" w:rsidP="0094297E">
            <w:pPr>
              <w:jc w:val="left"/>
              <w:rPr>
                <w:rFonts w:ascii="Arial Narrow" w:hAnsi="Arial Narrow"/>
                <w:sz w:val="20"/>
              </w:rPr>
            </w:pPr>
          </w:p>
          <w:p w:rsidR="00FE542A" w:rsidRPr="00802DBC" w:rsidRDefault="00FE542A" w:rsidP="0094297E">
            <w:pPr>
              <w:jc w:val="left"/>
              <w:rPr>
                <w:rFonts w:ascii="Arial Narrow" w:hAnsi="Arial Narrow"/>
                <w:i/>
                <w:sz w:val="20"/>
              </w:rPr>
            </w:pPr>
          </w:p>
          <w:p w:rsidR="00FE542A" w:rsidRPr="00802DBC" w:rsidRDefault="00FE542A" w:rsidP="0094297E">
            <w:pPr>
              <w:jc w:val="left"/>
              <w:rPr>
                <w:rFonts w:ascii="Arial Narrow" w:hAnsi="Arial Narrow"/>
                <w:b/>
                <w:sz w:val="20"/>
              </w:rPr>
            </w:pPr>
            <w:r w:rsidRPr="00802DBC">
              <w:rPr>
                <w:rFonts w:ascii="Arial Narrow" w:hAnsi="Arial Narrow"/>
                <w:i/>
                <w:iCs/>
                <w:sz w:val="20"/>
              </w:rPr>
              <w:t>N Engl J Med</w:t>
            </w:r>
            <w:r w:rsidRPr="00802DBC">
              <w:rPr>
                <w:rFonts w:ascii="Arial Narrow" w:hAnsi="Arial Narrow"/>
                <w:sz w:val="20"/>
              </w:rPr>
              <w:t xml:space="preserve"> 2015; 373(27): 2618-2628.</w:t>
            </w:r>
          </w:p>
        </w:tc>
      </w:tr>
      <w:tr w:rsidR="00FE542A" w:rsidRPr="00802DBC" w:rsidTr="0094297E">
        <w:tc>
          <w:tcPr>
            <w:tcW w:w="5000" w:type="pct"/>
            <w:gridSpan w:val="3"/>
          </w:tcPr>
          <w:p w:rsidR="00FE542A" w:rsidRPr="00802DBC" w:rsidRDefault="00FE542A" w:rsidP="0094297E">
            <w:pPr>
              <w:jc w:val="left"/>
              <w:rPr>
                <w:rFonts w:ascii="Arial Narrow" w:hAnsi="Arial Narrow"/>
                <w:b/>
                <w:sz w:val="20"/>
              </w:rPr>
            </w:pPr>
            <w:r w:rsidRPr="00802DBC">
              <w:rPr>
                <w:rFonts w:ascii="Arial Narrow" w:hAnsi="Arial Narrow"/>
                <w:b/>
                <w:sz w:val="20"/>
              </w:rPr>
              <w:t>Supplementary study</w:t>
            </w:r>
          </w:p>
        </w:tc>
      </w:tr>
      <w:tr w:rsidR="00FE542A" w:rsidRPr="00802DBC" w:rsidTr="0094297E">
        <w:tc>
          <w:tcPr>
            <w:tcW w:w="813" w:type="pct"/>
            <w:vAlign w:val="center"/>
          </w:tcPr>
          <w:p w:rsidR="00FE542A" w:rsidRPr="00802DBC" w:rsidRDefault="00FE542A" w:rsidP="0094297E">
            <w:pPr>
              <w:jc w:val="left"/>
              <w:rPr>
                <w:rFonts w:ascii="Arial Narrow" w:hAnsi="Arial Narrow"/>
                <w:b/>
                <w:bCs/>
                <w:sz w:val="20"/>
              </w:rPr>
            </w:pPr>
            <w:r w:rsidRPr="00802DBC">
              <w:rPr>
                <w:rFonts w:ascii="Arial Narrow" w:hAnsi="Arial Narrow"/>
                <w:b/>
                <w:bCs/>
                <w:sz w:val="20"/>
              </w:rPr>
              <w:t>ASTRAL-5</w:t>
            </w:r>
          </w:p>
          <w:p w:rsidR="00FE542A" w:rsidRPr="00802DBC" w:rsidRDefault="00FE542A" w:rsidP="0094297E">
            <w:pPr>
              <w:jc w:val="left"/>
              <w:rPr>
                <w:rFonts w:ascii="Arial Narrow" w:hAnsi="Arial Narrow"/>
                <w:sz w:val="20"/>
              </w:rPr>
            </w:pPr>
            <w:r w:rsidRPr="00802DBC">
              <w:rPr>
                <w:rFonts w:ascii="Arial Narrow" w:hAnsi="Arial Narrow"/>
                <w:sz w:val="20"/>
              </w:rPr>
              <w:t>GS-US-342-1202</w:t>
            </w:r>
          </w:p>
        </w:tc>
        <w:tc>
          <w:tcPr>
            <w:tcW w:w="3009" w:type="pct"/>
          </w:tcPr>
          <w:p w:rsidR="00FE542A" w:rsidRPr="00802DBC" w:rsidRDefault="00FE542A" w:rsidP="0094297E">
            <w:pPr>
              <w:jc w:val="left"/>
              <w:rPr>
                <w:rFonts w:ascii="Arial Narrow" w:hAnsi="Arial Narrow"/>
                <w:sz w:val="20"/>
              </w:rPr>
            </w:pPr>
            <w:r w:rsidRPr="00802DBC">
              <w:rPr>
                <w:rFonts w:ascii="Arial Narrow" w:hAnsi="Arial Narrow"/>
                <w:sz w:val="20"/>
              </w:rPr>
              <w:t>A Phase 3, Open-Label Study to Investigate the Efficacy and Safety of Sofosbuvir/ Velpatasvir Fixed Dose Combination for 12 weeks in Subjects with Chronic Hepatitis C Virus (HCV) and Human Immunodeficiency Virus (HIV)-1 Coinfection. Clinical Study Protocol.</w:t>
            </w:r>
          </w:p>
          <w:p w:rsidR="00FE542A" w:rsidRPr="00802DBC" w:rsidRDefault="00FE542A" w:rsidP="0094297E">
            <w:pPr>
              <w:jc w:val="left"/>
              <w:rPr>
                <w:rFonts w:ascii="Arial Narrow" w:hAnsi="Arial Narrow"/>
                <w:b/>
                <w:sz w:val="20"/>
              </w:rPr>
            </w:pPr>
            <w:r w:rsidRPr="00802DBC">
              <w:rPr>
                <w:rFonts w:ascii="Arial Narrow" w:hAnsi="Arial Narrow"/>
                <w:bCs/>
                <w:sz w:val="20"/>
              </w:rPr>
              <w:t xml:space="preserve">Wyles D, Brau N, Kottilil S, Daar E, Workowski K, </w:t>
            </w:r>
            <w:r w:rsidRPr="00802DBC">
              <w:rPr>
                <w:rFonts w:ascii="Arial Narrow" w:hAnsi="Arial Narrow"/>
                <w:bCs/>
                <w:i/>
                <w:iCs/>
                <w:sz w:val="20"/>
              </w:rPr>
              <w:t xml:space="preserve">et al. </w:t>
            </w:r>
            <w:r w:rsidRPr="00802DBC">
              <w:rPr>
                <w:rFonts w:ascii="Arial Narrow" w:hAnsi="Arial Narrow"/>
                <w:bCs/>
                <w:sz w:val="20"/>
              </w:rPr>
              <w:t xml:space="preserve">Sofosbuvir/Velpatasvir for 12 Weeks in Patients Coinfected With HCV and HIV-1: The ASTRAL-5 Study [presentation]. </w:t>
            </w:r>
          </w:p>
        </w:tc>
        <w:tc>
          <w:tcPr>
            <w:tcW w:w="1178" w:type="pct"/>
          </w:tcPr>
          <w:p w:rsidR="00FE542A" w:rsidRPr="00802DBC" w:rsidRDefault="00FE542A" w:rsidP="0094297E">
            <w:pPr>
              <w:jc w:val="left"/>
              <w:rPr>
                <w:rFonts w:ascii="Arial Narrow" w:hAnsi="Arial Narrow"/>
                <w:bCs/>
                <w:sz w:val="20"/>
              </w:rPr>
            </w:pPr>
            <w:r w:rsidRPr="00802DBC">
              <w:rPr>
                <w:rFonts w:ascii="Arial Narrow" w:hAnsi="Arial Narrow"/>
                <w:bCs/>
                <w:sz w:val="20"/>
              </w:rPr>
              <w:t>20 April 2015</w:t>
            </w:r>
          </w:p>
          <w:p w:rsidR="00FE542A" w:rsidRPr="00802DBC" w:rsidRDefault="00FE542A" w:rsidP="0094297E">
            <w:pPr>
              <w:jc w:val="left"/>
              <w:rPr>
                <w:rFonts w:ascii="Arial Narrow" w:hAnsi="Arial Narrow"/>
                <w:b/>
                <w:sz w:val="20"/>
              </w:rPr>
            </w:pPr>
          </w:p>
          <w:p w:rsidR="00FE542A" w:rsidRPr="00802DBC" w:rsidRDefault="00FE542A" w:rsidP="0094297E">
            <w:pPr>
              <w:jc w:val="left"/>
              <w:rPr>
                <w:rFonts w:ascii="Arial Narrow" w:hAnsi="Arial Narrow"/>
                <w:b/>
                <w:sz w:val="20"/>
              </w:rPr>
            </w:pPr>
          </w:p>
          <w:p w:rsidR="00FE542A" w:rsidRPr="00802DBC" w:rsidRDefault="00FE542A" w:rsidP="0094297E">
            <w:pPr>
              <w:jc w:val="left"/>
              <w:rPr>
                <w:rFonts w:ascii="Arial Narrow" w:hAnsi="Arial Narrow"/>
                <w:b/>
                <w:sz w:val="20"/>
              </w:rPr>
            </w:pPr>
            <w:r w:rsidRPr="00802DBC">
              <w:rPr>
                <w:rFonts w:ascii="Arial Narrow" w:hAnsi="Arial Narrow"/>
                <w:bCs/>
                <w:sz w:val="20"/>
              </w:rPr>
              <w:t>Presented at European Association for the Study of the Liver (EASL) 2016, Barcelona.</w:t>
            </w:r>
          </w:p>
        </w:tc>
      </w:tr>
    </w:tbl>
    <w:p w:rsidR="00C70D83" w:rsidRDefault="00FE542A" w:rsidP="003A2DA4">
      <w:pPr>
        <w:pStyle w:val="TableFooter"/>
        <w:ind w:firstLine="720"/>
      </w:pPr>
      <w:r w:rsidRPr="00802DBC">
        <w:t>Source: Table B-4, pp69-70 of the submission</w:t>
      </w:r>
      <w:r w:rsidR="003A2DA4">
        <w:t xml:space="preserve">. </w:t>
      </w:r>
    </w:p>
    <w:p w:rsidR="00FE542A" w:rsidRDefault="00FE542A" w:rsidP="00C70D83">
      <w:pPr>
        <w:pStyle w:val="TableFooter"/>
        <w:ind w:left="720"/>
        <w:rPr>
          <w:iCs/>
        </w:rPr>
      </w:pPr>
      <w:r w:rsidRPr="003A2DA4">
        <w:rPr>
          <w:iCs/>
        </w:rPr>
        <w:t>Note: Abstracts/presentations of conference proceedings were not included if a relevant peer-reviewed journal article was available.</w:t>
      </w:r>
    </w:p>
    <w:p w:rsidR="00901067" w:rsidRPr="003A2DA4" w:rsidRDefault="00901067" w:rsidP="003A2DA4">
      <w:pPr>
        <w:pStyle w:val="TableFooter"/>
        <w:ind w:firstLine="720"/>
      </w:pPr>
      <w:r>
        <w:rPr>
          <w:iCs/>
        </w:rPr>
        <w:t>*The trial ID was corrected during the evaluation</w:t>
      </w:r>
    </w:p>
    <w:p w:rsidR="00FE542A" w:rsidRPr="00802DBC" w:rsidRDefault="00FE542A" w:rsidP="00FE542A">
      <w:pPr>
        <w:widowControl/>
        <w:rPr>
          <w:szCs w:val="22"/>
        </w:rPr>
      </w:pPr>
    </w:p>
    <w:p w:rsidR="00FE542A" w:rsidRDefault="00FE542A" w:rsidP="002C4748">
      <w:pPr>
        <w:pStyle w:val="ListParagraph"/>
        <w:widowControl/>
        <w:numPr>
          <w:ilvl w:val="1"/>
          <w:numId w:val="2"/>
        </w:numPr>
        <w:rPr>
          <w:szCs w:val="22"/>
        </w:rPr>
      </w:pPr>
      <w:r w:rsidRPr="00802DBC">
        <w:rPr>
          <w:szCs w:val="22"/>
        </w:rPr>
        <w:t xml:space="preserve">The key features of the </w:t>
      </w:r>
      <w:r w:rsidRPr="00802DBC">
        <w:t xml:space="preserve">sofosbuvir/velpatasvir FDC studies </w:t>
      </w:r>
      <w:r w:rsidRPr="00802DBC">
        <w:rPr>
          <w:szCs w:val="22"/>
        </w:rPr>
        <w:t xml:space="preserve">are summarised in </w:t>
      </w:r>
      <w:r w:rsidR="00F9410B">
        <w:rPr>
          <w:szCs w:val="22"/>
        </w:rPr>
        <w:t>Table</w:t>
      </w:r>
      <w:r w:rsidR="002528CE">
        <w:rPr>
          <w:szCs w:val="22"/>
        </w:rPr>
        <w:t> </w:t>
      </w:r>
      <w:r w:rsidR="0052346C">
        <w:rPr>
          <w:szCs w:val="22"/>
        </w:rPr>
        <w:t>4</w:t>
      </w:r>
      <w:r w:rsidRPr="00802DBC">
        <w:rPr>
          <w:szCs w:val="22"/>
        </w:rPr>
        <w:t>.</w:t>
      </w:r>
    </w:p>
    <w:p w:rsidR="005D4C57" w:rsidRDefault="005D4C57">
      <w:pPr>
        <w:widowControl/>
        <w:jc w:val="left"/>
        <w:rPr>
          <w:szCs w:val="22"/>
        </w:rPr>
      </w:pPr>
      <w:r>
        <w:rPr>
          <w:szCs w:val="22"/>
        </w:rPr>
        <w:br w:type="page"/>
      </w:r>
    </w:p>
    <w:p w:rsidR="00FE542A" w:rsidRPr="00802DBC" w:rsidRDefault="00FE542A" w:rsidP="00024A8C">
      <w:pPr>
        <w:ind w:firstLine="720"/>
        <w:rPr>
          <w:rStyle w:val="CommentReference"/>
        </w:rPr>
      </w:pPr>
      <w:r w:rsidRPr="00802DBC">
        <w:rPr>
          <w:rStyle w:val="CommentReference"/>
        </w:rPr>
        <w:lastRenderedPageBreak/>
        <w:t xml:space="preserve">Table </w:t>
      </w:r>
      <w:r w:rsidR="0052346C">
        <w:rPr>
          <w:rStyle w:val="CommentReference"/>
        </w:rPr>
        <w:t>4</w:t>
      </w:r>
      <w:r w:rsidRPr="00802DBC">
        <w:rPr>
          <w:rStyle w:val="CommentReference"/>
        </w:rPr>
        <w:t>: Key features of the included evidence</w:t>
      </w:r>
    </w:p>
    <w:tbl>
      <w:tblPr>
        <w:tblW w:w="843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3"/>
        <w:gridCol w:w="392"/>
        <w:gridCol w:w="1145"/>
        <w:gridCol w:w="661"/>
        <w:gridCol w:w="994"/>
        <w:gridCol w:w="1245"/>
        <w:gridCol w:w="952"/>
        <w:gridCol w:w="1393"/>
        <w:gridCol w:w="784"/>
      </w:tblGrid>
      <w:tr w:rsidR="00FE542A" w:rsidRPr="00802DBC" w:rsidTr="0094297E">
        <w:trPr>
          <w:cantSplit/>
          <w:trHeight w:val="191"/>
          <w:tblHeader/>
        </w:trPr>
        <w:tc>
          <w:tcPr>
            <w:tcW w:w="873" w:type="dxa"/>
            <w:vMerge w:val="restart"/>
            <w:shd w:val="clear" w:color="auto" w:fill="auto"/>
            <w:vAlign w:val="center"/>
          </w:tcPr>
          <w:p w:rsidR="00FE542A" w:rsidRPr="00802DBC" w:rsidRDefault="00FE542A" w:rsidP="0094297E">
            <w:pPr>
              <w:keepLines/>
              <w:jc w:val="left"/>
              <w:rPr>
                <w:rFonts w:ascii="Arial Narrow" w:hAnsi="Arial Narrow"/>
                <w:b/>
                <w:sz w:val="20"/>
              </w:rPr>
            </w:pPr>
            <w:r w:rsidRPr="00802DBC">
              <w:rPr>
                <w:rFonts w:ascii="Arial Narrow" w:hAnsi="Arial Narrow"/>
                <w:b/>
                <w:sz w:val="20"/>
              </w:rPr>
              <w:t>Trial</w:t>
            </w:r>
          </w:p>
        </w:tc>
        <w:tc>
          <w:tcPr>
            <w:tcW w:w="392" w:type="dxa"/>
            <w:vMerge w:val="restart"/>
            <w:shd w:val="clear" w:color="auto" w:fill="auto"/>
            <w:vAlign w:val="center"/>
          </w:tcPr>
          <w:p w:rsidR="00FE542A" w:rsidRPr="00802DBC" w:rsidRDefault="00FE542A" w:rsidP="0094297E">
            <w:pPr>
              <w:keepLines/>
              <w:jc w:val="center"/>
              <w:rPr>
                <w:rFonts w:ascii="Arial Narrow" w:hAnsi="Arial Narrow"/>
                <w:b/>
                <w:sz w:val="20"/>
              </w:rPr>
            </w:pPr>
            <w:r w:rsidRPr="00802DBC">
              <w:rPr>
                <w:rFonts w:ascii="Arial Narrow" w:hAnsi="Arial Narrow"/>
                <w:b/>
                <w:sz w:val="20"/>
              </w:rPr>
              <w:t>N</w:t>
            </w:r>
          </w:p>
        </w:tc>
        <w:tc>
          <w:tcPr>
            <w:tcW w:w="1145" w:type="dxa"/>
            <w:vMerge w:val="restart"/>
            <w:shd w:val="clear" w:color="auto" w:fill="auto"/>
            <w:vAlign w:val="center"/>
          </w:tcPr>
          <w:p w:rsidR="00FE542A" w:rsidRPr="00802DBC" w:rsidRDefault="00FE542A" w:rsidP="0094297E">
            <w:pPr>
              <w:keepLines/>
              <w:jc w:val="center"/>
              <w:rPr>
                <w:rFonts w:ascii="Arial Narrow" w:hAnsi="Arial Narrow"/>
                <w:b/>
                <w:sz w:val="20"/>
              </w:rPr>
            </w:pPr>
            <w:r w:rsidRPr="00802DBC">
              <w:rPr>
                <w:rFonts w:ascii="Arial Narrow" w:hAnsi="Arial Narrow"/>
                <w:b/>
                <w:sz w:val="20"/>
              </w:rPr>
              <w:t>Design/ duration</w:t>
            </w:r>
          </w:p>
        </w:tc>
        <w:tc>
          <w:tcPr>
            <w:tcW w:w="661" w:type="dxa"/>
            <w:vMerge w:val="restart"/>
            <w:shd w:val="clear" w:color="auto" w:fill="auto"/>
            <w:vAlign w:val="center"/>
          </w:tcPr>
          <w:p w:rsidR="00FE542A" w:rsidRPr="00C548A1" w:rsidRDefault="00FE542A" w:rsidP="00C548A1">
            <w:pPr>
              <w:keepLines/>
              <w:jc w:val="center"/>
              <w:rPr>
                <w:rFonts w:ascii="Arial Narrow" w:hAnsi="Arial Narrow"/>
                <w:b/>
                <w:iCs/>
                <w:sz w:val="20"/>
              </w:rPr>
            </w:pPr>
            <w:r w:rsidRPr="00C548A1">
              <w:rPr>
                <w:rFonts w:ascii="Arial Narrow" w:hAnsi="Arial Narrow"/>
                <w:b/>
                <w:iCs/>
                <w:sz w:val="20"/>
              </w:rPr>
              <w:t>Risk of bias</w:t>
            </w:r>
            <w:r w:rsidR="00C548A1" w:rsidRPr="00C548A1">
              <w:rPr>
                <w:rFonts w:ascii="Arial Narrow" w:hAnsi="Arial Narrow"/>
                <w:iCs/>
                <w:sz w:val="18"/>
                <w:szCs w:val="18"/>
                <w:vertAlign w:val="superscript"/>
              </w:rPr>
              <w:t>c</w:t>
            </w:r>
          </w:p>
        </w:tc>
        <w:tc>
          <w:tcPr>
            <w:tcW w:w="3191" w:type="dxa"/>
            <w:gridSpan w:val="3"/>
            <w:shd w:val="clear" w:color="auto" w:fill="auto"/>
            <w:vAlign w:val="center"/>
          </w:tcPr>
          <w:p w:rsidR="00FE542A" w:rsidRPr="00802DBC" w:rsidRDefault="00FE542A" w:rsidP="0094297E">
            <w:pPr>
              <w:keepLines/>
              <w:jc w:val="center"/>
              <w:rPr>
                <w:rFonts w:ascii="Arial Narrow" w:hAnsi="Arial Narrow"/>
                <w:b/>
                <w:sz w:val="20"/>
              </w:rPr>
            </w:pPr>
            <w:r w:rsidRPr="00802DBC">
              <w:rPr>
                <w:rFonts w:ascii="Arial Narrow" w:hAnsi="Arial Narrow"/>
                <w:b/>
                <w:sz w:val="20"/>
              </w:rPr>
              <w:t>Patient population</w:t>
            </w:r>
          </w:p>
        </w:tc>
        <w:tc>
          <w:tcPr>
            <w:tcW w:w="1393" w:type="dxa"/>
            <w:vMerge w:val="restart"/>
            <w:shd w:val="clear" w:color="auto" w:fill="auto"/>
            <w:vAlign w:val="center"/>
          </w:tcPr>
          <w:p w:rsidR="00FE542A" w:rsidRPr="00802DBC" w:rsidRDefault="00FE542A" w:rsidP="0094297E">
            <w:pPr>
              <w:keepLines/>
              <w:jc w:val="center"/>
              <w:rPr>
                <w:rFonts w:ascii="Arial Narrow" w:hAnsi="Arial Narrow"/>
                <w:b/>
                <w:sz w:val="20"/>
              </w:rPr>
            </w:pPr>
            <w:r w:rsidRPr="00802DBC">
              <w:rPr>
                <w:rFonts w:ascii="Arial Narrow" w:hAnsi="Arial Narrow"/>
                <w:b/>
                <w:sz w:val="20"/>
              </w:rPr>
              <w:t>Intervention</w:t>
            </w:r>
          </w:p>
        </w:tc>
        <w:tc>
          <w:tcPr>
            <w:tcW w:w="784" w:type="dxa"/>
            <w:vMerge w:val="restart"/>
            <w:vAlign w:val="center"/>
          </w:tcPr>
          <w:p w:rsidR="00FE542A" w:rsidRPr="00802DBC" w:rsidRDefault="00FE542A" w:rsidP="0094297E">
            <w:pPr>
              <w:keepLines/>
              <w:jc w:val="center"/>
              <w:rPr>
                <w:rFonts w:ascii="Arial Narrow" w:hAnsi="Arial Narrow"/>
                <w:b/>
                <w:sz w:val="20"/>
              </w:rPr>
            </w:pPr>
            <w:r w:rsidRPr="00802DBC">
              <w:rPr>
                <w:rFonts w:ascii="Arial Narrow" w:hAnsi="Arial Narrow"/>
                <w:b/>
                <w:sz w:val="20"/>
              </w:rPr>
              <w:t>Key outcome</w:t>
            </w:r>
          </w:p>
        </w:tc>
      </w:tr>
      <w:tr w:rsidR="00FE542A" w:rsidRPr="00802DBC" w:rsidTr="0094297E">
        <w:trPr>
          <w:cantSplit/>
        </w:trPr>
        <w:tc>
          <w:tcPr>
            <w:tcW w:w="873" w:type="dxa"/>
            <w:vMerge/>
            <w:shd w:val="clear" w:color="auto" w:fill="auto"/>
            <w:vAlign w:val="center"/>
          </w:tcPr>
          <w:p w:rsidR="00FE542A" w:rsidRPr="00802DBC" w:rsidRDefault="00FE542A" w:rsidP="0094297E">
            <w:pPr>
              <w:keepLines/>
              <w:jc w:val="left"/>
              <w:rPr>
                <w:rFonts w:ascii="Arial Narrow" w:hAnsi="Arial Narrow"/>
                <w:bCs/>
                <w:sz w:val="20"/>
              </w:rPr>
            </w:pPr>
          </w:p>
        </w:tc>
        <w:tc>
          <w:tcPr>
            <w:tcW w:w="392" w:type="dxa"/>
            <w:vMerge/>
            <w:shd w:val="clear" w:color="auto" w:fill="auto"/>
            <w:vAlign w:val="center"/>
          </w:tcPr>
          <w:p w:rsidR="00FE542A" w:rsidRPr="00802DBC" w:rsidRDefault="00FE542A" w:rsidP="0094297E">
            <w:pPr>
              <w:keepLines/>
              <w:jc w:val="center"/>
              <w:rPr>
                <w:rFonts w:ascii="Arial Narrow" w:hAnsi="Arial Narrow"/>
                <w:bCs/>
                <w:sz w:val="20"/>
              </w:rPr>
            </w:pPr>
          </w:p>
        </w:tc>
        <w:tc>
          <w:tcPr>
            <w:tcW w:w="1145" w:type="dxa"/>
            <w:vMerge/>
            <w:shd w:val="clear" w:color="auto" w:fill="auto"/>
            <w:vAlign w:val="center"/>
          </w:tcPr>
          <w:p w:rsidR="00FE542A" w:rsidRPr="00802DBC" w:rsidRDefault="00FE542A" w:rsidP="0094297E">
            <w:pPr>
              <w:keepLines/>
              <w:jc w:val="center"/>
              <w:rPr>
                <w:rFonts w:ascii="Arial Narrow" w:hAnsi="Arial Narrow"/>
                <w:bCs/>
                <w:sz w:val="20"/>
              </w:rPr>
            </w:pPr>
          </w:p>
        </w:tc>
        <w:tc>
          <w:tcPr>
            <w:tcW w:w="661" w:type="dxa"/>
            <w:vMerge/>
            <w:shd w:val="clear" w:color="auto" w:fill="auto"/>
            <w:vAlign w:val="center"/>
          </w:tcPr>
          <w:p w:rsidR="00FE542A" w:rsidRPr="00C548A1" w:rsidRDefault="00FE542A" w:rsidP="0094297E">
            <w:pPr>
              <w:keepLines/>
              <w:jc w:val="center"/>
              <w:rPr>
                <w:rFonts w:ascii="Arial Narrow" w:hAnsi="Arial Narrow"/>
                <w:bCs/>
                <w:iCs/>
                <w:sz w:val="20"/>
              </w:rPr>
            </w:pPr>
          </w:p>
        </w:tc>
        <w:tc>
          <w:tcPr>
            <w:tcW w:w="994" w:type="dxa"/>
            <w:shd w:val="clear" w:color="auto" w:fill="auto"/>
            <w:vAlign w:val="center"/>
          </w:tcPr>
          <w:p w:rsidR="00FE542A" w:rsidRPr="00802DBC" w:rsidRDefault="00FE542A" w:rsidP="0094297E">
            <w:pPr>
              <w:keepLines/>
              <w:jc w:val="center"/>
              <w:rPr>
                <w:rFonts w:ascii="Arial Narrow" w:hAnsi="Arial Narrow"/>
                <w:b/>
                <w:sz w:val="20"/>
              </w:rPr>
            </w:pPr>
            <w:r w:rsidRPr="00802DBC">
              <w:rPr>
                <w:rFonts w:ascii="Arial Narrow" w:hAnsi="Arial Narrow"/>
                <w:b/>
                <w:sz w:val="20"/>
              </w:rPr>
              <w:t>HCV Gt</w:t>
            </w:r>
          </w:p>
        </w:tc>
        <w:tc>
          <w:tcPr>
            <w:tcW w:w="1245" w:type="dxa"/>
            <w:shd w:val="clear" w:color="auto" w:fill="auto"/>
            <w:vAlign w:val="center"/>
          </w:tcPr>
          <w:p w:rsidR="00FE542A" w:rsidRPr="00802DBC" w:rsidRDefault="00FE542A" w:rsidP="0094297E">
            <w:pPr>
              <w:keepLines/>
              <w:jc w:val="center"/>
              <w:rPr>
                <w:rFonts w:ascii="Arial Narrow" w:hAnsi="Arial Narrow"/>
                <w:bCs/>
                <w:iCs/>
                <w:sz w:val="20"/>
              </w:rPr>
            </w:pPr>
            <w:r w:rsidRPr="00802DBC">
              <w:rPr>
                <w:rFonts w:ascii="Arial Narrow" w:hAnsi="Arial Narrow"/>
                <w:b/>
                <w:iCs/>
                <w:sz w:val="20"/>
                <w:szCs w:val="16"/>
              </w:rPr>
              <w:t>Cirrhosis</w:t>
            </w:r>
          </w:p>
        </w:tc>
        <w:tc>
          <w:tcPr>
            <w:tcW w:w="952" w:type="dxa"/>
            <w:shd w:val="clear" w:color="auto" w:fill="auto"/>
            <w:vAlign w:val="center"/>
          </w:tcPr>
          <w:p w:rsidR="00FE542A" w:rsidRPr="00802DBC" w:rsidRDefault="00FE542A" w:rsidP="0094297E">
            <w:pPr>
              <w:keepLines/>
              <w:jc w:val="center"/>
              <w:rPr>
                <w:rFonts w:ascii="Arial Narrow" w:hAnsi="Arial Narrow"/>
                <w:b/>
                <w:sz w:val="20"/>
              </w:rPr>
            </w:pPr>
            <w:r w:rsidRPr="00802DBC">
              <w:rPr>
                <w:rFonts w:ascii="Arial Narrow" w:hAnsi="Arial Narrow"/>
                <w:b/>
                <w:sz w:val="20"/>
              </w:rPr>
              <w:t>Tx history</w:t>
            </w:r>
          </w:p>
        </w:tc>
        <w:tc>
          <w:tcPr>
            <w:tcW w:w="1393" w:type="dxa"/>
            <w:vMerge/>
            <w:shd w:val="clear" w:color="auto" w:fill="auto"/>
            <w:vAlign w:val="center"/>
          </w:tcPr>
          <w:p w:rsidR="00FE542A" w:rsidRPr="00802DBC" w:rsidRDefault="00FE542A" w:rsidP="0094297E">
            <w:pPr>
              <w:keepLines/>
              <w:jc w:val="center"/>
              <w:rPr>
                <w:rFonts w:ascii="Arial Narrow" w:hAnsi="Arial Narrow"/>
                <w:bCs/>
                <w:sz w:val="20"/>
              </w:rPr>
            </w:pPr>
          </w:p>
        </w:tc>
        <w:tc>
          <w:tcPr>
            <w:tcW w:w="784" w:type="dxa"/>
            <w:vMerge/>
            <w:vAlign w:val="center"/>
          </w:tcPr>
          <w:p w:rsidR="00FE542A" w:rsidRPr="00802DBC" w:rsidRDefault="00FE542A" w:rsidP="0094297E">
            <w:pPr>
              <w:keepLines/>
              <w:jc w:val="center"/>
              <w:rPr>
                <w:rFonts w:ascii="Arial Narrow" w:hAnsi="Arial Narrow"/>
                <w:sz w:val="20"/>
              </w:rPr>
            </w:pPr>
          </w:p>
        </w:tc>
      </w:tr>
      <w:tr w:rsidR="00FE542A" w:rsidRPr="00802DBC" w:rsidTr="0094297E">
        <w:trPr>
          <w:cantSplit/>
        </w:trPr>
        <w:tc>
          <w:tcPr>
            <w:tcW w:w="8439" w:type="dxa"/>
            <w:gridSpan w:val="9"/>
            <w:shd w:val="clear" w:color="auto" w:fill="auto"/>
            <w:vAlign w:val="center"/>
          </w:tcPr>
          <w:p w:rsidR="00FE542A" w:rsidRPr="00C548A1" w:rsidRDefault="00FE542A" w:rsidP="0094297E">
            <w:pPr>
              <w:keepLines/>
              <w:jc w:val="left"/>
              <w:rPr>
                <w:rFonts w:ascii="Arial Narrow" w:hAnsi="Arial Narrow"/>
                <w:sz w:val="20"/>
              </w:rPr>
            </w:pPr>
            <w:r w:rsidRPr="00C548A1">
              <w:rPr>
                <w:rFonts w:ascii="Arial Narrow" w:hAnsi="Arial Narrow"/>
                <w:b/>
                <w:sz w:val="20"/>
              </w:rPr>
              <w:t>Pivotal trials</w:t>
            </w:r>
          </w:p>
        </w:tc>
      </w:tr>
      <w:tr w:rsidR="00FE542A" w:rsidRPr="00802DBC" w:rsidTr="0094297E">
        <w:trPr>
          <w:cantSplit/>
        </w:trPr>
        <w:tc>
          <w:tcPr>
            <w:tcW w:w="873" w:type="dxa"/>
            <w:shd w:val="clear" w:color="auto" w:fill="auto"/>
            <w:vAlign w:val="center"/>
          </w:tcPr>
          <w:p w:rsidR="00FE542A" w:rsidRPr="00802DBC" w:rsidRDefault="00FE542A" w:rsidP="0094297E">
            <w:pPr>
              <w:keepLines/>
              <w:jc w:val="left"/>
              <w:rPr>
                <w:rFonts w:ascii="Arial Narrow" w:hAnsi="Arial Narrow"/>
                <w:bCs/>
                <w:sz w:val="20"/>
              </w:rPr>
            </w:pPr>
            <w:r w:rsidRPr="00802DBC">
              <w:rPr>
                <w:rFonts w:ascii="Arial Narrow" w:hAnsi="Arial Narrow"/>
                <w:bCs/>
                <w:sz w:val="20"/>
              </w:rPr>
              <w:t>ASTRAL-1</w:t>
            </w:r>
          </w:p>
        </w:tc>
        <w:tc>
          <w:tcPr>
            <w:tcW w:w="392" w:type="dxa"/>
            <w:shd w:val="clear" w:color="auto" w:fill="auto"/>
            <w:vAlign w:val="center"/>
          </w:tcPr>
          <w:p w:rsidR="00FE542A" w:rsidRPr="00802DBC" w:rsidRDefault="00FE542A" w:rsidP="0094297E">
            <w:pPr>
              <w:keepLines/>
              <w:jc w:val="center"/>
              <w:rPr>
                <w:rFonts w:ascii="Arial Narrow" w:hAnsi="Arial Narrow"/>
                <w:bCs/>
                <w:sz w:val="20"/>
                <w:vertAlign w:val="superscript"/>
              </w:rPr>
            </w:pPr>
            <w:r w:rsidRPr="00802DBC">
              <w:rPr>
                <w:rFonts w:ascii="Arial Narrow" w:hAnsi="Arial Narrow"/>
                <w:bCs/>
                <w:sz w:val="20"/>
              </w:rPr>
              <w:t>741</w:t>
            </w:r>
            <w:r w:rsidRPr="00802DBC">
              <w:rPr>
                <w:rFonts w:ascii="Arial Narrow" w:hAnsi="Arial Narrow"/>
                <w:bCs/>
                <w:sz w:val="20"/>
                <w:vertAlign w:val="superscript"/>
              </w:rPr>
              <w:t>a</w:t>
            </w:r>
          </w:p>
        </w:tc>
        <w:tc>
          <w:tcPr>
            <w:tcW w:w="1145" w:type="dxa"/>
            <w:shd w:val="clear" w:color="auto" w:fill="auto"/>
            <w:vAlign w:val="center"/>
          </w:tcPr>
          <w:p w:rsidR="00FE542A" w:rsidRPr="00802DBC" w:rsidRDefault="00FE542A" w:rsidP="0094297E">
            <w:pPr>
              <w:keepLines/>
              <w:jc w:val="center"/>
              <w:rPr>
                <w:rFonts w:ascii="Arial Narrow" w:hAnsi="Arial Narrow"/>
                <w:bCs/>
                <w:sz w:val="20"/>
              </w:rPr>
            </w:pPr>
            <w:r w:rsidRPr="00802DBC">
              <w:rPr>
                <w:rFonts w:ascii="Arial Narrow" w:hAnsi="Arial Narrow"/>
                <w:bCs/>
                <w:sz w:val="20"/>
              </w:rPr>
              <w:t>R, DB, MC</w:t>
            </w:r>
          </w:p>
          <w:p w:rsidR="00FE542A" w:rsidRPr="00802DBC" w:rsidRDefault="00FE542A" w:rsidP="0094297E">
            <w:pPr>
              <w:keepLines/>
              <w:jc w:val="center"/>
              <w:rPr>
                <w:rFonts w:ascii="Arial Narrow" w:hAnsi="Arial Narrow"/>
                <w:bCs/>
                <w:sz w:val="20"/>
              </w:rPr>
            </w:pPr>
            <w:r w:rsidRPr="00802DBC">
              <w:rPr>
                <w:rFonts w:ascii="Arial Narrow" w:hAnsi="Arial Narrow"/>
                <w:bCs/>
                <w:sz w:val="20"/>
              </w:rPr>
              <w:t>24 weeks</w:t>
            </w:r>
          </w:p>
          <w:p w:rsidR="00FE542A" w:rsidRPr="00802DBC" w:rsidRDefault="00FE542A" w:rsidP="0094297E">
            <w:pPr>
              <w:keepLines/>
              <w:jc w:val="center"/>
              <w:rPr>
                <w:rFonts w:ascii="Arial Narrow" w:hAnsi="Arial Narrow"/>
                <w:bCs/>
                <w:sz w:val="20"/>
              </w:rPr>
            </w:pPr>
            <w:r w:rsidRPr="00802DBC">
              <w:rPr>
                <w:rFonts w:ascii="Arial Narrow" w:hAnsi="Arial Narrow"/>
                <w:bCs/>
                <w:sz w:val="20"/>
              </w:rPr>
              <w:t>(deferred Tx– OL CO for PBO arm)</w:t>
            </w:r>
          </w:p>
        </w:tc>
        <w:tc>
          <w:tcPr>
            <w:tcW w:w="661" w:type="dxa"/>
            <w:shd w:val="clear" w:color="auto" w:fill="auto"/>
            <w:vAlign w:val="center"/>
          </w:tcPr>
          <w:p w:rsidR="00FE542A" w:rsidRPr="00C548A1" w:rsidRDefault="00FE542A" w:rsidP="0094297E">
            <w:pPr>
              <w:keepLines/>
              <w:jc w:val="center"/>
              <w:rPr>
                <w:rFonts w:ascii="Arial Narrow" w:hAnsi="Arial Narrow"/>
                <w:bCs/>
                <w:iCs/>
                <w:sz w:val="20"/>
              </w:rPr>
            </w:pPr>
            <w:r w:rsidRPr="00C548A1">
              <w:rPr>
                <w:rFonts w:ascii="Arial Narrow" w:hAnsi="Arial Narrow"/>
                <w:bCs/>
                <w:iCs/>
                <w:sz w:val="20"/>
              </w:rPr>
              <w:t>Low</w:t>
            </w:r>
          </w:p>
        </w:tc>
        <w:tc>
          <w:tcPr>
            <w:tcW w:w="994" w:type="dxa"/>
            <w:shd w:val="clear" w:color="auto" w:fill="auto"/>
            <w:vAlign w:val="center"/>
          </w:tcPr>
          <w:p w:rsidR="00FE542A" w:rsidRPr="00802DBC" w:rsidRDefault="00FE542A" w:rsidP="0094297E">
            <w:pPr>
              <w:keepLines/>
              <w:jc w:val="center"/>
              <w:rPr>
                <w:rFonts w:ascii="Arial Narrow" w:hAnsi="Arial Narrow"/>
                <w:bCs/>
                <w:sz w:val="20"/>
              </w:rPr>
            </w:pPr>
            <w:r w:rsidRPr="00802DBC">
              <w:rPr>
                <w:rFonts w:ascii="Arial Narrow" w:hAnsi="Arial Narrow"/>
                <w:bCs/>
                <w:sz w:val="20"/>
              </w:rPr>
              <w:t>1, 2, 4, 5, 6</w:t>
            </w:r>
          </w:p>
          <w:p w:rsidR="00FE542A" w:rsidRPr="00802DBC" w:rsidRDefault="00FE542A" w:rsidP="0094297E">
            <w:pPr>
              <w:keepLines/>
              <w:jc w:val="center"/>
              <w:rPr>
                <w:rFonts w:ascii="Arial Narrow" w:hAnsi="Arial Narrow"/>
                <w:bCs/>
                <w:sz w:val="20"/>
              </w:rPr>
            </w:pPr>
            <w:r w:rsidRPr="00802DBC">
              <w:rPr>
                <w:rFonts w:ascii="Arial Narrow" w:hAnsi="Arial Narrow"/>
                <w:bCs/>
                <w:sz w:val="20"/>
              </w:rPr>
              <w:t>(</w:t>
            </w:r>
            <w:r w:rsidR="00192575">
              <w:rPr>
                <w:rFonts w:ascii="Arial Narrow" w:hAnsi="Arial Narrow"/>
                <w:bCs/>
                <w:sz w:val="20"/>
              </w:rPr>
              <w:t xml:space="preserve">all </w:t>
            </w:r>
            <w:r w:rsidRPr="00802DBC">
              <w:rPr>
                <w:rFonts w:ascii="Arial Narrow" w:hAnsi="Arial Narrow"/>
                <w:bCs/>
                <w:sz w:val="20"/>
              </w:rPr>
              <w:t>Gt 5 allocated to SOF/VEL12)</w:t>
            </w:r>
          </w:p>
        </w:tc>
        <w:tc>
          <w:tcPr>
            <w:tcW w:w="1245" w:type="dxa"/>
            <w:shd w:val="clear" w:color="auto" w:fill="auto"/>
            <w:vAlign w:val="center"/>
          </w:tcPr>
          <w:p w:rsidR="00FE542A" w:rsidRPr="00802DBC" w:rsidRDefault="00FE542A" w:rsidP="0094297E">
            <w:pPr>
              <w:keepLines/>
              <w:jc w:val="center"/>
              <w:rPr>
                <w:rFonts w:ascii="Arial Narrow" w:hAnsi="Arial Narrow"/>
                <w:bCs/>
                <w:sz w:val="20"/>
              </w:rPr>
            </w:pPr>
            <w:r w:rsidRPr="00802DBC">
              <w:rPr>
                <w:rFonts w:ascii="Arial Narrow" w:hAnsi="Arial Narrow"/>
                <w:bCs/>
                <w:sz w:val="20"/>
              </w:rPr>
              <w:t>Non-cirrhotic &amp; compensated cirrhosis</w:t>
            </w:r>
          </w:p>
        </w:tc>
        <w:tc>
          <w:tcPr>
            <w:tcW w:w="952" w:type="dxa"/>
            <w:shd w:val="clear" w:color="auto" w:fill="auto"/>
            <w:vAlign w:val="center"/>
          </w:tcPr>
          <w:p w:rsidR="00FE542A" w:rsidRPr="00802DBC" w:rsidRDefault="00FE542A" w:rsidP="0094297E">
            <w:pPr>
              <w:keepLines/>
              <w:jc w:val="center"/>
              <w:rPr>
                <w:rFonts w:ascii="Arial Narrow" w:hAnsi="Arial Narrow"/>
                <w:bCs/>
                <w:sz w:val="20"/>
              </w:rPr>
            </w:pPr>
            <w:r w:rsidRPr="00802DBC">
              <w:rPr>
                <w:rFonts w:ascii="Arial Narrow" w:hAnsi="Arial Narrow"/>
                <w:bCs/>
                <w:sz w:val="20"/>
              </w:rPr>
              <w:t>Tx naïve &amp; experienced</w:t>
            </w:r>
          </w:p>
        </w:tc>
        <w:tc>
          <w:tcPr>
            <w:tcW w:w="1393" w:type="dxa"/>
            <w:shd w:val="clear" w:color="auto" w:fill="auto"/>
            <w:vAlign w:val="center"/>
          </w:tcPr>
          <w:p w:rsidR="00FE542A" w:rsidRPr="00802DBC" w:rsidRDefault="00FE542A" w:rsidP="0094297E">
            <w:pPr>
              <w:keepLines/>
              <w:jc w:val="center"/>
              <w:rPr>
                <w:rFonts w:ascii="Arial Narrow" w:hAnsi="Arial Narrow"/>
                <w:bCs/>
                <w:sz w:val="20"/>
              </w:rPr>
            </w:pPr>
            <w:r w:rsidRPr="00802DBC">
              <w:rPr>
                <w:rFonts w:ascii="Arial Narrow" w:hAnsi="Arial Narrow"/>
                <w:bCs/>
                <w:sz w:val="20"/>
              </w:rPr>
              <w:t xml:space="preserve">SOF/VEL12 vs PBO12 </w:t>
            </w:r>
          </w:p>
        </w:tc>
        <w:tc>
          <w:tcPr>
            <w:tcW w:w="784" w:type="dxa"/>
            <w:vAlign w:val="center"/>
          </w:tcPr>
          <w:p w:rsidR="00FE542A" w:rsidRPr="00802DBC" w:rsidRDefault="00FE542A" w:rsidP="0094297E">
            <w:pPr>
              <w:keepLines/>
              <w:jc w:val="center"/>
              <w:rPr>
                <w:rFonts w:ascii="Arial Narrow" w:hAnsi="Arial Narrow"/>
                <w:smallCaps/>
                <w:sz w:val="20"/>
              </w:rPr>
            </w:pPr>
            <w:r w:rsidRPr="00802DBC">
              <w:rPr>
                <w:rFonts w:ascii="Arial Narrow" w:hAnsi="Arial Narrow"/>
                <w:sz w:val="20"/>
              </w:rPr>
              <w:t>SVR12</w:t>
            </w:r>
          </w:p>
        </w:tc>
      </w:tr>
      <w:tr w:rsidR="00FE542A" w:rsidRPr="00802DBC" w:rsidTr="0094297E">
        <w:trPr>
          <w:cantSplit/>
        </w:trPr>
        <w:tc>
          <w:tcPr>
            <w:tcW w:w="873" w:type="dxa"/>
            <w:shd w:val="clear" w:color="auto" w:fill="auto"/>
            <w:vAlign w:val="center"/>
          </w:tcPr>
          <w:p w:rsidR="00FE542A" w:rsidRPr="00802DBC" w:rsidRDefault="00FE542A" w:rsidP="0094297E">
            <w:pPr>
              <w:keepLines/>
              <w:jc w:val="left"/>
              <w:rPr>
                <w:rFonts w:ascii="Arial Narrow" w:hAnsi="Arial Narrow"/>
                <w:bCs/>
                <w:sz w:val="20"/>
              </w:rPr>
            </w:pPr>
            <w:r w:rsidRPr="00802DBC">
              <w:rPr>
                <w:rFonts w:ascii="Arial Narrow" w:hAnsi="Arial Narrow"/>
                <w:bCs/>
                <w:sz w:val="20"/>
              </w:rPr>
              <w:t>ASTRAL-2</w:t>
            </w:r>
          </w:p>
        </w:tc>
        <w:tc>
          <w:tcPr>
            <w:tcW w:w="392" w:type="dxa"/>
            <w:shd w:val="clear" w:color="auto" w:fill="auto"/>
            <w:vAlign w:val="center"/>
          </w:tcPr>
          <w:p w:rsidR="00FE542A" w:rsidRPr="00802DBC" w:rsidRDefault="00FE542A" w:rsidP="0094297E">
            <w:pPr>
              <w:keepLines/>
              <w:jc w:val="center"/>
              <w:rPr>
                <w:rFonts w:ascii="Arial Narrow" w:hAnsi="Arial Narrow"/>
                <w:bCs/>
                <w:sz w:val="20"/>
              </w:rPr>
            </w:pPr>
            <w:r w:rsidRPr="00802DBC">
              <w:rPr>
                <w:rFonts w:ascii="Arial Narrow" w:hAnsi="Arial Narrow"/>
                <w:bCs/>
                <w:sz w:val="20"/>
              </w:rPr>
              <w:t>269</w:t>
            </w:r>
          </w:p>
        </w:tc>
        <w:tc>
          <w:tcPr>
            <w:tcW w:w="1145" w:type="dxa"/>
            <w:shd w:val="clear" w:color="auto" w:fill="auto"/>
            <w:vAlign w:val="center"/>
          </w:tcPr>
          <w:p w:rsidR="00FE542A" w:rsidRPr="00802DBC" w:rsidRDefault="00FE542A" w:rsidP="0094297E">
            <w:pPr>
              <w:keepLines/>
              <w:jc w:val="center"/>
              <w:rPr>
                <w:rFonts w:ascii="Arial Narrow" w:hAnsi="Arial Narrow"/>
                <w:bCs/>
                <w:sz w:val="20"/>
              </w:rPr>
            </w:pPr>
            <w:r w:rsidRPr="00802DBC">
              <w:rPr>
                <w:rFonts w:ascii="Arial Narrow" w:hAnsi="Arial Narrow"/>
                <w:bCs/>
                <w:sz w:val="20"/>
              </w:rPr>
              <w:t>R, OL, MC</w:t>
            </w:r>
          </w:p>
          <w:p w:rsidR="00FE542A" w:rsidRPr="00802DBC" w:rsidRDefault="00FE542A" w:rsidP="0094297E">
            <w:pPr>
              <w:keepLines/>
              <w:jc w:val="center"/>
              <w:rPr>
                <w:rFonts w:ascii="Arial Narrow" w:hAnsi="Arial Narrow"/>
                <w:bCs/>
                <w:sz w:val="20"/>
              </w:rPr>
            </w:pPr>
            <w:r w:rsidRPr="00802DBC">
              <w:rPr>
                <w:rFonts w:ascii="Arial Narrow" w:hAnsi="Arial Narrow"/>
                <w:bCs/>
                <w:sz w:val="20"/>
              </w:rPr>
              <w:t>24 weeks</w:t>
            </w:r>
          </w:p>
        </w:tc>
        <w:tc>
          <w:tcPr>
            <w:tcW w:w="661" w:type="dxa"/>
            <w:shd w:val="clear" w:color="auto" w:fill="auto"/>
            <w:vAlign w:val="center"/>
          </w:tcPr>
          <w:p w:rsidR="00FE542A" w:rsidRPr="00C548A1" w:rsidRDefault="00FE542A" w:rsidP="0094297E">
            <w:pPr>
              <w:keepLines/>
              <w:jc w:val="center"/>
              <w:rPr>
                <w:rFonts w:ascii="Arial Narrow" w:hAnsi="Arial Narrow"/>
                <w:bCs/>
                <w:iCs/>
                <w:sz w:val="20"/>
              </w:rPr>
            </w:pPr>
            <w:r w:rsidRPr="00C548A1">
              <w:rPr>
                <w:rFonts w:ascii="Arial Narrow" w:hAnsi="Arial Narrow"/>
                <w:bCs/>
                <w:iCs/>
                <w:sz w:val="20"/>
              </w:rPr>
              <w:t>Low</w:t>
            </w:r>
          </w:p>
        </w:tc>
        <w:tc>
          <w:tcPr>
            <w:tcW w:w="994" w:type="dxa"/>
            <w:shd w:val="clear" w:color="auto" w:fill="auto"/>
            <w:vAlign w:val="center"/>
          </w:tcPr>
          <w:p w:rsidR="00FE542A" w:rsidRPr="00802DBC" w:rsidRDefault="00FE542A" w:rsidP="0094297E">
            <w:pPr>
              <w:keepLines/>
              <w:jc w:val="center"/>
              <w:rPr>
                <w:rFonts w:ascii="Arial Narrow" w:hAnsi="Arial Narrow"/>
                <w:bCs/>
                <w:sz w:val="20"/>
              </w:rPr>
            </w:pPr>
            <w:r w:rsidRPr="00802DBC">
              <w:rPr>
                <w:rFonts w:ascii="Arial Narrow" w:hAnsi="Arial Narrow"/>
                <w:bCs/>
                <w:sz w:val="20"/>
              </w:rPr>
              <w:t>2</w:t>
            </w:r>
          </w:p>
        </w:tc>
        <w:tc>
          <w:tcPr>
            <w:tcW w:w="1245" w:type="dxa"/>
            <w:shd w:val="clear" w:color="auto" w:fill="auto"/>
            <w:vAlign w:val="center"/>
          </w:tcPr>
          <w:p w:rsidR="00FE542A" w:rsidRPr="00802DBC" w:rsidRDefault="00FE542A" w:rsidP="0094297E">
            <w:pPr>
              <w:keepLines/>
              <w:jc w:val="center"/>
              <w:rPr>
                <w:rFonts w:ascii="Arial Narrow" w:hAnsi="Arial Narrow"/>
                <w:bCs/>
                <w:sz w:val="20"/>
              </w:rPr>
            </w:pPr>
            <w:r w:rsidRPr="00802DBC">
              <w:rPr>
                <w:rFonts w:ascii="Arial Narrow" w:hAnsi="Arial Narrow"/>
                <w:bCs/>
                <w:sz w:val="20"/>
              </w:rPr>
              <w:t>Non-cirrhotic &amp; compensated cirrhosis</w:t>
            </w:r>
          </w:p>
        </w:tc>
        <w:tc>
          <w:tcPr>
            <w:tcW w:w="952" w:type="dxa"/>
            <w:shd w:val="clear" w:color="auto" w:fill="auto"/>
            <w:vAlign w:val="center"/>
          </w:tcPr>
          <w:p w:rsidR="00FE542A" w:rsidRPr="00802DBC" w:rsidRDefault="00FE542A" w:rsidP="0094297E">
            <w:pPr>
              <w:keepLines/>
              <w:jc w:val="center"/>
              <w:rPr>
                <w:rFonts w:ascii="Arial Narrow" w:hAnsi="Arial Narrow"/>
                <w:bCs/>
                <w:sz w:val="20"/>
              </w:rPr>
            </w:pPr>
            <w:r w:rsidRPr="00802DBC">
              <w:rPr>
                <w:rFonts w:ascii="Arial Narrow" w:hAnsi="Arial Narrow"/>
                <w:bCs/>
                <w:sz w:val="20"/>
              </w:rPr>
              <w:t>Tx naïve &amp; experienced</w:t>
            </w:r>
          </w:p>
        </w:tc>
        <w:tc>
          <w:tcPr>
            <w:tcW w:w="1393" w:type="dxa"/>
            <w:shd w:val="clear" w:color="auto" w:fill="auto"/>
            <w:vAlign w:val="center"/>
          </w:tcPr>
          <w:p w:rsidR="00FE542A" w:rsidRPr="00802DBC" w:rsidRDefault="00FE542A" w:rsidP="0094297E">
            <w:pPr>
              <w:keepLines/>
              <w:jc w:val="center"/>
              <w:rPr>
                <w:rFonts w:ascii="Arial Narrow" w:hAnsi="Arial Narrow"/>
                <w:bCs/>
                <w:sz w:val="20"/>
              </w:rPr>
            </w:pPr>
            <w:r w:rsidRPr="00802DBC">
              <w:rPr>
                <w:rFonts w:ascii="Arial Narrow" w:hAnsi="Arial Narrow"/>
                <w:bCs/>
                <w:sz w:val="20"/>
              </w:rPr>
              <w:t>SOF/VEL12 vs SOF+RBV12</w:t>
            </w:r>
          </w:p>
        </w:tc>
        <w:tc>
          <w:tcPr>
            <w:tcW w:w="784" w:type="dxa"/>
            <w:vAlign w:val="center"/>
          </w:tcPr>
          <w:p w:rsidR="00FE542A" w:rsidRPr="00802DBC" w:rsidRDefault="00FE542A" w:rsidP="0094297E">
            <w:pPr>
              <w:keepLines/>
              <w:jc w:val="center"/>
              <w:rPr>
                <w:rFonts w:ascii="Arial Narrow" w:hAnsi="Arial Narrow"/>
                <w:sz w:val="20"/>
              </w:rPr>
            </w:pPr>
            <w:r w:rsidRPr="00802DBC">
              <w:rPr>
                <w:rFonts w:ascii="Arial Narrow" w:hAnsi="Arial Narrow"/>
                <w:sz w:val="20"/>
              </w:rPr>
              <w:t>SVR12</w:t>
            </w:r>
          </w:p>
        </w:tc>
      </w:tr>
      <w:tr w:rsidR="00FE542A" w:rsidRPr="00802DBC" w:rsidTr="0094297E">
        <w:trPr>
          <w:cantSplit/>
        </w:trPr>
        <w:tc>
          <w:tcPr>
            <w:tcW w:w="873" w:type="dxa"/>
            <w:shd w:val="clear" w:color="auto" w:fill="auto"/>
            <w:vAlign w:val="center"/>
          </w:tcPr>
          <w:p w:rsidR="00FE542A" w:rsidRPr="00802DBC" w:rsidRDefault="00FE542A" w:rsidP="0094297E">
            <w:pPr>
              <w:keepLines/>
              <w:jc w:val="left"/>
              <w:rPr>
                <w:rFonts w:ascii="Arial Narrow" w:hAnsi="Arial Narrow"/>
                <w:bCs/>
                <w:sz w:val="20"/>
              </w:rPr>
            </w:pPr>
            <w:r w:rsidRPr="00802DBC">
              <w:rPr>
                <w:rFonts w:ascii="Arial Narrow" w:hAnsi="Arial Narrow"/>
                <w:bCs/>
                <w:sz w:val="20"/>
              </w:rPr>
              <w:t>ASTRAL-3</w:t>
            </w:r>
          </w:p>
        </w:tc>
        <w:tc>
          <w:tcPr>
            <w:tcW w:w="392" w:type="dxa"/>
            <w:shd w:val="clear" w:color="auto" w:fill="auto"/>
            <w:vAlign w:val="center"/>
          </w:tcPr>
          <w:p w:rsidR="00FE542A" w:rsidRPr="00802DBC" w:rsidRDefault="00FE542A" w:rsidP="0094297E">
            <w:pPr>
              <w:keepLines/>
              <w:jc w:val="center"/>
              <w:rPr>
                <w:rFonts w:ascii="Arial Narrow" w:hAnsi="Arial Narrow"/>
                <w:bCs/>
                <w:sz w:val="20"/>
              </w:rPr>
            </w:pPr>
            <w:r w:rsidRPr="00802DBC">
              <w:rPr>
                <w:rFonts w:ascii="Arial Narrow" w:hAnsi="Arial Narrow"/>
                <w:bCs/>
                <w:sz w:val="20"/>
              </w:rPr>
              <w:t>558</w:t>
            </w:r>
          </w:p>
        </w:tc>
        <w:tc>
          <w:tcPr>
            <w:tcW w:w="1145" w:type="dxa"/>
            <w:shd w:val="clear" w:color="auto" w:fill="auto"/>
            <w:vAlign w:val="center"/>
          </w:tcPr>
          <w:p w:rsidR="00FE542A" w:rsidRPr="00802DBC" w:rsidRDefault="00FE542A" w:rsidP="0094297E">
            <w:pPr>
              <w:keepLines/>
              <w:jc w:val="center"/>
              <w:rPr>
                <w:rFonts w:ascii="Arial Narrow" w:hAnsi="Arial Narrow"/>
                <w:bCs/>
                <w:sz w:val="20"/>
              </w:rPr>
            </w:pPr>
            <w:r w:rsidRPr="00802DBC">
              <w:rPr>
                <w:rFonts w:ascii="Arial Narrow" w:hAnsi="Arial Narrow"/>
                <w:bCs/>
                <w:sz w:val="20"/>
              </w:rPr>
              <w:t>R, OL, MC</w:t>
            </w:r>
          </w:p>
          <w:p w:rsidR="00FE542A" w:rsidRPr="00802DBC" w:rsidRDefault="00FE542A" w:rsidP="0094297E">
            <w:pPr>
              <w:keepLines/>
              <w:jc w:val="center"/>
              <w:rPr>
                <w:rFonts w:ascii="Arial Narrow" w:hAnsi="Arial Narrow"/>
                <w:bCs/>
                <w:sz w:val="20"/>
              </w:rPr>
            </w:pPr>
            <w:r w:rsidRPr="00802DBC">
              <w:rPr>
                <w:rFonts w:ascii="Arial Narrow" w:hAnsi="Arial Narrow"/>
                <w:bCs/>
                <w:sz w:val="20"/>
              </w:rPr>
              <w:t>24 or 36 weeks</w:t>
            </w:r>
          </w:p>
        </w:tc>
        <w:tc>
          <w:tcPr>
            <w:tcW w:w="661" w:type="dxa"/>
            <w:shd w:val="clear" w:color="auto" w:fill="auto"/>
            <w:vAlign w:val="center"/>
          </w:tcPr>
          <w:p w:rsidR="00FE542A" w:rsidRPr="00C548A1" w:rsidRDefault="00FE542A" w:rsidP="0094297E">
            <w:pPr>
              <w:keepLines/>
              <w:jc w:val="center"/>
              <w:rPr>
                <w:rFonts w:ascii="Arial Narrow" w:hAnsi="Arial Narrow"/>
                <w:bCs/>
                <w:iCs/>
                <w:sz w:val="20"/>
                <w:vertAlign w:val="superscript"/>
              </w:rPr>
            </w:pPr>
            <w:r w:rsidRPr="00C548A1">
              <w:rPr>
                <w:rFonts w:ascii="Arial Narrow" w:hAnsi="Arial Narrow"/>
                <w:bCs/>
                <w:iCs/>
                <w:sz w:val="20"/>
              </w:rPr>
              <w:t>High</w:t>
            </w:r>
            <w:r w:rsidRPr="00C548A1">
              <w:rPr>
                <w:rFonts w:ascii="Arial Narrow" w:hAnsi="Arial Narrow"/>
                <w:bCs/>
                <w:iCs/>
                <w:sz w:val="20"/>
                <w:vertAlign w:val="superscript"/>
              </w:rPr>
              <w:t>b</w:t>
            </w:r>
          </w:p>
        </w:tc>
        <w:tc>
          <w:tcPr>
            <w:tcW w:w="994" w:type="dxa"/>
            <w:shd w:val="clear" w:color="auto" w:fill="auto"/>
            <w:vAlign w:val="center"/>
          </w:tcPr>
          <w:p w:rsidR="00FE542A" w:rsidRPr="00802DBC" w:rsidRDefault="00FE542A" w:rsidP="0094297E">
            <w:pPr>
              <w:keepLines/>
              <w:jc w:val="center"/>
              <w:rPr>
                <w:rFonts w:ascii="Arial Narrow" w:hAnsi="Arial Narrow"/>
                <w:bCs/>
                <w:sz w:val="20"/>
              </w:rPr>
            </w:pPr>
            <w:r w:rsidRPr="00802DBC">
              <w:rPr>
                <w:rFonts w:ascii="Arial Narrow" w:hAnsi="Arial Narrow"/>
                <w:bCs/>
                <w:sz w:val="20"/>
              </w:rPr>
              <w:t>3</w:t>
            </w:r>
          </w:p>
        </w:tc>
        <w:tc>
          <w:tcPr>
            <w:tcW w:w="1245" w:type="dxa"/>
            <w:shd w:val="clear" w:color="auto" w:fill="auto"/>
            <w:vAlign w:val="center"/>
          </w:tcPr>
          <w:p w:rsidR="00FE542A" w:rsidRPr="00802DBC" w:rsidRDefault="00FE542A" w:rsidP="0094297E">
            <w:pPr>
              <w:keepLines/>
              <w:jc w:val="center"/>
              <w:rPr>
                <w:rFonts w:ascii="Arial Narrow" w:hAnsi="Arial Narrow"/>
                <w:bCs/>
                <w:sz w:val="20"/>
              </w:rPr>
            </w:pPr>
            <w:r w:rsidRPr="00802DBC">
              <w:rPr>
                <w:rFonts w:ascii="Arial Narrow" w:hAnsi="Arial Narrow"/>
                <w:bCs/>
                <w:sz w:val="20"/>
              </w:rPr>
              <w:t>Non-cirrhotic &amp; compensated cirrhosis</w:t>
            </w:r>
          </w:p>
        </w:tc>
        <w:tc>
          <w:tcPr>
            <w:tcW w:w="952" w:type="dxa"/>
            <w:shd w:val="clear" w:color="auto" w:fill="auto"/>
            <w:vAlign w:val="center"/>
          </w:tcPr>
          <w:p w:rsidR="00FE542A" w:rsidRPr="00802DBC" w:rsidRDefault="00FE542A" w:rsidP="0094297E">
            <w:pPr>
              <w:keepLines/>
              <w:jc w:val="center"/>
              <w:rPr>
                <w:rFonts w:ascii="Arial Narrow" w:hAnsi="Arial Narrow"/>
                <w:bCs/>
                <w:sz w:val="20"/>
              </w:rPr>
            </w:pPr>
            <w:r w:rsidRPr="00802DBC">
              <w:rPr>
                <w:rFonts w:ascii="Arial Narrow" w:hAnsi="Arial Narrow"/>
                <w:bCs/>
                <w:sz w:val="20"/>
              </w:rPr>
              <w:t>Tx naïve &amp; experienced</w:t>
            </w:r>
          </w:p>
        </w:tc>
        <w:tc>
          <w:tcPr>
            <w:tcW w:w="1393" w:type="dxa"/>
            <w:shd w:val="clear" w:color="auto" w:fill="auto"/>
            <w:vAlign w:val="center"/>
          </w:tcPr>
          <w:p w:rsidR="00FE542A" w:rsidRPr="00802DBC" w:rsidRDefault="00FE542A" w:rsidP="0094297E">
            <w:pPr>
              <w:keepLines/>
              <w:jc w:val="center"/>
              <w:rPr>
                <w:rFonts w:ascii="Arial Narrow" w:hAnsi="Arial Narrow"/>
                <w:bCs/>
                <w:sz w:val="20"/>
              </w:rPr>
            </w:pPr>
            <w:r w:rsidRPr="00802DBC">
              <w:rPr>
                <w:rFonts w:ascii="Arial Narrow" w:hAnsi="Arial Narrow"/>
                <w:bCs/>
                <w:sz w:val="20"/>
              </w:rPr>
              <w:t xml:space="preserve">SOF/VEL12 vs SOF+RBV24 </w:t>
            </w:r>
          </w:p>
        </w:tc>
        <w:tc>
          <w:tcPr>
            <w:tcW w:w="784" w:type="dxa"/>
            <w:vAlign w:val="center"/>
          </w:tcPr>
          <w:p w:rsidR="00FE542A" w:rsidRPr="00802DBC" w:rsidRDefault="00FE542A" w:rsidP="0094297E">
            <w:pPr>
              <w:keepLines/>
              <w:jc w:val="center"/>
              <w:rPr>
                <w:rFonts w:ascii="Arial Narrow" w:hAnsi="Arial Narrow"/>
                <w:sz w:val="20"/>
              </w:rPr>
            </w:pPr>
            <w:r w:rsidRPr="00802DBC">
              <w:rPr>
                <w:rFonts w:ascii="Arial Narrow" w:hAnsi="Arial Narrow"/>
                <w:sz w:val="20"/>
              </w:rPr>
              <w:t>SVR12</w:t>
            </w:r>
          </w:p>
        </w:tc>
      </w:tr>
      <w:tr w:rsidR="00FE542A" w:rsidRPr="00802DBC" w:rsidTr="0094297E">
        <w:trPr>
          <w:cantSplit/>
        </w:trPr>
        <w:tc>
          <w:tcPr>
            <w:tcW w:w="873" w:type="dxa"/>
            <w:shd w:val="clear" w:color="auto" w:fill="auto"/>
            <w:vAlign w:val="center"/>
          </w:tcPr>
          <w:p w:rsidR="00FE542A" w:rsidRPr="00802DBC" w:rsidRDefault="00FE542A" w:rsidP="0094297E">
            <w:pPr>
              <w:keepLines/>
              <w:jc w:val="left"/>
              <w:rPr>
                <w:rFonts w:ascii="Arial Narrow" w:hAnsi="Arial Narrow"/>
                <w:bCs/>
                <w:sz w:val="20"/>
              </w:rPr>
            </w:pPr>
            <w:r w:rsidRPr="00802DBC">
              <w:rPr>
                <w:rFonts w:ascii="Arial Narrow" w:hAnsi="Arial Narrow"/>
                <w:bCs/>
                <w:sz w:val="20"/>
              </w:rPr>
              <w:t>ASTRAL-4</w:t>
            </w:r>
          </w:p>
        </w:tc>
        <w:tc>
          <w:tcPr>
            <w:tcW w:w="392" w:type="dxa"/>
            <w:shd w:val="clear" w:color="auto" w:fill="auto"/>
            <w:vAlign w:val="center"/>
          </w:tcPr>
          <w:p w:rsidR="00FE542A" w:rsidRPr="00802DBC" w:rsidRDefault="00FE542A" w:rsidP="0094297E">
            <w:pPr>
              <w:keepLines/>
              <w:jc w:val="center"/>
              <w:rPr>
                <w:rFonts w:ascii="Arial Narrow" w:hAnsi="Arial Narrow"/>
                <w:bCs/>
                <w:sz w:val="20"/>
              </w:rPr>
            </w:pPr>
            <w:r w:rsidRPr="00802DBC">
              <w:rPr>
                <w:rFonts w:ascii="Arial Narrow" w:hAnsi="Arial Narrow"/>
                <w:bCs/>
                <w:sz w:val="20"/>
              </w:rPr>
              <w:t>268</w:t>
            </w:r>
          </w:p>
        </w:tc>
        <w:tc>
          <w:tcPr>
            <w:tcW w:w="1145" w:type="dxa"/>
            <w:shd w:val="clear" w:color="auto" w:fill="auto"/>
            <w:vAlign w:val="center"/>
          </w:tcPr>
          <w:p w:rsidR="00FE542A" w:rsidRPr="00802DBC" w:rsidRDefault="00FE542A" w:rsidP="0094297E">
            <w:pPr>
              <w:keepLines/>
              <w:jc w:val="center"/>
              <w:rPr>
                <w:rFonts w:ascii="Arial Narrow" w:hAnsi="Arial Narrow"/>
                <w:bCs/>
                <w:sz w:val="20"/>
              </w:rPr>
            </w:pPr>
            <w:r w:rsidRPr="00802DBC">
              <w:rPr>
                <w:rFonts w:ascii="Arial Narrow" w:hAnsi="Arial Narrow"/>
                <w:bCs/>
                <w:sz w:val="20"/>
              </w:rPr>
              <w:t>R, OL, MC</w:t>
            </w:r>
          </w:p>
          <w:p w:rsidR="00FE542A" w:rsidRPr="00802DBC" w:rsidRDefault="00FE542A" w:rsidP="0094297E">
            <w:pPr>
              <w:keepLines/>
              <w:jc w:val="center"/>
              <w:rPr>
                <w:rFonts w:ascii="Arial Narrow" w:hAnsi="Arial Narrow"/>
                <w:bCs/>
                <w:sz w:val="20"/>
              </w:rPr>
            </w:pPr>
            <w:r w:rsidRPr="00802DBC">
              <w:rPr>
                <w:rFonts w:ascii="Arial Narrow" w:hAnsi="Arial Narrow"/>
                <w:bCs/>
                <w:sz w:val="20"/>
              </w:rPr>
              <w:t>24 or 36 weeks</w:t>
            </w:r>
          </w:p>
        </w:tc>
        <w:tc>
          <w:tcPr>
            <w:tcW w:w="661" w:type="dxa"/>
            <w:shd w:val="clear" w:color="auto" w:fill="auto"/>
            <w:vAlign w:val="center"/>
          </w:tcPr>
          <w:p w:rsidR="00FE542A" w:rsidRPr="00C548A1" w:rsidRDefault="00FE542A" w:rsidP="0094297E">
            <w:pPr>
              <w:keepLines/>
              <w:jc w:val="center"/>
              <w:rPr>
                <w:rFonts w:ascii="Arial Narrow" w:hAnsi="Arial Narrow"/>
                <w:bCs/>
                <w:iCs/>
                <w:sz w:val="20"/>
              </w:rPr>
            </w:pPr>
            <w:r w:rsidRPr="00C548A1">
              <w:rPr>
                <w:rFonts w:ascii="Arial Narrow" w:hAnsi="Arial Narrow"/>
                <w:bCs/>
                <w:iCs/>
                <w:sz w:val="20"/>
              </w:rPr>
              <w:t>NA</w:t>
            </w:r>
          </w:p>
        </w:tc>
        <w:tc>
          <w:tcPr>
            <w:tcW w:w="994" w:type="dxa"/>
            <w:shd w:val="clear" w:color="auto" w:fill="auto"/>
            <w:vAlign w:val="center"/>
          </w:tcPr>
          <w:p w:rsidR="00FE542A" w:rsidRPr="00802DBC" w:rsidRDefault="00FE542A" w:rsidP="0094297E">
            <w:pPr>
              <w:keepLines/>
              <w:jc w:val="center"/>
              <w:rPr>
                <w:rFonts w:ascii="Arial Narrow" w:hAnsi="Arial Narrow"/>
                <w:bCs/>
                <w:sz w:val="20"/>
              </w:rPr>
            </w:pPr>
            <w:r w:rsidRPr="00802DBC">
              <w:rPr>
                <w:rFonts w:ascii="Arial Narrow" w:hAnsi="Arial Narrow"/>
                <w:bCs/>
                <w:sz w:val="20"/>
              </w:rPr>
              <w:t>All</w:t>
            </w:r>
          </w:p>
          <w:p w:rsidR="00FE542A" w:rsidRPr="00802DBC" w:rsidRDefault="00FE542A" w:rsidP="0094297E">
            <w:pPr>
              <w:keepLines/>
              <w:jc w:val="center"/>
              <w:rPr>
                <w:rFonts w:ascii="Arial Narrow" w:hAnsi="Arial Narrow"/>
                <w:bCs/>
                <w:sz w:val="20"/>
              </w:rPr>
            </w:pPr>
            <w:r w:rsidRPr="00802DBC">
              <w:rPr>
                <w:rFonts w:ascii="Arial Narrow" w:hAnsi="Arial Narrow"/>
                <w:bCs/>
                <w:sz w:val="20"/>
              </w:rPr>
              <w:t>(no Gt 5 enrolled)</w:t>
            </w:r>
          </w:p>
        </w:tc>
        <w:tc>
          <w:tcPr>
            <w:tcW w:w="1245" w:type="dxa"/>
            <w:shd w:val="clear" w:color="auto" w:fill="auto"/>
            <w:vAlign w:val="center"/>
          </w:tcPr>
          <w:p w:rsidR="00FE542A" w:rsidRPr="00802DBC" w:rsidRDefault="00FE542A" w:rsidP="0094297E">
            <w:pPr>
              <w:keepLines/>
              <w:jc w:val="center"/>
              <w:rPr>
                <w:rFonts w:ascii="Arial Narrow" w:hAnsi="Arial Narrow"/>
                <w:bCs/>
                <w:sz w:val="20"/>
              </w:rPr>
            </w:pPr>
            <w:r w:rsidRPr="00802DBC">
              <w:rPr>
                <w:rFonts w:ascii="Arial Narrow" w:hAnsi="Arial Narrow"/>
                <w:bCs/>
                <w:sz w:val="20"/>
              </w:rPr>
              <w:t>CPT class B decompensated cirrhosis</w:t>
            </w:r>
          </w:p>
        </w:tc>
        <w:tc>
          <w:tcPr>
            <w:tcW w:w="952" w:type="dxa"/>
            <w:shd w:val="clear" w:color="auto" w:fill="auto"/>
            <w:vAlign w:val="center"/>
          </w:tcPr>
          <w:p w:rsidR="00FE542A" w:rsidRPr="00802DBC" w:rsidRDefault="00FE542A" w:rsidP="0094297E">
            <w:pPr>
              <w:keepLines/>
              <w:jc w:val="center"/>
              <w:rPr>
                <w:rFonts w:ascii="Arial Narrow" w:hAnsi="Arial Narrow"/>
                <w:bCs/>
                <w:sz w:val="20"/>
              </w:rPr>
            </w:pPr>
            <w:r w:rsidRPr="00802DBC">
              <w:rPr>
                <w:rFonts w:ascii="Arial Narrow" w:hAnsi="Arial Narrow"/>
                <w:bCs/>
                <w:sz w:val="20"/>
              </w:rPr>
              <w:t>Tx naïve &amp; experienced</w:t>
            </w:r>
          </w:p>
        </w:tc>
        <w:tc>
          <w:tcPr>
            <w:tcW w:w="1393" w:type="dxa"/>
            <w:shd w:val="clear" w:color="auto" w:fill="auto"/>
            <w:vAlign w:val="center"/>
          </w:tcPr>
          <w:p w:rsidR="00FE542A" w:rsidRPr="00802DBC" w:rsidRDefault="00FE542A" w:rsidP="0094297E">
            <w:pPr>
              <w:keepLines/>
              <w:jc w:val="center"/>
              <w:rPr>
                <w:rFonts w:ascii="Arial Narrow" w:hAnsi="Arial Narrow"/>
                <w:bCs/>
                <w:sz w:val="20"/>
              </w:rPr>
            </w:pPr>
            <w:r w:rsidRPr="00802DBC">
              <w:rPr>
                <w:rFonts w:ascii="Arial Narrow" w:hAnsi="Arial Narrow"/>
                <w:bCs/>
                <w:sz w:val="20"/>
              </w:rPr>
              <w:t>SOF/VEL12 vs SOF/VEL+RBV12 vs SOF/VEL24</w:t>
            </w:r>
          </w:p>
        </w:tc>
        <w:tc>
          <w:tcPr>
            <w:tcW w:w="784" w:type="dxa"/>
            <w:vAlign w:val="center"/>
          </w:tcPr>
          <w:p w:rsidR="00FE542A" w:rsidRPr="00802DBC" w:rsidRDefault="00FE542A" w:rsidP="0094297E">
            <w:pPr>
              <w:keepLines/>
              <w:jc w:val="center"/>
              <w:rPr>
                <w:rFonts w:ascii="Arial Narrow" w:hAnsi="Arial Narrow"/>
                <w:sz w:val="20"/>
              </w:rPr>
            </w:pPr>
            <w:r w:rsidRPr="00802DBC">
              <w:rPr>
                <w:rFonts w:ascii="Arial Narrow" w:hAnsi="Arial Narrow"/>
                <w:sz w:val="20"/>
              </w:rPr>
              <w:t>SVR12</w:t>
            </w:r>
          </w:p>
        </w:tc>
      </w:tr>
      <w:tr w:rsidR="00FE542A" w:rsidRPr="00802DBC" w:rsidTr="0094297E">
        <w:trPr>
          <w:cantSplit/>
        </w:trPr>
        <w:tc>
          <w:tcPr>
            <w:tcW w:w="8439" w:type="dxa"/>
            <w:gridSpan w:val="9"/>
            <w:shd w:val="clear" w:color="auto" w:fill="auto"/>
            <w:vAlign w:val="center"/>
          </w:tcPr>
          <w:p w:rsidR="00FE542A" w:rsidRPr="00C548A1" w:rsidRDefault="00FE542A" w:rsidP="0094297E">
            <w:pPr>
              <w:keepLines/>
              <w:jc w:val="left"/>
              <w:rPr>
                <w:rFonts w:ascii="Arial Narrow" w:hAnsi="Arial Narrow"/>
                <w:sz w:val="20"/>
              </w:rPr>
            </w:pPr>
            <w:r w:rsidRPr="00C548A1">
              <w:rPr>
                <w:rFonts w:ascii="Arial Narrow" w:hAnsi="Arial Narrow"/>
                <w:b/>
                <w:sz w:val="20"/>
              </w:rPr>
              <w:t>Supplementary study</w:t>
            </w:r>
          </w:p>
        </w:tc>
      </w:tr>
      <w:tr w:rsidR="00FE542A" w:rsidRPr="00802DBC" w:rsidTr="0094297E">
        <w:trPr>
          <w:cantSplit/>
        </w:trPr>
        <w:tc>
          <w:tcPr>
            <w:tcW w:w="873" w:type="dxa"/>
            <w:vMerge w:val="restart"/>
            <w:shd w:val="clear" w:color="auto" w:fill="auto"/>
            <w:vAlign w:val="center"/>
          </w:tcPr>
          <w:p w:rsidR="00FE542A" w:rsidRPr="00802DBC" w:rsidRDefault="00FE542A" w:rsidP="0094297E">
            <w:pPr>
              <w:keepLines/>
              <w:jc w:val="left"/>
              <w:rPr>
                <w:rFonts w:ascii="Arial Narrow" w:hAnsi="Arial Narrow"/>
                <w:bCs/>
                <w:sz w:val="20"/>
              </w:rPr>
            </w:pPr>
            <w:r w:rsidRPr="00802DBC">
              <w:rPr>
                <w:rFonts w:ascii="Arial Narrow" w:hAnsi="Arial Narrow"/>
                <w:bCs/>
                <w:sz w:val="20"/>
              </w:rPr>
              <w:t>ASTRAL-5</w:t>
            </w:r>
          </w:p>
        </w:tc>
        <w:tc>
          <w:tcPr>
            <w:tcW w:w="392" w:type="dxa"/>
            <w:vMerge w:val="restart"/>
            <w:shd w:val="clear" w:color="auto" w:fill="auto"/>
            <w:vAlign w:val="center"/>
          </w:tcPr>
          <w:p w:rsidR="00FE542A" w:rsidRPr="00802DBC" w:rsidRDefault="00FE542A" w:rsidP="0094297E">
            <w:pPr>
              <w:keepLines/>
              <w:jc w:val="center"/>
              <w:rPr>
                <w:rFonts w:ascii="Arial Narrow" w:hAnsi="Arial Narrow"/>
                <w:bCs/>
                <w:sz w:val="20"/>
              </w:rPr>
            </w:pPr>
            <w:r w:rsidRPr="00802DBC">
              <w:rPr>
                <w:rFonts w:ascii="Arial Narrow" w:hAnsi="Arial Narrow"/>
                <w:bCs/>
                <w:sz w:val="20"/>
              </w:rPr>
              <w:t>106</w:t>
            </w:r>
          </w:p>
        </w:tc>
        <w:tc>
          <w:tcPr>
            <w:tcW w:w="1145" w:type="dxa"/>
            <w:vMerge w:val="restart"/>
            <w:shd w:val="clear" w:color="auto" w:fill="auto"/>
            <w:vAlign w:val="center"/>
          </w:tcPr>
          <w:p w:rsidR="00FE542A" w:rsidRPr="00802DBC" w:rsidRDefault="00FE542A" w:rsidP="0094297E">
            <w:pPr>
              <w:keepLines/>
              <w:jc w:val="center"/>
              <w:rPr>
                <w:rFonts w:ascii="Arial Narrow" w:hAnsi="Arial Narrow"/>
                <w:bCs/>
                <w:sz w:val="20"/>
              </w:rPr>
            </w:pPr>
            <w:r w:rsidRPr="00802DBC">
              <w:rPr>
                <w:rFonts w:ascii="Arial Narrow" w:hAnsi="Arial Narrow"/>
                <w:bCs/>
                <w:sz w:val="20"/>
              </w:rPr>
              <w:t>OL, MC, single arm</w:t>
            </w:r>
          </w:p>
          <w:p w:rsidR="00FE542A" w:rsidRPr="00802DBC" w:rsidRDefault="00FE542A" w:rsidP="0094297E">
            <w:pPr>
              <w:keepLines/>
              <w:jc w:val="center"/>
              <w:rPr>
                <w:rFonts w:ascii="Arial Narrow" w:hAnsi="Arial Narrow"/>
                <w:bCs/>
                <w:sz w:val="20"/>
              </w:rPr>
            </w:pPr>
            <w:r w:rsidRPr="00802DBC">
              <w:rPr>
                <w:rFonts w:ascii="Arial Narrow" w:hAnsi="Arial Narrow"/>
                <w:bCs/>
                <w:sz w:val="20"/>
              </w:rPr>
              <w:t>24 weeks</w:t>
            </w:r>
          </w:p>
        </w:tc>
        <w:tc>
          <w:tcPr>
            <w:tcW w:w="661" w:type="dxa"/>
            <w:vMerge w:val="restart"/>
            <w:shd w:val="clear" w:color="auto" w:fill="auto"/>
            <w:vAlign w:val="center"/>
          </w:tcPr>
          <w:p w:rsidR="00FE542A" w:rsidRPr="00C548A1" w:rsidRDefault="00FE542A" w:rsidP="0094297E">
            <w:pPr>
              <w:keepLines/>
              <w:jc w:val="center"/>
              <w:rPr>
                <w:rFonts w:ascii="Arial Narrow" w:hAnsi="Arial Narrow"/>
                <w:bCs/>
                <w:iCs/>
                <w:sz w:val="20"/>
              </w:rPr>
            </w:pPr>
            <w:r w:rsidRPr="00C548A1">
              <w:rPr>
                <w:rFonts w:ascii="Arial Narrow" w:hAnsi="Arial Narrow"/>
                <w:bCs/>
                <w:iCs/>
                <w:sz w:val="20"/>
              </w:rPr>
              <w:t>NA</w:t>
            </w:r>
          </w:p>
        </w:tc>
        <w:tc>
          <w:tcPr>
            <w:tcW w:w="3191" w:type="dxa"/>
            <w:gridSpan w:val="3"/>
            <w:shd w:val="clear" w:color="auto" w:fill="auto"/>
            <w:vAlign w:val="center"/>
          </w:tcPr>
          <w:p w:rsidR="00FE542A" w:rsidRPr="00802DBC" w:rsidRDefault="00FE542A" w:rsidP="0094297E">
            <w:pPr>
              <w:keepLines/>
              <w:jc w:val="center"/>
              <w:rPr>
                <w:rFonts w:ascii="Arial Narrow" w:hAnsi="Arial Narrow"/>
                <w:bCs/>
                <w:sz w:val="20"/>
              </w:rPr>
            </w:pPr>
            <w:r w:rsidRPr="00802DBC">
              <w:rPr>
                <w:rFonts w:ascii="Arial Narrow" w:hAnsi="Arial Narrow"/>
                <w:bCs/>
                <w:sz w:val="20"/>
              </w:rPr>
              <w:t>HCV/HIV-1 co-infection</w:t>
            </w:r>
          </w:p>
        </w:tc>
        <w:tc>
          <w:tcPr>
            <w:tcW w:w="1393" w:type="dxa"/>
            <w:vMerge w:val="restart"/>
            <w:shd w:val="clear" w:color="auto" w:fill="auto"/>
            <w:vAlign w:val="center"/>
          </w:tcPr>
          <w:p w:rsidR="00FE542A" w:rsidRPr="00802DBC" w:rsidRDefault="00FE542A" w:rsidP="0094297E">
            <w:pPr>
              <w:keepLines/>
              <w:jc w:val="center"/>
              <w:rPr>
                <w:rFonts w:ascii="Arial Narrow" w:hAnsi="Arial Narrow"/>
                <w:bCs/>
                <w:sz w:val="20"/>
              </w:rPr>
            </w:pPr>
            <w:r w:rsidRPr="00802DBC">
              <w:rPr>
                <w:rFonts w:ascii="Arial Narrow" w:hAnsi="Arial Narrow"/>
                <w:bCs/>
                <w:sz w:val="20"/>
              </w:rPr>
              <w:t>SOF/VEL12</w:t>
            </w:r>
          </w:p>
        </w:tc>
        <w:tc>
          <w:tcPr>
            <w:tcW w:w="784" w:type="dxa"/>
            <w:vMerge w:val="restart"/>
            <w:vAlign w:val="center"/>
          </w:tcPr>
          <w:p w:rsidR="00FE542A" w:rsidRPr="00802DBC" w:rsidRDefault="00FE542A" w:rsidP="0094297E">
            <w:pPr>
              <w:keepLines/>
              <w:jc w:val="center"/>
              <w:rPr>
                <w:rFonts w:ascii="Arial Narrow" w:hAnsi="Arial Narrow"/>
                <w:sz w:val="20"/>
              </w:rPr>
            </w:pPr>
            <w:r w:rsidRPr="00802DBC">
              <w:rPr>
                <w:rFonts w:ascii="Arial Narrow" w:hAnsi="Arial Narrow"/>
                <w:sz w:val="20"/>
              </w:rPr>
              <w:t>SVR12</w:t>
            </w:r>
          </w:p>
        </w:tc>
      </w:tr>
      <w:tr w:rsidR="00FE542A" w:rsidRPr="00802DBC" w:rsidTr="0094297E">
        <w:trPr>
          <w:cantSplit/>
        </w:trPr>
        <w:tc>
          <w:tcPr>
            <w:tcW w:w="873" w:type="dxa"/>
            <w:vMerge/>
            <w:shd w:val="clear" w:color="auto" w:fill="auto"/>
            <w:vAlign w:val="center"/>
          </w:tcPr>
          <w:p w:rsidR="00FE542A" w:rsidRPr="00802DBC" w:rsidRDefault="00FE542A" w:rsidP="0094297E">
            <w:pPr>
              <w:keepLines/>
              <w:jc w:val="left"/>
              <w:rPr>
                <w:rFonts w:ascii="Arial Narrow" w:hAnsi="Arial Narrow"/>
                <w:bCs/>
                <w:sz w:val="20"/>
              </w:rPr>
            </w:pPr>
          </w:p>
        </w:tc>
        <w:tc>
          <w:tcPr>
            <w:tcW w:w="392" w:type="dxa"/>
            <w:vMerge/>
            <w:shd w:val="clear" w:color="auto" w:fill="auto"/>
            <w:vAlign w:val="center"/>
          </w:tcPr>
          <w:p w:rsidR="00FE542A" w:rsidRPr="00802DBC" w:rsidRDefault="00FE542A" w:rsidP="0094297E">
            <w:pPr>
              <w:keepLines/>
              <w:jc w:val="center"/>
              <w:rPr>
                <w:rFonts w:ascii="Arial Narrow" w:hAnsi="Arial Narrow"/>
                <w:bCs/>
                <w:sz w:val="20"/>
              </w:rPr>
            </w:pPr>
          </w:p>
        </w:tc>
        <w:tc>
          <w:tcPr>
            <w:tcW w:w="1145" w:type="dxa"/>
            <w:vMerge/>
            <w:shd w:val="clear" w:color="auto" w:fill="auto"/>
            <w:vAlign w:val="center"/>
          </w:tcPr>
          <w:p w:rsidR="00FE542A" w:rsidRPr="00802DBC" w:rsidRDefault="00FE542A" w:rsidP="0094297E">
            <w:pPr>
              <w:keepLines/>
              <w:jc w:val="center"/>
              <w:rPr>
                <w:rFonts w:ascii="Arial Narrow" w:hAnsi="Arial Narrow"/>
                <w:bCs/>
                <w:sz w:val="20"/>
              </w:rPr>
            </w:pPr>
          </w:p>
        </w:tc>
        <w:tc>
          <w:tcPr>
            <w:tcW w:w="661" w:type="dxa"/>
            <w:vMerge/>
            <w:shd w:val="clear" w:color="auto" w:fill="auto"/>
            <w:vAlign w:val="center"/>
          </w:tcPr>
          <w:p w:rsidR="00FE542A" w:rsidRPr="00C548A1" w:rsidRDefault="00FE542A" w:rsidP="0094297E">
            <w:pPr>
              <w:keepLines/>
              <w:jc w:val="center"/>
              <w:rPr>
                <w:rFonts w:ascii="Arial Narrow" w:hAnsi="Arial Narrow"/>
                <w:bCs/>
                <w:iCs/>
                <w:sz w:val="20"/>
              </w:rPr>
            </w:pPr>
          </w:p>
        </w:tc>
        <w:tc>
          <w:tcPr>
            <w:tcW w:w="994" w:type="dxa"/>
            <w:shd w:val="clear" w:color="auto" w:fill="auto"/>
            <w:vAlign w:val="center"/>
          </w:tcPr>
          <w:p w:rsidR="00FE542A" w:rsidRPr="00802DBC" w:rsidRDefault="00FE542A" w:rsidP="0094297E">
            <w:pPr>
              <w:keepLines/>
              <w:jc w:val="center"/>
              <w:rPr>
                <w:rFonts w:ascii="Arial Narrow" w:hAnsi="Arial Narrow"/>
                <w:bCs/>
                <w:sz w:val="20"/>
              </w:rPr>
            </w:pPr>
            <w:r w:rsidRPr="00802DBC">
              <w:rPr>
                <w:rFonts w:ascii="Arial Narrow" w:hAnsi="Arial Narrow"/>
                <w:bCs/>
                <w:sz w:val="20"/>
              </w:rPr>
              <w:t>All</w:t>
            </w:r>
          </w:p>
          <w:p w:rsidR="00FE542A" w:rsidRPr="00802DBC" w:rsidRDefault="00FE542A" w:rsidP="0094297E">
            <w:pPr>
              <w:keepLines/>
              <w:jc w:val="center"/>
              <w:rPr>
                <w:rFonts w:ascii="Arial Narrow" w:hAnsi="Arial Narrow"/>
                <w:bCs/>
                <w:sz w:val="20"/>
              </w:rPr>
            </w:pPr>
            <w:r w:rsidRPr="00802DBC">
              <w:rPr>
                <w:rFonts w:ascii="Arial Narrow" w:hAnsi="Arial Narrow"/>
                <w:bCs/>
                <w:sz w:val="20"/>
              </w:rPr>
              <w:t>(no Gt 5 or 6 enrolled)</w:t>
            </w:r>
          </w:p>
        </w:tc>
        <w:tc>
          <w:tcPr>
            <w:tcW w:w="1245" w:type="dxa"/>
            <w:shd w:val="clear" w:color="auto" w:fill="auto"/>
            <w:vAlign w:val="center"/>
          </w:tcPr>
          <w:p w:rsidR="00FE542A" w:rsidRPr="00802DBC" w:rsidRDefault="00FE542A" w:rsidP="0094297E">
            <w:pPr>
              <w:keepLines/>
              <w:jc w:val="center"/>
              <w:rPr>
                <w:rFonts w:ascii="Arial Narrow" w:hAnsi="Arial Narrow"/>
                <w:bCs/>
                <w:sz w:val="20"/>
              </w:rPr>
            </w:pPr>
            <w:r w:rsidRPr="00802DBC">
              <w:rPr>
                <w:rFonts w:ascii="Arial Narrow" w:hAnsi="Arial Narrow"/>
                <w:bCs/>
                <w:sz w:val="20"/>
              </w:rPr>
              <w:t>Non-cirrhotic &amp; compensated cirrhosis</w:t>
            </w:r>
          </w:p>
        </w:tc>
        <w:tc>
          <w:tcPr>
            <w:tcW w:w="952" w:type="dxa"/>
            <w:shd w:val="clear" w:color="auto" w:fill="auto"/>
            <w:vAlign w:val="center"/>
          </w:tcPr>
          <w:p w:rsidR="00FE542A" w:rsidRPr="00802DBC" w:rsidRDefault="00FE542A" w:rsidP="0094297E">
            <w:pPr>
              <w:keepLines/>
              <w:jc w:val="center"/>
              <w:rPr>
                <w:rFonts w:ascii="Arial Narrow" w:hAnsi="Arial Narrow"/>
                <w:bCs/>
                <w:sz w:val="20"/>
              </w:rPr>
            </w:pPr>
            <w:r w:rsidRPr="00802DBC">
              <w:rPr>
                <w:rFonts w:ascii="Arial Narrow" w:hAnsi="Arial Narrow"/>
                <w:bCs/>
                <w:sz w:val="20"/>
              </w:rPr>
              <w:t>Tx naïve &amp; experienced</w:t>
            </w:r>
          </w:p>
        </w:tc>
        <w:tc>
          <w:tcPr>
            <w:tcW w:w="1393" w:type="dxa"/>
            <w:vMerge/>
            <w:shd w:val="clear" w:color="auto" w:fill="auto"/>
            <w:vAlign w:val="center"/>
          </w:tcPr>
          <w:p w:rsidR="00FE542A" w:rsidRPr="00802DBC" w:rsidRDefault="00FE542A" w:rsidP="0094297E">
            <w:pPr>
              <w:keepLines/>
              <w:jc w:val="center"/>
              <w:rPr>
                <w:rFonts w:ascii="Arial Narrow" w:hAnsi="Arial Narrow"/>
                <w:bCs/>
                <w:sz w:val="20"/>
              </w:rPr>
            </w:pPr>
          </w:p>
        </w:tc>
        <w:tc>
          <w:tcPr>
            <w:tcW w:w="784" w:type="dxa"/>
            <w:vMerge/>
            <w:vAlign w:val="center"/>
          </w:tcPr>
          <w:p w:rsidR="00FE542A" w:rsidRPr="00802DBC" w:rsidRDefault="00FE542A" w:rsidP="0094297E">
            <w:pPr>
              <w:keepLines/>
              <w:jc w:val="center"/>
              <w:rPr>
                <w:rFonts w:ascii="Arial Narrow" w:hAnsi="Arial Narrow"/>
                <w:sz w:val="20"/>
              </w:rPr>
            </w:pPr>
          </w:p>
        </w:tc>
      </w:tr>
    </w:tbl>
    <w:p w:rsidR="00FE542A" w:rsidRPr="00802DBC" w:rsidRDefault="00FE542A" w:rsidP="00FE542A">
      <w:pPr>
        <w:ind w:firstLine="720"/>
        <w:rPr>
          <w:rFonts w:ascii="Arial Narrow" w:hAnsi="Arial Narrow"/>
          <w:sz w:val="18"/>
          <w:szCs w:val="18"/>
        </w:rPr>
      </w:pPr>
      <w:r w:rsidRPr="00802DBC">
        <w:rPr>
          <w:rFonts w:ascii="Arial Narrow" w:hAnsi="Arial Narrow"/>
          <w:sz w:val="18"/>
          <w:szCs w:val="18"/>
        </w:rPr>
        <w:t xml:space="preserve">Source: constructed during the evaluation </w:t>
      </w:r>
    </w:p>
    <w:p w:rsidR="00FE542A" w:rsidRPr="00802DBC" w:rsidRDefault="00FE542A" w:rsidP="00FE542A">
      <w:pPr>
        <w:ind w:left="720"/>
        <w:rPr>
          <w:rFonts w:ascii="Arial Narrow" w:hAnsi="Arial Narrow"/>
          <w:sz w:val="18"/>
          <w:szCs w:val="18"/>
        </w:rPr>
      </w:pPr>
      <w:r w:rsidRPr="00802DBC">
        <w:rPr>
          <w:rFonts w:ascii="Arial Narrow" w:hAnsi="Arial Narrow"/>
          <w:sz w:val="18"/>
          <w:szCs w:val="18"/>
        </w:rPr>
        <w:t>Abbreviations: CO = crossover; CPT = Child-Pugh-Turcotte; DB = double-blind; Gt = genotype; HCV = hepatitis C virus; HIV = human immunodeficiency virus; MC = multi-centre; NA = not applicable; OL = open-label; R = randomised; PBO12 = placebo for 12 weeks; SOF+RBV12 = sofosbuvir plus ribavirin for 12 weeks; SOF+RBV24 = sofosbuvir plus ribavirin for 24 weeks; SOF/VEL12 = sofosbuvir/velpatasvir FDC for 12 weeks; SOF/VEL24 = sofosbuvir/velpatasvir FDC for 24 weeks; SOF/VEL+RBV12 = sofosbuvir/velpatasvir FDC plus ribavirin for 12 weeks</w:t>
      </w:r>
      <w:r w:rsidRPr="00802DBC">
        <w:rPr>
          <w:rFonts w:ascii="Arial Narrow" w:hAnsi="Arial Narrow"/>
          <w:sz w:val="18"/>
          <w:szCs w:val="14"/>
        </w:rPr>
        <w:t>;</w:t>
      </w:r>
      <w:r w:rsidRPr="00802DBC">
        <w:rPr>
          <w:rFonts w:ascii="Arial Narrow" w:hAnsi="Arial Narrow"/>
          <w:sz w:val="18"/>
          <w:szCs w:val="18"/>
        </w:rPr>
        <w:t xml:space="preserve"> SVR12 = sustained virological response at 12 weeks following the completion of treatment; Tx = treatment </w:t>
      </w:r>
    </w:p>
    <w:p w:rsidR="00FE542A" w:rsidRPr="00F00976" w:rsidRDefault="00FE542A" w:rsidP="00FE542A">
      <w:pPr>
        <w:ind w:left="720"/>
        <w:rPr>
          <w:rFonts w:ascii="Arial Narrow" w:hAnsi="Arial Narrow"/>
          <w:iCs/>
          <w:sz w:val="18"/>
          <w:szCs w:val="18"/>
        </w:rPr>
      </w:pPr>
      <w:r w:rsidRPr="00F00976">
        <w:rPr>
          <w:rFonts w:ascii="Arial Narrow" w:hAnsi="Arial Narrow"/>
          <w:iCs/>
          <w:sz w:val="18"/>
          <w:szCs w:val="18"/>
        </w:rPr>
        <w:t>Note: Treatment</w:t>
      </w:r>
      <w:r w:rsidR="00927BE4">
        <w:rPr>
          <w:rFonts w:ascii="Arial Narrow" w:hAnsi="Arial Narrow"/>
          <w:iCs/>
          <w:sz w:val="18"/>
          <w:szCs w:val="18"/>
        </w:rPr>
        <w:t xml:space="preserve"> </w:t>
      </w:r>
      <w:r w:rsidRPr="00F00976">
        <w:rPr>
          <w:rFonts w:ascii="Arial Narrow" w:hAnsi="Arial Narrow"/>
          <w:iCs/>
          <w:sz w:val="18"/>
          <w:szCs w:val="18"/>
        </w:rPr>
        <w:t>experienced patients included those who have failed a peginterferon alfa plus ribavirin based regimen with or without an HCV protease inhibitor. The studies all had 24 weeks post</w:t>
      </w:r>
      <w:r w:rsidR="00D44E28" w:rsidRPr="00F00976">
        <w:rPr>
          <w:rFonts w:ascii="Arial Narrow" w:hAnsi="Arial Narrow"/>
          <w:iCs/>
          <w:sz w:val="18"/>
          <w:szCs w:val="18"/>
        </w:rPr>
        <w:t>-</w:t>
      </w:r>
      <w:r w:rsidRPr="00F00976">
        <w:rPr>
          <w:rFonts w:ascii="Arial Narrow" w:hAnsi="Arial Narrow"/>
          <w:iCs/>
          <w:sz w:val="18"/>
          <w:szCs w:val="18"/>
        </w:rPr>
        <w:t>treatment follow-up, but only data from 12 weeks post</w:t>
      </w:r>
      <w:r w:rsidR="00D44E28" w:rsidRPr="00F00976">
        <w:rPr>
          <w:rFonts w:ascii="Arial Narrow" w:hAnsi="Arial Narrow"/>
          <w:iCs/>
          <w:sz w:val="18"/>
          <w:szCs w:val="18"/>
        </w:rPr>
        <w:t>-</w:t>
      </w:r>
      <w:r w:rsidRPr="00F00976">
        <w:rPr>
          <w:rFonts w:ascii="Arial Narrow" w:hAnsi="Arial Narrow"/>
          <w:iCs/>
          <w:sz w:val="18"/>
          <w:szCs w:val="18"/>
        </w:rPr>
        <w:t>treatment from the interim reports were presented.</w:t>
      </w:r>
    </w:p>
    <w:p w:rsidR="00FE542A" w:rsidRPr="002C0A2E" w:rsidRDefault="00FE542A" w:rsidP="00FE542A">
      <w:pPr>
        <w:ind w:left="720"/>
        <w:rPr>
          <w:rFonts w:ascii="Arial Narrow" w:hAnsi="Arial Narrow"/>
          <w:sz w:val="18"/>
          <w:szCs w:val="18"/>
        </w:rPr>
      </w:pPr>
      <w:r w:rsidRPr="002C0A2E">
        <w:rPr>
          <w:rFonts w:ascii="Arial Narrow" w:hAnsi="Arial Narrow"/>
          <w:sz w:val="18"/>
          <w:szCs w:val="18"/>
          <w:vertAlign w:val="superscript"/>
        </w:rPr>
        <w:t>a</w:t>
      </w:r>
      <w:r w:rsidRPr="002C0A2E">
        <w:rPr>
          <w:rFonts w:ascii="Arial Narrow" w:hAnsi="Arial Narrow"/>
          <w:sz w:val="18"/>
          <w:szCs w:val="18"/>
        </w:rPr>
        <w:t xml:space="preserve"> Patients with HCV genotype 1, 2, 4, or 6 were randomly assigned in a 5:1 ratio to receive either SOF/VEL12 or placebo.</w:t>
      </w:r>
    </w:p>
    <w:p w:rsidR="00FE542A" w:rsidRPr="002C0A2E" w:rsidRDefault="00FE542A" w:rsidP="00FE542A">
      <w:pPr>
        <w:ind w:left="720"/>
        <w:rPr>
          <w:rFonts w:ascii="Arial Narrow" w:hAnsi="Arial Narrow"/>
          <w:iCs/>
          <w:sz w:val="18"/>
          <w:szCs w:val="18"/>
        </w:rPr>
      </w:pPr>
      <w:r w:rsidRPr="002C0A2E">
        <w:rPr>
          <w:rFonts w:ascii="Arial Narrow" w:hAnsi="Arial Narrow"/>
          <w:iCs/>
          <w:sz w:val="18"/>
          <w:szCs w:val="18"/>
          <w:vertAlign w:val="superscript"/>
        </w:rPr>
        <w:t>b</w:t>
      </w:r>
      <w:r w:rsidRPr="002C0A2E">
        <w:rPr>
          <w:rFonts w:ascii="Arial Narrow" w:hAnsi="Arial Narrow"/>
          <w:iCs/>
          <w:sz w:val="18"/>
          <w:szCs w:val="18"/>
        </w:rPr>
        <w:t xml:space="preserve"> There was differential discontinuation between arms in ASTRAL-3, with more patients in the comparator arm (sofosbuvir plus ribavirin for 24 weeks) not starting (5 patients vs 1 patient) or discontinuing (21 vs 2 patients) study drug.</w:t>
      </w:r>
    </w:p>
    <w:p w:rsidR="00F00976" w:rsidRPr="002C0A2E" w:rsidRDefault="00F00976" w:rsidP="00FE542A">
      <w:pPr>
        <w:ind w:left="720"/>
        <w:rPr>
          <w:rFonts w:ascii="Arial Narrow" w:hAnsi="Arial Narrow"/>
          <w:iCs/>
          <w:sz w:val="18"/>
          <w:szCs w:val="18"/>
        </w:rPr>
      </w:pPr>
      <w:r w:rsidRPr="002C0A2E">
        <w:rPr>
          <w:rFonts w:ascii="Arial Narrow" w:hAnsi="Arial Narrow"/>
          <w:iCs/>
          <w:sz w:val="18"/>
          <w:szCs w:val="18"/>
          <w:vertAlign w:val="superscript"/>
        </w:rPr>
        <w:t>c</w:t>
      </w:r>
      <w:r w:rsidRPr="002C0A2E">
        <w:rPr>
          <w:rFonts w:ascii="Arial Narrow" w:hAnsi="Arial Narrow"/>
          <w:iCs/>
          <w:sz w:val="18"/>
          <w:szCs w:val="18"/>
        </w:rPr>
        <w:t xml:space="preserve"> identified during the evaluation</w:t>
      </w:r>
    </w:p>
    <w:p w:rsidR="00FE542A" w:rsidRPr="00802DBC" w:rsidRDefault="00FE542A" w:rsidP="00FE542A">
      <w:pPr>
        <w:ind w:firstLine="720"/>
        <w:rPr>
          <w:rStyle w:val="CommentReference"/>
        </w:rPr>
      </w:pPr>
    </w:p>
    <w:p w:rsidR="00FE542A" w:rsidRPr="00802DBC" w:rsidRDefault="00FE542A" w:rsidP="002C4748">
      <w:pPr>
        <w:pStyle w:val="ListParagraph"/>
        <w:widowControl/>
        <w:numPr>
          <w:ilvl w:val="1"/>
          <w:numId w:val="2"/>
        </w:numPr>
      </w:pPr>
      <w:r w:rsidRPr="00802DBC">
        <w:t>The submission presented results at 12 weeks following the completion of treatment from the interim reports. The results at 24 weeks following completion of treatment were not available.</w:t>
      </w:r>
    </w:p>
    <w:p w:rsidR="00FE542A" w:rsidRPr="00DA298E" w:rsidRDefault="00FE542A" w:rsidP="00FE542A">
      <w:pPr>
        <w:pStyle w:val="ListParagraph"/>
        <w:widowControl/>
        <w:rPr>
          <w:iCs/>
        </w:rPr>
      </w:pPr>
    </w:p>
    <w:p w:rsidR="00FE542A" w:rsidRPr="00DA298E" w:rsidRDefault="00FE542A" w:rsidP="002C4748">
      <w:pPr>
        <w:pStyle w:val="ListParagraph"/>
        <w:widowControl/>
        <w:numPr>
          <w:ilvl w:val="1"/>
          <w:numId w:val="2"/>
        </w:numPr>
        <w:rPr>
          <w:iCs/>
        </w:rPr>
      </w:pPr>
      <w:r w:rsidRPr="00DA298E">
        <w:rPr>
          <w:iCs/>
          <w:szCs w:val="22"/>
        </w:rPr>
        <w:t>The submission presented a series of unadjusted naïve comparisons</w:t>
      </w:r>
      <w:r w:rsidRPr="00DA298E">
        <w:rPr>
          <w:iCs/>
        </w:rPr>
        <w:t>.</w:t>
      </w:r>
      <w:r w:rsidRPr="00DA298E">
        <w:rPr>
          <w:iCs/>
          <w:szCs w:val="22"/>
        </w:rPr>
        <w:t xml:space="preserve"> As discussed above, the </w:t>
      </w:r>
      <w:r w:rsidR="00085D96">
        <w:rPr>
          <w:iCs/>
          <w:szCs w:val="22"/>
        </w:rPr>
        <w:t xml:space="preserve">evaluation and the ESC noted that the </w:t>
      </w:r>
      <w:r w:rsidRPr="00DA298E">
        <w:rPr>
          <w:iCs/>
          <w:szCs w:val="22"/>
        </w:rPr>
        <w:t>comparator data</w:t>
      </w:r>
      <w:r w:rsidR="00085D96">
        <w:rPr>
          <w:iCs/>
          <w:szCs w:val="22"/>
        </w:rPr>
        <w:t xml:space="preserve"> presented</w:t>
      </w:r>
      <w:r w:rsidRPr="00DA298E">
        <w:rPr>
          <w:iCs/>
          <w:szCs w:val="22"/>
        </w:rPr>
        <w:t xml:space="preserve"> may not represent the totality of the evidence available. The submission did not present any information regarding risk of bias for the identified comparator studies, nor an assessment of the exchangeability of the studies included in the naïve comparisons. The submission did not present sufficient information to facilitate assessment </w:t>
      </w:r>
      <w:r w:rsidR="006B6E51" w:rsidRPr="00DA298E">
        <w:rPr>
          <w:iCs/>
          <w:szCs w:val="22"/>
        </w:rPr>
        <w:t xml:space="preserve">of </w:t>
      </w:r>
      <w:r w:rsidRPr="00DA298E">
        <w:rPr>
          <w:iCs/>
          <w:szCs w:val="22"/>
        </w:rPr>
        <w:t xml:space="preserve">the exchangeability during the evaluation, as very limited information on the selected comparator studies </w:t>
      </w:r>
      <w:r w:rsidR="00E444D5">
        <w:rPr>
          <w:iCs/>
          <w:szCs w:val="22"/>
        </w:rPr>
        <w:t>was</w:t>
      </w:r>
      <w:r w:rsidRPr="00DA298E">
        <w:rPr>
          <w:iCs/>
          <w:szCs w:val="22"/>
        </w:rPr>
        <w:t xml:space="preserve"> included (e.g. top-line description of the study design and treatment regimens without the doses of individual medicines). Sustained virological response at 12 weeks following the completion of treatment (SVR12) rates are affected by study design (including quality), inclusion criteria, baseline characteristics, outcome measures, and so forth. </w:t>
      </w:r>
      <w:r w:rsidRPr="00DA298E">
        <w:rPr>
          <w:iCs/>
        </w:rPr>
        <w:t xml:space="preserve">The submission only presented the point estimates of the SVR12 rates, with no measures of uncertainty. There was no </w:t>
      </w:r>
      <w:r w:rsidRPr="00DA298E">
        <w:rPr>
          <w:iCs/>
        </w:rPr>
        <w:lastRenderedPageBreak/>
        <w:t xml:space="preserve">adjustment due to the lack of a common reference. No formal non-inferiority testing was conducted. </w:t>
      </w:r>
      <w:r w:rsidRPr="00DA298E">
        <w:rPr>
          <w:iCs/>
          <w:szCs w:val="22"/>
        </w:rPr>
        <w:t>Overall, the risk of bias of the presented naïve comparisons was high.</w:t>
      </w:r>
    </w:p>
    <w:p w:rsidR="00FE542A" w:rsidRPr="00802DBC" w:rsidRDefault="00FE542A" w:rsidP="00FE542A">
      <w:pPr>
        <w:rPr>
          <w:szCs w:val="22"/>
        </w:rPr>
      </w:pPr>
    </w:p>
    <w:p w:rsidR="00FE542A" w:rsidRPr="00802DBC" w:rsidRDefault="00FE542A" w:rsidP="00FE542A">
      <w:pPr>
        <w:pStyle w:val="Heading2"/>
        <w:rPr>
          <w:i/>
        </w:rPr>
      </w:pPr>
      <w:bookmarkStart w:id="19" w:name="_Toc458698812"/>
      <w:bookmarkStart w:id="20" w:name="_Toc461609476"/>
      <w:r w:rsidRPr="00802DBC">
        <w:rPr>
          <w:i/>
        </w:rPr>
        <w:t>Comparative effectiveness</w:t>
      </w:r>
      <w:bookmarkEnd w:id="19"/>
      <w:bookmarkEnd w:id="20"/>
    </w:p>
    <w:p w:rsidR="000B0675" w:rsidRDefault="000B0675" w:rsidP="006A5175">
      <w:pPr>
        <w:widowControl/>
        <w:rPr>
          <w:szCs w:val="22"/>
        </w:rPr>
      </w:pPr>
    </w:p>
    <w:p w:rsidR="006A5175" w:rsidRPr="006D2A43" w:rsidRDefault="000B0675" w:rsidP="00237A71">
      <w:pPr>
        <w:pStyle w:val="Heading3"/>
        <w:ind w:firstLine="720"/>
      </w:pPr>
      <w:r w:rsidRPr="006D2A43">
        <w:t>HCV genotype 1 infection with no cirrhosis or compensated cirrhosis</w:t>
      </w:r>
    </w:p>
    <w:p w:rsidR="00FE542A" w:rsidRPr="00FC4ECE" w:rsidRDefault="00FE542A" w:rsidP="00FC4ECE">
      <w:pPr>
        <w:pStyle w:val="ListParagraph"/>
        <w:widowControl/>
        <w:rPr>
          <w:szCs w:val="22"/>
        </w:rPr>
      </w:pPr>
      <w:r w:rsidRPr="00FC4ECE">
        <w:rPr>
          <w:i/>
          <w:iCs/>
          <w:szCs w:val="22"/>
        </w:rPr>
        <w:t xml:space="preserve"> </w:t>
      </w:r>
    </w:p>
    <w:p w:rsidR="00FE542A" w:rsidRPr="00F9410B" w:rsidRDefault="003D4002" w:rsidP="00944A28">
      <w:pPr>
        <w:ind w:firstLine="720"/>
        <w:rPr>
          <w:rFonts w:ascii="Arial Narrow" w:hAnsi="Arial Narrow"/>
          <w:sz w:val="20"/>
        </w:rPr>
      </w:pPr>
      <w:r w:rsidRPr="00802DBC">
        <w:rPr>
          <w:rFonts w:ascii="Arial Narrow" w:hAnsi="Arial Narrow"/>
          <w:b/>
          <w:bCs/>
          <w:sz w:val="20"/>
        </w:rPr>
        <w:t xml:space="preserve">Table </w:t>
      </w:r>
      <w:r w:rsidR="0052346C">
        <w:rPr>
          <w:rFonts w:ascii="Arial Narrow" w:hAnsi="Arial Narrow"/>
          <w:b/>
          <w:bCs/>
          <w:sz w:val="20"/>
        </w:rPr>
        <w:t>5</w:t>
      </w:r>
      <w:r w:rsidRPr="00802DBC">
        <w:rPr>
          <w:rFonts w:ascii="Arial Narrow" w:hAnsi="Arial Narrow"/>
          <w:b/>
          <w:bCs/>
          <w:sz w:val="20"/>
        </w:rPr>
        <w:t xml:space="preserve">: </w:t>
      </w:r>
      <w:r w:rsidR="00FE542A" w:rsidRPr="00802DBC">
        <w:rPr>
          <w:rFonts w:ascii="Arial Narrow" w:hAnsi="Arial Narrow"/>
          <w:b/>
          <w:bCs/>
          <w:sz w:val="20"/>
        </w:rPr>
        <w:t>Naïve comparison of SVR12 rates in HCV genotype 1 (no cirrhosis or compensated cirrhosis)</w:t>
      </w:r>
    </w:p>
    <w:tbl>
      <w:tblPr>
        <w:tblStyle w:val="TableGrid"/>
        <w:tblW w:w="8381" w:type="dxa"/>
        <w:tblInd w:w="737" w:type="dxa"/>
        <w:tblCellMar>
          <w:left w:w="28" w:type="dxa"/>
          <w:right w:w="28" w:type="dxa"/>
        </w:tblCellMar>
        <w:tblLook w:val="04A0" w:firstRow="1" w:lastRow="0" w:firstColumn="1" w:lastColumn="0" w:noHBand="0" w:noVBand="1"/>
        <w:tblCaption w:val="Table 5: Naïve comparison of SVR12 rates in HCV genotype 1 (no cirrhosis or compensated cirrhosis)"/>
        <w:tblDescription w:val="Table 5: Naïve comparison of SVR12 rates in HCV genotype 1 (no cirrhosis or compensated cirrhosis)"/>
      </w:tblPr>
      <w:tblGrid>
        <w:gridCol w:w="1276"/>
        <w:gridCol w:w="992"/>
        <w:gridCol w:w="992"/>
        <w:gridCol w:w="1071"/>
        <w:gridCol w:w="1056"/>
        <w:gridCol w:w="731"/>
        <w:gridCol w:w="970"/>
        <w:gridCol w:w="1293"/>
      </w:tblGrid>
      <w:tr w:rsidR="00FE542A" w:rsidRPr="00802DBC" w:rsidTr="00460056">
        <w:trPr>
          <w:trHeight w:val="152"/>
          <w:tblHeader/>
        </w:trPr>
        <w:tc>
          <w:tcPr>
            <w:tcW w:w="1276" w:type="dxa"/>
            <w:vMerge w:val="restart"/>
            <w:shd w:val="clear" w:color="auto" w:fill="auto"/>
            <w:vAlign w:val="center"/>
          </w:tcPr>
          <w:p w:rsidR="00FE542A" w:rsidRPr="00802DBC" w:rsidRDefault="00FE542A" w:rsidP="0094297E">
            <w:pPr>
              <w:jc w:val="left"/>
              <w:rPr>
                <w:rFonts w:ascii="Arial Narrow" w:hAnsi="Arial Narrow"/>
                <w:b/>
                <w:bCs/>
                <w:iCs/>
                <w:sz w:val="20"/>
              </w:rPr>
            </w:pPr>
            <w:r w:rsidRPr="00802DBC">
              <w:rPr>
                <w:rFonts w:ascii="Arial Narrow" w:hAnsi="Arial Narrow"/>
                <w:b/>
                <w:bCs/>
                <w:iCs/>
                <w:sz w:val="20"/>
              </w:rPr>
              <w:t xml:space="preserve">Study ID </w:t>
            </w:r>
          </w:p>
        </w:tc>
        <w:tc>
          <w:tcPr>
            <w:tcW w:w="992" w:type="dxa"/>
            <w:vMerge w:val="restart"/>
            <w:shd w:val="clear" w:color="auto" w:fill="auto"/>
            <w:vAlign w:val="center"/>
          </w:tcPr>
          <w:p w:rsidR="00FE542A" w:rsidRPr="00802DBC" w:rsidRDefault="00FE542A" w:rsidP="0094297E">
            <w:pPr>
              <w:jc w:val="center"/>
              <w:rPr>
                <w:rFonts w:ascii="Arial Narrow" w:hAnsi="Arial Narrow"/>
                <w:b/>
                <w:bCs/>
                <w:iCs/>
                <w:sz w:val="20"/>
              </w:rPr>
            </w:pPr>
            <w:r w:rsidRPr="00802DBC">
              <w:rPr>
                <w:rFonts w:ascii="Arial Narrow" w:hAnsi="Arial Narrow"/>
                <w:b/>
                <w:bCs/>
                <w:iCs/>
                <w:sz w:val="20"/>
              </w:rPr>
              <w:t>Study phase</w:t>
            </w:r>
          </w:p>
        </w:tc>
        <w:tc>
          <w:tcPr>
            <w:tcW w:w="992" w:type="dxa"/>
            <w:vMerge w:val="restart"/>
            <w:shd w:val="clear" w:color="auto" w:fill="auto"/>
            <w:vAlign w:val="center"/>
          </w:tcPr>
          <w:p w:rsidR="00FE542A" w:rsidRPr="00802DBC" w:rsidRDefault="00FE542A" w:rsidP="0094297E">
            <w:pPr>
              <w:jc w:val="center"/>
              <w:rPr>
                <w:rFonts w:ascii="Arial Narrow" w:hAnsi="Arial Narrow"/>
                <w:b/>
                <w:bCs/>
                <w:iCs/>
                <w:sz w:val="20"/>
              </w:rPr>
            </w:pPr>
            <w:r w:rsidRPr="00802DBC">
              <w:rPr>
                <w:rFonts w:ascii="Arial Narrow" w:hAnsi="Arial Narrow"/>
                <w:b/>
                <w:bCs/>
                <w:iCs/>
                <w:sz w:val="20"/>
              </w:rPr>
              <w:t>% cirrhosis</w:t>
            </w:r>
          </w:p>
        </w:tc>
        <w:tc>
          <w:tcPr>
            <w:tcW w:w="1071" w:type="dxa"/>
            <w:vMerge w:val="restart"/>
            <w:shd w:val="clear" w:color="auto" w:fill="auto"/>
            <w:vAlign w:val="center"/>
          </w:tcPr>
          <w:p w:rsidR="00FE542A" w:rsidRPr="00802DBC" w:rsidRDefault="00FE542A" w:rsidP="00927BE4">
            <w:pPr>
              <w:jc w:val="center"/>
              <w:rPr>
                <w:rFonts w:ascii="Arial Narrow" w:hAnsi="Arial Narrow"/>
                <w:iCs/>
                <w:sz w:val="20"/>
              </w:rPr>
            </w:pPr>
            <w:r w:rsidRPr="00802DBC">
              <w:rPr>
                <w:rFonts w:ascii="Arial Narrow" w:hAnsi="Arial Narrow"/>
                <w:b/>
                <w:bCs/>
                <w:iCs/>
                <w:sz w:val="20"/>
              </w:rPr>
              <w:t>% treatment</w:t>
            </w:r>
            <w:r w:rsidR="00927BE4">
              <w:rPr>
                <w:rFonts w:ascii="Arial Narrow" w:hAnsi="Arial Narrow"/>
                <w:b/>
                <w:bCs/>
                <w:iCs/>
                <w:sz w:val="20"/>
              </w:rPr>
              <w:t xml:space="preserve"> </w:t>
            </w:r>
            <w:r w:rsidRPr="00802DBC">
              <w:rPr>
                <w:rFonts w:ascii="Arial Narrow" w:hAnsi="Arial Narrow"/>
                <w:b/>
                <w:bCs/>
                <w:iCs/>
                <w:sz w:val="20"/>
              </w:rPr>
              <w:t>experienced</w:t>
            </w:r>
          </w:p>
        </w:tc>
        <w:tc>
          <w:tcPr>
            <w:tcW w:w="1056" w:type="dxa"/>
            <w:vMerge w:val="restart"/>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b/>
                <w:bCs/>
                <w:iCs/>
                <w:sz w:val="20"/>
              </w:rPr>
              <w:t>Treatment regimen</w:t>
            </w:r>
          </w:p>
        </w:tc>
        <w:tc>
          <w:tcPr>
            <w:tcW w:w="731" w:type="dxa"/>
            <w:vMerge w:val="restart"/>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b/>
                <w:bCs/>
                <w:iCs/>
                <w:sz w:val="20"/>
              </w:rPr>
              <w:t>Duration (weeks)</w:t>
            </w:r>
          </w:p>
        </w:tc>
        <w:tc>
          <w:tcPr>
            <w:tcW w:w="2263" w:type="dxa"/>
            <w:gridSpan w:val="2"/>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b/>
                <w:bCs/>
                <w:iCs/>
                <w:sz w:val="20"/>
              </w:rPr>
              <w:t>SVR12</w:t>
            </w:r>
          </w:p>
        </w:tc>
      </w:tr>
      <w:tr w:rsidR="00FE542A" w:rsidRPr="00802DBC" w:rsidTr="00460056">
        <w:trPr>
          <w:tblHeader/>
        </w:trPr>
        <w:tc>
          <w:tcPr>
            <w:tcW w:w="1276" w:type="dxa"/>
            <w:vMerge/>
            <w:shd w:val="clear" w:color="auto" w:fill="auto"/>
          </w:tcPr>
          <w:p w:rsidR="00FE542A" w:rsidRPr="00802DBC" w:rsidRDefault="00FE542A" w:rsidP="0094297E">
            <w:pPr>
              <w:rPr>
                <w:rFonts w:ascii="Arial Narrow" w:hAnsi="Arial Narrow"/>
                <w:iCs/>
                <w:sz w:val="20"/>
              </w:rPr>
            </w:pPr>
          </w:p>
        </w:tc>
        <w:tc>
          <w:tcPr>
            <w:tcW w:w="992" w:type="dxa"/>
            <w:vMerge/>
            <w:shd w:val="clear" w:color="auto" w:fill="auto"/>
            <w:vAlign w:val="center"/>
          </w:tcPr>
          <w:p w:rsidR="00FE542A" w:rsidRPr="00802DBC" w:rsidRDefault="00FE542A" w:rsidP="0094297E">
            <w:pPr>
              <w:jc w:val="center"/>
              <w:rPr>
                <w:rFonts w:ascii="Arial Narrow" w:hAnsi="Arial Narrow"/>
                <w:b/>
                <w:bCs/>
                <w:iCs/>
                <w:sz w:val="20"/>
              </w:rPr>
            </w:pPr>
          </w:p>
        </w:tc>
        <w:tc>
          <w:tcPr>
            <w:tcW w:w="992" w:type="dxa"/>
            <w:vMerge/>
            <w:shd w:val="clear" w:color="auto" w:fill="auto"/>
            <w:vAlign w:val="center"/>
          </w:tcPr>
          <w:p w:rsidR="00FE542A" w:rsidRPr="00802DBC" w:rsidRDefault="00FE542A" w:rsidP="0094297E">
            <w:pPr>
              <w:jc w:val="center"/>
              <w:rPr>
                <w:rFonts w:ascii="Arial Narrow" w:hAnsi="Arial Narrow"/>
                <w:b/>
                <w:bCs/>
                <w:iCs/>
                <w:sz w:val="20"/>
              </w:rPr>
            </w:pPr>
          </w:p>
        </w:tc>
        <w:tc>
          <w:tcPr>
            <w:tcW w:w="1071" w:type="dxa"/>
            <w:vMerge/>
            <w:shd w:val="clear" w:color="auto" w:fill="auto"/>
            <w:vAlign w:val="center"/>
          </w:tcPr>
          <w:p w:rsidR="00FE542A" w:rsidRPr="00802DBC" w:rsidRDefault="00FE542A" w:rsidP="0094297E">
            <w:pPr>
              <w:jc w:val="center"/>
              <w:rPr>
                <w:rFonts w:ascii="Arial Narrow" w:hAnsi="Arial Narrow"/>
                <w:b/>
                <w:bCs/>
                <w:iCs/>
                <w:sz w:val="20"/>
              </w:rPr>
            </w:pPr>
          </w:p>
        </w:tc>
        <w:tc>
          <w:tcPr>
            <w:tcW w:w="1056" w:type="dxa"/>
            <w:vMerge/>
            <w:shd w:val="clear" w:color="auto" w:fill="auto"/>
            <w:vAlign w:val="center"/>
          </w:tcPr>
          <w:p w:rsidR="00FE542A" w:rsidRPr="00802DBC" w:rsidRDefault="00FE542A" w:rsidP="0094297E">
            <w:pPr>
              <w:jc w:val="center"/>
              <w:rPr>
                <w:rFonts w:ascii="Arial Narrow" w:hAnsi="Arial Narrow"/>
                <w:b/>
                <w:bCs/>
                <w:iCs/>
                <w:sz w:val="20"/>
              </w:rPr>
            </w:pPr>
          </w:p>
        </w:tc>
        <w:tc>
          <w:tcPr>
            <w:tcW w:w="731" w:type="dxa"/>
            <w:vMerge/>
            <w:shd w:val="clear" w:color="auto" w:fill="auto"/>
            <w:vAlign w:val="center"/>
          </w:tcPr>
          <w:p w:rsidR="00FE542A" w:rsidRPr="00802DBC" w:rsidRDefault="00FE542A" w:rsidP="0094297E">
            <w:pPr>
              <w:jc w:val="center"/>
              <w:rPr>
                <w:rFonts w:ascii="Arial Narrow" w:hAnsi="Arial Narrow"/>
                <w:b/>
                <w:bCs/>
                <w:iCs/>
                <w:sz w:val="20"/>
              </w:rPr>
            </w:pPr>
          </w:p>
        </w:tc>
        <w:tc>
          <w:tcPr>
            <w:tcW w:w="970" w:type="dxa"/>
            <w:shd w:val="clear" w:color="auto" w:fill="auto"/>
            <w:vAlign w:val="center"/>
          </w:tcPr>
          <w:p w:rsidR="00FE542A" w:rsidRPr="00802DBC" w:rsidRDefault="00FE542A" w:rsidP="0094297E">
            <w:pPr>
              <w:jc w:val="center"/>
              <w:rPr>
                <w:rFonts w:ascii="Arial Narrow" w:hAnsi="Arial Narrow"/>
                <w:b/>
                <w:bCs/>
                <w:iCs/>
                <w:sz w:val="20"/>
              </w:rPr>
            </w:pPr>
            <w:r w:rsidRPr="00802DBC">
              <w:rPr>
                <w:rFonts w:ascii="Arial Narrow" w:hAnsi="Arial Narrow"/>
                <w:b/>
                <w:bCs/>
                <w:iCs/>
                <w:sz w:val="20"/>
              </w:rPr>
              <w:t>n/N</w:t>
            </w:r>
          </w:p>
        </w:tc>
        <w:tc>
          <w:tcPr>
            <w:tcW w:w="1293" w:type="dxa"/>
            <w:shd w:val="clear" w:color="auto" w:fill="auto"/>
            <w:vAlign w:val="center"/>
          </w:tcPr>
          <w:p w:rsidR="00FE542A" w:rsidRPr="00802DBC" w:rsidRDefault="00FE542A" w:rsidP="0094297E">
            <w:pPr>
              <w:jc w:val="center"/>
              <w:rPr>
                <w:rFonts w:ascii="Arial Narrow" w:hAnsi="Arial Narrow"/>
                <w:b/>
                <w:bCs/>
                <w:iCs/>
                <w:sz w:val="20"/>
              </w:rPr>
            </w:pPr>
            <w:r w:rsidRPr="00802DBC">
              <w:rPr>
                <w:rFonts w:ascii="Arial Narrow" w:hAnsi="Arial Narrow"/>
                <w:b/>
                <w:bCs/>
                <w:iCs/>
                <w:sz w:val="20"/>
              </w:rPr>
              <w:t>% (95% CI)</w:t>
            </w:r>
          </w:p>
        </w:tc>
      </w:tr>
      <w:tr w:rsidR="00FE542A" w:rsidRPr="00802DBC" w:rsidTr="00460056">
        <w:tc>
          <w:tcPr>
            <w:tcW w:w="8381" w:type="dxa"/>
            <w:gridSpan w:val="8"/>
            <w:shd w:val="clear" w:color="auto" w:fill="auto"/>
            <w:vAlign w:val="center"/>
          </w:tcPr>
          <w:p w:rsidR="00FE542A" w:rsidRPr="00802DBC" w:rsidRDefault="00FE542A" w:rsidP="0094297E">
            <w:pPr>
              <w:jc w:val="left"/>
              <w:rPr>
                <w:rFonts w:ascii="Arial Narrow" w:hAnsi="Arial Narrow"/>
                <w:iCs/>
                <w:sz w:val="20"/>
              </w:rPr>
            </w:pPr>
            <w:r w:rsidRPr="00802DBC">
              <w:rPr>
                <w:rFonts w:ascii="Arial Narrow" w:hAnsi="Arial Narrow"/>
                <w:b/>
                <w:iCs/>
                <w:sz w:val="20"/>
              </w:rPr>
              <w:t>No cirrhosis</w:t>
            </w:r>
          </w:p>
        </w:tc>
      </w:tr>
      <w:tr w:rsidR="00FE542A" w:rsidRPr="00802DBC" w:rsidTr="00460056">
        <w:tc>
          <w:tcPr>
            <w:tcW w:w="1276" w:type="dxa"/>
            <w:shd w:val="clear" w:color="auto" w:fill="D9D9D9" w:themeFill="background1" w:themeFillShade="D9"/>
            <w:vAlign w:val="center"/>
          </w:tcPr>
          <w:p w:rsidR="00FE542A" w:rsidRPr="00802DBC" w:rsidRDefault="00FE542A" w:rsidP="0094297E">
            <w:pPr>
              <w:jc w:val="left"/>
              <w:rPr>
                <w:rFonts w:ascii="Arial Narrow" w:hAnsi="Arial Narrow"/>
                <w:iCs/>
                <w:sz w:val="20"/>
              </w:rPr>
            </w:pPr>
            <w:r w:rsidRPr="00802DBC">
              <w:rPr>
                <w:rFonts w:ascii="Arial Narrow" w:hAnsi="Arial Narrow"/>
                <w:iCs/>
                <w:sz w:val="20"/>
              </w:rPr>
              <w:t>ASTRAL-1</w:t>
            </w:r>
          </w:p>
        </w:tc>
        <w:tc>
          <w:tcPr>
            <w:tcW w:w="992" w:type="dxa"/>
            <w:shd w:val="clear" w:color="auto" w:fill="D9D9D9" w:themeFill="background1" w:themeFillShade="D9"/>
          </w:tcPr>
          <w:p w:rsidR="00FE542A" w:rsidRPr="00802DBC" w:rsidRDefault="00FE542A" w:rsidP="0094297E">
            <w:pPr>
              <w:jc w:val="center"/>
              <w:rPr>
                <w:rFonts w:ascii="Arial Narrow" w:hAnsi="Arial Narrow"/>
                <w:iCs/>
                <w:sz w:val="20"/>
              </w:rPr>
            </w:pPr>
            <w:r w:rsidRPr="00802DBC">
              <w:rPr>
                <w:rFonts w:ascii="Arial Narrow" w:hAnsi="Arial Narrow"/>
                <w:iCs/>
                <w:sz w:val="20"/>
              </w:rPr>
              <w:t>Phase III</w:t>
            </w:r>
          </w:p>
        </w:tc>
        <w:tc>
          <w:tcPr>
            <w:tcW w:w="992" w:type="dxa"/>
            <w:shd w:val="clear" w:color="auto" w:fill="D9D9D9" w:themeFill="background1" w:themeFillShade="D9"/>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0%</w:t>
            </w:r>
          </w:p>
        </w:tc>
        <w:tc>
          <w:tcPr>
            <w:tcW w:w="1071" w:type="dxa"/>
            <w:shd w:val="clear" w:color="auto" w:fill="D9D9D9" w:themeFill="background1" w:themeFillShade="D9"/>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NR (mixed)</w:t>
            </w:r>
            <w:r w:rsidR="00456BE1" w:rsidRPr="004A1383">
              <w:rPr>
                <w:rFonts w:ascii="Arial Narrow" w:hAnsi="Arial Narrow"/>
                <w:bCs/>
                <w:iCs/>
                <w:sz w:val="20"/>
                <w:vertAlign w:val="superscript"/>
              </w:rPr>
              <w:t xml:space="preserve"> c</w:t>
            </w:r>
          </w:p>
        </w:tc>
        <w:tc>
          <w:tcPr>
            <w:tcW w:w="1056" w:type="dxa"/>
            <w:shd w:val="clear" w:color="auto" w:fill="D9D9D9" w:themeFill="background1" w:themeFillShade="D9"/>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SOF/VEL</w:t>
            </w:r>
          </w:p>
        </w:tc>
        <w:tc>
          <w:tcPr>
            <w:tcW w:w="731" w:type="dxa"/>
            <w:shd w:val="clear" w:color="auto" w:fill="D9D9D9" w:themeFill="background1" w:themeFillShade="D9"/>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12</w:t>
            </w:r>
          </w:p>
        </w:tc>
        <w:tc>
          <w:tcPr>
            <w:tcW w:w="970" w:type="dxa"/>
            <w:shd w:val="clear" w:color="auto" w:fill="D9D9D9" w:themeFill="background1" w:themeFillShade="D9"/>
            <w:vAlign w:val="center"/>
          </w:tcPr>
          <w:p w:rsidR="00FE542A" w:rsidRPr="00802DBC" w:rsidRDefault="00FE542A" w:rsidP="0094297E">
            <w:pPr>
              <w:jc w:val="center"/>
              <w:rPr>
                <w:rFonts w:ascii="Arial Narrow" w:hAnsi="Arial Narrow"/>
                <w:iCs/>
                <w:sz w:val="20"/>
              </w:rPr>
            </w:pPr>
            <w:r w:rsidRPr="00802DBC">
              <w:rPr>
                <w:rFonts w:ascii="Arial Narrow" w:hAnsi="Arial Narrow"/>
                <w:sz w:val="20"/>
              </w:rPr>
              <w:t xml:space="preserve">251/255 </w:t>
            </w:r>
          </w:p>
        </w:tc>
        <w:tc>
          <w:tcPr>
            <w:tcW w:w="1293" w:type="dxa"/>
            <w:shd w:val="clear" w:color="auto" w:fill="D9D9D9" w:themeFill="background1" w:themeFillShade="D9"/>
            <w:vAlign w:val="center"/>
          </w:tcPr>
          <w:p w:rsidR="00FE542A" w:rsidRPr="004A1383" w:rsidRDefault="00FE542A" w:rsidP="0094297E">
            <w:pPr>
              <w:jc w:val="center"/>
              <w:rPr>
                <w:rFonts w:ascii="Arial Narrow" w:hAnsi="Arial Narrow"/>
                <w:iCs/>
                <w:sz w:val="20"/>
              </w:rPr>
            </w:pPr>
            <w:r w:rsidRPr="004A1383">
              <w:rPr>
                <w:rFonts w:ascii="Arial Narrow" w:hAnsi="Arial Narrow"/>
                <w:sz w:val="20"/>
              </w:rPr>
              <w:t>98.4</w:t>
            </w:r>
            <w:r w:rsidRPr="004A1383">
              <w:rPr>
                <w:rFonts w:ascii="Arial Narrow" w:hAnsi="Arial Narrow"/>
                <w:iCs/>
                <w:sz w:val="20"/>
              </w:rPr>
              <w:t xml:space="preserve"> (96.0, 99.6)</w:t>
            </w:r>
          </w:p>
        </w:tc>
      </w:tr>
      <w:tr w:rsidR="00FE542A" w:rsidRPr="004A1383" w:rsidTr="00460056">
        <w:tc>
          <w:tcPr>
            <w:tcW w:w="1276" w:type="dxa"/>
            <w:shd w:val="clear" w:color="auto" w:fill="D9D9D9" w:themeFill="background1" w:themeFillShade="D9"/>
            <w:vAlign w:val="center"/>
          </w:tcPr>
          <w:p w:rsidR="00FE542A" w:rsidRPr="004A1383" w:rsidRDefault="00FE542A" w:rsidP="0094297E">
            <w:pPr>
              <w:jc w:val="left"/>
              <w:rPr>
                <w:rFonts w:ascii="Arial Narrow" w:hAnsi="Arial Narrow"/>
                <w:iCs/>
                <w:sz w:val="20"/>
              </w:rPr>
            </w:pPr>
            <w:r w:rsidRPr="004A1383">
              <w:rPr>
                <w:rFonts w:ascii="Arial Narrow" w:hAnsi="Arial Narrow"/>
                <w:bCs/>
                <w:iCs/>
                <w:sz w:val="20"/>
              </w:rPr>
              <w:t>Everson (2015)</w:t>
            </w:r>
            <w:r w:rsidR="00456BE1" w:rsidRPr="004A1383">
              <w:rPr>
                <w:rFonts w:ascii="Arial Narrow" w:hAnsi="Arial Narrow"/>
                <w:bCs/>
                <w:iCs/>
                <w:sz w:val="20"/>
                <w:vertAlign w:val="superscript"/>
              </w:rPr>
              <w:t>c</w:t>
            </w:r>
          </w:p>
        </w:tc>
        <w:tc>
          <w:tcPr>
            <w:tcW w:w="992" w:type="dxa"/>
            <w:shd w:val="clear" w:color="auto" w:fill="D9D9D9" w:themeFill="background1" w:themeFillShade="D9"/>
          </w:tcPr>
          <w:p w:rsidR="00FE542A" w:rsidRPr="004A1383" w:rsidRDefault="00FE542A" w:rsidP="0094297E">
            <w:pPr>
              <w:jc w:val="center"/>
              <w:rPr>
                <w:rFonts w:ascii="Arial Narrow" w:hAnsi="Arial Narrow"/>
                <w:iCs/>
                <w:sz w:val="20"/>
              </w:rPr>
            </w:pPr>
            <w:r w:rsidRPr="004A1383">
              <w:rPr>
                <w:rFonts w:ascii="Arial Narrow" w:hAnsi="Arial Narrow"/>
                <w:iCs/>
                <w:sz w:val="20"/>
              </w:rPr>
              <w:t>Phase II</w:t>
            </w:r>
          </w:p>
        </w:tc>
        <w:tc>
          <w:tcPr>
            <w:tcW w:w="992" w:type="dxa"/>
            <w:shd w:val="clear" w:color="auto" w:fill="D9D9D9" w:themeFill="background1" w:themeFillShade="D9"/>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0%</w:t>
            </w:r>
          </w:p>
        </w:tc>
        <w:tc>
          <w:tcPr>
            <w:tcW w:w="1071" w:type="dxa"/>
            <w:shd w:val="clear" w:color="auto" w:fill="D9D9D9" w:themeFill="background1" w:themeFillShade="D9"/>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0%</w:t>
            </w:r>
          </w:p>
        </w:tc>
        <w:tc>
          <w:tcPr>
            <w:tcW w:w="1056" w:type="dxa"/>
            <w:shd w:val="clear" w:color="auto" w:fill="D9D9D9" w:themeFill="background1" w:themeFillShade="D9"/>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SOF/VEL</w:t>
            </w:r>
          </w:p>
        </w:tc>
        <w:tc>
          <w:tcPr>
            <w:tcW w:w="731" w:type="dxa"/>
            <w:shd w:val="clear" w:color="auto" w:fill="D9D9D9" w:themeFill="background1" w:themeFillShade="D9"/>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12</w:t>
            </w:r>
          </w:p>
        </w:tc>
        <w:tc>
          <w:tcPr>
            <w:tcW w:w="970" w:type="dxa"/>
            <w:shd w:val="clear" w:color="auto" w:fill="D9D9D9" w:themeFill="background1" w:themeFillShade="D9"/>
            <w:vAlign w:val="center"/>
          </w:tcPr>
          <w:p w:rsidR="00FE542A" w:rsidRPr="004A1383" w:rsidRDefault="00FE542A" w:rsidP="0094297E">
            <w:pPr>
              <w:jc w:val="center"/>
              <w:rPr>
                <w:rFonts w:ascii="Arial Narrow" w:hAnsi="Arial Narrow"/>
                <w:sz w:val="20"/>
              </w:rPr>
            </w:pPr>
            <w:r w:rsidRPr="004A1383">
              <w:rPr>
                <w:rFonts w:ascii="Arial Narrow" w:hAnsi="Arial Narrow"/>
                <w:iCs/>
                <w:sz w:val="20"/>
              </w:rPr>
              <w:t>28/28</w:t>
            </w:r>
          </w:p>
        </w:tc>
        <w:tc>
          <w:tcPr>
            <w:tcW w:w="1293" w:type="dxa"/>
            <w:shd w:val="clear" w:color="auto" w:fill="D9D9D9" w:themeFill="background1" w:themeFillShade="D9"/>
            <w:vAlign w:val="center"/>
          </w:tcPr>
          <w:p w:rsidR="00FE542A" w:rsidRPr="004A1383" w:rsidRDefault="00FE542A" w:rsidP="0094297E">
            <w:pPr>
              <w:jc w:val="center"/>
              <w:rPr>
                <w:rFonts w:ascii="Arial Narrow" w:hAnsi="Arial Narrow"/>
                <w:sz w:val="20"/>
              </w:rPr>
            </w:pPr>
            <w:r w:rsidRPr="004A1383">
              <w:rPr>
                <w:rFonts w:ascii="Arial Narrow" w:hAnsi="Arial Narrow"/>
                <w:iCs/>
                <w:sz w:val="20"/>
              </w:rPr>
              <w:t>100 (87.7, 100)</w:t>
            </w:r>
          </w:p>
        </w:tc>
      </w:tr>
      <w:tr w:rsidR="00FE542A" w:rsidRPr="00802DBC" w:rsidTr="00460056">
        <w:tc>
          <w:tcPr>
            <w:tcW w:w="1276" w:type="dxa"/>
            <w:shd w:val="clear" w:color="auto" w:fill="auto"/>
            <w:vAlign w:val="center"/>
          </w:tcPr>
          <w:p w:rsidR="00FE542A" w:rsidRPr="00802DBC" w:rsidRDefault="00FE542A" w:rsidP="0094297E">
            <w:pPr>
              <w:jc w:val="left"/>
              <w:rPr>
                <w:rFonts w:ascii="Arial Narrow" w:hAnsi="Arial Narrow"/>
                <w:iCs/>
                <w:sz w:val="20"/>
              </w:rPr>
            </w:pPr>
            <w:r w:rsidRPr="00802DBC">
              <w:rPr>
                <w:rFonts w:ascii="Arial Narrow" w:hAnsi="Arial Narrow"/>
                <w:iCs/>
                <w:sz w:val="20"/>
              </w:rPr>
              <w:t>ION-3</w:t>
            </w:r>
          </w:p>
        </w:tc>
        <w:tc>
          <w:tcPr>
            <w:tcW w:w="992" w:type="dxa"/>
            <w:shd w:val="clear" w:color="auto" w:fill="auto"/>
          </w:tcPr>
          <w:p w:rsidR="00FE542A" w:rsidRPr="00802DBC" w:rsidRDefault="00FE542A" w:rsidP="0094297E">
            <w:pPr>
              <w:jc w:val="center"/>
              <w:rPr>
                <w:rFonts w:ascii="Arial Narrow" w:hAnsi="Arial Narrow"/>
                <w:iCs/>
                <w:sz w:val="20"/>
              </w:rPr>
            </w:pPr>
            <w:r w:rsidRPr="00802DBC">
              <w:rPr>
                <w:rFonts w:ascii="Arial Narrow" w:hAnsi="Arial Narrow"/>
                <w:iCs/>
                <w:sz w:val="20"/>
              </w:rPr>
              <w:t>Phase III</w:t>
            </w:r>
          </w:p>
        </w:tc>
        <w:tc>
          <w:tcPr>
            <w:tcW w:w="992" w:type="dxa"/>
            <w:shd w:val="clear" w:color="auto" w:fill="auto"/>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0%</w:t>
            </w:r>
          </w:p>
        </w:tc>
        <w:tc>
          <w:tcPr>
            <w:tcW w:w="1071" w:type="dxa"/>
            <w:shd w:val="clear" w:color="auto" w:fill="auto"/>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0%</w:t>
            </w:r>
          </w:p>
        </w:tc>
        <w:tc>
          <w:tcPr>
            <w:tcW w:w="1056" w:type="dxa"/>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LDV/SOF</w:t>
            </w:r>
          </w:p>
        </w:tc>
        <w:tc>
          <w:tcPr>
            <w:tcW w:w="731" w:type="dxa"/>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8</w:t>
            </w:r>
          </w:p>
        </w:tc>
        <w:tc>
          <w:tcPr>
            <w:tcW w:w="970" w:type="dxa"/>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119/123</w:t>
            </w:r>
            <w:r w:rsidRPr="00802DBC">
              <w:rPr>
                <w:rFonts w:ascii="Arial Narrow" w:hAnsi="Arial Narrow"/>
                <w:iCs/>
                <w:sz w:val="20"/>
                <w:vertAlign w:val="superscript"/>
              </w:rPr>
              <w:t>a</w:t>
            </w:r>
            <w:r w:rsidRPr="00802DBC">
              <w:rPr>
                <w:rFonts w:ascii="Arial Narrow" w:hAnsi="Arial Narrow"/>
                <w:iCs/>
                <w:sz w:val="20"/>
              </w:rPr>
              <w:t xml:space="preserve"> </w:t>
            </w:r>
          </w:p>
        </w:tc>
        <w:tc>
          <w:tcPr>
            <w:tcW w:w="1293" w:type="dxa"/>
            <w:shd w:val="clear" w:color="auto" w:fill="auto"/>
            <w:vAlign w:val="center"/>
          </w:tcPr>
          <w:p w:rsidR="00FE542A" w:rsidRPr="004A1383" w:rsidRDefault="00FE542A" w:rsidP="0094297E">
            <w:pPr>
              <w:jc w:val="center"/>
              <w:rPr>
                <w:rFonts w:ascii="Arial Narrow" w:hAnsi="Arial Narrow"/>
                <w:sz w:val="20"/>
              </w:rPr>
            </w:pPr>
            <w:r w:rsidRPr="004A1383">
              <w:rPr>
                <w:rFonts w:ascii="Arial Narrow" w:hAnsi="Arial Narrow"/>
                <w:iCs/>
                <w:sz w:val="20"/>
              </w:rPr>
              <w:t>96.7 (</w:t>
            </w:r>
            <w:r w:rsidRPr="004A1383">
              <w:rPr>
                <w:rFonts w:ascii="Arial Narrow" w:hAnsi="Arial Narrow"/>
                <w:sz w:val="20"/>
              </w:rPr>
              <w:t>91.9, 99.1)</w:t>
            </w:r>
          </w:p>
        </w:tc>
      </w:tr>
      <w:tr w:rsidR="00FE542A" w:rsidRPr="00802DBC" w:rsidTr="00460056">
        <w:tc>
          <w:tcPr>
            <w:tcW w:w="1276" w:type="dxa"/>
            <w:shd w:val="clear" w:color="auto" w:fill="auto"/>
            <w:vAlign w:val="center"/>
          </w:tcPr>
          <w:p w:rsidR="00FE542A" w:rsidRPr="00802DBC" w:rsidRDefault="00FE542A" w:rsidP="0094297E">
            <w:pPr>
              <w:jc w:val="left"/>
              <w:rPr>
                <w:rFonts w:ascii="Arial Narrow" w:hAnsi="Arial Narrow"/>
                <w:iCs/>
                <w:sz w:val="20"/>
              </w:rPr>
            </w:pPr>
            <w:r w:rsidRPr="00802DBC">
              <w:rPr>
                <w:rFonts w:ascii="Arial Narrow" w:hAnsi="Arial Narrow"/>
                <w:iCs/>
                <w:sz w:val="20"/>
              </w:rPr>
              <w:t>ION-3 &amp; ION-1</w:t>
            </w:r>
          </w:p>
        </w:tc>
        <w:tc>
          <w:tcPr>
            <w:tcW w:w="992" w:type="dxa"/>
            <w:shd w:val="clear" w:color="auto" w:fill="auto"/>
          </w:tcPr>
          <w:p w:rsidR="00FE542A" w:rsidRPr="00802DBC" w:rsidRDefault="00FE542A" w:rsidP="0094297E">
            <w:pPr>
              <w:jc w:val="center"/>
              <w:rPr>
                <w:rFonts w:ascii="Arial Narrow" w:hAnsi="Arial Narrow"/>
                <w:iCs/>
                <w:sz w:val="20"/>
              </w:rPr>
            </w:pPr>
            <w:r w:rsidRPr="00802DBC">
              <w:rPr>
                <w:rFonts w:ascii="Arial Narrow" w:hAnsi="Arial Narrow"/>
                <w:iCs/>
                <w:sz w:val="20"/>
              </w:rPr>
              <w:t>Phase III</w:t>
            </w:r>
          </w:p>
        </w:tc>
        <w:tc>
          <w:tcPr>
            <w:tcW w:w="992" w:type="dxa"/>
            <w:shd w:val="clear" w:color="auto" w:fill="auto"/>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0%</w:t>
            </w:r>
          </w:p>
        </w:tc>
        <w:tc>
          <w:tcPr>
            <w:tcW w:w="1071" w:type="dxa"/>
            <w:shd w:val="clear" w:color="auto" w:fill="auto"/>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0%</w:t>
            </w:r>
          </w:p>
        </w:tc>
        <w:tc>
          <w:tcPr>
            <w:tcW w:w="1056" w:type="dxa"/>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LDV/SOF</w:t>
            </w:r>
          </w:p>
        </w:tc>
        <w:tc>
          <w:tcPr>
            <w:tcW w:w="731" w:type="dxa"/>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12</w:t>
            </w:r>
          </w:p>
        </w:tc>
        <w:tc>
          <w:tcPr>
            <w:tcW w:w="970" w:type="dxa"/>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sz w:val="20"/>
              </w:rPr>
              <w:t>385/395</w:t>
            </w:r>
            <w:r w:rsidRPr="00802DBC">
              <w:rPr>
                <w:rFonts w:ascii="Arial Narrow" w:hAnsi="Arial Narrow"/>
                <w:sz w:val="20"/>
                <w:vertAlign w:val="superscript"/>
              </w:rPr>
              <w:t>b</w:t>
            </w:r>
          </w:p>
        </w:tc>
        <w:tc>
          <w:tcPr>
            <w:tcW w:w="1293" w:type="dxa"/>
            <w:shd w:val="clear" w:color="auto" w:fill="auto"/>
            <w:vAlign w:val="center"/>
          </w:tcPr>
          <w:p w:rsidR="00FE542A" w:rsidRPr="004A1383" w:rsidRDefault="00FE542A" w:rsidP="0094297E">
            <w:pPr>
              <w:jc w:val="center"/>
              <w:rPr>
                <w:rFonts w:ascii="Arial Narrow" w:hAnsi="Arial Narrow"/>
                <w:iCs/>
                <w:sz w:val="20"/>
              </w:rPr>
            </w:pPr>
            <w:r w:rsidRPr="004A1383">
              <w:rPr>
                <w:rFonts w:ascii="Arial Narrow" w:hAnsi="Arial Narrow"/>
                <w:sz w:val="20"/>
              </w:rPr>
              <w:t>97.5 (</w:t>
            </w:r>
            <w:r w:rsidRPr="004A1383">
              <w:rPr>
                <w:rFonts w:ascii="Arial Narrow" w:hAnsi="Arial Narrow"/>
                <w:iCs/>
                <w:sz w:val="20"/>
              </w:rPr>
              <w:t>95.4, 98.8)</w:t>
            </w:r>
          </w:p>
        </w:tc>
      </w:tr>
      <w:tr w:rsidR="00FE542A" w:rsidRPr="00802DBC" w:rsidTr="00460056">
        <w:tc>
          <w:tcPr>
            <w:tcW w:w="1276" w:type="dxa"/>
            <w:shd w:val="clear" w:color="auto" w:fill="auto"/>
            <w:vAlign w:val="center"/>
          </w:tcPr>
          <w:p w:rsidR="00FE542A" w:rsidRPr="00802DBC" w:rsidRDefault="00FE542A" w:rsidP="0094297E">
            <w:pPr>
              <w:jc w:val="left"/>
              <w:rPr>
                <w:rFonts w:ascii="Arial Narrow" w:hAnsi="Arial Narrow"/>
                <w:iCs/>
                <w:sz w:val="20"/>
              </w:rPr>
            </w:pPr>
            <w:r w:rsidRPr="00802DBC">
              <w:rPr>
                <w:rFonts w:ascii="Arial Narrow" w:hAnsi="Arial Narrow"/>
                <w:iCs/>
                <w:sz w:val="20"/>
              </w:rPr>
              <w:t>ION-2</w:t>
            </w:r>
          </w:p>
        </w:tc>
        <w:tc>
          <w:tcPr>
            <w:tcW w:w="992" w:type="dxa"/>
            <w:shd w:val="clear" w:color="auto" w:fill="auto"/>
          </w:tcPr>
          <w:p w:rsidR="00FE542A" w:rsidRPr="00802DBC" w:rsidRDefault="00FE542A" w:rsidP="0094297E">
            <w:pPr>
              <w:jc w:val="center"/>
              <w:rPr>
                <w:rFonts w:ascii="Arial Narrow" w:hAnsi="Arial Narrow"/>
                <w:iCs/>
                <w:sz w:val="20"/>
              </w:rPr>
            </w:pPr>
            <w:r w:rsidRPr="00802DBC">
              <w:rPr>
                <w:rFonts w:ascii="Arial Narrow" w:hAnsi="Arial Narrow"/>
                <w:iCs/>
                <w:sz w:val="20"/>
              </w:rPr>
              <w:t>Phase III</w:t>
            </w:r>
          </w:p>
        </w:tc>
        <w:tc>
          <w:tcPr>
            <w:tcW w:w="992" w:type="dxa"/>
            <w:shd w:val="clear" w:color="auto" w:fill="auto"/>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0%</w:t>
            </w:r>
          </w:p>
        </w:tc>
        <w:tc>
          <w:tcPr>
            <w:tcW w:w="1071" w:type="dxa"/>
            <w:shd w:val="clear" w:color="auto" w:fill="auto"/>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100%</w:t>
            </w:r>
          </w:p>
        </w:tc>
        <w:tc>
          <w:tcPr>
            <w:tcW w:w="1056" w:type="dxa"/>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LDV/SOF</w:t>
            </w:r>
          </w:p>
        </w:tc>
        <w:tc>
          <w:tcPr>
            <w:tcW w:w="731" w:type="dxa"/>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12</w:t>
            </w:r>
          </w:p>
        </w:tc>
        <w:tc>
          <w:tcPr>
            <w:tcW w:w="970" w:type="dxa"/>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sz w:val="20"/>
              </w:rPr>
              <w:t xml:space="preserve">83/87 </w:t>
            </w:r>
          </w:p>
        </w:tc>
        <w:tc>
          <w:tcPr>
            <w:tcW w:w="1293" w:type="dxa"/>
            <w:shd w:val="clear" w:color="auto" w:fill="auto"/>
            <w:vAlign w:val="center"/>
          </w:tcPr>
          <w:p w:rsidR="00FE542A" w:rsidRPr="004A1383" w:rsidRDefault="00FE542A" w:rsidP="0094297E">
            <w:pPr>
              <w:jc w:val="center"/>
              <w:rPr>
                <w:rFonts w:ascii="Arial Narrow" w:hAnsi="Arial Narrow"/>
                <w:iCs/>
                <w:sz w:val="20"/>
              </w:rPr>
            </w:pPr>
            <w:r w:rsidRPr="004A1383">
              <w:rPr>
                <w:rFonts w:ascii="Arial Narrow" w:hAnsi="Arial Narrow"/>
                <w:sz w:val="20"/>
              </w:rPr>
              <w:t>95.4 (</w:t>
            </w:r>
            <w:r w:rsidRPr="004A1383">
              <w:rPr>
                <w:rFonts w:ascii="Arial Narrow" w:hAnsi="Arial Narrow"/>
                <w:iCs/>
                <w:sz w:val="20"/>
              </w:rPr>
              <w:t>88.6, 98.7)</w:t>
            </w:r>
          </w:p>
        </w:tc>
      </w:tr>
      <w:tr w:rsidR="00FE542A" w:rsidRPr="00802DBC" w:rsidTr="00460056">
        <w:tc>
          <w:tcPr>
            <w:tcW w:w="8381" w:type="dxa"/>
            <w:gridSpan w:val="8"/>
            <w:shd w:val="clear" w:color="auto" w:fill="auto"/>
            <w:vAlign w:val="center"/>
          </w:tcPr>
          <w:p w:rsidR="00FE542A" w:rsidRPr="004A1383" w:rsidRDefault="00FE542A" w:rsidP="0094297E">
            <w:pPr>
              <w:jc w:val="left"/>
              <w:rPr>
                <w:rFonts w:ascii="Arial Narrow" w:hAnsi="Arial Narrow"/>
                <w:iCs/>
                <w:sz w:val="20"/>
              </w:rPr>
            </w:pPr>
            <w:r w:rsidRPr="004A1383">
              <w:rPr>
                <w:rFonts w:ascii="Arial Narrow" w:hAnsi="Arial Narrow"/>
                <w:b/>
                <w:iCs/>
                <w:sz w:val="20"/>
              </w:rPr>
              <w:t>Cirrhosis</w:t>
            </w:r>
          </w:p>
        </w:tc>
      </w:tr>
      <w:tr w:rsidR="00FE542A" w:rsidRPr="00802DBC" w:rsidTr="00460056">
        <w:tc>
          <w:tcPr>
            <w:tcW w:w="1276" w:type="dxa"/>
            <w:shd w:val="clear" w:color="auto" w:fill="D9D9D9" w:themeFill="background1" w:themeFillShade="D9"/>
            <w:vAlign w:val="center"/>
          </w:tcPr>
          <w:p w:rsidR="00FE542A" w:rsidRPr="00802DBC" w:rsidRDefault="00FE542A" w:rsidP="0094297E">
            <w:pPr>
              <w:jc w:val="left"/>
              <w:rPr>
                <w:rFonts w:ascii="Arial Narrow" w:hAnsi="Arial Narrow"/>
                <w:iCs/>
                <w:sz w:val="20"/>
              </w:rPr>
            </w:pPr>
            <w:r w:rsidRPr="00802DBC">
              <w:rPr>
                <w:rFonts w:ascii="Arial Narrow" w:hAnsi="Arial Narrow"/>
                <w:iCs/>
                <w:sz w:val="20"/>
              </w:rPr>
              <w:t>ASTRAL-1</w:t>
            </w:r>
          </w:p>
        </w:tc>
        <w:tc>
          <w:tcPr>
            <w:tcW w:w="992" w:type="dxa"/>
            <w:shd w:val="clear" w:color="auto" w:fill="D9D9D9" w:themeFill="background1" w:themeFillShade="D9"/>
          </w:tcPr>
          <w:p w:rsidR="00FE542A" w:rsidRPr="00802DBC" w:rsidRDefault="00FE542A" w:rsidP="0094297E">
            <w:pPr>
              <w:jc w:val="center"/>
              <w:rPr>
                <w:rFonts w:ascii="Arial Narrow" w:hAnsi="Arial Narrow"/>
                <w:iCs/>
                <w:sz w:val="20"/>
              </w:rPr>
            </w:pPr>
            <w:r w:rsidRPr="00802DBC">
              <w:rPr>
                <w:rFonts w:ascii="Arial Narrow" w:hAnsi="Arial Narrow"/>
                <w:iCs/>
                <w:sz w:val="20"/>
              </w:rPr>
              <w:t>Phase III</w:t>
            </w:r>
          </w:p>
        </w:tc>
        <w:tc>
          <w:tcPr>
            <w:tcW w:w="992" w:type="dxa"/>
            <w:shd w:val="clear" w:color="auto" w:fill="D9D9D9" w:themeFill="background1" w:themeFillShade="D9"/>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100%</w:t>
            </w:r>
          </w:p>
        </w:tc>
        <w:tc>
          <w:tcPr>
            <w:tcW w:w="1071" w:type="dxa"/>
            <w:shd w:val="clear" w:color="auto" w:fill="D9D9D9" w:themeFill="background1" w:themeFillShade="D9"/>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NR (mixed)</w:t>
            </w:r>
            <w:r w:rsidR="00456BE1" w:rsidRPr="004A1383">
              <w:rPr>
                <w:rFonts w:ascii="Arial Narrow" w:hAnsi="Arial Narrow"/>
                <w:bCs/>
                <w:iCs/>
                <w:sz w:val="20"/>
                <w:vertAlign w:val="superscript"/>
              </w:rPr>
              <w:t xml:space="preserve"> c</w:t>
            </w:r>
          </w:p>
        </w:tc>
        <w:tc>
          <w:tcPr>
            <w:tcW w:w="1056" w:type="dxa"/>
            <w:shd w:val="clear" w:color="auto" w:fill="D9D9D9" w:themeFill="background1" w:themeFillShade="D9"/>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SOF/VEL</w:t>
            </w:r>
          </w:p>
        </w:tc>
        <w:tc>
          <w:tcPr>
            <w:tcW w:w="731" w:type="dxa"/>
            <w:shd w:val="clear" w:color="auto" w:fill="D9D9D9" w:themeFill="background1" w:themeFillShade="D9"/>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12</w:t>
            </w:r>
          </w:p>
        </w:tc>
        <w:tc>
          <w:tcPr>
            <w:tcW w:w="970" w:type="dxa"/>
            <w:shd w:val="clear" w:color="auto" w:fill="D9D9D9" w:themeFill="background1" w:themeFillShade="D9"/>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 xml:space="preserve">72/73 </w:t>
            </w:r>
          </w:p>
        </w:tc>
        <w:tc>
          <w:tcPr>
            <w:tcW w:w="1293" w:type="dxa"/>
            <w:shd w:val="clear" w:color="auto" w:fill="D9D9D9" w:themeFill="background1" w:themeFillShade="D9"/>
            <w:vAlign w:val="center"/>
          </w:tcPr>
          <w:p w:rsidR="00FE542A" w:rsidRPr="004A1383" w:rsidRDefault="00FE542A" w:rsidP="0094297E">
            <w:pPr>
              <w:jc w:val="center"/>
              <w:rPr>
                <w:rFonts w:ascii="Arial Narrow" w:hAnsi="Arial Narrow"/>
                <w:sz w:val="20"/>
              </w:rPr>
            </w:pPr>
            <w:r w:rsidRPr="004A1383">
              <w:rPr>
                <w:rFonts w:ascii="Arial Narrow" w:hAnsi="Arial Narrow"/>
                <w:iCs/>
                <w:sz w:val="20"/>
              </w:rPr>
              <w:t>98.6 (</w:t>
            </w:r>
            <w:r w:rsidRPr="004A1383">
              <w:rPr>
                <w:rFonts w:ascii="Arial Narrow" w:hAnsi="Arial Narrow"/>
                <w:sz w:val="20"/>
              </w:rPr>
              <w:t>92.6, 100)</w:t>
            </w:r>
          </w:p>
        </w:tc>
      </w:tr>
      <w:tr w:rsidR="00FE542A" w:rsidRPr="00802DBC" w:rsidTr="00460056">
        <w:tc>
          <w:tcPr>
            <w:tcW w:w="1276" w:type="dxa"/>
            <w:shd w:val="clear" w:color="auto" w:fill="auto"/>
            <w:vAlign w:val="center"/>
          </w:tcPr>
          <w:p w:rsidR="00FE542A" w:rsidRPr="00802DBC" w:rsidRDefault="00FE542A" w:rsidP="0094297E">
            <w:pPr>
              <w:jc w:val="left"/>
              <w:rPr>
                <w:rFonts w:ascii="Arial Narrow" w:hAnsi="Arial Narrow"/>
                <w:iCs/>
                <w:sz w:val="20"/>
              </w:rPr>
            </w:pPr>
            <w:r w:rsidRPr="00802DBC">
              <w:rPr>
                <w:rFonts w:ascii="Arial Narrow" w:hAnsi="Arial Narrow"/>
                <w:iCs/>
                <w:sz w:val="20"/>
              </w:rPr>
              <w:t>ION-1</w:t>
            </w:r>
          </w:p>
        </w:tc>
        <w:tc>
          <w:tcPr>
            <w:tcW w:w="992" w:type="dxa"/>
            <w:shd w:val="clear" w:color="auto" w:fill="auto"/>
          </w:tcPr>
          <w:p w:rsidR="00FE542A" w:rsidRPr="00802DBC" w:rsidRDefault="00FE542A" w:rsidP="0094297E">
            <w:pPr>
              <w:jc w:val="center"/>
              <w:rPr>
                <w:rFonts w:ascii="Arial Narrow" w:hAnsi="Arial Narrow"/>
                <w:iCs/>
                <w:sz w:val="20"/>
              </w:rPr>
            </w:pPr>
            <w:r w:rsidRPr="00802DBC">
              <w:rPr>
                <w:rFonts w:ascii="Arial Narrow" w:hAnsi="Arial Narrow"/>
                <w:iCs/>
                <w:sz w:val="20"/>
              </w:rPr>
              <w:t>Phase III</w:t>
            </w:r>
          </w:p>
        </w:tc>
        <w:tc>
          <w:tcPr>
            <w:tcW w:w="992" w:type="dxa"/>
            <w:shd w:val="clear" w:color="auto" w:fill="auto"/>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100%</w:t>
            </w:r>
          </w:p>
        </w:tc>
        <w:tc>
          <w:tcPr>
            <w:tcW w:w="1071" w:type="dxa"/>
            <w:shd w:val="clear" w:color="auto" w:fill="auto"/>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0%</w:t>
            </w:r>
          </w:p>
        </w:tc>
        <w:tc>
          <w:tcPr>
            <w:tcW w:w="1056" w:type="dxa"/>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LDV/SOF</w:t>
            </w:r>
          </w:p>
        </w:tc>
        <w:tc>
          <w:tcPr>
            <w:tcW w:w="731" w:type="dxa"/>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12</w:t>
            </w:r>
          </w:p>
        </w:tc>
        <w:tc>
          <w:tcPr>
            <w:tcW w:w="970" w:type="dxa"/>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32/34</w:t>
            </w:r>
          </w:p>
        </w:tc>
        <w:tc>
          <w:tcPr>
            <w:tcW w:w="1293" w:type="dxa"/>
            <w:shd w:val="clear" w:color="auto" w:fill="auto"/>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94.1 (</w:t>
            </w:r>
            <w:r w:rsidRPr="004A1383">
              <w:rPr>
                <w:rFonts w:ascii="Arial Narrow" w:hAnsi="Arial Narrow"/>
                <w:sz w:val="20"/>
              </w:rPr>
              <w:t>80.3, 99.3</w:t>
            </w:r>
            <w:r w:rsidRPr="004A1383">
              <w:rPr>
                <w:rFonts w:ascii="Arial Narrow" w:hAnsi="Arial Narrow"/>
                <w:iCs/>
                <w:sz w:val="20"/>
              </w:rPr>
              <w:t>)</w:t>
            </w:r>
          </w:p>
        </w:tc>
      </w:tr>
      <w:tr w:rsidR="00FE542A" w:rsidRPr="00802DBC" w:rsidTr="00460056">
        <w:tc>
          <w:tcPr>
            <w:tcW w:w="1276" w:type="dxa"/>
            <w:shd w:val="clear" w:color="auto" w:fill="auto"/>
            <w:vAlign w:val="center"/>
          </w:tcPr>
          <w:p w:rsidR="00FE542A" w:rsidRPr="00802DBC" w:rsidRDefault="00FE542A" w:rsidP="0094297E">
            <w:pPr>
              <w:jc w:val="left"/>
              <w:rPr>
                <w:rFonts w:ascii="Arial Narrow" w:hAnsi="Arial Narrow"/>
                <w:iCs/>
                <w:sz w:val="20"/>
              </w:rPr>
            </w:pPr>
            <w:r w:rsidRPr="00802DBC">
              <w:rPr>
                <w:rFonts w:ascii="Arial Narrow" w:hAnsi="Arial Narrow"/>
                <w:iCs/>
                <w:sz w:val="20"/>
              </w:rPr>
              <w:t>ION-2</w:t>
            </w:r>
          </w:p>
        </w:tc>
        <w:tc>
          <w:tcPr>
            <w:tcW w:w="992" w:type="dxa"/>
            <w:shd w:val="clear" w:color="auto" w:fill="auto"/>
          </w:tcPr>
          <w:p w:rsidR="00FE542A" w:rsidRPr="00802DBC" w:rsidRDefault="00FE542A" w:rsidP="0094297E">
            <w:pPr>
              <w:jc w:val="center"/>
              <w:rPr>
                <w:rFonts w:ascii="Arial Narrow" w:hAnsi="Arial Narrow"/>
                <w:iCs/>
                <w:sz w:val="20"/>
              </w:rPr>
            </w:pPr>
            <w:r w:rsidRPr="00802DBC">
              <w:rPr>
                <w:rFonts w:ascii="Arial Narrow" w:hAnsi="Arial Narrow"/>
                <w:iCs/>
                <w:sz w:val="20"/>
              </w:rPr>
              <w:t>Phase III</w:t>
            </w:r>
          </w:p>
        </w:tc>
        <w:tc>
          <w:tcPr>
            <w:tcW w:w="992" w:type="dxa"/>
            <w:shd w:val="clear" w:color="auto" w:fill="auto"/>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100%</w:t>
            </w:r>
          </w:p>
        </w:tc>
        <w:tc>
          <w:tcPr>
            <w:tcW w:w="1071" w:type="dxa"/>
            <w:shd w:val="clear" w:color="auto" w:fill="auto"/>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100%</w:t>
            </w:r>
          </w:p>
        </w:tc>
        <w:tc>
          <w:tcPr>
            <w:tcW w:w="1056" w:type="dxa"/>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LDV/SOF</w:t>
            </w:r>
          </w:p>
        </w:tc>
        <w:tc>
          <w:tcPr>
            <w:tcW w:w="731" w:type="dxa"/>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24</w:t>
            </w:r>
          </w:p>
        </w:tc>
        <w:tc>
          <w:tcPr>
            <w:tcW w:w="970" w:type="dxa"/>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sz w:val="20"/>
              </w:rPr>
              <w:t xml:space="preserve">22/22 </w:t>
            </w:r>
          </w:p>
        </w:tc>
        <w:tc>
          <w:tcPr>
            <w:tcW w:w="1293" w:type="dxa"/>
            <w:shd w:val="clear" w:color="auto" w:fill="auto"/>
            <w:vAlign w:val="center"/>
          </w:tcPr>
          <w:p w:rsidR="00FE542A" w:rsidRPr="004A1383" w:rsidRDefault="00FE542A" w:rsidP="0094297E">
            <w:pPr>
              <w:jc w:val="center"/>
              <w:rPr>
                <w:rFonts w:ascii="Arial Narrow" w:hAnsi="Arial Narrow"/>
                <w:iCs/>
                <w:sz w:val="20"/>
              </w:rPr>
            </w:pPr>
            <w:r w:rsidRPr="004A1383">
              <w:rPr>
                <w:rFonts w:ascii="Arial Narrow" w:hAnsi="Arial Narrow"/>
                <w:sz w:val="20"/>
              </w:rPr>
              <w:t>100 (</w:t>
            </w:r>
            <w:r w:rsidRPr="004A1383">
              <w:rPr>
                <w:rFonts w:ascii="Arial Narrow" w:hAnsi="Arial Narrow"/>
                <w:iCs/>
                <w:sz w:val="20"/>
              </w:rPr>
              <w:t>84.6, 100</w:t>
            </w:r>
            <w:r w:rsidRPr="004A1383">
              <w:rPr>
                <w:rFonts w:ascii="Arial Narrow" w:hAnsi="Arial Narrow"/>
                <w:sz w:val="20"/>
              </w:rPr>
              <w:t>)</w:t>
            </w:r>
          </w:p>
        </w:tc>
      </w:tr>
      <w:tr w:rsidR="00FE542A" w:rsidRPr="004A1383" w:rsidTr="00460056">
        <w:tc>
          <w:tcPr>
            <w:tcW w:w="1276" w:type="dxa"/>
            <w:tcBorders>
              <w:bottom w:val="double" w:sz="4" w:space="0" w:color="auto"/>
            </w:tcBorders>
            <w:shd w:val="clear" w:color="auto" w:fill="auto"/>
            <w:vAlign w:val="center"/>
          </w:tcPr>
          <w:p w:rsidR="00FE542A" w:rsidRPr="004A1383" w:rsidRDefault="00FE542A" w:rsidP="0094297E">
            <w:pPr>
              <w:jc w:val="left"/>
              <w:rPr>
                <w:rFonts w:ascii="Arial Narrow" w:hAnsi="Arial Narrow"/>
                <w:iCs/>
                <w:sz w:val="20"/>
              </w:rPr>
            </w:pPr>
            <w:r w:rsidRPr="004A1383">
              <w:rPr>
                <w:rFonts w:ascii="Arial Narrow" w:hAnsi="Arial Narrow"/>
                <w:iCs/>
                <w:sz w:val="20"/>
              </w:rPr>
              <w:t>SIRIUS</w:t>
            </w:r>
            <w:r w:rsidR="00456BE1" w:rsidRPr="004A1383">
              <w:rPr>
                <w:rFonts w:ascii="Arial Narrow" w:hAnsi="Arial Narrow"/>
                <w:bCs/>
                <w:iCs/>
                <w:sz w:val="20"/>
                <w:vertAlign w:val="superscript"/>
              </w:rPr>
              <w:t xml:space="preserve"> c</w:t>
            </w:r>
          </w:p>
        </w:tc>
        <w:tc>
          <w:tcPr>
            <w:tcW w:w="992" w:type="dxa"/>
            <w:tcBorders>
              <w:bottom w:val="double" w:sz="4" w:space="0" w:color="auto"/>
            </w:tcBorders>
            <w:shd w:val="clear" w:color="auto" w:fill="auto"/>
          </w:tcPr>
          <w:p w:rsidR="00FE542A" w:rsidRPr="004A1383" w:rsidRDefault="00FE542A" w:rsidP="0094297E">
            <w:pPr>
              <w:jc w:val="center"/>
              <w:rPr>
                <w:rFonts w:ascii="Arial Narrow" w:hAnsi="Arial Narrow"/>
                <w:iCs/>
                <w:sz w:val="20"/>
              </w:rPr>
            </w:pPr>
            <w:r w:rsidRPr="004A1383">
              <w:rPr>
                <w:rFonts w:ascii="Arial Narrow" w:hAnsi="Arial Narrow"/>
                <w:iCs/>
                <w:sz w:val="20"/>
              </w:rPr>
              <w:t>Phase II</w:t>
            </w:r>
          </w:p>
        </w:tc>
        <w:tc>
          <w:tcPr>
            <w:tcW w:w="992" w:type="dxa"/>
            <w:tcBorders>
              <w:bottom w:val="double" w:sz="4" w:space="0" w:color="auto"/>
            </w:tcBorders>
            <w:shd w:val="clear" w:color="auto" w:fill="auto"/>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100%</w:t>
            </w:r>
          </w:p>
        </w:tc>
        <w:tc>
          <w:tcPr>
            <w:tcW w:w="1071" w:type="dxa"/>
            <w:tcBorders>
              <w:bottom w:val="double" w:sz="4" w:space="0" w:color="auto"/>
            </w:tcBorders>
            <w:shd w:val="clear" w:color="auto" w:fill="auto"/>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100%</w:t>
            </w:r>
          </w:p>
        </w:tc>
        <w:tc>
          <w:tcPr>
            <w:tcW w:w="1056" w:type="dxa"/>
            <w:tcBorders>
              <w:bottom w:val="double" w:sz="4" w:space="0" w:color="auto"/>
            </w:tcBorders>
            <w:shd w:val="clear" w:color="auto" w:fill="auto"/>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LDV/SOF</w:t>
            </w:r>
          </w:p>
        </w:tc>
        <w:tc>
          <w:tcPr>
            <w:tcW w:w="731" w:type="dxa"/>
            <w:tcBorders>
              <w:bottom w:val="double" w:sz="4" w:space="0" w:color="auto"/>
            </w:tcBorders>
            <w:shd w:val="clear" w:color="auto" w:fill="auto"/>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24</w:t>
            </w:r>
          </w:p>
        </w:tc>
        <w:tc>
          <w:tcPr>
            <w:tcW w:w="970" w:type="dxa"/>
            <w:tcBorders>
              <w:bottom w:val="double" w:sz="4" w:space="0" w:color="auto"/>
            </w:tcBorders>
            <w:shd w:val="clear" w:color="auto" w:fill="auto"/>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75/77</w:t>
            </w:r>
          </w:p>
        </w:tc>
        <w:tc>
          <w:tcPr>
            <w:tcW w:w="1293" w:type="dxa"/>
            <w:tcBorders>
              <w:bottom w:val="double" w:sz="4" w:space="0" w:color="auto"/>
            </w:tcBorders>
            <w:shd w:val="clear" w:color="auto" w:fill="auto"/>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97.4 (90.9, 99.7)</w:t>
            </w:r>
          </w:p>
        </w:tc>
      </w:tr>
      <w:tr w:rsidR="00FE542A" w:rsidRPr="00802DBC" w:rsidTr="00460056">
        <w:tc>
          <w:tcPr>
            <w:tcW w:w="8381" w:type="dxa"/>
            <w:gridSpan w:val="8"/>
            <w:tcBorders>
              <w:top w:val="double" w:sz="4" w:space="0" w:color="auto"/>
            </w:tcBorders>
            <w:shd w:val="clear" w:color="auto" w:fill="auto"/>
            <w:vAlign w:val="center"/>
          </w:tcPr>
          <w:p w:rsidR="00FE542A" w:rsidRPr="004A1383" w:rsidRDefault="00FE542A" w:rsidP="00927BE4">
            <w:pPr>
              <w:jc w:val="left"/>
              <w:rPr>
                <w:rFonts w:ascii="Arial Narrow" w:hAnsi="Arial Narrow"/>
                <w:iCs/>
                <w:sz w:val="20"/>
              </w:rPr>
            </w:pPr>
            <w:r w:rsidRPr="004A1383">
              <w:rPr>
                <w:rFonts w:ascii="Arial Narrow" w:hAnsi="Arial Narrow"/>
                <w:b/>
                <w:iCs/>
                <w:sz w:val="20"/>
              </w:rPr>
              <w:t>Treatment</w:t>
            </w:r>
            <w:r w:rsidR="00927BE4">
              <w:rPr>
                <w:rFonts w:ascii="Arial Narrow" w:hAnsi="Arial Narrow"/>
                <w:b/>
                <w:iCs/>
                <w:sz w:val="20"/>
              </w:rPr>
              <w:t xml:space="preserve"> </w:t>
            </w:r>
            <w:r w:rsidRPr="004A1383">
              <w:rPr>
                <w:rFonts w:ascii="Arial Narrow" w:hAnsi="Arial Narrow"/>
                <w:b/>
                <w:iCs/>
                <w:sz w:val="20"/>
              </w:rPr>
              <w:t xml:space="preserve">naïve </w:t>
            </w:r>
          </w:p>
        </w:tc>
      </w:tr>
      <w:tr w:rsidR="00FE542A" w:rsidRPr="00802DBC" w:rsidTr="00460056">
        <w:tc>
          <w:tcPr>
            <w:tcW w:w="1276" w:type="dxa"/>
            <w:shd w:val="clear" w:color="auto" w:fill="D9D9D9" w:themeFill="background1" w:themeFillShade="D9"/>
            <w:vAlign w:val="center"/>
          </w:tcPr>
          <w:p w:rsidR="00FE542A" w:rsidRPr="00802DBC" w:rsidRDefault="00FE542A" w:rsidP="0094297E">
            <w:pPr>
              <w:jc w:val="left"/>
              <w:rPr>
                <w:rFonts w:ascii="Arial Narrow" w:hAnsi="Arial Narrow"/>
                <w:iCs/>
                <w:sz w:val="20"/>
              </w:rPr>
            </w:pPr>
            <w:r w:rsidRPr="00802DBC">
              <w:rPr>
                <w:rFonts w:ascii="Arial Narrow" w:hAnsi="Arial Narrow"/>
                <w:iCs/>
                <w:sz w:val="20"/>
              </w:rPr>
              <w:t>ASTRAL-1</w:t>
            </w:r>
          </w:p>
        </w:tc>
        <w:tc>
          <w:tcPr>
            <w:tcW w:w="992" w:type="dxa"/>
            <w:shd w:val="clear" w:color="auto" w:fill="D9D9D9" w:themeFill="background1" w:themeFillShade="D9"/>
          </w:tcPr>
          <w:p w:rsidR="00FE542A" w:rsidRPr="00802DBC" w:rsidRDefault="00FE542A" w:rsidP="0094297E">
            <w:pPr>
              <w:jc w:val="center"/>
              <w:rPr>
                <w:rFonts w:ascii="Arial Narrow" w:hAnsi="Arial Narrow"/>
                <w:iCs/>
                <w:sz w:val="20"/>
              </w:rPr>
            </w:pPr>
            <w:r w:rsidRPr="00802DBC">
              <w:rPr>
                <w:rFonts w:ascii="Arial Narrow" w:hAnsi="Arial Narrow"/>
                <w:iCs/>
                <w:sz w:val="20"/>
              </w:rPr>
              <w:t>Phase III</w:t>
            </w:r>
          </w:p>
        </w:tc>
        <w:tc>
          <w:tcPr>
            <w:tcW w:w="992" w:type="dxa"/>
            <w:shd w:val="clear" w:color="auto" w:fill="D9D9D9" w:themeFill="background1" w:themeFillShade="D9"/>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NR (mixed)</w:t>
            </w:r>
            <w:r w:rsidR="00456BE1" w:rsidRPr="004A1383">
              <w:rPr>
                <w:rFonts w:ascii="Arial Narrow" w:hAnsi="Arial Narrow"/>
                <w:bCs/>
                <w:iCs/>
                <w:sz w:val="20"/>
                <w:vertAlign w:val="superscript"/>
              </w:rPr>
              <w:t xml:space="preserve"> c</w:t>
            </w:r>
          </w:p>
        </w:tc>
        <w:tc>
          <w:tcPr>
            <w:tcW w:w="1071" w:type="dxa"/>
            <w:shd w:val="clear" w:color="auto" w:fill="D9D9D9" w:themeFill="background1" w:themeFillShade="D9"/>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0%</w:t>
            </w:r>
          </w:p>
        </w:tc>
        <w:tc>
          <w:tcPr>
            <w:tcW w:w="1056" w:type="dxa"/>
            <w:shd w:val="clear" w:color="auto" w:fill="D9D9D9" w:themeFill="background1" w:themeFillShade="D9"/>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SOF/VEL</w:t>
            </w:r>
          </w:p>
        </w:tc>
        <w:tc>
          <w:tcPr>
            <w:tcW w:w="731" w:type="dxa"/>
            <w:shd w:val="clear" w:color="auto" w:fill="D9D9D9" w:themeFill="background1" w:themeFillShade="D9"/>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12</w:t>
            </w:r>
          </w:p>
        </w:tc>
        <w:tc>
          <w:tcPr>
            <w:tcW w:w="970" w:type="dxa"/>
            <w:shd w:val="clear" w:color="auto" w:fill="D9D9D9" w:themeFill="background1" w:themeFillShade="D9"/>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214/218</w:t>
            </w:r>
          </w:p>
        </w:tc>
        <w:tc>
          <w:tcPr>
            <w:tcW w:w="1293" w:type="dxa"/>
            <w:shd w:val="clear" w:color="auto" w:fill="D9D9D9" w:themeFill="background1" w:themeFillShade="D9"/>
            <w:vAlign w:val="center"/>
          </w:tcPr>
          <w:p w:rsidR="00FE542A" w:rsidRPr="004A1383" w:rsidRDefault="00FE542A" w:rsidP="0094297E">
            <w:pPr>
              <w:jc w:val="center"/>
              <w:rPr>
                <w:rFonts w:ascii="Arial Narrow" w:hAnsi="Arial Narrow"/>
                <w:sz w:val="20"/>
              </w:rPr>
            </w:pPr>
            <w:r w:rsidRPr="004A1383">
              <w:rPr>
                <w:rFonts w:ascii="Arial Narrow" w:hAnsi="Arial Narrow"/>
                <w:iCs/>
                <w:sz w:val="20"/>
              </w:rPr>
              <w:t>98.2 (</w:t>
            </w:r>
            <w:r w:rsidRPr="004A1383">
              <w:rPr>
                <w:rFonts w:ascii="Arial Narrow" w:hAnsi="Arial Narrow"/>
                <w:sz w:val="20"/>
              </w:rPr>
              <w:t>95.4, 99.5)</w:t>
            </w:r>
          </w:p>
        </w:tc>
      </w:tr>
      <w:tr w:rsidR="00FE542A" w:rsidRPr="004A1383" w:rsidTr="00460056">
        <w:tc>
          <w:tcPr>
            <w:tcW w:w="1276" w:type="dxa"/>
            <w:shd w:val="clear" w:color="auto" w:fill="D9D9D9" w:themeFill="background1" w:themeFillShade="D9"/>
            <w:vAlign w:val="center"/>
          </w:tcPr>
          <w:p w:rsidR="00FE542A" w:rsidRPr="004A1383" w:rsidRDefault="00FE542A" w:rsidP="0094297E">
            <w:pPr>
              <w:jc w:val="left"/>
              <w:rPr>
                <w:rFonts w:ascii="Arial Narrow" w:hAnsi="Arial Narrow"/>
                <w:iCs/>
                <w:sz w:val="20"/>
              </w:rPr>
            </w:pPr>
            <w:r w:rsidRPr="004A1383">
              <w:rPr>
                <w:rFonts w:ascii="Arial Narrow" w:hAnsi="Arial Narrow"/>
                <w:bCs/>
                <w:iCs/>
                <w:sz w:val="20"/>
              </w:rPr>
              <w:t>Everson (2015)</w:t>
            </w:r>
            <w:r w:rsidR="00456BE1" w:rsidRPr="004A1383">
              <w:rPr>
                <w:rFonts w:ascii="Arial Narrow" w:hAnsi="Arial Narrow"/>
                <w:bCs/>
                <w:iCs/>
                <w:sz w:val="20"/>
                <w:vertAlign w:val="superscript"/>
              </w:rPr>
              <w:t xml:space="preserve"> c</w:t>
            </w:r>
          </w:p>
        </w:tc>
        <w:tc>
          <w:tcPr>
            <w:tcW w:w="992" w:type="dxa"/>
            <w:shd w:val="clear" w:color="auto" w:fill="D9D9D9" w:themeFill="background1" w:themeFillShade="D9"/>
          </w:tcPr>
          <w:p w:rsidR="00FE542A" w:rsidRPr="004A1383" w:rsidRDefault="00FE542A" w:rsidP="0094297E">
            <w:pPr>
              <w:jc w:val="center"/>
              <w:rPr>
                <w:rFonts w:ascii="Arial Narrow" w:hAnsi="Arial Narrow"/>
                <w:iCs/>
                <w:sz w:val="20"/>
              </w:rPr>
            </w:pPr>
            <w:r w:rsidRPr="004A1383">
              <w:rPr>
                <w:rFonts w:ascii="Arial Narrow" w:hAnsi="Arial Narrow"/>
                <w:iCs/>
                <w:sz w:val="20"/>
              </w:rPr>
              <w:t>Phase II</w:t>
            </w:r>
          </w:p>
        </w:tc>
        <w:tc>
          <w:tcPr>
            <w:tcW w:w="992" w:type="dxa"/>
            <w:shd w:val="clear" w:color="auto" w:fill="D9D9D9" w:themeFill="background1" w:themeFillShade="D9"/>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0%</w:t>
            </w:r>
          </w:p>
        </w:tc>
        <w:tc>
          <w:tcPr>
            <w:tcW w:w="1071" w:type="dxa"/>
            <w:shd w:val="clear" w:color="auto" w:fill="D9D9D9" w:themeFill="background1" w:themeFillShade="D9"/>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0%</w:t>
            </w:r>
          </w:p>
        </w:tc>
        <w:tc>
          <w:tcPr>
            <w:tcW w:w="1056" w:type="dxa"/>
            <w:shd w:val="clear" w:color="auto" w:fill="D9D9D9" w:themeFill="background1" w:themeFillShade="D9"/>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SOF/VEL</w:t>
            </w:r>
          </w:p>
        </w:tc>
        <w:tc>
          <w:tcPr>
            <w:tcW w:w="731" w:type="dxa"/>
            <w:shd w:val="clear" w:color="auto" w:fill="D9D9D9" w:themeFill="background1" w:themeFillShade="D9"/>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12</w:t>
            </w:r>
          </w:p>
        </w:tc>
        <w:tc>
          <w:tcPr>
            <w:tcW w:w="970" w:type="dxa"/>
            <w:shd w:val="clear" w:color="auto" w:fill="D9D9D9" w:themeFill="background1" w:themeFillShade="D9"/>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28/28</w:t>
            </w:r>
          </w:p>
        </w:tc>
        <w:tc>
          <w:tcPr>
            <w:tcW w:w="1293" w:type="dxa"/>
            <w:shd w:val="clear" w:color="auto" w:fill="D9D9D9" w:themeFill="background1" w:themeFillShade="D9"/>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100 (87.7, 100)</w:t>
            </w:r>
          </w:p>
        </w:tc>
      </w:tr>
      <w:tr w:rsidR="00FE542A" w:rsidRPr="00802DBC" w:rsidTr="00460056">
        <w:tc>
          <w:tcPr>
            <w:tcW w:w="1276" w:type="dxa"/>
            <w:shd w:val="clear" w:color="auto" w:fill="auto"/>
            <w:vAlign w:val="center"/>
          </w:tcPr>
          <w:p w:rsidR="00FE542A" w:rsidRPr="00802DBC" w:rsidRDefault="00FE542A" w:rsidP="0094297E">
            <w:pPr>
              <w:jc w:val="left"/>
              <w:rPr>
                <w:rFonts w:ascii="Arial Narrow" w:hAnsi="Arial Narrow"/>
                <w:iCs/>
                <w:sz w:val="20"/>
              </w:rPr>
            </w:pPr>
            <w:r w:rsidRPr="00802DBC">
              <w:rPr>
                <w:rFonts w:ascii="Arial Narrow" w:hAnsi="Arial Narrow"/>
                <w:iCs/>
                <w:sz w:val="20"/>
              </w:rPr>
              <w:t>ION-3</w:t>
            </w:r>
          </w:p>
        </w:tc>
        <w:tc>
          <w:tcPr>
            <w:tcW w:w="992" w:type="dxa"/>
            <w:shd w:val="clear" w:color="auto" w:fill="auto"/>
          </w:tcPr>
          <w:p w:rsidR="00FE542A" w:rsidRPr="00802DBC" w:rsidRDefault="00FE542A" w:rsidP="0094297E">
            <w:pPr>
              <w:jc w:val="center"/>
              <w:rPr>
                <w:rFonts w:ascii="Arial Narrow" w:hAnsi="Arial Narrow"/>
                <w:iCs/>
                <w:sz w:val="20"/>
              </w:rPr>
            </w:pPr>
            <w:r w:rsidRPr="00802DBC">
              <w:rPr>
                <w:rFonts w:ascii="Arial Narrow" w:hAnsi="Arial Narrow"/>
                <w:iCs/>
                <w:sz w:val="20"/>
              </w:rPr>
              <w:t>Phase III</w:t>
            </w:r>
          </w:p>
        </w:tc>
        <w:tc>
          <w:tcPr>
            <w:tcW w:w="992" w:type="dxa"/>
            <w:shd w:val="clear" w:color="auto" w:fill="auto"/>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0%</w:t>
            </w:r>
          </w:p>
        </w:tc>
        <w:tc>
          <w:tcPr>
            <w:tcW w:w="1071" w:type="dxa"/>
            <w:shd w:val="clear" w:color="auto" w:fill="auto"/>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0%</w:t>
            </w:r>
          </w:p>
        </w:tc>
        <w:tc>
          <w:tcPr>
            <w:tcW w:w="1056" w:type="dxa"/>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LDV/SOF</w:t>
            </w:r>
          </w:p>
        </w:tc>
        <w:tc>
          <w:tcPr>
            <w:tcW w:w="731" w:type="dxa"/>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8</w:t>
            </w:r>
          </w:p>
        </w:tc>
        <w:tc>
          <w:tcPr>
            <w:tcW w:w="970" w:type="dxa"/>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119/123</w:t>
            </w:r>
            <w:r w:rsidRPr="00802DBC">
              <w:rPr>
                <w:rFonts w:ascii="Arial Narrow" w:hAnsi="Arial Narrow"/>
                <w:iCs/>
                <w:sz w:val="20"/>
                <w:vertAlign w:val="superscript"/>
              </w:rPr>
              <w:t>a</w:t>
            </w:r>
            <w:r w:rsidRPr="00802DBC">
              <w:rPr>
                <w:rFonts w:ascii="Arial Narrow" w:hAnsi="Arial Narrow"/>
                <w:iCs/>
                <w:sz w:val="20"/>
              </w:rPr>
              <w:t xml:space="preserve"> </w:t>
            </w:r>
          </w:p>
        </w:tc>
        <w:tc>
          <w:tcPr>
            <w:tcW w:w="1293" w:type="dxa"/>
            <w:shd w:val="clear" w:color="auto" w:fill="auto"/>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96.7 (</w:t>
            </w:r>
            <w:r w:rsidRPr="004A1383">
              <w:rPr>
                <w:rFonts w:ascii="Arial Narrow" w:hAnsi="Arial Narrow"/>
                <w:sz w:val="20"/>
              </w:rPr>
              <w:t>91.9, 99.1)</w:t>
            </w:r>
          </w:p>
        </w:tc>
      </w:tr>
      <w:tr w:rsidR="00FE542A" w:rsidRPr="00802DBC" w:rsidTr="00460056">
        <w:tc>
          <w:tcPr>
            <w:tcW w:w="1276" w:type="dxa"/>
            <w:shd w:val="clear" w:color="auto" w:fill="auto"/>
            <w:vAlign w:val="center"/>
          </w:tcPr>
          <w:p w:rsidR="00FE542A" w:rsidRPr="00802DBC" w:rsidRDefault="00FE542A" w:rsidP="0094297E">
            <w:pPr>
              <w:jc w:val="left"/>
              <w:rPr>
                <w:rFonts w:ascii="Arial Narrow" w:hAnsi="Arial Narrow"/>
                <w:iCs/>
                <w:sz w:val="20"/>
              </w:rPr>
            </w:pPr>
            <w:r w:rsidRPr="00802DBC">
              <w:rPr>
                <w:rFonts w:ascii="Arial Narrow" w:hAnsi="Arial Narrow"/>
                <w:iCs/>
                <w:sz w:val="20"/>
              </w:rPr>
              <w:t>ION-3 &amp; ION-1</w:t>
            </w:r>
          </w:p>
        </w:tc>
        <w:tc>
          <w:tcPr>
            <w:tcW w:w="992" w:type="dxa"/>
            <w:shd w:val="clear" w:color="auto" w:fill="auto"/>
          </w:tcPr>
          <w:p w:rsidR="00FE542A" w:rsidRPr="00802DBC" w:rsidRDefault="00FE542A" w:rsidP="0094297E">
            <w:pPr>
              <w:jc w:val="center"/>
              <w:rPr>
                <w:rFonts w:ascii="Arial Narrow" w:hAnsi="Arial Narrow"/>
                <w:iCs/>
                <w:sz w:val="20"/>
              </w:rPr>
            </w:pPr>
            <w:r w:rsidRPr="00802DBC">
              <w:rPr>
                <w:rFonts w:ascii="Arial Narrow" w:hAnsi="Arial Narrow"/>
                <w:iCs/>
                <w:sz w:val="20"/>
              </w:rPr>
              <w:t>Phase III</w:t>
            </w:r>
          </w:p>
        </w:tc>
        <w:tc>
          <w:tcPr>
            <w:tcW w:w="992" w:type="dxa"/>
            <w:shd w:val="clear" w:color="auto" w:fill="auto"/>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0%</w:t>
            </w:r>
          </w:p>
        </w:tc>
        <w:tc>
          <w:tcPr>
            <w:tcW w:w="1071" w:type="dxa"/>
            <w:shd w:val="clear" w:color="auto" w:fill="auto"/>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0%</w:t>
            </w:r>
          </w:p>
        </w:tc>
        <w:tc>
          <w:tcPr>
            <w:tcW w:w="1056" w:type="dxa"/>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LDV/SOF</w:t>
            </w:r>
          </w:p>
        </w:tc>
        <w:tc>
          <w:tcPr>
            <w:tcW w:w="731" w:type="dxa"/>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12</w:t>
            </w:r>
          </w:p>
        </w:tc>
        <w:tc>
          <w:tcPr>
            <w:tcW w:w="970" w:type="dxa"/>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sz w:val="20"/>
              </w:rPr>
              <w:t>385/395</w:t>
            </w:r>
            <w:r w:rsidRPr="00802DBC">
              <w:rPr>
                <w:rFonts w:ascii="Arial Narrow" w:hAnsi="Arial Narrow"/>
                <w:sz w:val="20"/>
                <w:vertAlign w:val="superscript"/>
              </w:rPr>
              <w:t>b</w:t>
            </w:r>
          </w:p>
        </w:tc>
        <w:tc>
          <w:tcPr>
            <w:tcW w:w="1293" w:type="dxa"/>
            <w:shd w:val="clear" w:color="auto" w:fill="auto"/>
            <w:vAlign w:val="center"/>
          </w:tcPr>
          <w:p w:rsidR="00FE542A" w:rsidRPr="004A1383" w:rsidRDefault="00FE542A" w:rsidP="0094297E">
            <w:pPr>
              <w:jc w:val="center"/>
              <w:rPr>
                <w:rFonts w:ascii="Arial Narrow" w:hAnsi="Arial Narrow"/>
                <w:iCs/>
                <w:sz w:val="20"/>
              </w:rPr>
            </w:pPr>
            <w:r w:rsidRPr="004A1383">
              <w:rPr>
                <w:rFonts w:ascii="Arial Narrow" w:hAnsi="Arial Narrow"/>
                <w:sz w:val="20"/>
              </w:rPr>
              <w:t>97.5 (</w:t>
            </w:r>
            <w:r w:rsidRPr="004A1383">
              <w:rPr>
                <w:rFonts w:ascii="Arial Narrow" w:hAnsi="Arial Narrow"/>
                <w:iCs/>
                <w:sz w:val="20"/>
              </w:rPr>
              <w:t>95.4, 98.8)</w:t>
            </w:r>
          </w:p>
        </w:tc>
      </w:tr>
      <w:tr w:rsidR="00FE542A" w:rsidRPr="00802DBC" w:rsidTr="00460056">
        <w:tc>
          <w:tcPr>
            <w:tcW w:w="1276" w:type="dxa"/>
            <w:shd w:val="clear" w:color="auto" w:fill="auto"/>
            <w:vAlign w:val="center"/>
          </w:tcPr>
          <w:p w:rsidR="00FE542A" w:rsidRPr="00802DBC" w:rsidRDefault="00FE542A" w:rsidP="0094297E">
            <w:pPr>
              <w:jc w:val="left"/>
              <w:rPr>
                <w:rFonts w:ascii="Arial Narrow" w:hAnsi="Arial Narrow"/>
                <w:iCs/>
                <w:sz w:val="20"/>
              </w:rPr>
            </w:pPr>
            <w:r w:rsidRPr="00802DBC">
              <w:rPr>
                <w:rFonts w:ascii="Arial Narrow" w:hAnsi="Arial Narrow"/>
                <w:iCs/>
                <w:sz w:val="20"/>
              </w:rPr>
              <w:t>ION-1</w:t>
            </w:r>
          </w:p>
        </w:tc>
        <w:tc>
          <w:tcPr>
            <w:tcW w:w="992" w:type="dxa"/>
            <w:shd w:val="clear" w:color="auto" w:fill="auto"/>
          </w:tcPr>
          <w:p w:rsidR="00FE542A" w:rsidRPr="00802DBC" w:rsidRDefault="00FE542A" w:rsidP="0094297E">
            <w:pPr>
              <w:jc w:val="center"/>
              <w:rPr>
                <w:rFonts w:ascii="Arial Narrow" w:hAnsi="Arial Narrow"/>
                <w:iCs/>
                <w:sz w:val="20"/>
              </w:rPr>
            </w:pPr>
            <w:r w:rsidRPr="00802DBC">
              <w:rPr>
                <w:rFonts w:ascii="Arial Narrow" w:hAnsi="Arial Narrow"/>
                <w:iCs/>
                <w:sz w:val="20"/>
              </w:rPr>
              <w:t>Phase III</w:t>
            </w:r>
          </w:p>
        </w:tc>
        <w:tc>
          <w:tcPr>
            <w:tcW w:w="992" w:type="dxa"/>
            <w:shd w:val="clear" w:color="auto" w:fill="auto"/>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100%</w:t>
            </w:r>
          </w:p>
        </w:tc>
        <w:tc>
          <w:tcPr>
            <w:tcW w:w="1071" w:type="dxa"/>
            <w:shd w:val="clear" w:color="auto" w:fill="auto"/>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0%</w:t>
            </w:r>
          </w:p>
        </w:tc>
        <w:tc>
          <w:tcPr>
            <w:tcW w:w="1056" w:type="dxa"/>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LDV/SOF</w:t>
            </w:r>
          </w:p>
        </w:tc>
        <w:tc>
          <w:tcPr>
            <w:tcW w:w="731" w:type="dxa"/>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12</w:t>
            </w:r>
          </w:p>
        </w:tc>
        <w:tc>
          <w:tcPr>
            <w:tcW w:w="970" w:type="dxa"/>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32/34</w:t>
            </w:r>
          </w:p>
        </w:tc>
        <w:tc>
          <w:tcPr>
            <w:tcW w:w="1293" w:type="dxa"/>
            <w:shd w:val="clear" w:color="auto" w:fill="auto"/>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94.1 (</w:t>
            </w:r>
            <w:r w:rsidRPr="004A1383">
              <w:rPr>
                <w:rFonts w:ascii="Arial Narrow" w:hAnsi="Arial Narrow"/>
                <w:sz w:val="20"/>
              </w:rPr>
              <w:t>80.3, 99.3</w:t>
            </w:r>
            <w:r w:rsidRPr="004A1383">
              <w:rPr>
                <w:rFonts w:ascii="Arial Narrow" w:hAnsi="Arial Narrow"/>
                <w:iCs/>
                <w:sz w:val="20"/>
              </w:rPr>
              <w:t>)</w:t>
            </w:r>
          </w:p>
        </w:tc>
      </w:tr>
      <w:tr w:rsidR="00FE542A" w:rsidRPr="00802DBC" w:rsidTr="00460056">
        <w:tc>
          <w:tcPr>
            <w:tcW w:w="8381" w:type="dxa"/>
            <w:gridSpan w:val="8"/>
            <w:shd w:val="clear" w:color="auto" w:fill="auto"/>
            <w:vAlign w:val="center"/>
          </w:tcPr>
          <w:p w:rsidR="00FE542A" w:rsidRPr="004A1383" w:rsidRDefault="00FE542A" w:rsidP="00927BE4">
            <w:pPr>
              <w:jc w:val="left"/>
              <w:rPr>
                <w:rFonts w:ascii="Arial Narrow" w:hAnsi="Arial Narrow"/>
                <w:iCs/>
                <w:sz w:val="20"/>
              </w:rPr>
            </w:pPr>
            <w:r w:rsidRPr="004A1383">
              <w:rPr>
                <w:rFonts w:ascii="Arial Narrow" w:hAnsi="Arial Narrow"/>
                <w:b/>
                <w:iCs/>
                <w:sz w:val="20"/>
              </w:rPr>
              <w:t>Treatment</w:t>
            </w:r>
            <w:r w:rsidR="00927BE4">
              <w:rPr>
                <w:rFonts w:ascii="Arial Narrow" w:hAnsi="Arial Narrow"/>
                <w:b/>
                <w:iCs/>
                <w:sz w:val="20"/>
              </w:rPr>
              <w:t xml:space="preserve"> </w:t>
            </w:r>
            <w:r w:rsidRPr="004A1383">
              <w:rPr>
                <w:rFonts w:ascii="Arial Narrow" w:hAnsi="Arial Narrow"/>
                <w:b/>
                <w:iCs/>
                <w:sz w:val="20"/>
              </w:rPr>
              <w:t>experienced</w:t>
            </w:r>
          </w:p>
        </w:tc>
      </w:tr>
      <w:tr w:rsidR="00FE542A" w:rsidRPr="00802DBC" w:rsidTr="00460056">
        <w:tc>
          <w:tcPr>
            <w:tcW w:w="1276" w:type="dxa"/>
            <w:shd w:val="clear" w:color="auto" w:fill="D9D9D9" w:themeFill="background1" w:themeFillShade="D9"/>
            <w:vAlign w:val="center"/>
          </w:tcPr>
          <w:p w:rsidR="00FE542A" w:rsidRPr="00802DBC" w:rsidRDefault="00FE542A" w:rsidP="0094297E">
            <w:pPr>
              <w:jc w:val="left"/>
              <w:rPr>
                <w:rFonts w:ascii="Arial Narrow" w:hAnsi="Arial Narrow"/>
                <w:iCs/>
                <w:sz w:val="20"/>
              </w:rPr>
            </w:pPr>
            <w:r w:rsidRPr="00802DBC">
              <w:rPr>
                <w:rFonts w:ascii="Arial Narrow" w:hAnsi="Arial Narrow"/>
                <w:iCs/>
                <w:sz w:val="20"/>
              </w:rPr>
              <w:t>ASTRAL-1</w:t>
            </w:r>
          </w:p>
        </w:tc>
        <w:tc>
          <w:tcPr>
            <w:tcW w:w="992" w:type="dxa"/>
            <w:shd w:val="clear" w:color="auto" w:fill="D9D9D9" w:themeFill="background1" w:themeFillShade="D9"/>
          </w:tcPr>
          <w:p w:rsidR="00FE542A" w:rsidRPr="00802DBC" w:rsidRDefault="00FE542A" w:rsidP="0094297E">
            <w:pPr>
              <w:jc w:val="center"/>
              <w:rPr>
                <w:rFonts w:ascii="Arial Narrow" w:hAnsi="Arial Narrow"/>
                <w:iCs/>
                <w:sz w:val="20"/>
              </w:rPr>
            </w:pPr>
            <w:r w:rsidRPr="00802DBC">
              <w:rPr>
                <w:rFonts w:ascii="Arial Narrow" w:hAnsi="Arial Narrow"/>
                <w:iCs/>
                <w:sz w:val="20"/>
              </w:rPr>
              <w:t>Phase III</w:t>
            </w:r>
          </w:p>
        </w:tc>
        <w:tc>
          <w:tcPr>
            <w:tcW w:w="992" w:type="dxa"/>
            <w:shd w:val="clear" w:color="auto" w:fill="D9D9D9" w:themeFill="background1" w:themeFillShade="D9"/>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NR (mixed)</w:t>
            </w:r>
            <w:r w:rsidR="00456BE1" w:rsidRPr="004A1383">
              <w:rPr>
                <w:rFonts w:ascii="Arial Narrow" w:hAnsi="Arial Narrow"/>
                <w:bCs/>
                <w:iCs/>
                <w:sz w:val="20"/>
                <w:vertAlign w:val="superscript"/>
              </w:rPr>
              <w:t xml:space="preserve"> c</w:t>
            </w:r>
          </w:p>
        </w:tc>
        <w:tc>
          <w:tcPr>
            <w:tcW w:w="1071" w:type="dxa"/>
            <w:shd w:val="clear" w:color="auto" w:fill="D9D9D9" w:themeFill="background1" w:themeFillShade="D9"/>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100%</w:t>
            </w:r>
          </w:p>
        </w:tc>
        <w:tc>
          <w:tcPr>
            <w:tcW w:w="1056" w:type="dxa"/>
            <w:shd w:val="clear" w:color="auto" w:fill="D9D9D9" w:themeFill="background1" w:themeFillShade="D9"/>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SOF/VEL</w:t>
            </w:r>
          </w:p>
        </w:tc>
        <w:tc>
          <w:tcPr>
            <w:tcW w:w="731" w:type="dxa"/>
            <w:shd w:val="clear" w:color="auto" w:fill="D9D9D9" w:themeFill="background1" w:themeFillShade="D9"/>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12</w:t>
            </w:r>
          </w:p>
        </w:tc>
        <w:tc>
          <w:tcPr>
            <w:tcW w:w="970" w:type="dxa"/>
            <w:shd w:val="clear" w:color="auto" w:fill="D9D9D9" w:themeFill="background1" w:themeFillShade="D9"/>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 xml:space="preserve">109/110 </w:t>
            </w:r>
          </w:p>
        </w:tc>
        <w:tc>
          <w:tcPr>
            <w:tcW w:w="1293" w:type="dxa"/>
            <w:shd w:val="clear" w:color="auto" w:fill="D9D9D9" w:themeFill="background1" w:themeFillShade="D9"/>
            <w:vAlign w:val="center"/>
          </w:tcPr>
          <w:p w:rsidR="00FE542A" w:rsidRPr="004A1383" w:rsidRDefault="00FE542A" w:rsidP="0094297E">
            <w:pPr>
              <w:jc w:val="center"/>
              <w:rPr>
                <w:rFonts w:ascii="Arial Narrow" w:hAnsi="Arial Narrow"/>
                <w:sz w:val="20"/>
              </w:rPr>
            </w:pPr>
            <w:r w:rsidRPr="004A1383">
              <w:rPr>
                <w:rFonts w:ascii="Arial Narrow" w:hAnsi="Arial Narrow"/>
                <w:iCs/>
                <w:sz w:val="20"/>
              </w:rPr>
              <w:t>99.1 (</w:t>
            </w:r>
            <w:r w:rsidRPr="004A1383">
              <w:rPr>
                <w:rFonts w:ascii="Arial Narrow" w:hAnsi="Arial Narrow"/>
                <w:sz w:val="20"/>
              </w:rPr>
              <w:t>95.0, 100)</w:t>
            </w:r>
          </w:p>
        </w:tc>
      </w:tr>
      <w:tr w:rsidR="00FE542A" w:rsidRPr="004A1383" w:rsidTr="00460056">
        <w:tc>
          <w:tcPr>
            <w:tcW w:w="1276" w:type="dxa"/>
            <w:shd w:val="clear" w:color="auto" w:fill="D9D9D9" w:themeFill="background1" w:themeFillShade="D9"/>
            <w:vAlign w:val="center"/>
          </w:tcPr>
          <w:p w:rsidR="00FE542A" w:rsidRPr="004A1383" w:rsidRDefault="00FE542A" w:rsidP="0094297E">
            <w:pPr>
              <w:jc w:val="left"/>
              <w:rPr>
                <w:rFonts w:ascii="Arial Narrow" w:hAnsi="Arial Narrow"/>
                <w:iCs/>
                <w:sz w:val="20"/>
              </w:rPr>
            </w:pPr>
            <w:r w:rsidRPr="004A1383">
              <w:rPr>
                <w:rFonts w:ascii="Arial Narrow" w:hAnsi="Arial Narrow"/>
                <w:iCs/>
                <w:sz w:val="20"/>
              </w:rPr>
              <w:t>Pianko (2015)</w:t>
            </w:r>
            <w:r w:rsidR="00456BE1" w:rsidRPr="004A1383">
              <w:rPr>
                <w:rFonts w:ascii="Arial Narrow" w:hAnsi="Arial Narrow"/>
                <w:bCs/>
                <w:iCs/>
                <w:sz w:val="20"/>
                <w:vertAlign w:val="superscript"/>
              </w:rPr>
              <w:t xml:space="preserve"> c</w:t>
            </w:r>
          </w:p>
        </w:tc>
        <w:tc>
          <w:tcPr>
            <w:tcW w:w="992" w:type="dxa"/>
            <w:shd w:val="clear" w:color="auto" w:fill="D9D9D9" w:themeFill="background1" w:themeFillShade="D9"/>
          </w:tcPr>
          <w:p w:rsidR="00FE542A" w:rsidRPr="004A1383" w:rsidRDefault="00FE542A" w:rsidP="0094297E">
            <w:pPr>
              <w:jc w:val="center"/>
              <w:rPr>
                <w:rFonts w:ascii="Arial Narrow" w:hAnsi="Arial Narrow"/>
                <w:iCs/>
                <w:sz w:val="20"/>
              </w:rPr>
            </w:pPr>
            <w:r w:rsidRPr="004A1383">
              <w:rPr>
                <w:rFonts w:ascii="Arial Narrow" w:hAnsi="Arial Narrow"/>
                <w:iCs/>
                <w:sz w:val="20"/>
              </w:rPr>
              <w:t>Phase II</w:t>
            </w:r>
          </w:p>
        </w:tc>
        <w:tc>
          <w:tcPr>
            <w:tcW w:w="992" w:type="dxa"/>
            <w:shd w:val="clear" w:color="auto" w:fill="D9D9D9" w:themeFill="background1" w:themeFillShade="D9"/>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26%</w:t>
            </w:r>
          </w:p>
        </w:tc>
        <w:tc>
          <w:tcPr>
            <w:tcW w:w="1071" w:type="dxa"/>
            <w:shd w:val="clear" w:color="auto" w:fill="D9D9D9" w:themeFill="background1" w:themeFillShade="D9"/>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100%</w:t>
            </w:r>
          </w:p>
        </w:tc>
        <w:tc>
          <w:tcPr>
            <w:tcW w:w="1056" w:type="dxa"/>
            <w:shd w:val="clear" w:color="auto" w:fill="D9D9D9" w:themeFill="background1" w:themeFillShade="D9"/>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SOF/VEL</w:t>
            </w:r>
          </w:p>
        </w:tc>
        <w:tc>
          <w:tcPr>
            <w:tcW w:w="731" w:type="dxa"/>
            <w:shd w:val="clear" w:color="auto" w:fill="D9D9D9" w:themeFill="background1" w:themeFillShade="D9"/>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12</w:t>
            </w:r>
          </w:p>
        </w:tc>
        <w:tc>
          <w:tcPr>
            <w:tcW w:w="970" w:type="dxa"/>
            <w:shd w:val="clear" w:color="auto" w:fill="D9D9D9" w:themeFill="background1" w:themeFillShade="D9"/>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27/27</w:t>
            </w:r>
          </w:p>
        </w:tc>
        <w:tc>
          <w:tcPr>
            <w:tcW w:w="1293" w:type="dxa"/>
            <w:shd w:val="clear" w:color="auto" w:fill="D9D9D9" w:themeFill="background1" w:themeFillShade="D9"/>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 xml:space="preserve">100 (87.2, 100) </w:t>
            </w:r>
          </w:p>
        </w:tc>
      </w:tr>
      <w:tr w:rsidR="00FE542A" w:rsidRPr="00802DBC" w:rsidTr="00460056">
        <w:tc>
          <w:tcPr>
            <w:tcW w:w="1276" w:type="dxa"/>
            <w:shd w:val="clear" w:color="auto" w:fill="auto"/>
            <w:vAlign w:val="center"/>
          </w:tcPr>
          <w:p w:rsidR="00FE542A" w:rsidRPr="00802DBC" w:rsidRDefault="00FE542A" w:rsidP="0094297E">
            <w:pPr>
              <w:jc w:val="left"/>
              <w:rPr>
                <w:rFonts w:ascii="Arial Narrow" w:hAnsi="Arial Narrow"/>
                <w:iCs/>
                <w:sz w:val="20"/>
              </w:rPr>
            </w:pPr>
            <w:r w:rsidRPr="00802DBC">
              <w:rPr>
                <w:rFonts w:ascii="Arial Narrow" w:hAnsi="Arial Narrow"/>
                <w:iCs/>
                <w:sz w:val="20"/>
              </w:rPr>
              <w:t>ION-2</w:t>
            </w:r>
          </w:p>
        </w:tc>
        <w:tc>
          <w:tcPr>
            <w:tcW w:w="992" w:type="dxa"/>
            <w:shd w:val="clear" w:color="auto" w:fill="auto"/>
          </w:tcPr>
          <w:p w:rsidR="00FE542A" w:rsidRPr="00802DBC" w:rsidRDefault="00FE542A" w:rsidP="0094297E">
            <w:pPr>
              <w:jc w:val="center"/>
              <w:rPr>
                <w:rFonts w:ascii="Arial Narrow" w:hAnsi="Arial Narrow"/>
                <w:iCs/>
                <w:sz w:val="20"/>
              </w:rPr>
            </w:pPr>
            <w:r w:rsidRPr="00802DBC">
              <w:rPr>
                <w:rFonts w:ascii="Arial Narrow" w:hAnsi="Arial Narrow"/>
                <w:iCs/>
                <w:sz w:val="20"/>
              </w:rPr>
              <w:t>Phase III</w:t>
            </w:r>
          </w:p>
        </w:tc>
        <w:tc>
          <w:tcPr>
            <w:tcW w:w="992" w:type="dxa"/>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0%</w:t>
            </w:r>
          </w:p>
        </w:tc>
        <w:tc>
          <w:tcPr>
            <w:tcW w:w="1071" w:type="dxa"/>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100%</w:t>
            </w:r>
          </w:p>
        </w:tc>
        <w:tc>
          <w:tcPr>
            <w:tcW w:w="1056" w:type="dxa"/>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LDV/SOF</w:t>
            </w:r>
          </w:p>
        </w:tc>
        <w:tc>
          <w:tcPr>
            <w:tcW w:w="731" w:type="dxa"/>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12</w:t>
            </w:r>
          </w:p>
        </w:tc>
        <w:tc>
          <w:tcPr>
            <w:tcW w:w="970" w:type="dxa"/>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sz w:val="20"/>
              </w:rPr>
              <w:t xml:space="preserve">83/87 </w:t>
            </w:r>
          </w:p>
        </w:tc>
        <w:tc>
          <w:tcPr>
            <w:tcW w:w="1293" w:type="dxa"/>
            <w:shd w:val="clear" w:color="auto" w:fill="auto"/>
            <w:vAlign w:val="center"/>
          </w:tcPr>
          <w:p w:rsidR="00FE542A" w:rsidRPr="004A1383" w:rsidRDefault="00FE542A" w:rsidP="0094297E">
            <w:pPr>
              <w:jc w:val="center"/>
              <w:rPr>
                <w:rFonts w:ascii="Arial Narrow" w:hAnsi="Arial Narrow"/>
                <w:iCs/>
                <w:sz w:val="20"/>
              </w:rPr>
            </w:pPr>
            <w:r w:rsidRPr="004A1383">
              <w:rPr>
                <w:rFonts w:ascii="Arial Narrow" w:hAnsi="Arial Narrow"/>
                <w:sz w:val="20"/>
              </w:rPr>
              <w:t>95.4 (</w:t>
            </w:r>
            <w:r w:rsidRPr="004A1383">
              <w:rPr>
                <w:rFonts w:ascii="Arial Narrow" w:hAnsi="Arial Narrow"/>
                <w:iCs/>
                <w:sz w:val="20"/>
              </w:rPr>
              <w:t>88.6, 98.7)</w:t>
            </w:r>
          </w:p>
        </w:tc>
      </w:tr>
      <w:tr w:rsidR="00FE542A" w:rsidRPr="00802DBC" w:rsidTr="00460056">
        <w:tc>
          <w:tcPr>
            <w:tcW w:w="1276" w:type="dxa"/>
            <w:shd w:val="clear" w:color="auto" w:fill="auto"/>
            <w:vAlign w:val="center"/>
          </w:tcPr>
          <w:p w:rsidR="00FE542A" w:rsidRPr="00802DBC" w:rsidRDefault="00FE542A" w:rsidP="0094297E">
            <w:pPr>
              <w:jc w:val="left"/>
              <w:rPr>
                <w:rFonts w:ascii="Arial Narrow" w:hAnsi="Arial Narrow"/>
                <w:iCs/>
                <w:sz w:val="20"/>
              </w:rPr>
            </w:pPr>
            <w:r w:rsidRPr="00802DBC">
              <w:rPr>
                <w:rFonts w:ascii="Arial Narrow" w:hAnsi="Arial Narrow"/>
                <w:iCs/>
                <w:sz w:val="20"/>
              </w:rPr>
              <w:t>ION-2</w:t>
            </w:r>
          </w:p>
        </w:tc>
        <w:tc>
          <w:tcPr>
            <w:tcW w:w="992" w:type="dxa"/>
            <w:shd w:val="clear" w:color="auto" w:fill="auto"/>
          </w:tcPr>
          <w:p w:rsidR="00FE542A" w:rsidRPr="00802DBC" w:rsidRDefault="00FE542A" w:rsidP="0094297E">
            <w:pPr>
              <w:jc w:val="center"/>
              <w:rPr>
                <w:rFonts w:ascii="Arial Narrow" w:hAnsi="Arial Narrow"/>
                <w:iCs/>
                <w:sz w:val="20"/>
              </w:rPr>
            </w:pPr>
            <w:r w:rsidRPr="00802DBC">
              <w:rPr>
                <w:rFonts w:ascii="Arial Narrow" w:hAnsi="Arial Narrow"/>
                <w:iCs/>
                <w:sz w:val="20"/>
              </w:rPr>
              <w:t>Phase III</w:t>
            </w:r>
          </w:p>
        </w:tc>
        <w:tc>
          <w:tcPr>
            <w:tcW w:w="992" w:type="dxa"/>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100%</w:t>
            </w:r>
          </w:p>
        </w:tc>
        <w:tc>
          <w:tcPr>
            <w:tcW w:w="1071" w:type="dxa"/>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100%</w:t>
            </w:r>
          </w:p>
        </w:tc>
        <w:tc>
          <w:tcPr>
            <w:tcW w:w="1056" w:type="dxa"/>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LDV/SOF</w:t>
            </w:r>
          </w:p>
        </w:tc>
        <w:tc>
          <w:tcPr>
            <w:tcW w:w="731" w:type="dxa"/>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24</w:t>
            </w:r>
          </w:p>
        </w:tc>
        <w:tc>
          <w:tcPr>
            <w:tcW w:w="970" w:type="dxa"/>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sz w:val="20"/>
              </w:rPr>
              <w:t xml:space="preserve">22/22 </w:t>
            </w:r>
          </w:p>
        </w:tc>
        <w:tc>
          <w:tcPr>
            <w:tcW w:w="1293" w:type="dxa"/>
            <w:shd w:val="clear" w:color="auto" w:fill="auto"/>
            <w:vAlign w:val="center"/>
          </w:tcPr>
          <w:p w:rsidR="00FE542A" w:rsidRPr="004A1383" w:rsidRDefault="00FE542A" w:rsidP="0094297E">
            <w:pPr>
              <w:jc w:val="center"/>
              <w:rPr>
                <w:rFonts w:ascii="Arial Narrow" w:hAnsi="Arial Narrow"/>
                <w:iCs/>
                <w:sz w:val="20"/>
              </w:rPr>
            </w:pPr>
            <w:r w:rsidRPr="004A1383">
              <w:rPr>
                <w:rFonts w:ascii="Arial Narrow" w:hAnsi="Arial Narrow"/>
                <w:sz w:val="20"/>
              </w:rPr>
              <w:t>100 (</w:t>
            </w:r>
            <w:r w:rsidRPr="004A1383">
              <w:rPr>
                <w:rFonts w:ascii="Arial Narrow" w:hAnsi="Arial Narrow"/>
                <w:iCs/>
                <w:sz w:val="20"/>
              </w:rPr>
              <w:t>84.6, 100</w:t>
            </w:r>
            <w:r w:rsidRPr="004A1383">
              <w:rPr>
                <w:rFonts w:ascii="Arial Narrow" w:hAnsi="Arial Narrow"/>
                <w:sz w:val="20"/>
              </w:rPr>
              <w:t>)</w:t>
            </w:r>
          </w:p>
        </w:tc>
      </w:tr>
      <w:tr w:rsidR="00FE542A" w:rsidRPr="004A1383" w:rsidTr="00460056">
        <w:tc>
          <w:tcPr>
            <w:tcW w:w="1276" w:type="dxa"/>
            <w:shd w:val="clear" w:color="auto" w:fill="auto"/>
            <w:vAlign w:val="center"/>
          </w:tcPr>
          <w:p w:rsidR="00FE542A" w:rsidRPr="004A1383" w:rsidRDefault="00FE542A" w:rsidP="0094297E">
            <w:pPr>
              <w:jc w:val="left"/>
              <w:rPr>
                <w:rFonts w:ascii="Arial Narrow" w:hAnsi="Arial Narrow"/>
                <w:iCs/>
                <w:sz w:val="20"/>
              </w:rPr>
            </w:pPr>
            <w:r w:rsidRPr="004A1383">
              <w:rPr>
                <w:rFonts w:ascii="Arial Narrow" w:hAnsi="Arial Narrow"/>
                <w:iCs/>
                <w:sz w:val="20"/>
              </w:rPr>
              <w:t>SIRIUS</w:t>
            </w:r>
            <w:r w:rsidR="00456BE1" w:rsidRPr="004A1383">
              <w:rPr>
                <w:rFonts w:ascii="Arial Narrow" w:hAnsi="Arial Narrow"/>
                <w:bCs/>
                <w:iCs/>
                <w:sz w:val="20"/>
                <w:vertAlign w:val="superscript"/>
              </w:rPr>
              <w:t xml:space="preserve"> c</w:t>
            </w:r>
          </w:p>
        </w:tc>
        <w:tc>
          <w:tcPr>
            <w:tcW w:w="992" w:type="dxa"/>
            <w:shd w:val="clear" w:color="auto" w:fill="auto"/>
          </w:tcPr>
          <w:p w:rsidR="00FE542A" w:rsidRPr="004A1383" w:rsidRDefault="00FE542A" w:rsidP="0094297E">
            <w:pPr>
              <w:jc w:val="center"/>
              <w:rPr>
                <w:rFonts w:ascii="Arial Narrow" w:hAnsi="Arial Narrow"/>
                <w:iCs/>
                <w:sz w:val="20"/>
              </w:rPr>
            </w:pPr>
            <w:r w:rsidRPr="004A1383">
              <w:rPr>
                <w:rFonts w:ascii="Arial Narrow" w:hAnsi="Arial Narrow"/>
                <w:iCs/>
                <w:sz w:val="20"/>
              </w:rPr>
              <w:t>Phase II</w:t>
            </w:r>
          </w:p>
        </w:tc>
        <w:tc>
          <w:tcPr>
            <w:tcW w:w="992" w:type="dxa"/>
            <w:shd w:val="clear" w:color="auto" w:fill="auto"/>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100%</w:t>
            </w:r>
          </w:p>
        </w:tc>
        <w:tc>
          <w:tcPr>
            <w:tcW w:w="1071" w:type="dxa"/>
            <w:shd w:val="clear" w:color="auto" w:fill="auto"/>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100%</w:t>
            </w:r>
          </w:p>
        </w:tc>
        <w:tc>
          <w:tcPr>
            <w:tcW w:w="1056" w:type="dxa"/>
            <w:shd w:val="clear" w:color="auto" w:fill="auto"/>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LDV/SOF</w:t>
            </w:r>
          </w:p>
        </w:tc>
        <w:tc>
          <w:tcPr>
            <w:tcW w:w="731" w:type="dxa"/>
            <w:shd w:val="clear" w:color="auto" w:fill="auto"/>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24</w:t>
            </w:r>
          </w:p>
        </w:tc>
        <w:tc>
          <w:tcPr>
            <w:tcW w:w="970" w:type="dxa"/>
            <w:shd w:val="clear" w:color="auto" w:fill="auto"/>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75/77</w:t>
            </w:r>
          </w:p>
        </w:tc>
        <w:tc>
          <w:tcPr>
            <w:tcW w:w="1293" w:type="dxa"/>
            <w:shd w:val="clear" w:color="auto" w:fill="auto"/>
            <w:vAlign w:val="center"/>
          </w:tcPr>
          <w:p w:rsidR="00FE542A" w:rsidRPr="004A1383" w:rsidRDefault="00FE542A" w:rsidP="0094297E">
            <w:pPr>
              <w:jc w:val="center"/>
              <w:rPr>
                <w:rFonts w:ascii="Arial Narrow" w:hAnsi="Arial Narrow"/>
                <w:iCs/>
                <w:sz w:val="20"/>
              </w:rPr>
            </w:pPr>
            <w:r w:rsidRPr="004A1383">
              <w:rPr>
                <w:rFonts w:ascii="Arial Narrow" w:hAnsi="Arial Narrow"/>
                <w:iCs/>
                <w:sz w:val="20"/>
              </w:rPr>
              <w:t>97.4 (90.9, 99.7)</w:t>
            </w:r>
          </w:p>
        </w:tc>
      </w:tr>
    </w:tbl>
    <w:p w:rsidR="00FE542A" w:rsidRPr="00802DBC" w:rsidRDefault="00FE542A" w:rsidP="00FE542A">
      <w:pPr>
        <w:ind w:firstLine="720"/>
        <w:rPr>
          <w:rFonts w:ascii="Arial Narrow" w:hAnsi="Arial Narrow"/>
          <w:sz w:val="18"/>
          <w:szCs w:val="18"/>
        </w:rPr>
      </w:pPr>
      <w:r w:rsidRPr="00802DBC">
        <w:rPr>
          <w:rFonts w:ascii="Arial Narrow" w:hAnsi="Arial Narrow"/>
          <w:sz w:val="18"/>
          <w:szCs w:val="18"/>
        </w:rPr>
        <w:t xml:space="preserve">Source: Adapted from Table B-44, p121 of the submission; Bourlière </w:t>
      </w:r>
      <w:r w:rsidRPr="00802DBC">
        <w:rPr>
          <w:rFonts w:ascii="Arial Narrow" w:hAnsi="Arial Narrow"/>
          <w:i/>
          <w:sz w:val="18"/>
          <w:szCs w:val="18"/>
        </w:rPr>
        <w:t xml:space="preserve">et al </w:t>
      </w:r>
      <w:r w:rsidRPr="00802DBC">
        <w:rPr>
          <w:rFonts w:ascii="Arial Narrow" w:hAnsi="Arial Narrow"/>
          <w:sz w:val="18"/>
          <w:szCs w:val="18"/>
        </w:rPr>
        <w:t xml:space="preserve">(2015); Everson </w:t>
      </w:r>
      <w:r w:rsidRPr="00802DBC">
        <w:rPr>
          <w:rFonts w:ascii="Arial Narrow" w:hAnsi="Arial Narrow"/>
          <w:i/>
          <w:sz w:val="18"/>
          <w:szCs w:val="18"/>
        </w:rPr>
        <w:t xml:space="preserve">et al </w:t>
      </w:r>
      <w:r w:rsidRPr="00802DBC">
        <w:rPr>
          <w:rFonts w:ascii="Arial Narrow" w:hAnsi="Arial Narrow"/>
          <w:sz w:val="18"/>
          <w:szCs w:val="18"/>
        </w:rPr>
        <w:t>(2015); Pianko</w:t>
      </w:r>
      <w:r w:rsidRPr="00802DBC">
        <w:rPr>
          <w:rFonts w:ascii="Arial Narrow" w:hAnsi="Arial Narrow"/>
          <w:i/>
          <w:sz w:val="18"/>
          <w:szCs w:val="18"/>
        </w:rPr>
        <w:t xml:space="preserve"> et al </w:t>
      </w:r>
      <w:r w:rsidRPr="00802DBC">
        <w:rPr>
          <w:rFonts w:ascii="Arial Narrow" w:hAnsi="Arial Narrow"/>
          <w:sz w:val="18"/>
          <w:szCs w:val="18"/>
        </w:rPr>
        <w:t xml:space="preserve">(2015) </w:t>
      </w:r>
    </w:p>
    <w:p w:rsidR="00FE542A" w:rsidRPr="00802DBC" w:rsidRDefault="00FE542A" w:rsidP="00FE542A">
      <w:pPr>
        <w:ind w:left="720"/>
        <w:rPr>
          <w:rFonts w:ascii="Arial Narrow" w:hAnsi="Arial Narrow"/>
          <w:sz w:val="18"/>
          <w:szCs w:val="18"/>
        </w:rPr>
      </w:pPr>
      <w:r w:rsidRPr="00802DBC">
        <w:rPr>
          <w:rFonts w:ascii="Arial Narrow" w:hAnsi="Arial Narrow"/>
          <w:sz w:val="18"/>
          <w:szCs w:val="18"/>
        </w:rPr>
        <w:t>Abbreviations: CI = confidence interval; HCV = hepatitis C virus; LDV/SOF = ledipasvir/sofosbuvir; NR = not reported; SOF/VEL = sofosbuvir/velpatasvir FDC; SVR12 = sustained virological response at 12 weeks following the completion of treatment</w:t>
      </w:r>
    </w:p>
    <w:p w:rsidR="00FE542A" w:rsidRPr="00456BE1" w:rsidRDefault="00FE542A" w:rsidP="00456BE1">
      <w:pPr>
        <w:ind w:left="720"/>
        <w:rPr>
          <w:rFonts w:ascii="Arial Narrow" w:hAnsi="Arial Narrow"/>
          <w:iCs/>
          <w:sz w:val="18"/>
          <w:szCs w:val="18"/>
        </w:rPr>
      </w:pPr>
      <w:r w:rsidRPr="00456BE1">
        <w:rPr>
          <w:rFonts w:ascii="Arial Narrow" w:hAnsi="Arial Narrow"/>
          <w:sz w:val="18"/>
          <w:szCs w:val="18"/>
        </w:rPr>
        <w:t xml:space="preserve">Note: Shaded cells represent sofosbuvir/velpatasvir FDC results. </w:t>
      </w:r>
      <w:r w:rsidRPr="00456BE1">
        <w:rPr>
          <w:rFonts w:ascii="Arial Narrow" w:hAnsi="Arial Narrow"/>
          <w:iCs/>
          <w:sz w:val="18"/>
          <w:szCs w:val="18"/>
        </w:rPr>
        <w:t>95% CI calculated using Stata14 (binomial exact)</w:t>
      </w:r>
      <w:r w:rsidR="00456BE1" w:rsidRPr="00456BE1">
        <w:rPr>
          <w:rFonts w:ascii="Arial Narrow" w:hAnsi="Arial Narrow"/>
          <w:iCs/>
          <w:sz w:val="18"/>
          <w:szCs w:val="18"/>
        </w:rPr>
        <w:t>, during the evaluation</w:t>
      </w:r>
    </w:p>
    <w:p w:rsidR="00FE542A" w:rsidRPr="00802DBC" w:rsidRDefault="00FE542A" w:rsidP="00FE542A">
      <w:pPr>
        <w:ind w:firstLine="720"/>
        <w:rPr>
          <w:rFonts w:ascii="Arial Narrow" w:hAnsi="Arial Narrow"/>
          <w:sz w:val="18"/>
          <w:szCs w:val="18"/>
        </w:rPr>
      </w:pPr>
      <w:r w:rsidRPr="00802DBC">
        <w:rPr>
          <w:rFonts w:ascii="Arial Narrow" w:hAnsi="Arial Narrow"/>
          <w:sz w:val="18"/>
          <w:szCs w:val="18"/>
          <w:vertAlign w:val="superscript"/>
        </w:rPr>
        <w:t>a</w:t>
      </w:r>
      <w:r w:rsidRPr="00802DBC">
        <w:rPr>
          <w:rFonts w:ascii="Arial Narrow" w:hAnsi="Arial Narrow"/>
          <w:sz w:val="18"/>
          <w:szCs w:val="18"/>
        </w:rPr>
        <w:t xml:space="preserve"> Baseline HCV RNA &lt;6 million IU/mL</w:t>
      </w:r>
    </w:p>
    <w:p w:rsidR="00FE542A" w:rsidRPr="004A1383" w:rsidRDefault="00FE542A" w:rsidP="00FE542A">
      <w:pPr>
        <w:ind w:firstLine="720"/>
        <w:rPr>
          <w:rFonts w:ascii="Arial Narrow" w:hAnsi="Arial Narrow"/>
          <w:sz w:val="18"/>
          <w:szCs w:val="18"/>
        </w:rPr>
      </w:pPr>
      <w:r w:rsidRPr="004A1383">
        <w:rPr>
          <w:rFonts w:ascii="Arial Narrow" w:hAnsi="Arial Narrow"/>
          <w:sz w:val="18"/>
          <w:szCs w:val="18"/>
          <w:vertAlign w:val="superscript"/>
        </w:rPr>
        <w:t>b</w:t>
      </w:r>
      <w:r w:rsidRPr="004A1383">
        <w:rPr>
          <w:rFonts w:ascii="Arial Narrow" w:hAnsi="Arial Narrow"/>
          <w:sz w:val="18"/>
          <w:szCs w:val="18"/>
        </w:rPr>
        <w:t xml:space="preserve"> This value could not be verified from the reported source.</w:t>
      </w:r>
    </w:p>
    <w:p w:rsidR="00456BE1" w:rsidRPr="00947DC7" w:rsidRDefault="00456BE1" w:rsidP="00FE542A">
      <w:pPr>
        <w:ind w:firstLine="720"/>
        <w:rPr>
          <w:rFonts w:ascii="Arial Narrow" w:hAnsi="Arial Narrow"/>
          <w:sz w:val="18"/>
          <w:szCs w:val="18"/>
        </w:rPr>
      </w:pPr>
      <w:r w:rsidRPr="00947DC7">
        <w:rPr>
          <w:rFonts w:ascii="Arial Narrow" w:hAnsi="Arial Narrow"/>
          <w:bCs/>
          <w:iCs/>
          <w:sz w:val="20"/>
          <w:vertAlign w:val="superscript"/>
        </w:rPr>
        <w:t xml:space="preserve">c </w:t>
      </w:r>
      <w:r w:rsidRPr="00947DC7">
        <w:rPr>
          <w:rFonts w:ascii="Arial Narrow" w:hAnsi="Arial Narrow"/>
          <w:bCs/>
          <w:iCs/>
          <w:sz w:val="18"/>
        </w:rPr>
        <w:t>identified during the evaluation.</w:t>
      </w:r>
    </w:p>
    <w:p w:rsidR="00283417" w:rsidRPr="0019612A" w:rsidRDefault="00283417" w:rsidP="00FE542A">
      <w:pPr>
        <w:ind w:firstLine="720"/>
        <w:rPr>
          <w:szCs w:val="22"/>
        </w:rPr>
      </w:pPr>
    </w:p>
    <w:p w:rsidR="00283417" w:rsidRPr="00DA298E" w:rsidRDefault="00283417" w:rsidP="002C4748">
      <w:pPr>
        <w:pStyle w:val="ListParagraph"/>
        <w:widowControl/>
        <w:numPr>
          <w:ilvl w:val="1"/>
          <w:numId w:val="2"/>
        </w:numPr>
        <w:rPr>
          <w:szCs w:val="22"/>
        </w:rPr>
      </w:pPr>
      <w:r w:rsidRPr="00DA298E">
        <w:rPr>
          <w:iCs/>
          <w:szCs w:val="22"/>
        </w:rPr>
        <w:t xml:space="preserve">ASTRAL-1 did not report results by cirrhosis status and treatment history. Therefore, the results in Table </w:t>
      </w:r>
      <w:r w:rsidR="0052346C">
        <w:rPr>
          <w:iCs/>
          <w:szCs w:val="22"/>
        </w:rPr>
        <w:t>5</w:t>
      </w:r>
      <w:r w:rsidRPr="00DA298E">
        <w:rPr>
          <w:iCs/>
          <w:szCs w:val="22"/>
        </w:rPr>
        <w:t xml:space="preserve"> represent two separate subgroup analyses for sofosbuvir/velpatasvir FDC (cirrhosis versus no cirrhosis, treatment</w:t>
      </w:r>
      <w:r w:rsidR="00927BE4">
        <w:rPr>
          <w:iCs/>
          <w:szCs w:val="22"/>
        </w:rPr>
        <w:t xml:space="preserve"> </w:t>
      </w:r>
      <w:r w:rsidRPr="00DA298E">
        <w:rPr>
          <w:iCs/>
          <w:szCs w:val="22"/>
        </w:rPr>
        <w:t>naïve versus treatment</w:t>
      </w:r>
      <w:r w:rsidR="00927BE4">
        <w:rPr>
          <w:iCs/>
          <w:szCs w:val="22"/>
        </w:rPr>
        <w:t xml:space="preserve"> </w:t>
      </w:r>
      <w:r w:rsidRPr="00DA298E">
        <w:rPr>
          <w:iCs/>
          <w:szCs w:val="22"/>
        </w:rPr>
        <w:t>experienced); with corresponding data from the comparator studies included when relevant (i.e. comparator results were duplicated).</w:t>
      </w:r>
    </w:p>
    <w:p w:rsidR="00A6227D" w:rsidRPr="00DA298E" w:rsidRDefault="00A6227D" w:rsidP="00FE542A">
      <w:pPr>
        <w:pStyle w:val="ListParagraph"/>
        <w:widowControl/>
        <w:rPr>
          <w:szCs w:val="22"/>
        </w:rPr>
      </w:pPr>
    </w:p>
    <w:p w:rsidR="00FE542A" w:rsidRPr="00DA298E" w:rsidRDefault="00283417" w:rsidP="002C4748">
      <w:pPr>
        <w:pStyle w:val="ListParagraph"/>
        <w:numPr>
          <w:ilvl w:val="1"/>
          <w:numId w:val="2"/>
        </w:numPr>
        <w:rPr>
          <w:iCs/>
          <w:szCs w:val="22"/>
        </w:rPr>
      </w:pPr>
      <w:r w:rsidRPr="00DA298E">
        <w:rPr>
          <w:iCs/>
          <w:szCs w:val="22"/>
        </w:rPr>
        <w:t>The</w:t>
      </w:r>
      <w:r w:rsidR="00364BE0" w:rsidRPr="00DA298E">
        <w:rPr>
          <w:iCs/>
          <w:szCs w:val="22"/>
        </w:rPr>
        <w:t xml:space="preserve"> </w:t>
      </w:r>
      <w:r w:rsidR="004C1A65">
        <w:rPr>
          <w:iCs/>
          <w:szCs w:val="22"/>
        </w:rPr>
        <w:t xml:space="preserve">evaluation considered that the </w:t>
      </w:r>
      <w:r w:rsidR="00364BE0" w:rsidRPr="00DA298E">
        <w:rPr>
          <w:iCs/>
          <w:szCs w:val="22"/>
        </w:rPr>
        <w:t xml:space="preserve">presented naïve comparison should be interpreted with caution due to the high risk of bias and limitations outlined above, as well as the small patient numbers in some of the included arms (as low as 22 patients). </w:t>
      </w:r>
      <w:r w:rsidR="00FE542A" w:rsidRPr="00DA298E">
        <w:rPr>
          <w:iCs/>
          <w:szCs w:val="22"/>
        </w:rPr>
        <w:t xml:space="preserve">While presentation of results stratified by cirrhosis status and treatment </w:t>
      </w:r>
      <w:r w:rsidR="00FE542A" w:rsidRPr="00DA298E">
        <w:rPr>
          <w:iCs/>
          <w:szCs w:val="22"/>
        </w:rPr>
        <w:lastRenderedPageBreak/>
        <w:t xml:space="preserve">history </w:t>
      </w:r>
      <w:r w:rsidR="00594D0A" w:rsidRPr="00DA298E">
        <w:rPr>
          <w:iCs/>
          <w:szCs w:val="22"/>
        </w:rPr>
        <w:t>improve exchangeability</w:t>
      </w:r>
      <w:r w:rsidR="00FE542A" w:rsidRPr="00DA298E">
        <w:rPr>
          <w:iCs/>
          <w:szCs w:val="22"/>
        </w:rPr>
        <w:t xml:space="preserve">, there were no results for sofosbuvir/velpatasvir FDC by cirrhosis status </w:t>
      </w:r>
      <w:r w:rsidR="00FE542A" w:rsidRPr="00DA298E">
        <w:rPr>
          <w:iCs/>
          <w:szCs w:val="22"/>
          <w:u w:val="single"/>
        </w:rPr>
        <w:t>and</w:t>
      </w:r>
      <w:r w:rsidR="00FE542A" w:rsidRPr="00DA298E">
        <w:rPr>
          <w:iCs/>
          <w:szCs w:val="22"/>
        </w:rPr>
        <w:t xml:space="preserve"> treatment history.</w:t>
      </w:r>
    </w:p>
    <w:p w:rsidR="0061305F" w:rsidRDefault="0061305F" w:rsidP="0061305F">
      <w:pPr>
        <w:widowControl/>
        <w:rPr>
          <w:szCs w:val="22"/>
        </w:rPr>
      </w:pPr>
    </w:p>
    <w:p w:rsidR="000B0675" w:rsidRPr="001B40FC" w:rsidRDefault="000B0675" w:rsidP="00237A71">
      <w:pPr>
        <w:pStyle w:val="Heading3"/>
        <w:ind w:firstLine="720"/>
        <w:rPr>
          <w:szCs w:val="22"/>
        </w:rPr>
      </w:pPr>
      <w:r w:rsidRPr="001B40FC">
        <w:t>HCV genotype 2 infection with no cir</w:t>
      </w:r>
      <w:r w:rsidR="000535E1" w:rsidRPr="001B40FC">
        <w:t>rhosis or compensated cirrhosis</w:t>
      </w:r>
    </w:p>
    <w:p w:rsidR="003F25D9" w:rsidRPr="003F25D9" w:rsidRDefault="003F25D9" w:rsidP="003F25D9">
      <w:pPr>
        <w:pStyle w:val="ListParagraph"/>
        <w:widowControl/>
        <w:rPr>
          <w:szCs w:val="22"/>
        </w:rPr>
      </w:pPr>
    </w:p>
    <w:p w:rsidR="00FE542A" w:rsidRPr="00802DBC" w:rsidRDefault="00FE542A" w:rsidP="00BB6520">
      <w:pPr>
        <w:ind w:left="720"/>
        <w:rPr>
          <w:rFonts w:ascii="Arial Narrow" w:hAnsi="Arial Narrow"/>
          <w:b/>
          <w:bCs/>
          <w:sz w:val="20"/>
        </w:rPr>
      </w:pPr>
      <w:r w:rsidRPr="00802DBC">
        <w:rPr>
          <w:rFonts w:ascii="Arial Narrow" w:hAnsi="Arial Narrow"/>
          <w:b/>
          <w:bCs/>
          <w:sz w:val="20"/>
        </w:rPr>
        <w:t xml:space="preserve">Table </w:t>
      </w:r>
      <w:r w:rsidR="0052346C">
        <w:rPr>
          <w:rFonts w:ascii="Arial Narrow" w:hAnsi="Arial Narrow"/>
          <w:b/>
          <w:bCs/>
          <w:sz w:val="20"/>
        </w:rPr>
        <w:t>6</w:t>
      </w:r>
      <w:r w:rsidRPr="00802DBC">
        <w:rPr>
          <w:rFonts w:ascii="Arial Narrow" w:hAnsi="Arial Narrow"/>
          <w:b/>
          <w:bCs/>
          <w:sz w:val="20"/>
        </w:rPr>
        <w:t>: Primary analysis of ASTRAL-2: SVR12 (Full Analysis Set) in patients with HCV genotype 2 (no cirrhosis or compensated cirrhosis)</w:t>
      </w:r>
    </w:p>
    <w:tbl>
      <w:tblPr>
        <w:tblStyle w:val="TableGrid"/>
        <w:tblW w:w="0" w:type="auto"/>
        <w:tblInd w:w="737" w:type="dxa"/>
        <w:tblCellMar>
          <w:left w:w="28" w:type="dxa"/>
          <w:right w:w="28" w:type="dxa"/>
        </w:tblCellMar>
        <w:tblLook w:val="04A0" w:firstRow="1" w:lastRow="0" w:firstColumn="1" w:lastColumn="0" w:noHBand="0" w:noVBand="1"/>
        <w:tblCaption w:val="Table 6: Primary analysis of ASTRAL-2: SVR12 (Full Analysis Set) in patients with HCV genotype 2 (no cirrhosis or compensated cirrhosis)"/>
        <w:tblDescription w:val="Table 6: Primary analysis of ASTRAL-2: SVR12 (Full Analysis Set) in patients with HCV genotype 2 (no cirrhosis or compensated cirrhosis)"/>
      </w:tblPr>
      <w:tblGrid>
        <w:gridCol w:w="1951"/>
        <w:gridCol w:w="2426"/>
        <w:gridCol w:w="2427"/>
        <w:gridCol w:w="1541"/>
      </w:tblGrid>
      <w:tr w:rsidR="00FE542A" w:rsidRPr="00802DBC" w:rsidTr="00460056">
        <w:trPr>
          <w:tblHeader/>
        </w:trPr>
        <w:tc>
          <w:tcPr>
            <w:tcW w:w="1951" w:type="dxa"/>
          </w:tcPr>
          <w:p w:rsidR="00FE542A" w:rsidRPr="00802DBC" w:rsidRDefault="00FE542A" w:rsidP="0094297E">
            <w:pPr>
              <w:rPr>
                <w:rFonts w:ascii="Arial Narrow" w:hAnsi="Arial Narrow"/>
                <w:sz w:val="20"/>
              </w:rPr>
            </w:pPr>
          </w:p>
        </w:tc>
        <w:tc>
          <w:tcPr>
            <w:tcW w:w="2426" w:type="dxa"/>
            <w:vAlign w:val="center"/>
          </w:tcPr>
          <w:p w:rsidR="00FE542A" w:rsidRPr="00802DBC" w:rsidRDefault="00FE542A" w:rsidP="0094297E">
            <w:pPr>
              <w:jc w:val="center"/>
              <w:rPr>
                <w:rFonts w:ascii="Arial Narrow" w:hAnsi="Arial Narrow"/>
                <w:sz w:val="20"/>
              </w:rPr>
            </w:pPr>
            <w:r w:rsidRPr="00802DBC">
              <w:rPr>
                <w:rFonts w:ascii="Arial Narrow" w:hAnsi="Arial Narrow"/>
                <w:b/>
                <w:bCs/>
                <w:sz w:val="20"/>
              </w:rPr>
              <w:t>SOF/VEL12</w:t>
            </w:r>
          </w:p>
        </w:tc>
        <w:tc>
          <w:tcPr>
            <w:tcW w:w="2427" w:type="dxa"/>
            <w:vAlign w:val="center"/>
          </w:tcPr>
          <w:p w:rsidR="00FE542A" w:rsidRPr="00802DBC" w:rsidRDefault="00FE542A" w:rsidP="0094297E">
            <w:pPr>
              <w:jc w:val="center"/>
              <w:rPr>
                <w:rFonts w:ascii="Arial Narrow" w:hAnsi="Arial Narrow"/>
                <w:sz w:val="20"/>
              </w:rPr>
            </w:pPr>
            <w:r w:rsidRPr="00802DBC">
              <w:rPr>
                <w:rFonts w:ascii="Arial Narrow" w:hAnsi="Arial Narrow"/>
                <w:b/>
                <w:bCs/>
                <w:sz w:val="20"/>
              </w:rPr>
              <w:t>SOF+RBV12</w:t>
            </w:r>
          </w:p>
        </w:tc>
        <w:tc>
          <w:tcPr>
            <w:tcW w:w="1541" w:type="dxa"/>
            <w:vAlign w:val="center"/>
          </w:tcPr>
          <w:p w:rsidR="00FE542A" w:rsidRPr="00802DBC" w:rsidRDefault="00FE542A" w:rsidP="0094297E">
            <w:pPr>
              <w:jc w:val="center"/>
              <w:rPr>
                <w:rFonts w:ascii="Arial Narrow" w:hAnsi="Arial Narrow"/>
                <w:sz w:val="20"/>
              </w:rPr>
            </w:pPr>
            <w:r w:rsidRPr="00802DBC">
              <w:rPr>
                <w:rFonts w:ascii="Arial Narrow" w:hAnsi="Arial Narrow"/>
                <w:b/>
                <w:bCs/>
                <w:sz w:val="20"/>
              </w:rPr>
              <w:t>Diff in % [95% CI]</w:t>
            </w:r>
            <w:r w:rsidRPr="00802DBC">
              <w:rPr>
                <w:rFonts w:ascii="Arial Narrow" w:hAnsi="Arial Narrow"/>
                <w:b/>
                <w:bCs/>
                <w:sz w:val="20"/>
                <w:vertAlign w:val="superscript"/>
              </w:rPr>
              <w:t>a</w:t>
            </w:r>
          </w:p>
        </w:tc>
      </w:tr>
      <w:tr w:rsidR="00FE542A" w:rsidRPr="00802DBC" w:rsidTr="0094297E">
        <w:tc>
          <w:tcPr>
            <w:tcW w:w="1951" w:type="dxa"/>
            <w:vAlign w:val="center"/>
          </w:tcPr>
          <w:p w:rsidR="00FE542A" w:rsidRPr="00802DBC" w:rsidRDefault="00FE542A" w:rsidP="0094297E">
            <w:pPr>
              <w:jc w:val="left"/>
              <w:rPr>
                <w:rFonts w:ascii="Arial Narrow" w:hAnsi="Arial Narrow"/>
                <w:sz w:val="20"/>
              </w:rPr>
            </w:pPr>
            <w:r w:rsidRPr="00802DBC">
              <w:rPr>
                <w:rFonts w:ascii="Arial Narrow" w:hAnsi="Arial Narrow"/>
                <w:sz w:val="20"/>
              </w:rPr>
              <w:t>SVR12; n/N (%) [95% CI]</w:t>
            </w:r>
          </w:p>
        </w:tc>
        <w:tc>
          <w:tcPr>
            <w:tcW w:w="2426"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133/134 (99.3%) [95.9%, 100%]</w:t>
            </w:r>
          </w:p>
        </w:tc>
        <w:tc>
          <w:tcPr>
            <w:tcW w:w="2427"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124/132 (93.9%) [88.4%, 97.3%]</w:t>
            </w:r>
          </w:p>
        </w:tc>
        <w:tc>
          <w:tcPr>
            <w:tcW w:w="1541"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5.2% [0.2%, 10.3%]</w:t>
            </w:r>
          </w:p>
        </w:tc>
      </w:tr>
    </w:tbl>
    <w:p w:rsidR="00FE542A" w:rsidRPr="00802DBC" w:rsidRDefault="00FE542A" w:rsidP="00FE542A">
      <w:pPr>
        <w:ind w:firstLine="720"/>
        <w:rPr>
          <w:rFonts w:ascii="Arial Narrow" w:hAnsi="Arial Narrow"/>
          <w:sz w:val="18"/>
          <w:szCs w:val="18"/>
        </w:rPr>
      </w:pPr>
      <w:r w:rsidRPr="00802DBC">
        <w:rPr>
          <w:rFonts w:ascii="Arial Narrow" w:hAnsi="Arial Narrow"/>
          <w:sz w:val="18"/>
          <w:szCs w:val="18"/>
        </w:rPr>
        <w:t>Source: Adapted from Table B-25, p106 of the submission</w:t>
      </w:r>
    </w:p>
    <w:p w:rsidR="00FE542A" w:rsidRPr="00802DBC" w:rsidRDefault="00FE542A" w:rsidP="00FE542A">
      <w:pPr>
        <w:ind w:left="720"/>
        <w:rPr>
          <w:rFonts w:ascii="Arial Narrow" w:hAnsi="Arial Narrow"/>
          <w:sz w:val="18"/>
          <w:szCs w:val="18"/>
        </w:rPr>
      </w:pPr>
      <w:r w:rsidRPr="00802DBC">
        <w:rPr>
          <w:rFonts w:ascii="Arial Narrow" w:hAnsi="Arial Narrow"/>
          <w:sz w:val="18"/>
          <w:szCs w:val="18"/>
        </w:rPr>
        <w:t>Abbreviations: CI = confidence interval; SOF+RBV12 = sofosbuvir plus ribavirin for 12 weeks; SOF/VEL12 = sofosbuvir/velpatasvir FDC for 12 weeks; SVR12 = sustained virological response at 12 weeks following the completion of treatment</w:t>
      </w:r>
    </w:p>
    <w:p w:rsidR="00FE542A" w:rsidRPr="00802DBC" w:rsidRDefault="00FE542A" w:rsidP="00FE542A">
      <w:pPr>
        <w:ind w:firstLine="720"/>
        <w:rPr>
          <w:rFonts w:ascii="Arial Narrow" w:hAnsi="Arial Narrow"/>
          <w:sz w:val="18"/>
          <w:szCs w:val="18"/>
        </w:rPr>
      </w:pPr>
      <w:r w:rsidRPr="00802DBC">
        <w:rPr>
          <w:rFonts w:ascii="Arial Narrow" w:hAnsi="Arial Narrow"/>
          <w:sz w:val="18"/>
          <w:szCs w:val="18"/>
          <w:vertAlign w:val="superscript"/>
        </w:rPr>
        <w:t>a</w:t>
      </w:r>
      <w:r w:rsidRPr="00802DBC">
        <w:rPr>
          <w:rFonts w:ascii="Arial Narrow" w:hAnsi="Arial Narrow"/>
          <w:sz w:val="18"/>
          <w:szCs w:val="18"/>
        </w:rPr>
        <w:t xml:space="preserve"> SOF/VEL12 versus SOF+RBV12</w:t>
      </w:r>
    </w:p>
    <w:p w:rsidR="00FE542A" w:rsidRPr="00802DBC" w:rsidRDefault="00FE542A" w:rsidP="00FE542A">
      <w:pPr>
        <w:pStyle w:val="ListParagraph"/>
        <w:widowControl/>
        <w:rPr>
          <w:szCs w:val="22"/>
        </w:rPr>
      </w:pPr>
    </w:p>
    <w:p w:rsidR="00FE542A" w:rsidRPr="00DA298E" w:rsidRDefault="00DD1D27" w:rsidP="002C4748">
      <w:pPr>
        <w:pStyle w:val="ListParagraph"/>
        <w:widowControl/>
        <w:numPr>
          <w:ilvl w:val="1"/>
          <w:numId w:val="2"/>
        </w:numPr>
        <w:rPr>
          <w:szCs w:val="22"/>
        </w:rPr>
      </w:pPr>
      <w:r w:rsidRPr="00DA298E">
        <w:rPr>
          <w:szCs w:val="22"/>
        </w:rPr>
        <w:t>The results indicate that n</w:t>
      </w:r>
      <w:r w:rsidR="00FE542A" w:rsidRPr="00DA298E">
        <w:rPr>
          <w:szCs w:val="22"/>
        </w:rPr>
        <w:t>on-inferiority of sofosbuvir/velpatasvir FDC versus sofosbuvir plus ribavirin could be concluded</w:t>
      </w:r>
      <w:r w:rsidR="004C1A65">
        <w:rPr>
          <w:szCs w:val="22"/>
        </w:rPr>
        <w:t>,</w:t>
      </w:r>
      <w:r w:rsidR="00FE542A" w:rsidRPr="00DA298E">
        <w:rPr>
          <w:szCs w:val="22"/>
        </w:rPr>
        <w:t xml:space="preserve"> as the lower bound of the 95% CI (</w:t>
      </w:r>
      <w:r w:rsidRPr="00DA298E">
        <w:rPr>
          <w:szCs w:val="22"/>
        </w:rPr>
        <w:t>+</w:t>
      </w:r>
      <w:r w:rsidR="00FE542A" w:rsidRPr="00DA298E">
        <w:rPr>
          <w:szCs w:val="22"/>
        </w:rPr>
        <w:t xml:space="preserve">0.2%) was greater than the pre-specified non-inferiority margin of -10%. </w:t>
      </w:r>
      <w:r w:rsidR="00FE542A" w:rsidRPr="00DA298E">
        <w:rPr>
          <w:iCs/>
          <w:szCs w:val="22"/>
        </w:rPr>
        <w:t xml:space="preserve">A claim of non-inferiority of sofosbuvir/velpatasvir FDC versus sofosbuvir plus ribavirin among patients with HCV genotype 2 </w:t>
      </w:r>
      <w:r w:rsidR="003C08E4" w:rsidRPr="00DA298E">
        <w:rPr>
          <w:iCs/>
          <w:szCs w:val="22"/>
        </w:rPr>
        <w:t xml:space="preserve">with no cirrhosis or compensated cirrhosis </w:t>
      </w:r>
      <w:r w:rsidR="00FE542A" w:rsidRPr="00DA298E">
        <w:rPr>
          <w:iCs/>
          <w:szCs w:val="22"/>
        </w:rPr>
        <w:t xml:space="preserve">was supported despite concerns that the pre-specified non-inferiority margin included clinically important differences. However, the statistically significant differences in SVR12 rates may not be clinically relevant as the 95% CI included values that were unlikely to be clinically </w:t>
      </w:r>
      <w:r w:rsidR="00C61F50" w:rsidRPr="00DA298E">
        <w:rPr>
          <w:iCs/>
          <w:szCs w:val="22"/>
        </w:rPr>
        <w:t>important</w:t>
      </w:r>
      <w:r w:rsidR="00FE542A" w:rsidRPr="00DA298E">
        <w:rPr>
          <w:iCs/>
          <w:szCs w:val="22"/>
        </w:rPr>
        <w:t>.</w:t>
      </w:r>
    </w:p>
    <w:p w:rsidR="004E55D2" w:rsidRDefault="004E55D2" w:rsidP="004E55D2">
      <w:pPr>
        <w:pStyle w:val="ListParagraph"/>
        <w:rPr>
          <w:szCs w:val="22"/>
        </w:rPr>
      </w:pPr>
    </w:p>
    <w:p w:rsidR="00216AED" w:rsidRPr="00B80790" w:rsidRDefault="00216AED" w:rsidP="00B80790">
      <w:pPr>
        <w:pStyle w:val="Heading3"/>
        <w:ind w:firstLine="720"/>
      </w:pPr>
      <w:r w:rsidRPr="00B80790">
        <w:t xml:space="preserve">HCV genotype 3 infection </w:t>
      </w:r>
      <w:r w:rsidR="0043216D" w:rsidRPr="00B80790">
        <w:t>with</w:t>
      </w:r>
      <w:r w:rsidRPr="004606F8">
        <w:t xml:space="preserve"> no cirrhosis or compensated cirrhosis</w:t>
      </w:r>
    </w:p>
    <w:p w:rsidR="00216AED" w:rsidRDefault="00216AED" w:rsidP="004E55D2">
      <w:pPr>
        <w:pStyle w:val="ListParagraph"/>
        <w:rPr>
          <w:szCs w:val="22"/>
        </w:rPr>
      </w:pPr>
    </w:p>
    <w:p w:rsidR="00FE542A" w:rsidRPr="00802DBC" w:rsidRDefault="00FE542A" w:rsidP="001C0B6C">
      <w:pPr>
        <w:ind w:firstLine="720"/>
        <w:rPr>
          <w:rFonts w:ascii="Arial Narrow" w:hAnsi="Arial Narrow"/>
          <w:b/>
          <w:bCs/>
          <w:sz w:val="20"/>
        </w:rPr>
      </w:pPr>
      <w:r w:rsidRPr="00802DBC">
        <w:rPr>
          <w:rFonts w:ascii="Arial Narrow" w:hAnsi="Arial Narrow"/>
          <w:b/>
          <w:bCs/>
          <w:sz w:val="20"/>
        </w:rPr>
        <w:t xml:space="preserve">Table </w:t>
      </w:r>
      <w:r w:rsidR="0052346C">
        <w:rPr>
          <w:rFonts w:ascii="Arial Narrow" w:hAnsi="Arial Narrow"/>
          <w:b/>
          <w:bCs/>
          <w:sz w:val="20"/>
        </w:rPr>
        <w:t>7</w:t>
      </w:r>
      <w:r w:rsidRPr="00802DBC">
        <w:rPr>
          <w:rFonts w:ascii="Arial Narrow" w:hAnsi="Arial Narrow"/>
          <w:b/>
          <w:bCs/>
          <w:sz w:val="20"/>
        </w:rPr>
        <w:t>: Naïve comparison of SVR12 rates in HCV genotype 3 (no cirrhosis or compensated cirrhosis)</w:t>
      </w:r>
    </w:p>
    <w:tbl>
      <w:tblPr>
        <w:tblStyle w:val="TableGrid"/>
        <w:tblW w:w="8363" w:type="dxa"/>
        <w:tblInd w:w="737" w:type="dxa"/>
        <w:tblLayout w:type="fixed"/>
        <w:tblCellMar>
          <w:left w:w="28" w:type="dxa"/>
          <w:right w:w="28" w:type="dxa"/>
        </w:tblCellMar>
        <w:tblLook w:val="04A0" w:firstRow="1" w:lastRow="0" w:firstColumn="1" w:lastColumn="0" w:noHBand="0" w:noVBand="1"/>
        <w:tblCaption w:val="Table 7: Naïve comparison of SVR12 rates in HCV genotype 3 (no cirrhosis or compensated cirrhosis)"/>
        <w:tblDescription w:val="Table 7: Naïve comparison of SVR12 rates in HCV genotype 3 (no cirrhosis or compensated cirrhosis)"/>
      </w:tblPr>
      <w:tblGrid>
        <w:gridCol w:w="2552"/>
        <w:gridCol w:w="992"/>
        <w:gridCol w:w="1559"/>
        <w:gridCol w:w="851"/>
        <w:gridCol w:w="850"/>
        <w:gridCol w:w="1559"/>
      </w:tblGrid>
      <w:tr w:rsidR="00FE542A" w:rsidRPr="00802DBC" w:rsidTr="00460056">
        <w:trPr>
          <w:trHeight w:val="152"/>
          <w:tblHeader/>
        </w:trPr>
        <w:tc>
          <w:tcPr>
            <w:tcW w:w="2552" w:type="dxa"/>
            <w:vMerge w:val="restart"/>
            <w:shd w:val="clear" w:color="auto" w:fill="auto"/>
            <w:vAlign w:val="center"/>
          </w:tcPr>
          <w:p w:rsidR="00FE542A" w:rsidRPr="00802DBC" w:rsidRDefault="00FE542A" w:rsidP="0094297E">
            <w:pPr>
              <w:jc w:val="left"/>
              <w:rPr>
                <w:rFonts w:ascii="Arial Narrow" w:hAnsi="Arial Narrow"/>
                <w:b/>
                <w:bCs/>
                <w:iCs/>
                <w:sz w:val="20"/>
              </w:rPr>
            </w:pPr>
            <w:r w:rsidRPr="00802DBC">
              <w:rPr>
                <w:rFonts w:ascii="Arial Narrow" w:hAnsi="Arial Narrow"/>
                <w:b/>
                <w:bCs/>
                <w:iCs/>
                <w:sz w:val="20"/>
              </w:rPr>
              <w:t xml:space="preserve">Study ID </w:t>
            </w:r>
          </w:p>
        </w:tc>
        <w:tc>
          <w:tcPr>
            <w:tcW w:w="992" w:type="dxa"/>
            <w:vMerge w:val="restart"/>
            <w:shd w:val="clear" w:color="auto" w:fill="auto"/>
            <w:vAlign w:val="center"/>
          </w:tcPr>
          <w:p w:rsidR="00FE542A" w:rsidRPr="00802DBC" w:rsidRDefault="00FE542A" w:rsidP="0094297E">
            <w:pPr>
              <w:jc w:val="center"/>
              <w:rPr>
                <w:rFonts w:ascii="Arial Narrow" w:hAnsi="Arial Narrow"/>
                <w:b/>
                <w:bCs/>
                <w:iCs/>
                <w:sz w:val="20"/>
              </w:rPr>
            </w:pPr>
            <w:r w:rsidRPr="00802DBC">
              <w:rPr>
                <w:rFonts w:ascii="Arial Narrow" w:hAnsi="Arial Narrow"/>
                <w:b/>
                <w:bCs/>
                <w:iCs/>
                <w:sz w:val="20"/>
              </w:rPr>
              <w:t>Study phase</w:t>
            </w:r>
          </w:p>
        </w:tc>
        <w:tc>
          <w:tcPr>
            <w:tcW w:w="1559" w:type="dxa"/>
            <w:vMerge w:val="restart"/>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b/>
                <w:bCs/>
                <w:iCs/>
                <w:sz w:val="20"/>
              </w:rPr>
              <w:t>Treatment regimen</w:t>
            </w:r>
          </w:p>
        </w:tc>
        <w:tc>
          <w:tcPr>
            <w:tcW w:w="851" w:type="dxa"/>
            <w:vMerge w:val="restart"/>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b/>
                <w:bCs/>
                <w:iCs/>
                <w:sz w:val="20"/>
              </w:rPr>
              <w:t>Duration (weeks)</w:t>
            </w:r>
          </w:p>
        </w:tc>
        <w:tc>
          <w:tcPr>
            <w:tcW w:w="2409" w:type="dxa"/>
            <w:gridSpan w:val="2"/>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b/>
                <w:bCs/>
                <w:iCs/>
                <w:sz w:val="20"/>
              </w:rPr>
              <w:t>SVR12</w:t>
            </w:r>
          </w:p>
        </w:tc>
      </w:tr>
      <w:tr w:rsidR="00FE542A" w:rsidRPr="00802DBC" w:rsidTr="00460056">
        <w:trPr>
          <w:tblHeader/>
        </w:trPr>
        <w:tc>
          <w:tcPr>
            <w:tcW w:w="2552" w:type="dxa"/>
            <w:vMerge/>
            <w:shd w:val="clear" w:color="auto" w:fill="auto"/>
          </w:tcPr>
          <w:p w:rsidR="00FE542A" w:rsidRPr="00802DBC" w:rsidRDefault="00FE542A" w:rsidP="0094297E">
            <w:pPr>
              <w:rPr>
                <w:rFonts w:ascii="Arial Narrow" w:hAnsi="Arial Narrow"/>
                <w:iCs/>
                <w:sz w:val="20"/>
              </w:rPr>
            </w:pPr>
          </w:p>
        </w:tc>
        <w:tc>
          <w:tcPr>
            <w:tcW w:w="992" w:type="dxa"/>
            <w:vMerge/>
            <w:shd w:val="clear" w:color="auto" w:fill="auto"/>
            <w:vAlign w:val="center"/>
          </w:tcPr>
          <w:p w:rsidR="00FE542A" w:rsidRPr="00802DBC" w:rsidRDefault="00FE542A" w:rsidP="0094297E">
            <w:pPr>
              <w:jc w:val="center"/>
              <w:rPr>
                <w:rFonts w:ascii="Arial Narrow" w:hAnsi="Arial Narrow"/>
                <w:b/>
                <w:bCs/>
                <w:iCs/>
                <w:sz w:val="20"/>
              </w:rPr>
            </w:pPr>
          </w:p>
        </w:tc>
        <w:tc>
          <w:tcPr>
            <w:tcW w:w="1559" w:type="dxa"/>
            <w:vMerge/>
            <w:shd w:val="clear" w:color="auto" w:fill="auto"/>
            <w:vAlign w:val="center"/>
          </w:tcPr>
          <w:p w:rsidR="00FE542A" w:rsidRPr="00802DBC" w:rsidRDefault="00FE542A" w:rsidP="0094297E">
            <w:pPr>
              <w:jc w:val="center"/>
              <w:rPr>
                <w:rFonts w:ascii="Arial Narrow" w:hAnsi="Arial Narrow"/>
                <w:b/>
                <w:bCs/>
                <w:iCs/>
                <w:sz w:val="20"/>
              </w:rPr>
            </w:pPr>
          </w:p>
        </w:tc>
        <w:tc>
          <w:tcPr>
            <w:tcW w:w="851" w:type="dxa"/>
            <w:vMerge/>
            <w:shd w:val="clear" w:color="auto" w:fill="auto"/>
            <w:vAlign w:val="center"/>
          </w:tcPr>
          <w:p w:rsidR="00FE542A" w:rsidRPr="00802DBC" w:rsidRDefault="00FE542A" w:rsidP="0094297E">
            <w:pPr>
              <w:jc w:val="center"/>
              <w:rPr>
                <w:rFonts w:ascii="Arial Narrow" w:hAnsi="Arial Narrow"/>
                <w:b/>
                <w:bCs/>
                <w:iCs/>
                <w:sz w:val="20"/>
              </w:rPr>
            </w:pPr>
          </w:p>
        </w:tc>
        <w:tc>
          <w:tcPr>
            <w:tcW w:w="850" w:type="dxa"/>
            <w:shd w:val="clear" w:color="auto" w:fill="auto"/>
            <w:vAlign w:val="center"/>
          </w:tcPr>
          <w:p w:rsidR="00FE542A" w:rsidRPr="00802DBC" w:rsidRDefault="00FE542A" w:rsidP="0094297E">
            <w:pPr>
              <w:jc w:val="center"/>
              <w:rPr>
                <w:rFonts w:ascii="Arial Narrow" w:hAnsi="Arial Narrow"/>
                <w:b/>
                <w:bCs/>
                <w:iCs/>
                <w:sz w:val="20"/>
              </w:rPr>
            </w:pPr>
            <w:r w:rsidRPr="00802DBC">
              <w:rPr>
                <w:rFonts w:ascii="Arial Narrow" w:hAnsi="Arial Narrow"/>
                <w:b/>
                <w:bCs/>
                <w:iCs/>
                <w:sz w:val="20"/>
              </w:rPr>
              <w:t>n/N</w:t>
            </w:r>
          </w:p>
        </w:tc>
        <w:tc>
          <w:tcPr>
            <w:tcW w:w="1559" w:type="dxa"/>
            <w:shd w:val="clear" w:color="auto" w:fill="auto"/>
            <w:vAlign w:val="center"/>
          </w:tcPr>
          <w:p w:rsidR="00FE542A" w:rsidRPr="00802DBC" w:rsidRDefault="00FE542A" w:rsidP="0094297E">
            <w:pPr>
              <w:jc w:val="center"/>
              <w:rPr>
                <w:rFonts w:ascii="Arial Narrow" w:hAnsi="Arial Narrow"/>
                <w:b/>
                <w:bCs/>
                <w:iCs/>
                <w:sz w:val="20"/>
              </w:rPr>
            </w:pPr>
            <w:r w:rsidRPr="00802DBC">
              <w:rPr>
                <w:rFonts w:ascii="Arial Narrow" w:hAnsi="Arial Narrow"/>
                <w:b/>
                <w:bCs/>
                <w:iCs/>
                <w:sz w:val="20"/>
              </w:rPr>
              <w:t>% (95% CI)</w:t>
            </w:r>
          </w:p>
        </w:tc>
      </w:tr>
      <w:tr w:rsidR="00FE542A" w:rsidRPr="00802DBC" w:rsidTr="00460056">
        <w:tc>
          <w:tcPr>
            <w:tcW w:w="8363" w:type="dxa"/>
            <w:gridSpan w:val="6"/>
            <w:shd w:val="clear" w:color="auto" w:fill="auto"/>
            <w:vAlign w:val="center"/>
          </w:tcPr>
          <w:p w:rsidR="00FE542A" w:rsidRPr="00802DBC" w:rsidRDefault="00FE542A" w:rsidP="00927BE4">
            <w:pPr>
              <w:jc w:val="left"/>
              <w:rPr>
                <w:rFonts w:ascii="Arial Narrow" w:hAnsi="Arial Narrow"/>
                <w:iCs/>
                <w:sz w:val="20"/>
              </w:rPr>
            </w:pPr>
            <w:r w:rsidRPr="00802DBC">
              <w:rPr>
                <w:rFonts w:ascii="Arial Narrow" w:hAnsi="Arial Narrow"/>
                <w:b/>
                <w:iCs/>
                <w:sz w:val="20"/>
              </w:rPr>
              <w:t>No cirrhosis and treatment</w:t>
            </w:r>
            <w:r w:rsidR="00927BE4">
              <w:rPr>
                <w:rFonts w:ascii="Arial Narrow" w:hAnsi="Arial Narrow"/>
                <w:b/>
                <w:iCs/>
                <w:sz w:val="20"/>
              </w:rPr>
              <w:t xml:space="preserve"> </w:t>
            </w:r>
            <w:r w:rsidRPr="00802DBC">
              <w:rPr>
                <w:rFonts w:ascii="Arial Narrow" w:hAnsi="Arial Narrow"/>
                <w:b/>
                <w:iCs/>
                <w:sz w:val="20"/>
              </w:rPr>
              <w:t xml:space="preserve">naïve </w:t>
            </w:r>
          </w:p>
        </w:tc>
      </w:tr>
      <w:tr w:rsidR="00FE542A" w:rsidRPr="00802DBC" w:rsidTr="00460056">
        <w:tc>
          <w:tcPr>
            <w:tcW w:w="2552" w:type="dxa"/>
            <w:shd w:val="clear" w:color="auto" w:fill="D9D9D9" w:themeFill="background1" w:themeFillShade="D9"/>
            <w:vAlign w:val="center"/>
          </w:tcPr>
          <w:p w:rsidR="00FE542A" w:rsidRPr="00802DBC" w:rsidRDefault="00FE542A" w:rsidP="0094297E">
            <w:pPr>
              <w:jc w:val="left"/>
              <w:rPr>
                <w:rFonts w:ascii="Arial Narrow" w:hAnsi="Arial Narrow"/>
                <w:iCs/>
                <w:sz w:val="20"/>
              </w:rPr>
            </w:pPr>
            <w:r w:rsidRPr="00802DBC">
              <w:rPr>
                <w:rFonts w:ascii="Arial Narrow" w:hAnsi="Arial Narrow"/>
                <w:iCs/>
                <w:sz w:val="20"/>
              </w:rPr>
              <w:t>ASTRAL-3</w:t>
            </w:r>
          </w:p>
        </w:tc>
        <w:tc>
          <w:tcPr>
            <w:tcW w:w="992" w:type="dxa"/>
            <w:shd w:val="clear" w:color="auto" w:fill="D9D9D9" w:themeFill="background1" w:themeFillShade="D9"/>
          </w:tcPr>
          <w:p w:rsidR="00FE542A" w:rsidRPr="00802DBC" w:rsidRDefault="00FE542A" w:rsidP="0094297E">
            <w:pPr>
              <w:jc w:val="center"/>
              <w:rPr>
                <w:rFonts w:ascii="Arial Narrow" w:hAnsi="Arial Narrow"/>
                <w:iCs/>
                <w:sz w:val="20"/>
              </w:rPr>
            </w:pPr>
            <w:r w:rsidRPr="00802DBC">
              <w:rPr>
                <w:rFonts w:ascii="Arial Narrow" w:hAnsi="Arial Narrow"/>
                <w:iCs/>
                <w:sz w:val="20"/>
              </w:rPr>
              <w:t>Phase III</w:t>
            </w:r>
          </w:p>
        </w:tc>
        <w:tc>
          <w:tcPr>
            <w:tcW w:w="1559" w:type="dxa"/>
            <w:shd w:val="clear" w:color="auto" w:fill="D9D9D9" w:themeFill="background1" w:themeFillShade="D9"/>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SOF/VEL</w:t>
            </w:r>
          </w:p>
        </w:tc>
        <w:tc>
          <w:tcPr>
            <w:tcW w:w="851" w:type="dxa"/>
            <w:shd w:val="clear" w:color="auto" w:fill="D9D9D9" w:themeFill="background1" w:themeFillShade="D9"/>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12</w:t>
            </w:r>
          </w:p>
        </w:tc>
        <w:tc>
          <w:tcPr>
            <w:tcW w:w="850" w:type="dxa"/>
            <w:shd w:val="clear" w:color="auto" w:fill="D9D9D9" w:themeFill="background1" w:themeFillShade="D9"/>
            <w:vAlign w:val="center"/>
          </w:tcPr>
          <w:p w:rsidR="00FE542A" w:rsidRPr="00802DBC" w:rsidRDefault="00FE542A" w:rsidP="0094297E">
            <w:pPr>
              <w:jc w:val="center"/>
              <w:rPr>
                <w:rFonts w:ascii="Arial Narrow" w:hAnsi="Arial Narrow"/>
                <w:iCs/>
                <w:sz w:val="20"/>
              </w:rPr>
            </w:pPr>
            <w:r w:rsidRPr="00802DBC">
              <w:rPr>
                <w:rFonts w:ascii="Arial Narrow" w:hAnsi="Arial Narrow"/>
                <w:sz w:val="20"/>
              </w:rPr>
              <w:t xml:space="preserve">160/163 </w:t>
            </w:r>
          </w:p>
        </w:tc>
        <w:tc>
          <w:tcPr>
            <w:tcW w:w="1559" w:type="dxa"/>
            <w:shd w:val="clear" w:color="auto" w:fill="D9D9D9" w:themeFill="background1" w:themeFillShade="D9"/>
            <w:vAlign w:val="center"/>
          </w:tcPr>
          <w:p w:rsidR="00FE542A" w:rsidRPr="007A46AF" w:rsidRDefault="00FE542A" w:rsidP="0094297E">
            <w:pPr>
              <w:jc w:val="center"/>
              <w:rPr>
                <w:rFonts w:ascii="Arial Narrow" w:hAnsi="Arial Narrow"/>
                <w:iCs/>
                <w:sz w:val="20"/>
              </w:rPr>
            </w:pPr>
            <w:r w:rsidRPr="007A46AF">
              <w:rPr>
                <w:rFonts w:ascii="Arial Narrow" w:hAnsi="Arial Narrow"/>
                <w:sz w:val="20"/>
              </w:rPr>
              <w:t>98.2 (</w:t>
            </w:r>
            <w:r w:rsidRPr="007A46AF">
              <w:rPr>
                <w:rFonts w:ascii="Arial Narrow" w:hAnsi="Arial Narrow"/>
                <w:iCs/>
                <w:sz w:val="20"/>
              </w:rPr>
              <w:t>94.7, 99.6</w:t>
            </w:r>
            <w:r w:rsidRPr="007A46AF">
              <w:rPr>
                <w:rFonts w:ascii="Arial Narrow" w:hAnsi="Arial Narrow"/>
                <w:sz w:val="20"/>
              </w:rPr>
              <w:t>)</w:t>
            </w:r>
          </w:p>
        </w:tc>
      </w:tr>
      <w:tr w:rsidR="00FE542A" w:rsidRPr="007A46AF" w:rsidTr="00460056">
        <w:tc>
          <w:tcPr>
            <w:tcW w:w="2552" w:type="dxa"/>
            <w:shd w:val="clear" w:color="auto" w:fill="D9D9D9" w:themeFill="background1" w:themeFillShade="D9"/>
            <w:vAlign w:val="center"/>
          </w:tcPr>
          <w:p w:rsidR="00FE542A" w:rsidRPr="007A46AF" w:rsidRDefault="00FE542A" w:rsidP="0094297E">
            <w:pPr>
              <w:jc w:val="left"/>
              <w:rPr>
                <w:rFonts w:ascii="Arial Narrow" w:hAnsi="Arial Narrow"/>
                <w:iCs/>
                <w:sz w:val="20"/>
              </w:rPr>
            </w:pPr>
            <w:r w:rsidRPr="007A46AF">
              <w:rPr>
                <w:rFonts w:ascii="Arial Narrow" w:hAnsi="Arial Narrow"/>
                <w:bCs/>
                <w:iCs/>
                <w:sz w:val="20"/>
              </w:rPr>
              <w:t>Everson (2015)</w:t>
            </w:r>
            <w:r w:rsidR="009E073B" w:rsidRPr="007A46AF">
              <w:rPr>
                <w:rFonts w:ascii="Arial Narrow" w:hAnsi="Arial Narrow"/>
                <w:bCs/>
                <w:iCs/>
                <w:sz w:val="20"/>
                <w:vertAlign w:val="superscript"/>
              </w:rPr>
              <w:t xml:space="preserve"> a</w:t>
            </w:r>
          </w:p>
        </w:tc>
        <w:tc>
          <w:tcPr>
            <w:tcW w:w="992" w:type="dxa"/>
            <w:shd w:val="clear" w:color="auto" w:fill="D9D9D9" w:themeFill="background1" w:themeFillShade="D9"/>
          </w:tcPr>
          <w:p w:rsidR="00FE542A" w:rsidRPr="007A46AF" w:rsidRDefault="00FE542A" w:rsidP="0094297E">
            <w:pPr>
              <w:jc w:val="center"/>
              <w:rPr>
                <w:rFonts w:ascii="Arial Narrow" w:hAnsi="Arial Narrow"/>
                <w:iCs/>
                <w:sz w:val="20"/>
              </w:rPr>
            </w:pPr>
            <w:r w:rsidRPr="007A46AF">
              <w:rPr>
                <w:rFonts w:ascii="Arial Narrow" w:hAnsi="Arial Narrow"/>
                <w:iCs/>
                <w:sz w:val="20"/>
              </w:rPr>
              <w:t>Phase II</w:t>
            </w:r>
          </w:p>
        </w:tc>
        <w:tc>
          <w:tcPr>
            <w:tcW w:w="1559" w:type="dxa"/>
            <w:shd w:val="clear" w:color="auto" w:fill="D9D9D9" w:themeFill="background1" w:themeFillShade="D9"/>
            <w:vAlign w:val="center"/>
          </w:tcPr>
          <w:p w:rsidR="00FE542A" w:rsidRPr="007A46AF" w:rsidRDefault="00FE542A" w:rsidP="0094297E">
            <w:pPr>
              <w:jc w:val="center"/>
              <w:rPr>
                <w:rFonts w:ascii="Arial Narrow" w:hAnsi="Arial Narrow"/>
                <w:iCs/>
                <w:sz w:val="20"/>
              </w:rPr>
            </w:pPr>
            <w:r w:rsidRPr="007A46AF">
              <w:rPr>
                <w:rFonts w:ascii="Arial Narrow" w:hAnsi="Arial Narrow"/>
                <w:iCs/>
                <w:sz w:val="20"/>
              </w:rPr>
              <w:t>SOF/VEL</w:t>
            </w:r>
          </w:p>
        </w:tc>
        <w:tc>
          <w:tcPr>
            <w:tcW w:w="851" w:type="dxa"/>
            <w:shd w:val="clear" w:color="auto" w:fill="D9D9D9" w:themeFill="background1" w:themeFillShade="D9"/>
            <w:vAlign w:val="center"/>
          </w:tcPr>
          <w:p w:rsidR="00FE542A" w:rsidRPr="007A46AF" w:rsidRDefault="00FE542A" w:rsidP="0094297E">
            <w:pPr>
              <w:jc w:val="center"/>
              <w:rPr>
                <w:rFonts w:ascii="Arial Narrow" w:hAnsi="Arial Narrow"/>
                <w:iCs/>
                <w:sz w:val="20"/>
              </w:rPr>
            </w:pPr>
            <w:r w:rsidRPr="007A46AF">
              <w:rPr>
                <w:rFonts w:ascii="Arial Narrow" w:hAnsi="Arial Narrow"/>
                <w:iCs/>
                <w:sz w:val="20"/>
              </w:rPr>
              <w:t>12</w:t>
            </w:r>
          </w:p>
        </w:tc>
        <w:tc>
          <w:tcPr>
            <w:tcW w:w="850" w:type="dxa"/>
            <w:shd w:val="clear" w:color="auto" w:fill="D9D9D9" w:themeFill="background1" w:themeFillShade="D9"/>
            <w:vAlign w:val="center"/>
          </w:tcPr>
          <w:p w:rsidR="00FE542A" w:rsidRPr="007A46AF" w:rsidRDefault="00FE542A" w:rsidP="0094297E">
            <w:pPr>
              <w:jc w:val="center"/>
              <w:rPr>
                <w:rFonts w:ascii="Arial Narrow" w:hAnsi="Arial Narrow"/>
                <w:sz w:val="20"/>
              </w:rPr>
            </w:pPr>
            <w:r w:rsidRPr="007A46AF">
              <w:rPr>
                <w:rFonts w:ascii="Arial Narrow" w:hAnsi="Arial Narrow"/>
                <w:iCs/>
                <w:sz w:val="20"/>
              </w:rPr>
              <w:t>25/27</w:t>
            </w:r>
          </w:p>
        </w:tc>
        <w:tc>
          <w:tcPr>
            <w:tcW w:w="1559" w:type="dxa"/>
            <w:shd w:val="clear" w:color="auto" w:fill="D9D9D9" w:themeFill="background1" w:themeFillShade="D9"/>
            <w:vAlign w:val="center"/>
          </w:tcPr>
          <w:p w:rsidR="00FE542A" w:rsidRPr="007A46AF" w:rsidRDefault="00FE542A" w:rsidP="0094297E">
            <w:pPr>
              <w:jc w:val="center"/>
              <w:rPr>
                <w:rFonts w:ascii="Arial Narrow" w:hAnsi="Arial Narrow"/>
                <w:sz w:val="20"/>
              </w:rPr>
            </w:pPr>
            <w:r w:rsidRPr="007A46AF">
              <w:rPr>
                <w:rFonts w:ascii="Arial Narrow" w:hAnsi="Arial Narrow"/>
                <w:iCs/>
                <w:sz w:val="20"/>
              </w:rPr>
              <w:t xml:space="preserve">92.6 (75.7, 99.1) </w:t>
            </w:r>
          </w:p>
        </w:tc>
      </w:tr>
      <w:tr w:rsidR="00FE542A" w:rsidRPr="00802DBC" w:rsidTr="00460056">
        <w:tc>
          <w:tcPr>
            <w:tcW w:w="2552" w:type="dxa"/>
            <w:shd w:val="clear" w:color="auto" w:fill="auto"/>
            <w:vAlign w:val="center"/>
          </w:tcPr>
          <w:p w:rsidR="00FE542A" w:rsidRPr="00802DBC" w:rsidRDefault="00FE542A" w:rsidP="0094297E">
            <w:pPr>
              <w:jc w:val="left"/>
              <w:rPr>
                <w:rFonts w:ascii="Arial Narrow" w:hAnsi="Arial Narrow"/>
                <w:iCs/>
                <w:sz w:val="20"/>
              </w:rPr>
            </w:pPr>
            <w:r w:rsidRPr="00802DBC">
              <w:rPr>
                <w:rFonts w:ascii="Arial Narrow" w:hAnsi="Arial Narrow"/>
                <w:iCs/>
                <w:sz w:val="20"/>
              </w:rPr>
              <w:t>ALLY-3</w:t>
            </w:r>
          </w:p>
        </w:tc>
        <w:tc>
          <w:tcPr>
            <w:tcW w:w="992" w:type="dxa"/>
            <w:shd w:val="clear" w:color="auto" w:fill="auto"/>
          </w:tcPr>
          <w:p w:rsidR="00FE542A" w:rsidRPr="00802DBC" w:rsidRDefault="00FE542A" w:rsidP="0094297E">
            <w:pPr>
              <w:jc w:val="center"/>
              <w:rPr>
                <w:rFonts w:ascii="Arial Narrow" w:hAnsi="Arial Narrow"/>
                <w:iCs/>
                <w:sz w:val="20"/>
              </w:rPr>
            </w:pPr>
            <w:r w:rsidRPr="00802DBC">
              <w:rPr>
                <w:rFonts w:ascii="Arial Narrow" w:hAnsi="Arial Narrow"/>
                <w:iCs/>
                <w:sz w:val="20"/>
              </w:rPr>
              <w:t>Phase III</w:t>
            </w:r>
          </w:p>
        </w:tc>
        <w:tc>
          <w:tcPr>
            <w:tcW w:w="1559" w:type="dxa"/>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DCV+SOF</w:t>
            </w:r>
          </w:p>
        </w:tc>
        <w:tc>
          <w:tcPr>
            <w:tcW w:w="851" w:type="dxa"/>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12</w:t>
            </w:r>
          </w:p>
        </w:tc>
        <w:tc>
          <w:tcPr>
            <w:tcW w:w="850" w:type="dxa"/>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 xml:space="preserve">73/75 </w:t>
            </w:r>
          </w:p>
        </w:tc>
        <w:tc>
          <w:tcPr>
            <w:tcW w:w="1559" w:type="dxa"/>
            <w:shd w:val="clear" w:color="auto" w:fill="auto"/>
            <w:vAlign w:val="center"/>
          </w:tcPr>
          <w:p w:rsidR="00FE542A" w:rsidRPr="007A46AF" w:rsidRDefault="00FE542A" w:rsidP="0094297E">
            <w:pPr>
              <w:jc w:val="center"/>
              <w:rPr>
                <w:rFonts w:ascii="Arial Narrow" w:hAnsi="Arial Narrow"/>
                <w:sz w:val="20"/>
              </w:rPr>
            </w:pPr>
            <w:r w:rsidRPr="007A46AF">
              <w:rPr>
                <w:rFonts w:ascii="Arial Narrow" w:hAnsi="Arial Narrow"/>
                <w:iCs/>
                <w:sz w:val="20"/>
              </w:rPr>
              <w:t>97.3 (</w:t>
            </w:r>
            <w:r w:rsidRPr="007A46AF">
              <w:rPr>
                <w:rFonts w:ascii="Arial Narrow" w:hAnsi="Arial Narrow"/>
                <w:sz w:val="20"/>
              </w:rPr>
              <w:t>90.7, 99.7)</w:t>
            </w:r>
          </w:p>
        </w:tc>
      </w:tr>
      <w:tr w:rsidR="00FE542A" w:rsidRPr="00802DBC" w:rsidTr="00460056">
        <w:tc>
          <w:tcPr>
            <w:tcW w:w="8363" w:type="dxa"/>
            <w:gridSpan w:val="6"/>
            <w:shd w:val="clear" w:color="auto" w:fill="auto"/>
            <w:vAlign w:val="center"/>
          </w:tcPr>
          <w:p w:rsidR="00FE542A" w:rsidRPr="00590E24" w:rsidRDefault="00FE542A" w:rsidP="00927BE4">
            <w:pPr>
              <w:jc w:val="left"/>
              <w:rPr>
                <w:rFonts w:ascii="Arial Narrow" w:hAnsi="Arial Narrow"/>
                <w:iCs/>
                <w:sz w:val="20"/>
              </w:rPr>
            </w:pPr>
            <w:r w:rsidRPr="00590E24">
              <w:rPr>
                <w:rFonts w:ascii="Arial Narrow" w:hAnsi="Arial Narrow"/>
                <w:b/>
                <w:iCs/>
                <w:sz w:val="20"/>
              </w:rPr>
              <w:t>No cirrhosis and treatment</w:t>
            </w:r>
            <w:r w:rsidR="00927BE4">
              <w:rPr>
                <w:rFonts w:ascii="Arial Narrow" w:hAnsi="Arial Narrow"/>
                <w:b/>
                <w:iCs/>
                <w:sz w:val="20"/>
              </w:rPr>
              <w:t xml:space="preserve"> </w:t>
            </w:r>
            <w:r w:rsidRPr="00590E24">
              <w:rPr>
                <w:rFonts w:ascii="Arial Narrow" w:hAnsi="Arial Narrow"/>
                <w:b/>
                <w:iCs/>
                <w:sz w:val="20"/>
              </w:rPr>
              <w:t>experienced</w:t>
            </w:r>
          </w:p>
        </w:tc>
      </w:tr>
      <w:tr w:rsidR="00FE542A" w:rsidRPr="00802DBC" w:rsidTr="00460056">
        <w:tc>
          <w:tcPr>
            <w:tcW w:w="2552" w:type="dxa"/>
            <w:shd w:val="clear" w:color="auto" w:fill="D9D9D9" w:themeFill="background1" w:themeFillShade="D9"/>
            <w:vAlign w:val="center"/>
          </w:tcPr>
          <w:p w:rsidR="00FE542A" w:rsidRPr="00802DBC" w:rsidRDefault="00FE542A" w:rsidP="0094297E">
            <w:pPr>
              <w:jc w:val="left"/>
              <w:rPr>
                <w:rFonts w:ascii="Arial Narrow" w:hAnsi="Arial Narrow"/>
                <w:iCs/>
                <w:sz w:val="20"/>
              </w:rPr>
            </w:pPr>
            <w:r w:rsidRPr="00802DBC">
              <w:rPr>
                <w:rFonts w:ascii="Arial Narrow" w:hAnsi="Arial Narrow"/>
                <w:iCs/>
                <w:sz w:val="20"/>
              </w:rPr>
              <w:t>ASTRAL-3</w:t>
            </w:r>
          </w:p>
        </w:tc>
        <w:tc>
          <w:tcPr>
            <w:tcW w:w="992" w:type="dxa"/>
            <w:shd w:val="clear" w:color="auto" w:fill="D9D9D9" w:themeFill="background1" w:themeFillShade="D9"/>
          </w:tcPr>
          <w:p w:rsidR="00FE542A" w:rsidRPr="00802DBC" w:rsidRDefault="00FE542A" w:rsidP="0094297E">
            <w:pPr>
              <w:jc w:val="center"/>
              <w:rPr>
                <w:rFonts w:ascii="Arial Narrow" w:hAnsi="Arial Narrow"/>
                <w:iCs/>
                <w:sz w:val="20"/>
              </w:rPr>
            </w:pPr>
            <w:r w:rsidRPr="00802DBC">
              <w:rPr>
                <w:rFonts w:ascii="Arial Narrow" w:hAnsi="Arial Narrow"/>
                <w:iCs/>
                <w:sz w:val="20"/>
              </w:rPr>
              <w:t>Phase III</w:t>
            </w:r>
          </w:p>
        </w:tc>
        <w:tc>
          <w:tcPr>
            <w:tcW w:w="1559" w:type="dxa"/>
            <w:shd w:val="clear" w:color="auto" w:fill="D9D9D9" w:themeFill="background1" w:themeFillShade="D9"/>
            <w:vAlign w:val="center"/>
          </w:tcPr>
          <w:p w:rsidR="00FE542A" w:rsidRPr="00590E24" w:rsidRDefault="00FE542A" w:rsidP="0094297E">
            <w:pPr>
              <w:jc w:val="center"/>
              <w:rPr>
                <w:rFonts w:ascii="Arial Narrow" w:hAnsi="Arial Narrow"/>
                <w:iCs/>
                <w:sz w:val="20"/>
              </w:rPr>
            </w:pPr>
            <w:r w:rsidRPr="00590E24">
              <w:rPr>
                <w:rFonts w:ascii="Arial Narrow" w:hAnsi="Arial Narrow"/>
                <w:iCs/>
                <w:sz w:val="20"/>
              </w:rPr>
              <w:t>SOF/VEL</w:t>
            </w:r>
          </w:p>
        </w:tc>
        <w:tc>
          <w:tcPr>
            <w:tcW w:w="851" w:type="dxa"/>
            <w:shd w:val="clear" w:color="auto" w:fill="D9D9D9" w:themeFill="background1" w:themeFillShade="D9"/>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12</w:t>
            </w:r>
          </w:p>
        </w:tc>
        <w:tc>
          <w:tcPr>
            <w:tcW w:w="850" w:type="dxa"/>
            <w:shd w:val="clear" w:color="auto" w:fill="D9D9D9" w:themeFill="background1" w:themeFillShade="D9"/>
            <w:vAlign w:val="center"/>
          </w:tcPr>
          <w:p w:rsidR="00FE542A" w:rsidRPr="00802DBC" w:rsidRDefault="00FE542A" w:rsidP="0094297E">
            <w:pPr>
              <w:jc w:val="center"/>
              <w:rPr>
                <w:rFonts w:ascii="Arial Narrow" w:hAnsi="Arial Narrow"/>
                <w:iCs/>
                <w:sz w:val="20"/>
              </w:rPr>
            </w:pPr>
            <w:r w:rsidRPr="00802DBC">
              <w:rPr>
                <w:rFonts w:ascii="Arial Narrow" w:hAnsi="Arial Narrow"/>
                <w:sz w:val="20"/>
              </w:rPr>
              <w:t xml:space="preserve">31/34 </w:t>
            </w:r>
          </w:p>
        </w:tc>
        <w:tc>
          <w:tcPr>
            <w:tcW w:w="1559" w:type="dxa"/>
            <w:shd w:val="clear" w:color="auto" w:fill="D9D9D9" w:themeFill="background1" w:themeFillShade="D9"/>
            <w:vAlign w:val="center"/>
          </w:tcPr>
          <w:p w:rsidR="00FE542A" w:rsidRPr="007A46AF" w:rsidRDefault="00FE542A" w:rsidP="0094297E">
            <w:pPr>
              <w:jc w:val="center"/>
              <w:rPr>
                <w:rFonts w:ascii="Arial Narrow" w:hAnsi="Arial Narrow"/>
                <w:iCs/>
                <w:sz w:val="20"/>
              </w:rPr>
            </w:pPr>
            <w:r w:rsidRPr="007A46AF">
              <w:rPr>
                <w:rFonts w:ascii="Arial Narrow" w:hAnsi="Arial Narrow"/>
                <w:sz w:val="20"/>
              </w:rPr>
              <w:t>91.2 (</w:t>
            </w:r>
            <w:r w:rsidRPr="007A46AF">
              <w:rPr>
                <w:rFonts w:ascii="Arial Narrow" w:hAnsi="Arial Narrow"/>
                <w:iCs/>
                <w:sz w:val="20"/>
              </w:rPr>
              <w:t>76.3, 98.1)</w:t>
            </w:r>
          </w:p>
        </w:tc>
      </w:tr>
      <w:tr w:rsidR="00FE542A" w:rsidRPr="007A46AF" w:rsidTr="00460056">
        <w:tc>
          <w:tcPr>
            <w:tcW w:w="2552" w:type="dxa"/>
            <w:shd w:val="clear" w:color="auto" w:fill="D9D9D9" w:themeFill="background1" w:themeFillShade="D9"/>
            <w:vAlign w:val="center"/>
          </w:tcPr>
          <w:p w:rsidR="00FE542A" w:rsidRPr="007A46AF" w:rsidRDefault="00FE542A" w:rsidP="0094297E">
            <w:pPr>
              <w:jc w:val="left"/>
              <w:rPr>
                <w:rFonts w:ascii="Arial Narrow" w:hAnsi="Arial Narrow"/>
                <w:iCs/>
                <w:sz w:val="20"/>
              </w:rPr>
            </w:pPr>
            <w:r w:rsidRPr="007A46AF">
              <w:rPr>
                <w:rFonts w:ascii="Arial Narrow" w:hAnsi="Arial Narrow"/>
                <w:bCs/>
                <w:iCs/>
                <w:sz w:val="20"/>
              </w:rPr>
              <w:t>Pianko (2015)</w:t>
            </w:r>
            <w:r w:rsidR="007A46AF" w:rsidRPr="007A46AF">
              <w:rPr>
                <w:rFonts w:ascii="Arial Narrow" w:hAnsi="Arial Narrow"/>
                <w:bCs/>
                <w:iCs/>
                <w:sz w:val="20"/>
                <w:vertAlign w:val="superscript"/>
              </w:rPr>
              <w:t xml:space="preserve"> a</w:t>
            </w:r>
          </w:p>
        </w:tc>
        <w:tc>
          <w:tcPr>
            <w:tcW w:w="992" w:type="dxa"/>
            <w:shd w:val="clear" w:color="auto" w:fill="D9D9D9" w:themeFill="background1" w:themeFillShade="D9"/>
          </w:tcPr>
          <w:p w:rsidR="00FE542A" w:rsidRPr="007A46AF" w:rsidRDefault="00FE542A" w:rsidP="0094297E">
            <w:pPr>
              <w:jc w:val="center"/>
              <w:rPr>
                <w:rFonts w:ascii="Arial Narrow" w:hAnsi="Arial Narrow"/>
                <w:iCs/>
                <w:sz w:val="20"/>
              </w:rPr>
            </w:pPr>
            <w:r w:rsidRPr="007A46AF">
              <w:rPr>
                <w:rFonts w:ascii="Arial Narrow" w:hAnsi="Arial Narrow"/>
                <w:iCs/>
                <w:sz w:val="20"/>
              </w:rPr>
              <w:t>Phase II</w:t>
            </w:r>
          </w:p>
        </w:tc>
        <w:tc>
          <w:tcPr>
            <w:tcW w:w="1559" w:type="dxa"/>
            <w:shd w:val="clear" w:color="auto" w:fill="D9D9D9" w:themeFill="background1" w:themeFillShade="D9"/>
            <w:vAlign w:val="center"/>
          </w:tcPr>
          <w:p w:rsidR="00FE542A" w:rsidRPr="00590E24" w:rsidRDefault="00FE542A" w:rsidP="0094297E">
            <w:pPr>
              <w:jc w:val="center"/>
              <w:rPr>
                <w:rFonts w:ascii="Arial Narrow" w:hAnsi="Arial Narrow"/>
                <w:iCs/>
                <w:sz w:val="20"/>
              </w:rPr>
            </w:pPr>
            <w:r w:rsidRPr="00590E24">
              <w:rPr>
                <w:rFonts w:ascii="Arial Narrow" w:hAnsi="Arial Narrow"/>
                <w:iCs/>
                <w:sz w:val="20"/>
              </w:rPr>
              <w:t>SOF/VEL</w:t>
            </w:r>
          </w:p>
        </w:tc>
        <w:tc>
          <w:tcPr>
            <w:tcW w:w="851" w:type="dxa"/>
            <w:shd w:val="clear" w:color="auto" w:fill="D9D9D9" w:themeFill="background1" w:themeFillShade="D9"/>
            <w:vAlign w:val="center"/>
          </w:tcPr>
          <w:p w:rsidR="00FE542A" w:rsidRPr="007A46AF" w:rsidRDefault="00FE542A" w:rsidP="0094297E">
            <w:pPr>
              <w:jc w:val="center"/>
              <w:rPr>
                <w:rFonts w:ascii="Arial Narrow" w:hAnsi="Arial Narrow"/>
                <w:iCs/>
                <w:sz w:val="20"/>
              </w:rPr>
            </w:pPr>
            <w:r w:rsidRPr="007A46AF">
              <w:rPr>
                <w:rFonts w:ascii="Arial Narrow" w:hAnsi="Arial Narrow"/>
                <w:iCs/>
                <w:sz w:val="20"/>
              </w:rPr>
              <w:t>12</w:t>
            </w:r>
          </w:p>
        </w:tc>
        <w:tc>
          <w:tcPr>
            <w:tcW w:w="850" w:type="dxa"/>
            <w:shd w:val="clear" w:color="auto" w:fill="D9D9D9" w:themeFill="background1" w:themeFillShade="D9"/>
            <w:vAlign w:val="center"/>
          </w:tcPr>
          <w:p w:rsidR="00FE542A" w:rsidRPr="007A46AF" w:rsidRDefault="00FE542A" w:rsidP="0094297E">
            <w:pPr>
              <w:jc w:val="center"/>
              <w:rPr>
                <w:rFonts w:ascii="Arial Narrow" w:hAnsi="Arial Narrow"/>
                <w:sz w:val="20"/>
              </w:rPr>
            </w:pPr>
            <w:r w:rsidRPr="007A46AF">
              <w:rPr>
                <w:rFonts w:ascii="Arial Narrow" w:hAnsi="Arial Narrow"/>
                <w:iCs/>
                <w:sz w:val="20"/>
              </w:rPr>
              <w:t>27/27</w:t>
            </w:r>
          </w:p>
        </w:tc>
        <w:tc>
          <w:tcPr>
            <w:tcW w:w="1559" w:type="dxa"/>
            <w:shd w:val="clear" w:color="auto" w:fill="D9D9D9" w:themeFill="background1" w:themeFillShade="D9"/>
            <w:vAlign w:val="center"/>
          </w:tcPr>
          <w:p w:rsidR="00FE542A" w:rsidRPr="007A46AF" w:rsidRDefault="00FE542A" w:rsidP="0094297E">
            <w:pPr>
              <w:jc w:val="center"/>
              <w:rPr>
                <w:rFonts w:ascii="Arial Narrow" w:hAnsi="Arial Narrow"/>
                <w:sz w:val="20"/>
              </w:rPr>
            </w:pPr>
            <w:r w:rsidRPr="007A46AF">
              <w:rPr>
                <w:rFonts w:ascii="Arial Narrow" w:hAnsi="Arial Narrow"/>
                <w:iCs/>
                <w:sz w:val="20"/>
              </w:rPr>
              <w:t>100 (87.2, 100)</w:t>
            </w:r>
          </w:p>
        </w:tc>
      </w:tr>
      <w:tr w:rsidR="00FE542A" w:rsidRPr="00802DBC" w:rsidTr="00460056">
        <w:tc>
          <w:tcPr>
            <w:tcW w:w="2552" w:type="dxa"/>
            <w:shd w:val="clear" w:color="auto" w:fill="auto"/>
            <w:vAlign w:val="center"/>
          </w:tcPr>
          <w:p w:rsidR="00FE542A" w:rsidRPr="00802DBC" w:rsidRDefault="00FE542A" w:rsidP="0094297E">
            <w:pPr>
              <w:jc w:val="left"/>
              <w:rPr>
                <w:rFonts w:ascii="Arial Narrow" w:hAnsi="Arial Narrow"/>
                <w:iCs/>
                <w:sz w:val="20"/>
              </w:rPr>
            </w:pPr>
            <w:r w:rsidRPr="00802DBC">
              <w:rPr>
                <w:rFonts w:ascii="Arial Narrow" w:hAnsi="Arial Narrow"/>
                <w:iCs/>
                <w:sz w:val="20"/>
              </w:rPr>
              <w:t>ALLY-3</w:t>
            </w:r>
          </w:p>
        </w:tc>
        <w:tc>
          <w:tcPr>
            <w:tcW w:w="992" w:type="dxa"/>
            <w:shd w:val="clear" w:color="auto" w:fill="auto"/>
          </w:tcPr>
          <w:p w:rsidR="00FE542A" w:rsidRPr="00802DBC" w:rsidRDefault="00FE542A" w:rsidP="0094297E">
            <w:pPr>
              <w:jc w:val="center"/>
              <w:rPr>
                <w:rFonts w:ascii="Arial Narrow" w:hAnsi="Arial Narrow"/>
                <w:iCs/>
                <w:sz w:val="20"/>
              </w:rPr>
            </w:pPr>
            <w:r w:rsidRPr="00802DBC">
              <w:rPr>
                <w:rFonts w:ascii="Arial Narrow" w:hAnsi="Arial Narrow"/>
                <w:iCs/>
                <w:sz w:val="20"/>
              </w:rPr>
              <w:t>Phase III</w:t>
            </w:r>
          </w:p>
        </w:tc>
        <w:tc>
          <w:tcPr>
            <w:tcW w:w="1559" w:type="dxa"/>
            <w:shd w:val="clear" w:color="auto" w:fill="auto"/>
            <w:vAlign w:val="center"/>
          </w:tcPr>
          <w:p w:rsidR="00FE542A" w:rsidRPr="00590E24" w:rsidRDefault="00FE542A" w:rsidP="0094297E">
            <w:pPr>
              <w:jc w:val="center"/>
              <w:rPr>
                <w:rFonts w:ascii="Arial Narrow" w:hAnsi="Arial Narrow"/>
                <w:iCs/>
                <w:sz w:val="20"/>
              </w:rPr>
            </w:pPr>
            <w:r w:rsidRPr="00590E24">
              <w:rPr>
                <w:rFonts w:ascii="Arial Narrow" w:hAnsi="Arial Narrow"/>
                <w:iCs/>
                <w:sz w:val="20"/>
              </w:rPr>
              <w:t>DCV+SOF</w:t>
            </w:r>
          </w:p>
        </w:tc>
        <w:tc>
          <w:tcPr>
            <w:tcW w:w="851" w:type="dxa"/>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12</w:t>
            </w:r>
          </w:p>
        </w:tc>
        <w:tc>
          <w:tcPr>
            <w:tcW w:w="850" w:type="dxa"/>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sz w:val="20"/>
              </w:rPr>
              <w:t xml:space="preserve">32/34 </w:t>
            </w:r>
          </w:p>
        </w:tc>
        <w:tc>
          <w:tcPr>
            <w:tcW w:w="1559" w:type="dxa"/>
            <w:shd w:val="clear" w:color="auto" w:fill="auto"/>
            <w:vAlign w:val="center"/>
          </w:tcPr>
          <w:p w:rsidR="00FE542A" w:rsidRPr="007A46AF" w:rsidRDefault="00FE542A" w:rsidP="0094297E">
            <w:pPr>
              <w:jc w:val="center"/>
              <w:rPr>
                <w:rFonts w:ascii="Arial Narrow" w:hAnsi="Arial Narrow"/>
                <w:iCs/>
                <w:sz w:val="20"/>
              </w:rPr>
            </w:pPr>
            <w:r w:rsidRPr="007A46AF">
              <w:rPr>
                <w:rFonts w:ascii="Arial Narrow" w:hAnsi="Arial Narrow"/>
                <w:sz w:val="20"/>
              </w:rPr>
              <w:t>94.1 (</w:t>
            </w:r>
            <w:r w:rsidRPr="007A46AF">
              <w:rPr>
                <w:rFonts w:ascii="Arial Narrow" w:hAnsi="Arial Narrow"/>
                <w:iCs/>
                <w:sz w:val="20"/>
              </w:rPr>
              <w:t>80.3, 99.3)</w:t>
            </w:r>
          </w:p>
        </w:tc>
      </w:tr>
      <w:tr w:rsidR="00FE542A" w:rsidRPr="00802DBC" w:rsidTr="00460056">
        <w:tc>
          <w:tcPr>
            <w:tcW w:w="8363" w:type="dxa"/>
            <w:gridSpan w:val="6"/>
            <w:shd w:val="clear" w:color="auto" w:fill="auto"/>
            <w:vAlign w:val="center"/>
          </w:tcPr>
          <w:p w:rsidR="00FE542A" w:rsidRPr="00590E24" w:rsidRDefault="00FE542A" w:rsidP="00927BE4">
            <w:pPr>
              <w:jc w:val="left"/>
              <w:rPr>
                <w:rFonts w:ascii="Arial Narrow" w:hAnsi="Arial Narrow"/>
                <w:iCs/>
                <w:sz w:val="20"/>
              </w:rPr>
            </w:pPr>
            <w:r w:rsidRPr="00590E24">
              <w:rPr>
                <w:rFonts w:ascii="Arial Narrow" w:hAnsi="Arial Narrow"/>
                <w:b/>
                <w:iCs/>
                <w:sz w:val="20"/>
              </w:rPr>
              <w:t>Cirrhosis and treatment</w:t>
            </w:r>
            <w:r w:rsidR="00927BE4">
              <w:rPr>
                <w:rFonts w:ascii="Arial Narrow" w:hAnsi="Arial Narrow"/>
                <w:b/>
                <w:iCs/>
                <w:sz w:val="20"/>
              </w:rPr>
              <w:t xml:space="preserve"> </w:t>
            </w:r>
            <w:r w:rsidRPr="00590E24">
              <w:rPr>
                <w:rFonts w:ascii="Arial Narrow" w:hAnsi="Arial Narrow"/>
                <w:b/>
                <w:iCs/>
                <w:sz w:val="20"/>
              </w:rPr>
              <w:t xml:space="preserve">naïve </w:t>
            </w:r>
          </w:p>
        </w:tc>
      </w:tr>
      <w:tr w:rsidR="00FE542A" w:rsidRPr="00802DBC" w:rsidTr="00460056">
        <w:tc>
          <w:tcPr>
            <w:tcW w:w="2552" w:type="dxa"/>
            <w:shd w:val="clear" w:color="auto" w:fill="D9D9D9" w:themeFill="background1" w:themeFillShade="D9"/>
            <w:vAlign w:val="center"/>
          </w:tcPr>
          <w:p w:rsidR="00FE542A" w:rsidRPr="00802DBC" w:rsidRDefault="00FE542A" w:rsidP="0094297E">
            <w:pPr>
              <w:jc w:val="left"/>
              <w:rPr>
                <w:rFonts w:ascii="Arial Narrow" w:hAnsi="Arial Narrow"/>
                <w:iCs/>
                <w:sz w:val="20"/>
              </w:rPr>
            </w:pPr>
            <w:r w:rsidRPr="00802DBC">
              <w:rPr>
                <w:rFonts w:ascii="Arial Narrow" w:hAnsi="Arial Narrow"/>
                <w:iCs/>
                <w:sz w:val="20"/>
              </w:rPr>
              <w:t>ASTRAL-3</w:t>
            </w:r>
          </w:p>
        </w:tc>
        <w:tc>
          <w:tcPr>
            <w:tcW w:w="992" w:type="dxa"/>
            <w:shd w:val="clear" w:color="auto" w:fill="D9D9D9" w:themeFill="background1" w:themeFillShade="D9"/>
          </w:tcPr>
          <w:p w:rsidR="00FE542A" w:rsidRPr="00802DBC" w:rsidRDefault="00FE542A" w:rsidP="0094297E">
            <w:pPr>
              <w:jc w:val="center"/>
              <w:rPr>
                <w:rFonts w:ascii="Arial Narrow" w:hAnsi="Arial Narrow"/>
                <w:iCs/>
                <w:sz w:val="20"/>
              </w:rPr>
            </w:pPr>
            <w:r w:rsidRPr="00802DBC">
              <w:rPr>
                <w:rFonts w:ascii="Arial Narrow" w:hAnsi="Arial Narrow"/>
                <w:iCs/>
                <w:sz w:val="20"/>
              </w:rPr>
              <w:t>Phase III</w:t>
            </w:r>
          </w:p>
        </w:tc>
        <w:tc>
          <w:tcPr>
            <w:tcW w:w="1559" w:type="dxa"/>
            <w:shd w:val="clear" w:color="auto" w:fill="D9D9D9" w:themeFill="background1" w:themeFillShade="D9"/>
            <w:vAlign w:val="center"/>
          </w:tcPr>
          <w:p w:rsidR="00FE542A" w:rsidRPr="00590E24" w:rsidRDefault="00FE542A" w:rsidP="0094297E">
            <w:pPr>
              <w:jc w:val="center"/>
              <w:rPr>
                <w:rFonts w:ascii="Arial Narrow" w:hAnsi="Arial Narrow"/>
                <w:iCs/>
                <w:sz w:val="20"/>
              </w:rPr>
            </w:pPr>
            <w:r w:rsidRPr="00590E24">
              <w:rPr>
                <w:rFonts w:ascii="Arial Narrow" w:hAnsi="Arial Narrow"/>
                <w:iCs/>
                <w:sz w:val="20"/>
              </w:rPr>
              <w:t>SOF/VEL</w:t>
            </w:r>
          </w:p>
        </w:tc>
        <w:tc>
          <w:tcPr>
            <w:tcW w:w="851" w:type="dxa"/>
            <w:shd w:val="clear" w:color="auto" w:fill="D9D9D9" w:themeFill="background1" w:themeFillShade="D9"/>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12</w:t>
            </w:r>
          </w:p>
        </w:tc>
        <w:tc>
          <w:tcPr>
            <w:tcW w:w="850" w:type="dxa"/>
            <w:shd w:val="clear" w:color="auto" w:fill="D9D9D9" w:themeFill="background1" w:themeFillShade="D9"/>
            <w:vAlign w:val="center"/>
          </w:tcPr>
          <w:p w:rsidR="00FE542A" w:rsidRPr="00802DBC" w:rsidRDefault="00FE542A" w:rsidP="0094297E">
            <w:pPr>
              <w:jc w:val="center"/>
              <w:rPr>
                <w:rFonts w:ascii="Arial Narrow" w:hAnsi="Arial Narrow"/>
                <w:iCs/>
                <w:sz w:val="20"/>
              </w:rPr>
            </w:pPr>
            <w:r w:rsidRPr="00802DBC">
              <w:rPr>
                <w:rFonts w:ascii="Arial Narrow" w:hAnsi="Arial Narrow"/>
                <w:sz w:val="20"/>
              </w:rPr>
              <w:t xml:space="preserve">40/43 </w:t>
            </w:r>
          </w:p>
        </w:tc>
        <w:tc>
          <w:tcPr>
            <w:tcW w:w="1559" w:type="dxa"/>
            <w:shd w:val="clear" w:color="auto" w:fill="D9D9D9" w:themeFill="background1" w:themeFillShade="D9"/>
            <w:vAlign w:val="center"/>
          </w:tcPr>
          <w:p w:rsidR="00FE542A" w:rsidRPr="007A46AF" w:rsidRDefault="00FE542A" w:rsidP="0094297E">
            <w:pPr>
              <w:jc w:val="center"/>
              <w:rPr>
                <w:rFonts w:ascii="Arial Narrow" w:hAnsi="Arial Narrow"/>
                <w:iCs/>
                <w:sz w:val="20"/>
              </w:rPr>
            </w:pPr>
            <w:r w:rsidRPr="007A46AF">
              <w:rPr>
                <w:rFonts w:ascii="Arial Narrow" w:hAnsi="Arial Narrow"/>
                <w:sz w:val="20"/>
              </w:rPr>
              <w:t>93.0 (</w:t>
            </w:r>
            <w:r w:rsidRPr="007A46AF">
              <w:rPr>
                <w:rFonts w:ascii="Arial Narrow" w:hAnsi="Arial Narrow"/>
                <w:iCs/>
                <w:sz w:val="20"/>
              </w:rPr>
              <w:t>80.9, 98.5)</w:t>
            </w:r>
            <w:r w:rsidRPr="007A46AF">
              <w:rPr>
                <w:rFonts w:ascii="Arial Narrow" w:hAnsi="Arial Narrow"/>
                <w:sz w:val="20"/>
              </w:rPr>
              <w:t xml:space="preserve"> </w:t>
            </w:r>
          </w:p>
        </w:tc>
      </w:tr>
      <w:tr w:rsidR="00FE542A" w:rsidRPr="00802DBC" w:rsidTr="00460056">
        <w:tc>
          <w:tcPr>
            <w:tcW w:w="2552" w:type="dxa"/>
            <w:shd w:val="clear" w:color="auto" w:fill="auto"/>
            <w:vAlign w:val="center"/>
          </w:tcPr>
          <w:p w:rsidR="00FE542A" w:rsidRPr="007A46AF" w:rsidRDefault="00FE542A" w:rsidP="007A46AF">
            <w:pPr>
              <w:jc w:val="left"/>
              <w:rPr>
                <w:rFonts w:ascii="Arial Narrow" w:hAnsi="Arial Narrow"/>
                <w:iCs/>
                <w:sz w:val="20"/>
              </w:rPr>
            </w:pPr>
            <w:r w:rsidRPr="007A46AF">
              <w:rPr>
                <w:rFonts w:ascii="Arial Narrow" w:hAnsi="Arial Narrow"/>
                <w:iCs/>
                <w:sz w:val="20"/>
              </w:rPr>
              <w:t>No data [nominated comparator]</w:t>
            </w:r>
            <w:r w:rsidR="007A46AF" w:rsidRPr="007A46AF">
              <w:rPr>
                <w:rFonts w:ascii="Arial Narrow" w:hAnsi="Arial Narrow"/>
                <w:bCs/>
                <w:iCs/>
                <w:sz w:val="20"/>
                <w:vertAlign w:val="superscript"/>
              </w:rPr>
              <w:t xml:space="preserve"> </w:t>
            </w:r>
          </w:p>
        </w:tc>
        <w:tc>
          <w:tcPr>
            <w:tcW w:w="992" w:type="dxa"/>
            <w:shd w:val="clear" w:color="auto" w:fill="auto"/>
          </w:tcPr>
          <w:p w:rsidR="00FE542A" w:rsidRPr="00802DBC" w:rsidRDefault="00FE542A" w:rsidP="0094297E">
            <w:pPr>
              <w:jc w:val="center"/>
              <w:rPr>
                <w:rFonts w:ascii="Arial Narrow" w:hAnsi="Arial Narrow"/>
                <w:iCs/>
                <w:sz w:val="20"/>
              </w:rPr>
            </w:pPr>
            <w:r w:rsidRPr="00802DBC">
              <w:rPr>
                <w:rFonts w:ascii="Arial Narrow" w:hAnsi="Arial Narrow"/>
                <w:i/>
                <w:iCs/>
                <w:sz w:val="20"/>
              </w:rPr>
              <w:t>-</w:t>
            </w:r>
          </w:p>
        </w:tc>
        <w:tc>
          <w:tcPr>
            <w:tcW w:w="1559" w:type="dxa"/>
            <w:shd w:val="clear" w:color="auto" w:fill="auto"/>
            <w:vAlign w:val="center"/>
          </w:tcPr>
          <w:p w:rsidR="00FE542A" w:rsidRPr="00590E24" w:rsidRDefault="00FE542A" w:rsidP="0094297E">
            <w:pPr>
              <w:jc w:val="center"/>
              <w:rPr>
                <w:rFonts w:ascii="Arial Narrow" w:hAnsi="Arial Narrow"/>
                <w:iCs/>
                <w:sz w:val="20"/>
              </w:rPr>
            </w:pPr>
            <w:r w:rsidRPr="00590E24">
              <w:rPr>
                <w:rFonts w:ascii="Arial Narrow" w:hAnsi="Arial Narrow"/>
                <w:iCs/>
                <w:sz w:val="20"/>
              </w:rPr>
              <w:t>DCV+SOF</w:t>
            </w:r>
          </w:p>
        </w:tc>
        <w:tc>
          <w:tcPr>
            <w:tcW w:w="851" w:type="dxa"/>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i/>
                <w:iCs/>
                <w:sz w:val="20"/>
              </w:rPr>
              <w:t>24</w:t>
            </w:r>
          </w:p>
        </w:tc>
        <w:tc>
          <w:tcPr>
            <w:tcW w:w="850" w:type="dxa"/>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i/>
                <w:iCs/>
                <w:sz w:val="20"/>
              </w:rPr>
              <w:t>-</w:t>
            </w:r>
          </w:p>
        </w:tc>
        <w:tc>
          <w:tcPr>
            <w:tcW w:w="1559" w:type="dxa"/>
            <w:shd w:val="clear" w:color="auto" w:fill="auto"/>
            <w:vAlign w:val="center"/>
          </w:tcPr>
          <w:p w:rsidR="00FE542A" w:rsidRPr="007A46AF" w:rsidRDefault="00FE542A" w:rsidP="0094297E">
            <w:pPr>
              <w:jc w:val="center"/>
              <w:rPr>
                <w:rFonts w:ascii="Arial Narrow" w:hAnsi="Arial Narrow"/>
                <w:sz w:val="20"/>
              </w:rPr>
            </w:pPr>
            <w:r w:rsidRPr="007A46AF">
              <w:rPr>
                <w:rFonts w:ascii="Arial Narrow" w:hAnsi="Arial Narrow"/>
                <w:iCs/>
                <w:sz w:val="20"/>
              </w:rPr>
              <w:t>-</w:t>
            </w:r>
          </w:p>
        </w:tc>
      </w:tr>
      <w:tr w:rsidR="00FE542A" w:rsidRPr="00802DBC" w:rsidTr="00460056">
        <w:tc>
          <w:tcPr>
            <w:tcW w:w="2552" w:type="dxa"/>
            <w:shd w:val="clear" w:color="auto" w:fill="auto"/>
            <w:vAlign w:val="center"/>
          </w:tcPr>
          <w:p w:rsidR="00FE542A" w:rsidRPr="007A46AF" w:rsidRDefault="00FE542A" w:rsidP="007A46AF">
            <w:pPr>
              <w:jc w:val="left"/>
              <w:rPr>
                <w:rFonts w:ascii="Arial Narrow" w:hAnsi="Arial Narrow"/>
                <w:iCs/>
                <w:sz w:val="20"/>
              </w:rPr>
            </w:pPr>
            <w:r w:rsidRPr="007A46AF">
              <w:rPr>
                <w:rFonts w:ascii="Arial Narrow" w:hAnsi="Arial Narrow"/>
                <w:iCs/>
                <w:sz w:val="20"/>
              </w:rPr>
              <w:t>ALLY-3 [wrong comparator]</w:t>
            </w:r>
            <w:r w:rsidR="007A46AF" w:rsidRPr="007A46AF">
              <w:rPr>
                <w:rFonts w:ascii="Arial Narrow" w:hAnsi="Arial Narrow"/>
                <w:bCs/>
                <w:iCs/>
                <w:sz w:val="20"/>
                <w:vertAlign w:val="superscript"/>
              </w:rPr>
              <w:t xml:space="preserve"> </w:t>
            </w:r>
          </w:p>
        </w:tc>
        <w:tc>
          <w:tcPr>
            <w:tcW w:w="992" w:type="dxa"/>
            <w:shd w:val="clear" w:color="auto" w:fill="auto"/>
          </w:tcPr>
          <w:p w:rsidR="00FE542A" w:rsidRPr="00802DBC" w:rsidRDefault="00FE542A" w:rsidP="0094297E">
            <w:pPr>
              <w:jc w:val="center"/>
              <w:rPr>
                <w:rFonts w:ascii="Arial Narrow" w:hAnsi="Arial Narrow"/>
                <w:i/>
                <w:iCs/>
                <w:sz w:val="20"/>
              </w:rPr>
            </w:pPr>
            <w:r w:rsidRPr="00802DBC">
              <w:rPr>
                <w:rFonts w:ascii="Arial Narrow" w:hAnsi="Arial Narrow"/>
                <w:iCs/>
                <w:sz w:val="20"/>
              </w:rPr>
              <w:t>Phase III</w:t>
            </w:r>
          </w:p>
        </w:tc>
        <w:tc>
          <w:tcPr>
            <w:tcW w:w="1559" w:type="dxa"/>
            <w:shd w:val="clear" w:color="auto" w:fill="auto"/>
            <w:vAlign w:val="center"/>
          </w:tcPr>
          <w:p w:rsidR="00FE542A" w:rsidRPr="00590E24" w:rsidRDefault="00FE542A" w:rsidP="0094297E">
            <w:pPr>
              <w:jc w:val="center"/>
              <w:rPr>
                <w:rFonts w:ascii="Arial Narrow" w:hAnsi="Arial Narrow"/>
                <w:iCs/>
                <w:sz w:val="20"/>
              </w:rPr>
            </w:pPr>
            <w:r w:rsidRPr="00590E24">
              <w:rPr>
                <w:rFonts w:ascii="Arial Narrow" w:hAnsi="Arial Narrow"/>
                <w:iCs/>
                <w:sz w:val="20"/>
              </w:rPr>
              <w:t>DCV+SOF</w:t>
            </w:r>
          </w:p>
        </w:tc>
        <w:tc>
          <w:tcPr>
            <w:tcW w:w="851" w:type="dxa"/>
            <w:shd w:val="clear" w:color="auto" w:fill="auto"/>
            <w:vAlign w:val="center"/>
          </w:tcPr>
          <w:p w:rsidR="00FE542A" w:rsidRPr="00802DBC" w:rsidRDefault="00FE542A" w:rsidP="0094297E">
            <w:pPr>
              <w:jc w:val="center"/>
              <w:rPr>
                <w:rFonts w:ascii="Arial Narrow" w:hAnsi="Arial Narrow"/>
                <w:i/>
                <w:iCs/>
                <w:sz w:val="20"/>
              </w:rPr>
            </w:pPr>
            <w:r w:rsidRPr="00802DBC">
              <w:rPr>
                <w:rFonts w:ascii="Arial Narrow" w:hAnsi="Arial Narrow"/>
                <w:iCs/>
                <w:sz w:val="20"/>
              </w:rPr>
              <w:t xml:space="preserve">12 </w:t>
            </w:r>
          </w:p>
        </w:tc>
        <w:tc>
          <w:tcPr>
            <w:tcW w:w="850" w:type="dxa"/>
            <w:shd w:val="clear" w:color="auto" w:fill="auto"/>
            <w:vAlign w:val="center"/>
          </w:tcPr>
          <w:p w:rsidR="00FE542A" w:rsidRPr="00802DBC" w:rsidRDefault="00FE542A" w:rsidP="0094297E">
            <w:pPr>
              <w:jc w:val="center"/>
              <w:rPr>
                <w:rFonts w:ascii="Arial Narrow" w:hAnsi="Arial Narrow"/>
                <w:i/>
                <w:iCs/>
                <w:sz w:val="20"/>
              </w:rPr>
            </w:pPr>
            <w:r w:rsidRPr="00802DBC">
              <w:rPr>
                <w:rFonts w:ascii="Arial Narrow" w:hAnsi="Arial Narrow"/>
                <w:iCs/>
                <w:sz w:val="20"/>
              </w:rPr>
              <w:t>11/19</w:t>
            </w:r>
          </w:p>
        </w:tc>
        <w:tc>
          <w:tcPr>
            <w:tcW w:w="1559" w:type="dxa"/>
            <w:shd w:val="clear" w:color="auto" w:fill="auto"/>
            <w:vAlign w:val="center"/>
          </w:tcPr>
          <w:p w:rsidR="00FE542A" w:rsidRPr="007A46AF" w:rsidRDefault="00FE542A" w:rsidP="0094297E">
            <w:pPr>
              <w:jc w:val="center"/>
              <w:rPr>
                <w:rFonts w:ascii="Arial Narrow" w:hAnsi="Arial Narrow"/>
                <w:iCs/>
                <w:sz w:val="20"/>
              </w:rPr>
            </w:pPr>
            <w:r w:rsidRPr="007A46AF">
              <w:rPr>
                <w:rFonts w:ascii="Arial Narrow" w:hAnsi="Arial Narrow"/>
                <w:iCs/>
                <w:sz w:val="20"/>
              </w:rPr>
              <w:t>57.9 (</w:t>
            </w:r>
            <w:r w:rsidRPr="007A46AF">
              <w:rPr>
                <w:rFonts w:ascii="Arial Narrow" w:hAnsi="Arial Narrow"/>
                <w:sz w:val="20"/>
              </w:rPr>
              <w:t>33.5, 79.7)</w:t>
            </w:r>
          </w:p>
        </w:tc>
      </w:tr>
      <w:tr w:rsidR="00FE542A" w:rsidRPr="00802DBC" w:rsidTr="00460056">
        <w:tc>
          <w:tcPr>
            <w:tcW w:w="8363" w:type="dxa"/>
            <w:gridSpan w:val="6"/>
            <w:shd w:val="clear" w:color="auto" w:fill="auto"/>
            <w:vAlign w:val="center"/>
          </w:tcPr>
          <w:p w:rsidR="00FE542A" w:rsidRPr="00590E24" w:rsidRDefault="00FE542A" w:rsidP="00927BE4">
            <w:pPr>
              <w:jc w:val="left"/>
              <w:rPr>
                <w:rFonts w:ascii="Arial Narrow" w:hAnsi="Arial Narrow"/>
                <w:iCs/>
                <w:sz w:val="20"/>
              </w:rPr>
            </w:pPr>
            <w:r w:rsidRPr="00590E24">
              <w:rPr>
                <w:rFonts w:ascii="Arial Narrow" w:hAnsi="Arial Narrow"/>
                <w:b/>
                <w:iCs/>
                <w:sz w:val="20"/>
              </w:rPr>
              <w:t>Cirrhosis and treatment</w:t>
            </w:r>
            <w:r w:rsidR="00927BE4">
              <w:rPr>
                <w:rFonts w:ascii="Arial Narrow" w:hAnsi="Arial Narrow"/>
                <w:b/>
                <w:iCs/>
                <w:sz w:val="20"/>
              </w:rPr>
              <w:t xml:space="preserve"> </w:t>
            </w:r>
            <w:r w:rsidRPr="00590E24">
              <w:rPr>
                <w:rFonts w:ascii="Arial Narrow" w:hAnsi="Arial Narrow"/>
                <w:b/>
                <w:iCs/>
                <w:sz w:val="20"/>
              </w:rPr>
              <w:t>experienced</w:t>
            </w:r>
          </w:p>
        </w:tc>
      </w:tr>
      <w:tr w:rsidR="00FE542A" w:rsidRPr="00802DBC" w:rsidTr="00460056">
        <w:tc>
          <w:tcPr>
            <w:tcW w:w="2552" w:type="dxa"/>
            <w:shd w:val="clear" w:color="auto" w:fill="D9D9D9" w:themeFill="background1" w:themeFillShade="D9"/>
            <w:vAlign w:val="center"/>
          </w:tcPr>
          <w:p w:rsidR="00FE542A" w:rsidRPr="00802DBC" w:rsidRDefault="00FE542A" w:rsidP="0094297E">
            <w:pPr>
              <w:jc w:val="left"/>
              <w:rPr>
                <w:rFonts w:ascii="Arial Narrow" w:hAnsi="Arial Narrow"/>
                <w:iCs/>
                <w:sz w:val="20"/>
              </w:rPr>
            </w:pPr>
            <w:r w:rsidRPr="00802DBC">
              <w:rPr>
                <w:rFonts w:ascii="Arial Narrow" w:hAnsi="Arial Narrow"/>
                <w:iCs/>
                <w:sz w:val="20"/>
              </w:rPr>
              <w:t>ASTRAL-3</w:t>
            </w:r>
          </w:p>
        </w:tc>
        <w:tc>
          <w:tcPr>
            <w:tcW w:w="992" w:type="dxa"/>
            <w:shd w:val="clear" w:color="auto" w:fill="D9D9D9" w:themeFill="background1" w:themeFillShade="D9"/>
          </w:tcPr>
          <w:p w:rsidR="00FE542A" w:rsidRPr="00802DBC" w:rsidRDefault="00FE542A" w:rsidP="0094297E">
            <w:pPr>
              <w:jc w:val="center"/>
              <w:rPr>
                <w:rFonts w:ascii="Arial Narrow" w:hAnsi="Arial Narrow"/>
                <w:iCs/>
                <w:sz w:val="20"/>
              </w:rPr>
            </w:pPr>
            <w:r w:rsidRPr="00802DBC">
              <w:rPr>
                <w:rFonts w:ascii="Arial Narrow" w:hAnsi="Arial Narrow"/>
                <w:iCs/>
                <w:sz w:val="20"/>
              </w:rPr>
              <w:t>Phase III</w:t>
            </w:r>
          </w:p>
        </w:tc>
        <w:tc>
          <w:tcPr>
            <w:tcW w:w="1559" w:type="dxa"/>
            <w:shd w:val="clear" w:color="auto" w:fill="D9D9D9" w:themeFill="background1" w:themeFillShade="D9"/>
            <w:vAlign w:val="center"/>
          </w:tcPr>
          <w:p w:rsidR="00FE542A" w:rsidRPr="00590E24" w:rsidRDefault="00FE542A" w:rsidP="0094297E">
            <w:pPr>
              <w:jc w:val="center"/>
              <w:rPr>
                <w:rFonts w:ascii="Arial Narrow" w:hAnsi="Arial Narrow"/>
                <w:iCs/>
                <w:sz w:val="20"/>
              </w:rPr>
            </w:pPr>
            <w:r w:rsidRPr="00590E24">
              <w:rPr>
                <w:rFonts w:ascii="Arial Narrow" w:hAnsi="Arial Narrow"/>
                <w:iCs/>
                <w:sz w:val="20"/>
              </w:rPr>
              <w:t>SOF/VEL</w:t>
            </w:r>
          </w:p>
        </w:tc>
        <w:tc>
          <w:tcPr>
            <w:tcW w:w="851" w:type="dxa"/>
            <w:shd w:val="clear" w:color="auto" w:fill="D9D9D9" w:themeFill="background1" w:themeFillShade="D9"/>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12</w:t>
            </w:r>
          </w:p>
        </w:tc>
        <w:tc>
          <w:tcPr>
            <w:tcW w:w="850" w:type="dxa"/>
            <w:shd w:val="clear" w:color="auto" w:fill="D9D9D9" w:themeFill="background1" w:themeFillShade="D9"/>
            <w:vAlign w:val="center"/>
          </w:tcPr>
          <w:p w:rsidR="00FE542A" w:rsidRPr="00802DBC" w:rsidRDefault="00FE542A" w:rsidP="0094297E">
            <w:pPr>
              <w:jc w:val="center"/>
              <w:rPr>
                <w:rFonts w:ascii="Arial Narrow" w:hAnsi="Arial Narrow"/>
                <w:iCs/>
                <w:sz w:val="20"/>
              </w:rPr>
            </w:pPr>
            <w:r w:rsidRPr="00802DBC">
              <w:rPr>
                <w:rFonts w:ascii="Arial Narrow" w:hAnsi="Arial Narrow"/>
                <w:iCs/>
                <w:sz w:val="20"/>
              </w:rPr>
              <w:t xml:space="preserve">33/37 </w:t>
            </w:r>
          </w:p>
        </w:tc>
        <w:tc>
          <w:tcPr>
            <w:tcW w:w="1559" w:type="dxa"/>
            <w:shd w:val="clear" w:color="auto" w:fill="D9D9D9" w:themeFill="background1" w:themeFillShade="D9"/>
            <w:vAlign w:val="center"/>
          </w:tcPr>
          <w:p w:rsidR="00FE542A" w:rsidRPr="007A46AF" w:rsidRDefault="00FE542A" w:rsidP="0094297E">
            <w:pPr>
              <w:jc w:val="center"/>
              <w:rPr>
                <w:rFonts w:ascii="Arial Narrow" w:hAnsi="Arial Narrow"/>
                <w:sz w:val="20"/>
              </w:rPr>
            </w:pPr>
            <w:r w:rsidRPr="007A46AF">
              <w:rPr>
                <w:rFonts w:ascii="Arial Narrow" w:hAnsi="Arial Narrow"/>
                <w:iCs/>
                <w:sz w:val="20"/>
              </w:rPr>
              <w:t>89.2 (</w:t>
            </w:r>
            <w:r w:rsidRPr="007A46AF">
              <w:rPr>
                <w:rFonts w:ascii="Arial Narrow" w:hAnsi="Arial Narrow"/>
                <w:sz w:val="20"/>
              </w:rPr>
              <w:t>74.6, 97.0)</w:t>
            </w:r>
          </w:p>
        </w:tc>
      </w:tr>
      <w:tr w:rsidR="00FE542A" w:rsidRPr="007A46AF" w:rsidTr="00460056">
        <w:tc>
          <w:tcPr>
            <w:tcW w:w="2552" w:type="dxa"/>
            <w:shd w:val="clear" w:color="auto" w:fill="D9D9D9" w:themeFill="background1" w:themeFillShade="D9"/>
            <w:vAlign w:val="center"/>
          </w:tcPr>
          <w:p w:rsidR="00FE542A" w:rsidRPr="007A46AF" w:rsidRDefault="00FE542A" w:rsidP="0094297E">
            <w:pPr>
              <w:jc w:val="left"/>
              <w:rPr>
                <w:rFonts w:ascii="Arial Narrow" w:hAnsi="Arial Narrow"/>
                <w:iCs/>
                <w:sz w:val="20"/>
              </w:rPr>
            </w:pPr>
            <w:r w:rsidRPr="007A46AF">
              <w:rPr>
                <w:rFonts w:ascii="Arial Narrow" w:hAnsi="Arial Narrow"/>
                <w:bCs/>
                <w:iCs/>
                <w:sz w:val="20"/>
              </w:rPr>
              <w:t>Pianko (2015)</w:t>
            </w:r>
            <w:r w:rsidR="007A46AF" w:rsidRPr="007A46AF">
              <w:rPr>
                <w:rFonts w:ascii="Arial Narrow" w:hAnsi="Arial Narrow"/>
                <w:bCs/>
                <w:iCs/>
                <w:sz w:val="20"/>
                <w:vertAlign w:val="superscript"/>
              </w:rPr>
              <w:t xml:space="preserve"> a</w:t>
            </w:r>
          </w:p>
        </w:tc>
        <w:tc>
          <w:tcPr>
            <w:tcW w:w="992" w:type="dxa"/>
            <w:shd w:val="clear" w:color="auto" w:fill="D9D9D9" w:themeFill="background1" w:themeFillShade="D9"/>
          </w:tcPr>
          <w:p w:rsidR="00FE542A" w:rsidRPr="007A46AF" w:rsidRDefault="00FE542A" w:rsidP="0094297E">
            <w:pPr>
              <w:jc w:val="center"/>
              <w:rPr>
                <w:rFonts w:ascii="Arial Narrow" w:hAnsi="Arial Narrow"/>
                <w:iCs/>
                <w:sz w:val="20"/>
              </w:rPr>
            </w:pPr>
            <w:r w:rsidRPr="007A46AF">
              <w:rPr>
                <w:rFonts w:ascii="Arial Narrow" w:hAnsi="Arial Narrow"/>
                <w:iCs/>
                <w:sz w:val="20"/>
              </w:rPr>
              <w:t>Phase II</w:t>
            </w:r>
          </w:p>
        </w:tc>
        <w:tc>
          <w:tcPr>
            <w:tcW w:w="1559" w:type="dxa"/>
            <w:shd w:val="clear" w:color="auto" w:fill="D9D9D9" w:themeFill="background1" w:themeFillShade="D9"/>
            <w:vAlign w:val="center"/>
          </w:tcPr>
          <w:p w:rsidR="00FE542A" w:rsidRPr="00590E24" w:rsidRDefault="00FE542A" w:rsidP="0094297E">
            <w:pPr>
              <w:jc w:val="center"/>
              <w:rPr>
                <w:rFonts w:ascii="Arial Narrow" w:hAnsi="Arial Narrow"/>
                <w:iCs/>
                <w:sz w:val="20"/>
              </w:rPr>
            </w:pPr>
            <w:r w:rsidRPr="00590E24">
              <w:rPr>
                <w:rFonts w:ascii="Arial Narrow" w:hAnsi="Arial Narrow"/>
                <w:iCs/>
                <w:sz w:val="20"/>
              </w:rPr>
              <w:t>SOF/VEL</w:t>
            </w:r>
          </w:p>
        </w:tc>
        <w:tc>
          <w:tcPr>
            <w:tcW w:w="851" w:type="dxa"/>
            <w:shd w:val="clear" w:color="auto" w:fill="D9D9D9" w:themeFill="background1" w:themeFillShade="D9"/>
            <w:vAlign w:val="center"/>
          </w:tcPr>
          <w:p w:rsidR="00FE542A" w:rsidRPr="007A46AF" w:rsidRDefault="00FE542A" w:rsidP="0094297E">
            <w:pPr>
              <w:jc w:val="center"/>
              <w:rPr>
                <w:rFonts w:ascii="Arial Narrow" w:hAnsi="Arial Narrow"/>
                <w:iCs/>
                <w:sz w:val="20"/>
              </w:rPr>
            </w:pPr>
            <w:r w:rsidRPr="007A46AF">
              <w:rPr>
                <w:rFonts w:ascii="Arial Narrow" w:hAnsi="Arial Narrow"/>
                <w:iCs/>
                <w:sz w:val="20"/>
              </w:rPr>
              <w:t>12</w:t>
            </w:r>
          </w:p>
        </w:tc>
        <w:tc>
          <w:tcPr>
            <w:tcW w:w="850" w:type="dxa"/>
            <w:shd w:val="clear" w:color="auto" w:fill="D9D9D9" w:themeFill="background1" w:themeFillShade="D9"/>
            <w:vAlign w:val="center"/>
          </w:tcPr>
          <w:p w:rsidR="00FE542A" w:rsidRPr="007A46AF" w:rsidRDefault="00FE542A" w:rsidP="0094297E">
            <w:pPr>
              <w:jc w:val="center"/>
              <w:rPr>
                <w:rFonts w:ascii="Arial Narrow" w:hAnsi="Arial Narrow"/>
                <w:iCs/>
                <w:sz w:val="20"/>
              </w:rPr>
            </w:pPr>
            <w:r w:rsidRPr="007A46AF">
              <w:rPr>
                <w:rFonts w:ascii="Arial Narrow" w:hAnsi="Arial Narrow"/>
                <w:iCs/>
                <w:sz w:val="20"/>
              </w:rPr>
              <w:t>23/26</w:t>
            </w:r>
          </w:p>
        </w:tc>
        <w:tc>
          <w:tcPr>
            <w:tcW w:w="1559" w:type="dxa"/>
            <w:shd w:val="clear" w:color="auto" w:fill="D9D9D9" w:themeFill="background1" w:themeFillShade="D9"/>
            <w:vAlign w:val="center"/>
          </w:tcPr>
          <w:p w:rsidR="00FE542A" w:rsidRPr="007A46AF" w:rsidRDefault="00FE542A" w:rsidP="0094297E">
            <w:pPr>
              <w:jc w:val="center"/>
              <w:rPr>
                <w:rFonts w:ascii="Arial Narrow" w:hAnsi="Arial Narrow"/>
                <w:iCs/>
                <w:sz w:val="20"/>
              </w:rPr>
            </w:pPr>
            <w:r w:rsidRPr="007A46AF">
              <w:rPr>
                <w:rFonts w:ascii="Arial Narrow" w:hAnsi="Arial Narrow"/>
                <w:iCs/>
                <w:sz w:val="20"/>
              </w:rPr>
              <w:t>88.5 (69.8, 97.6)</w:t>
            </w:r>
          </w:p>
        </w:tc>
      </w:tr>
      <w:tr w:rsidR="00FE542A" w:rsidRPr="007A46AF" w:rsidTr="00460056">
        <w:tc>
          <w:tcPr>
            <w:tcW w:w="2552" w:type="dxa"/>
            <w:shd w:val="clear" w:color="auto" w:fill="auto"/>
            <w:vAlign w:val="center"/>
          </w:tcPr>
          <w:p w:rsidR="00FE542A" w:rsidRPr="007A46AF" w:rsidRDefault="00FE542A" w:rsidP="0094297E">
            <w:pPr>
              <w:jc w:val="left"/>
              <w:rPr>
                <w:rFonts w:ascii="Arial Narrow" w:hAnsi="Arial Narrow"/>
                <w:iCs/>
                <w:sz w:val="20"/>
              </w:rPr>
            </w:pPr>
            <w:r w:rsidRPr="007A46AF">
              <w:rPr>
                <w:rFonts w:ascii="Arial Narrow" w:hAnsi="Arial Narrow"/>
                <w:iCs/>
                <w:sz w:val="20"/>
              </w:rPr>
              <w:t>No data [nominated comparator]</w:t>
            </w:r>
          </w:p>
        </w:tc>
        <w:tc>
          <w:tcPr>
            <w:tcW w:w="992" w:type="dxa"/>
            <w:shd w:val="clear" w:color="auto" w:fill="auto"/>
          </w:tcPr>
          <w:p w:rsidR="00FE542A" w:rsidRPr="007A46AF" w:rsidRDefault="00FE542A" w:rsidP="0094297E">
            <w:pPr>
              <w:jc w:val="center"/>
              <w:rPr>
                <w:rFonts w:ascii="Arial Narrow" w:hAnsi="Arial Narrow"/>
                <w:iCs/>
                <w:sz w:val="20"/>
              </w:rPr>
            </w:pPr>
            <w:r w:rsidRPr="007A46AF">
              <w:rPr>
                <w:rFonts w:ascii="Arial Narrow" w:hAnsi="Arial Narrow"/>
                <w:iCs/>
                <w:sz w:val="20"/>
              </w:rPr>
              <w:t>-</w:t>
            </w:r>
          </w:p>
        </w:tc>
        <w:tc>
          <w:tcPr>
            <w:tcW w:w="1559" w:type="dxa"/>
            <w:shd w:val="clear" w:color="auto" w:fill="auto"/>
            <w:vAlign w:val="center"/>
          </w:tcPr>
          <w:p w:rsidR="00FE542A" w:rsidRPr="00590E24" w:rsidRDefault="00FE542A" w:rsidP="0094297E">
            <w:pPr>
              <w:jc w:val="center"/>
              <w:rPr>
                <w:rFonts w:ascii="Arial Narrow" w:hAnsi="Arial Narrow"/>
                <w:iCs/>
                <w:sz w:val="20"/>
              </w:rPr>
            </w:pPr>
            <w:r w:rsidRPr="00590E24">
              <w:rPr>
                <w:rFonts w:ascii="Arial Narrow" w:hAnsi="Arial Narrow"/>
                <w:iCs/>
                <w:sz w:val="20"/>
              </w:rPr>
              <w:t>DCV+SOF</w:t>
            </w:r>
          </w:p>
        </w:tc>
        <w:tc>
          <w:tcPr>
            <w:tcW w:w="851" w:type="dxa"/>
            <w:shd w:val="clear" w:color="auto" w:fill="auto"/>
            <w:vAlign w:val="center"/>
          </w:tcPr>
          <w:p w:rsidR="00FE542A" w:rsidRPr="007A46AF" w:rsidRDefault="00FE542A" w:rsidP="0094297E">
            <w:pPr>
              <w:jc w:val="center"/>
              <w:rPr>
                <w:rFonts w:ascii="Arial Narrow" w:hAnsi="Arial Narrow"/>
                <w:iCs/>
                <w:sz w:val="20"/>
              </w:rPr>
            </w:pPr>
            <w:r w:rsidRPr="007A46AF">
              <w:rPr>
                <w:rFonts w:ascii="Arial Narrow" w:hAnsi="Arial Narrow"/>
                <w:iCs/>
                <w:sz w:val="20"/>
              </w:rPr>
              <w:t>24</w:t>
            </w:r>
          </w:p>
        </w:tc>
        <w:tc>
          <w:tcPr>
            <w:tcW w:w="850" w:type="dxa"/>
            <w:shd w:val="clear" w:color="auto" w:fill="auto"/>
            <w:vAlign w:val="center"/>
          </w:tcPr>
          <w:p w:rsidR="00FE542A" w:rsidRPr="007A46AF" w:rsidRDefault="00FE542A" w:rsidP="0094297E">
            <w:pPr>
              <w:jc w:val="center"/>
              <w:rPr>
                <w:rFonts w:ascii="Arial Narrow" w:hAnsi="Arial Narrow"/>
                <w:iCs/>
                <w:sz w:val="20"/>
              </w:rPr>
            </w:pPr>
            <w:r w:rsidRPr="007A46AF">
              <w:rPr>
                <w:rFonts w:ascii="Arial Narrow" w:hAnsi="Arial Narrow"/>
                <w:iCs/>
                <w:sz w:val="20"/>
              </w:rPr>
              <w:t>-</w:t>
            </w:r>
          </w:p>
        </w:tc>
        <w:tc>
          <w:tcPr>
            <w:tcW w:w="1559" w:type="dxa"/>
            <w:shd w:val="clear" w:color="auto" w:fill="auto"/>
            <w:vAlign w:val="center"/>
          </w:tcPr>
          <w:p w:rsidR="00FE542A" w:rsidRPr="007A46AF" w:rsidRDefault="00FE542A" w:rsidP="0094297E">
            <w:pPr>
              <w:jc w:val="center"/>
              <w:rPr>
                <w:rFonts w:ascii="Arial Narrow" w:hAnsi="Arial Narrow"/>
                <w:iCs/>
                <w:sz w:val="20"/>
              </w:rPr>
            </w:pPr>
            <w:r w:rsidRPr="007A46AF">
              <w:rPr>
                <w:rFonts w:ascii="Arial Narrow" w:hAnsi="Arial Narrow"/>
                <w:iCs/>
                <w:sz w:val="20"/>
              </w:rPr>
              <w:t>-</w:t>
            </w:r>
          </w:p>
        </w:tc>
      </w:tr>
      <w:tr w:rsidR="00283417" w:rsidRPr="007A46AF" w:rsidTr="00460056">
        <w:tc>
          <w:tcPr>
            <w:tcW w:w="2552" w:type="dxa"/>
            <w:shd w:val="clear" w:color="auto" w:fill="auto"/>
            <w:vAlign w:val="center"/>
          </w:tcPr>
          <w:p w:rsidR="00283417" w:rsidRPr="007A46AF" w:rsidRDefault="00283417" w:rsidP="0041286C">
            <w:pPr>
              <w:jc w:val="left"/>
              <w:rPr>
                <w:rFonts w:ascii="Arial Narrow" w:hAnsi="Arial Narrow"/>
                <w:iCs/>
                <w:sz w:val="20"/>
              </w:rPr>
            </w:pPr>
            <w:r w:rsidRPr="007A46AF">
              <w:rPr>
                <w:rFonts w:ascii="Arial Narrow" w:hAnsi="Arial Narrow"/>
                <w:iCs/>
                <w:sz w:val="20"/>
              </w:rPr>
              <w:t>ALLY-3+[alternative comparator]</w:t>
            </w:r>
            <w:r w:rsidR="007A46AF" w:rsidRPr="007A46AF">
              <w:rPr>
                <w:rFonts w:ascii="Arial Narrow" w:hAnsi="Arial Narrow"/>
                <w:bCs/>
                <w:iCs/>
                <w:sz w:val="20"/>
                <w:vertAlign w:val="superscript"/>
              </w:rPr>
              <w:t xml:space="preserve"> a</w:t>
            </w:r>
          </w:p>
        </w:tc>
        <w:tc>
          <w:tcPr>
            <w:tcW w:w="992" w:type="dxa"/>
            <w:shd w:val="clear" w:color="auto" w:fill="auto"/>
            <w:vAlign w:val="center"/>
          </w:tcPr>
          <w:p w:rsidR="00283417" w:rsidRPr="007A46AF" w:rsidRDefault="00283417" w:rsidP="0094297E">
            <w:pPr>
              <w:jc w:val="center"/>
              <w:rPr>
                <w:rFonts w:ascii="Arial Narrow" w:hAnsi="Arial Narrow"/>
                <w:iCs/>
                <w:sz w:val="20"/>
              </w:rPr>
            </w:pPr>
            <w:r w:rsidRPr="007A46AF">
              <w:rPr>
                <w:rFonts w:ascii="Arial Narrow" w:hAnsi="Arial Narrow"/>
                <w:iCs/>
                <w:sz w:val="20"/>
              </w:rPr>
              <w:t>Phase III</w:t>
            </w:r>
          </w:p>
        </w:tc>
        <w:tc>
          <w:tcPr>
            <w:tcW w:w="1559" w:type="dxa"/>
            <w:shd w:val="clear" w:color="auto" w:fill="auto"/>
            <w:vAlign w:val="center"/>
          </w:tcPr>
          <w:p w:rsidR="00283417" w:rsidRPr="00590E24" w:rsidRDefault="00283417" w:rsidP="0094297E">
            <w:pPr>
              <w:jc w:val="center"/>
              <w:rPr>
                <w:rFonts w:ascii="Arial Narrow" w:hAnsi="Arial Narrow"/>
                <w:iCs/>
                <w:sz w:val="20"/>
              </w:rPr>
            </w:pPr>
            <w:r w:rsidRPr="00590E24">
              <w:rPr>
                <w:rFonts w:ascii="Arial Narrow" w:hAnsi="Arial Narrow"/>
                <w:iCs/>
                <w:sz w:val="20"/>
              </w:rPr>
              <w:t>DCV+SOF+RBV</w:t>
            </w:r>
          </w:p>
        </w:tc>
        <w:tc>
          <w:tcPr>
            <w:tcW w:w="851" w:type="dxa"/>
            <w:shd w:val="clear" w:color="auto" w:fill="auto"/>
            <w:vAlign w:val="center"/>
          </w:tcPr>
          <w:p w:rsidR="00283417" w:rsidRPr="007A46AF" w:rsidRDefault="00283417" w:rsidP="0094297E">
            <w:pPr>
              <w:jc w:val="center"/>
              <w:rPr>
                <w:rFonts w:ascii="Arial Narrow" w:hAnsi="Arial Narrow"/>
                <w:iCs/>
                <w:sz w:val="20"/>
              </w:rPr>
            </w:pPr>
            <w:r w:rsidRPr="007A46AF">
              <w:rPr>
                <w:rFonts w:ascii="Arial Narrow" w:hAnsi="Arial Narrow"/>
                <w:iCs/>
                <w:sz w:val="20"/>
              </w:rPr>
              <w:t>12</w:t>
            </w:r>
          </w:p>
        </w:tc>
        <w:tc>
          <w:tcPr>
            <w:tcW w:w="850" w:type="dxa"/>
            <w:shd w:val="clear" w:color="auto" w:fill="auto"/>
            <w:vAlign w:val="center"/>
          </w:tcPr>
          <w:p w:rsidR="00283417" w:rsidRPr="007A46AF" w:rsidRDefault="00283417" w:rsidP="0094297E">
            <w:pPr>
              <w:jc w:val="center"/>
              <w:rPr>
                <w:rFonts w:ascii="Arial Narrow" w:hAnsi="Arial Narrow"/>
                <w:iCs/>
                <w:sz w:val="20"/>
              </w:rPr>
            </w:pPr>
            <w:r w:rsidRPr="007A46AF">
              <w:rPr>
                <w:rFonts w:ascii="Arial Narrow" w:hAnsi="Arial Narrow"/>
                <w:iCs/>
                <w:sz w:val="20"/>
              </w:rPr>
              <w:t xml:space="preserve"> 14/16</w:t>
            </w:r>
          </w:p>
        </w:tc>
        <w:tc>
          <w:tcPr>
            <w:tcW w:w="1559" w:type="dxa"/>
            <w:shd w:val="clear" w:color="auto" w:fill="auto"/>
            <w:vAlign w:val="center"/>
          </w:tcPr>
          <w:p w:rsidR="00283417" w:rsidRPr="007A46AF" w:rsidRDefault="00283417" w:rsidP="0094297E">
            <w:pPr>
              <w:jc w:val="center"/>
              <w:rPr>
                <w:rFonts w:ascii="Arial Narrow" w:hAnsi="Arial Narrow"/>
                <w:iCs/>
                <w:sz w:val="20"/>
              </w:rPr>
            </w:pPr>
            <w:r w:rsidRPr="007A46AF">
              <w:rPr>
                <w:rFonts w:ascii="Arial Narrow" w:hAnsi="Arial Narrow"/>
                <w:iCs/>
                <w:sz w:val="20"/>
              </w:rPr>
              <w:t>87.5 (61.7, 98.4)</w:t>
            </w:r>
          </w:p>
        </w:tc>
      </w:tr>
      <w:tr w:rsidR="00283417" w:rsidRPr="00A670A7" w:rsidTr="00460056">
        <w:tc>
          <w:tcPr>
            <w:tcW w:w="2552" w:type="dxa"/>
            <w:shd w:val="clear" w:color="auto" w:fill="auto"/>
            <w:vAlign w:val="center"/>
          </w:tcPr>
          <w:p w:rsidR="00283417" w:rsidRPr="00A670A7" w:rsidRDefault="00A670A7" w:rsidP="0094297E">
            <w:pPr>
              <w:jc w:val="left"/>
              <w:rPr>
                <w:rFonts w:ascii="Arial Narrow" w:hAnsi="Arial Narrow"/>
                <w:iCs/>
                <w:sz w:val="20"/>
              </w:rPr>
            </w:pPr>
            <w:r w:rsidRPr="00A670A7">
              <w:rPr>
                <w:rFonts w:ascii="Arial Narrow" w:hAnsi="Arial Narrow"/>
                <w:iCs/>
                <w:sz w:val="20"/>
              </w:rPr>
              <w:t>ALLY-3+</w:t>
            </w:r>
            <w:r w:rsidR="00283417" w:rsidRPr="00A670A7">
              <w:rPr>
                <w:rFonts w:ascii="Arial Narrow" w:hAnsi="Arial Narrow"/>
                <w:iCs/>
                <w:sz w:val="20"/>
              </w:rPr>
              <w:t>[alternative comparator]</w:t>
            </w:r>
            <w:r w:rsidR="007A46AF" w:rsidRPr="00A670A7">
              <w:rPr>
                <w:rFonts w:ascii="Arial Narrow" w:hAnsi="Arial Narrow"/>
                <w:bCs/>
                <w:iCs/>
                <w:sz w:val="20"/>
                <w:vertAlign w:val="superscript"/>
              </w:rPr>
              <w:t xml:space="preserve"> a</w:t>
            </w:r>
          </w:p>
        </w:tc>
        <w:tc>
          <w:tcPr>
            <w:tcW w:w="992" w:type="dxa"/>
            <w:shd w:val="clear" w:color="auto" w:fill="auto"/>
            <w:vAlign w:val="center"/>
          </w:tcPr>
          <w:p w:rsidR="00283417" w:rsidRPr="00A670A7" w:rsidRDefault="00283417" w:rsidP="0094297E">
            <w:pPr>
              <w:jc w:val="center"/>
              <w:rPr>
                <w:rFonts w:ascii="Arial Narrow" w:hAnsi="Arial Narrow"/>
                <w:iCs/>
                <w:sz w:val="20"/>
              </w:rPr>
            </w:pPr>
            <w:r w:rsidRPr="00A670A7">
              <w:rPr>
                <w:rFonts w:ascii="Arial Narrow" w:hAnsi="Arial Narrow"/>
                <w:iCs/>
                <w:sz w:val="20"/>
              </w:rPr>
              <w:t>Phase III</w:t>
            </w:r>
          </w:p>
        </w:tc>
        <w:tc>
          <w:tcPr>
            <w:tcW w:w="1559" w:type="dxa"/>
            <w:shd w:val="clear" w:color="auto" w:fill="auto"/>
            <w:vAlign w:val="center"/>
          </w:tcPr>
          <w:p w:rsidR="00283417" w:rsidRPr="00A670A7" w:rsidRDefault="00283417" w:rsidP="0094297E">
            <w:pPr>
              <w:jc w:val="center"/>
              <w:rPr>
                <w:rFonts w:ascii="Arial Narrow" w:hAnsi="Arial Narrow"/>
                <w:iCs/>
                <w:sz w:val="20"/>
              </w:rPr>
            </w:pPr>
            <w:r w:rsidRPr="00A670A7">
              <w:rPr>
                <w:rFonts w:ascii="Arial Narrow" w:hAnsi="Arial Narrow"/>
                <w:iCs/>
                <w:sz w:val="20"/>
              </w:rPr>
              <w:t>DCV+SOF+RBV</w:t>
            </w:r>
          </w:p>
        </w:tc>
        <w:tc>
          <w:tcPr>
            <w:tcW w:w="851" w:type="dxa"/>
            <w:shd w:val="clear" w:color="auto" w:fill="auto"/>
            <w:vAlign w:val="center"/>
          </w:tcPr>
          <w:p w:rsidR="00283417" w:rsidRPr="00A670A7" w:rsidRDefault="00283417" w:rsidP="0094297E">
            <w:pPr>
              <w:jc w:val="center"/>
              <w:rPr>
                <w:rFonts w:ascii="Arial Narrow" w:hAnsi="Arial Narrow"/>
                <w:iCs/>
                <w:sz w:val="20"/>
              </w:rPr>
            </w:pPr>
            <w:r w:rsidRPr="00A670A7">
              <w:rPr>
                <w:rFonts w:ascii="Arial Narrow" w:hAnsi="Arial Narrow"/>
                <w:iCs/>
                <w:sz w:val="20"/>
              </w:rPr>
              <w:t>16</w:t>
            </w:r>
          </w:p>
        </w:tc>
        <w:tc>
          <w:tcPr>
            <w:tcW w:w="850" w:type="dxa"/>
            <w:shd w:val="clear" w:color="auto" w:fill="auto"/>
            <w:vAlign w:val="center"/>
          </w:tcPr>
          <w:p w:rsidR="00283417" w:rsidRPr="00A670A7" w:rsidRDefault="00283417" w:rsidP="0094297E">
            <w:pPr>
              <w:jc w:val="center"/>
              <w:rPr>
                <w:rFonts w:ascii="Arial Narrow" w:hAnsi="Arial Narrow"/>
                <w:iCs/>
                <w:sz w:val="20"/>
              </w:rPr>
            </w:pPr>
            <w:r w:rsidRPr="00A670A7">
              <w:rPr>
                <w:rFonts w:ascii="Arial Narrow" w:hAnsi="Arial Narrow"/>
                <w:iCs/>
                <w:sz w:val="20"/>
              </w:rPr>
              <w:t>12/14</w:t>
            </w:r>
          </w:p>
        </w:tc>
        <w:tc>
          <w:tcPr>
            <w:tcW w:w="1559" w:type="dxa"/>
            <w:shd w:val="clear" w:color="auto" w:fill="auto"/>
            <w:vAlign w:val="center"/>
          </w:tcPr>
          <w:p w:rsidR="00283417" w:rsidRPr="00A670A7" w:rsidRDefault="00283417" w:rsidP="0094297E">
            <w:pPr>
              <w:jc w:val="center"/>
              <w:rPr>
                <w:rFonts w:ascii="Arial Narrow" w:hAnsi="Arial Narrow"/>
                <w:iCs/>
                <w:sz w:val="20"/>
              </w:rPr>
            </w:pPr>
            <w:r w:rsidRPr="00A670A7">
              <w:rPr>
                <w:rFonts w:ascii="Arial Narrow" w:hAnsi="Arial Narrow"/>
                <w:iCs/>
                <w:sz w:val="20"/>
              </w:rPr>
              <w:t>85.7 (57.2, 98.2)</w:t>
            </w:r>
          </w:p>
        </w:tc>
      </w:tr>
    </w:tbl>
    <w:p w:rsidR="00FE542A" w:rsidRPr="00802DBC" w:rsidRDefault="00FE542A" w:rsidP="00FE542A">
      <w:pPr>
        <w:ind w:left="720"/>
        <w:rPr>
          <w:rFonts w:ascii="Arial Narrow" w:hAnsi="Arial Narrow"/>
          <w:sz w:val="18"/>
          <w:szCs w:val="18"/>
        </w:rPr>
      </w:pPr>
      <w:r w:rsidRPr="00802DBC">
        <w:rPr>
          <w:rFonts w:ascii="Arial Narrow" w:hAnsi="Arial Narrow"/>
          <w:sz w:val="18"/>
          <w:szCs w:val="18"/>
        </w:rPr>
        <w:t xml:space="preserve">Source: Table B-44, p121 of the submission; Everson </w:t>
      </w:r>
      <w:r w:rsidRPr="00802DBC">
        <w:rPr>
          <w:rFonts w:ascii="Arial Narrow" w:hAnsi="Arial Narrow"/>
          <w:i/>
          <w:sz w:val="18"/>
          <w:szCs w:val="18"/>
        </w:rPr>
        <w:t xml:space="preserve">et al </w:t>
      </w:r>
      <w:r w:rsidRPr="00802DBC">
        <w:rPr>
          <w:rFonts w:ascii="Arial Narrow" w:hAnsi="Arial Narrow"/>
          <w:sz w:val="18"/>
          <w:szCs w:val="18"/>
        </w:rPr>
        <w:t>(2015); Pianko</w:t>
      </w:r>
      <w:r w:rsidRPr="00802DBC">
        <w:rPr>
          <w:rFonts w:ascii="Arial Narrow" w:hAnsi="Arial Narrow"/>
          <w:i/>
          <w:sz w:val="18"/>
          <w:szCs w:val="18"/>
        </w:rPr>
        <w:t xml:space="preserve"> et al </w:t>
      </w:r>
      <w:r w:rsidRPr="00802DBC">
        <w:rPr>
          <w:rFonts w:ascii="Arial Narrow" w:hAnsi="Arial Narrow"/>
          <w:sz w:val="18"/>
          <w:szCs w:val="18"/>
        </w:rPr>
        <w:t>(2015)</w:t>
      </w:r>
    </w:p>
    <w:p w:rsidR="00FE542A" w:rsidRPr="00802DBC" w:rsidRDefault="00FE542A" w:rsidP="00FE542A">
      <w:pPr>
        <w:ind w:left="720"/>
        <w:rPr>
          <w:rFonts w:ascii="Arial Narrow" w:hAnsi="Arial Narrow"/>
          <w:sz w:val="18"/>
          <w:szCs w:val="18"/>
        </w:rPr>
      </w:pPr>
      <w:r w:rsidRPr="00802DBC">
        <w:rPr>
          <w:rFonts w:ascii="Arial Narrow" w:hAnsi="Arial Narrow"/>
          <w:sz w:val="18"/>
          <w:szCs w:val="18"/>
        </w:rPr>
        <w:t>Abbreviations: CI = confidence interval; DCV = daclatasvir; HCV = hepatitis C virus; NR = not reported; SOF = sofosbuvir; SOF/VEL = sofosbuvir/velpatasvir FDC; SVR12 = sustained virological response at 12 weeks following the completion of treatment</w:t>
      </w:r>
    </w:p>
    <w:p w:rsidR="00FE542A" w:rsidRPr="00643FA9" w:rsidRDefault="00FE542A" w:rsidP="00254DEE">
      <w:pPr>
        <w:ind w:left="720"/>
        <w:rPr>
          <w:rFonts w:ascii="Arial Narrow" w:hAnsi="Arial Narrow"/>
          <w:iCs/>
          <w:sz w:val="18"/>
          <w:szCs w:val="18"/>
        </w:rPr>
      </w:pPr>
      <w:r w:rsidRPr="00643FA9">
        <w:rPr>
          <w:rFonts w:ascii="Arial Narrow" w:hAnsi="Arial Narrow"/>
          <w:sz w:val="18"/>
          <w:szCs w:val="18"/>
        </w:rPr>
        <w:t xml:space="preserve">Note: Shaded cells represent sofosbuvir/velpatasvir FDC results. </w:t>
      </w:r>
      <w:r w:rsidRPr="00643FA9">
        <w:rPr>
          <w:rFonts w:ascii="Arial Narrow" w:hAnsi="Arial Narrow"/>
          <w:iCs/>
          <w:sz w:val="18"/>
          <w:szCs w:val="18"/>
        </w:rPr>
        <w:t>95% CI calculated</w:t>
      </w:r>
      <w:r w:rsidR="00254DEE">
        <w:rPr>
          <w:rFonts w:ascii="Arial Narrow" w:hAnsi="Arial Narrow"/>
          <w:iCs/>
          <w:sz w:val="18"/>
          <w:szCs w:val="18"/>
        </w:rPr>
        <w:t xml:space="preserve"> using Stata14 (binomial exact), </w:t>
      </w:r>
      <w:r w:rsidR="00254DEE" w:rsidRPr="00456BE1">
        <w:rPr>
          <w:rFonts w:ascii="Arial Narrow" w:hAnsi="Arial Narrow"/>
          <w:iCs/>
          <w:sz w:val="18"/>
          <w:szCs w:val="18"/>
        </w:rPr>
        <w:t>during the evaluation</w:t>
      </w:r>
      <w:r w:rsidR="00254DEE">
        <w:rPr>
          <w:rFonts w:ascii="Arial Narrow" w:hAnsi="Arial Narrow"/>
          <w:iCs/>
          <w:sz w:val="18"/>
          <w:szCs w:val="18"/>
        </w:rPr>
        <w:t>.</w:t>
      </w:r>
    </w:p>
    <w:p w:rsidR="009E073B" w:rsidRPr="009E073B" w:rsidRDefault="009E073B" w:rsidP="009E073B">
      <w:pPr>
        <w:ind w:firstLine="720"/>
        <w:rPr>
          <w:rFonts w:ascii="Arial Narrow" w:hAnsi="Arial Narrow"/>
          <w:sz w:val="18"/>
          <w:szCs w:val="18"/>
        </w:rPr>
      </w:pPr>
      <w:r w:rsidRPr="009E073B">
        <w:rPr>
          <w:rFonts w:ascii="Arial Narrow" w:hAnsi="Arial Narrow"/>
          <w:bCs/>
          <w:iCs/>
          <w:sz w:val="20"/>
          <w:vertAlign w:val="superscript"/>
        </w:rPr>
        <w:lastRenderedPageBreak/>
        <w:t xml:space="preserve">a </w:t>
      </w:r>
      <w:r>
        <w:rPr>
          <w:rFonts w:ascii="Arial Narrow" w:hAnsi="Arial Narrow"/>
          <w:bCs/>
          <w:iCs/>
          <w:sz w:val="18"/>
        </w:rPr>
        <w:t>added</w:t>
      </w:r>
      <w:r w:rsidRPr="009E073B">
        <w:rPr>
          <w:rFonts w:ascii="Arial Narrow" w:hAnsi="Arial Narrow"/>
          <w:bCs/>
          <w:iCs/>
          <w:sz w:val="18"/>
        </w:rPr>
        <w:t xml:space="preserve"> during the evaluation.</w:t>
      </w:r>
    </w:p>
    <w:p w:rsidR="00645E16" w:rsidRDefault="00645E16" w:rsidP="00645E16">
      <w:pPr>
        <w:pStyle w:val="ListParagraph"/>
        <w:widowControl/>
        <w:rPr>
          <w:szCs w:val="22"/>
        </w:rPr>
      </w:pPr>
    </w:p>
    <w:p w:rsidR="00FE542A" w:rsidRPr="00DA298E" w:rsidRDefault="00FE542A" w:rsidP="002C4748">
      <w:pPr>
        <w:pStyle w:val="ListParagraph"/>
        <w:widowControl/>
        <w:numPr>
          <w:ilvl w:val="1"/>
          <w:numId w:val="2"/>
        </w:numPr>
        <w:rPr>
          <w:szCs w:val="22"/>
        </w:rPr>
      </w:pPr>
      <w:r w:rsidRPr="00DA298E">
        <w:rPr>
          <w:szCs w:val="22"/>
        </w:rPr>
        <w:t>Among patients with HCV genotype 3, the submission claimed that sofosbuvir/velpatasvir FDC for 12 weeks demonstrated:</w:t>
      </w:r>
    </w:p>
    <w:p w:rsidR="00FE542A" w:rsidRPr="00DA298E" w:rsidRDefault="00FE542A" w:rsidP="002C4748">
      <w:pPr>
        <w:pStyle w:val="ListParagraph"/>
        <w:widowControl/>
        <w:numPr>
          <w:ilvl w:val="0"/>
          <w:numId w:val="10"/>
        </w:numPr>
        <w:rPr>
          <w:szCs w:val="22"/>
        </w:rPr>
      </w:pPr>
      <w:r w:rsidRPr="00DA298E">
        <w:rPr>
          <w:szCs w:val="22"/>
        </w:rPr>
        <w:t>A comparable SVR12 to daclatasvir plus sofosbuvir for 12 weeks among patients without cirrhosis.</w:t>
      </w:r>
    </w:p>
    <w:p w:rsidR="00FE542A" w:rsidRPr="00DA298E" w:rsidRDefault="00FE542A" w:rsidP="002C4748">
      <w:pPr>
        <w:pStyle w:val="ListParagraph"/>
        <w:widowControl/>
        <w:numPr>
          <w:ilvl w:val="0"/>
          <w:numId w:val="10"/>
        </w:numPr>
        <w:rPr>
          <w:szCs w:val="22"/>
        </w:rPr>
      </w:pPr>
      <w:r w:rsidRPr="00DA298E">
        <w:rPr>
          <w:szCs w:val="22"/>
        </w:rPr>
        <w:t>A higher SVR12 compared</w:t>
      </w:r>
      <w:r w:rsidR="0054147A" w:rsidRPr="00DA298E">
        <w:rPr>
          <w:szCs w:val="22"/>
        </w:rPr>
        <w:t xml:space="preserve"> with</w:t>
      </w:r>
      <w:r w:rsidRPr="00DA298E">
        <w:rPr>
          <w:szCs w:val="22"/>
        </w:rPr>
        <w:t xml:space="preserve"> daclatasvir plus sofosbuvir for 12 weeks among patients who were treatment</w:t>
      </w:r>
      <w:r w:rsidR="00927BE4">
        <w:rPr>
          <w:szCs w:val="22"/>
        </w:rPr>
        <w:t xml:space="preserve"> </w:t>
      </w:r>
      <w:r w:rsidRPr="00DA298E">
        <w:rPr>
          <w:szCs w:val="22"/>
        </w:rPr>
        <w:t xml:space="preserve">naïve and with cirrhosis. </w:t>
      </w:r>
      <w:r w:rsidRPr="00DA298E">
        <w:rPr>
          <w:iCs/>
          <w:szCs w:val="22"/>
        </w:rPr>
        <w:t xml:space="preserve">However, the submission did not nominate this treatment regimen as the main comparator, rather daclatasvir plus sofosbuvir for </w:t>
      </w:r>
      <w:r w:rsidRPr="00DA298E">
        <w:rPr>
          <w:iCs/>
          <w:szCs w:val="22"/>
          <w:u w:val="single"/>
        </w:rPr>
        <w:t>24 weeks</w:t>
      </w:r>
      <w:r w:rsidRPr="00DA298E">
        <w:rPr>
          <w:iCs/>
          <w:szCs w:val="22"/>
        </w:rPr>
        <w:t>.</w:t>
      </w:r>
    </w:p>
    <w:p w:rsidR="00FE542A" w:rsidRPr="00DA298E" w:rsidRDefault="00FE542A" w:rsidP="002C4748">
      <w:pPr>
        <w:pStyle w:val="ListParagraph"/>
        <w:widowControl/>
        <w:numPr>
          <w:ilvl w:val="0"/>
          <w:numId w:val="10"/>
        </w:numPr>
        <w:rPr>
          <w:szCs w:val="22"/>
        </w:rPr>
      </w:pPr>
      <w:r w:rsidRPr="00DA298E">
        <w:rPr>
          <w:szCs w:val="22"/>
        </w:rPr>
        <w:t>The submission did not locate results for daclatasvir plus sofosbuvir for 24 weeks in cirrhotic patients who were treatment</w:t>
      </w:r>
      <w:r w:rsidR="00927BE4">
        <w:rPr>
          <w:szCs w:val="22"/>
        </w:rPr>
        <w:t xml:space="preserve"> </w:t>
      </w:r>
      <w:r w:rsidRPr="00DA298E">
        <w:rPr>
          <w:szCs w:val="22"/>
        </w:rPr>
        <w:t>experienced. The submission however argued that sofosbuvir/velpatasvir FDC demonstrated a high SVR12 (33/37; 89%) in this population.</w:t>
      </w:r>
      <w:r w:rsidR="008410F1" w:rsidRPr="00DA298E">
        <w:rPr>
          <w:iCs/>
          <w:szCs w:val="22"/>
        </w:rPr>
        <w:t xml:space="preserve"> Therefore, it was not possible to assess the comparative claim versus daclatasvir plus sofosbuvir for 24 weeks.</w:t>
      </w:r>
    </w:p>
    <w:p w:rsidR="00FE542A" w:rsidRPr="00DA298E" w:rsidRDefault="00D1629F" w:rsidP="00645E16">
      <w:pPr>
        <w:pStyle w:val="ListParagraph"/>
        <w:rPr>
          <w:iCs/>
          <w:szCs w:val="22"/>
        </w:rPr>
      </w:pPr>
      <w:r w:rsidRPr="00DA298E">
        <w:rPr>
          <w:iCs/>
          <w:szCs w:val="22"/>
        </w:rPr>
        <w:t>Similarly, the presented naïve comparison should be interpreted with caution due to the high risk of bias and limitations outlined above, as well as the small patient numbers in some of the included arms. There was data asymmetry</w:t>
      </w:r>
      <w:r w:rsidR="0002113A">
        <w:rPr>
          <w:iCs/>
          <w:szCs w:val="22"/>
        </w:rPr>
        <w:t>, with sparser comparator data.</w:t>
      </w:r>
    </w:p>
    <w:p w:rsidR="00FE542A" w:rsidRPr="00DA298E" w:rsidRDefault="00FE542A" w:rsidP="00FE542A">
      <w:pPr>
        <w:pStyle w:val="ListParagraph"/>
        <w:widowControl/>
        <w:rPr>
          <w:iCs/>
          <w:szCs w:val="22"/>
        </w:rPr>
      </w:pPr>
    </w:p>
    <w:p w:rsidR="00FE542A" w:rsidRPr="00DA298E" w:rsidRDefault="00FE542A" w:rsidP="002C4748">
      <w:pPr>
        <w:pStyle w:val="ListParagraph"/>
        <w:widowControl/>
        <w:numPr>
          <w:ilvl w:val="1"/>
          <w:numId w:val="2"/>
        </w:numPr>
        <w:rPr>
          <w:iCs/>
          <w:szCs w:val="22"/>
        </w:rPr>
      </w:pPr>
      <w:r w:rsidRPr="00DA298E">
        <w:rPr>
          <w:iCs/>
          <w:szCs w:val="22"/>
        </w:rPr>
        <w:t>The PBAC previously considered that it was reasonable to accept that daclatasvir plus sofosbuvir for 12 weeks was non-inferior in terms of comparative efficacy with sofosbuvir plus ribavirin for 24 weeks in treatment-naive non-cirrhotic genotype 3 patients (daclatasvir PSD March 2015 PBAC meeting). The head-to-head trial in HCV genotype 3 (ASTRAL-3) provided a comparison of sofosbuvir/velpatasvir FDC versus sofosbuvir plus ribavirin (24 weeks)</w:t>
      </w:r>
      <w:r w:rsidR="00B80790">
        <w:rPr>
          <w:iCs/>
          <w:szCs w:val="22"/>
        </w:rPr>
        <w:t>.</w:t>
      </w:r>
    </w:p>
    <w:p w:rsidR="00FE542A" w:rsidRPr="00802DBC" w:rsidRDefault="00FE542A" w:rsidP="00FE542A">
      <w:pPr>
        <w:pStyle w:val="ListParagraph"/>
        <w:widowControl/>
        <w:rPr>
          <w:szCs w:val="22"/>
        </w:rPr>
      </w:pPr>
    </w:p>
    <w:p w:rsidR="00FE542A" w:rsidRPr="00802DBC" w:rsidRDefault="00FE542A" w:rsidP="00D62879">
      <w:pPr>
        <w:ind w:left="720"/>
        <w:rPr>
          <w:rFonts w:ascii="Arial Narrow" w:hAnsi="Arial Narrow"/>
          <w:b/>
          <w:bCs/>
          <w:sz w:val="20"/>
        </w:rPr>
      </w:pPr>
      <w:r w:rsidRPr="00802DBC">
        <w:rPr>
          <w:rFonts w:ascii="Arial Narrow" w:hAnsi="Arial Narrow"/>
          <w:b/>
          <w:bCs/>
          <w:sz w:val="20"/>
        </w:rPr>
        <w:t xml:space="preserve">Table </w:t>
      </w:r>
      <w:r w:rsidR="0052346C">
        <w:rPr>
          <w:rFonts w:ascii="Arial Narrow" w:hAnsi="Arial Narrow"/>
          <w:b/>
          <w:bCs/>
          <w:sz w:val="20"/>
        </w:rPr>
        <w:t>8</w:t>
      </w:r>
      <w:r w:rsidRPr="00802DBC">
        <w:rPr>
          <w:rFonts w:ascii="Arial Narrow" w:hAnsi="Arial Narrow"/>
          <w:b/>
          <w:bCs/>
          <w:sz w:val="20"/>
        </w:rPr>
        <w:t>: SVR12 (Full Analysis Set) for ASTRAL-3 in patients with HCV genotype 3 (no cirrhosis or compensated cirrhosis)</w:t>
      </w:r>
    </w:p>
    <w:tbl>
      <w:tblPr>
        <w:tblStyle w:val="TableGrid"/>
        <w:tblW w:w="0" w:type="auto"/>
        <w:tblInd w:w="737" w:type="dxa"/>
        <w:tblCellMar>
          <w:left w:w="28" w:type="dxa"/>
          <w:right w:w="28" w:type="dxa"/>
        </w:tblCellMar>
        <w:tblLook w:val="04A0" w:firstRow="1" w:lastRow="0" w:firstColumn="1" w:lastColumn="0" w:noHBand="0" w:noVBand="1"/>
        <w:tblCaption w:val="Table 8: SVR12 (Full Analysis Set) for ASTRAL-3 in patients with HCV genotype 3 (no cirrhosis or compensated cirrhosis)"/>
        <w:tblDescription w:val="Table 8: SVR12 (Full Analysis Set) for ASTRAL-3 in patients with HCV genotype 3 (no cirrhosis or compensated cirrhosis)"/>
      </w:tblPr>
      <w:tblGrid>
        <w:gridCol w:w="1811"/>
        <w:gridCol w:w="2425"/>
        <w:gridCol w:w="2426"/>
        <w:gridCol w:w="1683"/>
      </w:tblGrid>
      <w:tr w:rsidR="00FE542A" w:rsidRPr="00802DBC" w:rsidTr="00460056">
        <w:trPr>
          <w:tblHeader/>
        </w:trPr>
        <w:tc>
          <w:tcPr>
            <w:tcW w:w="1811" w:type="dxa"/>
            <w:vMerge w:val="restart"/>
            <w:vAlign w:val="center"/>
          </w:tcPr>
          <w:p w:rsidR="00FE542A" w:rsidRPr="00802DBC" w:rsidRDefault="00FE542A" w:rsidP="0094297E">
            <w:pPr>
              <w:jc w:val="left"/>
              <w:rPr>
                <w:rFonts w:ascii="Arial Narrow" w:hAnsi="Arial Narrow"/>
                <w:sz w:val="20"/>
              </w:rPr>
            </w:pPr>
          </w:p>
        </w:tc>
        <w:tc>
          <w:tcPr>
            <w:tcW w:w="4851" w:type="dxa"/>
            <w:gridSpan w:val="2"/>
            <w:vAlign w:val="center"/>
          </w:tcPr>
          <w:p w:rsidR="00FE542A" w:rsidRPr="00802DBC" w:rsidRDefault="00FE542A" w:rsidP="0094297E">
            <w:pPr>
              <w:jc w:val="center"/>
              <w:rPr>
                <w:rFonts w:ascii="Arial Narrow" w:hAnsi="Arial Narrow"/>
                <w:sz w:val="20"/>
              </w:rPr>
            </w:pPr>
            <w:r w:rsidRPr="00802DBC">
              <w:rPr>
                <w:rFonts w:ascii="Arial Narrow" w:hAnsi="Arial Narrow"/>
                <w:b/>
                <w:bCs/>
                <w:sz w:val="20"/>
              </w:rPr>
              <w:t>SVR12; n/N (%) [95% CI]</w:t>
            </w:r>
          </w:p>
        </w:tc>
        <w:tc>
          <w:tcPr>
            <w:tcW w:w="1683" w:type="dxa"/>
            <w:vMerge w:val="restart"/>
            <w:vAlign w:val="center"/>
          </w:tcPr>
          <w:p w:rsidR="00FE542A" w:rsidRPr="00802DBC" w:rsidRDefault="00FE542A" w:rsidP="0094297E">
            <w:pPr>
              <w:jc w:val="center"/>
              <w:rPr>
                <w:rFonts w:ascii="Arial Narrow" w:hAnsi="Arial Narrow"/>
                <w:b/>
                <w:bCs/>
                <w:sz w:val="20"/>
                <w:vertAlign w:val="superscript"/>
              </w:rPr>
            </w:pPr>
            <w:r w:rsidRPr="00802DBC">
              <w:rPr>
                <w:rFonts w:ascii="Arial Narrow" w:hAnsi="Arial Narrow"/>
                <w:b/>
                <w:bCs/>
                <w:sz w:val="20"/>
              </w:rPr>
              <w:t>Diff in % [95% CI]</w:t>
            </w:r>
            <w:r w:rsidRPr="00802DBC">
              <w:rPr>
                <w:rFonts w:ascii="Arial Narrow" w:hAnsi="Arial Narrow"/>
                <w:b/>
                <w:bCs/>
                <w:sz w:val="20"/>
                <w:vertAlign w:val="superscript"/>
              </w:rPr>
              <w:t>a</w:t>
            </w:r>
          </w:p>
        </w:tc>
      </w:tr>
      <w:tr w:rsidR="00FE542A" w:rsidRPr="00802DBC" w:rsidTr="00460056">
        <w:trPr>
          <w:tblHeader/>
        </w:trPr>
        <w:tc>
          <w:tcPr>
            <w:tcW w:w="1811" w:type="dxa"/>
            <w:vMerge/>
            <w:vAlign w:val="center"/>
          </w:tcPr>
          <w:p w:rsidR="00FE542A" w:rsidRPr="00802DBC" w:rsidRDefault="00FE542A" w:rsidP="0094297E">
            <w:pPr>
              <w:jc w:val="left"/>
              <w:rPr>
                <w:rFonts w:ascii="Arial Narrow" w:hAnsi="Arial Narrow"/>
                <w:sz w:val="20"/>
              </w:rPr>
            </w:pPr>
          </w:p>
        </w:tc>
        <w:tc>
          <w:tcPr>
            <w:tcW w:w="2425" w:type="dxa"/>
            <w:vAlign w:val="center"/>
          </w:tcPr>
          <w:p w:rsidR="00FE542A" w:rsidRPr="00802DBC" w:rsidRDefault="00FE542A" w:rsidP="0094297E">
            <w:pPr>
              <w:jc w:val="center"/>
              <w:rPr>
                <w:rFonts w:ascii="Arial Narrow" w:hAnsi="Arial Narrow"/>
                <w:b/>
                <w:bCs/>
                <w:sz w:val="20"/>
              </w:rPr>
            </w:pPr>
            <w:r w:rsidRPr="00802DBC">
              <w:rPr>
                <w:rFonts w:ascii="Arial Narrow" w:hAnsi="Arial Narrow"/>
                <w:b/>
                <w:bCs/>
                <w:sz w:val="20"/>
              </w:rPr>
              <w:t>SOF/VEL12</w:t>
            </w:r>
          </w:p>
        </w:tc>
        <w:tc>
          <w:tcPr>
            <w:tcW w:w="2426" w:type="dxa"/>
            <w:vAlign w:val="center"/>
          </w:tcPr>
          <w:p w:rsidR="00FE542A" w:rsidRPr="00802DBC" w:rsidRDefault="00FE542A" w:rsidP="0094297E">
            <w:pPr>
              <w:jc w:val="center"/>
              <w:rPr>
                <w:rFonts w:ascii="Arial Narrow" w:hAnsi="Arial Narrow"/>
                <w:b/>
                <w:bCs/>
                <w:sz w:val="20"/>
              </w:rPr>
            </w:pPr>
            <w:r w:rsidRPr="00802DBC">
              <w:rPr>
                <w:rFonts w:ascii="Arial Narrow" w:hAnsi="Arial Narrow"/>
                <w:b/>
                <w:bCs/>
                <w:sz w:val="20"/>
              </w:rPr>
              <w:t>SOF+RBV24</w:t>
            </w:r>
          </w:p>
        </w:tc>
        <w:tc>
          <w:tcPr>
            <w:tcW w:w="1683" w:type="dxa"/>
            <w:vMerge/>
            <w:vAlign w:val="center"/>
          </w:tcPr>
          <w:p w:rsidR="00FE542A" w:rsidRPr="00802DBC" w:rsidRDefault="00FE542A" w:rsidP="0094297E">
            <w:pPr>
              <w:jc w:val="center"/>
              <w:rPr>
                <w:rFonts w:ascii="Arial Narrow" w:hAnsi="Arial Narrow"/>
                <w:b/>
                <w:bCs/>
                <w:sz w:val="20"/>
              </w:rPr>
            </w:pPr>
          </w:p>
        </w:tc>
      </w:tr>
      <w:tr w:rsidR="00FE542A" w:rsidRPr="00802DBC" w:rsidTr="0094297E">
        <w:tc>
          <w:tcPr>
            <w:tcW w:w="1811" w:type="dxa"/>
            <w:vAlign w:val="center"/>
          </w:tcPr>
          <w:p w:rsidR="00FE542A" w:rsidRPr="00802DBC" w:rsidRDefault="00FE542A" w:rsidP="0094297E">
            <w:pPr>
              <w:jc w:val="left"/>
              <w:rPr>
                <w:rFonts w:ascii="Arial Narrow" w:hAnsi="Arial Narrow"/>
                <w:sz w:val="20"/>
              </w:rPr>
            </w:pPr>
            <w:r w:rsidRPr="00802DBC">
              <w:rPr>
                <w:rFonts w:ascii="Arial Narrow" w:hAnsi="Arial Narrow"/>
                <w:sz w:val="20"/>
              </w:rPr>
              <w:t>Overall</w:t>
            </w:r>
          </w:p>
        </w:tc>
        <w:tc>
          <w:tcPr>
            <w:tcW w:w="2425"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264/277 (95.3%) [92.1, 97.5%]</w:t>
            </w:r>
          </w:p>
        </w:tc>
        <w:tc>
          <w:tcPr>
            <w:tcW w:w="2426"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221/275 (80.4%) [75.2, 84.9%]</w:t>
            </w:r>
          </w:p>
        </w:tc>
        <w:tc>
          <w:tcPr>
            <w:tcW w:w="1683"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14.8% [9.6, 20.0%]</w:t>
            </w:r>
          </w:p>
        </w:tc>
      </w:tr>
      <w:tr w:rsidR="00FE542A" w:rsidRPr="00802DBC" w:rsidTr="0094297E">
        <w:tc>
          <w:tcPr>
            <w:tcW w:w="8345" w:type="dxa"/>
            <w:gridSpan w:val="4"/>
            <w:vAlign w:val="center"/>
          </w:tcPr>
          <w:p w:rsidR="00FE542A" w:rsidRPr="00802DBC" w:rsidRDefault="00FE542A" w:rsidP="0094297E">
            <w:pPr>
              <w:jc w:val="left"/>
              <w:rPr>
                <w:rFonts w:ascii="Arial Narrow" w:hAnsi="Arial Narrow"/>
                <w:sz w:val="20"/>
              </w:rPr>
            </w:pPr>
            <w:r w:rsidRPr="00802DBC">
              <w:rPr>
                <w:rFonts w:ascii="Arial Narrow" w:hAnsi="Arial Narrow"/>
                <w:b/>
                <w:bCs/>
                <w:sz w:val="20"/>
              </w:rPr>
              <w:t>Cirrhosis status</w:t>
            </w:r>
          </w:p>
        </w:tc>
      </w:tr>
      <w:tr w:rsidR="00FE542A" w:rsidRPr="00802DBC" w:rsidTr="0094297E">
        <w:tc>
          <w:tcPr>
            <w:tcW w:w="1811" w:type="dxa"/>
            <w:vAlign w:val="center"/>
          </w:tcPr>
          <w:p w:rsidR="00FE542A" w:rsidRPr="00802DBC" w:rsidRDefault="00FE542A" w:rsidP="0094297E">
            <w:pPr>
              <w:jc w:val="left"/>
              <w:rPr>
                <w:rFonts w:ascii="Arial Narrow" w:hAnsi="Arial Narrow"/>
                <w:sz w:val="20"/>
              </w:rPr>
            </w:pPr>
            <w:r w:rsidRPr="00802DBC">
              <w:rPr>
                <w:rFonts w:ascii="Arial Narrow" w:hAnsi="Arial Narrow"/>
                <w:sz w:val="20"/>
              </w:rPr>
              <w:t>No cirrhosis</w:t>
            </w:r>
          </w:p>
        </w:tc>
        <w:tc>
          <w:tcPr>
            <w:tcW w:w="2425" w:type="dxa"/>
            <w:vAlign w:val="center"/>
          </w:tcPr>
          <w:p w:rsidR="00FE542A" w:rsidRPr="00802DBC" w:rsidRDefault="00FE542A" w:rsidP="0094297E">
            <w:pPr>
              <w:pStyle w:val="TableCentre"/>
              <w:rPr>
                <w:rFonts w:ascii="Arial Narrow" w:hAnsi="Arial Narrow"/>
              </w:rPr>
            </w:pPr>
            <w:r w:rsidRPr="00802DBC">
              <w:rPr>
                <w:rFonts w:ascii="Arial Narrow" w:hAnsi="Arial Narrow"/>
                <w:szCs w:val="20"/>
              </w:rPr>
              <w:t xml:space="preserve">191/197 </w:t>
            </w:r>
            <w:r w:rsidRPr="00802DBC">
              <w:rPr>
                <w:rFonts w:ascii="Arial Narrow" w:hAnsi="Arial Narrow"/>
              </w:rPr>
              <w:t>(97.0%) [93.5, 98.9%]</w:t>
            </w:r>
          </w:p>
        </w:tc>
        <w:tc>
          <w:tcPr>
            <w:tcW w:w="2426"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163/187 (87.2%) [81.5, 91.6%]</w:t>
            </w:r>
          </w:p>
        </w:tc>
        <w:tc>
          <w:tcPr>
            <w:tcW w:w="1683"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9.8% [4.2, 15.7%]</w:t>
            </w:r>
          </w:p>
        </w:tc>
      </w:tr>
      <w:tr w:rsidR="00FE542A" w:rsidRPr="00802DBC" w:rsidTr="0094297E">
        <w:tc>
          <w:tcPr>
            <w:tcW w:w="1811" w:type="dxa"/>
            <w:vAlign w:val="center"/>
          </w:tcPr>
          <w:p w:rsidR="00FE542A" w:rsidRPr="00802DBC" w:rsidRDefault="00FE542A" w:rsidP="0094297E">
            <w:pPr>
              <w:jc w:val="left"/>
              <w:rPr>
                <w:rFonts w:ascii="Arial Narrow" w:hAnsi="Arial Narrow"/>
                <w:sz w:val="20"/>
              </w:rPr>
            </w:pPr>
            <w:r w:rsidRPr="00802DBC">
              <w:rPr>
                <w:rFonts w:ascii="Arial Narrow" w:hAnsi="Arial Narrow"/>
                <w:sz w:val="20"/>
              </w:rPr>
              <w:t>Compensated cirrhosis</w:t>
            </w:r>
          </w:p>
        </w:tc>
        <w:tc>
          <w:tcPr>
            <w:tcW w:w="2425" w:type="dxa"/>
            <w:vAlign w:val="center"/>
          </w:tcPr>
          <w:p w:rsidR="00FE542A" w:rsidRPr="00802DBC" w:rsidRDefault="00FE542A" w:rsidP="0094297E">
            <w:pPr>
              <w:pStyle w:val="TableCentre"/>
              <w:rPr>
                <w:rFonts w:ascii="Arial Narrow" w:hAnsi="Arial Narrow"/>
              </w:rPr>
            </w:pPr>
            <w:r w:rsidRPr="00802DBC">
              <w:rPr>
                <w:rFonts w:ascii="Arial Narrow" w:hAnsi="Arial Narrow"/>
                <w:szCs w:val="20"/>
              </w:rPr>
              <w:t xml:space="preserve">73/80 </w:t>
            </w:r>
            <w:r w:rsidRPr="00802DBC">
              <w:rPr>
                <w:rFonts w:ascii="Arial Narrow" w:hAnsi="Arial Narrow"/>
              </w:rPr>
              <w:t>(91.3%) [82.8, 96.4%]</w:t>
            </w:r>
          </w:p>
        </w:tc>
        <w:tc>
          <w:tcPr>
            <w:tcW w:w="2426"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55/83 (66.3%) [55.1, 76.3%]</w:t>
            </w:r>
          </w:p>
        </w:tc>
        <w:tc>
          <w:tcPr>
            <w:tcW w:w="1683"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25.0% [11.5, 37.2%]</w:t>
            </w:r>
          </w:p>
        </w:tc>
      </w:tr>
      <w:tr w:rsidR="00FE542A" w:rsidRPr="00802DBC" w:rsidTr="0094297E">
        <w:tc>
          <w:tcPr>
            <w:tcW w:w="8345" w:type="dxa"/>
            <w:gridSpan w:val="4"/>
            <w:vAlign w:val="center"/>
          </w:tcPr>
          <w:p w:rsidR="00FE542A" w:rsidRPr="00802DBC" w:rsidRDefault="00FE542A" w:rsidP="0094297E">
            <w:pPr>
              <w:jc w:val="left"/>
              <w:rPr>
                <w:rFonts w:ascii="Arial Narrow" w:hAnsi="Arial Narrow"/>
                <w:sz w:val="20"/>
              </w:rPr>
            </w:pPr>
            <w:r w:rsidRPr="00802DBC">
              <w:rPr>
                <w:rFonts w:ascii="Arial Narrow" w:hAnsi="Arial Narrow"/>
                <w:b/>
                <w:bCs/>
                <w:sz w:val="20"/>
              </w:rPr>
              <w:t>Prior HCV treatment experience</w:t>
            </w:r>
          </w:p>
        </w:tc>
      </w:tr>
      <w:tr w:rsidR="00FE542A" w:rsidRPr="00802DBC" w:rsidTr="0094297E">
        <w:tc>
          <w:tcPr>
            <w:tcW w:w="1811" w:type="dxa"/>
            <w:vAlign w:val="center"/>
          </w:tcPr>
          <w:p w:rsidR="00FE542A" w:rsidRPr="00802DBC" w:rsidRDefault="00FE542A" w:rsidP="00927BE4">
            <w:pPr>
              <w:jc w:val="left"/>
              <w:rPr>
                <w:rFonts w:ascii="Arial Narrow" w:hAnsi="Arial Narrow"/>
                <w:sz w:val="20"/>
              </w:rPr>
            </w:pPr>
            <w:r w:rsidRPr="00802DBC">
              <w:rPr>
                <w:rFonts w:ascii="Arial Narrow" w:hAnsi="Arial Narrow"/>
                <w:sz w:val="20"/>
              </w:rPr>
              <w:t>Treatment</w:t>
            </w:r>
            <w:r w:rsidR="00927BE4">
              <w:rPr>
                <w:rFonts w:ascii="Arial Narrow" w:hAnsi="Arial Narrow"/>
                <w:sz w:val="20"/>
              </w:rPr>
              <w:t xml:space="preserve"> </w:t>
            </w:r>
            <w:r w:rsidRPr="00802DBC">
              <w:rPr>
                <w:rFonts w:ascii="Arial Narrow" w:hAnsi="Arial Narrow"/>
                <w:sz w:val="20"/>
              </w:rPr>
              <w:t xml:space="preserve">naïve   </w:t>
            </w:r>
          </w:p>
        </w:tc>
        <w:tc>
          <w:tcPr>
            <w:tcW w:w="2425"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200/206 (97.1%) [93.8, 98.9%]</w:t>
            </w:r>
          </w:p>
        </w:tc>
        <w:tc>
          <w:tcPr>
            <w:tcW w:w="2426"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176/204 (86.3%) [80.8, 90.7%]</w:t>
            </w:r>
          </w:p>
        </w:tc>
        <w:tc>
          <w:tcPr>
            <w:tcW w:w="1683"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10.8% [5.3, 16.5%]</w:t>
            </w:r>
          </w:p>
        </w:tc>
      </w:tr>
      <w:tr w:rsidR="00FE542A" w:rsidRPr="00802DBC" w:rsidTr="0094297E">
        <w:tc>
          <w:tcPr>
            <w:tcW w:w="1811" w:type="dxa"/>
            <w:vAlign w:val="center"/>
          </w:tcPr>
          <w:p w:rsidR="00FE542A" w:rsidRPr="00802DBC" w:rsidRDefault="00FE542A" w:rsidP="00927BE4">
            <w:pPr>
              <w:jc w:val="left"/>
              <w:rPr>
                <w:rFonts w:ascii="Arial Narrow" w:hAnsi="Arial Narrow"/>
                <w:sz w:val="20"/>
              </w:rPr>
            </w:pPr>
            <w:r w:rsidRPr="00802DBC">
              <w:rPr>
                <w:rFonts w:ascii="Arial Narrow" w:hAnsi="Arial Narrow"/>
                <w:sz w:val="20"/>
              </w:rPr>
              <w:t>Treatment</w:t>
            </w:r>
            <w:r w:rsidR="00927BE4">
              <w:rPr>
                <w:rFonts w:ascii="Arial Narrow" w:hAnsi="Arial Narrow"/>
                <w:sz w:val="20"/>
              </w:rPr>
              <w:t xml:space="preserve"> </w:t>
            </w:r>
            <w:r w:rsidRPr="00802DBC">
              <w:rPr>
                <w:rFonts w:ascii="Arial Narrow" w:hAnsi="Arial Narrow"/>
                <w:sz w:val="20"/>
              </w:rPr>
              <w:t>experienced</w:t>
            </w:r>
          </w:p>
        </w:tc>
        <w:tc>
          <w:tcPr>
            <w:tcW w:w="2425"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64/71 (90.1%) [80.7, 95.9%]</w:t>
            </w:r>
          </w:p>
        </w:tc>
        <w:tc>
          <w:tcPr>
            <w:tcW w:w="2426"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45/71 (63.4%) [51.1, 74.5%]</w:t>
            </w:r>
          </w:p>
        </w:tc>
        <w:tc>
          <w:tcPr>
            <w:tcW w:w="1683"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26.8% [12.2, 40.1%]</w:t>
            </w:r>
          </w:p>
        </w:tc>
      </w:tr>
    </w:tbl>
    <w:p w:rsidR="00FE542A" w:rsidRPr="00802DBC" w:rsidRDefault="00FE542A" w:rsidP="00FE542A">
      <w:pPr>
        <w:ind w:firstLine="720"/>
        <w:rPr>
          <w:rFonts w:ascii="Arial Narrow" w:hAnsi="Arial Narrow"/>
          <w:sz w:val="18"/>
          <w:szCs w:val="18"/>
        </w:rPr>
      </w:pPr>
      <w:r w:rsidRPr="00802DBC">
        <w:rPr>
          <w:rFonts w:ascii="Arial Narrow" w:hAnsi="Arial Narrow"/>
          <w:sz w:val="18"/>
          <w:szCs w:val="18"/>
        </w:rPr>
        <w:t>Source: Adapted from Table B-28, p108 of the submission</w:t>
      </w:r>
    </w:p>
    <w:p w:rsidR="00FE542A" w:rsidRPr="00802DBC" w:rsidRDefault="00FE542A" w:rsidP="00FE542A">
      <w:pPr>
        <w:ind w:left="720"/>
        <w:rPr>
          <w:rFonts w:ascii="Arial Narrow" w:hAnsi="Arial Narrow"/>
          <w:sz w:val="18"/>
          <w:szCs w:val="18"/>
        </w:rPr>
      </w:pPr>
      <w:r w:rsidRPr="00802DBC">
        <w:rPr>
          <w:rFonts w:ascii="Arial Narrow" w:hAnsi="Arial Narrow"/>
          <w:sz w:val="18"/>
          <w:szCs w:val="18"/>
        </w:rPr>
        <w:t>Abbreviations: CI = confidence interval; HCV = hepatitis C virus; SOF+RBV24 = sofosbuvir plus ribavirin for 24 weeks; SOF/VEL12 = sofosbuvir/velpatasvir FDC for 12 weeks; SVR12 = sustained virological response at 12 weeks following the completion of treatment</w:t>
      </w:r>
    </w:p>
    <w:p w:rsidR="00FE542A" w:rsidRPr="00802DBC" w:rsidRDefault="00FE542A" w:rsidP="00FE542A">
      <w:pPr>
        <w:ind w:firstLine="720"/>
        <w:rPr>
          <w:rFonts w:ascii="Arial Narrow" w:hAnsi="Arial Narrow"/>
          <w:sz w:val="18"/>
          <w:szCs w:val="18"/>
        </w:rPr>
      </w:pPr>
      <w:r w:rsidRPr="00802DBC">
        <w:rPr>
          <w:rFonts w:ascii="Arial Narrow" w:hAnsi="Arial Narrow"/>
          <w:sz w:val="18"/>
          <w:szCs w:val="18"/>
          <w:vertAlign w:val="superscript"/>
        </w:rPr>
        <w:t>a</w:t>
      </w:r>
      <w:r w:rsidRPr="00802DBC">
        <w:rPr>
          <w:rFonts w:ascii="Arial Narrow" w:hAnsi="Arial Narrow"/>
          <w:sz w:val="18"/>
          <w:szCs w:val="18"/>
        </w:rPr>
        <w:t xml:space="preserve"> SOF/VEL12 versus SOF+RBV24</w:t>
      </w:r>
    </w:p>
    <w:p w:rsidR="00FE542A" w:rsidRPr="00802DBC" w:rsidRDefault="00FE542A" w:rsidP="00FE542A">
      <w:pPr>
        <w:ind w:left="720"/>
        <w:rPr>
          <w:rFonts w:ascii="Arial Narrow" w:hAnsi="Arial Narrow"/>
          <w:sz w:val="18"/>
          <w:szCs w:val="18"/>
        </w:rPr>
      </w:pPr>
    </w:p>
    <w:p w:rsidR="00FE542A" w:rsidRPr="00DA298E" w:rsidRDefault="00DD1D27" w:rsidP="002C4748">
      <w:pPr>
        <w:pStyle w:val="ListParagraph"/>
        <w:widowControl/>
        <w:numPr>
          <w:ilvl w:val="1"/>
          <w:numId w:val="2"/>
        </w:numPr>
        <w:rPr>
          <w:iCs/>
          <w:szCs w:val="22"/>
        </w:rPr>
      </w:pPr>
      <w:r w:rsidRPr="00DA298E">
        <w:rPr>
          <w:szCs w:val="22"/>
        </w:rPr>
        <w:t>The results indicate that non-inferiority of sofosbuvir/velpatasvir FDC versus sofosbuvir plus ribavirin could be concluded as the lower bound of the 95% CI (+9.6%) was greater than the pre-specified non-inferiority margin of -10%</w:t>
      </w:r>
      <w:r w:rsidR="00A33C83" w:rsidRPr="00DA298E">
        <w:rPr>
          <w:szCs w:val="22"/>
        </w:rPr>
        <w:t xml:space="preserve"> (</w:t>
      </w:r>
      <w:r w:rsidR="00A33C83" w:rsidRPr="00DA298E">
        <w:rPr>
          <w:iCs/>
          <w:szCs w:val="22"/>
        </w:rPr>
        <w:t>despite concerns that the pre-specified non-inferiority margin included clinically important differences</w:t>
      </w:r>
      <w:r w:rsidR="00A33C83" w:rsidRPr="00DA298E">
        <w:rPr>
          <w:szCs w:val="22"/>
        </w:rPr>
        <w:t>)</w:t>
      </w:r>
      <w:r w:rsidRPr="00DA298E">
        <w:rPr>
          <w:szCs w:val="22"/>
        </w:rPr>
        <w:t xml:space="preserve">. </w:t>
      </w:r>
      <w:r w:rsidR="00FE542A" w:rsidRPr="00DA298E">
        <w:rPr>
          <w:iCs/>
          <w:szCs w:val="22"/>
        </w:rPr>
        <w:t xml:space="preserve">While the results were supportive of a claim of superiority, </w:t>
      </w:r>
      <w:r w:rsidR="00D669F0">
        <w:rPr>
          <w:iCs/>
          <w:szCs w:val="22"/>
        </w:rPr>
        <w:t xml:space="preserve">the PBAC agreed that </w:t>
      </w:r>
      <w:r w:rsidR="00FE542A" w:rsidRPr="00DA298E">
        <w:rPr>
          <w:iCs/>
          <w:szCs w:val="22"/>
        </w:rPr>
        <w:t>these results should be interpreted with caution due to the open-label design, as well as the differential discontinuation and adherence between arms favour</w:t>
      </w:r>
      <w:r w:rsidR="0002113A">
        <w:rPr>
          <w:iCs/>
          <w:szCs w:val="22"/>
        </w:rPr>
        <w:t>ing sofosbuvir/velpatasvir FDC.</w:t>
      </w:r>
    </w:p>
    <w:p w:rsidR="0025256B" w:rsidRPr="00DA298E" w:rsidRDefault="0025256B" w:rsidP="0025256B">
      <w:pPr>
        <w:pStyle w:val="ListParagraph"/>
        <w:widowControl/>
        <w:rPr>
          <w:iCs/>
          <w:szCs w:val="22"/>
        </w:rPr>
      </w:pPr>
    </w:p>
    <w:p w:rsidR="0025256B" w:rsidRPr="00DA298E" w:rsidRDefault="0025256B" w:rsidP="002C4748">
      <w:pPr>
        <w:pStyle w:val="ListParagraph"/>
        <w:widowControl/>
        <w:numPr>
          <w:ilvl w:val="1"/>
          <w:numId w:val="2"/>
        </w:numPr>
        <w:rPr>
          <w:iCs/>
          <w:szCs w:val="22"/>
        </w:rPr>
      </w:pPr>
      <w:r w:rsidRPr="00DA298E">
        <w:rPr>
          <w:iCs/>
          <w:szCs w:val="22"/>
        </w:rPr>
        <w:t xml:space="preserve">Among patients with HCV genotype 3 (ASTRAL-3), there </w:t>
      </w:r>
      <w:r w:rsidR="0035755F" w:rsidRPr="00DA298E">
        <w:rPr>
          <w:iCs/>
          <w:szCs w:val="22"/>
        </w:rPr>
        <w:t>was</w:t>
      </w:r>
      <w:r w:rsidRPr="00DA298E">
        <w:rPr>
          <w:iCs/>
          <w:szCs w:val="22"/>
        </w:rPr>
        <w:t xml:space="preserve"> some variation </w:t>
      </w:r>
      <w:r w:rsidR="00825B65" w:rsidRPr="00DA298E">
        <w:rPr>
          <w:iCs/>
          <w:szCs w:val="22"/>
        </w:rPr>
        <w:t>in SVR12 rates associated with sofosbuvir/velpatasvir</w:t>
      </w:r>
      <w:r w:rsidR="00DC47E0" w:rsidRPr="00DA298E">
        <w:rPr>
          <w:iCs/>
          <w:szCs w:val="22"/>
        </w:rPr>
        <w:t xml:space="preserve"> FDC</w:t>
      </w:r>
      <w:r w:rsidR="00825B65" w:rsidRPr="00DA298E">
        <w:rPr>
          <w:iCs/>
          <w:szCs w:val="22"/>
        </w:rPr>
        <w:t xml:space="preserve"> treatment </w:t>
      </w:r>
      <w:r w:rsidRPr="00DA298E">
        <w:rPr>
          <w:iCs/>
          <w:szCs w:val="22"/>
        </w:rPr>
        <w:t>based on cirrhosis status and prior treatment experience, where SVR12 rates were highest for treatment naïve patients without cirrhosis (98.2%; 160/163) and lowest for treatment</w:t>
      </w:r>
      <w:r w:rsidR="00927BE4">
        <w:rPr>
          <w:iCs/>
          <w:szCs w:val="22"/>
        </w:rPr>
        <w:t xml:space="preserve"> </w:t>
      </w:r>
      <w:r w:rsidRPr="00DA298E">
        <w:rPr>
          <w:iCs/>
          <w:szCs w:val="22"/>
        </w:rPr>
        <w:t>experienced patients with cirrhosis (89.2%; 33/37).</w:t>
      </w:r>
      <w:r w:rsidR="006A2823" w:rsidRPr="00DA298E">
        <w:rPr>
          <w:iCs/>
          <w:szCs w:val="22"/>
        </w:rPr>
        <w:t xml:space="preserve"> </w:t>
      </w:r>
      <w:r w:rsidR="00681675" w:rsidRPr="00DA298E">
        <w:rPr>
          <w:iCs/>
          <w:szCs w:val="22"/>
        </w:rPr>
        <w:t>Despite this</w:t>
      </w:r>
      <w:r w:rsidR="00AC7E61" w:rsidRPr="00DA298E">
        <w:rPr>
          <w:iCs/>
          <w:szCs w:val="22"/>
        </w:rPr>
        <w:t>, t</w:t>
      </w:r>
      <w:r w:rsidR="004A3764" w:rsidRPr="00DA298E" w:rsidDel="006A2823">
        <w:rPr>
          <w:iCs/>
          <w:szCs w:val="22"/>
        </w:rPr>
        <w:t xml:space="preserve">he differences in proportions between </w:t>
      </w:r>
      <w:r w:rsidR="005A3E70" w:rsidRPr="00DA298E">
        <w:rPr>
          <w:iCs/>
          <w:szCs w:val="22"/>
        </w:rPr>
        <w:t xml:space="preserve">treatment </w:t>
      </w:r>
      <w:r w:rsidR="004A3764" w:rsidRPr="00DA298E" w:rsidDel="006A2823">
        <w:rPr>
          <w:iCs/>
          <w:szCs w:val="22"/>
        </w:rPr>
        <w:t>arms were noticeably larger for the compensated cirrhosis and treatment</w:t>
      </w:r>
      <w:r w:rsidR="00927BE4">
        <w:rPr>
          <w:iCs/>
          <w:szCs w:val="22"/>
        </w:rPr>
        <w:t xml:space="preserve"> </w:t>
      </w:r>
      <w:r w:rsidR="004A3764" w:rsidRPr="00DA298E" w:rsidDel="006A2823">
        <w:rPr>
          <w:iCs/>
          <w:szCs w:val="22"/>
        </w:rPr>
        <w:t>experienced subgroups</w:t>
      </w:r>
      <w:r w:rsidR="007D6DA9" w:rsidRPr="00DA298E">
        <w:rPr>
          <w:iCs/>
          <w:szCs w:val="22"/>
        </w:rPr>
        <w:t xml:space="preserve"> (see Table </w:t>
      </w:r>
      <w:r w:rsidR="0052346C">
        <w:rPr>
          <w:iCs/>
          <w:szCs w:val="22"/>
        </w:rPr>
        <w:t>8</w:t>
      </w:r>
      <w:r w:rsidR="007D6DA9" w:rsidRPr="00DA298E">
        <w:rPr>
          <w:iCs/>
          <w:szCs w:val="22"/>
        </w:rPr>
        <w:t>)</w:t>
      </w:r>
      <w:r w:rsidR="004A3764" w:rsidRPr="00DA298E" w:rsidDel="006A2823">
        <w:rPr>
          <w:iCs/>
          <w:szCs w:val="22"/>
        </w:rPr>
        <w:t>, mainly driven by the considerably lower SVR12 rates among those who received sofosbuvir plus ribavirin for 24 weeks.</w:t>
      </w:r>
      <w:r w:rsidR="004A3764" w:rsidRPr="00DA298E">
        <w:rPr>
          <w:iCs/>
          <w:szCs w:val="22"/>
        </w:rPr>
        <w:t xml:space="preserve"> </w:t>
      </w:r>
      <w:r w:rsidR="00C233CF" w:rsidRPr="00DA298E">
        <w:rPr>
          <w:iCs/>
          <w:szCs w:val="22"/>
        </w:rPr>
        <w:t>Other baseline characteristics associated with lower SVR12 rates included pre-treatment NS5A resistance-associated variants (RAVs) and pre-treatment HCV RNA ≥800,000 IU/mL (while acknowledging that the small patients numbers for some subgroups precluded definitive conclusions). Relapse after treatment was associated with NS5A resistance (Y93H mutation) in all patients, which limits re-treatment options as this mutation affects the activity of all agents in this class (European public assessment report, 2016).</w:t>
      </w:r>
    </w:p>
    <w:p w:rsidR="00A6227D" w:rsidRDefault="00A6227D">
      <w:pPr>
        <w:widowControl/>
        <w:jc w:val="left"/>
        <w:rPr>
          <w:u w:val="single"/>
        </w:rPr>
      </w:pPr>
    </w:p>
    <w:p w:rsidR="00083A33" w:rsidRPr="00270BF9" w:rsidRDefault="00083A33" w:rsidP="00A3010D">
      <w:pPr>
        <w:pStyle w:val="Heading3"/>
        <w:ind w:firstLine="720"/>
        <w:rPr>
          <w:iCs/>
        </w:rPr>
      </w:pPr>
      <w:r w:rsidRPr="00270BF9">
        <w:t>HCV genotypes 4 to 6 infection, with no cirrhosis or compensated cirrhosis</w:t>
      </w:r>
    </w:p>
    <w:p w:rsidR="00FE542A" w:rsidRPr="00802DBC" w:rsidRDefault="00FE542A" w:rsidP="00FE542A">
      <w:pPr>
        <w:pStyle w:val="ListParagraph"/>
        <w:widowControl/>
        <w:rPr>
          <w:szCs w:val="22"/>
        </w:rPr>
      </w:pPr>
    </w:p>
    <w:p w:rsidR="00FE542A" w:rsidRPr="0084585B" w:rsidRDefault="00AF4FFE" w:rsidP="00D62879">
      <w:pPr>
        <w:ind w:left="720"/>
        <w:rPr>
          <w:rFonts w:ascii="Arial Narrow" w:hAnsi="Arial Narrow"/>
          <w:sz w:val="20"/>
        </w:rPr>
      </w:pPr>
      <w:r>
        <w:rPr>
          <w:rFonts w:ascii="Arial Narrow" w:hAnsi="Arial Narrow"/>
          <w:b/>
          <w:bCs/>
          <w:sz w:val="20"/>
        </w:rPr>
        <w:t xml:space="preserve">Table </w:t>
      </w:r>
      <w:r w:rsidR="0052346C">
        <w:rPr>
          <w:rFonts w:ascii="Arial Narrow" w:hAnsi="Arial Narrow"/>
          <w:b/>
          <w:bCs/>
          <w:sz w:val="20"/>
        </w:rPr>
        <w:t>9</w:t>
      </w:r>
      <w:r>
        <w:rPr>
          <w:rFonts w:ascii="Arial Narrow" w:hAnsi="Arial Narrow"/>
          <w:b/>
          <w:bCs/>
          <w:sz w:val="20"/>
        </w:rPr>
        <w:t xml:space="preserve">: </w:t>
      </w:r>
      <w:r w:rsidR="00FE542A" w:rsidRPr="00802DBC">
        <w:rPr>
          <w:rFonts w:ascii="Arial Narrow" w:hAnsi="Arial Narrow"/>
          <w:b/>
          <w:bCs/>
          <w:sz w:val="20"/>
        </w:rPr>
        <w:t>Naïve comparison of SVR12 rates in HCV genotype 4 to 6 (no cirrhosis or compensated cirrhosis)</w:t>
      </w:r>
    </w:p>
    <w:tbl>
      <w:tblPr>
        <w:tblStyle w:val="TableGrid"/>
        <w:tblW w:w="8381" w:type="dxa"/>
        <w:tblInd w:w="737" w:type="dxa"/>
        <w:tblLayout w:type="fixed"/>
        <w:tblCellMar>
          <w:left w:w="28" w:type="dxa"/>
          <w:right w:w="28" w:type="dxa"/>
        </w:tblCellMar>
        <w:tblLook w:val="04A0" w:firstRow="1" w:lastRow="0" w:firstColumn="1" w:lastColumn="0" w:noHBand="0" w:noVBand="1"/>
        <w:tblCaption w:val="Table 9: Naïve comparison of SVR12 rates in HCV genotype 4 to 6 (no cirrhosis or compensated cirrhosis)"/>
        <w:tblDescription w:val="Table 9: Naïve comparison of SVR12 rates in HCV genotype 4 to 6 (no cirrhosis or compensated cirrhosis)"/>
      </w:tblPr>
      <w:tblGrid>
        <w:gridCol w:w="1276"/>
        <w:gridCol w:w="709"/>
        <w:gridCol w:w="540"/>
        <w:gridCol w:w="910"/>
        <w:gridCol w:w="1106"/>
        <w:gridCol w:w="987"/>
        <w:gridCol w:w="762"/>
        <w:gridCol w:w="656"/>
        <w:gridCol w:w="1435"/>
      </w:tblGrid>
      <w:tr w:rsidR="00FE542A" w:rsidRPr="00802DBC" w:rsidTr="00460056">
        <w:trPr>
          <w:trHeight w:val="152"/>
          <w:tblHeader/>
        </w:trPr>
        <w:tc>
          <w:tcPr>
            <w:tcW w:w="1276" w:type="dxa"/>
            <w:vMerge w:val="restart"/>
            <w:shd w:val="clear" w:color="auto" w:fill="auto"/>
            <w:vAlign w:val="center"/>
          </w:tcPr>
          <w:p w:rsidR="00FE542A" w:rsidRPr="00802DBC" w:rsidRDefault="00FE542A" w:rsidP="0094297E">
            <w:pPr>
              <w:jc w:val="left"/>
              <w:rPr>
                <w:rFonts w:ascii="Arial Narrow" w:hAnsi="Arial Narrow"/>
                <w:b/>
                <w:bCs/>
                <w:iCs/>
                <w:sz w:val="20"/>
              </w:rPr>
            </w:pPr>
            <w:r w:rsidRPr="00802DBC">
              <w:rPr>
                <w:rFonts w:ascii="Arial Narrow" w:hAnsi="Arial Narrow"/>
                <w:b/>
                <w:bCs/>
                <w:iCs/>
                <w:sz w:val="20"/>
              </w:rPr>
              <w:t xml:space="preserve">Study ID </w:t>
            </w:r>
          </w:p>
        </w:tc>
        <w:tc>
          <w:tcPr>
            <w:tcW w:w="709" w:type="dxa"/>
            <w:vMerge w:val="restart"/>
            <w:shd w:val="clear" w:color="auto" w:fill="auto"/>
            <w:vAlign w:val="center"/>
          </w:tcPr>
          <w:p w:rsidR="00FE542A" w:rsidRPr="00802DBC" w:rsidRDefault="00FE542A" w:rsidP="0094297E">
            <w:pPr>
              <w:jc w:val="center"/>
              <w:rPr>
                <w:rFonts w:ascii="Arial Narrow" w:hAnsi="Arial Narrow"/>
                <w:b/>
                <w:bCs/>
                <w:iCs/>
                <w:sz w:val="20"/>
              </w:rPr>
            </w:pPr>
            <w:r w:rsidRPr="00802DBC">
              <w:rPr>
                <w:rFonts w:ascii="Arial Narrow" w:hAnsi="Arial Narrow"/>
                <w:b/>
                <w:bCs/>
                <w:iCs/>
                <w:sz w:val="20"/>
              </w:rPr>
              <w:t xml:space="preserve">Study design </w:t>
            </w:r>
          </w:p>
        </w:tc>
        <w:tc>
          <w:tcPr>
            <w:tcW w:w="540" w:type="dxa"/>
            <w:vMerge w:val="restart"/>
          </w:tcPr>
          <w:p w:rsidR="00FE542A" w:rsidRPr="00802DBC" w:rsidRDefault="00FE542A" w:rsidP="0094297E">
            <w:pPr>
              <w:jc w:val="center"/>
              <w:rPr>
                <w:rFonts w:ascii="Arial Narrow" w:hAnsi="Arial Narrow"/>
                <w:b/>
                <w:bCs/>
                <w:iCs/>
                <w:sz w:val="20"/>
              </w:rPr>
            </w:pPr>
            <w:r w:rsidRPr="00802DBC">
              <w:rPr>
                <w:rFonts w:ascii="Arial Narrow" w:hAnsi="Arial Narrow"/>
                <w:b/>
                <w:bCs/>
                <w:iCs/>
                <w:sz w:val="20"/>
              </w:rPr>
              <w:t>HCV Gt</w:t>
            </w:r>
          </w:p>
        </w:tc>
        <w:tc>
          <w:tcPr>
            <w:tcW w:w="910" w:type="dxa"/>
            <w:vMerge w:val="restart"/>
            <w:shd w:val="clear" w:color="auto" w:fill="auto"/>
            <w:vAlign w:val="center"/>
          </w:tcPr>
          <w:p w:rsidR="00FE542A" w:rsidRPr="00802DBC" w:rsidRDefault="00FE542A" w:rsidP="0094297E">
            <w:pPr>
              <w:jc w:val="center"/>
              <w:rPr>
                <w:rFonts w:ascii="Arial Narrow" w:hAnsi="Arial Narrow"/>
                <w:b/>
                <w:bCs/>
                <w:iCs/>
                <w:sz w:val="20"/>
              </w:rPr>
            </w:pPr>
            <w:r w:rsidRPr="00802DBC">
              <w:rPr>
                <w:rFonts w:ascii="Arial Narrow" w:hAnsi="Arial Narrow"/>
                <w:b/>
                <w:bCs/>
                <w:iCs/>
                <w:sz w:val="20"/>
              </w:rPr>
              <w:t>% cirrhosis</w:t>
            </w:r>
            <w:r w:rsidR="005A379F" w:rsidRPr="005A379F">
              <w:rPr>
                <w:rFonts w:ascii="Arial Narrow" w:hAnsi="Arial Narrow"/>
                <w:sz w:val="18"/>
                <w:szCs w:val="18"/>
                <w:vertAlign w:val="superscript"/>
              </w:rPr>
              <w:t xml:space="preserve"> b</w:t>
            </w:r>
          </w:p>
        </w:tc>
        <w:tc>
          <w:tcPr>
            <w:tcW w:w="1106" w:type="dxa"/>
            <w:vMerge w:val="restart"/>
            <w:shd w:val="clear" w:color="auto" w:fill="auto"/>
            <w:vAlign w:val="center"/>
          </w:tcPr>
          <w:p w:rsidR="00FE542A" w:rsidRPr="00802DBC" w:rsidRDefault="00FE542A" w:rsidP="00927BE4">
            <w:pPr>
              <w:jc w:val="center"/>
              <w:rPr>
                <w:rFonts w:ascii="Arial Narrow" w:hAnsi="Arial Narrow"/>
                <w:iCs/>
                <w:sz w:val="20"/>
              </w:rPr>
            </w:pPr>
            <w:r w:rsidRPr="00802DBC">
              <w:rPr>
                <w:rFonts w:ascii="Arial Narrow" w:hAnsi="Arial Narrow"/>
                <w:b/>
                <w:bCs/>
                <w:iCs/>
                <w:sz w:val="20"/>
              </w:rPr>
              <w:t>% treatment</w:t>
            </w:r>
            <w:r w:rsidR="00927BE4">
              <w:rPr>
                <w:rFonts w:ascii="Arial Narrow" w:hAnsi="Arial Narrow"/>
                <w:b/>
                <w:bCs/>
                <w:iCs/>
                <w:sz w:val="20"/>
              </w:rPr>
              <w:t xml:space="preserve"> </w:t>
            </w:r>
            <w:r w:rsidRPr="00802DBC">
              <w:rPr>
                <w:rFonts w:ascii="Arial Narrow" w:hAnsi="Arial Narrow"/>
                <w:b/>
                <w:bCs/>
                <w:iCs/>
                <w:sz w:val="20"/>
              </w:rPr>
              <w:t>experienced</w:t>
            </w:r>
          </w:p>
        </w:tc>
        <w:tc>
          <w:tcPr>
            <w:tcW w:w="987" w:type="dxa"/>
            <w:vMerge w:val="restart"/>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b/>
                <w:bCs/>
                <w:iCs/>
                <w:sz w:val="20"/>
              </w:rPr>
              <w:t>Treatment regimen</w:t>
            </w:r>
          </w:p>
        </w:tc>
        <w:tc>
          <w:tcPr>
            <w:tcW w:w="762" w:type="dxa"/>
            <w:vMerge w:val="restart"/>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b/>
                <w:bCs/>
                <w:iCs/>
                <w:sz w:val="20"/>
              </w:rPr>
              <w:t>Duration (weeks)</w:t>
            </w:r>
          </w:p>
        </w:tc>
        <w:tc>
          <w:tcPr>
            <w:tcW w:w="2091" w:type="dxa"/>
            <w:gridSpan w:val="2"/>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b/>
                <w:bCs/>
                <w:iCs/>
                <w:sz w:val="20"/>
              </w:rPr>
              <w:t>SVR12</w:t>
            </w:r>
          </w:p>
        </w:tc>
      </w:tr>
      <w:tr w:rsidR="00FE542A" w:rsidRPr="00802DBC" w:rsidTr="00460056">
        <w:trPr>
          <w:tblHeader/>
        </w:trPr>
        <w:tc>
          <w:tcPr>
            <w:tcW w:w="1276" w:type="dxa"/>
            <w:vMerge/>
            <w:shd w:val="clear" w:color="auto" w:fill="auto"/>
          </w:tcPr>
          <w:p w:rsidR="00FE542A" w:rsidRPr="00802DBC" w:rsidRDefault="00FE542A" w:rsidP="0094297E">
            <w:pPr>
              <w:rPr>
                <w:rFonts w:ascii="Arial Narrow" w:hAnsi="Arial Narrow"/>
                <w:iCs/>
                <w:sz w:val="20"/>
              </w:rPr>
            </w:pPr>
          </w:p>
        </w:tc>
        <w:tc>
          <w:tcPr>
            <w:tcW w:w="709" w:type="dxa"/>
            <w:vMerge/>
            <w:shd w:val="clear" w:color="auto" w:fill="auto"/>
            <w:vAlign w:val="center"/>
          </w:tcPr>
          <w:p w:rsidR="00FE542A" w:rsidRPr="00802DBC" w:rsidRDefault="00FE542A" w:rsidP="0094297E">
            <w:pPr>
              <w:jc w:val="center"/>
              <w:rPr>
                <w:rFonts w:ascii="Arial Narrow" w:hAnsi="Arial Narrow"/>
                <w:b/>
                <w:bCs/>
                <w:iCs/>
                <w:sz w:val="20"/>
              </w:rPr>
            </w:pPr>
          </w:p>
        </w:tc>
        <w:tc>
          <w:tcPr>
            <w:tcW w:w="540" w:type="dxa"/>
            <w:vMerge/>
          </w:tcPr>
          <w:p w:rsidR="00FE542A" w:rsidRPr="00802DBC" w:rsidRDefault="00FE542A" w:rsidP="0094297E">
            <w:pPr>
              <w:jc w:val="center"/>
              <w:rPr>
                <w:rFonts w:ascii="Arial Narrow" w:hAnsi="Arial Narrow"/>
                <w:b/>
                <w:bCs/>
                <w:iCs/>
                <w:sz w:val="20"/>
              </w:rPr>
            </w:pPr>
          </w:p>
        </w:tc>
        <w:tc>
          <w:tcPr>
            <w:tcW w:w="910" w:type="dxa"/>
            <w:vMerge/>
            <w:shd w:val="clear" w:color="auto" w:fill="auto"/>
            <w:vAlign w:val="center"/>
          </w:tcPr>
          <w:p w:rsidR="00FE542A" w:rsidRPr="00802DBC" w:rsidRDefault="00FE542A" w:rsidP="0094297E">
            <w:pPr>
              <w:jc w:val="center"/>
              <w:rPr>
                <w:rFonts w:ascii="Arial Narrow" w:hAnsi="Arial Narrow"/>
                <w:b/>
                <w:bCs/>
                <w:iCs/>
                <w:sz w:val="20"/>
              </w:rPr>
            </w:pPr>
          </w:p>
        </w:tc>
        <w:tc>
          <w:tcPr>
            <w:tcW w:w="1106" w:type="dxa"/>
            <w:vMerge/>
            <w:shd w:val="clear" w:color="auto" w:fill="auto"/>
            <w:vAlign w:val="center"/>
          </w:tcPr>
          <w:p w:rsidR="00FE542A" w:rsidRPr="00802DBC" w:rsidRDefault="00FE542A" w:rsidP="0094297E">
            <w:pPr>
              <w:jc w:val="center"/>
              <w:rPr>
                <w:rFonts w:ascii="Arial Narrow" w:hAnsi="Arial Narrow"/>
                <w:b/>
                <w:bCs/>
                <w:iCs/>
                <w:sz w:val="20"/>
              </w:rPr>
            </w:pPr>
          </w:p>
        </w:tc>
        <w:tc>
          <w:tcPr>
            <w:tcW w:w="987" w:type="dxa"/>
            <w:vMerge/>
            <w:shd w:val="clear" w:color="auto" w:fill="auto"/>
            <w:vAlign w:val="center"/>
          </w:tcPr>
          <w:p w:rsidR="00FE542A" w:rsidRPr="00802DBC" w:rsidRDefault="00FE542A" w:rsidP="0094297E">
            <w:pPr>
              <w:jc w:val="center"/>
              <w:rPr>
                <w:rFonts w:ascii="Arial Narrow" w:hAnsi="Arial Narrow"/>
                <w:b/>
                <w:bCs/>
                <w:iCs/>
                <w:sz w:val="20"/>
              </w:rPr>
            </w:pPr>
          </w:p>
        </w:tc>
        <w:tc>
          <w:tcPr>
            <w:tcW w:w="762" w:type="dxa"/>
            <w:vMerge/>
            <w:shd w:val="clear" w:color="auto" w:fill="auto"/>
            <w:vAlign w:val="center"/>
          </w:tcPr>
          <w:p w:rsidR="00FE542A" w:rsidRPr="00802DBC" w:rsidRDefault="00FE542A" w:rsidP="0094297E">
            <w:pPr>
              <w:jc w:val="center"/>
              <w:rPr>
                <w:rFonts w:ascii="Arial Narrow" w:hAnsi="Arial Narrow"/>
                <w:b/>
                <w:bCs/>
                <w:iCs/>
                <w:sz w:val="20"/>
              </w:rPr>
            </w:pPr>
          </w:p>
        </w:tc>
        <w:tc>
          <w:tcPr>
            <w:tcW w:w="656" w:type="dxa"/>
            <w:shd w:val="clear" w:color="auto" w:fill="auto"/>
            <w:vAlign w:val="center"/>
          </w:tcPr>
          <w:p w:rsidR="00FE542A" w:rsidRPr="00802DBC" w:rsidRDefault="00FE542A" w:rsidP="0094297E">
            <w:pPr>
              <w:jc w:val="center"/>
              <w:rPr>
                <w:rFonts w:ascii="Arial Narrow" w:hAnsi="Arial Narrow"/>
                <w:b/>
                <w:bCs/>
                <w:iCs/>
                <w:sz w:val="20"/>
              </w:rPr>
            </w:pPr>
            <w:r w:rsidRPr="00802DBC">
              <w:rPr>
                <w:rFonts w:ascii="Arial Narrow" w:hAnsi="Arial Narrow"/>
                <w:b/>
                <w:bCs/>
                <w:iCs/>
                <w:sz w:val="20"/>
              </w:rPr>
              <w:t>n/N</w:t>
            </w:r>
          </w:p>
        </w:tc>
        <w:tc>
          <w:tcPr>
            <w:tcW w:w="1435" w:type="dxa"/>
            <w:shd w:val="clear" w:color="auto" w:fill="auto"/>
            <w:vAlign w:val="center"/>
          </w:tcPr>
          <w:p w:rsidR="00FE542A" w:rsidRPr="00802DBC" w:rsidRDefault="00FE542A" w:rsidP="0094297E">
            <w:pPr>
              <w:jc w:val="center"/>
              <w:rPr>
                <w:rFonts w:ascii="Arial Narrow" w:hAnsi="Arial Narrow"/>
                <w:b/>
                <w:bCs/>
                <w:iCs/>
                <w:sz w:val="20"/>
              </w:rPr>
            </w:pPr>
            <w:r w:rsidRPr="00802DBC">
              <w:rPr>
                <w:rFonts w:ascii="Arial Narrow" w:hAnsi="Arial Narrow"/>
                <w:b/>
                <w:bCs/>
                <w:iCs/>
                <w:sz w:val="20"/>
              </w:rPr>
              <w:t>% (95% CI)</w:t>
            </w:r>
          </w:p>
        </w:tc>
      </w:tr>
      <w:tr w:rsidR="00FE542A" w:rsidRPr="00802DBC" w:rsidTr="00460056">
        <w:tc>
          <w:tcPr>
            <w:tcW w:w="8381" w:type="dxa"/>
            <w:gridSpan w:val="9"/>
            <w:shd w:val="clear" w:color="auto" w:fill="auto"/>
            <w:vAlign w:val="center"/>
          </w:tcPr>
          <w:p w:rsidR="00FE542A" w:rsidRPr="00802DBC" w:rsidRDefault="00FE542A" w:rsidP="00927BE4">
            <w:pPr>
              <w:jc w:val="left"/>
              <w:rPr>
                <w:rFonts w:ascii="Arial Narrow" w:hAnsi="Arial Narrow"/>
                <w:iCs/>
                <w:sz w:val="20"/>
              </w:rPr>
            </w:pPr>
            <w:r w:rsidRPr="00802DBC">
              <w:rPr>
                <w:rFonts w:ascii="Arial Narrow" w:hAnsi="Arial Narrow"/>
                <w:b/>
                <w:iCs/>
                <w:sz w:val="20"/>
              </w:rPr>
              <w:t>Treatment</w:t>
            </w:r>
            <w:r w:rsidR="00927BE4">
              <w:rPr>
                <w:rFonts w:ascii="Arial Narrow" w:hAnsi="Arial Narrow"/>
                <w:b/>
                <w:iCs/>
                <w:sz w:val="20"/>
              </w:rPr>
              <w:t xml:space="preserve"> </w:t>
            </w:r>
            <w:r w:rsidRPr="00802DBC">
              <w:rPr>
                <w:rFonts w:ascii="Arial Narrow" w:hAnsi="Arial Narrow"/>
                <w:b/>
                <w:iCs/>
                <w:sz w:val="20"/>
              </w:rPr>
              <w:t xml:space="preserve">naïve </w:t>
            </w:r>
          </w:p>
        </w:tc>
      </w:tr>
      <w:tr w:rsidR="00FE542A" w:rsidRPr="00802DBC" w:rsidTr="00460056">
        <w:tc>
          <w:tcPr>
            <w:tcW w:w="1276" w:type="dxa"/>
            <w:vMerge w:val="restart"/>
            <w:shd w:val="clear" w:color="auto" w:fill="D9D9D9" w:themeFill="background1" w:themeFillShade="D9"/>
            <w:vAlign w:val="center"/>
          </w:tcPr>
          <w:p w:rsidR="00FE542A" w:rsidRPr="005519BC" w:rsidRDefault="00FE542A" w:rsidP="0094297E">
            <w:pPr>
              <w:jc w:val="left"/>
              <w:rPr>
                <w:rFonts w:ascii="Arial Narrow" w:hAnsi="Arial Narrow"/>
                <w:iCs/>
                <w:sz w:val="20"/>
              </w:rPr>
            </w:pPr>
            <w:r w:rsidRPr="005519BC">
              <w:rPr>
                <w:rFonts w:ascii="Arial Narrow" w:hAnsi="Arial Narrow"/>
                <w:iCs/>
                <w:sz w:val="20"/>
              </w:rPr>
              <w:t>ASTRAL-1</w:t>
            </w:r>
          </w:p>
        </w:tc>
        <w:tc>
          <w:tcPr>
            <w:tcW w:w="709" w:type="dxa"/>
            <w:vMerge w:val="restart"/>
            <w:shd w:val="clear" w:color="auto" w:fill="D9D9D9" w:themeFill="background1" w:themeFillShade="D9"/>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Phase III</w:t>
            </w:r>
          </w:p>
        </w:tc>
        <w:tc>
          <w:tcPr>
            <w:tcW w:w="540" w:type="dxa"/>
            <w:shd w:val="clear" w:color="auto" w:fill="D9D9D9" w:themeFill="background1" w:themeFillShade="D9"/>
          </w:tcPr>
          <w:p w:rsidR="00FE542A" w:rsidRPr="005519BC" w:rsidRDefault="00FE542A" w:rsidP="0094297E">
            <w:pPr>
              <w:jc w:val="center"/>
              <w:rPr>
                <w:rFonts w:ascii="Arial Narrow" w:hAnsi="Arial Narrow"/>
                <w:iCs/>
                <w:sz w:val="20"/>
              </w:rPr>
            </w:pPr>
            <w:r w:rsidRPr="005519BC">
              <w:rPr>
                <w:rFonts w:ascii="Arial Narrow" w:hAnsi="Arial Narrow"/>
                <w:iCs/>
                <w:sz w:val="20"/>
              </w:rPr>
              <w:t>4</w:t>
            </w:r>
          </w:p>
        </w:tc>
        <w:tc>
          <w:tcPr>
            <w:tcW w:w="910" w:type="dxa"/>
            <w:shd w:val="clear" w:color="auto" w:fill="D9D9D9" w:themeFill="background1" w:themeFillShade="D9"/>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NR (mixed)</w:t>
            </w:r>
          </w:p>
        </w:tc>
        <w:tc>
          <w:tcPr>
            <w:tcW w:w="1106" w:type="dxa"/>
            <w:shd w:val="clear" w:color="auto" w:fill="D9D9D9" w:themeFill="background1" w:themeFillShade="D9"/>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0%</w:t>
            </w:r>
          </w:p>
        </w:tc>
        <w:tc>
          <w:tcPr>
            <w:tcW w:w="987" w:type="dxa"/>
            <w:shd w:val="clear" w:color="auto" w:fill="D9D9D9" w:themeFill="background1" w:themeFillShade="D9"/>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SOF/VEL</w:t>
            </w:r>
          </w:p>
        </w:tc>
        <w:tc>
          <w:tcPr>
            <w:tcW w:w="762" w:type="dxa"/>
            <w:shd w:val="clear" w:color="auto" w:fill="D9D9D9" w:themeFill="background1" w:themeFillShade="D9"/>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12</w:t>
            </w:r>
          </w:p>
        </w:tc>
        <w:tc>
          <w:tcPr>
            <w:tcW w:w="656" w:type="dxa"/>
            <w:shd w:val="clear" w:color="auto" w:fill="D9D9D9" w:themeFill="background1" w:themeFillShade="D9"/>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64/64</w:t>
            </w:r>
          </w:p>
        </w:tc>
        <w:tc>
          <w:tcPr>
            <w:tcW w:w="1435" w:type="dxa"/>
            <w:shd w:val="clear" w:color="auto" w:fill="D9D9D9" w:themeFill="background1" w:themeFillShade="D9"/>
            <w:vAlign w:val="center"/>
          </w:tcPr>
          <w:p w:rsidR="00FE542A" w:rsidRPr="005519BC" w:rsidRDefault="00FE542A" w:rsidP="0094297E">
            <w:pPr>
              <w:jc w:val="center"/>
              <w:rPr>
                <w:rFonts w:ascii="Arial Narrow" w:hAnsi="Arial Narrow"/>
                <w:sz w:val="20"/>
              </w:rPr>
            </w:pPr>
            <w:r w:rsidRPr="005519BC">
              <w:rPr>
                <w:rFonts w:ascii="Arial Narrow" w:hAnsi="Arial Narrow"/>
                <w:iCs/>
                <w:sz w:val="20"/>
              </w:rPr>
              <w:t>100 (</w:t>
            </w:r>
            <w:r w:rsidRPr="005519BC">
              <w:rPr>
                <w:rFonts w:ascii="Arial Narrow" w:hAnsi="Arial Narrow"/>
                <w:sz w:val="20"/>
              </w:rPr>
              <w:t>94.4, 100)</w:t>
            </w:r>
          </w:p>
        </w:tc>
      </w:tr>
      <w:tr w:rsidR="00FE542A" w:rsidRPr="00802DBC" w:rsidTr="00460056">
        <w:tc>
          <w:tcPr>
            <w:tcW w:w="1276" w:type="dxa"/>
            <w:vMerge/>
            <w:shd w:val="clear" w:color="auto" w:fill="D9D9D9" w:themeFill="background1" w:themeFillShade="D9"/>
            <w:vAlign w:val="center"/>
          </w:tcPr>
          <w:p w:rsidR="00FE542A" w:rsidRPr="005519BC" w:rsidRDefault="00FE542A" w:rsidP="0094297E">
            <w:pPr>
              <w:jc w:val="left"/>
              <w:rPr>
                <w:rFonts w:ascii="Arial Narrow" w:hAnsi="Arial Narrow"/>
                <w:iCs/>
                <w:sz w:val="20"/>
              </w:rPr>
            </w:pPr>
          </w:p>
        </w:tc>
        <w:tc>
          <w:tcPr>
            <w:tcW w:w="709" w:type="dxa"/>
            <w:vMerge/>
            <w:shd w:val="clear" w:color="auto" w:fill="D9D9D9" w:themeFill="background1" w:themeFillShade="D9"/>
          </w:tcPr>
          <w:p w:rsidR="00FE542A" w:rsidRPr="005519BC" w:rsidRDefault="00FE542A" w:rsidP="0094297E">
            <w:pPr>
              <w:jc w:val="center"/>
              <w:rPr>
                <w:rFonts w:ascii="Arial Narrow" w:hAnsi="Arial Narrow"/>
                <w:iCs/>
                <w:sz w:val="20"/>
              </w:rPr>
            </w:pPr>
          </w:p>
        </w:tc>
        <w:tc>
          <w:tcPr>
            <w:tcW w:w="540" w:type="dxa"/>
            <w:shd w:val="clear" w:color="auto" w:fill="D9D9D9" w:themeFill="background1" w:themeFillShade="D9"/>
          </w:tcPr>
          <w:p w:rsidR="00FE542A" w:rsidRPr="005519BC" w:rsidRDefault="00FE542A" w:rsidP="0094297E">
            <w:pPr>
              <w:jc w:val="center"/>
              <w:rPr>
                <w:rFonts w:ascii="Arial Narrow" w:hAnsi="Arial Narrow"/>
                <w:iCs/>
                <w:sz w:val="20"/>
              </w:rPr>
            </w:pPr>
            <w:r w:rsidRPr="005519BC">
              <w:rPr>
                <w:rFonts w:ascii="Arial Narrow" w:hAnsi="Arial Narrow"/>
                <w:iCs/>
                <w:sz w:val="20"/>
              </w:rPr>
              <w:t>5</w:t>
            </w:r>
          </w:p>
        </w:tc>
        <w:tc>
          <w:tcPr>
            <w:tcW w:w="910" w:type="dxa"/>
            <w:shd w:val="clear" w:color="auto" w:fill="D9D9D9" w:themeFill="background1" w:themeFillShade="D9"/>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NR (mixed)</w:t>
            </w:r>
          </w:p>
        </w:tc>
        <w:tc>
          <w:tcPr>
            <w:tcW w:w="1106" w:type="dxa"/>
            <w:shd w:val="clear" w:color="auto" w:fill="D9D9D9" w:themeFill="background1" w:themeFillShade="D9"/>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0%</w:t>
            </w:r>
          </w:p>
        </w:tc>
        <w:tc>
          <w:tcPr>
            <w:tcW w:w="987" w:type="dxa"/>
            <w:shd w:val="clear" w:color="auto" w:fill="D9D9D9" w:themeFill="background1" w:themeFillShade="D9"/>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SOF/VEL</w:t>
            </w:r>
          </w:p>
        </w:tc>
        <w:tc>
          <w:tcPr>
            <w:tcW w:w="762" w:type="dxa"/>
            <w:shd w:val="clear" w:color="auto" w:fill="D9D9D9" w:themeFill="background1" w:themeFillShade="D9"/>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12</w:t>
            </w:r>
          </w:p>
        </w:tc>
        <w:tc>
          <w:tcPr>
            <w:tcW w:w="656" w:type="dxa"/>
            <w:shd w:val="clear" w:color="auto" w:fill="D9D9D9" w:themeFill="background1" w:themeFillShade="D9"/>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23/24</w:t>
            </w:r>
          </w:p>
        </w:tc>
        <w:tc>
          <w:tcPr>
            <w:tcW w:w="1435" w:type="dxa"/>
            <w:shd w:val="clear" w:color="auto" w:fill="D9D9D9" w:themeFill="background1" w:themeFillShade="D9"/>
            <w:vAlign w:val="center"/>
          </w:tcPr>
          <w:p w:rsidR="00FE542A" w:rsidRPr="005519BC" w:rsidRDefault="00FE542A" w:rsidP="0094297E">
            <w:pPr>
              <w:jc w:val="center"/>
              <w:rPr>
                <w:rFonts w:ascii="Arial Narrow" w:hAnsi="Arial Narrow"/>
                <w:sz w:val="20"/>
              </w:rPr>
            </w:pPr>
            <w:r w:rsidRPr="005519BC">
              <w:rPr>
                <w:rFonts w:ascii="Arial Narrow" w:hAnsi="Arial Narrow"/>
                <w:iCs/>
                <w:sz w:val="20"/>
              </w:rPr>
              <w:t>95.8 (</w:t>
            </w:r>
            <w:r w:rsidRPr="005519BC">
              <w:rPr>
                <w:rFonts w:ascii="Arial Narrow" w:hAnsi="Arial Narrow"/>
                <w:sz w:val="20"/>
              </w:rPr>
              <w:t>78.9, 99.9)</w:t>
            </w:r>
          </w:p>
        </w:tc>
      </w:tr>
      <w:tr w:rsidR="00FE542A" w:rsidRPr="00802DBC" w:rsidTr="00460056">
        <w:tc>
          <w:tcPr>
            <w:tcW w:w="1276" w:type="dxa"/>
            <w:vMerge/>
            <w:shd w:val="clear" w:color="auto" w:fill="D9D9D9" w:themeFill="background1" w:themeFillShade="D9"/>
            <w:vAlign w:val="center"/>
          </w:tcPr>
          <w:p w:rsidR="00FE542A" w:rsidRPr="005519BC" w:rsidRDefault="00FE542A" w:rsidP="0094297E">
            <w:pPr>
              <w:jc w:val="left"/>
              <w:rPr>
                <w:rFonts w:ascii="Arial Narrow" w:hAnsi="Arial Narrow"/>
                <w:iCs/>
                <w:sz w:val="20"/>
              </w:rPr>
            </w:pPr>
          </w:p>
        </w:tc>
        <w:tc>
          <w:tcPr>
            <w:tcW w:w="709" w:type="dxa"/>
            <w:vMerge/>
            <w:shd w:val="clear" w:color="auto" w:fill="D9D9D9" w:themeFill="background1" w:themeFillShade="D9"/>
          </w:tcPr>
          <w:p w:rsidR="00FE542A" w:rsidRPr="005519BC" w:rsidRDefault="00FE542A" w:rsidP="0094297E">
            <w:pPr>
              <w:jc w:val="center"/>
              <w:rPr>
                <w:rFonts w:ascii="Arial Narrow" w:hAnsi="Arial Narrow"/>
                <w:iCs/>
                <w:sz w:val="20"/>
              </w:rPr>
            </w:pPr>
          </w:p>
        </w:tc>
        <w:tc>
          <w:tcPr>
            <w:tcW w:w="540" w:type="dxa"/>
            <w:shd w:val="clear" w:color="auto" w:fill="D9D9D9" w:themeFill="background1" w:themeFillShade="D9"/>
          </w:tcPr>
          <w:p w:rsidR="00FE542A" w:rsidRPr="005519BC" w:rsidRDefault="00FE542A" w:rsidP="0094297E">
            <w:pPr>
              <w:jc w:val="center"/>
              <w:rPr>
                <w:rFonts w:ascii="Arial Narrow" w:hAnsi="Arial Narrow"/>
                <w:iCs/>
                <w:sz w:val="20"/>
              </w:rPr>
            </w:pPr>
            <w:r w:rsidRPr="005519BC">
              <w:rPr>
                <w:rFonts w:ascii="Arial Narrow" w:hAnsi="Arial Narrow"/>
                <w:iCs/>
                <w:sz w:val="20"/>
              </w:rPr>
              <w:t>6</w:t>
            </w:r>
          </w:p>
        </w:tc>
        <w:tc>
          <w:tcPr>
            <w:tcW w:w="910" w:type="dxa"/>
            <w:shd w:val="clear" w:color="auto" w:fill="D9D9D9" w:themeFill="background1" w:themeFillShade="D9"/>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NR (mixed)</w:t>
            </w:r>
          </w:p>
        </w:tc>
        <w:tc>
          <w:tcPr>
            <w:tcW w:w="1106" w:type="dxa"/>
            <w:shd w:val="clear" w:color="auto" w:fill="D9D9D9" w:themeFill="background1" w:themeFillShade="D9"/>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0%</w:t>
            </w:r>
          </w:p>
        </w:tc>
        <w:tc>
          <w:tcPr>
            <w:tcW w:w="987" w:type="dxa"/>
            <w:shd w:val="clear" w:color="auto" w:fill="D9D9D9" w:themeFill="background1" w:themeFillShade="D9"/>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SOF/VEL</w:t>
            </w:r>
          </w:p>
        </w:tc>
        <w:tc>
          <w:tcPr>
            <w:tcW w:w="762" w:type="dxa"/>
            <w:shd w:val="clear" w:color="auto" w:fill="D9D9D9" w:themeFill="background1" w:themeFillShade="D9"/>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12</w:t>
            </w:r>
          </w:p>
        </w:tc>
        <w:tc>
          <w:tcPr>
            <w:tcW w:w="656" w:type="dxa"/>
            <w:shd w:val="clear" w:color="auto" w:fill="D9D9D9" w:themeFill="background1" w:themeFillShade="D9"/>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38/38</w:t>
            </w:r>
          </w:p>
        </w:tc>
        <w:tc>
          <w:tcPr>
            <w:tcW w:w="1435" w:type="dxa"/>
            <w:shd w:val="clear" w:color="auto" w:fill="D9D9D9" w:themeFill="background1" w:themeFillShade="D9"/>
            <w:vAlign w:val="center"/>
          </w:tcPr>
          <w:p w:rsidR="00FE542A" w:rsidRPr="005519BC" w:rsidRDefault="00FE542A" w:rsidP="0094297E">
            <w:pPr>
              <w:jc w:val="center"/>
              <w:rPr>
                <w:rFonts w:ascii="Arial Narrow" w:hAnsi="Arial Narrow"/>
                <w:sz w:val="20"/>
              </w:rPr>
            </w:pPr>
            <w:r w:rsidRPr="005519BC">
              <w:rPr>
                <w:rFonts w:ascii="Arial Narrow" w:hAnsi="Arial Narrow"/>
                <w:iCs/>
                <w:sz w:val="20"/>
              </w:rPr>
              <w:t>100 (</w:t>
            </w:r>
            <w:r w:rsidRPr="005519BC">
              <w:rPr>
                <w:rFonts w:ascii="Arial Narrow" w:hAnsi="Arial Narrow"/>
                <w:sz w:val="20"/>
              </w:rPr>
              <w:t>90.7. 100)</w:t>
            </w:r>
          </w:p>
        </w:tc>
      </w:tr>
      <w:tr w:rsidR="00FE542A" w:rsidRPr="00802DBC" w:rsidTr="00460056">
        <w:tc>
          <w:tcPr>
            <w:tcW w:w="1276" w:type="dxa"/>
            <w:shd w:val="clear" w:color="auto" w:fill="D9D9D9" w:themeFill="background1" w:themeFillShade="D9"/>
            <w:vAlign w:val="center"/>
          </w:tcPr>
          <w:p w:rsidR="00FE542A" w:rsidRPr="008C7292" w:rsidRDefault="00FE542A" w:rsidP="0094297E">
            <w:pPr>
              <w:jc w:val="left"/>
              <w:rPr>
                <w:rFonts w:ascii="Arial Narrow" w:hAnsi="Arial Narrow"/>
                <w:iCs/>
                <w:sz w:val="20"/>
              </w:rPr>
            </w:pPr>
            <w:r w:rsidRPr="008C7292">
              <w:rPr>
                <w:rFonts w:ascii="Arial Narrow" w:hAnsi="Arial Narrow"/>
                <w:iCs/>
                <w:sz w:val="20"/>
              </w:rPr>
              <w:t>Everson (2015)</w:t>
            </w:r>
            <w:r w:rsidR="005A379F" w:rsidRPr="008C7292">
              <w:rPr>
                <w:rFonts w:ascii="Arial Narrow" w:hAnsi="Arial Narrow"/>
                <w:sz w:val="18"/>
                <w:szCs w:val="18"/>
                <w:vertAlign w:val="superscript"/>
              </w:rPr>
              <w:t xml:space="preserve"> b</w:t>
            </w:r>
          </w:p>
        </w:tc>
        <w:tc>
          <w:tcPr>
            <w:tcW w:w="709" w:type="dxa"/>
            <w:shd w:val="clear" w:color="auto" w:fill="D9D9D9" w:themeFill="background1" w:themeFillShade="D9"/>
          </w:tcPr>
          <w:p w:rsidR="00FE542A" w:rsidRPr="005519BC" w:rsidRDefault="00FE542A" w:rsidP="0094297E">
            <w:pPr>
              <w:jc w:val="center"/>
              <w:rPr>
                <w:rFonts w:ascii="Arial Narrow" w:hAnsi="Arial Narrow"/>
                <w:iCs/>
                <w:sz w:val="20"/>
              </w:rPr>
            </w:pPr>
            <w:r w:rsidRPr="005519BC">
              <w:rPr>
                <w:rFonts w:ascii="Arial Narrow" w:hAnsi="Arial Narrow"/>
                <w:iCs/>
                <w:sz w:val="20"/>
              </w:rPr>
              <w:t>Phase II</w:t>
            </w:r>
          </w:p>
        </w:tc>
        <w:tc>
          <w:tcPr>
            <w:tcW w:w="540" w:type="dxa"/>
            <w:shd w:val="clear" w:color="auto" w:fill="D9D9D9" w:themeFill="background1" w:themeFillShade="D9"/>
          </w:tcPr>
          <w:p w:rsidR="00FE542A" w:rsidRPr="005519BC" w:rsidRDefault="00FE542A" w:rsidP="0094297E">
            <w:pPr>
              <w:jc w:val="center"/>
              <w:rPr>
                <w:rFonts w:ascii="Arial Narrow" w:hAnsi="Arial Narrow"/>
                <w:iCs/>
                <w:sz w:val="20"/>
              </w:rPr>
            </w:pPr>
            <w:r w:rsidRPr="005519BC">
              <w:rPr>
                <w:rFonts w:ascii="Arial Narrow" w:hAnsi="Arial Narrow"/>
                <w:iCs/>
                <w:sz w:val="20"/>
              </w:rPr>
              <w:t>4-6</w:t>
            </w:r>
          </w:p>
        </w:tc>
        <w:tc>
          <w:tcPr>
            <w:tcW w:w="910" w:type="dxa"/>
            <w:shd w:val="clear" w:color="auto" w:fill="D9D9D9" w:themeFill="background1" w:themeFillShade="D9"/>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0%</w:t>
            </w:r>
          </w:p>
        </w:tc>
        <w:tc>
          <w:tcPr>
            <w:tcW w:w="1106" w:type="dxa"/>
            <w:shd w:val="clear" w:color="auto" w:fill="D9D9D9" w:themeFill="background1" w:themeFillShade="D9"/>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0%</w:t>
            </w:r>
          </w:p>
        </w:tc>
        <w:tc>
          <w:tcPr>
            <w:tcW w:w="987" w:type="dxa"/>
            <w:shd w:val="clear" w:color="auto" w:fill="D9D9D9" w:themeFill="background1" w:themeFillShade="D9"/>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SOF/VEL</w:t>
            </w:r>
          </w:p>
        </w:tc>
        <w:tc>
          <w:tcPr>
            <w:tcW w:w="762" w:type="dxa"/>
            <w:shd w:val="clear" w:color="auto" w:fill="D9D9D9" w:themeFill="background1" w:themeFillShade="D9"/>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12</w:t>
            </w:r>
          </w:p>
        </w:tc>
        <w:tc>
          <w:tcPr>
            <w:tcW w:w="656" w:type="dxa"/>
            <w:shd w:val="clear" w:color="auto" w:fill="D9D9D9" w:themeFill="background1" w:themeFillShade="D9"/>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21/22</w:t>
            </w:r>
          </w:p>
        </w:tc>
        <w:tc>
          <w:tcPr>
            <w:tcW w:w="1435" w:type="dxa"/>
            <w:shd w:val="clear" w:color="auto" w:fill="D9D9D9" w:themeFill="background1" w:themeFillShade="D9"/>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95.5 (77.2, 99.9)</w:t>
            </w:r>
          </w:p>
        </w:tc>
      </w:tr>
      <w:tr w:rsidR="00FE542A" w:rsidRPr="00802DBC" w:rsidTr="00460056">
        <w:tc>
          <w:tcPr>
            <w:tcW w:w="1276" w:type="dxa"/>
            <w:shd w:val="clear" w:color="auto" w:fill="auto"/>
            <w:vAlign w:val="center"/>
          </w:tcPr>
          <w:p w:rsidR="00FE542A" w:rsidRPr="008C7292" w:rsidRDefault="00FE542A" w:rsidP="000325C4">
            <w:pPr>
              <w:jc w:val="left"/>
              <w:rPr>
                <w:rFonts w:ascii="Arial Narrow" w:hAnsi="Arial Narrow"/>
                <w:sz w:val="20"/>
              </w:rPr>
            </w:pPr>
            <w:r w:rsidRPr="008C7292">
              <w:rPr>
                <w:rFonts w:ascii="Arial Narrow" w:hAnsi="Arial Narrow"/>
                <w:sz w:val="20"/>
              </w:rPr>
              <w:t>NEUTRINO</w:t>
            </w:r>
            <w:r w:rsidRPr="008C7292">
              <w:rPr>
                <w:rFonts w:ascii="Arial Narrow" w:hAnsi="Arial Narrow"/>
                <w:sz w:val="20"/>
                <w:vertAlign w:val="superscript"/>
              </w:rPr>
              <w:t>a</w:t>
            </w:r>
            <w:r w:rsidR="000325C4" w:rsidRPr="008C7292">
              <w:rPr>
                <w:rFonts w:ascii="Arial Narrow" w:hAnsi="Arial Narrow"/>
                <w:sz w:val="20"/>
                <w:vertAlign w:val="superscript"/>
              </w:rPr>
              <w:t>,</w:t>
            </w:r>
            <w:r w:rsidR="005519BC" w:rsidRPr="008C7292">
              <w:rPr>
                <w:rFonts w:ascii="Arial Narrow" w:hAnsi="Arial Narrow"/>
                <w:sz w:val="18"/>
                <w:szCs w:val="18"/>
                <w:vertAlign w:val="superscript"/>
              </w:rPr>
              <w:t>b</w:t>
            </w:r>
          </w:p>
        </w:tc>
        <w:tc>
          <w:tcPr>
            <w:tcW w:w="709" w:type="dxa"/>
            <w:shd w:val="clear" w:color="auto" w:fill="auto"/>
            <w:vAlign w:val="center"/>
          </w:tcPr>
          <w:p w:rsidR="00FE542A" w:rsidRPr="005519BC" w:rsidRDefault="00FE542A" w:rsidP="0094297E">
            <w:pPr>
              <w:jc w:val="center"/>
              <w:rPr>
                <w:rFonts w:ascii="Arial Narrow" w:hAnsi="Arial Narrow"/>
                <w:sz w:val="20"/>
              </w:rPr>
            </w:pPr>
            <w:r w:rsidRPr="005519BC">
              <w:rPr>
                <w:rFonts w:ascii="Arial Narrow" w:hAnsi="Arial Narrow"/>
                <w:sz w:val="20"/>
              </w:rPr>
              <w:t>Phase III</w:t>
            </w:r>
          </w:p>
        </w:tc>
        <w:tc>
          <w:tcPr>
            <w:tcW w:w="540" w:type="dxa"/>
            <w:vAlign w:val="center"/>
          </w:tcPr>
          <w:p w:rsidR="00FE542A" w:rsidRPr="005519BC" w:rsidRDefault="00FE542A" w:rsidP="0094297E">
            <w:pPr>
              <w:jc w:val="center"/>
              <w:rPr>
                <w:rFonts w:ascii="Arial Narrow" w:hAnsi="Arial Narrow"/>
                <w:sz w:val="20"/>
              </w:rPr>
            </w:pPr>
            <w:r w:rsidRPr="005519BC">
              <w:rPr>
                <w:rFonts w:ascii="Arial Narrow" w:hAnsi="Arial Narrow"/>
                <w:sz w:val="20"/>
              </w:rPr>
              <w:t>4-6</w:t>
            </w:r>
          </w:p>
        </w:tc>
        <w:tc>
          <w:tcPr>
            <w:tcW w:w="910" w:type="dxa"/>
            <w:shd w:val="clear" w:color="auto" w:fill="auto"/>
            <w:vAlign w:val="center"/>
          </w:tcPr>
          <w:p w:rsidR="00FE542A" w:rsidRPr="005519BC" w:rsidRDefault="00FE542A" w:rsidP="0094297E">
            <w:pPr>
              <w:jc w:val="center"/>
              <w:rPr>
                <w:rFonts w:ascii="Arial Narrow" w:hAnsi="Arial Narrow"/>
                <w:sz w:val="20"/>
              </w:rPr>
            </w:pPr>
            <w:r w:rsidRPr="005519BC">
              <w:rPr>
                <w:rFonts w:ascii="Arial Narrow" w:hAnsi="Arial Narrow"/>
                <w:sz w:val="20"/>
              </w:rPr>
              <w:t>6%</w:t>
            </w:r>
          </w:p>
        </w:tc>
        <w:tc>
          <w:tcPr>
            <w:tcW w:w="1106" w:type="dxa"/>
            <w:shd w:val="clear" w:color="auto" w:fill="auto"/>
            <w:vAlign w:val="center"/>
          </w:tcPr>
          <w:p w:rsidR="00FE542A" w:rsidRPr="005519BC" w:rsidRDefault="00FE542A" w:rsidP="0094297E">
            <w:pPr>
              <w:jc w:val="center"/>
              <w:rPr>
                <w:rFonts w:ascii="Arial Narrow" w:hAnsi="Arial Narrow"/>
                <w:sz w:val="20"/>
              </w:rPr>
            </w:pPr>
            <w:r w:rsidRPr="005519BC">
              <w:rPr>
                <w:rFonts w:ascii="Arial Narrow" w:hAnsi="Arial Narrow"/>
                <w:sz w:val="20"/>
              </w:rPr>
              <w:t>0%</w:t>
            </w:r>
          </w:p>
        </w:tc>
        <w:tc>
          <w:tcPr>
            <w:tcW w:w="987" w:type="dxa"/>
            <w:shd w:val="clear" w:color="auto" w:fill="auto"/>
            <w:vAlign w:val="center"/>
          </w:tcPr>
          <w:p w:rsidR="00FE542A" w:rsidRPr="005519BC" w:rsidRDefault="00FE542A" w:rsidP="0094297E">
            <w:pPr>
              <w:jc w:val="center"/>
              <w:rPr>
                <w:rFonts w:ascii="Arial Narrow" w:hAnsi="Arial Narrow"/>
                <w:sz w:val="20"/>
              </w:rPr>
            </w:pPr>
            <w:r w:rsidRPr="005519BC">
              <w:rPr>
                <w:rFonts w:ascii="Arial Narrow" w:hAnsi="Arial Narrow"/>
                <w:sz w:val="20"/>
              </w:rPr>
              <w:t>SOF+PR</w:t>
            </w:r>
          </w:p>
        </w:tc>
        <w:tc>
          <w:tcPr>
            <w:tcW w:w="762" w:type="dxa"/>
            <w:shd w:val="clear" w:color="auto" w:fill="auto"/>
            <w:vAlign w:val="center"/>
          </w:tcPr>
          <w:p w:rsidR="00FE542A" w:rsidRPr="005519BC" w:rsidRDefault="00FE542A" w:rsidP="0094297E">
            <w:pPr>
              <w:jc w:val="center"/>
              <w:rPr>
                <w:rFonts w:ascii="Arial Narrow" w:hAnsi="Arial Narrow"/>
                <w:sz w:val="20"/>
              </w:rPr>
            </w:pPr>
            <w:r w:rsidRPr="005519BC">
              <w:rPr>
                <w:rFonts w:ascii="Arial Narrow" w:hAnsi="Arial Narrow"/>
                <w:sz w:val="20"/>
              </w:rPr>
              <w:t>12</w:t>
            </w:r>
          </w:p>
        </w:tc>
        <w:tc>
          <w:tcPr>
            <w:tcW w:w="656" w:type="dxa"/>
            <w:shd w:val="clear" w:color="auto" w:fill="auto"/>
            <w:vAlign w:val="center"/>
          </w:tcPr>
          <w:p w:rsidR="00FE542A" w:rsidRPr="005519BC" w:rsidRDefault="00FE542A" w:rsidP="0094297E">
            <w:pPr>
              <w:jc w:val="center"/>
              <w:rPr>
                <w:rFonts w:ascii="Arial Narrow" w:hAnsi="Arial Narrow"/>
                <w:sz w:val="20"/>
              </w:rPr>
            </w:pPr>
            <w:r w:rsidRPr="005519BC">
              <w:rPr>
                <w:rFonts w:ascii="Arial Narrow" w:hAnsi="Arial Narrow"/>
                <w:sz w:val="20"/>
              </w:rPr>
              <w:t xml:space="preserve">34/35 </w:t>
            </w:r>
          </w:p>
        </w:tc>
        <w:tc>
          <w:tcPr>
            <w:tcW w:w="1435" w:type="dxa"/>
            <w:shd w:val="clear" w:color="auto" w:fill="auto"/>
            <w:vAlign w:val="center"/>
          </w:tcPr>
          <w:p w:rsidR="00FE542A" w:rsidRPr="005519BC" w:rsidRDefault="00FE542A" w:rsidP="0094297E">
            <w:pPr>
              <w:jc w:val="center"/>
              <w:rPr>
                <w:rFonts w:ascii="Arial Narrow" w:hAnsi="Arial Narrow"/>
                <w:sz w:val="20"/>
              </w:rPr>
            </w:pPr>
            <w:r w:rsidRPr="005519BC">
              <w:rPr>
                <w:rFonts w:ascii="Arial Narrow" w:hAnsi="Arial Narrow"/>
                <w:sz w:val="20"/>
              </w:rPr>
              <w:t>97.1 (85.1, 99.9)</w:t>
            </w:r>
          </w:p>
        </w:tc>
      </w:tr>
      <w:tr w:rsidR="00FE542A" w:rsidRPr="00802DBC" w:rsidTr="00460056">
        <w:tc>
          <w:tcPr>
            <w:tcW w:w="8381" w:type="dxa"/>
            <w:gridSpan w:val="9"/>
            <w:shd w:val="clear" w:color="auto" w:fill="auto"/>
            <w:vAlign w:val="center"/>
          </w:tcPr>
          <w:p w:rsidR="00FE542A" w:rsidRPr="005519BC" w:rsidRDefault="00FE542A" w:rsidP="00927BE4">
            <w:pPr>
              <w:jc w:val="left"/>
              <w:rPr>
                <w:rFonts w:ascii="Arial Narrow" w:hAnsi="Arial Narrow"/>
                <w:iCs/>
                <w:sz w:val="20"/>
              </w:rPr>
            </w:pPr>
            <w:r w:rsidRPr="005519BC">
              <w:rPr>
                <w:rFonts w:ascii="Arial Narrow" w:hAnsi="Arial Narrow"/>
                <w:b/>
                <w:iCs/>
                <w:sz w:val="20"/>
              </w:rPr>
              <w:t>Treatment</w:t>
            </w:r>
            <w:r w:rsidR="00927BE4">
              <w:rPr>
                <w:rFonts w:ascii="Arial Narrow" w:hAnsi="Arial Narrow"/>
                <w:b/>
                <w:iCs/>
                <w:sz w:val="20"/>
              </w:rPr>
              <w:t xml:space="preserve"> </w:t>
            </w:r>
            <w:r w:rsidRPr="005519BC">
              <w:rPr>
                <w:rFonts w:ascii="Arial Narrow" w:hAnsi="Arial Narrow"/>
                <w:b/>
                <w:iCs/>
                <w:sz w:val="20"/>
              </w:rPr>
              <w:t>experienced</w:t>
            </w:r>
          </w:p>
        </w:tc>
      </w:tr>
      <w:tr w:rsidR="00FE542A" w:rsidRPr="00802DBC" w:rsidTr="00460056">
        <w:tc>
          <w:tcPr>
            <w:tcW w:w="1276" w:type="dxa"/>
            <w:vMerge w:val="restart"/>
            <w:shd w:val="clear" w:color="auto" w:fill="D9D9D9" w:themeFill="background1" w:themeFillShade="D9"/>
            <w:vAlign w:val="center"/>
          </w:tcPr>
          <w:p w:rsidR="00FE542A" w:rsidRPr="005519BC" w:rsidRDefault="00FE542A" w:rsidP="0094297E">
            <w:pPr>
              <w:jc w:val="left"/>
              <w:rPr>
                <w:rFonts w:ascii="Arial Narrow" w:hAnsi="Arial Narrow"/>
                <w:iCs/>
                <w:sz w:val="20"/>
              </w:rPr>
            </w:pPr>
            <w:r w:rsidRPr="005519BC">
              <w:rPr>
                <w:rFonts w:ascii="Arial Narrow" w:hAnsi="Arial Narrow"/>
                <w:iCs/>
                <w:sz w:val="20"/>
              </w:rPr>
              <w:t>ASTRAL-1</w:t>
            </w:r>
          </w:p>
        </w:tc>
        <w:tc>
          <w:tcPr>
            <w:tcW w:w="709" w:type="dxa"/>
            <w:vMerge w:val="restart"/>
            <w:shd w:val="clear" w:color="auto" w:fill="D9D9D9" w:themeFill="background1" w:themeFillShade="D9"/>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Phase III</w:t>
            </w:r>
          </w:p>
        </w:tc>
        <w:tc>
          <w:tcPr>
            <w:tcW w:w="540" w:type="dxa"/>
            <w:shd w:val="clear" w:color="auto" w:fill="D9D9D9" w:themeFill="background1" w:themeFillShade="D9"/>
          </w:tcPr>
          <w:p w:rsidR="00FE542A" w:rsidRPr="005519BC" w:rsidRDefault="00FE542A" w:rsidP="0094297E">
            <w:pPr>
              <w:jc w:val="center"/>
              <w:rPr>
                <w:rFonts w:ascii="Arial Narrow" w:hAnsi="Arial Narrow"/>
                <w:iCs/>
                <w:sz w:val="20"/>
              </w:rPr>
            </w:pPr>
            <w:r w:rsidRPr="005519BC">
              <w:rPr>
                <w:rFonts w:ascii="Arial Narrow" w:hAnsi="Arial Narrow"/>
                <w:iCs/>
                <w:sz w:val="20"/>
              </w:rPr>
              <w:t>4</w:t>
            </w:r>
          </w:p>
        </w:tc>
        <w:tc>
          <w:tcPr>
            <w:tcW w:w="910" w:type="dxa"/>
            <w:shd w:val="clear" w:color="auto" w:fill="D9D9D9" w:themeFill="background1" w:themeFillShade="D9"/>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NR (mixed)</w:t>
            </w:r>
          </w:p>
        </w:tc>
        <w:tc>
          <w:tcPr>
            <w:tcW w:w="1106" w:type="dxa"/>
            <w:shd w:val="clear" w:color="auto" w:fill="D9D9D9" w:themeFill="background1" w:themeFillShade="D9"/>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100%</w:t>
            </w:r>
          </w:p>
        </w:tc>
        <w:tc>
          <w:tcPr>
            <w:tcW w:w="987" w:type="dxa"/>
            <w:shd w:val="clear" w:color="auto" w:fill="D9D9D9" w:themeFill="background1" w:themeFillShade="D9"/>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SOF/VEL</w:t>
            </w:r>
          </w:p>
        </w:tc>
        <w:tc>
          <w:tcPr>
            <w:tcW w:w="762" w:type="dxa"/>
            <w:shd w:val="clear" w:color="auto" w:fill="D9D9D9" w:themeFill="background1" w:themeFillShade="D9"/>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12</w:t>
            </w:r>
          </w:p>
        </w:tc>
        <w:tc>
          <w:tcPr>
            <w:tcW w:w="656" w:type="dxa"/>
            <w:shd w:val="clear" w:color="auto" w:fill="D9D9D9" w:themeFill="background1" w:themeFillShade="D9"/>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52/52</w:t>
            </w:r>
          </w:p>
        </w:tc>
        <w:tc>
          <w:tcPr>
            <w:tcW w:w="1435" w:type="dxa"/>
            <w:shd w:val="clear" w:color="auto" w:fill="D9D9D9" w:themeFill="background1" w:themeFillShade="D9"/>
            <w:vAlign w:val="center"/>
          </w:tcPr>
          <w:p w:rsidR="00FE542A" w:rsidRPr="005519BC" w:rsidRDefault="00FE542A" w:rsidP="0094297E">
            <w:pPr>
              <w:jc w:val="center"/>
              <w:rPr>
                <w:rFonts w:ascii="Arial Narrow" w:hAnsi="Arial Narrow"/>
                <w:sz w:val="20"/>
              </w:rPr>
            </w:pPr>
            <w:r w:rsidRPr="005519BC">
              <w:rPr>
                <w:rFonts w:ascii="Arial Narrow" w:hAnsi="Arial Narrow"/>
                <w:iCs/>
                <w:sz w:val="20"/>
              </w:rPr>
              <w:t>100 (</w:t>
            </w:r>
            <w:r w:rsidRPr="005519BC">
              <w:rPr>
                <w:rFonts w:ascii="Arial Narrow" w:hAnsi="Arial Narrow"/>
                <w:sz w:val="20"/>
              </w:rPr>
              <w:t>93.2, 100)</w:t>
            </w:r>
          </w:p>
        </w:tc>
      </w:tr>
      <w:tr w:rsidR="00FE542A" w:rsidRPr="00802DBC" w:rsidTr="00460056">
        <w:tc>
          <w:tcPr>
            <w:tcW w:w="1276" w:type="dxa"/>
            <w:vMerge/>
            <w:shd w:val="clear" w:color="auto" w:fill="D9D9D9" w:themeFill="background1" w:themeFillShade="D9"/>
            <w:vAlign w:val="center"/>
          </w:tcPr>
          <w:p w:rsidR="00FE542A" w:rsidRPr="005519BC" w:rsidRDefault="00FE542A" w:rsidP="0094297E">
            <w:pPr>
              <w:jc w:val="left"/>
              <w:rPr>
                <w:rFonts w:ascii="Arial Narrow" w:hAnsi="Arial Narrow"/>
                <w:iCs/>
                <w:sz w:val="20"/>
              </w:rPr>
            </w:pPr>
          </w:p>
        </w:tc>
        <w:tc>
          <w:tcPr>
            <w:tcW w:w="709" w:type="dxa"/>
            <w:vMerge/>
            <w:shd w:val="clear" w:color="auto" w:fill="D9D9D9" w:themeFill="background1" w:themeFillShade="D9"/>
          </w:tcPr>
          <w:p w:rsidR="00FE542A" w:rsidRPr="005519BC" w:rsidRDefault="00FE542A" w:rsidP="0094297E">
            <w:pPr>
              <w:jc w:val="center"/>
              <w:rPr>
                <w:rFonts w:ascii="Arial Narrow" w:hAnsi="Arial Narrow"/>
                <w:iCs/>
                <w:sz w:val="20"/>
              </w:rPr>
            </w:pPr>
          </w:p>
        </w:tc>
        <w:tc>
          <w:tcPr>
            <w:tcW w:w="540" w:type="dxa"/>
            <w:shd w:val="clear" w:color="auto" w:fill="D9D9D9" w:themeFill="background1" w:themeFillShade="D9"/>
          </w:tcPr>
          <w:p w:rsidR="00FE542A" w:rsidRPr="005519BC" w:rsidRDefault="00FE542A" w:rsidP="0094297E">
            <w:pPr>
              <w:jc w:val="center"/>
              <w:rPr>
                <w:rFonts w:ascii="Arial Narrow" w:hAnsi="Arial Narrow"/>
                <w:iCs/>
                <w:sz w:val="20"/>
              </w:rPr>
            </w:pPr>
            <w:r w:rsidRPr="005519BC">
              <w:rPr>
                <w:rFonts w:ascii="Arial Narrow" w:hAnsi="Arial Narrow"/>
                <w:iCs/>
                <w:sz w:val="20"/>
              </w:rPr>
              <w:t>5</w:t>
            </w:r>
          </w:p>
        </w:tc>
        <w:tc>
          <w:tcPr>
            <w:tcW w:w="910" w:type="dxa"/>
            <w:shd w:val="clear" w:color="auto" w:fill="D9D9D9" w:themeFill="background1" w:themeFillShade="D9"/>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NR (mixed)</w:t>
            </w:r>
          </w:p>
        </w:tc>
        <w:tc>
          <w:tcPr>
            <w:tcW w:w="1106" w:type="dxa"/>
            <w:shd w:val="clear" w:color="auto" w:fill="D9D9D9" w:themeFill="background1" w:themeFillShade="D9"/>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100%</w:t>
            </w:r>
          </w:p>
        </w:tc>
        <w:tc>
          <w:tcPr>
            <w:tcW w:w="987" w:type="dxa"/>
            <w:shd w:val="clear" w:color="auto" w:fill="D9D9D9" w:themeFill="background1" w:themeFillShade="D9"/>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SOF/VEL</w:t>
            </w:r>
          </w:p>
        </w:tc>
        <w:tc>
          <w:tcPr>
            <w:tcW w:w="762" w:type="dxa"/>
            <w:shd w:val="clear" w:color="auto" w:fill="D9D9D9" w:themeFill="background1" w:themeFillShade="D9"/>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12</w:t>
            </w:r>
          </w:p>
        </w:tc>
        <w:tc>
          <w:tcPr>
            <w:tcW w:w="656" w:type="dxa"/>
            <w:shd w:val="clear" w:color="auto" w:fill="D9D9D9" w:themeFill="background1" w:themeFillShade="D9"/>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11/11</w:t>
            </w:r>
          </w:p>
        </w:tc>
        <w:tc>
          <w:tcPr>
            <w:tcW w:w="1435" w:type="dxa"/>
            <w:shd w:val="clear" w:color="auto" w:fill="D9D9D9" w:themeFill="background1" w:themeFillShade="D9"/>
            <w:vAlign w:val="center"/>
          </w:tcPr>
          <w:p w:rsidR="00FE542A" w:rsidRPr="005519BC" w:rsidRDefault="00FE542A" w:rsidP="0094297E">
            <w:pPr>
              <w:jc w:val="center"/>
              <w:rPr>
                <w:rFonts w:ascii="Arial Narrow" w:hAnsi="Arial Narrow"/>
                <w:sz w:val="20"/>
              </w:rPr>
            </w:pPr>
            <w:r w:rsidRPr="005519BC">
              <w:rPr>
                <w:rFonts w:ascii="Arial Narrow" w:hAnsi="Arial Narrow"/>
                <w:iCs/>
                <w:sz w:val="20"/>
              </w:rPr>
              <w:t>100 (</w:t>
            </w:r>
            <w:r w:rsidRPr="005519BC">
              <w:rPr>
                <w:rFonts w:ascii="Arial Narrow" w:hAnsi="Arial Narrow"/>
                <w:sz w:val="20"/>
              </w:rPr>
              <w:t>71.5, 100)</w:t>
            </w:r>
          </w:p>
        </w:tc>
      </w:tr>
      <w:tr w:rsidR="00FE542A" w:rsidRPr="00802DBC" w:rsidTr="00460056">
        <w:tc>
          <w:tcPr>
            <w:tcW w:w="1276" w:type="dxa"/>
            <w:vMerge/>
            <w:shd w:val="clear" w:color="auto" w:fill="D9D9D9" w:themeFill="background1" w:themeFillShade="D9"/>
            <w:vAlign w:val="center"/>
          </w:tcPr>
          <w:p w:rsidR="00FE542A" w:rsidRPr="005519BC" w:rsidRDefault="00FE542A" w:rsidP="0094297E">
            <w:pPr>
              <w:jc w:val="left"/>
              <w:rPr>
                <w:rFonts w:ascii="Arial Narrow" w:hAnsi="Arial Narrow"/>
                <w:iCs/>
                <w:sz w:val="20"/>
              </w:rPr>
            </w:pPr>
          </w:p>
        </w:tc>
        <w:tc>
          <w:tcPr>
            <w:tcW w:w="709" w:type="dxa"/>
            <w:vMerge/>
            <w:shd w:val="clear" w:color="auto" w:fill="D9D9D9" w:themeFill="background1" w:themeFillShade="D9"/>
          </w:tcPr>
          <w:p w:rsidR="00FE542A" w:rsidRPr="005519BC" w:rsidRDefault="00FE542A" w:rsidP="0094297E">
            <w:pPr>
              <w:jc w:val="center"/>
              <w:rPr>
                <w:rFonts w:ascii="Arial Narrow" w:hAnsi="Arial Narrow"/>
                <w:iCs/>
                <w:sz w:val="20"/>
              </w:rPr>
            </w:pPr>
          </w:p>
        </w:tc>
        <w:tc>
          <w:tcPr>
            <w:tcW w:w="540" w:type="dxa"/>
            <w:shd w:val="clear" w:color="auto" w:fill="D9D9D9" w:themeFill="background1" w:themeFillShade="D9"/>
          </w:tcPr>
          <w:p w:rsidR="00FE542A" w:rsidRPr="005519BC" w:rsidRDefault="00FE542A" w:rsidP="0094297E">
            <w:pPr>
              <w:jc w:val="center"/>
              <w:rPr>
                <w:rFonts w:ascii="Arial Narrow" w:hAnsi="Arial Narrow"/>
                <w:iCs/>
                <w:sz w:val="20"/>
              </w:rPr>
            </w:pPr>
            <w:r w:rsidRPr="005519BC">
              <w:rPr>
                <w:rFonts w:ascii="Arial Narrow" w:hAnsi="Arial Narrow"/>
                <w:iCs/>
                <w:sz w:val="20"/>
              </w:rPr>
              <w:t>6</w:t>
            </w:r>
          </w:p>
        </w:tc>
        <w:tc>
          <w:tcPr>
            <w:tcW w:w="910" w:type="dxa"/>
            <w:shd w:val="clear" w:color="auto" w:fill="D9D9D9" w:themeFill="background1" w:themeFillShade="D9"/>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NR (mixed)</w:t>
            </w:r>
          </w:p>
        </w:tc>
        <w:tc>
          <w:tcPr>
            <w:tcW w:w="1106" w:type="dxa"/>
            <w:shd w:val="clear" w:color="auto" w:fill="D9D9D9" w:themeFill="background1" w:themeFillShade="D9"/>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100%</w:t>
            </w:r>
          </w:p>
        </w:tc>
        <w:tc>
          <w:tcPr>
            <w:tcW w:w="987" w:type="dxa"/>
            <w:shd w:val="clear" w:color="auto" w:fill="D9D9D9" w:themeFill="background1" w:themeFillShade="D9"/>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SOF/VEL</w:t>
            </w:r>
          </w:p>
        </w:tc>
        <w:tc>
          <w:tcPr>
            <w:tcW w:w="762" w:type="dxa"/>
            <w:shd w:val="clear" w:color="auto" w:fill="D9D9D9" w:themeFill="background1" w:themeFillShade="D9"/>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12</w:t>
            </w:r>
          </w:p>
        </w:tc>
        <w:tc>
          <w:tcPr>
            <w:tcW w:w="656" w:type="dxa"/>
            <w:shd w:val="clear" w:color="auto" w:fill="D9D9D9" w:themeFill="background1" w:themeFillShade="D9"/>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3/3</w:t>
            </w:r>
          </w:p>
        </w:tc>
        <w:tc>
          <w:tcPr>
            <w:tcW w:w="1435" w:type="dxa"/>
            <w:shd w:val="clear" w:color="auto" w:fill="D9D9D9" w:themeFill="background1" w:themeFillShade="D9"/>
            <w:vAlign w:val="center"/>
          </w:tcPr>
          <w:p w:rsidR="00FE542A" w:rsidRPr="005519BC" w:rsidRDefault="00FE542A" w:rsidP="0094297E">
            <w:pPr>
              <w:jc w:val="center"/>
              <w:rPr>
                <w:rFonts w:ascii="Arial Narrow" w:hAnsi="Arial Narrow"/>
                <w:sz w:val="20"/>
              </w:rPr>
            </w:pPr>
            <w:r w:rsidRPr="005519BC">
              <w:rPr>
                <w:rFonts w:ascii="Arial Narrow" w:hAnsi="Arial Narrow"/>
                <w:iCs/>
                <w:sz w:val="20"/>
              </w:rPr>
              <w:t>100 (</w:t>
            </w:r>
            <w:r w:rsidRPr="005519BC">
              <w:rPr>
                <w:rFonts w:ascii="Arial Narrow" w:hAnsi="Arial Narrow"/>
                <w:sz w:val="20"/>
              </w:rPr>
              <w:t>29.2, 100)</w:t>
            </w:r>
          </w:p>
        </w:tc>
      </w:tr>
      <w:tr w:rsidR="00FE542A" w:rsidRPr="00802DBC" w:rsidTr="00460056">
        <w:tc>
          <w:tcPr>
            <w:tcW w:w="1276" w:type="dxa"/>
            <w:shd w:val="clear" w:color="auto" w:fill="auto"/>
            <w:vAlign w:val="center"/>
          </w:tcPr>
          <w:p w:rsidR="00FE542A" w:rsidRPr="005519BC" w:rsidRDefault="00FE542A" w:rsidP="0094297E">
            <w:pPr>
              <w:jc w:val="left"/>
              <w:rPr>
                <w:rFonts w:ascii="Arial Narrow" w:hAnsi="Arial Narrow"/>
                <w:iCs/>
                <w:sz w:val="20"/>
              </w:rPr>
            </w:pPr>
            <w:r w:rsidRPr="005519BC">
              <w:rPr>
                <w:rFonts w:ascii="Arial Narrow" w:hAnsi="Arial Narrow"/>
                <w:iCs/>
                <w:sz w:val="20"/>
              </w:rPr>
              <w:t>No data</w:t>
            </w:r>
            <w:r w:rsidR="005A379F" w:rsidRPr="005519BC">
              <w:rPr>
                <w:rFonts w:ascii="Arial Narrow" w:hAnsi="Arial Narrow"/>
                <w:sz w:val="18"/>
                <w:szCs w:val="18"/>
                <w:vertAlign w:val="superscript"/>
              </w:rPr>
              <w:t xml:space="preserve"> b</w:t>
            </w:r>
          </w:p>
        </w:tc>
        <w:tc>
          <w:tcPr>
            <w:tcW w:w="709" w:type="dxa"/>
            <w:shd w:val="clear" w:color="auto" w:fill="auto"/>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w:t>
            </w:r>
          </w:p>
        </w:tc>
        <w:tc>
          <w:tcPr>
            <w:tcW w:w="540" w:type="dxa"/>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w:t>
            </w:r>
          </w:p>
        </w:tc>
        <w:tc>
          <w:tcPr>
            <w:tcW w:w="910" w:type="dxa"/>
            <w:shd w:val="clear" w:color="auto" w:fill="auto"/>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w:t>
            </w:r>
          </w:p>
        </w:tc>
        <w:tc>
          <w:tcPr>
            <w:tcW w:w="1106" w:type="dxa"/>
            <w:shd w:val="clear" w:color="auto" w:fill="auto"/>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w:t>
            </w:r>
          </w:p>
        </w:tc>
        <w:tc>
          <w:tcPr>
            <w:tcW w:w="987" w:type="dxa"/>
            <w:shd w:val="clear" w:color="auto" w:fill="auto"/>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SOF+PR</w:t>
            </w:r>
          </w:p>
        </w:tc>
        <w:tc>
          <w:tcPr>
            <w:tcW w:w="762" w:type="dxa"/>
            <w:shd w:val="clear" w:color="auto" w:fill="auto"/>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12</w:t>
            </w:r>
          </w:p>
        </w:tc>
        <w:tc>
          <w:tcPr>
            <w:tcW w:w="656" w:type="dxa"/>
            <w:shd w:val="clear" w:color="auto" w:fill="auto"/>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w:t>
            </w:r>
          </w:p>
        </w:tc>
        <w:tc>
          <w:tcPr>
            <w:tcW w:w="1435" w:type="dxa"/>
            <w:shd w:val="clear" w:color="auto" w:fill="auto"/>
            <w:vAlign w:val="center"/>
          </w:tcPr>
          <w:p w:rsidR="00FE542A" w:rsidRPr="005519BC" w:rsidRDefault="00FE542A" w:rsidP="0094297E">
            <w:pPr>
              <w:jc w:val="center"/>
              <w:rPr>
                <w:rFonts w:ascii="Arial Narrow" w:hAnsi="Arial Narrow"/>
                <w:iCs/>
                <w:sz w:val="20"/>
              </w:rPr>
            </w:pPr>
            <w:r w:rsidRPr="005519BC">
              <w:rPr>
                <w:rFonts w:ascii="Arial Narrow" w:hAnsi="Arial Narrow"/>
                <w:iCs/>
                <w:sz w:val="20"/>
              </w:rPr>
              <w:t>-</w:t>
            </w:r>
          </w:p>
        </w:tc>
      </w:tr>
    </w:tbl>
    <w:p w:rsidR="00FE542A" w:rsidRPr="00802DBC" w:rsidRDefault="00FE542A" w:rsidP="00FE542A">
      <w:pPr>
        <w:ind w:left="720"/>
        <w:rPr>
          <w:rFonts w:ascii="Arial Narrow" w:hAnsi="Arial Narrow"/>
          <w:iCs/>
          <w:sz w:val="18"/>
          <w:szCs w:val="18"/>
        </w:rPr>
      </w:pPr>
      <w:r w:rsidRPr="00802DBC">
        <w:rPr>
          <w:rFonts w:ascii="Arial Narrow" w:hAnsi="Arial Narrow"/>
          <w:sz w:val="18"/>
          <w:szCs w:val="18"/>
        </w:rPr>
        <w:t xml:space="preserve">Source: Adapted from Table B-44, p121 of the submission; Everson </w:t>
      </w:r>
      <w:r w:rsidRPr="00802DBC">
        <w:rPr>
          <w:rFonts w:ascii="Arial Narrow" w:hAnsi="Arial Narrow"/>
          <w:i/>
          <w:sz w:val="18"/>
          <w:szCs w:val="18"/>
        </w:rPr>
        <w:t xml:space="preserve">et al </w:t>
      </w:r>
      <w:r w:rsidRPr="00802DBC">
        <w:rPr>
          <w:rFonts w:ascii="Arial Narrow" w:hAnsi="Arial Narrow"/>
          <w:sz w:val="18"/>
          <w:szCs w:val="18"/>
        </w:rPr>
        <w:t xml:space="preserve">(2015); sofosbuvir </w:t>
      </w:r>
      <w:r w:rsidRPr="00802DBC">
        <w:rPr>
          <w:rFonts w:ascii="Arial Narrow" w:hAnsi="Arial Narrow"/>
          <w:iCs/>
          <w:sz w:val="18"/>
          <w:szCs w:val="18"/>
        </w:rPr>
        <w:t>SmPC provided with the submission</w:t>
      </w:r>
    </w:p>
    <w:p w:rsidR="00FE542A" w:rsidRPr="00802DBC" w:rsidRDefault="00FE542A" w:rsidP="00FE542A">
      <w:pPr>
        <w:ind w:left="720"/>
        <w:rPr>
          <w:rFonts w:ascii="Arial Narrow" w:hAnsi="Arial Narrow"/>
          <w:sz w:val="18"/>
          <w:szCs w:val="18"/>
        </w:rPr>
      </w:pPr>
      <w:r w:rsidRPr="00802DBC">
        <w:rPr>
          <w:rFonts w:ascii="Arial Narrow" w:hAnsi="Arial Narrow"/>
          <w:sz w:val="18"/>
          <w:szCs w:val="18"/>
        </w:rPr>
        <w:t>Abbreviations: CI = confidence interval; Gt = genotype; HCV = hepatitis C virus; NR = not reported; PR = peginterferon plus ribavirin; SOF = sofosbuvir; SOF/VEL = sofosbuvir/velpatasvir FDC; SVR12 = sustained virological response at 12 weeks following the completion of treatment</w:t>
      </w:r>
    </w:p>
    <w:p w:rsidR="00FE542A" w:rsidRPr="00254DEE" w:rsidRDefault="00FE542A" w:rsidP="00254DEE">
      <w:pPr>
        <w:ind w:left="720"/>
        <w:rPr>
          <w:rFonts w:ascii="Arial Narrow" w:hAnsi="Arial Narrow"/>
          <w:iCs/>
          <w:sz w:val="18"/>
          <w:szCs w:val="18"/>
        </w:rPr>
      </w:pPr>
      <w:r w:rsidRPr="00254DEE">
        <w:rPr>
          <w:rFonts w:ascii="Arial Narrow" w:hAnsi="Arial Narrow"/>
          <w:sz w:val="18"/>
          <w:szCs w:val="18"/>
        </w:rPr>
        <w:t xml:space="preserve">Note: Shaded cells represent sofosbuvir/velpatasvir FDC results. </w:t>
      </w:r>
      <w:r w:rsidRPr="00254DEE">
        <w:rPr>
          <w:rFonts w:ascii="Arial Narrow" w:hAnsi="Arial Narrow"/>
          <w:iCs/>
          <w:sz w:val="18"/>
          <w:szCs w:val="18"/>
        </w:rPr>
        <w:t>95% CI calculated using Stata14 (binomial exact)</w:t>
      </w:r>
      <w:r w:rsidR="00254DEE">
        <w:rPr>
          <w:rFonts w:ascii="Arial Narrow" w:hAnsi="Arial Narrow"/>
          <w:iCs/>
          <w:sz w:val="18"/>
          <w:szCs w:val="18"/>
        </w:rPr>
        <w:t>,</w:t>
      </w:r>
      <w:r w:rsidR="00254DEE" w:rsidRPr="00254DEE">
        <w:rPr>
          <w:rFonts w:ascii="Arial Narrow" w:hAnsi="Arial Narrow"/>
          <w:iCs/>
          <w:sz w:val="18"/>
          <w:szCs w:val="18"/>
        </w:rPr>
        <w:t xml:space="preserve"> </w:t>
      </w:r>
      <w:r w:rsidR="00254DEE" w:rsidRPr="00456BE1">
        <w:rPr>
          <w:rFonts w:ascii="Arial Narrow" w:hAnsi="Arial Narrow"/>
          <w:iCs/>
          <w:sz w:val="18"/>
          <w:szCs w:val="18"/>
        </w:rPr>
        <w:t>during the evaluation</w:t>
      </w:r>
      <w:r w:rsidRPr="00254DEE">
        <w:rPr>
          <w:rFonts w:ascii="Arial Narrow" w:hAnsi="Arial Narrow"/>
          <w:iCs/>
          <w:sz w:val="18"/>
          <w:szCs w:val="18"/>
        </w:rPr>
        <w:t>.</w:t>
      </w:r>
    </w:p>
    <w:p w:rsidR="00FE542A" w:rsidRDefault="00FE542A" w:rsidP="005A379F">
      <w:pPr>
        <w:ind w:left="720"/>
        <w:rPr>
          <w:rFonts w:ascii="Arial Narrow" w:hAnsi="Arial Narrow"/>
          <w:i/>
          <w:sz w:val="18"/>
          <w:szCs w:val="18"/>
        </w:rPr>
      </w:pPr>
      <w:r w:rsidRPr="00437515">
        <w:rPr>
          <w:rFonts w:ascii="Arial Narrow" w:hAnsi="Arial Narrow"/>
          <w:sz w:val="18"/>
          <w:szCs w:val="18"/>
          <w:vertAlign w:val="superscript"/>
        </w:rPr>
        <w:t>a</w:t>
      </w:r>
      <w:r w:rsidRPr="00437515">
        <w:rPr>
          <w:rFonts w:ascii="Arial Narrow" w:hAnsi="Arial Narrow"/>
          <w:sz w:val="18"/>
          <w:szCs w:val="18"/>
        </w:rPr>
        <w:t xml:space="preserve"> 27/28 patients with HCV genotype 4 achieved SVR12. A single subject with genotype 5 and all 6 subjects with genotype 6</w:t>
      </w:r>
      <w:r w:rsidRPr="0069333A">
        <w:rPr>
          <w:rFonts w:ascii="Arial Narrow" w:hAnsi="Arial Narrow"/>
          <w:sz w:val="18"/>
          <w:szCs w:val="18"/>
        </w:rPr>
        <w:t xml:space="preserve"> HCV infection achieved SVR12. The patient who did not achieve SVR12 had cirrhosis at baseline (only 2 patients in this subgroup had cirrhosis).</w:t>
      </w:r>
    </w:p>
    <w:p w:rsidR="005A379F" w:rsidRPr="005A379F" w:rsidRDefault="005A379F" w:rsidP="005A379F">
      <w:pPr>
        <w:ind w:left="720"/>
        <w:rPr>
          <w:rFonts w:ascii="Arial Narrow" w:hAnsi="Arial Narrow"/>
          <w:sz w:val="18"/>
          <w:szCs w:val="18"/>
        </w:rPr>
      </w:pPr>
      <w:r w:rsidRPr="005A379F">
        <w:rPr>
          <w:rFonts w:ascii="Arial Narrow" w:hAnsi="Arial Narrow"/>
          <w:sz w:val="18"/>
          <w:szCs w:val="18"/>
          <w:vertAlign w:val="superscript"/>
        </w:rPr>
        <w:t>b</w:t>
      </w:r>
      <w:r>
        <w:rPr>
          <w:rFonts w:ascii="Arial Narrow" w:hAnsi="Arial Narrow"/>
          <w:sz w:val="18"/>
          <w:szCs w:val="18"/>
          <w:vertAlign w:val="superscript"/>
        </w:rPr>
        <w:t xml:space="preserve"> </w:t>
      </w:r>
      <w:r>
        <w:rPr>
          <w:rFonts w:ascii="Arial Narrow" w:hAnsi="Arial Narrow"/>
          <w:sz w:val="18"/>
          <w:szCs w:val="18"/>
        </w:rPr>
        <w:t>added</w:t>
      </w:r>
      <w:r w:rsidR="00E40DE3">
        <w:rPr>
          <w:rFonts w:ascii="Arial Narrow" w:hAnsi="Arial Narrow"/>
          <w:sz w:val="18"/>
          <w:szCs w:val="18"/>
        </w:rPr>
        <w:t xml:space="preserve"> </w:t>
      </w:r>
      <w:r>
        <w:rPr>
          <w:rFonts w:ascii="Arial Narrow" w:hAnsi="Arial Narrow"/>
          <w:sz w:val="18"/>
          <w:szCs w:val="18"/>
        </w:rPr>
        <w:t>during the evaluation</w:t>
      </w:r>
    </w:p>
    <w:p w:rsidR="005A379F" w:rsidRPr="005A379F" w:rsidRDefault="005A379F" w:rsidP="005A379F">
      <w:pPr>
        <w:pStyle w:val="ListParagraph"/>
        <w:rPr>
          <w:iCs/>
          <w:szCs w:val="22"/>
        </w:rPr>
      </w:pPr>
    </w:p>
    <w:p w:rsidR="00CA6C20" w:rsidRPr="00DA298E" w:rsidRDefault="00CA6C20" w:rsidP="002C4748">
      <w:pPr>
        <w:pStyle w:val="ListParagraph"/>
        <w:numPr>
          <w:ilvl w:val="1"/>
          <w:numId w:val="2"/>
        </w:numPr>
        <w:rPr>
          <w:iCs/>
          <w:szCs w:val="22"/>
        </w:rPr>
      </w:pPr>
      <w:r w:rsidRPr="00DA298E">
        <w:rPr>
          <w:szCs w:val="22"/>
        </w:rPr>
        <w:t>The submission extracted results from a study among treatment</w:t>
      </w:r>
      <w:r w:rsidR="00927BE4">
        <w:rPr>
          <w:szCs w:val="22"/>
        </w:rPr>
        <w:t xml:space="preserve"> </w:t>
      </w:r>
      <w:r w:rsidRPr="00DA298E">
        <w:rPr>
          <w:szCs w:val="22"/>
        </w:rPr>
        <w:t xml:space="preserve">naïve patients for the comparator </w:t>
      </w:r>
      <w:r w:rsidRPr="00DA298E">
        <w:rPr>
          <w:iCs/>
          <w:szCs w:val="22"/>
        </w:rPr>
        <w:t>(NEUTRINO)</w:t>
      </w:r>
      <w:r w:rsidRPr="00DA298E">
        <w:rPr>
          <w:szCs w:val="22"/>
        </w:rPr>
        <w:t xml:space="preserve">. </w:t>
      </w:r>
      <w:r w:rsidRPr="00DA298E">
        <w:rPr>
          <w:iCs/>
          <w:szCs w:val="22"/>
        </w:rPr>
        <w:t>Further stratification by cirrhosis status was inappropriate, as only two patients in the comparator trial had cirrhosis (</w:t>
      </w:r>
      <w:r w:rsidRPr="00DA298E">
        <w:rPr>
          <w:iCs/>
        </w:rPr>
        <w:t>one patient achieved SVR12).</w:t>
      </w:r>
    </w:p>
    <w:p w:rsidR="00CA6C20" w:rsidRPr="00DA298E" w:rsidRDefault="00CA6C20" w:rsidP="00CA6C20">
      <w:pPr>
        <w:pStyle w:val="ListParagraph"/>
        <w:rPr>
          <w:iCs/>
          <w:szCs w:val="22"/>
        </w:rPr>
      </w:pPr>
    </w:p>
    <w:p w:rsidR="00FE542A" w:rsidRPr="00DA298E" w:rsidRDefault="00FE542A" w:rsidP="002C4748">
      <w:pPr>
        <w:pStyle w:val="ListParagraph"/>
        <w:numPr>
          <w:ilvl w:val="1"/>
          <w:numId w:val="2"/>
        </w:numPr>
        <w:rPr>
          <w:iCs/>
          <w:szCs w:val="22"/>
        </w:rPr>
      </w:pPr>
      <w:r w:rsidRPr="00DA298E">
        <w:rPr>
          <w:szCs w:val="22"/>
        </w:rPr>
        <w:t xml:space="preserve">Among patients with HCV genotypes 4 to 6, the submission claimed that sofosbuvir/velpatasvir FDC for 12 weeks resulted in higher SVR12 rates compared to sofosbuvir plus peginterferon plus ribavirin where data were available. </w:t>
      </w:r>
      <w:r w:rsidRPr="00DA298E">
        <w:rPr>
          <w:iCs/>
          <w:szCs w:val="22"/>
        </w:rPr>
        <w:t xml:space="preserve">This claim was </w:t>
      </w:r>
      <w:r w:rsidRPr="00DA298E">
        <w:rPr>
          <w:iCs/>
          <w:szCs w:val="22"/>
        </w:rPr>
        <w:lastRenderedPageBreak/>
        <w:t xml:space="preserve">inadequately supported from the presented evidence; as there were no apparent differences in the </w:t>
      </w:r>
      <w:r w:rsidRPr="006E3F5A">
        <w:rPr>
          <w:iCs/>
          <w:szCs w:val="22"/>
        </w:rPr>
        <w:t xml:space="preserve">SVR12 rates between sofosbuvir/velpatasvir FDC versus sofosbuvir plus peginterferon plus ribavirin. The naïve comparison was at high risk of bias and may not be </w:t>
      </w:r>
      <w:r w:rsidRPr="000535F1">
        <w:rPr>
          <w:iCs/>
          <w:szCs w:val="22"/>
        </w:rPr>
        <w:t xml:space="preserve">valid </w:t>
      </w:r>
      <w:r w:rsidR="00CA6C20" w:rsidRPr="000535F1">
        <w:rPr>
          <w:iCs/>
          <w:szCs w:val="22"/>
        </w:rPr>
        <w:t>(see para</w:t>
      </w:r>
      <w:r w:rsidR="00554265" w:rsidRPr="000535F1">
        <w:rPr>
          <w:iCs/>
          <w:szCs w:val="22"/>
        </w:rPr>
        <w:t>graph</w:t>
      </w:r>
      <w:r w:rsidR="00CA6C20" w:rsidRPr="000535F1">
        <w:rPr>
          <w:iCs/>
          <w:szCs w:val="22"/>
        </w:rPr>
        <w:t xml:space="preserve"> </w:t>
      </w:r>
      <w:r w:rsidR="00E73BA4" w:rsidRPr="000535F1">
        <w:rPr>
          <w:iCs/>
          <w:szCs w:val="22"/>
        </w:rPr>
        <w:t>6.</w:t>
      </w:r>
      <w:r w:rsidR="005D4C57" w:rsidRPr="000535F1">
        <w:rPr>
          <w:iCs/>
          <w:szCs w:val="22"/>
        </w:rPr>
        <w:t>9</w:t>
      </w:r>
      <w:r w:rsidR="00CA6C20" w:rsidRPr="000535F1">
        <w:rPr>
          <w:iCs/>
          <w:szCs w:val="22"/>
        </w:rPr>
        <w:t>)</w:t>
      </w:r>
      <w:r w:rsidRPr="000535F1">
        <w:rPr>
          <w:iCs/>
          <w:szCs w:val="22"/>
        </w:rPr>
        <w:t xml:space="preserve">. There </w:t>
      </w:r>
      <w:r w:rsidR="00CC5D84" w:rsidRPr="000535F1">
        <w:rPr>
          <w:iCs/>
          <w:szCs w:val="22"/>
        </w:rPr>
        <w:t xml:space="preserve">was </w:t>
      </w:r>
      <w:r w:rsidRPr="000535F1">
        <w:rPr>
          <w:iCs/>
          <w:szCs w:val="22"/>
        </w:rPr>
        <w:t>data asymmetry, where the comparator data were sparser. There were</w:t>
      </w:r>
      <w:r w:rsidRPr="006E3F5A">
        <w:rPr>
          <w:iCs/>
          <w:szCs w:val="22"/>
        </w:rPr>
        <w:t xml:space="preserve"> no comparator data for treatment-experienced patients, nor sufficient comparator data</w:t>
      </w:r>
      <w:r w:rsidRPr="00DA298E">
        <w:rPr>
          <w:iCs/>
          <w:szCs w:val="22"/>
        </w:rPr>
        <w:t xml:space="preserve"> to facilitate comparison based on cirrhosis status.</w:t>
      </w:r>
    </w:p>
    <w:p w:rsidR="00A6227D" w:rsidRDefault="00A6227D">
      <w:pPr>
        <w:widowControl/>
        <w:jc w:val="left"/>
        <w:rPr>
          <w:u w:val="single"/>
        </w:rPr>
      </w:pPr>
    </w:p>
    <w:p w:rsidR="006D6873" w:rsidRPr="003473E3" w:rsidRDefault="006D6873" w:rsidP="00A3010D">
      <w:pPr>
        <w:pStyle w:val="Heading3"/>
        <w:ind w:firstLine="720"/>
      </w:pPr>
      <w:r w:rsidRPr="003473E3">
        <w:t>HCV genotypes 1-6, with decompensated cirrhosis</w:t>
      </w:r>
    </w:p>
    <w:p w:rsidR="00886AD3" w:rsidRDefault="00886AD3" w:rsidP="00040210">
      <w:pPr>
        <w:ind w:firstLine="720"/>
        <w:rPr>
          <w:rFonts w:ascii="Arial Narrow" w:hAnsi="Arial Narrow"/>
          <w:b/>
          <w:bCs/>
          <w:sz w:val="20"/>
        </w:rPr>
      </w:pPr>
    </w:p>
    <w:p w:rsidR="00040210" w:rsidRPr="00802DBC" w:rsidRDefault="00040210" w:rsidP="00040210">
      <w:pPr>
        <w:ind w:firstLine="720"/>
        <w:rPr>
          <w:rFonts w:ascii="Arial Narrow" w:hAnsi="Arial Narrow"/>
          <w:sz w:val="18"/>
          <w:szCs w:val="18"/>
        </w:rPr>
      </w:pPr>
      <w:r>
        <w:rPr>
          <w:rFonts w:ascii="Arial Narrow" w:hAnsi="Arial Narrow"/>
          <w:b/>
          <w:bCs/>
          <w:sz w:val="20"/>
        </w:rPr>
        <w:t xml:space="preserve">Table </w:t>
      </w:r>
      <w:r w:rsidR="0052346C">
        <w:rPr>
          <w:rFonts w:ascii="Arial Narrow" w:hAnsi="Arial Narrow"/>
          <w:b/>
          <w:bCs/>
          <w:sz w:val="20"/>
        </w:rPr>
        <w:t>10</w:t>
      </w:r>
      <w:r>
        <w:rPr>
          <w:rFonts w:ascii="Arial Narrow" w:hAnsi="Arial Narrow"/>
          <w:b/>
          <w:bCs/>
          <w:sz w:val="20"/>
        </w:rPr>
        <w:t xml:space="preserve">: </w:t>
      </w:r>
      <w:r w:rsidRPr="00802DBC">
        <w:rPr>
          <w:rFonts w:ascii="Arial Narrow" w:hAnsi="Arial Narrow"/>
          <w:b/>
          <w:bCs/>
          <w:sz w:val="20"/>
        </w:rPr>
        <w:t xml:space="preserve">ASTRAL-4 (decompensated cirrhosis – CPT class B): SVR12 (Full Analysis Set) </w:t>
      </w:r>
    </w:p>
    <w:tbl>
      <w:tblPr>
        <w:tblStyle w:val="TableGrid"/>
        <w:tblW w:w="8222" w:type="dxa"/>
        <w:tblInd w:w="737" w:type="dxa"/>
        <w:tblCellMar>
          <w:left w:w="28" w:type="dxa"/>
          <w:right w:w="28" w:type="dxa"/>
        </w:tblCellMar>
        <w:tblLook w:val="04A0" w:firstRow="1" w:lastRow="0" w:firstColumn="1" w:lastColumn="0" w:noHBand="0" w:noVBand="1"/>
        <w:tblCaption w:val="Table 10: ASTRAL-4 (decompensated cirrhosis – CPT class B): SVR12 (Full Analysis Set) "/>
        <w:tblDescription w:val="Table 10: ASTRAL-4 (decompensated cirrhosis – CPT class B): SVR12 (Full Analysis Set) "/>
      </w:tblPr>
      <w:tblGrid>
        <w:gridCol w:w="851"/>
        <w:gridCol w:w="1053"/>
        <w:gridCol w:w="1053"/>
        <w:gridCol w:w="1053"/>
        <w:gridCol w:w="1053"/>
        <w:gridCol w:w="1053"/>
        <w:gridCol w:w="1053"/>
        <w:gridCol w:w="1053"/>
      </w:tblGrid>
      <w:tr w:rsidR="00FB010B" w:rsidRPr="00802DBC" w:rsidTr="00FB010B">
        <w:trPr>
          <w:cantSplit/>
          <w:tblHeader/>
        </w:trPr>
        <w:tc>
          <w:tcPr>
            <w:tcW w:w="851" w:type="dxa"/>
            <w:vMerge w:val="restart"/>
            <w:shd w:val="clear" w:color="auto" w:fill="auto"/>
            <w:vAlign w:val="center"/>
          </w:tcPr>
          <w:p w:rsidR="00FB010B" w:rsidRPr="00802DBC" w:rsidRDefault="00FB010B" w:rsidP="00E25AC2">
            <w:pPr>
              <w:jc w:val="center"/>
              <w:rPr>
                <w:rFonts w:ascii="Arial Narrow" w:hAnsi="Arial Narrow"/>
                <w:b/>
                <w:sz w:val="20"/>
              </w:rPr>
            </w:pPr>
            <w:r>
              <w:rPr>
                <w:rFonts w:ascii="Arial Narrow" w:hAnsi="Arial Narrow"/>
                <w:b/>
                <w:sz w:val="20"/>
              </w:rPr>
              <w:t>Treatment</w:t>
            </w:r>
            <w:r w:rsidRPr="00802DBC">
              <w:rPr>
                <w:rFonts w:ascii="Arial Narrow" w:hAnsi="Arial Narrow"/>
                <w:b/>
                <w:sz w:val="20"/>
              </w:rPr>
              <w:t xml:space="preserve"> regimen</w:t>
            </w:r>
          </w:p>
        </w:tc>
        <w:tc>
          <w:tcPr>
            <w:tcW w:w="7371" w:type="dxa"/>
            <w:gridSpan w:val="7"/>
            <w:vAlign w:val="center"/>
          </w:tcPr>
          <w:p w:rsidR="00FB010B" w:rsidRPr="00802DBC" w:rsidRDefault="00FB010B" w:rsidP="00E25AC2">
            <w:pPr>
              <w:jc w:val="center"/>
              <w:rPr>
                <w:rFonts w:ascii="Arial Narrow" w:hAnsi="Arial Narrow"/>
                <w:b/>
                <w:sz w:val="20"/>
              </w:rPr>
            </w:pPr>
            <w:r w:rsidRPr="00802DBC">
              <w:rPr>
                <w:rFonts w:ascii="Arial Narrow" w:hAnsi="Arial Narrow"/>
                <w:b/>
                <w:bCs/>
                <w:sz w:val="20"/>
              </w:rPr>
              <w:t>SVR12; n/N (%) [95% CI]</w:t>
            </w:r>
          </w:p>
        </w:tc>
      </w:tr>
      <w:tr w:rsidR="00FB010B" w:rsidRPr="00802DBC" w:rsidTr="0086131E">
        <w:trPr>
          <w:cantSplit/>
          <w:tblHeader/>
        </w:trPr>
        <w:tc>
          <w:tcPr>
            <w:tcW w:w="851" w:type="dxa"/>
            <w:vMerge/>
            <w:shd w:val="clear" w:color="auto" w:fill="auto"/>
            <w:vAlign w:val="center"/>
          </w:tcPr>
          <w:p w:rsidR="00FB010B" w:rsidRPr="00802DBC" w:rsidRDefault="00FB010B" w:rsidP="00E25AC2">
            <w:pPr>
              <w:jc w:val="center"/>
              <w:rPr>
                <w:rFonts w:ascii="Arial Narrow" w:hAnsi="Arial Narrow"/>
                <w:b/>
                <w:sz w:val="20"/>
              </w:rPr>
            </w:pPr>
          </w:p>
        </w:tc>
        <w:tc>
          <w:tcPr>
            <w:tcW w:w="1053" w:type="dxa"/>
            <w:vAlign w:val="center"/>
          </w:tcPr>
          <w:p w:rsidR="00FB010B" w:rsidRPr="00802DBC" w:rsidRDefault="00FB010B" w:rsidP="00E25AC2">
            <w:pPr>
              <w:jc w:val="center"/>
              <w:rPr>
                <w:rFonts w:ascii="Arial Narrow" w:hAnsi="Arial Narrow"/>
                <w:b/>
                <w:sz w:val="20"/>
              </w:rPr>
            </w:pPr>
            <w:r w:rsidRPr="00802DBC">
              <w:rPr>
                <w:rFonts w:ascii="Arial Narrow" w:hAnsi="Arial Narrow"/>
                <w:b/>
                <w:sz w:val="20"/>
              </w:rPr>
              <w:t>Gt 1</w:t>
            </w:r>
          </w:p>
        </w:tc>
        <w:tc>
          <w:tcPr>
            <w:tcW w:w="1053" w:type="dxa"/>
            <w:vAlign w:val="center"/>
          </w:tcPr>
          <w:p w:rsidR="00FB010B" w:rsidRPr="00802DBC" w:rsidRDefault="00FB010B" w:rsidP="00E25AC2">
            <w:pPr>
              <w:jc w:val="center"/>
              <w:rPr>
                <w:rFonts w:ascii="Arial Narrow" w:hAnsi="Arial Narrow"/>
                <w:b/>
                <w:bCs/>
                <w:sz w:val="20"/>
              </w:rPr>
            </w:pPr>
            <w:r w:rsidRPr="00802DBC">
              <w:rPr>
                <w:rFonts w:ascii="Arial Narrow" w:hAnsi="Arial Narrow"/>
                <w:b/>
                <w:bCs/>
                <w:sz w:val="20"/>
              </w:rPr>
              <w:t>Gt 2</w:t>
            </w:r>
          </w:p>
        </w:tc>
        <w:tc>
          <w:tcPr>
            <w:tcW w:w="1053" w:type="dxa"/>
            <w:shd w:val="clear" w:color="auto" w:fill="auto"/>
            <w:vAlign w:val="center"/>
          </w:tcPr>
          <w:p w:rsidR="00FB010B" w:rsidRPr="00802DBC" w:rsidRDefault="00FB010B" w:rsidP="00E25AC2">
            <w:pPr>
              <w:jc w:val="center"/>
              <w:rPr>
                <w:rFonts w:ascii="Arial Narrow" w:hAnsi="Arial Narrow"/>
                <w:b/>
                <w:bCs/>
                <w:sz w:val="20"/>
              </w:rPr>
            </w:pPr>
            <w:r w:rsidRPr="00802DBC">
              <w:rPr>
                <w:rFonts w:ascii="Arial Narrow" w:hAnsi="Arial Narrow"/>
                <w:b/>
                <w:bCs/>
                <w:sz w:val="20"/>
              </w:rPr>
              <w:t>Gt 3</w:t>
            </w:r>
          </w:p>
        </w:tc>
        <w:tc>
          <w:tcPr>
            <w:tcW w:w="1053" w:type="dxa"/>
            <w:shd w:val="clear" w:color="auto" w:fill="auto"/>
            <w:vAlign w:val="center"/>
          </w:tcPr>
          <w:p w:rsidR="00FB010B" w:rsidRPr="00802DBC" w:rsidRDefault="00FB010B" w:rsidP="00E25AC2">
            <w:pPr>
              <w:jc w:val="center"/>
              <w:rPr>
                <w:rFonts w:ascii="Arial Narrow" w:hAnsi="Arial Narrow"/>
                <w:b/>
                <w:bCs/>
                <w:sz w:val="20"/>
              </w:rPr>
            </w:pPr>
            <w:r w:rsidRPr="00802DBC">
              <w:rPr>
                <w:rFonts w:ascii="Arial Narrow" w:hAnsi="Arial Narrow"/>
                <w:b/>
                <w:bCs/>
                <w:sz w:val="20"/>
              </w:rPr>
              <w:t>Gt 4</w:t>
            </w:r>
          </w:p>
        </w:tc>
        <w:tc>
          <w:tcPr>
            <w:tcW w:w="1053" w:type="dxa"/>
            <w:shd w:val="clear" w:color="auto" w:fill="auto"/>
            <w:vAlign w:val="center"/>
          </w:tcPr>
          <w:p w:rsidR="00FB010B" w:rsidRPr="00802DBC" w:rsidRDefault="00FB010B" w:rsidP="00E25AC2">
            <w:pPr>
              <w:jc w:val="center"/>
              <w:rPr>
                <w:rFonts w:ascii="Arial Narrow" w:hAnsi="Arial Narrow"/>
                <w:b/>
                <w:bCs/>
                <w:sz w:val="20"/>
              </w:rPr>
            </w:pPr>
            <w:r w:rsidRPr="00802DBC">
              <w:rPr>
                <w:rFonts w:ascii="Arial Narrow" w:hAnsi="Arial Narrow"/>
                <w:b/>
                <w:bCs/>
                <w:sz w:val="20"/>
              </w:rPr>
              <w:t>Gt 5</w:t>
            </w:r>
          </w:p>
        </w:tc>
        <w:tc>
          <w:tcPr>
            <w:tcW w:w="1053" w:type="dxa"/>
            <w:shd w:val="clear" w:color="auto" w:fill="auto"/>
            <w:vAlign w:val="center"/>
          </w:tcPr>
          <w:p w:rsidR="00FB010B" w:rsidRPr="00802DBC" w:rsidRDefault="00FB010B" w:rsidP="00E25AC2">
            <w:pPr>
              <w:jc w:val="center"/>
              <w:rPr>
                <w:rFonts w:ascii="Arial Narrow" w:hAnsi="Arial Narrow"/>
                <w:b/>
                <w:bCs/>
                <w:sz w:val="20"/>
              </w:rPr>
            </w:pPr>
            <w:r w:rsidRPr="00802DBC">
              <w:rPr>
                <w:rFonts w:ascii="Arial Narrow" w:hAnsi="Arial Narrow"/>
                <w:b/>
                <w:bCs/>
                <w:sz w:val="20"/>
              </w:rPr>
              <w:t>Gt 6</w:t>
            </w:r>
          </w:p>
        </w:tc>
        <w:tc>
          <w:tcPr>
            <w:tcW w:w="1053" w:type="dxa"/>
            <w:shd w:val="clear" w:color="auto" w:fill="auto"/>
            <w:vAlign w:val="center"/>
          </w:tcPr>
          <w:p w:rsidR="00FB010B" w:rsidRPr="00802DBC" w:rsidRDefault="00FB010B" w:rsidP="00E25AC2">
            <w:pPr>
              <w:jc w:val="center"/>
              <w:rPr>
                <w:rFonts w:ascii="Arial Narrow" w:hAnsi="Arial Narrow"/>
                <w:b/>
                <w:bCs/>
                <w:sz w:val="20"/>
              </w:rPr>
            </w:pPr>
            <w:r w:rsidRPr="00802DBC">
              <w:rPr>
                <w:rFonts w:ascii="Arial Narrow" w:hAnsi="Arial Narrow"/>
                <w:b/>
                <w:bCs/>
                <w:sz w:val="20"/>
              </w:rPr>
              <w:t>Total</w:t>
            </w:r>
          </w:p>
        </w:tc>
      </w:tr>
      <w:tr w:rsidR="0086131E" w:rsidRPr="00802DBC" w:rsidTr="0086131E">
        <w:trPr>
          <w:cantSplit/>
        </w:trPr>
        <w:tc>
          <w:tcPr>
            <w:tcW w:w="851" w:type="dxa"/>
            <w:shd w:val="clear" w:color="auto" w:fill="auto"/>
            <w:vAlign w:val="center"/>
          </w:tcPr>
          <w:p w:rsidR="0086131E" w:rsidRPr="00802DBC" w:rsidRDefault="0086131E" w:rsidP="0086131E">
            <w:pPr>
              <w:jc w:val="center"/>
              <w:rPr>
                <w:rFonts w:ascii="Arial Narrow" w:hAnsi="Arial Narrow"/>
                <w:sz w:val="20"/>
              </w:rPr>
            </w:pPr>
            <w:r w:rsidRPr="00802DBC">
              <w:rPr>
                <w:rFonts w:ascii="Arial Narrow" w:hAnsi="Arial Narrow"/>
                <w:bCs/>
                <w:sz w:val="20"/>
              </w:rPr>
              <w:t>SOF/VEL 12 weeks</w:t>
            </w:r>
          </w:p>
        </w:tc>
        <w:tc>
          <w:tcPr>
            <w:tcW w:w="1053" w:type="dxa"/>
            <w:vAlign w:val="center"/>
          </w:tcPr>
          <w:p w:rsidR="0086131E" w:rsidRPr="00802DBC" w:rsidRDefault="0086131E" w:rsidP="0086131E">
            <w:pPr>
              <w:jc w:val="center"/>
              <w:rPr>
                <w:rFonts w:ascii="Arial Narrow" w:hAnsi="Arial Narrow"/>
                <w:sz w:val="20"/>
              </w:rPr>
            </w:pPr>
            <w:r w:rsidRPr="00802DBC">
              <w:rPr>
                <w:rFonts w:ascii="Arial Narrow" w:hAnsi="Arial Narrow"/>
                <w:sz w:val="20"/>
              </w:rPr>
              <w:t>60/68</w:t>
            </w:r>
          </w:p>
          <w:p w:rsidR="0086131E" w:rsidRPr="00802DBC" w:rsidRDefault="0086131E" w:rsidP="0086131E">
            <w:pPr>
              <w:jc w:val="center"/>
              <w:rPr>
                <w:rFonts w:ascii="Arial Narrow" w:hAnsi="Arial Narrow"/>
                <w:sz w:val="20"/>
              </w:rPr>
            </w:pPr>
            <w:r w:rsidRPr="00802DBC">
              <w:rPr>
                <w:rFonts w:ascii="Arial Narrow" w:hAnsi="Arial Narrow"/>
                <w:sz w:val="20"/>
              </w:rPr>
              <w:t>(88.2%)</w:t>
            </w:r>
          </w:p>
          <w:p w:rsidR="0086131E" w:rsidRPr="00802DBC" w:rsidRDefault="0086131E" w:rsidP="0086131E">
            <w:pPr>
              <w:jc w:val="center"/>
              <w:rPr>
                <w:rFonts w:ascii="Arial Narrow" w:hAnsi="Arial Narrow"/>
                <w:sz w:val="20"/>
              </w:rPr>
            </w:pPr>
            <w:r w:rsidRPr="00802DBC">
              <w:rPr>
                <w:rFonts w:ascii="Arial Narrow" w:hAnsi="Arial Narrow"/>
                <w:sz w:val="20"/>
              </w:rPr>
              <w:t>[78.1, 94.8%]</w:t>
            </w:r>
          </w:p>
        </w:tc>
        <w:tc>
          <w:tcPr>
            <w:tcW w:w="1053" w:type="dxa"/>
            <w:vAlign w:val="center"/>
          </w:tcPr>
          <w:p w:rsidR="0086131E" w:rsidRPr="00802DBC" w:rsidRDefault="0086131E" w:rsidP="0086131E">
            <w:pPr>
              <w:jc w:val="center"/>
              <w:rPr>
                <w:rFonts w:ascii="Arial Narrow" w:hAnsi="Arial Narrow"/>
                <w:sz w:val="20"/>
              </w:rPr>
            </w:pPr>
            <w:r w:rsidRPr="00802DBC">
              <w:rPr>
                <w:rFonts w:ascii="Arial Narrow" w:hAnsi="Arial Narrow"/>
                <w:sz w:val="20"/>
              </w:rPr>
              <w:t>4/4</w:t>
            </w:r>
          </w:p>
          <w:p w:rsidR="0086131E" w:rsidRPr="00802DBC" w:rsidRDefault="0086131E" w:rsidP="0086131E">
            <w:pPr>
              <w:jc w:val="center"/>
              <w:rPr>
                <w:rFonts w:ascii="Arial Narrow" w:hAnsi="Arial Narrow"/>
                <w:sz w:val="20"/>
              </w:rPr>
            </w:pPr>
            <w:r w:rsidRPr="00802DBC">
              <w:rPr>
                <w:rFonts w:ascii="Arial Narrow" w:hAnsi="Arial Narrow"/>
                <w:sz w:val="20"/>
              </w:rPr>
              <w:t>(100.0%)</w:t>
            </w:r>
          </w:p>
          <w:p w:rsidR="0086131E" w:rsidRPr="00802DBC" w:rsidRDefault="0086131E" w:rsidP="0086131E">
            <w:pPr>
              <w:jc w:val="center"/>
              <w:rPr>
                <w:rFonts w:ascii="Arial Narrow" w:hAnsi="Arial Narrow"/>
                <w:sz w:val="20"/>
              </w:rPr>
            </w:pPr>
            <w:r w:rsidRPr="00802DBC">
              <w:rPr>
                <w:rFonts w:ascii="Arial Narrow" w:hAnsi="Arial Narrow"/>
                <w:sz w:val="20"/>
              </w:rPr>
              <w:t>[39.8, 100%]</w:t>
            </w:r>
          </w:p>
        </w:tc>
        <w:tc>
          <w:tcPr>
            <w:tcW w:w="1053" w:type="dxa"/>
            <w:shd w:val="clear" w:color="auto" w:fill="auto"/>
            <w:vAlign w:val="center"/>
          </w:tcPr>
          <w:p w:rsidR="0086131E" w:rsidRPr="00802DBC" w:rsidRDefault="0086131E" w:rsidP="0086131E">
            <w:pPr>
              <w:jc w:val="center"/>
              <w:rPr>
                <w:rFonts w:ascii="Arial Narrow" w:hAnsi="Arial Narrow"/>
                <w:sz w:val="20"/>
              </w:rPr>
            </w:pPr>
            <w:r w:rsidRPr="00802DBC">
              <w:rPr>
                <w:rFonts w:ascii="Arial Narrow" w:hAnsi="Arial Narrow"/>
                <w:sz w:val="20"/>
              </w:rPr>
              <w:t>7/14</w:t>
            </w:r>
          </w:p>
          <w:p w:rsidR="0086131E" w:rsidRPr="00802DBC" w:rsidRDefault="0086131E" w:rsidP="0086131E">
            <w:pPr>
              <w:jc w:val="center"/>
              <w:rPr>
                <w:rFonts w:ascii="Arial Narrow" w:hAnsi="Arial Narrow"/>
                <w:sz w:val="20"/>
              </w:rPr>
            </w:pPr>
            <w:r w:rsidRPr="00802DBC">
              <w:rPr>
                <w:rFonts w:ascii="Arial Narrow" w:hAnsi="Arial Narrow"/>
                <w:sz w:val="20"/>
              </w:rPr>
              <w:t>(50.0%)</w:t>
            </w:r>
          </w:p>
          <w:p w:rsidR="0086131E" w:rsidRPr="00802DBC" w:rsidRDefault="0086131E" w:rsidP="0086131E">
            <w:pPr>
              <w:jc w:val="center"/>
              <w:rPr>
                <w:rFonts w:ascii="Arial Narrow" w:hAnsi="Arial Narrow"/>
                <w:sz w:val="20"/>
              </w:rPr>
            </w:pPr>
            <w:r w:rsidRPr="00802DBC">
              <w:rPr>
                <w:rFonts w:ascii="Arial Narrow" w:hAnsi="Arial Narrow"/>
                <w:sz w:val="20"/>
              </w:rPr>
              <w:t>[23.0, 77.0%]</w:t>
            </w:r>
          </w:p>
        </w:tc>
        <w:tc>
          <w:tcPr>
            <w:tcW w:w="1053" w:type="dxa"/>
            <w:shd w:val="clear" w:color="auto" w:fill="auto"/>
            <w:vAlign w:val="center"/>
          </w:tcPr>
          <w:p w:rsidR="0086131E" w:rsidRPr="00802DBC" w:rsidRDefault="0086131E" w:rsidP="0086131E">
            <w:pPr>
              <w:jc w:val="center"/>
              <w:rPr>
                <w:rFonts w:ascii="Arial Narrow" w:hAnsi="Arial Narrow"/>
                <w:sz w:val="20"/>
              </w:rPr>
            </w:pPr>
            <w:r w:rsidRPr="00802DBC">
              <w:rPr>
                <w:rFonts w:ascii="Arial Narrow" w:hAnsi="Arial Narrow"/>
                <w:sz w:val="20"/>
              </w:rPr>
              <w:t>4/4</w:t>
            </w:r>
          </w:p>
          <w:p w:rsidR="0086131E" w:rsidRPr="00802DBC" w:rsidRDefault="0086131E" w:rsidP="0086131E">
            <w:pPr>
              <w:jc w:val="center"/>
              <w:rPr>
                <w:rFonts w:ascii="Arial Narrow" w:hAnsi="Arial Narrow"/>
                <w:sz w:val="20"/>
              </w:rPr>
            </w:pPr>
            <w:r w:rsidRPr="00802DBC">
              <w:rPr>
                <w:rFonts w:ascii="Arial Narrow" w:hAnsi="Arial Narrow"/>
                <w:sz w:val="20"/>
              </w:rPr>
              <w:t>(100.0%)</w:t>
            </w:r>
          </w:p>
          <w:p w:rsidR="0086131E" w:rsidRPr="00802DBC" w:rsidRDefault="0086131E" w:rsidP="0086131E">
            <w:pPr>
              <w:jc w:val="center"/>
              <w:rPr>
                <w:rFonts w:ascii="Arial Narrow" w:hAnsi="Arial Narrow"/>
                <w:sz w:val="20"/>
              </w:rPr>
            </w:pPr>
            <w:r w:rsidRPr="00802DBC">
              <w:rPr>
                <w:rFonts w:ascii="Arial Narrow" w:hAnsi="Arial Narrow"/>
                <w:sz w:val="20"/>
              </w:rPr>
              <w:t>[39.8, 100%]</w:t>
            </w:r>
          </w:p>
        </w:tc>
        <w:tc>
          <w:tcPr>
            <w:tcW w:w="1053" w:type="dxa"/>
            <w:shd w:val="clear" w:color="auto" w:fill="auto"/>
            <w:vAlign w:val="center"/>
          </w:tcPr>
          <w:p w:rsidR="0086131E" w:rsidRPr="00802DBC" w:rsidRDefault="0086131E" w:rsidP="0086131E">
            <w:pPr>
              <w:jc w:val="center"/>
              <w:rPr>
                <w:rFonts w:ascii="Arial Narrow" w:hAnsi="Arial Narrow"/>
                <w:i/>
                <w:sz w:val="20"/>
              </w:rPr>
            </w:pPr>
            <w:r w:rsidRPr="00802DBC">
              <w:rPr>
                <w:rFonts w:ascii="Arial Narrow" w:hAnsi="Arial Narrow"/>
                <w:i/>
                <w:sz w:val="20"/>
              </w:rPr>
              <w:t>-</w:t>
            </w:r>
          </w:p>
        </w:tc>
        <w:tc>
          <w:tcPr>
            <w:tcW w:w="1053" w:type="dxa"/>
            <w:shd w:val="clear" w:color="auto" w:fill="auto"/>
            <w:vAlign w:val="center"/>
          </w:tcPr>
          <w:p w:rsidR="0086131E" w:rsidRPr="00802DBC" w:rsidRDefault="0086131E" w:rsidP="0086131E">
            <w:pPr>
              <w:jc w:val="center"/>
              <w:rPr>
                <w:rFonts w:ascii="Arial Narrow" w:hAnsi="Arial Narrow"/>
                <w:i/>
                <w:sz w:val="20"/>
              </w:rPr>
            </w:pPr>
            <w:r w:rsidRPr="00802DBC">
              <w:rPr>
                <w:rFonts w:ascii="Arial Narrow" w:hAnsi="Arial Narrow"/>
                <w:i/>
                <w:sz w:val="20"/>
              </w:rPr>
              <w:t>0</w:t>
            </w:r>
          </w:p>
        </w:tc>
        <w:tc>
          <w:tcPr>
            <w:tcW w:w="1053" w:type="dxa"/>
            <w:shd w:val="clear" w:color="auto" w:fill="auto"/>
            <w:vAlign w:val="center"/>
          </w:tcPr>
          <w:p w:rsidR="0086131E" w:rsidRPr="00802DBC" w:rsidRDefault="0086131E" w:rsidP="0086131E">
            <w:pPr>
              <w:jc w:val="center"/>
              <w:rPr>
                <w:rFonts w:ascii="Arial Narrow" w:hAnsi="Arial Narrow"/>
                <w:sz w:val="20"/>
              </w:rPr>
            </w:pPr>
            <w:r w:rsidRPr="00802DBC">
              <w:rPr>
                <w:rFonts w:ascii="Arial Narrow" w:hAnsi="Arial Narrow"/>
                <w:sz w:val="20"/>
              </w:rPr>
              <w:t xml:space="preserve">75/90 (83.3%) </w:t>
            </w:r>
          </w:p>
          <w:p w:rsidR="0086131E" w:rsidRPr="00802DBC" w:rsidRDefault="0086131E" w:rsidP="0086131E">
            <w:pPr>
              <w:jc w:val="center"/>
              <w:rPr>
                <w:rFonts w:ascii="Arial Narrow" w:hAnsi="Arial Narrow"/>
                <w:i/>
                <w:sz w:val="20"/>
              </w:rPr>
            </w:pPr>
            <w:r w:rsidRPr="00802DBC">
              <w:rPr>
                <w:rFonts w:ascii="Arial Narrow" w:hAnsi="Arial Narrow"/>
                <w:sz w:val="20"/>
              </w:rPr>
              <w:t>[74.0, 90.4%]</w:t>
            </w:r>
          </w:p>
        </w:tc>
      </w:tr>
      <w:tr w:rsidR="0086131E" w:rsidRPr="00802DBC" w:rsidTr="0086131E">
        <w:trPr>
          <w:cantSplit/>
        </w:trPr>
        <w:tc>
          <w:tcPr>
            <w:tcW w:w="851" w:type="dxa"/>
            <w:shd w:val="clear" w:color="auto" w:fill="D9D9D9" w:themeFill="background1" w:themeFillShade="D9"/>
            <w:vAlign w:val="center"/>
          </w:tcPr>
          <w:p w:rsidR="0086131E" w:rsidRPr="00802DBC" w:rsidRDefault="0086131E" w:rsidP="0086131E">
            <w:pPr>
              <w:jc w:val="center"/>
              <w:rPr>
                <w:rFonts w:ascii="Arial Narrow" w:hAnsi="Arial Narrow"/>
                <w:bCs/>
                <w:sz w:val="20"/>
              </w:rPr>
            </w:pPr>
            <w:r w:rsidRPr="00802DBC">
              <w:rPr>
                <w:rFonts w:ascii="Arial Narrow" w:hAnsi="Arial Narrow"/>
                <w:bCs/>
                <w:sz w:val="20"/>
              </w:rPr>
              <w:t xml:space="preserve">SOF/VEL +RBV </w:t>
            </w:r>
          </w:p>
          <w:p w:rsidR="0086131E" w:rsidRPr="00802DBC" w:rsidRDefault="0086131E" w:rsidP="0086131E">
            <w:pPr>
              <w:jc w:val="center"/>
              <w:rPr>
                <w:rFonts w:ascii="Arial Narrow" w:hAnsi="Arial Narrow"/>
                <w:sz w:val="20"/>
              </w:rPr>
            </w:pPr>
            <w:r w:rsidRPr="00802DBC">
              <w:rPr>
                <w:rFonts w:ascii="Arial Narrow" w:hAnsi="Arial Narrow"/>
                <w:bCs/>
                <w:sz w:val="20"/>
              </w:rPr>
              <w:t>12 weeks</w:t>
            </w:r>
          </w:p>
        </w:tc>
        <w:tc>
          <w:tcPr>
            <w:tcW w:w="1053" w:type="dxa"/>
            <w:shd w:val="clear" w:color="auto" w:fill="D9D9D9" w:themeFill="background1" w:themeFillShade="D9"/>
            <w:vAlign w:val="center"/>
          </w:tcPr>
          <w:p w:rsidR="0086131E" w:rsidRPr="00802DBC" w:rsidRDefault="0086131E" w:rsidP="0086131E">
            <w:pPr>
              <w:pStyle w:val="TableCentre"/>
              <w:rPr>
                <w:rFonts w:ascii="Arial Narrow" w:hAnsi="Arial Narrow"/>
                <w:iCs/>
                <w:szCs w:val="20"/>
              </w:rPr>
            </w:pPr>
            <w:r w:rsidRPr="00802DBC">
              <w:rPr>
                <w:rFonts w:ascii="Arial Narrow" w:hAnsi="Arial Narrow"/>
                <w:iCs/>
                <w:szCs w:val="20"/>
              </w:rPr>
              <w:t>65/68</w:t>
            </w:r>
          </w:p>
          <w:p w:rsidR="0086131E" w:rsidRPr="00802DBC" w:rsidRDefault="0086131E" w:rsidP="0086131E">
            <w:pPr>
              <w:jc w:val="center"/>
              <w:rPr>
                <w:rFonts w:ascii="Arial Narrow" w:hAnsi="Arial Narrow"/>
                <w:sz w:val="20"/>
              </w:rPr>
            </w:pPr>
            <w:r w:rsidRPr="00802DBC">
              <w:rPr>
                <w:rFonts w:ascii="Arial Narrow" w:hAnsi="Arial Narrow"/>
                <w:iCs/>
                <w:sz w:val="20"/>
              </w:rPr>
              <w:t>(95.6%) [87.6, 99.1%]</w:t>
            </w:r>
          </w:p>
        </w:tc>
        <w:tc>
          <w:tcPr>
            <w:tcW w:w="1053" w:type="dxa"/>
            <w:shd w:val="clear" w:color="auto" w:fill="D9D9D9" w:themeFill="background1" w:themeFillShade="D9"/>
            <w:vAlign w:val="center"/>
          </w:tcPr>
          <w:p w:rsidR="0086131E" w:rsidRPr="00802DBC" w:rsidRDefault="0086131E" w:rsidP="0086131E">
            <w:pPr>
              <w:pStyle w:val="TableCentre"/>
              <w:rPr>
                <w:rFonts w:ascii="Arial Narrow" w:hAnsi="Arial Narrow"/>
                <w:iCs/>
                <w:szCs w:val="20"/>
              </w:rPr>
            </w:pPr>
            <w:r w:rsidRPr="00802DBC">
              <w:rPr>
                <w:rFonts w:ascii="Arial Narrow" w:hAnsi="Arial Narrow"/>
                <w:iCs/>
                <w:szCs w:val="20"/>
              </w:rPr>
              <w:t>4/4</w:t>
            </w:r>
          </w:p>
          <w:p w:rsidR="0086131E" w:rsidRPr="00802DBC" w:rsidRDefault="0086131E" w:rsidP="0086131E">
            <w:pPr>
              <w:jc w:val="center"/>
              <w:rPr>
                <w:rFonts w:ascii="Arial Narrow" w:hAnsi="Arial Narrow"/>
                <w:sz w:val="20"/>
              </w:rPr>
            </w:pPr>
            <w:r w:rsidRPr="00802DBC">
              <w:rPr>
                <w:rFonts w:ascii="Arial Narrow" w:hAnsi="Arial Narrow"/>
                <w:iCs/>
                <w:sz w:val="20"/>
              </w:rPr>
              <w:t>(100.0%) [39.8, 100%]</w:t>
            </w:r>
          </w:p>
        </w:tc>
        <w:tc>
          <w:tcPr>
            <w:tcW w:w="1053" w:type="dxa"/>
            <w:shd w:val="clear" w:color="auto" w:fill="D9D9D9" w:themeFill="background1" w:themeFillShade="D9"/>
            <w:vAlign w:val="center"/>
          </w:tcPr>
          <w:p w:rsidR="0086131E" w:rsidRPr="00802DBC" w:rsidRDefault="0086131E" w:rsidP="0086131E">
            <w:pPr>
              <w:pStyle w:val="TableCentre"/>
              <w:rPr>
                <w:rFonts w:ascii="Arial Narrow" w:hAnsi="Arial Narrow"/>
                <w:iCs/>
                <w:szCs w:val="20"/>
              </w:rPr>
            </w:pPr>
            <w:r w:rsidRPr="00802DBC">
              <w:rPr>
                <w:rFonts w:ascii="Arial Narrow" w:hAnsi="Arial Narrow"/>
                <w:iCs/>
                <w:szCs w:val="20"/>
              </w:rPr>
              <w:t>11/13</w:t>
            </w:r>
          </w:p>
          <w:p w:rsidR="0086131E" w:rsidRPr="00802DBC" w:rsidRDefault="0086131E" w:rsidP="0086131E">
            <w:pPr>
              <w:jc w:val="center"/>
              <w:rPr>
                <w:rFonts w:ascii="Arial Narrow" w:hAnsi="Arial Narrow"/>
                <w:sz w:val="20"/>
              </w:rPr>
            </w:pPr>
            <w:r w:rsidRPr="00802DBC">
              <w:rPr>
                <w:rFonts w:ascii="Arial Narrow" w:hAnsi="Arial Narrow"/>
                <w:iCs/>
                <w:sz w:val="20"/>
              </w:rPr>
              <w:t>(84.6%) [54.6, 98.1%]</w:t>
            </w:r>
          </w:p>
        </w:tc>
        <w:tc>
          <w:tcPr>
            <w:tcW w:w="1053" w:type="dxa"/>
            <w:shd w:val="clear" w:color="auto" w:fill="D9D9D9" w:themeFill="background1" w:themeFillShade="D9"/>
            <w:vAlign w:val="center"/>
          </w:tcPr>
          <w:p w:rsidR="0086131E" w:rsidRPr="00802DBC" w:rsidRDefault="0086131E" w:rsidP="0086131E">
            <w:pPr>
              <w:pStyle w:val="TableCentre"/>
              <w:rPr>
                <w:rFonts w:ascii="Arial Narrow" w:hAnsi="Arial Narrow"/>
                <w:iCs/>
                <w:szCs w:val="20"/>
              </w:rPr>
            </w:pPr>
            <w:r w:rsidRPr="00802DBC">
              <w:rPr>
                <w:rFonts w:ascii="Arial Narrow" w:hAnsi="Arial Narrow"/>
                <w:iCs/>
                <w:szCs w:val="20"/>
              </w:rPr>
              <w:t>2/2</w:t>
            </w:r>
          </w:p>
          <w:p w:rsidR="0086131E" w:rsidRPr="00802DBC" w:rsidRDefault="0086131E" w:rsidP="0086131E">
            <w:pPr>
              <w:jc w:val="center"/>
              <w:rPr>
                <w:rFonts w:ascii="Arial Narrow" w:hAnsi="Arial Narrow"/>
                <w:sz w:val="20"/>
              </w:rPr>
            </w:pPr>
            <w:r w:rsidRPr="00802DBC">
              <w:rPr>
                <w:rFonts w:ascii="Arial Narrow" w:hAnsi="Arial Narrow"/>
                <w:iCs/>
                <w:sz w:val="20"/>
              </w:rPr>
              <w:t>(100.0%) [15.8, 100%]</w:t>
            </w:r>
          </w:p>
        </w:tc>
        <w:tc>
          <w:tcPr>
            <w:tcW w:w="1053" w:type="dxa"/>
            <w:shd w:val="clear" w:color="auto" w:fill="D9D9D9" w:themeFill="background1" w:themeFillShade="D9"/>
            <w:vAlign w:val="center"/>
          </w:tcPr>
          <w:p w:rsidR="0086131E" w:rsidRPr="00802DBC" w:rsidRDefault="0086131E" w:rsidP="0086131E">
            <w:pPr>
              <w:jc w:val="center"/>
              <w:rPr>
                <w:rFonts w:ascii="Arial Narrow" w:hAnsi="Arial Narrow"/>
                <w:sz w:val="20"/>
              </w:rPr>
            </w:pPr>
            <w:r w:rsidRPr="00802DBC">
              <w:rPr>
                <w:rFonts w:ascii="Arial Narrow" w:hAnsi="Arial Narrow"/>
                <w:sz w:val="20"/>
              </w:rPr>
              <w:t>-</w:t>
            </w:r>
          </w:p>
        </w:tc>
        <w:tc>
          <w:tcPr>
            <w:tcW w:w="1053" w:type="dxa"/>
            <w:shd w:val="clear" w:color="auto" w:fill="D9D9D9" w:themeFill="background1" w:themeFillShade="D9"/>
            <w:vAlign w:val="center"/>
          </w:tcPr>
          <w:p w:rsidR="0086131E" w:rsidRPr="00802DBC" w:rsidRDefault="0086131E" w:rsidP="0086131E">
            <w:pPr>
              <w:jc w:val="center"/>
              <w:rPr>
                <w:rFonts w:ascii="Arial Narrow" w:hAnsi="Arial Narrow"/>
                <w:sz w:val="20"/>
              </w:rPr>
            </w:pPr>
            <w:r w:rsidRPr="00802DBC">
              <w:rPr>
                <w:rFonts w:ascii="Arial Narrow" w:hAnsi="Arial Narrow"/>
                <w:sz w:val="20"/>
              </w:rPr>
              <w:t>0</w:t>
            </w:r>
          </w:p>
        </w:tc>
        <w:tc>
          <w:tcPr>
            <w:tcW w:w="1053" w:type="dxa"/>
            <w:shd w:val="clear" w:color="auto" w:fill="D9D9D9" w:themeFill="background1" w:themeFillShade="D9"/>
            <w:vAlign w:val="center"/>
          </w:tcPr>
          <w:p w:rsidR="0086131E" w:rsidRPr="00802DBC" w:rsidRDefault="0086131E" w:rsidP="0086131E">
            <w:pPr>
              <w:pStyle w:val="TableCentre"/>
              <w:rPr>
                <w:rFonts w:ascii="Arial Narrow" w:hAnsi="Arial Narrow"/>
                <w:iCs/>
                <w:szCs w:val="20"/>
              </w:rPr>
            </w:pPr>
            <w:r w:rsidRPr="00802DBC">
              <w:rPr>
                <w:rFonts w:ascii="Arial Narrow" w:hAnsi="Arial Narrow"/>
                <w:iCs/>
                <w:szCs w:val="20"/>
              </w:rPr>
              <w:t>82/87</w:t>
            </w:r>
          </w:p>
          <w:p w:rsidR="0086131E" w:rsidRPr="00802DBC" w:rsidRDefault="0086131E" w:rsidP="0086131E">
            <w:pPr>
              <w:jc w:val="center"/>
              <w:rPr>
                <w:rFonts w:ascii="Arial Narrow" w:hAnsi="Arial Narrow"/>
                <w:iCs/>
                <w:sz w:val="20"/>
              </w:rPr>
            </w:pPr>
            <w:r w:rsidRPr="00802DBC">
              <w:rPr>
                <w:rFonts w:ascii="Arial Narrow" w:hAnsi="Arial Narrow"/>
                <w:iCs/>
                <w:sz w:val="20"/>
              </w:rPr>
              <w:t>(94.3%)</w:t>
            </w:r>
          </w:p>
          <w:p w:rsidR="0086131E" w:rsidRPr="00802DBC" w:rsidRDefault="0086131E" w:rsidP="0086131E">
            <w:pPr>
              <w:jc w:val="center"/>
              <w:rPr>
                <w:rFonts w:ascii="Arial Narrow" w:hAnsi="Arial Narrow"/>
                <w:sz w:val="20"/>
              </w:rPr>
            </w:pPr>
            <w:r w:rsidRPr="00802DBC">
              <w:rPr>
                <w:rFonts w:ascii="Arial Narrow" w:hAnsi="Arial Narrow"/>
                <w:iCs/>
                <w:sz w:val="20"/>
              </w:rPr>
              <w:t>[87.1, 98.1%]</w:t>
            </w:r>
          </w:p>
        </w:tc>
      </w:tr>
      <w:tr w:rsidR="0086131E" w:rsidRPr="00802DBC" w:rsidTr="0086131E">
        <w:trPr>
          <w:cantSplit/>
        </w:trPr>
        <w:tc>
          <w:tcPr>
            <w:tcW w:w="851" w:type="dxa"/>
            <w:shd w:val="clear" w:color="auto" w:fill="auto"/>
            <w:vAlign w:val="center"/>
          </w:tcPr>
          <w:p w:rsidR="0086131E" w:rsidRPr="00802DBC" w:rsidRDefault="0086131E" w:rsidP="0086131E">
            <w:pPr>
              <w:jc w:val="center"/>
              <w:rPr>
                <w:rFonts w:ascii="Arial Narrow" w:hAnsi="Arial Narrow"/>
                <w:sz w:val="20"/>
              </w:rPr>
            </w:pPr>
            <w:r w:rsidRPr="00802DBC">
              <w:rPr>
                <w:rFonts w:ascii="Arial Narrow" w:hAnsi="Arial Narrow"/>
                <w:bCs/>
                <w:sz w:val="20"/>
              </w:rPr>
              <w:t>SOF/VEL 24 weeks</w:t>
            </w:r>
          </w:p>
        </w:tc>
        <w:tc>
          <w:tcPr>
            <w:tcW w:w="1053" w:type="dxa"/>
            <w:vAlign w:val="center"/>
          </w:tcPr>
          <w:p w:rsidR="0086131E" w:rsidRPr="00802DBC" w:rsidRDefault="0086131E" w:rsidP="0086131E">
            <w:pPr>
              <w:jc w:val="center"/>
              <w:rPr>
                <w:rFonts w:ascii="Arial Narrow" w:hAnsi="Arial Narrow"/>
                <w:sz w:val="20"/>
              </w:rPr>
            </w:pPr>
            <w:r w:rsidRPr="00802DBC">
              <w:rPr>
                <w:rFonts w:ascii="Arial Narrow" w:hAnsi="Arial Narrow"/>
                <w:sz w:val="20"/>
              </w:rPr>
              <w:t>65/71</w:t>
            </w:r>
          </w:p>
          <w:p w:rsidR="0086131E" w:rsidRPr="00802DBC" w:rsidRDefault="0086131E" w:rsidP="0086131E">
            <w:pPr>
              <w:jc w:val="center"/>
              <w:rPr>
                <w:rFonts w:ascii="Arial Narrow" w:hAnsi="Arial Narrow"/>
                <w:sz w:val="20"/>
              </w:rPr>
            </w:pPr>
            <w:r w:rsidRPr="00802DBC">
              <w:rPr>
                <w:rFonts w:ascii="Arial Narrow" w:hAnsi="Arial Narrow"/>
                <w:sz w:val="20"/>
              </w:rPr>
              <w:t>(91.5%)</w:t>
            </w:r>
          </w:p>
          <w:p w:rsidR="0086131E" w:rsidRPr="00802DBC" w:rsidRDefault="0086131E" w:rsidP="0086131E">
            <w:pPr>
              <w:jc w:val="center"/>
              <w:rPr>
                <w:rFonts w:ascii="Arial Narrow" w:hAnsi="Arial Narrow"/>
                <w:sz w:val="20"/>
              </w:rPr>
            </w:pPr>
            <w:r w:rsidRPr="00802DBC">
              <w:rPr>
                <w:rFonts w:ascii="Arial Narrow" w:hAnsi="Arial Narrow"/>
                <w:sz w:val="20"/>
              </w:rPr>
              <w:t>[82.5, 96.8%]</w:t>
            </w:r>
          </w:p>
        </w:tc>
        <w:tc>
          <w:tcPr>
            <w:tcW w:w="1053" w:type="dxa"/>
            <w:vAlign w:val="center"/>
          </w:tcPr>
          <w:p w:rsidR="0086131E" w:rsidRPr="00802DBC" w:rsidRDefault="0086131E" w:rsidP="0086131E">
            <w:pPr>
              <w:jc w:val="center"/>
              <w:rPr>
                <w:rFonts w:ascii="Arial Narrow" w:hAnsi="Arial Narrow"/>
                <w:sz w:val="20"/>
              </w:rPr>
            </w:pPr>
            <w:r w:rsidRPr="00802DBC">
              <w:rPr>
                <w:rFonts w:ascii="Arial Narrow" w:hAnsi="Arial Narrow"/>
                <w:sz w:val="20"/>
              </w:rPr>
              <w:t>3/4</w:t>
            </w:r>
          </w:p>
          <w:p w:rsidR="0086131E" w:rsidRPr="00802DBC" w:rsidRDefault="0086131E" w:rsidP="0086131E">
            <w:pPr>
              <w:jc w:val="center"/>
              <w:rPr>
                <w:rFonts w:ascii="Arial Narrow" w:hAnsi="Arial Narrow"/>
                <w:sz w:val="20"/>
              </w:rPr>
            </w:pPr>
            <w:r w:rsidRPr="00802DBC">
              <w:rPr>
                <w:rFonts w:ascii="Arial Narrow" w:hAnsi="Arial Narrow"/>
                <w:sz w:val="20"/>
              </w:rPr>
              <w:t>(75.0%)</w:t>
            </w:r>
          </w:p>
          <w:p w:rsidR="0086131E" w:rsidRPr="00802DBC" w:rsidRDefault="0086131E" w:rsidP="0086131E">
            <w:pPr>
              <w:jc w:val="center"/>
              <w:rPr>
                <w:rFonts w:ascii="Arial Narrow" w:hAnsi="Arial Narrow"/>
                <w:sz w:val="20"/>
              </w:rPr>
            </w:pPr>
            <w:r w:rsidRPr="00802DBC">
              <w:rPr>
                <w:rFonts w:ascii="Arial Narrow" w:hAnsi="Arial Narrow"/>
                <w:sz w:val="20"/>
              </w:rPr>
              <w:t>[19.4, 99.4%]</w:t>
            </w:r>
          </w:p>
        </w:tc>
        <w:tc>
          <w:tcPr>
            <w:tcW w:w="1053" w:type="dxa"/>
            <w:shd w:val="clear" w:color="auto" w:fill="auto"/>
            <w:vAlign w:val="center"/>
          </w:tcPr>
          <w:p w:rsidR="0086131E" w:rsidRPr="00802DBC" w:rsidRDefault="0086131E" w:rsidP="0086131E">
            <w:pPr>
              <w:jc w:val="center"/>
              <w:rPr>
                <w:rFonts w:ascii="Arial Narrow" w:hAnsi="Arial Narrow"/>
                <w:sz w:val="20"/>
              </w:rPr>
            </w:pPr>
            <w:r w:rsidRPr="00802DBC">
              <w:rPr>
                <w:rFonts w:ascii="Arial Narrow" w:hAnsi="Arial Narrow"/>
                <w:sz w:val="20"/>
              </w:rPr>
              <w:t>6/12</w:t>
            </w:r>
          </w:p>
          <w:p w:rsidR="0086131E" w:rsidRPr="00802DBC" w:rsidRDefault="0086131E" w:rsidP="0086131E">
            <w:pPr>
              <w:jc w:val="center"/>
              <w:rPr>
                <w:rFonts w:ascii="Arial Narrow" w:hAnsi="Arial Narrow"/>
                <w:sz w:val="20"/>
              </w:rPr>
            </w:pPr>
            <w:r w:rsidRPr="00802DBC">
              <w:rPr>
                <w:rFonts w:ascii="Arial Narrow" w:hAnsi="Arial Narrow"/>
                <w:sz w:val="20"/>
              </w:rPr>
              <w:t>(50.0%)</w:t>
            </w:r>
          </w:p>
          <w:p w:rsidR="0086131E" w:rsidRPr="00802DBC" w:rsidRDefault="0086131E" w:rsidP="0086131E">
            <w:pPr>
              <w:jc w:val="center"/>
              <w:rPr>
                <w:rFonts w:ascii="Arial Narrow" w:hAnsi="Arial Narrow"/>
                <w:sz w:val="20"/>
              </w:rPr>
            </w:pPr>
            <w:r w:rsidRPr="00802DBC">
              <w:rPr>
                <w:rFonts w:ascii="Arial Narrow" w:hAnsi="Arial Narrow"/>
                <w:sz w:val="20"/>
              </w:rPr>
              <w:t>[21.1, 78.9%]</w:t>
            </w:r>
          </w:p>
        </w:tc>
        <w:tc>
          <w:tcPr>
            <w:tcW w:w="1053" w:type="dxa"/>
            <w:shd w:val="clear" w:color="auto" w:fill="auto"/>
            <w:vAlign w:val="center"/>
          </w:tcPr>
          <w:p w:rsidR="0086131E" w:rsidRPr="00802DBC" w:rsidRDefault="0086131E" w:rsidP="0086131E">
            <w:pPr>
              <w:jc w:val="center"/>
              <w:rPr>
                <w:rFonts w:ascii="Arial Narrow" w:hAnsi="Arial Narrow"/>
                <w:sz w:val="20"/>
              </w:rPr>
            </w:pPr>
            <w:r w:rsidRPr="00802DBC">
              <w:rPr>
                <w:rFonts w:ascii="Arial Narrow" w:hAnsi="Arial Narrow"/>
                <w:sz w:val="20"/>
              </w:rPr>
              <w:t>2/2</w:t>
            </w:r>
          </w:p>
          <w:p w:rsidR="0086131E" w:rsidRPr="00802DBC" w:rsidRDefault="0086131E" w:rsidP="0086131E">
            <w:pPr>
              <w:jc w:val="center"/>
              <w:rPr>
                <w:rFonts w:ascii="Arial Narrow" w:hAnsi="Arial Narrow"/>
                <w:sz w:val="20"/>
              </w:rPr>
            </w:pPr>
            <w:r w:rsidRPr="00802DBC">
              <w:rPr>
                <w:rFonts w:ascii="Arial Narrow" w:hAnsi="Arial Narrow"/>
                <w:sz w:val="20"/>
              </w:rPr>
              <w:t>(100.0%)</w:t>
            </w:r>
          </w:p>
          <w:p w:rsidR="0086131E" w:rsidRPr="00802DBC" w:rsidRDefault="0086131E" w:rsidP="0086131E">
            <w:pPr>
              <w:jc w:val="center"/>
              <w:rPr>
                <w:rFonts w:ascii="Arial Narrow" w:hAnsi="Arial Narrow"/>
                <w:sz w:val="20"/>
              </w:rPr>
            </w:pPr>
            <w:r w:rsidRPr="00802DBC">
              <w:rPr>
                <w:rFonts w:ascii="Arial Narrow" w:hAnsi="Arial Narrow"/>
                <w:sz w:val="20"/>
              </w:rPr>
              <w:t>[15.8, 100%]</w:t>
            </w:r>
          </w:p>
        </w:tc>
        <w:tc>
          <w:tcPr>
            <w:tcW w:w="1053" w:type="dxa"/>
            <w:shd w:val="clear" w:color="auto" w:fill="auto"/>
            <w:vAlign w:val="center"/>
          </w:tcPr>
          <w:p w:rsidR="0086131E" w:rsidRPr="00802DBC" w:rsidRDefault="0086131E" w:rsidP="0086131E">
            <w:pPr>
              <w:jc w:val="center"/>
              <w:rPr>
                <w:rFonts w:ascii="Arial Narrow" w:hAnsi="Arial Narrow"/>
                <w:sz w:val="20"/>
              </w:rPr>
            </w:pPr>
            <w:r w:rsidRPr="00802DBC">
              <w:rPr>
                <w:rFonts w:ascii="Arial Narrow" w:hAnsi="Arial Narrow"/>
                <w:sz w:val="20"/>
              </w:rPr>
              <w:t>-</w:t>
            </w:r>
          </w:p>
        </w:tc>
        <w:tc>
          <w:tcPr>
            <w:tcW w:w="1053" w:type="dxa"/>
            <w:shd w:val="clear" w:color="auto" w:fill="auto"/>
            <w:vAlign w:val="center"/>
          </w:tcPr>
          <w:p w:rsidR="0086131E" w:rsidRPr="00802DBC" w:rsidRDefault="0086131E" w:rsidP="0086131E">
            <w:pPr>
              <w:jc w:val="center"/>
              <w:rPr>
                <w:rFonts w:ascii="Arial Narrow" w:hAnsi="Arial Narrow"/>
                <w:sz w:val="20"/>
              </w:rPr>
            </w:pPr>
            <w:r w:rsidRPr="00802DBC">
              <w:rPr>
                <w:rFonts w:ascii="Arial Narrow" w:hAnsi="Arial Narrow"/>
                <w:sz w:val="20"/>
              </w:rPr>
              <w:t xml:space="preserve">1/1 </w:t>
            </w:r>
          </w:p>
          <w:p w:rsidR="0086131E" w:rsidRPr="00802DBC" w:rsidRDefault="0086131E" w:rsidP="0086131E">
            <w:pPr>
              <w:jc w:val="center"/>
              <w:rPr>
                <w:rFonts w:ascii="Arial Narrow" w:hAnsi="Arial Narrow"/>
                <w:sz w:val="20"/>
              </w:rPr>
            </w:pPr>
            <w:r w:rsidRPr="00802DBC">
              <w:rPr>
                <w:rFonts w:ascii="Arial Narrow" w:hAnsi="Arial Narrow"/>
                <w:sz w:val="20"/>
              </w:rPr>
              <w:t>(100.0%) [2.5, 100%]</w:t>
            </w:r>
          </w:p>
        </w:tc>
        <w:tc>
          <w:tcPr>
            <w:tcW w:w="1053" w:type="dxa"/>
            <w:shd w:val="clear" w:color="auto" w:fill="auto"/>
            <w:vAlign w:val="center"/>
          </w:tcPr>
          <w:p w:rsidR="0086131E" w:rsidRPr="00802DBC" w:rsidRDefault="0086131E" w:rsidP="0086131E">
            <w:pPr>
              <w:jc w:val="center"/>
              <w:rPr>
                <w:rFonts w:ascii="Arial Narrow" w:hAnsi="Arial Narrow"/>
                <w:sz w:val="20"/>
              </w:rPr>
            </w:pPr>
            <w:r w:rsidRPr="00802DBC">
              <w:rPr>
                <w:rFonts w:ascii="Arial Narrow" w:hAnsi="Arial Narrow"/>
                <w:sz w:val="20"/>
              </w:rPr>
              <w:t xml:space="preserve">77/90 (85.6%) </w:t>
            </w:r>
          </w:p>
          <w:p w:rsidR="0086131E" w:rsidRPr="00802DBC" w:rsidRDefault="0086131E" w:rsidP="0086131E">
            <w:pPr>
              <w:jc w:val="center"/>
              <w:rPr>
                <w:rFonts w:ascii="Arial Narrow" w:hAnsi="Arial Narrow"/>
                <w:sz w:val="20"/>
              </w:rPr>
            </w:pPr>
            <w:r w:rsidRPr="00802DBC">
              <w:rPr>
                <w:rFonts w:ascii="Arial Narrow" w:hAnsi="Arial Narrow"/>
                <w:sz w:val="20"/>
              </w:rPr>
              <w:t>[76.6, 92.1%]</w:t>
            </w:r>
          </w:p>
        </w:tc>
      </w:tr>
    </w:tbl>
    <w:p w:rsidR="001472BB" w:rsidRPr="00802DBC" w:rsidRDefault="001472BB" w:rsidP="001472BB">
      <w:pPr>
        <w:ind w:left="720"/>
        <w:rPr>
          <w:rFonts w:ascii="Arial Narrow" w:hAnsi="Arial Narrow"/>
          <w:sz w:val="18"/>
          <w:szCs w:val="18"/>
        </w:rPr>
      </w:pPr>
      <w:r w:rsidRPr="00802DBC">
        <w:rPr>
          <w:rFonts w:ascii="Arial Narrow" w:hAnsi="Arial Narrow"/>
          <w:sz w:val="18"/>
          <w:szCs w:val="18"/>
        </w:rPr>
        <w:t xml:space="preserve">Source: Adapted </w:t>
      </w:r>
      <w:r>
        <w:rPr>
          <w:rFonts w:ascii="Arial Narrow" w:hAnsi="Arial Narrow"/>
          <w:sz w:val="18"/>
          <w:szCs w:val="18"/>
        </w:rPr>
        <w:t>from Table</w:t>
      </w:r>
      <w:r w:rsidRPr="00802DBC">
        <w:rPr>
          <w:rFonts w:ascii="Arial Narrow" w:hAnsi="Arial Narrow"/>
          <w:sz w:val="18"/>
          <w:szCs w:val="18"/>
        </w:rPr>
        <w:t xml:space="preserve"> B-46, p 126 of the submission</w:t>
      </w:r>
    </w:p>
    <w:p w:rsidR="001472BB" w:rsidRPr="00802DBC" w:rsidRDefault="001472BB" w:rsidP="00FB010B">
      <w:pPr>
        <w:ind w:left="720"/>
        <w:rPr>
          <w:rFonts w:ascii="Arial Narrow" w:hAnsi="Arial Narrow"/>
          <w:sz w:val="18"/>
          <w:szCs w:val="18"/>
        </w:rPr>
      </w:pPr>
      <w:r w:rsidRPr="00802DBC">
        <w:rPr>
          <w:rFonts w:ascii="Arial Narrow" w:hAnsi="Arial Narrow"/>
          <w:sz w:val="18"/>
          <w:szCs w:val="18"/>
        </w:rPr>
        <w:t>Abbreviations: CI = confidence interval; CPT = Child-Pugh-Turcotte; Gt = genotype; SOF/VEL12 = sofosbuvir/velpatasvir FDC for 12 weeks; SOF/VEL24 = sofosbuvir/velpatasvir FDC for 24 weeks; SOF/VEL+RBV12 = sofosbuvir/velpatasvir FDC plus ribavirin for 12 weeks</w:t>
      </w:r>
      <w:r w:rsidRPr="00802DBC">
        <w:rPr>
          <w:rFonts w:ascii="Arial Narrow" w:hAnsi="Arial Narrow"/>
          <w:sz w:val="18"/>
          <w:szCs w:val="14"/>
        </w:rPr>
        <w:t xml:space="preserve">; </w:t>
      </w:r>
      <w:r w:rsidRPr="00802DBC">
        <w:rPr>
          <w:rFonts w:ascii="Arial Narrow" w:hAnsi="Arial Narrow"/>
          <w:sz w:val="18"/>
          <w:szCs w:val="18"/>
        </w:rPr>
        <w:t>SVR12 = sustained virological response at 12 weeks following the completion of treatment</w:t>
      </w:r>
    </w:p>
    <w:p w:rsidR="001472BB" w:rsidRPr="006D5F77" w:rsidRDefault="001472BB" w:rsidP="001472BB">
      <w:pPr>
        <w:ind w:firstLine="720"/>
        <w:rPr>
          <w:rFonts w:ascii="Arial Narrow" w:hAnsi="Arial Narrow"/>
          <w:iCs/>
          <w:sz w:val="18"/>
          <w:szCs w:val="18"/>
        </w:rPr>
      </w:pPr>
      <w:r w:rsidRPr="006D5F77">
        <w:rPr>
          <w:rFonts w:ascii="Arial Narrow" w:hAnsi="Arial Narrow"/>
          <w:iCs/>
          <w:sz w:val="18"/>
          <w:szCs w:val="18"/>
        </w:rPr>
        <w:t>Note: Shaded cells represent the recommended regimen in the draft PI document.</w:t>
      </w:r>
    </w:p>
    <w:p w:rsidR="001472BB" w:rsidRDefault="001472BB" w:rsidP="001472BB">
      <w:pPr>
        <w:pStyle w:val="ListParagraph"/>
        <w:rPr>
          <w:i/>
          <w:iCs/>
          <w:szCs w:val="22"/>
        </w:rPr>
      </w:pPr>
    </w:p>
    <w:p w:rsidR="00CA6C20" w:rsidRPr="00DA298E" w:rsidRDefault="00CA6C20" w:rsidP="002C4748">
      <w:pPr>
        <w:pStyle w:val="ListParagraph"/>
        <w:widowControl/>
        <w:numPr>
          <w:ilvl w:val="1"/>
          <w:numId w:val="2"/>
        </w:numPr>
        <w:rPr>
          <w:szCs w:val="22"/>
        </w:rPr>
      </w:pPr>
      <w:r w:rsidRPr="00DA298E">
        <w:rPr>
          <w:szCs w:val="22"/>
        </w:rPr>
        <w:t>ASTRAL-4 had three treatment arms: sofosbuvir/velpatasvir FDC for 12 weeks, sofosbuvir/velpatasvir FDC plus ribavirin for 12 weeks (proposed PBS treatment regimen) and sofosbuvir/velpatasvir FDC for 24 weeks.</w:t>
      </w:r>
      <w:r w:rsidRPr="00DA298E">
        <w:rPr>
          <w:iCs/>
          <w:szCs w:val="22"/>
        </w:rPr>
        <w:t xml:space="preserve"> </w:t>
      </w:r>
    </w:p>
    <w:p w:rsidR="00CA6C20" w:rsidRPr="00DA298E" w:rsidRDefault="00CA6C20" w:rsidP="00CA6C20">
      <w:pPr>
        <w:pStyle w:val="ListParagraph"/>
        <w:widowControl/>
        <w:rPr>
          <w:szCs w:val="22"/>
        </w:rPr>
      </w:pPr>
    </w:p>
    <w:p w:rsidR="002B48DD" w:rsidRPr="00DA298E" w:rsidRDefault="00B06DB4" w:rsidP="002C4748">
      <w:pPr>
        <w:pStyle w:val="ListParagraph"/>
        <w:widowControl/>
        <w:numPr>
          <w:ilvl w:val="1"/>
          <w:numId w:val="2"/>
        </w:numPr>
        <w:rPr>
          <w:szCs w:val="22"/>
        </w:rPr>
      </w:pPr>
      <w:r w:rsidRPr="00DA298E">
        <w:rPr>
          <w:iCs/>
          <w:szCs w:val="22"/>
        </w:rPr>
        <w:t>T</w:t>
      </w:r>
      <w:r w:rsidR="002B48DD" w:rsidRPr="00DA298E">
        <w:rPr>
          <w:iCs/>
          <w:szCs w:val="22"/>
        </w:rPr>
        <w:t>he addition of weight-based ribavirin numerically improved SVR12 rates compared to the other treatment arms</w:t>
      </w:r>
      <w:r w:rsidR="000815BB" w:rsidRPr="00DA298E">
        <w:rPr>
          <w:iCs/>
          <w:szCs w:val="22"/>
        </w:rPr>
        <w:t>,</w:t>
      </w:r>
      <w:r w:rsidR="002B48DD" w:rsidRPr="00DA298E">
        <w:rPr>
          <w:iCs/>
          <w:szCs w:val="22"/>
        </w:rPr>
        <w:t xml:space="preserve"> despite </w:t>
      </w:r>
      <w:r w:rsidR="002B48DD" w:rsidRPr="00DA298E">
        <w:rPr>
          <w:iCs/>
        </w:rPr>
        <w:t>suboptimal adherence to the ribavirin therapy</w:t>
      </w:r>
      <w:r w:rsidR="000815BB" w:rsidRPr="00DA298E">
        <w:rPr>
          <w:iCs/>
        </w:rPr>
        <w:t xml:space="preserve">, particularly </w:t>
      </w:r>
      <w:r w:rsidR="00020BEF" w:rsidRPr="00DA298E">
        <w:rPr>
          <w:iCs/>
        </w:rPr>
        <w:t>among patients with HCV genotype 3</w:t>
      </w:r>
      <w:r w:rsidR="00B16173" w:rsidRPr="00DA298E">
        <w:rPr>
          <w:iCs/>
        </w:rPr>
        <w:t>.</w:t>
      </w:r>
      <w:r w:rsidR="000815BB" w:rsidRPr="00DA298E">
        <w:rPr>
          <w:iCs/>
        </w:rPr>
        <w:t xml:space="preserve"> </w:t>
      </w:r>
      <w:r w:rsidR="00C5102C" w:rsidRPr="00DA298E">
        <w:rPr>
          <w:iCs/>
          <w:szCs w:val="22"/>
        </w:rPr>
        <w:t>The SVR12 rates achieved by patients with HCV genotype 3 appeared numerically lower than the SVR12 rates for other HCV genotypes</w:t>
      </w:r>
      <w:r w:rsidR="00226ADC" w:rsidRPr="00DA298E">
        <w:rPr>
          <w:iCs/>
          <w:szCs w:val="22"/>
        </w:rPr>
        <w:t xml:space="preserve"> across treatment arms</w:t>
      </w:r>
      <w:r w:rsidR="00C5102C" w:rsidRPr="00DA298E">
        <w:rPr>
          <w:iCs/>
          <w:szCs w:val="22"/>
        </w:rPr>
        <w:t xml:space="preserve">. </w:t>
      </w:r>
      <w:r w:rsidR="002B48DD" w:rsidRPr="00DA298E">
        <w:rPr>
          <w:iCs/>
        </w:rPr>
        <w:t xml:space="preserve">The publication of ASTRAL-4 stated that the small numbers of patients with decompensated cirrhosis and HCV genotype 2, 4, or 6 precluded conclusions about the efficacy of sofosbuvir/velpatasvir FDC among these patients (no patient with HCV genotype 5 enrolled in the study). </w:t>
      </w:r>
    </w:p>
    <w:p w:rsidR="002B48DD" w:rsidRPr="00DA298E" w:rsidRDefault="002B48DD" w:rsidP="002B48DD">
      <w:pPr>
        <w:widowControl/>
        <w:rPr>
          <w:iCs/>
          <w:szCs w:val="22"/>
        </w:rPr>
      </w:pPr>
    </w:p>
    <w:p w:rsidR="002B48DD" w:rsidRPr="00DA298E" w:rsidRDefault="002B48DD" w:rsidP="002C4748">
      <w:pPr>
        <w:pStyle w:val="ListParagraph"/>
        <w:numPr>
          <w:ilvl w:val="1"/>
          <w:numId w:val="2"/>
        </w:numPr>
        <w:rPr>
          <w:iCs/>
          <w:szCs w:val="22"/>
        </w:rPr>
      </w:pPr>
      <w:r w:rsidRPr="00DA298E">
        <w:t xml:space="preserve">Among the patients who received </w:t>
      </w:r>
      <w:r w:rsidR="00E06732">
        <w:t>the</w:t>
      </w:r>
      <w:r w:rsidR="00E06732" w:rsidRPr="00DA298E">
        <w:t xml:space="preserve"> </w:t>
      </w:r>
      <w:r w:rsidRPr="00DA298E">
        <w:t>proposed regimen of sofosbuvir/velpatasvir FDC plus ribavirin, achieved SVR12 and had assessment of hepatic function in ASTRAL-</w:t>
      </w:r>
      <w:r w:rsidRPr="00960A87">
        <w:t xml:space="preserve">4, 40.7% and 50.6% of patients experienced an improvement in CPT score and </w:t>
      </w:r>
      <w:r w:rsidR="00125F89" w:rsidRPr="00960A87">
        <w:rPr>
          <w:rStyle w:val="st1"/>
        </w:rPr>
        <w:t xml:space="preserve">Model for End-Stage </w:t>
      </w:r>
      <w:r w:rsidR="00125F89" w:rsidRPr="00960A87">
        <w:rPr>
          <w:rStyle w:val="Emphasis"/>
          <w:b w:val="0"/>
        </w:rPr>
        <w:t>Liver</w:t>
      </w:r>
      <w:r w:rsidR="00125F89" w:rsidRPr="00960A87">
        <w:rPr>
          <w:rStyle w:val="st1"/>
        </w:rPr>
        <w:t xml:space="preserve"> Disease</w:t>
      </w:r>
      <w:r w:rsidR="00125F89" w:rsidRPr="00960A87">
        <w:t xml:space="preserve"> (</w:t>
      </w:r>
      <w:r w:rsidRPr="00DA298E">
        <w:t>MELD</w:t>
      </w:r>
      <w:r w:rsidR="00125F89" w:rsidRPr="00DA298E">
        <w:t>)</w:t>
      </w:r>
      <w:r w:rsidRPr="00DA298E">
        <w:t xml:space="preserve"> score respectively. Improvements in CPT score were a result of improvements in albumin and bilirubin; whereas improvements in MELD score were from improvements in total bilirubin. Worsening of CPT score was reported in 9.9% of these patients, whereas worsening of MELD score was reported in 34.6% of patients. Longer-term data on liver function and other clinical outcomes (e.g. </w:t>
      </w:r>
      <w:r w:rsidR="00E07894" w:rsidRPr="00DA298E">
        <w:t xml:space="preserve">reversal </w:t>
      </w:r>
      <w:r w:rsidRPr="00DA298E">
        <w:t>of liver fibrosis) were not available.</w:t>
      </w:r>
    </w:p>
    <w:p w:rsidR="00927BE4" w:rsidRDefault="00927BE4">
      <w:pPr>
        <w:widowControl/>
        <w:jc w:val="left"/>
        <w:rPr>
          <w:szCs w:val="22"/>
        </w:rPr>
      </w:pPr>
      <w:r>
        <w:rPr>
          <w:szCs w:val="22"/>
        </w:rPr>
        <w:br w:type="page"/>
      </w:r>
    </w:p>
    <w:p w:rsidR="00154511" w:rsidRPr="00DA298E" w:rsidRDefault="00154511" w:rsidP="00154511">
      <w:pPr>
        <w:pStyle w:val="ListParagraph"/>
        <w:widowControl/>
        <w:rPr>
          <w:szCs w:val="22"/>
        </w:rPr>
      </w:pPr>
    </w:p>
    <w:p w:rsidR="00FE542A" w:rsidRPr="0084585B" w:rsidRDefault="00123EC1" w:rsidP="00D669F0">
      <w:pPr>
        <w:widowControl/>
        <w:ind w:firstLine="720"/>
        <w:jc w:val="left"/>
        <w:rPr>
          <w:rFonts w:ascii="Arial Narrow" w:hAnsi="Arial Narrow"/>
          <w:sz w:val="20"/>
        </w:rPr>
      </w:pPr>
      <w:r>
        <w:rPr>
          <w:rFonts w:ascii="Arial Narrow" w:hAnsi="Arial Narrow"/>
          <w:b/>
          <w:bCs/>
          <w:sz w:val="20"/>
        </w:rPr>
        <w:t xml:space="preserve">Table </w:t>
      </w:r>
      <w:r w:rsidR="0052346C">
        <w:rPr>
          <w:rFonts w:ascii="Arial Narrow" w:hAnsi="Arial Narrow"/>
          <w:b/>
          <w:bCs/>
          <w:sz w:val="20"/>
        </w:rPr>
        <w:t>11</w:t>
      </w:r>
      <w:r>
        <w:rPr>
          <w:rFonts w:ascii="Arial Narrow" w:hAnsi="Arial Narrow"/>
          <w:b/>
          <w:bCs/>
          <w:sz w:val="20"/>
        </w:rPr>
        <w:t xml:space="preserve">: </w:t>
      </w:r>
      <w:r w:rsidR="00FE542A" w:rsidRPr="00802DBC">
        <w:rPr>
          <w:rFonts w:ascii="Arial Narrow" w:hAnsi="Arial Narrow"/>
          <w:b/>
          <w:bCs/>
          <w:sz w:val="20"/>
        </w:rPr>
        <w:t xml:space="preserve">Naïve comparison of SVR12 rates in decompensated cirrhosis </w:t>
      </w:r>
    </w:p>
    <w:tbl>
      <w:tblPr>
        <w:tblStyle w:val="TableGrid"/>
        <w:tblW w:w="8291" w:type="dxa"/>
        <w:tblInd w:w="737" w:type="dxa"/>
        <w:tblLayout w:type="fixed"/>
        <w:tblCellMar>
          <w:left w:w="28" w:type="dxa"/>
          <w:right w:w="28" w:type="dxa"/>
        </w:tblCellMar>
        <w:tblLook w:val="04A0" w:firstRow="1" w:lastRow="0" w:firstColumn="1" w:lastColumn="0" w:noHBand="0" w:noVBand="1"/>
        <w:tblCaption w:val="Table 11: Naïve comparison of SVR12 rates in decompensated cirrhosis "/>
        <w:tblDescription w:val="Table 11: Naïve comparison of SVR12 rates in decompensated cirrhosis "/>
      </w:tblPr>
      <w:tblGrid>
        <w:gridCol w:w="956"/>
        <w:gridCol w:w="531"/>
        <w:gridCol w:w="467"/>
        <w:gridCol w:w="1033"/>
        <w:gridCol w:w="699"/>
        <w:gridCol w:w="1205"/>
        <w:gridCol w:w="890"/>
        <w:gridCol w:w="733"/>
        <w:gridCol w:w="700"/>
        <w:gridCol w:w="1077"/>
      </w:tblGrid>
      <w:tr w:rsidR="00FE542A" w:rsidRPr="00802DBC" w:rsidTr="00460056">
        <w:trPr>
          <w:trHeight w:val="152"/>
          <w:tblHeader/>
        </w:trPr>
        <w:tc>
          <w:tcPr>
            <w:tcW w:w="956" w:type="dxa"/>
            <w:vMerge w:val="restart"/>
            <w:shd w:val="clear" w:color="auto" w:fill="auto"/>
            <w:vAlign w:val="center"/>
          </w:tcPr>
          <w:p w:rsidR="00FE542A" w:rsidRPr="00802DBC" w:rsidRDefault="00FE542A" w:rsidP="0094297E">
            <w:pPr>
              <w:jc w:val="left"/>
              <w:rPr>
                <w:rFonts w:ascii="Arial Narrow" w:hAnsi="Arial Narrow"/>
                <w:b/>
                <w:bCs/>
                <w:iCs/>
                <w:sz w:val="20"/>
              </w:rPr>
            </w:pPr>
            <w:r w:rsidRPr="00802DBC">
              <w:rPr>
                <w:rFonts w:ascii="Arial Narrow" w:hAnsi="Arial Narrow"/>
                <w:b/>
                <w:bCs/>
                <w:iCs/>
                <w:sz w:val="20"/>
              </w:rPr>
              <w:t xml:space="preserve">Study ID </w:t>
            </w:r>
          </w:p>
        </w:tc>
        <w:tc>
          <w:tcPr>
            <w:tcW w:w="531" w:type="dxa"/>
            <w:vMerge w:val="restart"/>
            <w:shd w:val="clear" w:color="auto" w:fill="auto"/>
            <w:vAlign w:val="center"/>
          </w:tcPr>
          <w:p w:rsidR="00FE542A" w:rsidRPr="00802DBC" w:rsidRDefault="00FE542A" w:rsidP="0094297E">
            <w:pPr>
              <w:jc w:val="center"/>
              <w:rPr>
                <w:rFonts w:ascii="Arial Narrow" w:hAnsi="Arial Narrow"/>
                <w:b/>
                <w:bCs/>
                <w:iCs/>
                <w:sz w:val="20"/>
              </w:rPr>
            </w:pPr>
            <w:r w:rsidRPr="00802DBC">
              <w:rPr>
                <w:rFonts w:ascii="Arial Narrow" w:hAnsi="Arial Narrow"/>
                <w:b/>
                <w:bCs/>
                <w:iCs/>
                <w:sz w:val="20"/>
              </w:rPr>
              <w:t>Study phase</w:t>
            </w:r>
          </w:p>
        </w:tc>
        <w:tc>
          <w:tcPr>
            <w:tcW w:w="467" w:type="dxa"/>
            <w:vMerge w:val="restart"/>
            <w:vAlign w:val="center"/>
          </w:tcPr>
          <w:p w:rsidR="00FE542A" w:rsidRPr="00802DBC" w:rsidRDefault="00FE542A" w:rsidP="0094297E">
            <w:pPr>
              <w:jc w:val="center"/>
              <w:rPr>
                <w:rFonts w:ascii="Arial Narrow" w:hAnsi="Arial Narrow"/>
                <w:b/>
                <w:bCs/>
                <w:iCs/>
                <w:sz w:val="20"/>
              </w:rPr>
            </w:pPr>
            <w:r w:rsidRPr="00802DBC">
              <w:rPr>
                <w:rFonts w:ascii="Arial Narrow" w:hAnsi="Arial Narrow"/>
                <w:b/>
                <w:bCs/>
                <w:iCs/>
                <w:sz w:val="20"/>
              </w:rPr>
              <w:t>HCV Gt</w:t>
            </w:r>
          </w:p>
        </w:tc>
        <w:tc>
          <w:tcPr>
            <w:tcW w:w="1033" w:type="dxa"/>
            <w:vMerge w:val="restart"/>
            <w:shd w:val="clear" w:color="auto" w:fill="auto"/>
            <w:vAlign w:val="center"/>
          </w:tcPr>
          <w:p w:rsidR="00FE542A" w:rsidRPr="00802DBC" w:rsidRDefault="00FE542A" w:rsidP="0094297E">
            <w:pPr>
              <w:jc w:val="center"/>
              <w:rPr>
                <w:rFonts w:ascii="Arial Narrow" w:hAnsi="Arial Narrow"/>
                <w:b/>
                <w:bCs/>
                <w:iCs/>
                <w:sz w:val="20"/>
              </w:rPr>
            </w:pPr>
            <w:r w:rsidRPr="00802DBC">
              <w:rPr>
                <w:rFonts w:ascii="Arial Narrow" w:hAnsi="Arial Narrow"/>
                <w:b/>
                <w:bCs/>
                <w:iCs/>
                <w:sz w:val="20"/>
              </w:rPr>
              <w:t>CPT class</w:t>
            </w:r>
          </w:p>
        </w:tc>
        <w:tc>
          <w:tcPr>
            <w:tcW w:w="699" w:type="dxa"/>
            <w:vMerge w:val="restart"/>
            <w:vAlign w:val="center"/>
          </w:tcPr>
          <w:p w:rsidR="00FE542A" w:rsidRPr="00802DBC" w:rsidRDefault="00FE542A" w:rsidP="0094297E">
            <w:pPr>
              <w:jc w:val="center"/>
              <w:rPr>
                <w:rFonts w:ascii="Arial Narrow" w:hAnsi="Arial Narrow"/>
                <w:b/>
                <w:bCs/>
                <w:iCs/>
                <w:sz w:val="20"/>
              </w:rPr>
            </w:pPr>
            <w:r w:rsidRPr="00802DBC">
              <w:rPr>
                <w:rFonts w:ascii="Arial Narrow" w:hAnsi="Arial Narrow"/>
                <w:b/>
                <w:bCs/>
                <w:iCs/>
                <w:sz w:val="20"/>
              </w:rPr>
              <w:t>Trans-plant</w:t>
            </w:r>
          </w:p>
        </w:tc>
        <w:tc>
          <w:tcPr>
            <w:tcW w:w="1205" w:type="dxa"/>
            <w:vMerge w:val="restart"/>
            <w:shd w:val="clear" w:color="auto" w:fill="auto"/>
            <w:vAlign w:val="center"/>
          </w:tcPr>
          <w:p w:rsidR="00FE542A" w:rsidRPr="00802DBC" w:rsidRDefault="00FE542A" w:rsidP="00927BE4">
            <w:pPr>
              <w:jc w:val="center"/>
              <w:rPr>
                <w:rFonts w:ascii="Arial Narrow" w:hAnsi="Arial Narrow"/>
                <w:iCs/>
                <w:sz w:val="20"/>
              </w:rPr>
            </w:pPr>
            <w:r w:rsidRPr="00802DBC">
              <w:rPr>
                <w:rFonts w:ascii="Arial Narrow" w:hAnsi="Arial Narrow"/>
                <w:b/>
                <w:bCs/>
                <w:iCs/>
                <w:sz w:val="20"/>
              </w:rPr>
              <w:t>%treatment</w:t>
            </w:r>
            <w:r w:rsidR="00927BE4">
              <w:rPr>
                <w:rFonts w:ascii="Arial Narrow" w:hAnsi="Arial Narrow"/>
                <w:b/>
                <w:bCs/>
                <w:iCs/>
                <w:sz w:val="20"/>
              </w:rPr>
              <w:t xml:space="preserve"> </w:t>
            </w:r>
            <w:r w:rsidRPr="00802DBC">
              <w:rPr>
                <w:rFonts w:ascii="Arial Narrow" w:hAnsi="Arial Narrow"/>
                <w:b/>
                <w:bCs/>
                <w:iCs/>
                <w:sz w:val="20"/>
              </w:rPr>
              <w:t>experienced</w:t>
            </w:r>
            <w:r w:rsidR="00960A87" w:rsidRPr="00960A87">
              <w:rPr>
                <w:rFonts w:ascii="Arial Narrow" w:hAnsi="Arial Narrow"/>
                <w:bCs/>
                <w:i/>
                <w:iCs/>
                <w:sz w:val="20"/>
                <w:vertAlign w:val="superscript"/>
              </w:rPr>
              <w:t>h</w:t>
            </w:r>
          </w:p>
        </w:tc>
        <w:tc>
          <w:tcPr>
            <w:tcW w:w="890" w:type="dxa"/>
            <w:vMerge w:val="restart"/>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b/>
                <w:bCs/>
                <w:iCs/>
                <w:sz w:val="20"/>
              </w:rPr>
              <w:t>Treatment regimen</w:t>
            </w:r>
          </w:p>
        </w:tc>
        <w:tc>
          <w:tcPr>
            <w:tcW w:w="733" w:type="dxa"/>
            <w:vMerge w:val="restart"/>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b/>
                <w:bCs/>
                <w:iCs/>
                <w:sz w:val="20"/>
              </w:rPr>
              <w:t>Duration (weeks)</w:t>
            </w:r>
          </w:p>
        </w:tc>
        <w:tc>
          <w:tcPr>
            <w:tcW w:w="1777" w:type="dxa"/>
            <w:gridSpan w:val="2"/>
            <w:shd w:val="clear" w:color="auto" w:fill="auto"/>
            <w:vAlign w:val="center"/>
          </w:tcPr>
          <w:p w:rsidR="00FE542A" w:rsidRPr="00802DBC" w:rsidRDefault="00FE542A" w:rsidP="0094297E">
            <w:pPr>
              <w:jc w:val="center"/>
              <w:rPr>
                <w:rFonts w:ascii="Arial Narrow" w:hAnsi="Arial Narrow"/>
                <w:iCs/>
                <w:sz w:val="20"/>
              </w:rPr>
            </w:pPr>
            <w:r w:rsidRPr="00802DBC">
              <w:rPr>
                <w:rFonts w:ascii="Arial Narrow" w:hAnsi="Arial Narrow"/>
                <w:b/>
                <w:bCs/>
                <w:iCs/>
                <w:sz w:val="20"/>
              </w:rPr>
              <w:t>SVR12</w:t>
            </w:r>
          </w:p>
        </w:tc>
      </w:tr>
      <w:tr w:rsidR="00FE542A" w:rsidRPr="00802DBC" w:rsidTr="00460056">
        <w:trPr>
          <w:tblHeader/>
        </w:trPr>
        <w:tc>
          <w:tcPr>
            <w:tcW w:w="956" w:type="dxa"/>
            <w:vMerge/>
            <w:shd w:val="clear" w:color="auto" w:fill="auto"/>
          </w:tcPr>
          <w:p w:rsidR="00FE542A" w:rsidRPr="00802DBC" w:rsidRDefault="00FE542A" w:rsidP="0094297E">
            <w:pPr>
              <w:rPr>
                <w:rFonts w:ascii="Arial Narrow" w:hAnsi="Arial Narrow"/>
                <w:iCs/>
                <w:sz w:val="20"/>
              </w:rPr>
            </w:pPr>
          </w:p>
        </w:tc>
        <w:tc>
          <w:tcPr>
            <w:tcW w:w="531" w:type="dxa"/>
            <w:vMerge/>
            <w:shd w:val="clear" w:color="auto" w:fill="auto"/>
            <w:vAlign w:val="center"/>
          </w:tcPr>
          <w:p w:rsidR="00FE542A" w:rsidRPr="00802DBC" w:rsidRDefault="00FE542A" w:rsidP="0094297E">
            <w:pPr>
              <w:jc w:val="center"/>
              <w:rPr>
                <w:rFonts w:ascii="Arial Narrow" w:hAnsi="Arial Narrow"/>
                <w:b/>
                <w:bCs/>
                <w:iCs/>
                <w:sz w:val="20"/>
              </w:rPr>
            </w:pPr>
          </w:p>
        </w:tc>
        <w:tc>
          <w:tcPr>
            <w:tcW w:w="467" w:type="dxa"/>
            <w:vMerge/>
          </w:tcPr>
          <w:p w:rsidR="00FE542A" w:rsidRPr="00802DBC" w:rsidRDefault="00FE542A" w:rsidP="0094297E">
            <w:pPr>
              <w:jc w:val="center"/>
              <w:rPr>
                <w:rFonts w:ascii="Arial Narrow" w:hAnsi="Arial Narrow"/>
                <w:b/>
                <w:bCs/>
                <w:iCs/>
                <w:sz w:val="20"/>
              </w:rPr>
            </w:pPr>
          </w:p>
        </w:tc>
        <w:tc>
          <w:tcPr>
            <w:tcW w:w="1033" w:type="dxa"/>
            <w:vMerge/>
            <w:shd w:val="clear" w:color="auto" w:fill="auto"/>
            <w:vAlign w:val="center"/>
          </w:tcPr>
          <w:p w:rsidR="00FE542A" w:rsidRPr="00802DBC" w:rsidRDefault="00FE542A" w:rsidP="0094297E">
            <w:pPr>
              <w:jc w:val="center"/>
              <w:rPr>
                <w:rFonts w:ascii="Arial Narrow" w:hAnsi="Arial Narrow"/>
                <w:b/>
                <w:bCs/>
                <w:iCs/>
                <w:sz w:val="20"/>
              </w:rPr>
            </w:pPr>
          </w:p>
        </w:tc>
        <w:tc>
          <w:tcPr>
            <w:tcW w:w="699" w:type="dxa"/>
            <w:vMerge/>
          </w:tcPr>
          <w:p w:rsidR="00FE542A" w:rsidRPr="00802DBC" w:rsidRDefault="00FE542A" w:rsidP="0094297E">
            <w:pPr>
              <w:jc w:val="center"/>
              <w:rPr>
                <w:rFonts w:ascii="Arial Narrow" w:hAnsi="Arial Narrow"/>
                <w:b/>
                <w:bCs/>
                <w:iCs/>
                <w:sz w:val="20"/>
              </w:rPr>
            </w:pPr>
          </w:p>
        </w:tc>
        <w:tc>
          <w:tcPr>
            <w:tcW w:w="1205" w:type="dxa"/>
            <w:vMerge/>
            <w:shd w:val="clear" w:color="auto" w:fill="auto"/>
            <w:vAlign w:val="center"/>
          </w:tcPr>
          <w:p w:rsidR="00FE542A" w:rsidRPr="00802DBC" w:rsidRDefault="00FE542A" w:rsidP="0094297E">
            <w:pPr>
              <w:jc w:val="center"/>
              <w:rPr>
                <w:rFonts w:ascii="Arial Narrow" w:hAnsi="Arial Narrow"/>
                <w:b/>
                <w:bCs/>
                <w:iCs/>
                <w:sz w:val="20"/>
              </w:rPr>
            </w:pPr>
          </w:p>
        </w:tc>
        <w:tc>
          <w:tcPr>
            <w:tcW w:w="890" w:type="dxa"/>
            <w:vMerge/>
            <w:shd w:val="clear" w:color="auto" w:fill="auto"/>
            <w:vAlign w:val="center"/>
          </w:tcPr>
          <w:p w:rsidR="00FE542A" w:rsidRPr="00802DBC" w:rsidRDefault="00FE542A" w:rsidP="0094297E">
            <w:pPr>
              <w:jc w:val="center"/>
              <w:rPr>
                <w:rFonts w:ascii="Arial Narrow" w:hAnsi="Arial Narrow"/>
                <w:b/>
                <w:bCs/>
                <w:iCs/>
                <w:sz w:val="20"/>
              </w:rPr>
            </w:pPr>
          </w:p>
        </w:tc>
        <w:tc>
          <w:tcPr>
            <w:tcW w:w="733" w:type="dxa"/>
            <w:vMerge/>
            <w:shd w:val="clear" w:color="auto" w:fill="auto"/>
            <w:vAlign w:val="center"/>
          </w:tcPr>
          <w:p w:rsidR="00FE542A" w:rsidRPr="00802DBC" w:rsidRDefault="00FE542A" w:rsidP="0094297E">
            <w:pPr>
              <w:jc w:val="center"/>
              <w:rPr>
                <w:rFonts w:ascii="Arial Narrow" w:hAnsi="Arial Narrow"/>
                <w:b/>
                <w:bCs/>
                <w:iCs/>
                <w:sz w:val="20"/>
              </w:rPr>
            </w:pPr>
          </w:p>
        </w:tc>
        <w:tc>
          <w:tcPr>
            <w:tcW w:w="700" w:type="dxa"/>
            <w:shd w:val="clear" w:color="auto" w:fill="auto"/>
            <w:vAlign w:val="center"/>
          </w:tcPr>
          <w:p w:rsidR="00FE542A" w:rsidRPr="00802DBC" w:rsidRDefault="00FE542A" w:rsidP="0094297E">
            <w:pPr>
              <w:jc w:val="center"/>
              <w:rPr>
                <w:rFonts w:ascii="Arial Narrow" w:hAnsi="Arial Narrow"/>
                <w:b/>
                <w:bCs/>
                <w:iCs/>
                <w:sz w:val="20"/>
              </w:rPr>
            </w:pPr>
            <w:r w:rsidRPr="00802DBC">
              <w:rPr>
                <w:rFonts w:ascii="Arial Narrow" w:hAnsi="Arial Narrow"/>
                <w:b/>
                <w:bCs/>
                <w:iCs/>
                <w:sz w:val="20"/>
              </w:rPr>
              <w:t>n/N</w:t>
            </w:r>
          </w:p>
        </w:tc>
        <w:tc>
          <w:tcPr>
            <w:tcW w:w="1077" w:type="dxa"/>
            <w:shd w:val="clear" w:color="auto" w:fill="auto"/>
            <w:vAlign w:val="center"/>
          </w:tcPr>
          <w:p w:rsidR="00FE542A" w:rsidRPr="00802DBC" w:rsidRDefault="00FE542A" w:rsidP="0094297E">
            <w:pPr>
              <w:jc w:val="center"/>
              <w:rPr>
                <w:rFonts w:ascii="Arial Narrow" w:hAnsi="Arial Narrow"/>
                <w:b/>
                <w:bCs/>
                <w:iCs/>
                <w:sz w:val="20"/>
              </w:rPr>
            </w:pPr>
            <w:r w:rsidRPr="00802DBC">
              <w:rPr>
                <w:rFonts w:ascii="Arial Narrow" w:hAnsi="Arial Narrow"/>
                <w:b/>
                <w:bCs/>
                <w:iCs/>
                <w:sz w:val="20"/>
              </w:rPr>
              <w:t>% (95% CI)</w:t>
            </w:r>
          </w:p>
        </w:tc>
      </w:tr>
      <w:tr w:rsidR="00FE542A" w:rsidRPr="00802DBC" w:rsidTr="00460056">
        <w:trPr>
          <w:tblHeader/>
        </w:trPr>
        <w:tc>
          <w:tcPr>
            <w:tcW w:w="8291" w:type="dxa"/>
            <w:gridSpan w:val="10"/>
            <w:shd w:val="clear" w:color="auto" w:fill="D9D9D9" w:themeFill="background1" w:themeFillShade="D9"/>
          </w:tcPr>
          <w:p w:rsidR="00FE542A" w:rsidRPr="00802DBC" w:rsidRDefault="00FE542A" w:rsidP="0094297E">
            <w:pPr>
              <w:jc w:val="left"/>
              <w:rPr>
                <w:rFonts w:ascii="Arial Narrow" w:hAnsi="Arial Narrow"/>
                <w:b/>
                <w:bCs/>
                <w:iCs/>
                <w:sz w:val="20"/>
              </w:rPr>
            </w:pPr>
            <w:r w:rsidRPr="00802DBC">
              <w:rPr>
                <w:rFonts w:ascii="Arial Narrow" w:hAnsi="Arial Narrow"/>
                <w:b/>
                <w:bCs/>
                <w:iCs/>
                <w:sz w:val="20"/>
              </w:rPr>
              <w:t>Sofosbuvir/velpatasvir FDC plus ribavirin for 12 weeks</w:t>
            </w:r>
          </w:p>
        </w:tc>
      </w:tr>
      <w:tr w:rsidR="00FE542A" w:rsidRPr="00802DBC" w:rsidTr="00460056">
        <w:trPr>
          <w:trHeight w:val="188"/>
        </w:trPr>
        <w:tc>
          <w:tcPr>
            <w:tcW w:w="956" w:type="dxa"/>
            <w:shd w:val="clear" w:color="auto" w:fill="D9D9D9" w:themeFill="background1" w:themeFillShade="D9"/>
            <w:vAlign w:val="center"/>
          </w:tcPr>
          <w:p w:rsidR="00FE542A" w:rsidRPr="00F655DE" w:rsidRDefault="00FE542A" w:rsidP="0094297E">
            <w:pPr>
              <w:jc w:val="left"/>
              <w:rPr>
                <w:rFonts w:ascii="Arial Narrow" w:hAnsi="Arial Narrow"/>
                <w:iCs/>
                <w:sz w:val="20"/>
              </w:rPr>
            </w:pPr>
            <w:r w:rsidRPr="00F655DE">
              <w:rPr>
                <w:rFonts w:ascii="Arial Narrow" w:hAnsi="Arial Narrow"/>
                <w:iCs/>
                <w:sz w:val="20"/>
              </w:rPr>
              <w:t>ASTRAL-4</w:t>
            </w:r>
          </w:p>
        </w:tc>
        <w:tc>
          <w:tcPr>
            <w:tcW w:w="531" w:type="dxa"/>
            <w:shd w:val="clear" w:color="auto" w:fill="D9D9D9" w:themeFill="background1" w:themeFillShade="D9"/>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Phase III</w:t>
            </w:r>
          </w:p>
        </w:tc>
        <w:tc>
          <w:tcPr>
            <w:tcW w:w="467" w:type="dxa"/>
            <w:shd w:val="clear" w:color="auto" w:fill="D9D9D9" w:themeFill="background1" w:themeFillShade="D9"/>
            <w:vAlign w:val="center"/>
          </w:tcPr>
          <w:p w:rsidR="00FE542A" w:rsidRPr="00F655DE" w:rsidRDefault="00FE542A" w:rsidP="0094297E">
            <w:pPr>
              <w:jc w:val="center"/>
              <w:rPr>
                <w:rFonts w:ascii="Arial Narrow" w:hAnsi="Arial Narrow"/>
                <w:iCs/>
                <w:sz w:val="20"/>
                <w:vertAlign w:val="superscript"/>
              </w:rPr>
            </w:pPr>
            <w:r w:rsidRPr="00F655DE">
              <w:rPr>
                <w:rFonts w:ascii="Arial Narrow" w:hAnsi="Arial Narrow"/>
                <w:iCs/>
                <w:sz w:val="20"/>
              </w:rPr>
              <w:t>1-4</w:t>
            </w:r>
            <w:r w:rsidRPr="00F655DE">
              <w:rPr>
                <w:rFonts w:ascii="Arial Narrow" w:hAnsi="Arial Narrow"/>
                <w:iCs/>
                <w:sz w:val="20"/>
                <w:vertAlign w:val="superscript"/>
              </w:rPr>
              <w:t>a</w:t>
            </w:r>
          </w:p>
        </w:tc>
        <w:tc>
          <w:tcPr>
            <w:tcW w:w="1033" w:type="dxa"/>
            <w:shd w:val="clear" w:color="auto" w:fill="D9D9D9" w:themeFill="background1" w:themeFillShade="D9"/>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CPT B</w:t>
            </w:r>
          </w:p>
        </w:tc>
        <w:tc>
          <w:tcPr>
            <w:tcW w:w="699" w:type="dxa"/>
            <w:shd w:val="clear" w:color="auto" w:fill="D9D9D9" w:themeFill="background1" w:themeFillShade="D9"/>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Pre</w:t>
            </w:r>
          </w:p>
        </w:tc>
        <w:tc>
          <w:tcPr>
            <w:tcW w:w="1205" w:type="dxa"/>
            <w:shd w:val="clear" w:color="auto" w:fill="D9D9D9" w:themeFill="background1" w:themeFillShade="D9"/>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54%</w:t>
            </w:r>
          </w:p>
        </w:tc>
        <w:tc>
          <w:tcPr>
            <w:tcW w:w="890" w:type="dxa"/>
            <w:shd w:val="clear" w:color="auto" w:fill="D9D9D9" w:themeFill="background1" w:themeFillShade="D9"/>
            <w:vAlign w:val="center"/>
          </w:tcPr>
          <w:p w:rsidR="00FE542A" w:rsidRPr="00F655DE" w:rsidRDefault="00FE542A" w:rsidP="0094297E">
            <w:pPr>
              <w:jc w:val="center"/>
              <w:rPr>
                <w:rFonts w:ascii="Arial Narrow" w:hAnsi="Arial Narrow"/>
                <w:iCs/>
                <w:sz w:val="20"/>
                <w:vertAlign w:val="superscript"/>
              </w:rPr>
            </w:pPr>
            <w:r w:rsidRPr="00F655DE">
              <w:rPr>
                <w:rFonts w:ascii="Arial Narrow" w:hAnsi="Arial Narrow"/>
                <w:iCs/>
                <w:sz w:val="20"/>
              </w:rPr>
              <w:t>SOF/VEL+ RBV</w:t>
            </w:r>
            <w:r w:rsidRPr="00F655DE">
              <w:rPr>
                <w:rFonts w:ascii="Arial Narrow" w:hAnsi="Arial Narrow"/>
                <w:iCs/>
                <w:sz w:val="20"/>
                <w:vertAlign w:val="superscript"/>
              </w:rPr>
              <w:t>d</w:t>
            </w:r>
          </w:p>
        </w:tc>
        <w:tc>
          <w:tcPr>
            <w:tcW w:w="733" w:type="dxa"/>
            <w:shd w:val="clear" w:color="auto" w:fill="D9D9D9" w:themeFill="background1" w:themeFillShade="D9"/>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12</w:t>
            </w:r>
          </w:p>
        </w:tc>
        <w:tc>
          <w:tcPr>
            <w:tcW w:w="700" w:type="dxa"/>
            <w:shd w:val="clear" w:color="auto" w:fill="D9D9D9" w:themeFill="background1" w:themeFillShade="D9"/>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82/87</w:t>
            </w:r>
          </w:p>
        </w:tc>
        <w:tc>
          <w:tcPr>
            <w:tcW w:w="1077" w:type="dxa"/>
            <w:shd w:val="clear" w:color="auto" w:fill="D9D9D9" w:themeFill="background1" w:themeFillShade="D9"/>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 xml:space="preserve">94.3% </w:t>
            </w:r>
          </w:p>
          <w:p w:rsidR="00FE542A" w:rsidRPr="00F655DE" w:rsidRDefault="00FE542A" w:rsidP="0094297E">
            <w:pPr>
              <w:jc w:val="center"/>
              <w:rPr>
                <w:rFonts w:ascii="Arial Narrow" w:hAnsi="Arial Narrow"/>
                <w:sz w:val="20"/>
              </w:rPr>
            </w:pPr>
            <w:r w:rsidRPr="00F655DE">
              <w:rPr>
                <w:rFonts w:ascii="Arial Narrow" w:hAnsi="Arial Narrow"/>
                <w:sz w:val="20"/>
              </w:rPr>
              <w:t>(87.1, 98.1%)</w:t>
            </w:r>
          </w:p>
        </w:tc>
      </w:tr>
      <w:tr w:rsidR="00FE542A" w:rsidRPr="00802DBC" w:rsidTr="00460056">
        <w:tc>
          <w:tcPr>
            <w:tcW w:w="8291" w:type="dxa"/>
            <w:gridSpan w:val="10"/>
            <w:shd w:val="clear" w:color="auto" w:fill="auto"/>
            <w:vAlign w:val="center"/>
          </w:tcPr>
          <w:p w:rsidR="00FE542A" w:rsidRPr="00F655DE" w:rsidRDefault="00FE542A" w:rsidP="0094297E">
            <w:pPr>
              <w:jc w:val="left"/>
              <w:rPr>
                <w:rFonts w:ascii="Arial Narrow" w:hAnsi="Arial Narrow"/>
                <w:b/>
                <w:bCs/>
                <w:sz w:val="20"/>
              </w:rPr>
            </w:pPr>
            <w:r w:rsidRPr="00F655DE">
              <w:rPr>
                <w:rFonts w:ascii="Arial Narrow" w:hAnsi="Arial Narrow"/>
                <w:b/>
                <w:bCs/>
                <w:sz w:val="20"/>
              </w:rPr>
              <w:t>Daclatasvir plus sofosbuvir plus ribavirin for 12 weeks (nominated comparator for HCV Gt 1)</w:t>
            </w:r>
          </w:p>
        </w:tc>
      </w:tr>
      <w:tr w:rsidR="00FE542A" w:rsidRPr="00802DBC" w:rsidTr="00460056">
        <w:tc>
          <w:tcPr>
            <w:tcW w:w="956" w:type="dxa"/>
            <w:shd w:val="clear" w:color="auto" w:fill="auto"/>
            <w:vAlign w:val="center"/>
          </w:tcPr>
          <w:p w:rsidR="00FE542A" w:rsidRPr="00F655DE" w:rsidRDefault="00FE542A" w:rsidP="0094297E">
            <w:pPr>
              <w:jc w:val="left"/>
              <w:rPr>
                <w:rFonts w:ascii="Arial Narrow" w:hAnsi="Arial Narrow"/>
                <w:iCs/>
                <w:sz w:val="20"/>
              </w:rPr>
            </w:pPr>
            <w:r w:rsidRPr="00F655DE">
              <w:rPr>
                <w:rFonts w:ascii="Arial Narrow" w:hAnsi="Arial Narrow"/>
                <w:bCs/>
                <w:iCs/>
                <w:sz w:val="20"/>
              </w:rPr>
              <w:t>ALLY-1</w:t>
            </w:r>
          </w:p>
        </w:tc>
        <w:tc>
          <w:tcPr>
            <w:tcW w:w="531"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Phase III</w:t>
            </w:r>
          </w:p>
        </w:tc>
        <w:tc>
          <w:tcPr>
            <w:tcW w:w="467" w:type="dxa"/>
            <w:vAlign w:val="center"/>
          </w:tcPr>
          <w:p w:rsidR="00FE542A" w:rsidRPr="00F655DE" w:rsidRDefault="00FE542A" w:rsidP="0094297E">
            <w:pPr>
              <w:jc w:val="center"/>
              <w:rPr>
                <w:rFonts w:ascii="Arial Narrow" w:hAnsi="Arial Narrow"/>
                <w:iCs/>
                <w:sz w:val="20"/>
                <w:vertAlign w:val="superscript"/>
              </w:rPr>
            </w:pPr>
            <w:r w:rsidRPr="00F655DE">
              <w:rPr>
                <w:rFonts w:ascii="Arial Narrow" w:hAnsi="Arial Narrow"/>
                <w:iCs/>
                <w:sz w:val="20"/>
              </w:rPr>
              <w:t>1-4</w:t>
            </w:r>
            <w:r w:rsidRPr="00F655DE">
              <w:rPr>
                <w:rFonts w:ascii="Arial Narrow" w:hAnsi="Arial Narrow"/>
                <w:iCs/>
                <w:sz w:val="20"/>
                <w:vertAlign w:val="superscript"/>
              </w:rPr>
              <w:t>b</w:t>
            </w:r>
          </w:p>
        </w:tc>
        <w:tc>
          <w:tcPr>
            <w:tcW w:w="1033"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CPT A: 20%</w:t>
            </w:r>
            <w:r w:rsidR="0099069D" w:rsidRPr="00F655DE">
              <w:rPr>
                <w:rFonts w:ascii="Arial Narrow" w:hAnsi="Arial Narrow"/>
                <w:bCs/>
                <w:iCs/>
                <w:sz w:val="20"/>
                <w:vertAlign w:val="superscript"/>
              </w:rPr>
              <w:t>h</w:t>
            </w:r>
          </w:p>
          <w:p w:rsidR="00FE542A" w:rsidRPr="00F655DE" w:rsidRDefault="00FE542A" w:rsidP="0094297E">
            <w:pPr>
              <w:jc w:val="center"/>
              <w:rPr>
                <w:rFonts w:ascii="Arial Narrow" w:hAnsi="Arial Narrow"/>
                <w:iCs/>
                <w:sz w:val="20"/>
              </w:rPr>
            </w:pPr>
            <w:r w:rsidRPr="00F655DE">
              <w:rPr>
                <w:rFonts w:ascii="Arial Narrow" w:hAnsi="Arial Narrow"/>
                <w:iCs/>
                <w:sz w:val="20"/>
              </w:rPr>
              <w:t>CPT B: 53%</w:t>
            </w:r>
            <w:r w:rsidR="0099069D" w:rsidRPr="00F655DE">
              <w:rPr>
                <w:rFonts w:ascii="Arial Narrow" w:hAnsi="Arial Narrow"/>
                <w:bCs/>
                <w:iCs/>
                <w:sz w:val="20"/>
                <w:vertAlign w:val="superscript"/>
              </w:rPr>
              <w:t>h</w:t>
            </w:r>
          </w:p>
          <w:p w:rsidR="00FE542A" w:rsidRPr="00F655DE" w:rsidRDefault="00FE542A" w:rsidP="0094297E">
            <w:pPr>
              <w:jc w:val="center"/>
              <w:rPr>
                <w:rFonts w:ascii="Arial Narrow" w:hAnsi="Arial Narrow"/>
                <w:iCs/>
                <w:sz w:val="20"/>
              </w:rPr>
            </w:pPr>
            <w:r w:rsidRPr="00F655DE">
              <w:rPr>
                <w:rFonts w:ascii="Arial Narrow" w:hAnsi="Arial Narrow"/>
                <w:iCs/>
                <w:sz w:val="20"/>
              </w:rPr>
              <w:t>CPT C: 27%</w:t>
            </w:r>
            <w:r w:rsidR="0099069D" w:rsidRPr="00F655DE">
              <w:rPr>
                <w:rFonts w:ascii="Arial Narrow" w:hAnsi="Arial Narrow"/>
                <w:bCs/>
                <w:iCs/>
                <w:sz w:val="20"/>
                <w:vertAlign w:val="superscript"/>
              </w:rPr>
              <w:t>h</w:t>
            </w:r>
          </w:p>
        </w:tc>
        <w:tc>
          <w:tcPr>
            <w:tcW w:w="699" w:type="dxa"/>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Pre</w:t>
            </w:r>
          </w:p>
        </w:tc>
        <w:tc>
          <w:tcPr>
            <w:tcW w:w="1205"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60%</w:t>
            </w:r>
          </w:p>
        </w:tc>
        <w:tc>
          <w:tcPr>
            <w:tcW w:w="890"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DCV+SOF+ RBV</w:t>
            </w:r>
            <w:r w:rsidRPr="00F655DE">
              <w:rPr>
                <w:rFonts w:ascii="Arial Narrow" w:hAnsi="Arial Narrow"/>
                <w:iCs/>
                <w:sz w:val="20"/>
                <w:vertAlign w:val="superscript"/>
              </w:rPr>
              <w:t>e</w:t>
            </w:r>
          </w:p>
        </w:tc>
        <w:tc>
          <w:tcPr>
            <w:tcW w:w="733"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12</w:t>
            </w:r>
          </w:p>
        </w:tc>
        <w:tc>
          <w:tcPr>
            <w:tcW w:w="700" w:type="dxa"/>
            <w:shd w:val="clear" w:color="auto" w:fill="auto"/>
            <w:vAlign w:val="center"/>
          </w:tcPr>
          <w:p w:rsidR="00FE542A" w:rsidRPr="00F655DE" w:rsidRDefault="00FE542A" w:rsidP="0094297E">
            <w:pPr>
              <w:jc w:val="center"/>
              <w:rPr>
                <w:rFonts w:ascii="Arial Narrow" w:hAnsi="Arial Narrow"/>
                <w:sz w:val="20"/>
              </w:rPr>
            </w:pPr>
            <w:r w:rsidRPr="00F655DE">
              <w:rPr>
                <w:rFonts w:ascii="Arial Narrow" w:hAnsi="Arial Narrow"/>
                <w:sz w:val="20"/>
              </w:rPr>
              <w:t>50/60</w:t>
            </w:r>
          </w:p>
        </w:tc>
        <w:tc>
          <w:tcPr>
            <w:tcW w:w="1077" w:type="dxa"/>
            <w:shd w:val="clear" w:color="auto" w:fill="auto"/>
            <w:vAlign w:val="center"/>
          </w:tcPr>
          <w:p w:rsidR="00FE542A" w:rsidRPr="00F655DE" w:rsidRDefault="00FE542A" w:rsidP="0094297E">
            <w:pPr>
              <w:jc w:val="center"/>
              <w:rPr>
                <w:rFonts w:ascii="Arial Narrow" w:hAnsi="Arial Narrow"/>
                <w:sz w:val="20"/>
              </w:rPr>
            </w:pPr>
            <w:r w:rsidRPr="00F655DE">
              <w:rPr>
                <w:rFonts w:ascii="Arial Narrow" w:hAnsi="Arial Narrow"/>
                <w:sz w:val="20"/>
              </w:rPr>
              <w:t>83.3%</w:t>
            </w:r>
          </w:p>
          <w:p w:rsidR="00FE542A" w:rsidRPr="00F655DE" w:rsidRDefault="00FE542A" w:rsidP="0094297E">
            <w:pPr>
              <w:jc w:val="center"/>
              <w:rPr>
                <w:rFonts w:ascii="Arial Narrow" w:hAnsi="Arial Narrow"/>
                <w:iCs/>
                <w:sz w:val="20"/>
              </w:rPr>
            </w:pPr>
            <w:r w:rsidRPr="00F655DE">
              <w:rPr>
                <w:rFonts w:ascii="Arial Narrow" w:hAnsi="Arial Narrow"/>
                <w:iCs/>
                <w:sz w:val="20"/>
              </w:rPr>
              <w:t>(71.5, 91.7%)</w:t>
            </w:r>
          </w:p>
        </w:tc>
      </w:tr>
      <w:tr w:rsidR="00FE542A" w:rsidRPr="00802DBC" w:rsidTr="00460056">
        <w:tc>
          <w:tcPr>
            <w:tcW w:w="956" w:type="dxa"/>
            <w:shd w:val="clear" w:color="auto" w:fill="auto"/>
            <w:vAlign w:val="center"/>
          </w:tcPr>
          <w:p w:rsidR="00FE542A" w:rsidRPr="00F655DE" w:rsidRDefault="00FE542A" w:rsidP="0094297E">
            <w:pPr>
              <w:ind w:left="90"/>
              <w:jc w:val="left"/>
              <w:rPr>
                <w:rFonts w:ascii="Arial Narrow" w:hAnsi="Arial Narrow"/>
                <w:bCs/>
                <w:iCs/>
                <w:sz w:val="20"/>
              </w:rPr>
            </w:pPr>
            <w:r w:rsidRPr="00F655DE">
              <w:rPr>
                <w:rFonts w:ascii="Arial Narrow" w:hAnsi="Arial Narrow"/>
                <w:bCs/>
                <w:iCs/>
                <w:sz w:val="20"/>
              </w:rPr>
              <w:t>ALLY-1 (Gt 1, CPT B &amp; C)</w:t>
            </w:r>
          </w:p>
        </w:tc>
        <w:tc>
          <w:tcPr>
            <w:tcW w:w="531"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Phase III</w:t>
            </w:r>
          </w:p>
        </w:tc>
        <w:tc>
          <w:tcPr>
            <w:tcW w:w="467" w:type="dxa"/>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1</w:t>
            </w:r>
          </w:p>
        </w:tc>
        <w:tc>
          <w:tcPr>
            <w:tcW w:w="1033"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CPT B: 71%</w:t>
            </w:r>
            <w:r w:rsidR="0099069D" w:rsidRPr="00F655DE">
              <w:rPr>
                <w:rFonts w:ascii="Arial Narrow" w:hAnsi="Arial Narrow"/>
                <w:bCs/>
                <w:iCs/>
                <w:sz w:val="20"/>
                <w:vertAlign w:val="superscript"/>
              </w:rPr>
              <w:t>h</w:t>
            </w:r>
          </w:p>
          <w:p w:rsidR="00FE542A" w:rsidRPr="00F655DE" w:rsidRDefault="00FE542A" w:rsidP="0094297E">
            <w:pPr>
              <w:jc w:val="center"/>
              <w:rPr>
                <w:rFonts w:ascii="Arial Narrow" w:hAnsi="Arial Narrow"/>
                <w:iCs/>
                <w:sz w:val="20"/>
              </w:rPr>
            </w:pPr>
            <w:r w:rsidRPr="00F655DE">
              <w:rPr>
                <w:rFonts w:ascii="Arial Narrow" w:hAnsi="Arial Narrow"/>
                <w:iCs/>
                <w:sz w:val="20"/>
              </w:rPr>
              <w:t>CPT C: 29%</w:t>
            </w:r>
            <w:r w:rsidR="0099069D" w:rsidRPr="00F655DE">
              <w:rPr>
                <w:rFonts w:ascii="Arial Narrow" w:hAnsi="Arial Narrow"/>
                <w:bCs/>
                <w:iCs/>
                <w:sz w:val="20"/>
                <w:vertAlign w:val="superscript"/>
              </w:rPr>
              <w:t>h</w:t>
            </w:r>
          </w:p>
        </w:tc>
        <w:tc>
          <w:tcPr>
            <w:tcW w:w="699" w:type="dxa"/>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Pre</w:t>
            </w:r>
            <w:r w:rsidR="0099069D" w:rsidRPr="00F655DE">
              <w:rPr>
                <w:rFonts w:ascii="Arial Narrow" w:hAnsi="Arial Narrow"/>
                <w:bCs/>
                <w:iCs/>
                <w:sz w:val="20"/>
                <w:vertAlign w:val="superscript"/>
              </w:rPr>
              <w:t>h</w:t>
            </w:r>
          </w:p>
        </w:tc>
        <w:tc>
          <w:tcPr>
            <w:tcW w:w="1205"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NR (mixed)</w:t>
            </w:r>
          </w:p>
        </w:tc>
        <w:tc>
          <w:tcPr>
            <w:tcW w:w="890"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DCV+SOF+ RBV</w:t>
            </w:r>
            <w:r w:rsidRPr="00F655DE">
              <w:rPr>
                <w:rFonts w:ascii="Arial Narrow" w:hAnsi="Arial Narrow"/>
                <w:iCs/>
                <w:sz w:val="20"/>
                <w:vertAlign w:val="superscript"/>
              </w:rPr>
              <w:t>e</w:t>
            </w:r>
          </w:p>
        </w:tc>
        <w:tc>
          <w:tcPr>
            <w:tcW w:w="733"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12</w:t>
            </w:r>
          </w:p>
        </w:tc>
        <w:tc>
          <w:tcPr>
            <w:tcW w:w="700" w:type="dxa"/>
            <w:shd w:val="clear" w:color="auto" w:fill="auto"/>
            <w:vAlign w:val="center"/>
          </w:tcPr>
          <w:p w:rsidR="00FE542A" w:rsidRPr="00F655DE" w:rsidRDefault="00FE542A" w:rsidP="0094297E">
            <w:pPr>
              <w:jc w:val="center"/>
              <w:rPr>
                <w:rFonts w:ascii="Arial Narrow" w:hAnsi="Arial Narrow"/>
                <w:sz w:val="20"/>
              </w:rPr>
            </w:pPr>
            <w:r w:rsidRPr="00F655DE">
              <w:rPr>
                <w:rFonts w:ascii="Arial Narrow" w:hAnsi="Arial Narrow"/>
                <w:sz w:val="20"/>
              </w:rPr>
              <w:t>27/34</w:t>
            </w:r>
          </w:p>
        </w:tc>
        <w:tc>
          <w:tcPr>
            <w:tcW w:w="1077" w:type="dxa"/>
            <w:shd w:val="clear" w:color="auto" w:fill="auto"/>
            <w:vAlign w:val="center"/>
          </w:tcPr>
          <w:p w:rsidR="00FE542A" w:rsidRPr="00F655DE" w:rsidRDefault="00FE542A" w:rsidP="0094297E">
            <w:pPr>
              <w:jc w:val="center"/>
              <w:rPr>
                <w:rFonts w:ascii="Arial Narrow" w:hAnsi="Arial Narrow"/>
                <w:sz w:val="20"/>
              </w:rPr>
            </w:pPr>
            <w:r w:rsidRPr="00F655DE">
              <w:rPr>
                <w:rFonts w:ascii="Arial Narrow" w:hAnsi="Arial Narrow"/>
                <w:sz w:val="20"/>
              </w:rPr>
              <w:t>79.4%</w:t>
            </w:r>
          </w:p>
          <w:p w:rsidR="00FE542A" w:rsidRPr="00F655DE" w:rsidRDefault="00FE542A" w:rsidP="0094297E">
            <w:pPr>
              <w:jc w:val="center"/>
              <w:rPr>
                <w:rFonts w:ascii="Arial Narrow" w:hAnsi="Arial Narrow"/>
                <w:iCs/>
                <w:sz w:val="20"/>
              </w:rPr>
            </w:pPr>
            <w:r w:rsidRPr="00F655DE">
              <w:rPr>
                <w:rFonts w:ascii="Arial Narrow" w:hAnsi="Arial Narrow"/>
                <w:iCs/>
                <w:sz w:val="20"/>
              </w:rPr>
              <w:t>(62.1, 91.3%)</w:t>
            </w:r>
          </w:p>
        </w:tc>
      </w:tr>
      <w:tr w:rsidR="00FE542A" w:rsidRPr="00802DBC" w:rsidTr="00460056">
        <w:tc>
          <w:tcPr>
            <w:tcW w:w="956" w:type="dxa"/>
            <w:shd w:val="clear" w:color="auto" w:fill="auto"/>
            <w:vAlign w:val="center"/>
          </w:tcPr>
          <w:p w:rsidR="00FE542A" w:rsidRPr="00F655DE" w:rsidRDefault="00FE542A" w:rsidP="0094297E">
            <w:pPr>
              <w:jc w:val="left"/>
              <w:rPr>
                <w:rFonts w:ascii="Arial Narrow" w:hAnsi="Arial Narrow"/>
                <w:bCs/>
                <w:iCs/>
                <w:sz w:val="20"/>
              </w:rPr>
            </w:pPr>
            <w:r w:rsidRPr="00F655DE">
              <w:rPr>
                <w:rFonts w:ascii="Arial Narrow" w:hAnsi="Arial Narrow"/>
                <w:bCs/>
                <w:iCs/>
                <w:sz w:val="20"/>
              </w:rPr>
              <w:t>UK EAP</w:t>
            </w:r>
            <w:r w:rsidR="00960A87" w:rsidRPr="00F655DE">
              <w:rPr>
                <w:rFonts w:ascii="Arial Narrow" w:hAnsi="Arial Narrow"/>
                <w:bCs/>
                <w:iCs/>
                <w:sz w:val="20"/>
                <w:vertAlign w:val="superscript"/>
              </w:rPr>
              <w:t>h</w:t>
            </w:r>
          </w:p>
        </w:tc>
        <w:tc>
          <w:tcPr>
            <w:tcW w:w="531"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 xml:space="preserve">Real-world </w:t>
            </w:r>
          </w:p>
        </w:tc>
        <w:tc>
          <w:tcPr>
            <w:tcW w:w="467" w:type="dxa"/>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All</w:t>
            </w:r>
          </w:p>
        </w:tc>
        <w:tc>
          <w:tcPr>
            <w:tcW w:w="1033"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CPT B or C</w:t>
            </w:r>
          </w:p>
        </w:tc>
        <w:tc>
          <w:tcPr>
            <w:tcW w:w="699" w:type="dxa"/>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Pre</w:t>
            </w:r>
          </w:p>
        </w:tc>
        <w:tc>
          <w:tcPr>
            <w:tcW w:w="1205"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NR (mixed)</w:t>
            </w:r>
          </w:p>
        </w:tc>
        <w:tc>
          <w:tcPr>
            <w:tcW w:w="890" w:type="dxa"/>
            <w:shd w:val="clear" w:color="auto" w:fill="auto"/>
            <w:vAlign w:val="center"/>
          </w:tcPr>
          <w:p w:rsidR="00FE542A" w:rsidRPr="00F655DE" w:rsidRDefault="00FE542A" w:rsidP="0094297E">
            <w:pPr>
              <w:jc w:val="center"/>
              <w:rPr>
                <w:rFonts w:ascii="Arial Narrow" w:hAnsi="Arial Narrow"/>
                <w:iCs/>
                <w:sz w:val="20"/>
                <w:vertAlign w:val="superscript"/>
              </w:rPr>
            </w:pPr>
            <w:r w:rsidRPr="00F655DE">
              <w:rPr>
                <w:rFonts w:ascii="Arial Narrow" w:hAnsi="Arial Narrow"/>
                <w:iCs/>
                <w:sz w:val="20"/>
              </w:rPr>
              <w:t>DCV+SOF+ RBV</w:t>
            </w:r>
            <w:r w:rsidRPr="00F655DE">
              <w:rPr>
                <w:rFonts w:ascii="Arial Narrow" w:hAnsi="Arial Narrow"/>
                <w:iCs/>
                <w:sz w:val="20"/>
                <w:vertAlign w:val="superscript"/>
              </w:rPr>
              <w:t>f</w:t>
            </w:r>
          </w:p>
        </w:tc>
        <w:tc>
          <w:tcPr>
            <w:tcW w:w="733"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12</w:t>
            </w:r>
          </w:p>
        </w:tc>
        <w:tc>
          <w:tcPr>
            <w:tcW w:w="700"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114/150</w:t>
            </w:r>
          </w:p>
        </w:tc>
        <w:tc>
          <w:tcPr>
            <w:tcW w:w="1077"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76.0%</w:t>
            </w:r>
          </w:p>
          <w:p w:rsidR="00FE542A" w:rsidRPr="00F655DE" w:rsidRDefault="00FE542A" w:rsidP="0094297E">
            <w:pPr>
              <w:jc w:val="center"/>
              <w:rPr>
                <w:rFonts w:ascii="Arial Narrow" w:hAnsi="Arial Narrow"/>
                <w:iCs/>
                <w:sz w:val="20"/>
              </w:rPr>
            </w:pPr>
            <w:r w:rsidRPr="00F655DE">
              <w:rPr>
                <w:rFonts w:ascii="Arial Narrow" w:hAnsi="Arial Narrow"/>
                <w:iCs/>
                <w:sz w:val="20"/>
              </w:rPr>
              <w:t>(68.4, 82.6%)</w:t>
            </w:r>
          </w:p>
        </w:tc>
      </w:tr>
      <w:tr w:rsidR="00FE542A" w:rsidRPr="00802DBC" w:rsidTr="00460056">
        <w:tc>
          <w:tcPr>
            <w:tcW w:w="956" w:type="dxa"/>
            <w:shd w:val="clear" w:color="auto" w:fill="auto"/>
            <w:vAlign w:val="center"/>
          </w:tcPr>
          <w:p w:rsidR="00FE542A" w:rsidRPr="00F655DE" w:rsidRDefault="00FE542A" w:rsidP="0094297E">
            <w:pPr>
              <w:ind w:left="90"/>
              <w:jc w:val="left"/>
              <w:rPr>
                <w:rFonts w:ascii="Arial Narrow" w:hAnsi="Arial Narrow"/>
                <w:bCs/>
                <w:sz w:val="20"/>
              </w:rPr>
            </w:pPr>
            <w:r w:rsidRPr="00F655DE">
              <w:rPr>
                <w:rFonts w:ascii="Arial Narrow" w:hAnsi="Arial Narrow"/>
                <w:bCs/>
                <w:sz w:val="20"/>
              </w:rPr>
              <w:t xml:space="preserve">UK EAP </w:t>
            </w:r>
          </w:p>
          <w:p w:rsidR="00FE542A" w:rsidRPr="00F655DE" w:rsidRDefault="00FE542A" w:rsidP="0094297E">
            <w:pPr>
              <w:ind w:left="90"/>
              <w:jc w:val="left"/>
              <w:rPr>
                <w:rFonts w:ascii="Arial Narrow" w:hAnsi="Arial Narrow"/>
                <w:bCs/>
                <w:sz w:val="20"/>
              </w:rPr>
            </w:pPr>
            <w:r w:rsidRPr="00F655DE">
              <w:rPr>
                <w:rFonts w:ascii="Arial Narrow" w:hAnsi="Arial Narrow"/>
                <w:bCs/>
                <w:sz w:val="20"/>
              </w:rPr>
              <w:t>(Gt 1)</w:t>
            </w:r>
          </w:p>
        </w:tc>
        <w:tc>
          <w:tcPr>
            <w:tcW w:w="531" w:type="dxa"/>
            <w:shd w:val="clear" w:color="auto" w:fill="auto"/>
            <w:vAlign w:val="center"/>
          </w:tcPr>
          <w:p w:rsidR="00FE542A" w:rsidRPr="00F655DE" w:rsidRDefault="00FE542A" w:rsidP="0094297E">
            <w:pPr>
              <w:jc w:val="center"/>
              <w:rPr>
                <w:rFonts w:ascii="Arial Narrow" w:hAnsi="Arial Narrow"/>
                <w:sz w:val="20"/>
              </w:rPr>
            </w:pPr>
            <w:r w:rsidRPr="00F655DE">
              <w:rPr>
                <w:rFonts w:ascii="Arial Narrow" w:hAnsi="Arial Narrow"/>
                <w:sz w:val="20"/>
              </w:rPr>
              <w:t>Real-world</w:t>
            </w:r>
          </w:p>
        </w:tc>
        <w:tc>
          <w:tcPr>
            <w:tcW w:w="467" w:type="dxa"/>
            <w:vAlign w:val="center"/>
          </w:tcPr>
          <w:p w:rsidR="00FE542A" w:rsidRPr="00F655DE" w:rsidRDefault="00FE542A" w:rsidP="0094297E">
            <w:pPr>
              <w:jc w:val="center"/>
              <w:rPr>
                <w:rFonts w:ascii="Arial Narrow" w:hAnsi="Arial Narrow"/>
                <w:sz w:val="20"/>
              </w:rPr>
            </w:pPr>
            <w:r w:rsidRPr="00F655DE">
              <w:rPr>
                <w:rFonts w:ascii="Arial Narrow" w:hAnsi="Arial Narrow"/>
                <w:sz w:val="20"/>
              </w:rPr>
              <w:t>1</w:t>
            </w:r>
          </w:p>
        </w:tc>
        <w:tc>
          <w:tcPr>
            <w:tcW w:w="1033" w:type="dxa"/>
            <w:shd w:val="clear" w:color="auto" w:fill="auto"/>
            <w:vAlign w:val="center"/>
          </w:tcPr>
          <w:p w:rsidR="00FE542A" w:rsidRPr="00F655DE" w:rsidRDefault="00FE542A" w:rsidP="0094297E">
            <w:pPr>
              <w:jc w:val="center"/>
              <w:rPr>
                <w:rFonts w:ascii="Arial Narrow" w:hAnsi="Arial Narrow"/>
                <w:sz w:val="20"/>
              </w:rPr>
            </w:pPr>
            <w:r w:rsidRPr="00F655DE">
              <w:rPr>
                <w:rFonts w:ascii="Arial Narrow" w:hAnsi="Arial Narrow"/>
                <w:sz w:val="20"/>
              </w:rPr>
              <w:t>CPT B or C</w:t>
            </w:r>
          </w:p>
        </w:tc>
        <w:tc>
          <w:tcPr>
            <w:tcW w:w="699" w:type="dxa"/>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Pre</w:t>
            </w:r>
            <w:r w:rsidR="0099069D" w:rsidRPr="00F655DE">
              <w:rPr>
                <w:rFonts w:ascii="Arial Narrow" w:hAnsi="Arial Narrow"/>
                <w:bCs/>
                <w:iCs/>
                <w:sz w:val="20"/>
                <w:vertAlign w:val="superscript"/>
              </w:rPr>
              <w:t>h</w:t>
            </w:r>
          </w:p>
        </w:tc>
        <w:tc>
          <w:tcPr>
            <w:tcW w:w="1205"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NR (mixed)</w:t>
            </w:r>
          </w:p>
        </w:tc>
        <w:tc>
          <w:tcPr>
            <w:tcW w:w="890" w:type="dxa"/>
            <w:shd w:val="clear" w:color="auto" w:fill="auto"/>
            <w:vAlign w:val="center"/>
          </w:tcPr>
          <w:p w:rsidR="00FE542A" w:rsidRPr="00F655DE" w:rsidRDefault="00FE542A" w:rsidP="0094297E">
            <w:pPr>
              <w:jc w:val="center"/>
              <w:rPr>
                <w:rFonts w:ascii="Arial Narrow" w:hAnsi="Arial Narrow"/>
                <w:iCs/>
                <w:sz w:val="20"/>
                <w:vertAlign w:val="superscript"/>
              </w:rPr>
            </w:pPr>
            <w:r w:rsidRPr="00F655DE">
              <w:rPr>
                <w:rFonts w:ascii="Arial Narrow" w:hAnsi="Arial Narrow"/>
                <w:iCs/>
                <w:sz w:val="20"/>
              </w:rPr>
              <w:t>DCV+SOF+ RBV</w:t>
            </w:r>
            <w:r w:rsidRPr="00F655DE">
              <w:rPr>
                <w:rFonts w:ascii="Arial Narrow" w:hAnsi="Arial Narrow"/>
                <w:iCs/>
                <w:sz w:val="20"/>
                <w:vertAlign w:val="superscript"/>
              </w:rPr>
              <w:t>f</w:t>
            </w:r>
          </w:p>
        </w:tc>
        <w:tc>
          <w:tcPr>
            <w:tcW w:w="733"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12</w:t>
            </w:r>
          </w:p>
        </w:tc>
        <w:tc>
          <w:tcPr>
            <w:tcW w:w="700"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30/34</w:t>
            </w:r>
          </w:p>
        </w:tc>
        <w:tc>
          <w:tcPr>
            <w:tcW w:w="1077"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88.2%</w:t>
            </w:r>
          </w:p>
          <w:p w:rsidR="00FE542A" w:rsidRPr="00F655DE" w:rsidRDefault="00FE542A" w:rsidP="0094297E">
            <w:pPr>
              <w:jc w:val="center"/>
              <w:rPr>
                <w:rFonts w:ascii="Arial Narrow" w:hAnsi="Arial Narrow"/>
                <w:sz w:val="20"/>
              </w:rPr>
            </w:pPr>
            <w:r w:rsidRPr="00F655DE">
              <w:rPr>
                <w:rFonts w:ascii="Arial Narrow" w:hAnsi="Arial Narrow"/>
                <w:sz w:val="20"/>
              </w:rPr>
              <w:t>(72.5, 96.7%)</w:t>
            </w:r>
          </w:p>
        </w:tc>
      </w:tr>
      <w:tr w:rsidR="00FE542A" w:rsidRPr="00802DBC" w:rsidTr="00460056">
        <w:tc>
          <w:tcPr>
            <w:tcW w:w="956" w:type="dxa"/>
            <w:shd w:val="clear" w:color="auto" w:fill="auto"/>
            <w:vAlign w:val="center"/>
          </w:tcPr>
          <w:p w:rsidR="00FE542A" w:rsidRPr="00F655DE" w:rsidRDefault="00FE542A" w:rsidP="0094297E">
            <w:pPr>
              <w:ind w:left="90"/>
              <w:jc w:val="left"/>
              <w:rPr>
                <w:rFonts w:ascii="Arial Narrow" w:hAnsi="Arial Narrow"/>
                <w:bCs/>
                <w:iCs/>
                <w:sz w:val="20"/>
              </w:rPr>
            </w:pPr>
            <w:r w:rsidRPr="00F655DE">
              <w:rPr>
                <w:rFonts w:ascii="Arial Narrow" w:hAnsi="Arial Narrow"/>
                <w:bCs/>
                <w:iCs/>
                <w:sz w:val="20"/>
              </w:rPr>
              <w:t xml:space="preserve">UK EAP </w:t>
            </w:r>
          </w:p>
          <w:p w:rsidR="00FE542A" w:rsidRPr="00F655DE" w:rsidRDefault="00FE542A" w:rsidP="0094297E">
            <w:pPr>
              <w:ind w:left="90"/>
              <w:jc w:val="left"/>
              <w:rPr>
                <w:rFonts w:ascii="Arial Narrow" w:hAnsi="Arial Narrow"/>
                <w:bCs/>
                <w:iCs/>
                <w:sz w:val="20"/>
              </w:rPr>
            </w:pPr>
            <w:r w:rsidRPr="00F655DE">
              <w:rPr>
                <w:rFonts w:ascii="Arial Narrow" w:hAnsi="Arial Narrow"/>
                <w:bCs/>
                <w:iCs/>
                <w:sz w:val="20"/>
              </w:rPr>
              <w:t>(Gt 3)</w:t>
            </w:r>
            <w:r w:rsidR="00960A87" w:rsidRPr="00F655DE">
              <w:rPr>
                <w:rFonts w:ascii="Arial Narrow" w:hAnsi="Arial Narrow"/>
                <w:bCs/>
                <w:iCs/>
                <w:sz w:val="20"/>
                <w:vertAlign w:val="superscript"/>
              </w:rPr>
              <w:t xml:space="preserve"> h</w:t>
            </w:r>
          </w:p>
        </w:tc>
        <w:tc>
          <w:tcPr>
            <w:tcW w:w="531"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Real-world</w:t>
            </w:r>
          </w:p>
        </w:tc>
        <w:tc>
          <w:tcPr>
            <w:tcW w:w="467" w:type="dxa"/>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3</w:t>
            </w:r>
          </w:p>
        </w:tc>
        <w:tc>
          <w:tcPr>
            <w:tcW w:w="1033"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CPT B or C</w:t>
            </w:r>
          </w:p>
        </w:tc>
        <w:tc>
          <w:tcPr>
            <w:tcW w:w="699" w:type="dxa"/>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Pre</w:t>
            </w:r>
          </w:p>
        </w:tc>
        <w:tc>
          <w:tcPr>
            <w:tcW w:w="1205"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NR (mixed)</w:t>
            </w:r>
          </w:p>
        </w:tc>
        <w:tc>
          <w:tcPr>
            <w:tcW w:w="890" w:type="dxa"/>
            <w:shd w:val="clear" w:color="auto" w:fill="auto"/>
            <w:vAlign w:val="center"/>
          </w:tcPr>
          <w:p w:rsidR="00FE542A" w:rsidRPr="00F655DE" w:rsidRDefault="00FE542A" w:rsidP="0094297E">
            <w:pPr>
              <w:jc w:val="center"/>
              <w:rPr>
                <w:rFonts w:ascii="Arial Narrow" w:hAnsi="Arial Narrow"/>
                <w:iCs/>
                <w:sz w:val="20"/>
                <w:vertAlign w:val="superscript"/>
              </w:rPr>
            </w:pPr>
            <w:r w:rsidRPr="00F655DE">
              <w:rPr>
                <w:rFonts w:ascii="Arial Narrow" w:hAnsi="Arial Narrow"/>
                <w:iCs/>
                <w:sz w:val="20"/>
              </w:rPr>
              <w:t>DCV+SOF+ RBV</w:t>
            </w:r>
            <w:r w:rsidRPr="00F655DE">
              <w:rPr>
                <w:rFonts w:ascii="Arial Narrow" w:hAnsi="Arial Narrow"/>
                <w:iCs/>
                <w:sz w:val="20"/>
                <w:vertAlign w:val="superscript"/>
              </w:rPr>
              <w:t>f</w:t>
            </w:r>
          </w:p>
        </w:tc>
        <w:tc>
          <w:tcPr>
            <w:tcW w:w="733"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12</w:t>
            </w:r>
          </w:p>
        </w:tc>
        <w:tc>
          <w:tcPr>
            <w:tcW w:w="700"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75/105</w:t>
            </w:r>
          </w:p>
        </w:tc>
        <w:tc>
          <w:tcPr>
            <w:tcW w:w="1077"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71.4%</w:t>
            </w:r>
          </w:p>
          <w:p w:rsidR="00FE542A" w:rsidRPr="00F655DE" w:rsidRDefault="00FE542A" w:rsidP="0094297E">
            <w:pPr>
              <w:jc w:val="center"/>
              <w:rPr>
                <w:rFonts w:ascii="Arial Narrow" w:hAnsi="Arial Narrow"/>
                <w:iCs/>
                <w:sz w:val="20"/>
              </w:rPr>
            </w:pPr>
            <w:r w:rsidRPr="00F655DE">
              <w:rPr>
                <w:rFonts w:ascii="Arial Narrow" w:hAnsi="Arial Narrow"/>
                <w:iCs/>
                <w:sz w:val="20"/>
              </w:rPr>
              <w:t>(61.8, 79.8%)</w:t>
            </w:r>
          </w:p>
        </w:tc>
      </w:tr>
      <w:tr w:rsidR="00FE542A" w:rsidRPr="00802DBC" w:rsidTr="00460056">
        <w:tc>
          <w:tcPr>
            <w:tcW w:w="956" w:type="dxa"/>
            <w:shd w:val="clear" w:color="auto" w:fill="auto"/>
            <w:vAlign w:val="center"/>
          </w:tcPr>
          <w:p w:rsidR="00FE542A" w:rsidRPr="00F655DE" w:rsidRDefault="00FE542A" w:rsidP="0094297E">
            <w:pPr>
              <w:ind w:left="90"/>
              <w:jc w:val="left"/>
              <w:rPr>
                <w:rFonts w:ascii="Arial Narrow" w:hAnsi="Arial Narrow"/>
                <w:bCs/>
                <w:iCs/>
                <w:sz w:val="20"/>
              </w:rPr>
            </w:pPr>
            <w:r w:rsidRPr="00F655DE">
              <w:rPr>
                <w:rFonts w:ascii="Arial Narrow" w:hAnsi="Arial Narrow"/>
                <w:bCs/>
                <w:iCs/>
                <w:sz w:val="20"/>
              </w:rPr>
              <w:t>UK EAP</w:t>
            </w:r>
          </w:p>
          <w:p w:rsidR="00FE542A" w:rsidRPr="00F655DE" w:rsidRDefault="00FE542A" w:rsidP="0094297E">
            <w:pPr>
              <w:ind w:left="90"/>
              <w:jc w:val="left"/>
              <w:rPr>
                <w:rFonts w:ascii="Arial Narrow" w:hAnsi="Arial Narrow"/>
                <w:bCs/>
                <w:iCs/>
                <w:sz w:val="20"/>
              </w:rPr>
            </w:pPr>
            <w:r w:rsidRPr="00F655DE">
              <w:rPr>
                <w:rFonts w:ascii="Arial Narrow" w:hAnsi="Arial Narrow"/>
                <w:bCs/>
                <w:iCs/>
                <w:sz w:val="20"/>
              </w:rPr>
              <w:t>(Other)</w:t>
            </w:r>
            <w:r w:rsidR="00960A87" w:rsidRPr="00F655DE">
              <w:rPr>
                <w:rFonts w:ascii="Arial Narrow" w:hAnsi="Arial Narrow"/>
                <w:bCs/>
                <w:iCs/>
                <w:sz w:val="20"/>
                <w:vertAlign w:val="superscript"/>
              </w:rPr>
              <w:t xml:space="preserve"> h</w:t>
            </w:r>
            <w:r w:rsidRPr="00F655DE">
              <w:rPr>
                <w:rFonts w:ascii="Arial Narrow" w:hAnsi="Arial Narrow"/>
                <w:bCs/>
                <w:iCs/>
                <w:sz w:val="20"/>
              </w:rPr>
              <w:t xml:space="preserve"> </w:t>
            </w:r>
          </w:p>
        </w:tc>
        <w:tc>
          <w:tcPr>
            <w:tcW w:w="531"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Real-world</w:t>
            </w:r>
          </w:p>
        </w:tc>
        <w:tc>
          <w:tcPr>
            <w:tcW w:w="467" w:type="dxa"/>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Other</w:t>
            </w:r>
          </w:p>
        </w:tc>
        <w:tc>
          <w:tcPr>
            <w:tcW w:w="1033"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CPT B or C</w:t>
            </w:r>
          </w:p>
        </w:tc>
        <w:tc>
          <w:tcPr>
            <w:tcW w:w="699" w:type="dxa"/>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Pre</w:t>
            </w:r>
          </w:p>
        </w:tc>
        <w:tc>
          <w:tcPr>
            <w:tcW w:w="1205"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NR (mixed)</w:t>
            </w:r>
          </w:p>
        </w:tc>
        <w:tc>
          <w:tcPr>
            <w:tcW w:w="890" w:type="dxa"/>
            <w:shd w:val="clear" w:color="auto" w:fill="auto"/>
            <w:vAlign w:val="center"/>
          </w:tcPr>
          <w:p w:rsidR="00FE542A" w:rsidRPr="00F655DE" w:rsidRDefault="00FE542A" w:rsidP="0094297E">
            <w:pPr>
              <w:jc w:val="center"/>
              <w:rPr>
                <w:rFonts w:ascii="Arial Narrow" w:hAnsi="Arial Narrow"/>
                <w:iCs/>
                <w:sz w:val="20"/>
                <w:vertAlign w:val="superscript"/>
              </w:rPr>
            </w:pPr>
            <w:r w:rsidRPr="00F655DE">
              <w:rPr>
                <w:rFonts w:ascii="Arial Narrow" w:hAnsi="Arial Narrow"/>
                <w:iCs/>
                <w:sz w:val="20"/>
              </w:rPr>
              <w:t>DCV+SOF+ RBV</w:t>
            </w:r>
            <w:r w:rsidRPr="00F655DE">
              <w:rPr>
                <w:rFonts w:ascii="Arial Narrow" w:hAnsi="Arial Narrow"/>
                <w:iCs/>
                <w:sz w:val="20"/>
                <w:vertAlign w:val="superscript"/>
              </w:rPr>
              <w:t>f</w:t>
            </w:r>
          </w:p>
        </w:tc>
        <w:tc>
          <w:tcPr>
            <w:tcW w:w="733"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12</w:t>
            </w:r>
          </w:p>
        </w:tc>
        <w:tc>
          <w:tcPr>
            <w:tcW w:w="700"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9/11</w:t>
            </w:r>
          </w:p>
        </w:tc>
        <w:tc>
          <w:tcPr>
            <w:tcW w:w="1077"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81.8%</w:t>
            </w:r>
          </w:p>
          <w:p w:rsidR="00FE542A" w:rsidRPr="00F655DE" w:rsidRDefault="00FE542A" w:rsidP="0094297E">
            <w:pPr>
              <w:jc w:val="center"/>
              <w:rPr>
                <w:rFonts w:ascii="Arial Narrow" w:hAnsi="Arial Narrow"/>
                <w:iCs/>
                <w:sz w:val="20"/>
              </w:rPr>
            </w:pPr>
            <w:r w:rsidRPr="00F655DE">
              <w:rPr>
                <w:rFonts w:ascii="Arial Narrow" w:hAnsi="Arial Narrow"/>
                <w:iCs/>
                <w:sz w:val="20"/>
              </w:rPr>
              <w:t>(48.2, 97.7%)</w:t>
            </w:r>
          </w:p>
        </w:tc>
      </w:tr>
      <w:tr w:rsidR="00FE542A" w:rsidRPr="00802DBC" w:rsidTr="00460056">
        <w:tc>
          <w:tcPr>
            <w:tcW w:w="8291" w:type="dxa"/>
            <w:gridSpan w:val="10"/>
            <w:shd w:val="clear" w:color="auto" w:fill="auto"/>
            <w:vAlign w:val="center"/>
          </w:tcPr>
          <w:p w:rsidR="00FE542A" w:rsidRPr="00F655DE" w:rsidRDefault="00FE542A" w:rsidP="0094297E">
            <w:pPr>
              <w:jc w:val="left"/>
              <w:rPr>
                <w:rFonts w:ascii="Arial Narrow" w:hAnsi="Arial Narrow"/>
                <w:iCs/>
                <w:sz w:val="20"/>
              </w:rPr>
            </w:pPr>
            <w:r w:rsidRPr="00F655DE">
              <w:rPr>
                <w:rFonts w:ascii="Arial Narrow" w:hAnsi="Arial Narrow"/>
                <w:b/>
                <w:bCs/>
                <w:sz w:val="20"/>
              </w:rPr>
              <w:t>Daclatasvir plus sofosbuvir plus ribavirin for 24 weeks (nominated comparator for HCV Gt 3)</w:t>
            </w:r>
          </w:p>
        </w:tc>
      </w:tr>
      <w:tr w:rsidR="00FE542A" w:rsidRPr="00802DBC" w:rsidTr="00460056">
        <w:tc>
          <w:tcPr>
            <w:tcW w:w="956" w:type="dxa"/>
            <w:shd w:val="clear" w:color="auto" w:fill="auto"/>
            <w:vAlign w:val="center"/>
          </w:tcPr>
          <w:p w:rsidR="00FE542A" w:rsidRPr="00F655DE" w:rsidRDefault="00FE542A" w:rsidP="0094297E">
            <w:pPr>
              <w:jc w:val="left"/>
              <w:rPr>
                <w:rFonts w:ascii="Arial Narrow" w:hAnsi="Arial Narrow"/>
                <w:bCs/>
                <w:iCs/>
                <w:sz w:val="20"/>
              </w:rPr>
            </w:pPr>
            <w:r w:rsidRPr="00F655DE">
              <w:rPr>
                <w:rFonts w:ascii="Arial Narrow" w:hAnsi="Arial Narrow"/>
                <w:iCs/>
                <w:sz w:val="20"/>
              </w:rPr>
              <w:t>No data</w:t>
            </w:r>
            <w:r w:rsidR="00960A87" w:rsidRPr="00F655DE">
              <w:rPr>
                <w:rFonts w:ascii="Arial Narrow" w:hAnsi="Arial Narrow"/>
                <w:bCs/>
                <w:iCs/>
                <w:sz w:val="20"/>
                <w:vertAlign w:val="superscript"/>
              </w:rPr>
              <w:t>h</w:t>
            </w:r>
          </w:p>
        </w:tc>
        <w:tc>
          <w:tcPr>
            <w:tcW w:w="531"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w:t>
            </w:r>
          </w:p>
        </w:tc>
        <w:tc>
          <w:tcPr>
            <w:tcW w:w="467" w:type="dxa"/>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w:t>
            </w:r>
          </w:p>
        </w:tc>
        <w:tc>
          <w:tcPr>
            <w:tcW w:w="1033"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w:t>
            </w:r>
          </w:p>
        </w:tc>
        <w:tc>
          <w:tcPr>
            <w:tcW w:w="699" w:type="dxa"/>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w:t>
            </w:r>
          </w:p>
        </w:tc>
        <w:tc>
          <w:tcPr>
            <w:tcW w:w="1205"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w:t>
            </w:r>
          </w:p>
        </w:tc>
        <w:tc>
          <w:tcPr>
            <w:tcW w:w="890"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DCV+SOF+ RBV</w:t>
            </w:r>
          </w:p>
        </w:tc>
        <w:tc>
          <w:tcPr>
            <w:tcW w:w="733"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24</w:t>
            </w:r>
          </w:p>
        </w:tc>
        <w:tc>
          <w:tcPr>
            <w:tcW w:w="700"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w:t>
            </w:r>
          </w:p>
        </w:tc>
        <w:tc>
          <w:tcPr>
            <w:tcW w:w="1077"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w:t>
            </w:r>
          </w:p>
        </w:tc>
      </w:tr>
      <w:tr w:rsidR="00FE542A" w:rsidRPr="00802DBC" w:rsidTr="00460056">
        <w:tc>
          <w:tcPr>
            <w:tcW w:w="8291" w:type="dxa"/>
            <w:gridSpan w:val="10"/>
            <w:shd w:val="clear" w:color="auto" w:fill="auto"/>
            <w:vAlign w:val="center"/>
          </w:tcPr>
          <w:p w:rsidR="00FE542A" w:rsidRPr="00F655DE" w:rsidRDefault="00FE542A" w:rsidP="0094297E">
            <w:pPr>
              <w:jc w:val="left"/>
              <w:rPr>
                <w:rFonts w:ascii="Arial Narrow" w:hAnsi="Arial Narrow"/>
                <w:b/>
                <w:bCs/>
                <w:sz w:val="20"/>
              </w:rPr>
            </w:pPr>
            <w:r w:rsidRPr="00F655DE">
              <w:rPr>
                <w:rFonts w:ascii="Arial Narrow" w:hAnsi="Arial Narrow"/>
                <w:b/>
                <w:bCs/>
                <w:sz w:val="20"/>
              </w:rPr>
              <w:t>Ledipasvir/sofosbuvir plus ribavirin for 12 weeks (concurrent submission for all genotypes)</w:t>
            </w:r>
          </w:p>
        </w:tc>
      </w:tr>
      <w:tr w:rsidR="00FE542A" w:rsidRPr="00802DBC" w:rsidTr="00460056">
        <w:tc>
          <w:tcPr>
            <w:tcW w:w="956" w:type="dxa"/>
            <w:shd w:val="clear" w:color="auto" w:fill="auto"/>
            <w:vAlign w:val="center"/>
          </w:tcPr>
          <w:p w:rsidR="00FE542A" w:rsidRPr="00F655DE" w:rsidRDefault="00FE542A" w:rsidP="0094297E">
            <w:pPr>
              <w:jc w:val="left"/>
              <w:rPr>
                <w:rFonts w:ascii="Arial Narrow" w:hAnsi="Arial Narrow"/>
                <w:bCs/>
                <w:iCs/>
                <w:sz w:val="20"/>
              </w:rPr>
            </w:pPr>
            <w:r w:rsidRPr="00F655DE">
              <w:rPr>
                <w:rFonts w:ascii="Arial Narrow" w:hAnsi="Arial Narrow"/>
                <w:iCs/>
                <w:sz w:val="20"/>
              </w:rPr>
              <w:t>SOLAR-1/2</w:t>
            </w:r>
          </w:p>
        </w:tc>
        <w:tc>
          <w:tcPr>
            <w:tcW w:w="531"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Phase II</w:t>
            </w:r>
          </w:p>
        </w:tc>
        <w:tc>
          <w:tcPr>
            <w:tcW w:w="467" w:type="dxa"/>
            <w:vAlign w:val="center"/>
          </w:tcPr>
          <w:p w:rsidR="00FE542A" w:rsidRPr="00F655DE" w:rsidRDefault="00FE542A" w:rsidP="0094297E">
            <w:pPr>
              <w:jc w:val="center"/>
              <w:rPr>
                <w:rFonts w:ascii="Arial Narrow" w:hAnsi="Arial Narrow"/>
                <w:iCs/>
                <w:sz w:val="20"/>
                <w:vertAlign w:val="superscript"/>
              </w:rPr>
            </w:pPr>
            <w:r w:rsidRPr="00F655DE">
              <w:rPr>
                <w:rFonts w:ascii="Arial Narrow" w:hAnsi="Arial Narrow"/>
                <w:iCs/>
                <w:sz w:val="20"/>
              </w:rPr>
              <w:t>1, 4</w:t>
            </w:r>
            <w:r w:rsidRPr="00F655DE">
              <w:rPr>
                <w:rFonts w:ascii="Arial Narrow" w:hAnsi="Arial Narrow"/>
                <w:iCs/>
                <w:sz w:val="20"/>
                <w:vertAlign w:val="superscript"/>
              </w:rPr>
              <w:t>c</w:t>
            </w:r>
          </w:p>
        </w:tc>
        <w:tc>
          <w:tcPr>
            <w:tcW w:w="1033" w:type="dxa"/>
            <w:shd w:val="clear" w:color="auto" w:fill="auto"/>
            <w:vAlign w:val="center"/>
          </w:tcPr>
          <w:p w:rsidR="00FE542A" w:rsidRPr="00F655DE" w:rsidRDefault="00FE542A" w:rsidP="0094297E">
            <w:pPr>
              <w:jc w:val="center"/>
              <w:rPr>
                <w:rFonts w:ascii="Arial Narrow" w:hAnsi="Arial Narrow"/>
                <w:sz w:val="20"/>
              </w:rPr>
            </w:pPr>
            <w:r w:rsidRPr="00F655DE">
              <w:rPr>
                <w:rFonts w:ascii="Arial Narrow" w:hAnsi="Arial Narrow"/>
                <w:sz w:val="20"/>
              </w:rPr>
              <w:t>CPT B: 67%</w:t>
            </w:r>
            <w:r w:rsidR="0099069D" w:rsidRPr="00F655DE">
              <w:rPr>
                <w:rFonts w:ascii="Arial Narrow" w:hAnsi="Arial Narrow"/>
                <w:bCs/>
                <w:iCs/>
                <w:sz w:val="20"/>
                <w:vertAlign w:val="superscript"/>
              </w:rPr>
              <w:t>h</w:t>
            </w:r>
          </w:p>
          <w:p w:rsidR="00FE542A" w:rsidRPr="00F655DE" w:rsidRDefault="00FE542A" w:rsidP="0094297E">
            <w:pPr>
              <w:jc w:val="center"/>
              <w:rPr>
                <w:rFonts w:ascii="Arial Narrow" w:hAnsi="Arial Narrow"/>
                <w:iCs/>
                <w:sz w:val="20"/>
              </w:rPr>
            </w:pPr>
            <w:r w:rsidRPr="00F655DE">
              <w:rPr>
                <w:rFonts w:ascii="Arial Narrow" w:hAnsi="Arial Narrow"/>
                <w:sz w:val="20"/>
              </w:rPr>
              <w:t>CPT C: 33%</w:t>
            </w:r>
            <w:r w:rsidR="0099069D" w:rsidRPr="00F655DE">
              <w:rPr>
                <w:rFonts w:ascii="Arial Narrow" w:hAnsi="Arial Narrow"/>
                <w:bCs/>
                <w:iCs/>
                <w:sz w:val="20"/>
                <w:vertAlign w:val="superscript"/>
              </w:rPr>
              <w:t>h</w:t>
            </w:r>
          </w:p>
        </w:tc>
        <w:tc>
          <w:tcPr>
            <w:tcW w:w="699" w:type="dxa"/>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Pre: 64%</w:t>
            </w:r>
            <w:r w:rsidR="0099069D" w:rsidRPr="00F655DE">
              <w:rPr>
                <w:rFonts w:ascii="Arial Narrow" w:hAnsi="Arial Narrow"/>
                <w:bCs/>
                <w:iCs/>
                <w:sz w:val="20"/>
                <w:vertAlign w:val="superscript"/>
              </w:rPr>
              <w:t>h</w:t>
            </w:r>
          </w:p>
          <w:p w:rsidR="00FE542A" w:rsidRPr="00F655DE" w:rsidRDefault="00FE542A" w:rsidP="0094297E">
            <w:pPr>
              <w:jc w:val="center"/>
              <w:rPr>
                <w:rFonts w:ascii="Arial Narrow" w:hAnsi="Arial Narrow"/>
                <w:iCs/>
                <w:sz w:val="20"/>
              </w:rPr>
            </w:pPr>
            <w:r w:rsidRPr="00F655DE">
              <w:rPr>
                <w:rFonts w:ascii="Arial Narrow" w:hAnsi="Arial Narrow"/>
                <w:iCs/>
                <w:sz w:val="20"/>
              </w:rPr>
              <w:t>Post: 36%</w:t>
            </w:r>
            <w:r w:rsidR="0099069D" w:rsidRPr="00F655DE">
              <w:rPr>
                <w:rFonts w:ascii="Arial Narrow" w:hAnsi="Arial Narrow"/>
                <w:bCs/>
                <w:iCs/>
                <w:sz w:val="20"/>
                <w:vertAlign w:val="superscript"/>
              </w:rPr>
              <w:t>h</w:t>
            </w:r>
          </w:p>
        </w:tc>
        <w:tc>
          <w:tcPr>
            <w:tcW w:w="1205"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75%</w:t>
            </w:r>
          </w:p>
        </w:tc>
        <w:tc>
          <w:tcPr>
            <w:tcW w:w="890" w:type="dxa"/>
            <w:shd w:val="clear" w:color="auto" w:fill="auto"/>
            <w:vAlign w:val="center"/>
          </w:tcPr>
          <w:p w:rsidR="00FE542A" w:rsidRPr="00F655DE" w:rsidRDefault="00FE542A" w:rsidP="0094297E">
            <w:pPr>
              <w:jc w:val="center"/>
              <w:rPr>
                <w:rFonts w:ascii="Arial Narrow" w:hAnsi="Arial Narrow"/>
                <w:iCs/>
                <w:sz w:val="20"/>
                <w:vertAlign w:val="superscript"/>
              </w:rPr>
            </w:pPr>
            <w:r w:rsidRPr="00F655DE">
              <w:rPr>
                <w:rFonts w:ascii="Arial Narrow" w:hAnsi="Arial Narrow"/>
                <w:iCs/>
                <w:sz w:val="20"/>
              </w:rPr>
              <w:t>LDV/SOF+ RBV</w:t>
            </w:r>
            <w:r w:rsidRPr="00F655DE">
              <w:rPr>
                <w:rFonts w:ascii="Arial Narrow" w:hAnsi="Arial Narrow"/>
                <w:iCs/>
                <w:sz w:val="20"/>
                <w:vertAlign w:val="superscript"/>
              </w:rPr>
              <w:t>g</w:t>
            </w:r>
          </w:p>
        </w:tc>
        <w:tc>
          <w:tcPr>
            <w:tcW w:w="733"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12</w:t>
            </w:r>
          </w:p>
        </w:tc>
        <w:tc>
          <w:tcPr>
            <w:tcW w:w="700"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131/155</w:t>
            </w:r>
          </w:p>
        </w:tc>
        <w:tc>
          <w:tcPr>
            <w:tcW w:w="1077"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84.5%</w:t>
            </w:r>
          </w:p>
          <w:p w:rsidR="00FE542A" w:rsidRPr="00F655DE" w:rsidRDefault="00FE542A" w:rsidP="0094297E">
            <w:pPr>
              <w:jc w:val="center"/>
              <w:rPr>
                <w:rFonts w:ascii="Arial Narrow" w:hAnsi="Arial Narrow"/>
                <w:sz w:val="20"/>
              </w:rPr>
            </w:pPr>
            <w:r w:rsidRPr="00F655DE">
              <w:rPr>
                <w:rFonts w:ascii="Arial Narrow" w:hAnsi="Arial Narrow"/>
                <w:iCs/>
                <w:sz w:val="20"/>
              </w:rPr>
              <w:t>(</w:t>
            </w:r>
            <w:r w:rsidRPr="00F655DE">
              <w:rPr>
                <w:rFonts w:ascii="Arial Narrow" w:hAnsi="Arial Narrow"/>
                <w:sz w:val="20"/>
              </w:rPr>
              <w:t>77.8, 89.8%)</w:t>
            </w:r>
          </w:p>
        </w:tc>
      </w:tr>
      <w:tr w:rsidR="00FE542A" w:rsidRPr="00802DBC" w:rsidTr="00460056">
        <w:tc>
          <w:tcPr>
            <w:tcW w:w="956" w:type="dxa"/>
            <w:shd w:val="clear" w:color="auto" w:fill="auto"/>
            <w:vAlign w:val="center"/>
          </w:tcPr>
          <w:p w:rsidR="00FE542A" w:rsidRPr="00F655DE" w:rsidRDefault="00FE542A" w:rsidP="0094297E">
            <w:pPr>
              <w:jc w:val="left"/>
              <w:rPr>
                <w:rFonts w:ascii="Arial Narrow" w:hAnsi="Arial Narrow"/>
                <w:bCs/>
                <w:iCs/>
                <w:sz w:val="20"/>
              </w:rPr>
            </w:pPr>
            <w:r w:rsidRPr="00F655DE">
              <w:rPr>
                <w:rFonts w:ascii="Arial Narrow" w:hAnsi="Arial Narrow"/>
                <w:bCs/>
                <w:iCs/>
                <w:sz w:val="20"/>
              </w:rPr>
              <w:t>UK EAP</w:t>
            </w:r>
            <w:r w:rsidR="00960A87" w:rsidRPr="00F655DE">
              <w:rPr>
                <w:rFonts w:ascii="Arial Narrow" w:hAnsi="Arial Narrow"/>
                <w:bCs/>
                <w:iCs/>
                <w:sz w:val="20"/>
                <w:vertAlign w:val="superscript"/>
              </w:rPr>
              <w:t>h</w:t>
            </w:r>
          </w:p>
        </w:tc>
        <w:tc>
          <w:tcPr>
            <w:tcW w:w="531" w:type="dxa"/>
            <w:shd w:val="clear" w:color="auto" w:fill="auto"/>
          </w:tcPr>
          <w:p w:rsidR="00FE542A" w:rsidRPr="00F655DE" w:rsidRDefault="00FE542A" w:rsidP="0094297E">
            <w:pPr>
              <w:jc w:val="center"/>
              <w:rPr>
                <w:rFonts w:ascii="Arial Narrow" w:hAnsi="Arial Narrow"/>
                <w:iCs/>
                <w:sz w:val="20"/>
              </w:rPr>
            </w:pPr>
            <w:r w:rsidRPr="00F655DE">
              <w:rPr>
                <w:rFonts w:ascii="Arial Narrow" w:hAnsi="Arial Narrow"/>
                <w:iCs/>
                <w:sz w:val="20"/>
              </w:rPr>
              <w:t xml:space="preserve">Real-world </w:t>
            </w:r>
          </w:p>
        </w:tc>
        <w:tc>
          <w:tcPr>
            <w:tcW w:w="467" w:type="dxa"/>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All</w:t>
            </w:r>
          </w:p>
        </w:tc>
        <w:tc>
          <w:tcPr>
            <w:tcW w:w="1033"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CPT B or C</w:t>
            </w:r>
          </w:p>
        </w:tc>
        <w:tc>
          <w:tcPr>
            <w:tcW w:w="699" w:type="dxa"/>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Pre</w:t>
            </w:r>
          </w:p>
        </w:tc>
        <w:tc>
          <w:tcPr>
            <w:tcW w:w="1205"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NR (mixed)</w:t>
            </w:r>
          </w:p>
        </w:tc>
        <w:tc>
          <w:tcPr>
            <w:tcW w:w="890"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LDV/SOF+ RBV</w:t>
            </w:r>
            <w:r w:rsidRPr="00F655DE">
              <w:rPr>
                <w:rFonts w:ascii="Arial Narrow" w:hAnsi="Arial Narrow"/>
                <w:iCs/>
                <w:sz w:val="20"/>
                <w:vertAlign w:val="superscript"/>
              </w:rPr>
              <w:t>f</w:t>
            </w:r>
          </w:p>
        </w:tc>
        <w:tc>
          <w:tcPr>
            <w:tcW w:w="733"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12</w:t>
            </w:r>
          </w:p>
        </w:tc>
        <w:tc>
          <w:tcPr>
            <w:tcW w:w="700"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194/229</w:t>
            </w:r>
          </w:p>
        </w:tc>
        <w:tc>
          <w:tcPr>
            <w:tcW w:w="1077"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84.7%</w:t>
            </w:r>
          </w:p>
          <w:p w:rsidR="00FE542A" w:rsidRPr="00F655DE" w:rsidRDefault="00FE542A" w:rsidP="0094297E">
            <w:pPr>
              <w:jc w:val="center"/>
              <w:rPr>
                <w:rFonts w:ascii="Arial Narrow" w:hAnsi="Arial Narrow"/>
                <w:iCs/>
                <w:sz w:val="20"/>
              </w:rPr>
            </w:pPr>
            <w:r w:rsidRPr="00F655DE">
              <w:rPr>
                <w:rFonts w:ascii="Arial Narrow" w:hAnsi="Arial Narrow"/>
                <w:iCs/>
                <w:sz w:val="20"/>
              </w:rPr>
              <w:t>(79.4, 89.1%)</w:t>
            </w:r>
          </w:p>
        </w:tc>
      </w:tr>
      <w:tr w:rsidR="00FE542A" w:rsidRPr="00802DBC" w:rsidTr="00460056">
        <w:tc>
          <w:tcPr>
            <w:tcW w:w="956" w:type="dxa"/>
            <w:shd w:val="clear" w:color="auto" w:fill="auto"/>
            <w:vAlign w:val="center"/>
          </w:tcPr>
          <w:p w:rsidR="00FE542A" w:rsidRPr="00F655DE" w:rsidRDefault="00FE542A" w:rsidP="0094297E">
            <w:pPr>
              <w:ind w:left="90"/>
              <w:jc w:val="left"/>
              <w:rPr>
                <w:rFonts w:ascii="Arial Narrow" w:hAnsi="Arial Narrow"/>
                <w:bCs/>
                <w:sz w:val="20"/>
              </w:rPr>
            </w:pPr>
            <w:r w:rsidRPr="00F655DE">
              <w:rPr>
                <w:rFonts w:ascii="Arial Narrow" w:hAnsi="Arial Narrow"/>
                <w:bCs/>
                <w:sz w:val="20"/>
              </w:rPr>
              <w:t xml:space="preserve">UK EAP </w:t>
            </w:r>
          </w:p>
          <w:p w:rsidR="00FE542A" w:rsidRPr="00F655DE" w:rsidRDefault="00FE542A" w:rsidP="0094297E">
            <w:pPr>
              <w:ind w:left="90"/>
              <w:jc w:val="left"/>
              <w:rPr>
                <w:rFonts w:ascii="Arial Narrow" w:hAnsi="Arial Narrow"/>
                <w:bCs/>
                <w:sz w:val="20"/>
              </w:rPr>
            </w:pPr>
            <w:r w:rsidRPr="00F655DE">
              <w:rPr>
                <w:rFonts w:ascii="Arial Narrow" w:hAnsi="Arial Narrow"/>
                <w:bCs/>
                <w:sz w:val="20"/>
              </w:rPr>
              <w:t>(Gt 1)</w:t>
            </w:r>
          </w:p>
        </w:tc>
        <w:tc>
          <w:tcPr>
            <w:tcW w:w="531" w:type="dxa"/>
            <w:shd w:val="clear" w:color="auto" w:fill="auto"/>
          </w:tcPr>
          <w:p w:rsidR="00FE542A" w:rsidRPr="00F655DE" w:rsidRDefault="00FE542A" w:rsidP="0094297E">
            <w:pPr>
              <w:jc w:val="center"/>
              <w:rPr>
                <w:rFonts w:ascii="Arial Narrow" w:hAnsi="Arial Narrow"/>
                <w:sz w:val="20"/>
              </w:rPr>
            </w:pPr>
            <w:r w:rsidRPr="00F655DE">
              <w:rPr>
                <w:rFonts w:ascii="Arial Narrow" w:hAnsi="Arial Narrow"/>
                <w:sz w:val="20"/>
              </w:rPr>
              <w:t xml:space="preserve">Real-world </w:t>
            </w:r>
          </w:p>
        </w:tc>
        <w:tc>
          <w:tcPr>
            <w:tcW w:w="467" w:type="dxa"/>
            <w:vAlign w:val="center"/>
          </w:tcPr>
          <w:p w:rsidR="00FE542A" w:rsidRPr="00F655DE" w:rsidRDefault="00FE542A" w:rsidP="0094297E">
            <w:pPr>
              <w:jc w:val="center"/>
              <w:rPr>
                <w:rFonts w:ascii="Arial Narrow" w:hAnsi="Arial Narrow"/>
                <w:sz w:val="20"/>
              </w:rPr>
            </w:pPr>
            <w:r w:rsidRPr="00F655DE">
              <w:rPr>
                <w:rFonts w:ascii="Arial Narrow" w:hAnsi="Arial Narrow"/>
                <w:sz w:val="20"/>
              </w:rPr>
              <w:t>1</w:t>
            </w:r>
          </w:p>
        </w:tc>
        <w:tc>
          <w:tcPr>
            <w:tcW w:w="1033" w:type="dxa"/>
            <w:shd w:val="clear" w:color="auto" w:fill="auto"/>
            <w:vAlign w:val="center"/>
          </w:tcPr>
          <w:p w:rsidR="00FE542A" w:rsidRPr="00F655DE" w:rsidRDefault="00FE542A" w:rsidP="0094297E">
            <w:pPr>
              <w:jc w:val="center"/>
              <w:rPr>
                <w:rFonts w:ascii="Arial Narrow" w:hAnsi="Arial Narrow"/>
                <w:sz w:val="20"/>
              </w:rPr>
            </w:pPr>
            <w:r w:rsidRPr="00F655DE">
              <w:rPr>
                <w:rFonts w:ascii="Arial Narrow" w:hAnsi="Arial Narrow"/>
                <w:sz w:val="20"/>
              </w:rPr>
              <w:t>CPT B or C</w:t>
            </w:r>
          </w:p>
        </w:tc>
        <w:tc>
          <w:tcPr>
            <w:tcW w:w="699" w:type="dxa"/>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Pre</w:t>
            </w:r>
            <w:r w:rsidR="0099069D" w:rsidRPr="00F655DE">
              <w:rPr>
                <w:rFonts w:ascii="Arial Narrow" w:hAnsi="Arial Narrow"/>
                <w:bCs/>
                <w:iCs/>
                <w:sz w:val="20"/>
                <w:vertAlign w:val="superscript"/>
              </w:rPr>
              <w:t>h</w:t>
            </w:r>
          </w:p>
        </w:tc>
        <w:tc>
          <w:tcPr>
            <w:tcW w:w="1205"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NR (mixed)</w:t>
            </w:r>
          </w:p>
        </w:tc>
        <w:tc>
          <w:tcPr>
            <w:tcW w:w="890" w:type="dxa"/>
            <w:shd w:val="clear" w:color="auto" w:fill="auto"/>
            <w:vAlign w:val="center"/>
          </w:tcPr>
          <w:p w:rsidR="00FE542A" w:rsidRPr="00F655DE" w:rsidRDefault="00FE542A" w:rsidP="0094297E">
            <w:pPr>
              <w:jc w:val="center"/>
              <w:rPr>
                <w:rFonts w:ascii="Arial Narrow" w:hAnsi="Arial Narrow"/>
                <w:sz w:val="20"/>
              </w:rPr>
            </w:pPr>
            <w:r w:rsidRPr="00F655DE">
              <w:rPr>
                <w:rFonts w:ascii="Arial Narrow" w:hAnsi="Arial Narrow"/>
                <w:sz w:val="20"/>
              </w:rPr>
              <w:t>LDV/SOF+ RBV</w:t>
            </w:r>
            <w:r w:rsidRPr="00F655DE">
              <w:rPr>
                <w:rFonts w:ascii="Arial Narrow" w:hAnsi="Arial Narrow"/>
                <w:sz w:val="20"/>
                <w:vertAlign w:val="superscript"/>
              </w:rPr>
              <w:t>f</w:t>
            </w:r>
          </w:p>
        </w:tc>
        <w:tc>
          <w:tcPr>
            <w:tcW w:w="733"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12</w:t>
            </w:r>
          </w:p>
        </w:tc>
        <w:tc>
          <w:tcPr>
            <w:tcW w:w="700"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sz w:val="20"/>
              </w:rPr>
              <w:t>136/149</w:t>
            </w:r>
          </w:p>
        </w:tc>
        <w:tc>
          <w:tcPr>
            <w:tcW w:w="1077" w:type="dxa"/>
            <w:shd w:val="clear" w:color="auto" w:fill="auto"/>
            <w:vAlign w:val="center"/>
          </w:tcPr>
          <w:p w:rsidR="00FE542A" w:rsidRPr="00F655DE" w:rsidRDefault="00FE542A" w:rsidP="0094297E">
            <w:pPr>
              <w:jc w:val="center"/>
              <w:rPr>
                <w:rFonts w:ascii="Arial Narrow" w:hAnsi="Arial Narrow"/>
                <w:sz w:val="20"/>
              </w:rPr>
            </w:pPr>
            <w:r w:rsidRPr="00F655DE">
              <w:rPr>
                <w:rFonts w:ascii="Arial Narrow" w:hAnsi="Arial Narrow"/>
                <w:sz w:val="20"/>
              </w:rPr>
              <w:t xml:space="preserve"> 91.3%</w:t>
            </w:r>
          </w:p>
          <w:p w:rsidR="00FE542A" w:rsidRPr="00F655DE" w:rsidRDefault="00FE542A" w:rsidP="0094297E">
            <w:pPr>
              <w:jc w:val="center"/>
              <w:rPr>
                <w:rFonts w:ascii="Arial Narrow" w:hAnsi="Arial Narrow"/>
                <w:iCs/>
                <w:sz w:val="20"/>
              </w:rPr>
            </w:pPr>
            <w:r w:rsidRPr="00F655DE">
              <w:rPr>
                <w:rFonts w:ascii="Arial Narrow" w:hAnsi="Arial Narrow"/>
                <w:iCs/>
                <w:sz w:val="20"/>
              </w:rPr>
              <w:t>(85.5, 95.3%)</w:t>
            </w:r>
          </w:p>
        </w:tc>
      </w:tr>
      <w:tr w:rsidR="00FE542A" w:rsidRPr="00802DBC" w:rsidTr="00460056">
        <w:tc>
          <w:tcPr>
            <w:tcW w:w="956" w:type="dxa"/>
            <w:shd w:val="clear" w:color="auto" w:fill="auto"/>
            <w:vAlign w:val="center"/>
          </w:tcPr>
          <w:p w:rsidR="00FE542A" w:rsidRPr="00F655DE" w:rsidRDefault="00FE542A" w:rsidP="0094297E">
            <w:pPr>
              <w:ind w:left="90"/>
              <w:jc w:val="left"/>
              <w:rPr>
                <w:rFonts w:ascii="Arial Narrow" w:hAnsi="Arial Narrow"/>
                <w:bCs/>
                <w:sz w:val="20"/>
              </w:rPr>
            </w:pPr>
            <w:r w:rsidRPr="00F655DE">
              <w:rPr>
                <w:rFonts w:ascii="Arial Narrow" w:hAnsi="Arial Narrow"/>
                <w:bCs/>
                <w:sz w:val="20"/>
              </w:rPr>
              <w:t xml:space="preserve">UK EAP </w:t>
            </w:r>
          </w:p>
          <w:p w:rsidR="00FE542A" w:rsidRPr="00F655DE" w:rsidRDefault="00FE542A" w:rsidP="0094297E">
            <w:pPr>
              <w:ind w:left="90"/>
              <w:jc w:val="left"/>
              <w:rPr>
                <w:rFonts w:ascii="Arial Narrow" w:hAnsi="Arial Narrow"/>
                <w:bCs/>
                <w:sz w:val="20"/>
              </w:rPr>
            </w:pPr>
            <w:r w:rsidRPr="00F655DE">
              <w:rPr>
                <w:rFonts w:ascii="Arial Narrow" w:hAnsi="Arial Narrow"/>
                <w:bCs/>
                <w:sz w:val="20"/>
              </w:rPr>
              <w:t>(Gt 3)</w:t>
            </w:r>
          </w:p>
        </w:tc>
        <w:tc>
          <w:tcPr>
            <w:tcW w:w="531" w:type="dxa"/>
            <w:shd w:val="clear" w:color="auto" w:fill="auto"/>
          </w:tcPr>
          <w:p w:rsidR="00FE542A" w:rsidRPr="00F655DE" w:rsidRDefault="00FE542A" w:rsidP="0094297E">
            <w:pPr>
              <w:jc w:val="center"/>
              <w:rPr>
                <w:rFonts w:ascii="Arial Narrow" w:hAnsi="Arial Narrow"/>
                <w:sz w:val="20"/>
              </w:rPr>
            </w:pPr>
            <w:r w:rsidRPr="00F655DE">
              <w:rPr>
                <w:rFonts w:ascii="Arial Narrow" w:hAnsi="Arial Narrow"/>
                <w:sz w:val="20"/>
              </w:rPr>
              <w:t xml:space="preserve">Real-world </w:t>
            </w:r>
          </w:p>
        </w:tc>
        <w:tc>
          <w:tcPr>
            <w:tcW w:w="467" w:type="dxa"/>
            <w:vAlign w:val="center"/>
          </w:tcPr>
          <w:p w:rsidR="00FE542A" w:rsidRPr="00F655DE" w:rsidRDefault="00FE542A" w:rsidP="0094297E">
            <w:pPr>
              <w:jc w:val="center"/>
              <w:rPr>
                <w:rFonts w:ascii="Arial Narrow" w:hAnsi="Arial Narrow"/>
                <w:sz w:val="20"/>
              </w:rPr>
            </w:pPr>
            <w:r w:rsidRPr="00F655DE">
              <w:rPr>
                <w:rFonts w:ascii="Arial Narrow" w:hAnsi="Arial Narrow"/>
                <w:sz w:val="20"/>
              </w:rPr>
              <w:t>3</w:t>
            </w:r>
          </w:p>
        </w:tc>
        <w:tc>
          <w:tcPr>
            <w:tcW w:w="1033" w:type="dxa"/>
            <w:shd w:val="clear" w:color="auto" w:fill="auto"/>
            <w:vAlign w:val="center"/>
          </w:tcPr>
          <w:p w:rsidR="00FE542A" w:rsidRPr="00F655DE" w:rsidRDefault="00FE542A" w:rsidP="0094297E">
            <w:pPr>
              <w:jc w:val="center"/>
              <w:rPr>
                <w:rFonts w:ascii="Arial Narrow" w:hAnsi="Arial Narrow"/>
                <w:sz w:val="20"/>
              </w:rPr>
            </w:pPr>
            <w:r w:rsidRPr="00F655DE">
              <w:rPr>
                <w:rFonts w:ascii="Arial Narrow" w:hAnsi="Arial Narrow"/>
                <w:sz w:val="20"/>
              </w:rPr>
              <w:t>CPT B or C</w:t>
            </w:r>
          </w:p>
        </w:tc>
        <w:tc>
          <w:tcPr>
            <w:tcW w:w="699" w:type="dxa"/>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Pre</w:t>
            </w:r>
            <w:r w:rsidR="0099069D" w:rsidRPr="00F655DE">
              <w:rPr>
                <w:rFonts w:ascii="Arial Narrow" w:hAnsi="Arial Narrow"/>
                <w:bCs/>
                <w:iCs/>
                <w:sz w:val="20"/>
                <w:vertAlign w:val="superscript"/>
              </w:rPr>
              <w:t>h</w:t>
            </w:r>
          </w:p>
        </w:tc>
        <w:tc>
          <w:tcPr>
            <w:tcW w:w="1205"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NR (mixed)</w:t>
            </w:r>
          </w:p>
        </w:tc>
        <w:tc>
          <w:tcPr>
            <w:tcW w:w="890" w:type="dxa"/>
            <w:shd w:val="clear" w:color="auto" w:fill="auto"/>
            <w:vAlign w:val="center"/>
          </w:tcPr>
          <w:p w:rsidR="00FE542A" w:rsidRPr="00F655DE" w:rsidRDefault="00FE542A" w:rsidP="0094297E">
            <w:pPr>
              <w:jc w:val="center"/>
              <w:rPr>
                <w:rFonts w:ascii="Arial Narrow" w:hAnsi="Arial Narrow"/>
                <w:sz w:val="20"/>
              </w:rPr>
            </w:pPr>
            <w:r w:rsidRPr="00F655DE">
              <w:rPr>
                <w:rFonts w:ascii="Arial Narrow" w:hAnsi="Arial Narrow"/>
                <w:sz w:val="20"/>
              </w:rPr>
              <w:t>LDV/SOF+ RBV</w:t>
            </w:r>
            <w:r w:rsidRPr="00F655DE">
              <w:rPr>
                <w:rFonts w:ascii="Arial Narrow" w:hAnsi="Arial Narrow"/>
                <w:sz w:val="20"/>
                <w:vertAlign w:val="superscript"/>
              </w:rPr>
              <w:t>f</w:t>
            </w:r>
          </w:p>
        </w:tc>
        <w:tc>
          <w:tcPr>
            <w:tcW w:w="733"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12</w:t>
            </w:r>
          </w:p>
        </w:tc>
        <w:tc>
          <w:tcPr>
            <w:tcW w:w="700"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sz w:val="20"/>
              </w:rPr>
              <w:t>37/57</w:t>
            </w:r>
          </w:p>
        </w:tc>
        <w:tc>
          <w:tcPr>
            <w:tcW w:w="1077" w:type="dxa"/>
            <w:shd w:val="clear" w:color="auto" w:fill="auto"/>
            <w:vAlign w:val="center"/>
          </w:tcPr>
          <w:p w:rsidR="00FE542A" w:rsidRPr="00F655DE" w:rsidRDefault="00FE542A" w:rsidP="0094297E">
            <w:pPr>
              <w:jc w:val="center"/>
              <w:rPr>
                <w:rFonts w:ascii="Arial Narrow" w:hAnsi="Arial Narrow"/>
                <w:sz w:val="20"/>
              </w:rPr>
            </w:pPr>
            <w:r w:rsidRPr="00F655DE">
              <w:rPr>
                <w:rFonts w:ascii="Arial Narrow" w:hAnsi="Arial Narrow"/>
                <w:sz w:val="20"/>
              </w:rPr>
              <w:t xml:space="preserve"> 64.9%</w:t>
            </w:r>
          </w:p>
          <w:p w:rsidR="00FE542A" w:rsidRPr="00F655DE" w:rsidRDefault="00FE542A" w:rsidP="0094297E">
            <w:pPr>
              <w:jc w:val="center"/>
              <w:rPr>
                <w:rFonts w:ascii="Arial Narrow" w:hAnsi="Arial Narrow"/>
                <w:iCs/>
                <w:sz w:val="20"/>
              </w:rPr>
            </w:pPr>
            <w:r w:rsidRPr="00F655DE">
              <w:rPr>
                <w:rFonts w:ascii="Arial Narrow" w:hAnsi="Arial Narrow"/>
                <w:iCs/>
                <w:sz w:val="20"/>
              </w:rPr>
              <w:t>(51.1, 77.1%)</w:t>
            </w:r>
          </w:p>
        </w:tc>
      </w:tr>
      <w:tr w:rsidR="00FE542A" w:rsidRPr="00802DBC" w:rsidTr="00460056">
        <w:tc>
          <w:tcPr>
            <w:tcW w:w="956" w:type="dxa"/>
            <w:shd w:val="clear" w:color="auto" w:fill="auto"/>
            <w:vAlign w:val="center"/>
          </w:tcPr>
          <w:p w:rsidR="00FE542A" w:rsidRPr="00F655DE" w:rsidRDefault="00FE542A" w:rsidP="0094297E">
            <w:pPr>
              <w:ind w:left="90"/>
              <w:jc w:val="left"/>
              <w:rPr>
                <w:rFonts w:ascii="Arial Narrow" w:hAnsi="Arial Narrow"/>
                <w:bCs/>
                <w:sz w:val="20"/>
              </w:rPr>
            </w:pPr>
            <w:r w:rsidRPr="00F655DE">
              <w:rPr>
                <w:rFonts w:ascii="Arial Narrow" w:hAnsi="Arial Narrow"/>
                <w:bCs/>
                <w:sz w:val="20"/>
              </w:rPr>
              <w:t>UK EAP</w:t>
            </w:r>
          </w:p>
          <w:p w:rsidR="00FE542A" w:rsidRPr="00F655DE" w:rsidRDefault="00FE542A" w:rsidP="0094297E">
            <w:pPr>
              <w:ind w:left="90"/>
              <w:jc w:val="left"/>
              <w:rPr>
                <w:rFonts w:ascii="Arial Narrow" w:hAnsi="Arial Narrow"/>
                <w:bCs/>
                <w:sz w:val="20"/>
              </w:rPr>
            </w:pPr>
            <w:r w:rsidRPr="00F655DE">
              <w:rPr>
                <w:rFonts w:ascii="Arial Narrow" w:hAnsi="Arial Narrow"/>
                <w:bCs/>
                <w:sz w:val="20"/>
              </w:rPr>
              <w:t xml:space="preserve">(Other) </w:t>
            </w:r>
          </w:p>
        </w:tc>
        <w:tc>
          <w:tcPr>
            <w:tcW w:w="531" w:type="dxa"/>
            <w:shd w:val="clear" w:color="auto" w:fill="auto"/>
          </w:tcPr>
          <w:p w:rsidR="00FE542A" w:rsidRPr="00F655DE" w:rsidRDefault="00FE542A" w:rsidP="0094297E">
            <w:pPr>
              <w:jc w:val="center"/>
              <w:rPr>
                <w:rFonts w:ascii="Arial Narrow" w:hAnsi="Arial Narrow"/>
                <w:sz w:val="20"/>
              </w:rPr>
            </w:pPr>
            <w:r w:rsidRPr="00F655DE">
              <w:rPr>
                <w:rFonts w:ascii="Arial Narrow" w:hAnsi="Arial Narrow"/>
                <w:sz w:val="20"/>
              </w:rPr>
              <w:t xml:space="preserve">Real-world </w:t>
            </w:r>
          </w:p>
        </w:tc>
        <w:tc>
          <w:tcPr>
            <w:tcW w:w="467" w:type="dxa"/>
            <w:vAlign w:val="center"/>
          </w:tcPr>
          <w:p w:rsidR="00FE542A" w:rsidRPr="00F655DE" w:rsidRDefault="00FE542A" w:rsidP="0094297E">
            <w:pPr>
              <w:jc w:val="center"/>
              <w:rPr>
                <w:rFonts w:ascii="Arial Narrow" w:hAnsi="Arial Narrow"/>
                <w:sz w:val="20"/>
              </w:rPr>
            </w:pPr>
            <w:r w:rsidRPr="00F655DE">
              <w:rPr>
                <w:rFonts w:ascii="Arial Narrow" w:hAnsi="Arial Narrow"/>
                <w:sz w:val="20"/>
              </w:rPr>
              <w:t>Other</w:t>
            </w:r>
          </w:p>
        </w:tc>
        <w:tc>
          <w:tcPr>
            <w:tcW w:w="1033" w:type="dxa"/>
            <w:shd w:val="clear" w:color="auto" w:fill="auto"/>
            <w:vAlign w:val="center"/>
          </w:tcPr>
          <w:p w:rsidR="00FE542A" w:rsidRPr="00F655DE" w:rsidRDefault="00FE542A" w:rsidP="0094297E">
            <w:pPr>
              <w:jc w:val="center"/>
              <w:rPr>
                <w:rFonts w:ascii="Arial Narrow" w:hAnsi="Arial Narrow"/>
                <w:sz w:val="20"/>
              </w:rPr>
            </w:pPr>
            <w:r w:rsidRPr="00F655DE">
              <w:rPr>
                <w:rFonts w:ascii="Arial Narrow" w:hAnsi="Arial Narrow"/>
                <w:sz w:val="20"/>
              </w:rPr>
              <w:t>CPT B or C</w:t>
            </w:r>
          </w:p>
        </w:tc>
        <w:tc>
          <w:tcPr>
            <w:tcW w:w="699" w:type="dxa"/>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Pre</w:t>
            </w:r>
            <w:r w:rsidR="0099069D" w:rsidRPr="00F655DE">
              <w:rPr>
                <w:rFonts w:ascii="Arial Narrow" w:hAnsi="Arial Narrow"/>
                <w:bCs/>
                <w:iCs/>
                <w:sz w:val="20"/>
                <w:vertAlign w:val="superscript"/>
              </w:rPr>
              <w:t>h</w:t>
            </w:r>
          </w:p>
        </w:tc>
        <w:tc>
          <w:tcPr>
            <w:tcW w:w="1205"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NR (mixed)</w:t>
            </w:r>
          </w:p>
        </w:tc>
        <w:tc>
          <w:tcPr>
            <w:tcW w:w="890" w:type="dxa"/>
            <w:shd w:val="clear" w:color="auto" w:fill="auto"/>
            <w:vAlign w:val="center"/>
          </w:tcPr>
          <w:p w:rsidR="00FE542A" w:rsidRPr="00F655DE" w:rsidRDefault="00FE542A" w:rsidP="0094297E">
            <w:pPr>
              <w:jc w:val="center"/>
              <w:rPr>
                <w:rFonts w:ascii="Arial Narrow" w:hAnsi="Arial Narrow"/>
                <w:sz w:val="20"/>
              </w:rPr>
            </w:pPr>
            <w:r w:rsidRPr="00F655DE">
              <w:rPr>
                <w:rFonts w:ascii="Arial Narrow" w:hAnsi="Arial Narrow"/>
                <w:sz w:val="20"/>
              </w:rPr>
              <w:t>LDV/SOF+ RBV</w:t>
            </w:r>
            <w:r w:rsidRPr="00F655DE">
              <w:rPr>
                <w:rFonts w:ascii="Arial Narrow" w:hAnsi="Arial Narrow"/>
                <w:sz w:val="20"/>
                <w:vertAlign w:val="superscript"/>
              </w:rPr>
              <w:t>f</w:t>
            </w:r>
          </w:p>
        </w:tc>
        <w:tc>
          <w:tcPr>
            <w:tcW w:w="733"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iCs/>
                <w:sz w:val="20"/>
              </w:rPr>
              <w:t>12</w:t>
            </w:r>
          </w:p>
        </w:tc>
        <w:tc>
          <w:tcPr>
            <w:tcW w:w="700" w:type="dxa"/>
            <w:shd w:val="clear" w:color="auto" w:fill="auto"/>
            <w:vAlign w:val="center"/>
          </w:tcPr>
          <w:p w:rsidR="00FE542A" w:rsidRPr="00F655DE" w:rsidRDefault="00FE542A" w:rsidP="0094297E">
            <w:pPr>
              <w:jc w:val="center"/>
              <w:rPr>
                <w:rFonts w:ascii="Arial Narrow" w:hAnsi="Arial Narrow"/>
                <w:iCs/>
                <w:sz w:val="20"/>
              </w:rPr>
            </w:pPr>
            <w:r w:rsidRPr="00F655DE">
              <w:rPr>
                <w:rFonts w:ascii="Arial Narrow" w:hAnsi="Arial Narrow"/>
                <w:sz w:val="20"/>
              </w:rPr>
              <w:t>21/23</w:t>
            </w:r>
          </w:p>
        </w:tc>
        <w:tc>
          <w:tcPr>
            <w:tcW w:w="1077" w:type="dxa"/>
            <w:shd w:val="clear" w:color="auto" w:fill="auto"/>
            <w:vAlign w:val="center"/>
          </w:tcPr>
          <w:p w:rsidR="00FE542A" w:rsidRPr="00F655DE" w:rsidRDefault="00FE542A" w:rsidP="0094297E">
            <w:pPr>
              <w:jc w:val="center"/>
              <w:rPr>
                <w:rFonts w:ascii="Arial Narrow" w:hAnsi="Arial Narrow"/>
                <w:sz w:val="20"/>
              </w:rPr>
            </w:pPr>
            <w:r w:rsidRPr="00F655DE">
              <w:rPr>
                <w:rFonts w:ascii="Arial Narrow" w:hAnsi="Arial Narrow"/>
                <w:sz w:val="20"/>
              </w:rPr>
              <w:t xml:space="preserve"> 91.3%</w:t>
            </w:r>
          </w:p>
          <w:p w:rsidR="00FE542A" w:rsidRPr="00F655DE" w:rsidRDefault="00FE542A" w:rsidP="0094297E">
            <w:pPr>
              <w:jc w:val="center"/>
              <w:rPr>
                <w:rFonts w:ascii="Arial Narrow" w:hAnsi="Arial Narrow"/>
                <w:iCs/>
                <w:sz w:val="20"/>
              </w:rPr>
            </w:pPr>
            <w:r w:rsidRPr="00F655DE">
              <w:rPr>
                <w:rFonts w:ascii="Arial Narrow" w:hAnsi="Arial Narrow"/>
                <w:iCs/>
                <w:sz w:val="20"/>
              </w:rPr>
              <w:t>(72.0, 98.9%)</w:t>
            </w:r>
          </w:p>
        </w:tc>
      </w:tr>
    </w:tbl>
    <w:p w:rsidR="00FE542A" w:rsidRPr="00802DBC" w:rsidRDefault="00FE542A" w:rsidP="00FE542A">
      <w:pPr>
        <w:ind w:left="720"/>
        <w:rPr>
          <w:rFonts w:ascii="Arial Narrow" w:hAnsi="Arial Narrow"/>
          <w:i/>
          <w:iCs/>
          <w:sz w:val="18"/>
          <w:szCs w:val="18"/>
        </w:rPr>
      </w:pPr>
      <w:r w:rsidRPr="00802DBC">
        <w:rPr>
          <w:rFonts w:ascii="Arial Narrow" w:hAnsi="Arial Narrow"/>
          <w:sz w:val="18"/>
          <w:szCs w:val="18"/>
        </w:rPr>
        <w:t xml:space="preserve">Source: Adapted from Tables B-47, p127 and B-53, p139 of the submission; Poordad </w:t>
      </w:r>
      <w:r w:rsidRPr="00802DBC">
        <w:rPr>
          <w:rFonts w:ascii="Arial Narrow" w:hAnsi="Arial Narrow"/>
          <w:i/>
          <w:sz w:val="18"/>
          <w:szCs w:val="18"/>
        </w:rPr>
        <w:t xml:space="preserve">et al </w:t>
      </w:r>
      <w:r w:rsidRPr="00802DBC">
        <w:rPr>
          <w:rFonts w:ascii="Arial Narrow" w:hAnsi="Arial Narrow"/>
          <w:sz w:val="18"/>
          <w:szCs w:val="18"/>
        </w:rPr>
        <w:t xml:space="preserve">(2016); </w:t>
      </w:r>
      <w:r w:rsidRPr="00A21A7D">
        <w:rPr>
          <w:rFonts w:ascii="Arial Narrow" w:hAnsi="Arial Narrow"/>
          <w:sz w:val="18"/>
          <w:szCs w:val="18"/>
        </w:rPr>
        <w:t>concurrent ledipasvir/sofosbuvir submission</w:t>
      </w:r>
    </w:p>
    <w:p w:rsidR="00FE542A" w:rsidRPr="00802DBC" w:rsidRDefault="00FE542A" w:rsidP="00FE542A">
      <w:pPr>
        <w:ind w:left="720"/>
        <w:rPr>
          <w:rFonts w:ascii="Arial Narrow" w:hAnsi="Arial Narrow"/>
          <w:sz w:val="18"/>
          <w:szCs w:val="18"/>
        </w:rPr>
      </w:pPr>
      <w:r w:rsidRPr="00802DBC">
        <w:rPr>
          <w:rFonts w:ascii="Arial Narrow" w:hAnsi="Arial Narrow"/>
          <w:sz w:val="18"/>
          <w:szCs w:val="18"/>
        </w:rPr>
        <w:t>Abbreviations: CI = confidence interval; CPT = Child-Pugh-Turcotte; DCV = daclatasvir; EAP = expanded access program; Gt = genotype; HCV = hepatitis C virus; LDV/SOF = ledipasvir/sofosbuvir; NR = not reported;</w:t>
      </w:r>
      <w:r w:rsidR="00F606D2">
        <w:rPr>
          <w:rFonts w:ascii="Arial Narrow" w:hAnsi="Arial Narrow"/>
          <w:sz w:val="18"/>
          <w:szCs w:val="18"/>
        </w:rPr>
        <w:t xml:space="preserve"> RBV = ribavirin</w:t>
      </w:r>
      <w:r w:rsidR="00B559F5">
        <w:rPr>
          <w:rFonts w:ascii="Arial Narrow" w:hAnsi="Arial Narrow"/>
          <w:sz w:val="18"/>
          <w:szCs w:val="18"/>
        </w:rPr>
        <w:t>;</w:t>
      </w:r>
      <w:r w:rsidRPr="00802DBC">
        <w:rPr>
          <w:rFonts w:ascii="Arial Narrow" w:hAnsi="Arial Narrow"/>
          <w:sz w:val="18"/>
          <w:szCs w:val="18"/>
        </w:rPr>
        <w:t xml:space="preserve"> </w:t>
      </w:r>
      <w:r w:rsidR="00F606D2">
        <w:rPr>
          <w:rFonts w:ascii="Arial Narrow" w:hAnsi="Arial Narrow"/>
          <w:sz w:val="18"/>
          <w:szCs w:val="18"/>
        </w:rPr>
        <w:t xml:space="preserve">SOF = sofosbuvir; </w:t>
      </w:r>
      <w:r w:rsidRPr="00802DBC">
        <w:rPr>
          <w:rFonts w:ascii="Arial Narrow" w:hAnsi="Arial Narrow"/>
          <w:sz w:val="18"/>
          <w:szCs w:val="18"/>
        </w:rPr>
        <w:t>SOF/VEL = sofosbuvir/velpatasvir FDC; SVR12 = sustained virological response at 12 weeks following the completion of treatment</w:t>
      </w:r>
    </w:p>
    <w:p w:rsidR="00FE542A" w:rsidRDefault="00FE542A" w:rsidP="008421FE">
      <w:pPr>
        <w:ind w:left="720"/>
        <w:rPr>
          <w:rFonts w:ascii="Arial Narrow" w:hAnsi="Arial Narrow"/>
          <w:iCs/>
          <w:sz w:val="18"/>
          <w:szCs w:val="18"/>
        </w:rPr>
      </w:pPr>
      <w:r w:rsidRPr="001A3B8D">
        <w:rPr>
          <w:rFonts w:ascii="Arial Narrow" w:hAnsi="Arial Narrow"/>
          <w:sz w:val="18"/>
          <w:szCs w:val="18"/>
        </w:rPr>
        <w:t xml:space="preserve">Note: Shaded cells represent sofosbuvir/velpatasvir FDC results. </w:t>
      </w:r>
      <w:r w:rsidRPr="001A3B8D">
        <w:rPr>
          <w:rFonts w:ascii="Arial Narrow" w:hAnsi="Arial Narrow"/>
          <w:iCs/>
          <w:sz w:val="18"/>
          <w:szCs w:val="18"/>
        </w:rPr>
        <w:t>95% CI calculated using Stata14 (binomial exact)</w:t>
      </w:r>
      <w:r w:rsidR="008421FE" w:rsidRPr="001A3B8D">
        <w:rPr>
          <w:rFonts w:ascii="Arial Narrow" w:hAnsi="Arial Narrow"/>
          <w:iCs/>
          <w:sz w:val="18"/>
          <w:szCs w:val="18"/>
        </w:rPr>
        <w:t>, during the evaluation</w:t>
      </w:r>
      <w:r w:rsidRPr="001A3B8D">
        <w:rPr>
          <w:rFonts w:ascii="Arial Narrow" w:hAnsi="Arial Narrow"/>
          <w:iCs/>
          <w:sz w:val="18"/>
          <w:szCs w:val="18"/>
        </w:rPr>
        <w:t>.</w:t>
      </w:r>
    </w:p>
    <w:p w:rsidR="0005487C" w:rsidRPr="001A3B8D" w:rsidRDefault="0005487C" w:rsidP="008421FE">
      <w:pPr>
        <w:ind w:left="720"/>
        <w:rPr>
          <w:rFonts w:ascii="Arial Narrow" w:hAnsi="Arial Narrow"/>
          <w:iCs/>
          <w:sz w:val="18"/>
          <w:szCs w:val="18"/>
        </w:rPr>
      </w:pPr>
      <w:r>
        <w:rPr>
          <w:rFonts w:ascii="Arial Narrow" w:hAnsi="Arial Narrow"/>
          <w:iCs/>
          <w:sz w:val="18"/>
          <w:szCs w:val="18"/>
        </w:rPr>
        <w:t>Footnotes added during the evaluation:</w:t>
      </w:r>
    </w:p>
    <w:p w:rsidR="00FE542A" w:rsidRPr="001A3B8D" w:rsidRDefault="00FE542A" w:rsidP="00FE542A">
      <w:pPr>
        <w:ind w:firstLine="720"/>
        <w:rPr>
          <w:rFonts w:ascii="Arial Narrow" w:hAnsi="Arial Narrow"/>
          <w:sz w:val="18"/>
          <w:szCs w:val="18"/>
        </w:rPr>
      </w:pPr>
      <w:r w:rsidRPr="001A3B8D">
        <w:rPr>
          <w:rFonts w:ascii="Arial Narrow" w:hAnsi="Arial Narrow"/>
          <w:sz w:val="18"/>
          <w:szCs w:val="18"/>
          <w:vertAlign w:val="superscript"/>
        </w:rPr>
        <w:t>a</w:t>
      </w:r>
      <w:r w:rsidRPr="001A3B8D">
        <w:rPr>
          <w:rFonts w:ascii="Arial Narrow" w:hAnsi="Arial Narrow"/>
          <w:sz w:val="18"/>
          <w:szCs w:val="18"/>
        </w:rPr>
        <w:t xml:space="preserve"> The one patient with HCV genotype 6 was not randomised to the sofosbuvir/velpatasvir FDC plus ribavirin arm.</w:t>
      </w:r>
    </w:p>
    <w:p w:rsidR="00FE542A" w:rsidRPr="001A3B8D" w:rsidRDefault="00FE542A" w:rsidP="00FE542A">
      <w:pPr>
        <w:ind w:firstLine="720"/>
        <w:rPr>
          <w:rFonts w:ascii="Arial Narrow" w:hAnsi="Arial Narrow"/>
          <w:sz w:val="18"/>
          <w:szCs w:val="18"/>
        </w:rPr>
      </w:pPr>
      <w:r w:rsidRPr="001A3B8D">
        <w:rPr>
          <w:rFonts w:ascii="Arial Narrow" w:hAnsi="Arial Narrow"/>
          <w:sz w:val="18"/>
          <w:szCs w:val="18"/>
          <w:vertAlign w:val="superscript"/>
        </w:rPr>
        <w:t>b</w:t>
      </w:r>
      <w:r w:rsidRPr="001A3B8D">
        <w:rPr>
          <w:rFonts w:ascii="Arial Narrow" w:hAnsi="Arial Narrow"/>
          <w:sz w:val="18"/>
          <w:szCs w:val="18"/>
        </w:rPr>
        <w:t xml:space="preserve"> 5 patients with HCV genotype 2, 6 patients with HCV genotype 3, and 4 with HCV genotype 4.</w:t>
      </w:r>
    </w:p>
    <w:p w:rsidR="00FE542A" w:rsidRPr="001A3B8D" w:rsidRDefault="00FE542A" w:rsidP="00FE542A">
      <w:pPr>
        <w:ind w:firstLine="720"/>
        <w:rPr>
          <w:rFonts w:ascii="Arial Narrow" w:hAnsi="Arial Narrow"/>
          <w:sz w:val="18"/>
          <w:szCs w:val="18"/>
        </w:rPr>
      </w:pPr>
      <w:r w:rsidRPr="001A3B8D">
        <w:rPr>
          <w:rFonts w:ascii="Arial Narrow" w:hAnsi="Arial Narrow"/>
          <w:sz w:val="18"/>
          <w:szCs w:val="18"/>
          <w:vertAlign w:val="superscript"/>
        </w:rPr>
        <w:t xml:space="preserve">c </w:t>
      </w:r>
      <w:r w:rsidRPr="001A3B8D">
        <w:rPr>
          <w:rFonts w:ascii="Arial Narrow" w:hAnsi="Arial Narrow"/>
          <w:sz w:val="18"/>
          <w:szCs w:val="18"/>
        </w:rPr>
        <w:t>Only 10 patients had HCV genotype 4</w:t>
      </w:r>
    </w:p>
    <w:p w:rsidR="00FE542A" w:rsidRPr="001A3B8D" w:rsidRDefault="00FE542A" w:rsidP="00FE542A">
      <w:pPr>
        <w:ind w:firstLine="720"/>
        <w:rPr>
          <w:rFonts w:ascii="Arial Narrow" w:hAnsi="Arial Narrow"/>
          <w:sz w:val="18"/>
          <w:szCs w:val="18"/>
        </w:rPr>
      </w:pPr>
      <w:r w:rsidRPr="001A3B8D">
        <w:rPr>
          <w:rFonts w:ascii="Arial Narrow" w:hAnsi="Arial Narrow"/>
          <w:sz w:val="18"/>
          <w:szCs w:val="18"/>
          <w:vertAlign w:val="superscript"/>
        </w:rPr>
        <w:t>d</w:t>
      </w:r>
      <w:r w:rsidRPr="001A3B8D">
        <w:rPr>
          <w:rFonts w:ascii="Arial Narrow" w:hAnsi="Arial Narrow"/>
          <w:sz w:val="18"/>
          <w:szCs w:val="18"/>
        </w:rPr>
        <w:t xml:space="preserve"> Ribavirin 1000 mg/day if &lt;75kg or 1200mg/day if ≥75kg</w:t>
      </w:r>
    </w:p>
    <w:p w:rsidR="00FE542A" w:rsidRPr="001A3B8D" w:rsidRDefault="00FE542A" w:rsidP="00FE542A">
      <w:pPr>
        <w:ind w:left="720"/>
        <w:rPr>
          <w:rFonts w:ascii="Arial Narrow" w:hAnsi="Arial Narrow"/>
          <w:sz w:val="18"/>
          <w:szCs w:val="18"/>
        </w:rPr>
      </w:pPr>
      <w:r w:rsidRPr="001A3B8D">
        <w:rPr>
          <w:rFonts w:ascii="Arial Narrow" w:hAnsi="Arial Narrow"/>
          <w:sz w:val="18"/>
          <w:szCs w:val="18"/>
          <w:vertAlign w:val="superscript"/>
        </w:rPr>
        <w:t>e</w:t>
      </w:r>
      <w:r w:rsidRPr="001A3B8D">
        <w:rPr>
          <w:rFonts w:ascii="Arial Narrow" w:hAnsi="Arial Narrow"/>
          <w:sz w:val="18"/>
          <w:szCs w:val="18"/>
        </w:rPr>
        <w:t xml:space="preserve"> Ribavirin 600 mg/day, with the potential for adjustment to 1000 mg/day based on haemoglobin levels and creatinine clearance.</w:t>
      </w:r>
    </w:p>
    <w:p w:rsidR="00FE542A" w:rsidRPr="001A3B8D" w:rsidRDefault="00FE542A" w:rsidP="00FE542A">
      <w:pPr>
        <w:ind w:firstLine="720"/>
        <w:rPr>
          <w:rFonts w:ascii="Arial Narrow" w:hAnsi="Arial Narrow"/>
          <w:sz w:val="18"/>
          <w:szCs w:val="18"/>
        </w:rPr>
      </w:pPr>
      <w:r w:rsidRPr="001A3B8D">
        <w:rPr>
          <w:rFonts w:ascii="Arial Narrow" w:hAnsi="Arial Narrow"/>
          <w:sz w:val="18"/>
          <w:szCs w:val="18"/>
          <w:vertAlign w:val="superscript"/>
        </w:rPr>
        <w:t>f</w:t>
      </w:r>
      <w:r w:rsidRPr="001A3B8D">
        <w:rPr>
          <w:rFonts w:ascii="Arial Narrow" w:hAnsi="Arial Narrow"/>
          <w:sz w:val="18"/>
          <w:szCs w:val="18"/>
        </w:rPr>
        <w:t xml:space="preserve"> Inclusion and dosage of ribavirin at treating clinician discretion.</w:t>
      </w:r>
    </w:p>
    <w:p w:rsidR="00FE542A" w:rsidRPr="001A3B8D" w:rsidRDefault="00FE542A" w:rsidP="00FE542A">
      <w:pPr>
        <w:ind w:left="720"/>
        <w:rPr>
          <w:rFonts w:ascii="Arial Narrow" w:hAnsi="Arial Narrow"/>
          <w:sz w:val="18"/>
          <w:szCs w:val="18"/>
        </w:rPr>
      </w:pPr>
      <w:r w:rsidRPr="001A3B8D">
        <w:rPr>
          <w:rFonts w:ascii="Arial Narrow" w:hAnsi="Arial Narrow"/>
          <w:sz w:val="18"/>
          <w:szCs w:val="18"/>
          <w:vertAlign w:val="superscript"/>
        </w:rPr>
        <w:t>g</w:t>
      </w:r>
      <w:r w:rsidRPr="001A3B8D">
        <w:rPr>
          <w:rFonts w:ascii="Arial Narrow" w:hAnsi="Arial Narrow"/>
          <w:sz w:val="18"/>
          <w:szCs w:val="18"/>
        </w:rPr>
        <w:t xml:space="preserve"> Ribavirin 600 mg/day, titrate to 1000 mg/day or 1200mg/day if haemoglobin &gt;10.0 g/dL. Can reduce if 600 mg/day not well tolerated.</w:t>
      </w:r>
    </w:p>
    <w:p w:rsidR="00F655DE" w:rsidRPr="00F655DE" w:rsidRDefault="00F655DE" w:rsidP="00FE542A">
      <w:pPr>
        <w:ind w:left="720"/>
        <w:rPr>
          <w:rFonts w:ascii="Arial Narrow" w:hAnsi="Arial Narrow"/>
          <w:sz w:val="16"/>
          <w:szCs w:val="18"/>
        </w:rPr>
      </w:pPr>
      <w:r w:rsidRPr="00F655DE">
        <w:rPr>
          <w:rFonts w:ascii="Arial Narrow" w:hAnsi="Arial Narrow"/>
          <w:bCs/>
          <w:iCs/>
          <w:sz w:val="18"/>
          <w:vertAlign w:val="superscript"/>
        </w:rPr>
        <w:t xml:space="preserve">h </w:t>
      </w:r>
      <w:r w:rsidRPr="00F655DE">
        <w:rPr>
          <w:rFonts w:ascii="Arial Narrow" w:hAnsi="Arial Narrow"/>
          <w:bCs/>
          <w:iCs/>
          <w:sz w:val="18"/>
        </w:rPr>
        <w:t>values extracted/added to table during the evaluation</w:t>
      </w:r>
    </w:p>
    <w:p w:rsidR="00FE542A" w:rsidRPr="00802DBC" w:rsidRDefault="00FE542A" w:rsidP="00FE542A">
      <w:pPr>
        <w:pStyle w:val="ListParagraph"/>
        <w:widowControl/>
        <w:rPr>
          <w:szCs w:val="22"/>
        </w:rPr>
      </w:pPr>
    </w:p>
    <w:p w:rsidR="00FE542A" w:rsidRPr="00DA298E" w:rsidRDefault="00FE542A" w:rsidP="002C4748">
      <w:pPr>
        <w:pStyle w:val="ListParagraph"/>
        <w:numPr>
          <w:ilvl w:val="1"/>
          <w:numId w:val="2"/>
        </w:numPr>
        <w:rPr>
          <w:iCs/>
          <w:szCs w:val="22"/>
        </w:rPr>
      </w:pPr>
      <w:r w:rsidRPr="00DA298E">
        <w:t>The submission claimed the naïve comparison demonstrated that sofosbuvir/velpatasvir FDC [</w:t>
      </w:r>
      <w:r w:rsidRPr="00DA298E">
        <w:rPr>
          <w:iCs/>
        </w:rPr>
        <w:t>plus ribavirin</w:t>
      </w:r>
      <w:r w:rsidRPr="00DA298E">
        <w:t xml:space="preserve">] had </w:t>
      </w:r>
      <w:r w:rsidR="00193BEE">
        <w:t>“</w:t>
      </w:r>
      <w:r w:rsidRPr="00DA298E">
        <w:t>higher</w:t>
      </w:r>
      <w:r w:rsidR="00193BEE">
        <w:t>”</w:t>
      </w:r>
      <w:r w:rsidRPr="00DA298E">
        <w:t xml:space="preserve"> SVR12 rates compared to ledipasvir/sofosbuvir FDC with or without ribavirin and daclatasvir plus sofosbuvir with or without ribavirin, where data were available. </w:t>
      </w:r>
      <w:r w:rsidRPr="00DA298E">
        <w:rPr>
          <w:iCs/>
        </w:rPr>
        <w:t xml:space="preserve">However, the submission did not include data for regimens without ribavirin. The naïve comparison </w:t>
      </w:r>
      <w:r w:rsidRPr="00DA298E">
        <w:rPr>
          <w:iCs/>
          <w:szCs w:val="22"/>
        </w:rPr>
        <w:t xml:space="preserve">was at high risk of bias and may not be valid due to the issues raised </w:t>
      </w:r>
      <w:r w:rsidR="0075414C" w:rsidRPr="00DA298E">
        <w:rPr>
          <w:iCs/>
          <w:szCs w:val="22"/>
        </w:rPr>
        <w:t>previously</w:t>
      </w:r>
      <w:r w:rsidRPr="00DA298E">
        <w:rPr>
          <w:iCs/>
          <w:szCs w:val="22"/>
        </w:rPr>
        <w:t xml:space="preserve">. The claim that sofosbuvir/velpatasvir FDC [plus ribavirin] had </w:t>
      </w:r>
      <w:r w:rsidR="00193BEE">
        <w:rPr>
          <w:iCs/>
          <w:szCs w:val="22"/>
        </w:rPr>
        <w:t>“</w:t>
      </w:r>
      <w:r w:rsidRPr="00DA298E">
        <w:rPr>
          <w:iCs/>
          <w:szCs w:val="22"/>
        </w:rPr>
        <w:t>higher</w:t>
      </w:r>
      <w:r w:rsidR="00193BEE">
        <w:rPr>
          <w:iCs/>
          <w:szCs w:val="22"/>
        </w:rPr>
        <w:t>”</w:t>
      </w:r>
      <w:r w:rsidRPr="00DA298E">
        <w:rPr>
          <w:iCs/>
          <w:szCs w:val="22"/>
        </w:rPr>
        <w:t xml:space="preserve"> SVR12 rates versus the comparators was inadequately supported given the overlapping 95% CIs across most of the relevant comparisons. Additionally, there was a likely bias in favour of sofosbuvir/velpatasvir FDC plus ribavirin, as the ASTRAL-4 study appeared to have </w:t>
      </w:r>
      <w:r w:rsidR="00B92CED" w:rsidRPr="00DA298E">
        <w:rPr>
          <w:iCs/>
          <w:szCs w:val="22"/>
        </w:rPr>
        <w:t xml:space="preserve">enrolled </w:t>
      </w:r>
      <w:r w:rsidRPr="00DA298E">
        <w:rPr>
          <w:iCs/>
          <w:szCs w:val="22"/>
        </w:rPr>
        <w:t>patients with less severe liver disease versus the comparator studies.</w:t>
      </w:r>
    </w:p>
    <w:p w:rsidR="00FE542A" w:rsidRPr="00DA298E" w:rsidRDefault="00FE542A" w:rsidP="00FE542A">
      <w:pPr>
        <w:pStyle w:val="ListParagraph"/>
        <w:rPr>
          <w:iCs/>
          <w:szCs w:val="22"/>
        </w:rPr>
      </w:pPr>
    </w:p>
    <w:p w:rsidR="00FE542A" w:rsidRPr="0010460D" w:rsidRDefault="00FE542A" w:rsidP="002C4748">
      <w:pPr>
        <w:pStyle w:val="ListParagraph"/>
        <w:numPr>
          <w:ilvl w:val="1"/>
          <w:numId w:val="2"/>
        </w:numPr>
        <w:rPr>
          <w:iCs/>
          <w:szCs w:val="22"/>
        </w:rPr>
      </w:pPr>
      <w:r w:rsidRPr="00DA298E">
        <w:rPr>
          <w:iCs/>
        </w:rPr>
        <w:t xml:space="preserve">There were very few patients (if any) with </w:t>
      </w:r>
      <w:r w:rsidR="00BB56F5" w:rsidRPr="00DA298E">
        <w:rPr>
          <w:iCs/>
        </w:rPr>
        <w:t xml:space="preserve">decompensated cirrhosis and </w:t>
      </w:r>
      <w:r w:rsidRPr="00DA298E">
        <w:rPr>
          <w:iCs/>
        </w:rPr>
        <w:t>HCV genotypes 2, 4, 5 and 6 enrolled in the studies included in the naïve comparisons.</w:t>
      </w:r>
    </w:p>
    <w:p w:rsidR="00FE542A" w:rsidRPr="00D13C54" w:rsidRDefault="00FE542A" w:rsidP="00D13C54">
      <w:pPr>
        <w:rPr>
          <w:szCs w:val="22"/>
        </w:rPr>
      </w:pPr>
    </w:p>
    <w:p w:rsidR="00FE542A" w:rsidRPr="00DA298E" w:rsidRDefault="00FE542A" w:rsidP="00FE542A">
      <w:pPr>
        <w:pStyle w:val="Heading2"/>
        <w:rPr>
          <w:i/>
        </w:rPr>
      </w:pPr>
      <w:bookmarkStart w:id="21" w:name="_Toc458698813"/>
      <w:bookmarkStart w:id="22" w:name="_Toc461609477"/>
      <w:r w:rsidRPr="00DA298E">
        <w:rPr>
          <w:i/>
        </w:rPr>
        <w:t>Comparative harms</w:t>
      </w:r>
      <w:bookmarkEnd w:id="21"/>
      <w:bookmarkEnd w:id="22"/>
    </w:p>
    <w:p w:rsidR="00FE542A" w:rsidRPr="00DA298E" w:rsidRDefault="00FE542A" w:rsidP="00FE542A">
      <w:pPr>
        <w:ind w:left="720" w:hanging="720"/>
        <w:rPr>
          <w:szCs w:val="22"/>
        </w:rPr>
      </w:pPr>
    </w:p>
    <w:p w:rsidR="00FE542A" w:rsidRPr="00DA298E" w:rsidRDefault="00FE542A" w:rsidP="002C4748">
      <w:pPr>
        <w:pStyle w:val="ListParagraph"/>
        <w:widowControl/>
        <w:numPr>
          <w:ilvl w:val="1"/>
          <w:numId w:val="2"/>
        </w:numPr>
        <w:rPr>
          <w:szCs w:val="22"/>
        </w:rPr>
      </w:pPr>
      <w:r w:rsidRPr="00DA298E">
        <w:rPr>
          <w:szCs w:val="22"/>
        </w:rPr>
        <w:t xml:space="preserve">The most commonly reported treatment-emergent adverse events in the sofosbuvir/velpatasvir FDC arms across the key ASTRAL studies were headache, fatigue, nausea, and nasopharyngitis. </w:t>
      </w:r>
    </w:p>
    <w:p w:rsidR="00FE542A" w:rsidRPr="00DA298E" w:rsidRDefault="00FE542A" w:rsidP="00FE542A">
      <w:pPr>
        <w:pStyle w:val="ListParagraph"/>
        <w:widowControl/>
        <w:rPr>
          <w:szCs w:val="22"/>
        </w:rPr>
      </w:pPr>
    </w:p>
    <w:p w:rsidR="00FE542A" w:rsidRPr="00DA298E" w:rsidRDefault="00FE542A" w:rsidP="002C4748">
      <w:pPr>
        <w:pStyle w:val="ListParagraph"/>
        <w:widowControl/>
        <w:numPr>
          <w:ilvl w:val="1"/>
          <w:numId w:val="2"/>
        </w:numPr>
        <w:rPr>
          <w:szCs w:val="22"/>
        </w:rPr>
      </w:pPr>
      <w:r w:rsidRPr="00DA298E">
        <w:rPr>
          <w:iCs/>
          <w:szCs w:val="22"/>
        </w:rPr>
        <w:t xml:space="preserve">There were insufficient patients enrolled in the key studies to detect uncommon adverse events associated with </w:t>
      </w:r>
      <w:r w:rsidR="00CA6C20" w:rsidRPr="00DA298E">
        <w:rPr>
          <w:iCs/>
          <w:szCs w:val="22"/>
        </w:rPr>
        <w:t>sofosbuvir/</w:t>
      </w:r>
      <w:r w:rsidRPr="00DA298E">
        <w:rPr>
          <w:iCs/>
          <w:szCs w:val="22"/>
        </w:rPr>
        <w:t>velpatasvir</w:t>
      </w:r>
      <w:r w:rsidR="00CA6C20" w:rsidRPr="00DA298E">
        <w:rPr>
          <w:iCs/>
          <w:szCs w:val="22"/>
        </w:rPr>
        <w:t xml:space="preserve"> FDC</w:t>
      </w:r>
      <w:r w:rsidRPr="00DA298E">
        <w:rPr>
          <w:szCs w:val="22"/>
        </w:rPr>
        <w:t xml:space="preserve">. </w:t>
      </w:r>
      <w:r w:rsidRPr="00DA298E">
        <w:rPr>
          <w:iCs/>
          <w:szCs w:val="22"/>
        </w:rPr>
        <w:t>There were limited long term safety data.</w:t>
      </w:r>
    </w:p>
    <w:p w:rsidR="00FE542A" w:rsidRPr="00DA298E" w:rsidRDefault="00FE542A" w:rsidP="00FE542A">
      <w:pPr>
        <w:pStyle w:val="ListParagraph"/>
        <w:widowControl/>
        <w:rPr>
          <w:iCs/>
          <w:szCs w:val="22"/>
        </w:rPr>
      </w:pPr>
    </w:p>
    <w:p w:rsidR="00FE542A" w:rsidRPr="00DA298E" w:rsidRDefault="00FE542A" w:rsidP="002C4748">
      <w:pPr>
        <w:pStyle w:val="ListParagraph"/>
        <w:widowControl/>
        <w:numPr>
          <w:ilvl w:val="1"/>
          <w:numId w:val="2"/>
        </w:numPr>
        <w:rPr>
          <w:iCs/>
          <w:szCs w:val="22"/>
        </w:rPr>
      </w:pPr>
      <w:r w:rsidRPr="00DA298E">
        <w:rPr>
          <w:iCs/>
          <w:szCs w:val="22"/>
        </w:rPr>
        <w:t>The submission did not present comparative data to support the safety claims in the following subgroups:</w:t>
      </w:r>
    </w:p>
    <w:p w:rsidR="00FE542A" w:rsidRPr="00DA298E" w:rsidRDefault="00FE542A" w:rsidP="002C4748">
      <w:pPr>
        <w:pStyle w:val="ListParagraph"/>
        <w:widowControl/>
        <w:numPr>
          <w:ilvl w:val="0"/>
          <w:numId w:val="7"/>
        </w:numPr>
        <w:rPr>
          <w:iCs/>
          <w:szCs w:val="22"/>
        </w:rPr>
      </w:pPr>
      <w:r w:rsidRPr="00DA298E">
        <w:rPr>
          <w:iCs/>
          <w:szCs w:val="22"/>
        </w:rPr>
        <w:t>comparable safety versus ledipasvir/ sofosbuvir (8</w:t>
      </w:r>
      <w:r w:rsidR="003C5DF7" w:rsidRPr="00DA298E">
        <w:rPr>
          <w:iCs/>
          <w:szCs w:val="22"/>
        </w:rPr>
        <w:t>,</w:t>
      </w:r>
      <w:r w:rsidRPr="00DA298E">
        <w:rPr>
          <w:iCs/>
          <w:szCs w:val="22"/>
        </w:rPr>
        <w:t xml:space="preserve"> 12 </w:t>
      </w:r>
      <w:r w:rsidR="003C5DF7" w:rsidRPr="00DA298E">
        <w:rPr>
          <w:iCs/>
          <w:szCs w:val="22"/>
        </w:rPr>
        <w:t xml:space="preserve">or 24 </w:t>
      </w:r>
      <w:r w:rsidRPr="00DA298E">
        <w:rPr>
          <w:iCs/>
          <w:szCs w:val="22"/>
        </w:rPr>
        <w:t xml:space="preserve">weeks) in patients with chronic HCV genotype 1 infection, with </w:t>
      </w:r>
      <w:r w:rsidR="00E54480" w:rsidRPr="00DA298E">
        <w:rPr>
          <w:iCs/>
          <w:szCs w:val="22"/>
        </w:rPr>
        <w:t xml:space="preserve">no cirrhosis </w:t>
      </w:r>
      <w:r w:rsidRPr="00DA298E">
        <w:rPr>
          <w:iCs/>
          <w:szCs w:val="22"/>
        </w:rPr>
        <w:t>or compensated cirrhosis;</w:t>
      </w:r>
    </w:p>
    <w:p w:rsidR="00FE542A" w:rsidRPr="00DA298E" w:rsidRDefault="00FE542A" w:rsidP="002C4748">
      <w:pPr>
        <w:pStyle w:val="ListParagraph"/>
        <w:widowControl/>
        <w:numPr>
          <w:ilvl w:val="0"/>
          <w:numId w:val="7"/>
        </w:numPr>
        <w:rPr>
          <w:iCs/>
          <w:szCs w:val="22"/>
        </w:rPr>
      </w:pPr>
      <w:r w:rsidRPr="00DA298E">
        <w:rPr>
          <w:iCs/>
          <w:szCs w:val="22"/>
        </w:rPr>
        <w:t xml:space="preserve">comparable safety versus daclatasvir plus sofosbuvir for 12 or 24 weeks in patients with chronic HCV genotype 3 infection, with </w:t>
      </w:r>
      <w:r w:rsidR="00E54480" w:rsidRPr="00DA298E">
        <w:rPr>
          <w:iCs/>
          <w:szCs w:val="22"/>
        </w:rPr>
        <w:t xml:space="preserve">no cirrhosis </w:t>
      </w:r>
      <w:r w:rsidRPr="00DA298E">
        <w:rPr>
          <w:iCs/>
          <w:szCs w:val="22"/>
        </w:rPr>
        <w:t>or compensated cirrhosis;</w:t>
      </w:r>
    </w:p>
    <w:p w:rsidR="00FE542A" w:rsidRPr="00DA298E" w:rsidRDefault="00FE542A" w:rsidP="002C4748">
      <w:pPr>
        <w:pStyle w:val="ListParagraph"/>
        <w:widowControl/>
        <w:numPr>
          <w:ilvl w:val="0"/>
          <w:numId w:val="7"/>
        </w:numPr>
        <w:rPr>
          <w:iCs/>
          <w:szCs w:val="22"/>
        </w:rPr>
      </w:pPr>
      <w:r w:rsidRPr="00DA298E">
        <w:rPr>
          <w:iCs/>
          <w:szCs w:val="22"/>
        </w:rPr>
        <w:t xml:space="preserve">superior safety versus sofosbuvir plus peginterferon plus ribavirin in patients with chronic HCV genotype 4, 5 </w:t>
      </w:r>
      <w:r w:rsidR="0030068C" w:rsidRPr="00DA298E">
        <w:rPr>
          <w:iCs/>
          <w:szCs w:val="22"/>
        </w:rPr>
        <w:t xml:space="preserve">or </w:t>
      </w:r>
      <w:r w:rsidRPr="00DA298E">
        <w:rPr>
          <w:iCs/>
          <w:szCs w:val="22"/>
        </w:rPr>
        <w:t xml:space="preserve">6 infection, with </w:t>
      </w:r>
      <w:r w:rsidR="00E54480" w:rsidRPr="00DA298E">
        <w:rPr>
          <w:iCs/>
          <w:szCs w:val="22"/>
        </w:rPr>
        <w:t xml:space="preserve">no cirrhosis </w:t>
      </w:r>
      <w:r w:rsidRPr="00DA298E">
        <w:rPr>
          <w:iCs/>
          <w:szCs w:val="22"/>
        </w:rPr>
        <w:t>or compensated cirrhosis; and</w:t>
      </w:r>
    </w:p>
    <w:p w:rsidR="00FE542A" w:rsidRPr="00DA298E" w:rsidRDefault="00FE542A" w:rsidP="002C4748">
      <w:pPr>
        <w:pStyle w:val="ListParagraph"/>
        <w:widowControl/>
        <w:numPr>
          <w:ilvl w:val="0"/>
          <w:numId w:val="7"/>
        </w:numPr>
        <w:rPr>
          <w:iCs/>
          <w:szCs w:val="22"/>
        </w:rPr>
      </w:pPr>
      <w:r w:rsidRPr="00DA298E">
        <w:rPr>
          <w:iCs/>
          <w:szCs w:val="22"/>
        </w:rPr>
        <w:t xml:space="preserve">comparable safety versus daclatasvir plus sofosbuvir for 12 or 24 weeks in patients with decompensated cirrhosis (all </w:t>
      </w:r>
      <w:r w:rsidR="00BF5F9D" w:rsidRPr="00DA298E">
        <w:rPr>
          <w:iCs/>
          <w:szCs w:val="22"/>
        </w:rPr>
        <w:t xml:space="preserve">HCV </w:t>
      </w:r>
      <w:r w:rsidRPr="00DA298E">
        <w:rPr>
          <w:iCs/>
          <w:szCs w:val="22"/>
        </w:rPr>
        <w:t>genotypes).</w:t>
      </w:r>
    </w:p>
    <w:p w:rsidR="00FE542A" w:rsidRPr="00DA298E" w:rsidRDefault="00FE542A" w:rsidP="00FE542A">
      <w:pPr>
        <w:pStyle w:val="ListParagraph"/>
        <w:widowControl/>
        <w:rPr>
          <w:szCs w:val="22"/>
        </w:rPr>
      </w:pPr>
    </w:p>
    <w:p w:rsidR="00FE542A" w:rsidRPr="00DA298E" w:rsidRDefault="00FE542A" w:rsidP="002C4748">
      <w:pPr>
        <w:pStyle w:val="ListParagraph"/>
        <w:widowControl/>
        <w:numPr>
          <w:ilvl w:val="1"/>
          <w:numId w:val="2"/>
        </w:numPr>
        <w:rPr>
          <w:szCs w:val="22"/>
        </w:rPr>
      </w:pPr>
      <w:r w:rsidRPr="00DA298E">
        <w:rPr>
          <w:szCs w:val="22"/>
        </w:rPr>
        <w:t>Comparative</w:t>
      </w:r>
      <w:r w:rsidR="003257D4" w:rsidRPr="00DA298E">
        <w:rPr>
          <w:szCs w:val="22"/>
        </w:rPr>
        <w:t xml:space="preserve"> safety</w:t>
      </w:r>
      <w:r w:rsidRPr="00DA298E">
        <w:rPr>
          <w:szCs w:val="22"/>
        </w:rPr>
        <w:t xml:space="preserve"> data versus active treatment (sofosbuvir plus ribavirin for 12 or 24 weeks) were available from ASTRAL-2 (HCV genotype 2) and ASTRAL-3 (HCV genotype 3)</w:t>
      </w:r>
      <w:r w:rsidR="00255578" w:rsidRPr="00DA298E">
        <w:rPr>
          <w:szCs w:val="22"/>
        </w:rPr>
        <w:t xml:space="preserve"> in patients with no cirrhosis or compensated cirrhosis</w:t>
      </w:r>
      <w:r w:rsidR="0084585B" w:rsidRPr="00DA298E">
        <w:rPr>
          <w:szCs w:val="22"/>
        </w:rPr>
        <w:t>, see Table 1</w:t>
      </w:r>
      <w:r w:rsidR="0052346C">
        <w:rPr>
          <w:szCs w:val="22"/>
        </w:rPr>
        <w:t>2</w:t>
      </w:r>
      <w:r w:rsidRPr="00DA298E">
        <w:rPr>
          <w:szCs w:val="22"/>
        </w:rPr>
        <w:t xml:space="preserve">. </w:t>
      </w:r>
      <w:r w:rsidRPr="00DA298E">
        <w:rPr>
          <w:iCs/>
          <w:szCs w:val="22"/>
        </w:rPr>
        <w:t>These trials were limited by the open-label study design, which may bias reporting of adverse events (particularly given the known safety profile of ribavirin). The comparisons for ASTRAL-3 were also confounded by the longer duration of therapy in the sofosbuvir plus ribavirin arm (24 weeks versus 12 weeks) and the likely high risk of bias. No comparative statistics were presented.</w:t>
      </w:r>
    </w:p>
    <w:p w:rsidR="00FE542A" w:rsidRPr="0084585B" w:rsidRDefault="00FE542A" w:rsidP="00FE542A">
      <w:pPr>
        <w:pStyle w:val="ListParagraph"/>
        <w:widowControl/>
      </w:pPr>
    </w:p>
    <w:p w:rsidR="0052346C" w:rsidRDefault="0052346C">
      <w:pPr>
        <w:widowControl/>
        <w:jc w:val="left"/>
        <w:rPr>
          <w:rStyle w:val="CommentReference"/>
        </w:rPr>
      </w:pPr>
      <w:r>
        <w:rPr>
          <w:rStyle w:val="CommentReference"/>
        </w:rPr>
        <w:br w:type="page"/>
      </w:r>
    </w:p>
    <w:p w:rsidR="00FE542A" w:rsidRPr="00802DBC" w:rsidRDefault="00FE542A" w:rsidP="002725D7">
      <w:pPr>
        <w:widowControl/>
        <w:ind w:firstLine="720"/>
        <w:jc w:val="left"/>
        <w:rPr>
          <w:rFonts w:ascii="Arial Narrow" w:hAnsi="Arial Narrow"/>
          <w:b/>
          <w:bCs/>
          <w:sz w:val="20"/>
        </w:rPr>
      </w:pPr>
      <w:r w:rsidRPr="00802DBC">
        <w:rPr>
          <w:rStyle w:val="CommentReference"/>
        </w:rPr>
        <w:lastRenderedPageBreak/>
        <w:t xml:space="preserve">Table </w:t>
      </w:r>
      <w:r w:rsidR="0052346C">
        <w:rPr>
          <w:rStyle w:val="CommentReference"/>
        </w:rPr>
        <w:t>12</w:t>
      </w:r>
      <w:r w:rsidRPr="00802DBC">
        <w:rPr>
          <w:rStyle w:val="CommentReference"/>
        </w:rPr>
        <w:t>: Summary of key adverse events of ASTRAL-2 and ASTRAL-3; n (%)</w:t>
      </w:r>
    </w:p>
    <w:tbl>
      <w:tblPr>
        <w:tblStyle w:val="TableGrid"/>
        <w:tblW w:w="8363" w:type="dxa"/>
        <w:tblInd w:w="737" w:type="dxa"/>
        <w:tblLayout w:type="fixed"/>
        <w:tblCellMar>
          <w:left w:w="28" w:type="dxa"/>
          <w:right w:w="28" w:type="dxa"/>
        </w:tblCellMar>
        <w:tblLook w:val="04A0" w:firstRow="1" w:lastRow="0" w:firstColumn="1" w:lastColumn="0" w:noHBand="0" w:noVBand="1"/>
        <w:tblCaption w:val="Table 12: Summary of key adverse events of ASTRAL-2 and ASTRAL-3; n (%)"/>
        <w:tblDescription w:val="Table 12: Summary of key adverse events of ASTRAL-2 and ASTRAL-3; n (%)"/>
      </w:tblPr>
      <w:tblGrid>
        <w:gridCol w:w="2693"/>
        <w:gridCol w:w="1417"/>
        <w:gridCol w:w="1418"/>
        <w:gridCol w:w="1417"/>
        <w:gridCol w:w="1418"/>
      </w:tblGrid>
      <w:tr w:rsidR="00FE542A" w:rsidRPr="00802DBC" w:rsidTr="0094297E">
        <w:trPr>
          <w:tblHeader/>
        </w:trPr>
        <w:tc>
          <w:tcPr>
            <w:tcW w:w="2693" w:type="dxa"/>
            <w:vMerge w:val="restart"/>
          </w:tcPr>
          <w:p w:rsidR="00FE542A" w:rsidRPr="00802DBC" w:rsidRDefault="00FE542A" w:rsidP="0094297E">
            <w:pPr>
              <w:jc w:val="left"/>
              <w:rPr>
                <w:rFonts w:ascii="Arial Narrow" w:hAnsi="Arial Narrow"/>
                <w:sz w:val="20"/>
              </w:rPr>
            </w:pPr>
          </w:p>
        </w:tc>
        <w:tc>
          <w:tcPr>
            <w:tcW w:w="2835" w:type="dxa"/>
            <w:gridSpan w:val="2"/>
            <w:vAlign w:val="center"/>
          </w:tcPr>
          <w:p w:rsidR="00FE542A" w:rsidRPr="00802DBC" w:rsidRDefault="00FE542A" w:rsidP="0094297E">
            <w:pPr>
              <w:jc w:val="center"/>
              <w:rPr>
                <w:rFonts w:ascii="Arial Narrow" w:hAnsi="Arial Narrow"/>
                <w:b/>
                <w:bCs/>
                <w:sz w:val="20"/>
              </w:rPr>
            </w:pPr>
            <w:r w:rsidRPr="00802DBC">
              <w:rPr>
                <w:rFonts w:ascii="Arial Narrow" w:hAnsi="Arial Narrow"/>
                <w:b/>
                <w:bCs/>
                <w:sz w:val="20"/>
              </w:rPr>
              <w:t>ASTRAL-2 (HCV Gt 2)</w:t>
            </w:r>
          </w:p>
        </w:tc>
        <w:tc>
          <w:tcPr>
            <w:tcW w:w="2835" w:type="dxa"/>
            <w:gridSpan w:val="2"/>
            <w:vAlign w:val="center"/>
          </w:tcPr>
          <w:p w:rsidR="00FE542A" w:rsidRPr="00802DBC" w:rsidRDefault="00FE542A" w:rsidP="0094297E">
            <w:pPr>
              <w:jc w:val="center"/>
              <w:rPr>
                <w:rFonts w:ascii="Arial Narrow" w:hAnsi="Arial Narrow"/>
                <w:b/>
                <w:bCs/>
                <w:sz w:val="20"/>
              </w:rPr>
            </w:pPr>
            <w:r w:rsidRPr="00802DBC">
              <w:rPr>
                <w:rFonts w:ascii="Arial Narrow" w:hAnsi="Arial Narrow"/>
                <w:b/>
                <w:bCs/>
                <w:sz w:val="20"/>
              </w:rPr>
              <w:t>ASTRAL-3 (HCV Gt 3)</w:t>
            </w:r>
          </w:p>
        </w:tc>
      </w:tr>
      <w:tr w:rsidR="00FE542A" w:rsidRPr="00802DBC" w:rsidTr="0094297E">
        <w:trPr>
          <w:tblHeader/>
        </w:trPr>
        <w:tc>
          <w:tcPr>
            <w:tcW w:w="2693" w:type="dxa"/>
            <w:vMerge/>
          </w:tcPr>
          <w:p w:rsidR="00FE542A" w:rsidRPr="00802DBC" w:rsidRDefault="00FE542A" w:rsidP="0094297E">
            <w:pPr>
              <w:jc w:val="left"/>
              <w:rPr>
                <w:rFonts w:ascii="Arial Narrow" w:hAnsi="Arial Narrow"/>
                <w:sz w:val="20"/>
              </w:rPr>
            </w:pPr>
          </w:p>
        </w:tc>
        <w:tc>
          <w:tcPr>
            <w:tcW w:w="1417" w:type="dxa"/>
            <w:vAlign w:val="center"/>
          </w:tcPr>
          <w:p w:rsidR="00FE542A" w:rsidRPr="00802DBC" w:rsidRDefault="00FE542A" w:rsidP="0094297E">
            <w:pPr>
              <w:jc w:val="center"/>
              <w:rPr>
                <w:rFonts w:ascii="Arial Narrow" w:hAnsi="Arial Narrow"/>
                <w:b/>
                <w:bCs/>
                <w:sz w:val="20"/>
              </w:rPr>
            </w:pPr>
            <w:r w:rsidRPr="00802DBC">
              <w:rPr>
                <w:rFonts w:ascii="Arial Narrow" w:hAnsi="Arial Narrow"/>
                <w:b/>
                <w:bCs/>
                <w:sz w:val="20"/>
              </w:rPr>
              <w:t>SOF/VEL12 (N=134)</w:t>
            </w:r>
          </w:p>
        </w:tc>
        <w:tc>
          <w:tcPr>
            <w:tcW w:w="1418" w:type="dxa"/>
            <w:vAlign w:val="center"/>
          </w:tcPr>
          <w:p w:rsidR="00FE542A" w:rsidRPr="00802DBC" w:rsidRDefault="00FE542A" w:rsidP="0094297E">
            <w:pPr>
              <w:jc w:val="center"/>
              <w:rPr>
                <w:rFonts w:ascii="Arial Narrow" w:hAnsi="Arial Narrow"/>
                <w:b/>
                <w:bCs/>
                <w:sz w:val="20"/>
              </w:rPr>
            </w:pPr>
            <w:r w:rsidRPr="00802DBC">
              <w:rPr>
                <w:rFonts w:ascii="Arial Narrow" w:hAnsi="Arial Narrow"/>
                <w:b/>
                <w:bCs/>
                <w:sz w:val="20"/>
              </w:rPr>
              <w:t>SOF+RBV12 (N=132)</w:t>
            </w:r>
          </w:p>
        </w:tc>
        <w:tc>
          <w:tcPr>
            <w:tcW w:w="1417" w:type="dxa"/>
            <w:vAlign w:val="center"/>
          </w:tcPr>
          <w:p w:rsidR="00FE542A" w:rsidRPr="00802DBC" w:rsidRDefault="00FE542A" w:rsidP="0094297E">
            <w:pPr>
              <w:jc w:val="center"/>
              <w:rPr>
                <w:rFonts w:ascii="Arial Narrow" w:hAnsi="Arial Narrow"/>
                <w:b/>
                <w:bCs/>
                <w:sz w:val="20"/>
              </w:rPr>
            </w:pPr>
            <w:r w:rsidRPr="00802DBC">
              <w:rPr>
                <w:rFonts w:ascii="Arial Narrow" w:hAnsi="Arial Narrow"/>
                <w:b/>
                <w:bCs/>
                <w:sz w:val="20"/>
              </w:rPr>
              <w:t>SOF/VEL12 (N=277)</w:t>
            </w:r>
          </w:p>
        </w:tc>
        <w:tc>
          <w:tcPr>
            <w:tcW w:w="1418" w:type="dxa"/>
            <w:vAlign w:val="center"/>
          </w:tcPr>
          <w:p w:rsidR="00FE542A" w:rsidRPr="00802DBC" w:rsidRDefault="00FE542A" w:rsidP="0094297E">
            <w:pPr>
              <w:jc w:val="center"/>
              <w:rPr>
                <w:rFonts w:ascii="Arial Narrow" w:hAnsi="Arial Narrow"/>
                <w:b/>
                <w:bCs/>
                <w:sz w:val="20"/>
              </w:rPr>
            </w:pPr>
            <w:r w:rsidRPr="00802DBC">
              <w:rPr>
                <w:rFonts w:ascii="Arial Narrow" w:hAnsi="Arial Narrow"/>
                <w:b/>
                <w:bCs/>
                <w:sz w:val="20"/>
              </w:rPr>
              <w:t>SOF+RBV24 (N=275)</w:t>
            </w:r>
          </w:p>
        </w:tc>
      </w:tr>
      <w:tr w:rsidR="00FE542A" w:rsidRPr="00802DBC" w:rsidTr="0094297E">
        <w:tc>
          <w:tcPr>
            <w:tcW w:w="2693" w:type="dxa"/>
          </w:tcPr>
          <w:p w:rsidR="00FE542A" w:rsidRPr="00802DBC" w:rsidRDefault="00FE542A" w:rsidP="0094297E">
            <w:pPr>
              <w:jc w:val="left"/>
              <w:rPr>
                <w:rFonts w:ascii="Arial Narrow" w:hAnsi="Arial Narrow"/>
                <w:sz w:val="20"/>
              </w:rPr>
            </w:pPr>
            <w:r w:rsidRPr="00802DBC">
              <w:rPr>
                <w:rFonts w:ascii="Arial Narrow" w:hAnsi="Arial Narrow"/>
                <w:sz w:val="20"/>
              </w:rPr>
              <w:t>Treatment-emergent AE</w:t>
            </w:r>
          </w:p>
        </w:tc>
        <w:tc>
          <w:tcPr>
            <w:tcW w:w="1417"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92 (68.7)</w:t>
            </w:r>
          </w:p>
        </w:tc>
        <w:tc>
          <w:tcPr>
            <w:tcW w:w="1418"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101 (76.5)</w:t>
            </w:r>
          </w:p>
        </w:tc>
        <w:tc>
          <w:tcPr>
            <w:tcW w:w="1417"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245 (88.4)</w:t>
            </w:r>
          </w:p>
        </w:tc>
        <w:tc>
          <w:tcPr>
            <w:tcW w:w="1418"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260 (94.5)</w:t>
            </w:r>
          </w:p>
        </w:tc>
      </w:tr>
      <w:tr w:rsidR="00FE542A" w:rsidRPr="00802DBC" w:rsidTr="0094297E">
        <w:tc>
          <w:tcPr>
            <w:tcW w:w="2693" w:type="dxa"/>
          </w:tcPr>
          <w:p w:rsidR="00FE542A" w:rsidRPr="00802DBC" w:rsidRDefault="00FE542A" w:rsidP="0094297E">
            <w:pPr>
              <w:ind w:left="142" w:firstLine="142"/>
              <w:jc w:val="left"/>
              <w:rPr>
                <w:rFonts w:ascii="Arial Narrow" w:hAnsi="Arial Narrow"/>
                <w:sz w:val="20"/>
              </w:rPr>
            </w:pPr>
            <w:r w:rsidRPr="00802DBC">
              <w:rPr>
                <w:rFonts w:ascii="Arial Narrow" w:hAnsi="Arial Narrow"/>
                <w:sz w:val="20"/>
              </w:rPr>
              <w:t xml:space="preserve">Grade 3 or 4 </w:t>
            </w:r>
          </w:p>
        </w:tc>
        <w:tc>
          <w:tcPr>
            <w:tcW w:w="1417"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3 (2.2)</w:t>
            </w:r>
          </w:p>
        </w:tc>
        <w:tc>
          <w:tcPr>
            <w:tcW w:w="1418"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3 (2.3)</w:t>
            </w:r>
          </w:p>
        </w:tc>
        <w:tc>
          <w:tcPr>
            <w:tcW w:w="1417"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12 (4.3)</w:t>
            </w:r>
          </w:p>
        </w:tc>
        <w:tc>
          <w:tcPr>
            <w:tcW w:w="1418"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23 (8.4)</w:t>
            </w:r>
          </w:p>
        </w:tc>
      </w:tr>
      <w:tr w:rsidR="00FE542A" w:rsidRPr="00802DBC" w:rsidTr="0094297E">
        <w:tc>
          <w:tcPr>
            <w:tcW w:w="2693" w:type="dxa"/>
          </w:tcPr>
          <w:p w:rsidR="00FE542A" w:rsidRPr="00802DBC" w:rsidRDefault="00FE542A" w:rsidP="0094297E">
            <w:pPr>
              <w:jc w:val="left"/>
              <w:rPr>
                <w:rFonts w:ascii="Arial Narrow" w:hAnsi="Arial Narrow"/>
                <w:sz w:val="20"/>
              </w:rPr>
            </w:pPr>
            <w:r w:rsidRPr="00802DBC">
              <w:rPr>
                <w:rFonts w:ascii="Arial Narrow" w:hAnsi="Arial Narrow"/>
                <w:sz w:val="20"/>
              </w:rPr>
              <w:t>Treatment-related AE</w:t>
            </w:r>
          </w:p>
        </w:tc>
        <w:tc>
          <w:tcPr>
            <w:tcW w:w="1417"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45 (33.6)</w:t>
            </w:r>
          </w:p>
        </w:tc>
        <w:tc>
          <w:tcPr>
            <w:tcW w:w="1418"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75 (56.8)</w:t>
            </w:r>
          </w:p>
        </w:tc>
        <w:tc>
          <w:tcPr>
            <w:tcW w:w="1417"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170 (61.4)</w:t>
            </w:r>
          </w:p>
        </w:tc>
        <w:tc>
          <w:tcPr>
            <w:tcW w:w="1418"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215 (78.2)</w:t>
            </w:r>
          </w:p>
        </w:tc>
      </w:tr>
      <w:tr w:rsidR="00FE542A" w:rsidRPr="00802DBC" w:rsidTr="0094297E">
        <w:tc>
          <w:tcPr>
            <w:tcW w:w="2693" w:type="dxa"/>
          </w:tcPr>
          <w:p w:rsidR="00FE542A" w:rsidRPr="00802DBC" w:rsidRDefault="00FE542A" w:rsidP="0094297E">
            <w:pPr>
              <w:ind w:left="284"/>
              <w:jc w:val="left"/>
              <w:rPr>
                <w:rFonts w:ascii="Arial Narrow" w:hAnsi="Arial Narrow"/>
                <w:sz w:val="20"/>
              </w:rPr>
            </w:pPr>
            <w:r w:rsidRPr="00802DBC">
              <w:rPr>
                <w:rFonts w:ascii="Arial Narrow" w:hAnsi="Arial Narrow"/>
                <w:sz w:val="20"/>
              </w:rPr>
              <w:t>Grade 3 or 4</w:t>
            </w:r>
          </w:p>
        </w:tc>
        <w:tc>
          <w:tcPr>
            <w:tcW w:w="1417"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1 (0.7)</w:t>
            </w:r>
          </w:p>
        </w:tc>
        <w:tc>
          <w:tcPr>
            <w:tcW w:w="1418"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1 (0.8)</w:t>
            </w:r>
          </w:p>
        </w:tc>
        <w:tc>
          <w:tcPr>
            <w:tcW w:w="1417"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3 (1.1)</w:t>
            </w:r>
          </w:p>
        </w:tc>
        <w:tc>
          <w:tcPr>
            <w:tcW w:w="1418"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6 (2.2)</w:t>
            </w:r>
          </w:p>
        </w:tc>
      </w:tr>
      <w:tr w:rsidR="00FE542A" w:rsidRPr="00802DBC" w:rsidTr="0094297E">
        <w:tc>
          <w:tcPr>
            <w:tcW w:w="2693" w:type="dxa"/>
          </w:tcPr>
          <w:p w:rsidR="00FE542A" w:rsidRPr="00802DBC" w:rsidRDefault="00FE542A" w:rsidP="0094297E">
            <w:pPr>
              <w:jc w:val="left"/>
              <w:rPr>
                <w:rFonts w:ascii="Arial Narrow" w:hAnsi="Arial Narrow"/>
                <w:sz w:val="20"/>
              </w:rPr>
            </w:pPr>
            <w:r w:rsidRPr="00802DBC">
              <w:rPr>
                <w:rFonts w:ascii="Arial Narrow" w:hAnsi="Arial Narrow"/>
                <w:sz w:val="20"/>
              </w:rPr>
              <w:t>Treatment-emergent SAE</w:t>
            </w:r>
          </w:p>
        </w:tc>
        <w:tc>
          <w:tcPr>
            <w:tcW w:w="1417"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2 (1.5)</w:t>
            </w:r>
          </w:p>
        </w:tc>
        <w:tc>
          <w:tcPr>
            <w:tcW w:w="1418"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2 (1.5)</w:t>
            </w:r>
          </w:p>
        </w:tc>
        <w:tc>
          <w:tcPr>
            <w:tcW w:w="1417"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6 (2.2)</w:t>
            </w:r>
          </w:p>
        </w:tc>
        <w:tc>
          <w:tcPr>
            <w:tcW w:w="1418"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15 (5.5)</w:t>
            </w:r>
          </w:p>
        </w:tc>
      </w:tr>
      <w:tr w:rsidR="00FE542A" w:rsidRPr="00802DBC" w:rsidTr="0094297E">
        <w:tc>
          <w:tcPr>
            <w:tcW w:w="2693" w:type="dxa"/>
          </w:tcPr>
          <w:p w:rsidR="00FE542A" w:rsidRPr="00802DBC" w:rsidRDefault="00FE542A" w:rsidP="0094297E">
            <w:pPr>
              <w:jc w:val="left"/>
              <w:rPr>
                <w:rFonts w:ascii="Arial Narrow" w:hAnsi="Arial Narrow"/>
                <w:sz w:val="20"/>
              </w:rPr>
            </w:pPr>
            <w:r w:rsidRPr="00802DBC">
              <w:rPr>
                <w:rFonts w:ascii="Arial Narrow" w:hAnsi="Arial Narrow"/>
                <w:sz w:val="20"/>
              </w:rPr>
              <w:t>Treatment-related SAE</w:t>
            </w:r>
          </w:p>
        </w:tc>
        <w:tc>
          <w:tcPr>
            <w:tcW w:w="1417"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0</w:t>
            </w:r>
          </w:p>
        </w:tc>
        <w:tc>
          <w:tcPr>
            <w:tcW w:w="1418"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0</w:t>
            </w:r>
          </w:p>
        </w:tc>
        <w:tc>
          <w:tcPr>
            <w:tcW w:w="1417"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0</w:t>
            </w:r>
          </w:p>
        </w:tc>
        <w:tc>
          <w:tcPr>
            <w:tcW w:w="1418"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1 (0.4)</w:t>
            </w:r>
          </w:p>
        </w:tc>
      </w:tr>
      <w:tr w:rsidR="00FE542A" w:rsidRPr="00802DBC" w:rsidTr="0094297E">
        <w:tc>
          <w:tcPr>
            <w:tcW w:w="2693" w:type="dxa"/>
          </w:tcPr>
          <w:p w:rsidR="00FE542A" w:rsidRPr="00802DBC" w:rsidRDefault="00FE542A" w:rsidP="0094297E">
            <w:pPr>
              <w:jc w:val="left"/>
              <w:rPr>
                <w:rFonts w:ascii="Arial Narrow" w:hAnsi="Arial Narrow"/>
                <w:sz w:val="20"/>
              </w:rPr>
            </w:pPr>
            <w:r w:rsidRPr="00802DBC">
              <w:rPr>
                <w:rFonts w:ascii="Arial Narrow" w:hAnsi="Arial Narrow"/>
                <w:sz w:val="20"/>
              </w:rPr>
              <w:t>AE leading to premature discontinuation of any study drug</w:t>
            </w:r>
          </w:p>
        </w:tc>
        <w:tc>
          <w:tcPr>
            <w:tcW w:w="1417"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1 (0.7)</w:t>
            </w:r>
          </w:p>
        </w:tc>
        <w:tc>
          <w:tcPr>
            <w:tcW w:w="1418"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0</w:t>
            </w:r>
          </w:p>
        </w:tc>
        <w:tc>
          <w:tcPr>
            <w:tcW w:w="1417"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0</w:t>
            </w:r>
          </w:p>
        </w:tc>
        <w:tc>
          <w:tcPr>
            <w:tcW w:w="1418"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9 (3.3)</w:t>
            </w:r>
          </w:p>
        </w:tc>
      </w:tr>
      <w:tr w:rsidR="00FE542A" w:rsidRPr="00802DBC" w:rsidTr="0094297E">
        <w:tc>
          <w:tcPr>
            <w:tcW w:w="2693" w:type="dxa"/>
          </w:tcPr>
          <w:p w:rsidR="00FE542A" w:rsidRPr="00802DBC" w:rsidRDefault="00FE542A" w:rsidP="0094297E">
            <w:pPr>
              <w:jc w:val="left"/>
              <w:rPr>
                <w:rFonts w:ascii="Arial Narrow" w:hAnsi="Arial Narrow"/>
                <w:sz w:val="20"/>
              </w:rPr>
            </w:pPr>
            <w:r w:rsidRPr="00802DBC">
              <w:rPr>
                <w:rFonts w:ascii="Arial Narrow" w:hAnsi="Arial Narrow"/>
                <w:sz w:val="20"/>
              </w:rPr>
              <w:t>AE leading to modification or  interruption of any study drug</w:t>
            </w:r>
          </w:p>
        </w:tc>
        <w:tc>
          <w:tcPr>
            <w:tcW w:w="1417"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0</w:t>
            </w:r>
          </w:p>
        </w:tc>
        <w:tc>
          <w:tcPr>
            <w:tcW w:w="1418"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13 (9.8)</w:t>
            </w:r>
          </w:p>
        </w:tc>
        <w:tc>
          <w:tcPr>
            <w:tcW w:w="1417"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0</w:t>
            </w:r>
          </w:p>
        </w:tc>
        <w:tc>
          <w:tcPr>
            <w:tcW w:w="1418"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30 (10.9)</w:t>
            </w:r>
          </w:p>
        </w:tc>
      </w:tr>
      <w:tr w:rsidR="00FE542A" w:rsidRPr="00802DBC" w:rsidTr="0094297E">
        <w:tc>
          <w:tcPr>
            <w:tcW w:w="2693" w:type="dxa"/>
          </w:tcPr>
          <w:p w:rsidR="00FE542A" w:rsidRPr="00802DBC" w:rsidRDefault="00FE542A" w:rsidP="0094297E">
            <w:pPr>
              <w:jc w:val="left"/>
              <w:rPr>
                <w:rFonts w:ascii="Arial Narrow" w:hAnsi="Arial Narrow"/>
                <w:sz w:val="20"/>
              </w:rPr>
            </w:pPr>
            <w:r w:rsidRPr="00802DBC">
              <w:rPr>
                <w:rFonts w:ascii="Arial Narrow" w:hAnsi="Arial Narrow"/>
                <w:sz w:val="20"/>
              </w:rPr>
              <w:t>Death</w:t>
            </w:r>
          </w:p>
        </w:tc>
        <w:tc>
          <w:tcPr>
            <w:tcW w:w="1417"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2 (1.5)</w:t>
            </w:r>
          </w:p>
        </w:tc>
        <w:tc>
          <w:tcPr>
            <w:tcW w:w="1418"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0</w:t>
            </w:r>
          </w:p>
        </w:tc>
        <w:tc>
          <w:tcPr>
            <w:tcW w:w="1417"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0</w:t>
            </w:r>
          </w:p>
        </w:tc>
        <w:tc>
          <w:tcPr>
            <w:tcW w:w="1418"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3 (1.1)</w:t>
            </w:r>
          </w:p>
        </w:tc>
      </w:tr>
      <w:tr w:rsidR="00FE542A" w:rsidRPr="00802DBC" w:rsidTr="0094297E">
        <w:tc>
          <w:tcPr>
            <w:tcW w:w="8363" w:type="dxa"/>
            <w:gridSpan w:val="5"/>
          </w:tcPr>
          <w:p w:rsidR="00FE542A" w:rsidRPr="00802DBC" w:rsidRDefault="00FE542A" w:rsidP="0094297E">
            <w:pPr>
              <w:jc w:val="left"/>
              <w:rPr>
                <w:rFonts w:ascii="Arial Narrow" w:hAnsi="Arial Narrow"/>
                <w:b/>
                <w:bCs/>
                <w:sz w:val="20"/>
              </w:rPr>
            </w:pPr>
            <w:r w:rsidRPr="00802DBC">
              <w:rPr>
                <w:rFonts w:ascii="Arial Narrow" w:hAnsi="Arial Narrow"/>
                <w:b/>
                <w:bCs/>
                <w:sz w:val="20"/>
              </w:rPr>
              <w:t>Treatment-emergent AEs identified in the submission as having a lower frequency in the SOF/VEL12 arm</w:t>
            </w:r>
          </w:p>
        </w:tc>
      </w:tr>
      <w:tr w:rsidR="00FE542A" w:rsidRPr="00802DBC" w:rsidTr="0094297E">
        <w:tc>
          <w:tcPr>
            <w:tcW w:w="2693" w:type="dxa"/>
          </w:tcPr>
          <w:p w:rsidR="00FE542A" w:rsidRPr="00802DBC" w:rsidRDefault="00FE542A" w:rsidP="0094297E">
            <w:pPr>
              <w:jc w:val="left"/>
              <w:rPr>
                <w:rFonts w:ascii="Arial Narrow" w:hAnsi="Arial Narrow"/>
                <w:sz w:val="20"/>
              </w:rPr>
            </w:pPr>
            <w:r w:rsidRPr="00802DBC">
              <w:rPr>
                <w:rFonts w:ascii="Arial Narrow" w:hAnsi="Arial Narrow"/>
                <w:sz w:val="20"/>
              </w:rPr>
              <w:t>Fatigue</w:t>
            </w:r>
          </w:p>
        </w:tc>
        <w:tc>
          <w:tcPr>
            <w:tcW w:w="1417"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20 (14.9)</w:t>
            </w:r>
          </w:p>
        </w:tc>
        <w:tc>
          <w:tcPr>
            <w:tcW w:w="1418"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47 (35.6)</w:t>
            </w:r>
          </w:p>
        </w:tc>
        <w:tc>
          <w:tcPr>
            <w:tcW w:w="1417"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71 (25.6)</w:t>
            </w:r>
          </w:p>
        </w:tc>
        <w:tc>
          <w:tcPr>
            <w:tcW w:w="1418"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105 (38.2)</w:t>
            </w:r>
          </w:p>
        </w:tc>
      </w:tr>
      <w:tr w:rsidR="00FE542A" w:rsidRPr="00802DBC" w:rsidTr="0094297E">
        <w:tc>
          <w:tcPr>
            <w:tcW w:w="2693" w:type="dxa"/>
          </w:tcPr>
          <w:p w:rsidR="00FE542A" w:rsidRPr="00802DBC" w:rsidRDefault="00FE542A" w:rsidP="0094297E">
            <w:pPr>
              <w:jc w:val="left"/>
              <w:rPr>
                <w:rFonts w:ascii="Arial Narrow" w:hAnsi="Arial Narrow"/>
                <w:sz w:val="20"/>
              </w:rPr>
            </w:pPr>
            <w:r w:rsidRPr="00802DBC">
              <w:rPr>
                <w:rFonts w:ascii="Arial Narrow" w:hAnsi="Arial Narrow"/>
                <w:sz w:val="20"/>
              </w:rPr>
              <w:t>Headache</w:t>
            </w:r>
          </w:p>
        </w:tc>
        <w:tc>
          <w:tcPr>
            <w:tcW w:w="1417"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24 (17.9)</w:t>
            </w:r>
          </w:p>
        </w:tc>
        <w:tc>
          <w:tcPr>
            <w:tcW w:w="1418"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29 (22.0)</w:t>
            </w:r>
          </w:p>
        </w:tc>
        <w:tc>
          <w:tcPr>
            <w:tcW w:w="1417"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90 (32.5)</w:t>
            </w:r>
          </w:p>
        </w:tc>
        <w:tc>
          <w:tcPr>
            <w:tcW w:w="1418"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89 (32.4)</w:t>
            </w:r>
          </w:p>
        </w:tc>
      </w:tr>
      <w:tr w:rsidR="00FE542A" w:rsidRPr="00802DBC" w:rsidTr="0094297E">
        <w:tc>
          <w:tcPr>
            <w:tcW w:w="2693" w:type="dxa"/>
          </w:tcPr>
          <w:p w:rsidR="00FE542A" w:rsidRPr="00802DBC" w:rsidRDefault="00FE542A" w:rsidP="0094297E">
            <w:pPr>
              <w:jc w:val="left"/>
              <w:rPr>
                <w:rFonts w:ascii="Arial Narrow" w:hAnsi="Arial Narrow"/>
                <w:sz w:val="20"/>
              </w:rPr>
            </w:pPr>
            <w:r w:rsidRPr="00802DBC">
              <w:rPr>
                <w:rFonts w:ascii="Arial Narrow" w:hAnsi="Arial Narrow"/>
                <w:sz w:val="20"/>
              </w:rPr>
              <w:t>Nausea</w:t>
            </w:r>
          </w:p>
        </w:tc>
        <w:tc>
          <w:tcPr>
            <w:tcW w:w="1417"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14 (10.4)</w:t>
            </w:r>
          </w:p>
        </w:tc>
        <w:tc>
          <w:tcPr>
            <w:tcW w:w="1418"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19 (14.4)</w:t>
            </w:r>
          </w:p>
        </w:tc>
        <w:tc>
          <w:tcPr>
            <w:tcW w:w="1417"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46 (16.6)</w:t>
            </w:r>
          </w:p>
        </w:tc>
        <w:tc>
          <w:tcPr>
            <w:tcW w:w="1418"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58 (21.1)</w:t>
            </w:r>
          </w:p>
        </w:tc>
      </w:tr>
      <w:tr w:rsidR="00FE542A" w:rsidRPr="00802DBC" w:rsidTr="0094297E">
        <w:tc>
          <w:tcPr>
            <w:tcW w:w="2693" w:type="dxa"/>
          </w:tcPr>
          <w:p w:rsidR="00FE542A" w:rsidRPr="00802DBC" w:rsidRDefault="00FE542A" w:rsidP="0094297E">
            <w:pPr>
              <w:jc w:val="left"/>
              <w:rPr>
                <w:rFonts w:ascii="Arial Narrow" w:hAnsi="Arial Narrow"/>
                <w:sz w:val="20"/>
              </w:rPr>
            </w:pPr>
            <w:r w:rsidRPr="00802DBC">
              <w:rPr>
                <w:rFonts w:ascii="Arial Narrow" w:hAnsi="Arial Narrow"/>
                <w:sz w:val="20"/>
              </w:rPr>
              <w:t>Insomnia</w:t>
            </w:r>
          </w:p>
        </w:tc>
        <w:tc>
          <w:tcPr>
            <w:tcW w:w="1417"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6 (4.5)</w:t>
            </w:r>
          </w:p>
        </w:tc>
        <w:tc>
          <w:tcPr>
            <w:tcW w:w="1418"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18 (13.6)</w:t>
            </w:r>
          </w:p>
        </w:tc>
        <w:tc>
          <w:tcPr>
            <w:tcW w:w="1417"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31 (11.2)</w:t>
            </w:r>
          </w:p>
        </w:tc>
        <w:tc>
          <w:tcPr>
            <w:tcW w:w="1418"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74 (26.9)</w:t>
            </w:r>
          </w:p>
        </w:tc>
      </w:tr>
      <w:tr w:rsidR="00FE542A" w:rsidRPr="00802DBC" w:rsidTr="0094297E">
        <w:tc>
          <w:tcPr>
            <w:tcW w:w="2693" w:type="dxa"/>
          </w:tcPr>
          <w:p w:rsidR="00FE542A" w:rsidRPr="00802DBC" w:rsidRDefault="00FE542A" w:rsidP="0094297E">
            <w:pPr>
              <w:jc w:val="left"/>
              <w:rPr>
                <w:rFonts w:ascii="Arial Narrow" w:hAnsi="Arial Narrow"/>
                <w:sz w:val="20"/>
              </w:rPr>
            </w:pPr>
            <w:r w:rsidRPr="00802DBC">
              <w:rPr>
                <w:rFonts w:ascii="Arial Narrow" w:hAnsi="Arial Narrow"/>
                <w:sz w:val="20"/>
              </w:rPr>
              <w:t>Anxiety</w:t>
            </w:r>
          </w:p>
        </w:tc>
        <w:tc>
          <w:tcPr>
            <w:tcW w:w="1417"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8 (6.0)</w:t>
            </w:r>
          </w:p>
        </w:tc>
        <w:tc>
          <w:tcPr>
            <w:tcW w:w="1418"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8 (6.1)</w:t>
            </w:r>
          </w:p>
        </w:tc>
        <w:tc>
          <w:tcPr>
            <w:tcW w:w="1417"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7 (2.5)</w:t>
            </w:r>
          </w:p>
        </w:tc>
        <w:tc>
          <w:tcPr>
            <w:tcW w:w="1418"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21 (7.6)</w:t>
            </w:r>
          </w:p>
        </w:tc>
      </w:tr>
      <w:tr w:rsidR="00FE542A" w:rsidRPr="00802DBC" w:rsidTr="0094297E">
        <w:tc>
          <w:tcPr>
            <w:tcW w:w="2693" w:type="dxa"/>
          </w:tcPr>
          <w:p w:rsidR="00FE542A" w:rsidRPr="00802DBC" w:rsidRDefault="00FE542A" w:rsidP="0094297E">
            <w:pPr>
              <w:jc w:val="left"/>
              <w:rPr>
                <w:rFonts w:ascii="Arial Narrow" w:hAnsi="Arial Narrow"/>
                <w:sz w:val="20"/>
              </w:rPr>
            </w:pPr>
            <w:r w:rsidRPr="00802DBC">
              <w:rPr>
                <w:rFonts w:ascii="Arial Narrow" w:hAnsi="Arial Narrow"/>
                <w:sz w:val="20"/>
              </w:rPr>
              <w:t>Irritability</w:t>
            </w:r>
          </w:p>
        </w:tc>
        <w:tc>
          <w:tcPr>
            <w:tcW w:w="1417"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4 (3.0)</w:t>
            </w:r>
          </w:p>
        </w:tc>
        <w:tc>
          <w:tcPr>
            <w:tcW w:w="1418"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9 (6.8)</w:t>
            </w:r>
          </w:p>
        </w:tc>
        <w:tc>
          <w:tcPr>
            <w:tcW w:w="1417"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23 (8.3)</w:t>
            </w:r>
          </w:p>
        </w:tc>
        <w:tc>
          <w:tcPr>
            <w:tcW w:w="1418"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40 (14.5)</w:t>
            </w:r>
          </w:p>
        </w:tc>
      </w:tr>
      <w:tr w:rsidR="00FE542A" w:rsidRPr="00802DBC" w:rsidTr="0094297E">
        <w:tc>
          <w:tcPr>
            <w:tcW w:w="2693" w:type="dxa"/>
          </w:tcPr>
          <w:p w:rsidR="00FE542A" w:rsidRPr="00802DBC" w:rsidRDefault="00FE542A" w:rsidP="0094297E">
            <w:pPr>
              <w:jc w:val="left"/>
              <w:rPr>
                <w:rFonts w:ascii="Arial Narrow" w:hAnsi="Arial Narrow"/>
                <w:sz w:val="20"/>
              </w:rPr>
            </w:pPr>
            <w:r w:rsidRPr="00802DBC">
              <w:rPr>
                <w:rFonts w:ascii="Arial Narrow" w:hAnsi="Arial Narrow"/>
                <w:sz w:val="20"/>
              </w:rPr>
              <w:t>Pruritus</w:t>
            </w:r>
          </w:p>
        </w:tc>
        <w:tc>
          <w:tcPr>
            <w:tcW w:w="1417"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6 (4.5)</w:t>
            </w:r>
          </w:p>
        </w:tc>
        <w:tc>
          <w:tcPr>
            <w:tcW w:w="1418"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7 (5.3)</w:t>
            </w:r>
          </w:p>
        </w:tc>
        <w:tc>
          <w:tcPr>
            <w:tcW w:w="1417"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8 (2.9)</w:t>
            </w:r>
          </w:p>
        </w:tc>
        <w:tc>
          <w:tcPr>
            <w:tcW w:w="1418"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35 (12.7)</w:t>
            </w:r>
          </w:p>
        </w:tc>
      </w:tr>
      <w:tr w:rsidR="00FE542A" w:rsidRPr="00802DBC" w:rsidTr="0094297E">
        <w:tc>
          <w:tcPr>
            <w:tcW w:w="2693" w:type="dxa"/>
          </w:tcPr>
          <w:p w:rsidR="00FE542A" w:rsidRPr="00802DBC" w:rsidRDefault="00FE542A" w:rsidP="0094297E">
            <w:pPr>
              <w:jc w:val="left"/>
              <w:rPr>
                <w:rFonts w:ascii="Arial Narrow" w:hAnsi="Arial Narrow"/>
                <w:sz w:val="20"/>
              </w:rPr>
            </w:pPr>
            <w:r w:rsidRPr="00802DBC">
              <w:rPr>
                <w:rFonts w:ascii="Arial Narrow" w:hAnsi="Arial Narrow"/>
                <w:sz w:val="20"/>
              </w:rPr>
              <w:t>Dyspnoea exertional</w:t>
            </w:r>
          </w:p>
        </w:tc>
        <w:tc>
          <w:tcPr>
            <w:tcW w:w="1417" w:type="dxa"/>
            <w:vAlign w:val="center"/>
          </w:tcPr>
          <w:p w:rsidR="00FE542A" w:rsidRPr="00003FEF" w:rsidRDefault="00FE542A" w:rsidP="0094297E">
            <w:pPr>
              <w:jc w:val="center"/>
              <w:rPr>
                <w:rFonts w:ascii="Arial Narrow" w:hAnsi="Arial Narrow"/>
                <w:sz w:val="20"/>
              </w:rPr>
            </w:pPr>
            <w:r w:rsidRPr="00003FEF">
              <w:rPr>
                <w:rFonts w:ascii="Arial Narrow" w:hAnsi="Arial Narrow"/>
                <w:iCs/>
                <w:sz w:val="20"/>
              </w:rPr>
              <w:t>1 (0.7)</w:t>
            </w:r>
            <w:r w:rsidR="00003FEF" w:rsidRPr="00003FEF">
              <w:rPr>
                <w:rFonts w:ascii="Arial Narrow" w:hAnsi="Arial Narrow"/>
                <w:iCs/>
                <w:sz w:val="20"/>
              </w:rPr>
              <w:t>*</w:t>
            </w:r>
          </w:p>
        </w:tc>
        <w:tc>
          <w:tcPr>
            <w:tcW w:w="1418" w:type="dxa"/>
            <w:vAlign w:val="center"/>
          </w:tcPr>
          <w:p w:rsidR="00FE542A" w:rsidRPr="00003FEF" w:rsidRDefault="00FE542A" w:rsidP="0094297E">
            <w:pPr>
              <w:jc w:val="center"/>
              <w:rPr>
                <w:rFonts w:ascii="Arial Narrow" w:hAnsi="Arial Narrow"/>
                <w:sz w:val="20"/>
              </w:rPr>
            </w:pPr>
            <w:r w:rsidRPr="00003FEF">
              <w:rPr>
                <w:rFonts w:ascii="Arial Narrow" w:hAnsi="Arial Narrow"/>
                <w:iCs/>
                <w:sz w:val="20"/>
              </w:rPr>
              <w:t>3 (2.3)</w:t>
            </w:r>
            <w:r w:rsidR="00003FEF" w:rsidRPr="00003FEF">
              <w:rPr>
                <w:rFonts w:ascii="Arial Narrow" w:hAnsi="Arial Narrow"/>
                <w:iCs/>
                <w:sz w:val="20"/>
              </w:rPr>
              <w:t>*</w:t>
            </w:r>
          </w:p>
        </w:tc>
        <w:tc>
          <w:tcPr>
            <w:tcW w:w="1417"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3 (1.1)</w:t>
            </w:r>
          </w:p>
        </w:tc>
        <w:tc>
          <w:tcPr>
            <w:tcW w:w="1418"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20 (7.3)</w:t>
            </w:r>
          </w:p>
        </w:tc>
      </w:tr>
      <w:tr w:rsidR="00FE542A" w:rsidRPr="00802DBC" w:rsidTr="0094297E">
        <w:tc>
          <w:tcPr>
            <w:tcW w:w="2693" w:type="dxa"/>
          </w:tcPr>
          <w:p w:rsidR="00FE542A" w:rsidRPr="00802DBC" w:rsidRDefault="00FE542A" w:rsidP="0094297E">
            <w:pPr>
              <w:jc w:val="left"/>
              <w:rPr>
                <w:rFonts w:ascii="Arial Narrow" w:hAnsi="Arial Narrow"/>
                <w:sz w:val="20"/>
              </w:rPr>
            </w:pPr>
            <w:r w:rsidRPr="00802DBC">
              <w:rPr>
                <w:rFonts w:ascii="Arial Narrow" w:hAnsi="Arial Narrow"/>
                <w:sz w:val="20"/>
              </w:rPr>
              <w:t>Anaemia</w:t>
            </w:r>
          </w:p>
        </w:tc>
        <w:tc>
          <w:tcPr>
            <w:tcW w:w="1417"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0</w:t>
            </w:r>
          </w:p>
        </w:tc>
        <w:tc>
          <w:tcPr>
            <w:tcW w:w="1418"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8 (6.1)</w:t>
            </w:r>
          </w:p>
        </w:tc>
        <w:tc>
          <w:tcPr>
            <w:tcW w:w="1417"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1 (0.4)</w:t>
            </w:r>
          </w:p>
        </w:tc>
        <w:tc>
          <w:tcPr>
            <w:tcW w:w="1418"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24 (8.7)</w:t>
            </w:r>
          </w:p>
        </w:tc>
      </w:tr>
    </w:tbl>
    <w:p w:rsidR="00FE542A" w:rsidRPr="00802DBC" w:rsidRDefault="00FE542A" w:rsidP="00FE542A">
      <w:pPr>
        <w:ind w:firstLine="720"/>
        <w:rPr>
          <w:rFonts w:ascii="Arial Narrow" w:hAnsi="Arial Narrow"/>
          <w:sz w:val="18"/>
          <w:szCs w:val="18"/>
        </w:rPr>
      </w:pPr>
      <w:r w:rsidRPr="00802DBC">
        <w:rPr>
          <w:rFonts w:ascii="Arial Narrow" w:hAnsi="Arial Narrow"/>
          <w:sz w:val="18"/>
          <w:szCs w:val="18"/>
        </w:rPr>
        <w:t xml:space="preserve">Source: Tables B-62 to B-63, pp148-149 and B-66 to B-67 of the submission; </w:t>
      </w:r>
      <w:r w:rsidR="00003FEF" w:rsidRPr="00F908BF">
        <w:rPr>
          <w:rFonts w:ascii="Arial Narrow" w:hAnsi="Arial Narrow"/>
          <w:sz w:val="18"/>
          <w:szCs w:val="18"/>
        </w:rPr>
        <w:t>*</w:t>
      </w:r>
      <w:r w:rsidRPr="00F908BF">
        <w:rPr>
          <w:rFonts w:ascii="Arial Narrow" w:hAnsi="Arial Narrow"/>
          <w:iCs/>
          <w:sz w:val="18"/>
          <w:szCs w:val="18"/>
        </w:rPr>
        <w:t>Table 15.11.2.1.2, pp197-207 CSR ASTRAL-2</w:t>
      </w:r>
      <w:r w:rsidRPr="00802DBC">
        <w:rPr>
          <w:rFonts w:ascii="Arial Narrow" w:hAnsi="Arial Narrow"/>
          <w:sz w:val="18"/>
          <w:szCs w:val="18"/>
        </w:rPr>
        <w:t xml:space="preserve"> </w:t>
      </w:r>
    </w:p>
    <w:p w:rsidR="00FE542A" w:rsidRPr="00802DBC" w:rsidRDefault="00FE542A" w:rsidP="00FE542A">
      <w:pPr>
        <w:ind w:left="720"/>
        <w:rPr>
          <w:rFonts w:ascii="Arial Narrow" w:hAnsi="Arial Narrow"/>
          <w:sz w:val="18"/>
          <w:szCs w:val="18"/>
        </w:rPr>
      </w:pPr>
      <w:r w:rsidRPr="00802DBC">
        <w:rPr>
          <w:rFonts w:ascii="Arial Narrow" w:hAnsi="Arial Narrow"/>
          <w:sz w:val="18"/>
          <w:szCs w:val="18"/>
        </w:rPr>
        <w:t>Abbreviations: AE = adverse event; NR = not reported; SAE = serious adverse event; SOF+RBV12 = sofosbuvir plus ribavirin for 12 weeks; SOF+RBV24 = sofosbuvir plus ribavirin for 24 weeks; SOF/VEL12 = sofosbuvir/velpatasvir FDC for 12 weeks</w:t>
      </w:r>
    </w:p>
    <w:p w:rsidR="00FE542A" w:rsidRPr="00802DBC" w:rsidRDefault="00FE542A" w:rsidP="00FE542A">
      <w:pPr>
        <w:pStyle w:val="ListParagraph"/>
        <w:widowControl/>
        <w:rPr>
          <w:szCs w:val="22"/>
        </w:rPr>
      </w:pPr>
    </w:p>
    <w:p w:rsidR="00FE542A" w:rsidRPr="00DA298E" w:rsidRDefault="00FE542A" w:rsidP="002C4748">
      <w:pPr>
        <w:pStyle w:val="ListParagraph"/>
        <w:widowControl/>
        <w:numPr>
          <w:ilvl w:val="1"/>
          <w:numId w:val="2"/>
        </w:numPr>
        <w:rPr>
          <w:iCs/>
          <w:szCs w:val="22"/>
        </w:rPr>
      </w:pPr>
      <w:r w:rsidRPr="00DA298E">
        <w:rPr>
          <w:szCs w:val="22"/>
        </w:rPr>
        <w:t>The submission claimed that treatment with sofosbuvir/velpatasvir FDC compared with sofosbuvir plus ribavirin for 12 or 24 weeks was associated with lower rates of anaemia, insomnia, irritability, anxiety and exertional dyspnoea.</w:t>
      </w:r>
      <w:r w:rsidRPr="00DA298E">
        <w:rPr>
          <w:iCs/>
          <w:szCs w:val="22"/>
        </w:rPr>
        <w:t xml:space="preserve"> Sofosbuvir plus ribavirin also appeared to be associated with higher proportion of patients experiencing fatigue. These events, except anxiety and exertional dyspnoea, were consistent with the adverse events included in the P</w:t>
      </w:r>
      <w:r w:rsidR="00193BEE">
        <w:rPr>
          <w:iCs/>
          <w:szCs w:val="22"/>
        </w:rPr>
        <w:t xml:space="preserve">roduct </w:t>
      </w:r>
      <w:r w:rsidRPr="00DA298E">
        <w:rPr>
          <w:iCs/>
          <w:szCs w:val="22"/>
        </w:rPr>
        <w:t>I</w:t>
      </w:r>
      <w:r w:rsidR="00193BEE">
        <w:rPr>
          <w:iCs/>
          <w:szCs w:val="22"/>
        </w:rPr>
        <w:t>nformation (PI)</w:t>
      </w:r>
      <w:r w:rsidRPr="00DA298E">
        <w:rPr>
          <w:iCs/>
          <w:szCs w:val="22"/>
        </w:rPr>
        <w:t xml:space="preserve"> document for ribavirin. The claim of higher rates of anxiety and exertional dyspnoea associated </w:t>
      </w:r>
      <w:r w:rsidR="00167E68">
        <w:rPr>
          <w:iCs/>
          <w:szCs w:val="22"/>
        </w:rPr>
        <w:t xml:space="preserve">with </w:t>
      </w:r>
      <w:r w:rsidRPr="00DA298E">
        <w:rPr>
          <w:iCs/>
          <w:szCs w:val="22"/>
        </w:rPr>
        <w:t xml:space="preserve">sofosbuvir plus ribavirin </w:t>
      </w:r>
      <w:r w:rsidR="00A52842" w:rsidRPr="00DA298E">
        <w:rPr>
          <w:iCs/>
          <w:szCs w:val="22"/>
        </w:rPr>
        <w:t xml:space="preserve">for 12 weeks </w:t>
      </w:r>
      <w:r w:rsidR="00D44E28" w:rsidRPr="00DA298E">
        <w:rPr>
          <w:iCs/>
          <w:szCs w:val="22"/>
        </w:rPr>
        <w:t>was</w:t>
      </w:r>
      <w:r w:rsidRPr="00DA298E">
        <w:rPr>
          <w:iCs/>
          <w:szCs w:val="22"/>
        </w:rPr>
        <w:t xml:space="preserve"> not evident in ASTRAL-2.</w:t>
      </w:r>
    </w:p>
    <w:p w:rsidR="00FE542A" w:rsidRPr="00DA298E" w:rsidRDefault="00FE542A" w:rsidP="00FE542A">
      <w:pPr>
        <w:pStyle w:val="ListParagraph"/>
        <w:rPr>
          <w:iCs/>
          <w:szCs w:val="22"/>
        </w:rPr>
      </w:pPr>
    </w:p>
    <w:p w:rsidR="00FE542A" w:rsidRPr="00DA298E" w:rsidRDefault="00FE542A" w:rsidP="002C4748">
      <w:pPr>
        <w:pStyle w:val="ListParagraph"/>
        <w:widowControl/>
        <w:numPr>
          <w:ilvl w:val="1"/>
          <w:numId w:val="2"/>
        </w:numPr>
        <w:rPr>
          <w:iCs/>
          <w:szCs w:val="22"/>
        </w:rPr>
      </w:pPr>
      <w:r w:rsidRPr="00DA298E">
        <w:rPr>
          <w:szCs w:val="22"/>
        </w:rPr>
        <w:t>The submission claimed that sofosbuvir/velpatasvir FDC was superior in terms of safety compared to sofosbuvir plus ribavirin for 12 weeks in patient with HCV genotype 2.</w:t>
      </w:r>
      <w:r w:rsidRPr="00DA298E">
        <w:rPr>
          <w:iCs/>
          <w:szCs w:val="22"/>
        </w:rPr>
        <w:t xml:space="preserve"> However, in ASTRAL-2, there were no numerical differences between arms in terms of discontinuation due to adverse events, Grade 3 or 4 adverse even</w:t>
      </w:r>
      <w:r w:rsidR="00193BEE">
        <w:rPr>
          <w:iCs/>
          <w:szCs w:val="22"/>
        </w:rPr>
        <w:t>ts, and serious adverse events.</w:t>
      </w:r>
    </w:p>
    <w:p w:rsidR="00FE542A" w:rsidRPr="00802DBC" w:rsidRDefault="00FE542A" w:rsidP="00FE542A">
      <w:pPr>
        <w:widowControl/>
        <w:rPr>
          <w:i/>
          <w:iCs/>
          <w:szCs w:val="22"/>
        </w:rPr>
      </w:pPr>
    </w:p>
    <w:p w:rsidR="0052346C" w:rsidRDefault="0052346C">
      <w:pPr>
        <w:widowControl/>
        <w:jc w:val="left"/>
        <w:rPr>
          <w:b/>
          <w:i/>
        </w:rPr>
      </w:pPr>
      <w:bookmarkStart w:id="23" w:name="_Toc458698815"/>
      <w:bookmarkStart w:id="24" w:name="_Toc461609479"/>
      <w:r>
        <w:rPr>
          <w:i/>
        </w:rPr>
        <w:br w:type="page"/>
      </w:r>
    </w:p>
    <w:p w:rsidR="00FE542A" w:rsidRPr="00802DBC" w:rsidRDefault="00FE542A" w:rsidP="00FE542A">
      <w:pPr>
        <w:pStyle w:val="Heading2"/>
        <w:rPr>
          <w:i/>
        </w:rPr>
      </w:pPr>
      <w:r w:rsidRPr="00802DBC">
        <w:rPr>
          <w:i/>
        </w:rPr>
        <w:lastRenderedPageBreak/>
        <w:t>Clinical claim</w:t>
      </w:r>
      <w:bookmarkEnd w:id="23"/>
      <w:bookmarkEnd w:id="24"/>
    </w:p>
    <w:p w:rsidR="00FE542A" w:rsidRPr="00802DBC" w:rsidRDefault="00FE542A" w:rsidP="00FE542A">
      <w:pPr>
        <w:ind w:left="720" w:hanging="720"/>
        <w:rPr>
          <w:szCs w:val="22"/>
        </w:rPr>
      </w:pPr>
    </w:p>
    <w:p w:rsidR="00FE542A" w:rsidRPr="00802DBC" w:rsidRDefault="00FE542A" w:rsidP="00AD0A8E">
      <w:pPr>
        <w:pStyle w:val="ListParagraph"/>
        <w:widowControl/>
        <w:rPr>
          <w:szCs w:val="22"/>
        </w:rPr>
      </w:pPr>
      <w:r w:rsidRPr="00802DBC">
        <w:rPr>
          <w:rStyle w:val="CommentReference"/>
        </w:rPr>
        <w:t xml:space="preserve">Table </w:t>
      </w:r>
      <w:r w:rsidR="0052346C">
        <w:rPr>
          <w:rStyle w:val="CommentReference"/>
        </w:rPr>
        <w:t>13</w:t>
      </w:r>
      <w:r w:rsidRPr="00802DBC">
        <w:rPr>
          <w:rStyle w:val="CommentReference"/>
        </w:rPr>
        <w:t>: Summary of the clinical claims made in the submission of sofosbuvir/velpatasvir FDC (12 weeks) versus the nominated comparators across the various subgroups</w:t>
      </w:r>
    </w:p>
    <w:tbl>
      <w:tblPr>
        <w:tblStyle w:val="TableGrid"/>
        <w:tblW w:w="8363" w:type="dxa"/>
        <w:tblInd w:w="737" w:type="dxa"/>
        <w:tblCellMar>
          <w:left w:w="28" w:type="dxa"/>
          <w:right w:w="28" w:type="dxa"/>
        </w:tblCellMar>
        <w:tblLook w:val="04A0" w:firstRow="1" w:lastRow="0" w:firstColumn="1" w:lastColumn="0" w:noHBand="0" w:noVBand="1"/>
        <w:tblCaption w:val="Table 13: Summary of the clinical claims made in the submission of sofosbuvir/velpatasvir FDC (12 weeks) versus the nominated comparators across the various subgroups"/>
        <w:tblDescription w:val="Table 13: Summary of the clinical claims made in the submission of sofosbuvir/velpatasvir FDC (12 weeks) versus the nominated comparators across the various subgroups"/>
      </w:tblPr>
      <w:tblGrid>
        <w:gridCol w:w="404"/>
        <w:gridCol w:w="993"/>
        <w:gridCol w:w="850"/>
        <w:gridCol w:w="992"/>
        <w:gridCol w:w="5124"/>
      </w:tblGrid>
      <w:tr w:rsidR="00FE542A" w:rsidRPr="00802DBC" w:rsidTr="0094297E">
        <w:trPr>
          <w:cantSplit/>
          <w:tblHeader/>
        </w:trPr>
        <w:tc>
          <w:tcPr>
            <w:tcW w:w="404" w:type="dxa"/>
            <w:vMerge w:val="restart"/>
            <w:vAlign w:val="center"/>
          </w:tcPr>
          <w:p w:rsidR="00FE542A" w:rsidRPr="00802DBC" w:rsidRDefault="00FE542A" w:rsidP="0094297E">
            <w:pPr>
              <w:jc w:val="left"/>
              <w:rPr>
                <w:rFonts w:ascii="Arial Narrow" w:hAnsi="Arial Narrow"/>
                <w:b/>
                <w:bCs/>
                <w:sz w:val="20"/>
              </w:rPr>
            </w:pPr>
            <w:r w:rsidRPr="00802DBC">
              <w:rPr>
                <w:rFonts w:ascii="Arial Narrow" w:hAnsi="Arial Narrow"/>
                <w:b/>
                <w:bCs/>
                <w:sz w:val="20"/>
              </w:rPr>
              <w:t>HCV Gt</w:t>
            </w:r>
          </w:p>
        </w:tc>
        <w:tc>
          <w:tcPr>
            <w:tcW w:w="993" w:type="dxa"/>
            <w:vMerge w:val="restart"/>
            <w:vAlign w:val="center"/>
          </w:tcPr>
          <w:p w:rsidR="00FE542A" w:rsidRPr="00802DBC" w:rsidRDefault="00FE542A" w:rsidP="0094297E">
            <w:pPr>
              <w:jc w:val="center"/>
              <w:rPr>
                <w:rFonts w:ascii="Arial Narrow" w:hAnsi="Arial Narrow"/>
                <w:b/>
                <w:bCs/>
                <w:sz w:val="20"/>
              </w:rPr>
            </w:pPr>
            <w:r w:rsidRPr="00802DBC">
              <w:rPr>
                <w:rFonts w:ascii="Arial Narrow" w:hAnsi="Arial Narrow"/>
                <w:b/>
                <w:bCs/>
                <w:sz w:val="20"/>
              </w:rPr>
              <w:t>Comparator</w:t>
            </w:r>
          </w:p>
        </w:tc>
        <w:tc>
          <w:tcPr>
            <w:tcW w:w="1842" w:type="dxa"/>
            <w:gridSpan w:val="2"/>
            <w:vAlign w:val="center"/>
          </w:tcPr>
          <w:p w:rsidR="00FE542A" w:rsidRPr="00802DBC" w:rsidRDefault="00FE542A" w:rsidP="0094297E">
            <w:pPr>
              <w:jc w:val="center"/>
              <w:rPr>
                <w:rFonts w:ascii="Arial Narrow" w:hAnsi="Arial Narrow"/>
                <w:b/>
                <w:bCs/>
                <w:sz w:val="20"/>
              </w:rPr>
            </w:pPr>
            <w:r w:rsidRPr="00802DBC">
              <w:rPr>
                <w:rFonts w:ascii="Arial Narrow" w:hAnsi="Arial Narrow"/>
                <w:b/>
                <w:bCs/>
                <w:sz w:val="20"/>
              </w:rPr>
              <w:t>Clinical claim</w:t>
            </w:r>
          </w:p>
        </w:tc>
        <w:tc>
          <w:tcPr>
            <w:tcW w:w="5124" w:type="dxa"/>
            <w:vMerge w:val="restart"/>
            <w:vAlign w:val="center"/>
          </w:tcPr>
          <w:p w:rsidR="00FE542A" w:rsidRPr="006A28CC" w:rsidRDefault="00FE542A" w:rsidP="0094297E">
            <w:pPr>
              <w:jc w:val="center"/>
              <w:rPr>
                <w:rFonts w:ascii="Arial Narrow" w:hAnsi="Arial Narrow"/>
                <w:b/>
                <w:bCs/>
                <w:iCs/>
                <w:sz w:val="20"/>
              </w:rPr>
            </w:pPr>
            <w:r w:rsidRPr="006A28CC">
              <w:rPr>
                <w:rFonts w:ascii="Arial Narrow" w:hAnsi="Arial Narrow"/>
                <w:b/>
                <w:bCs/>
                <w:iCs/>
                <w:sz w:val="20"/>
              </w:rPr>
              <w:t>Comment</w:t>
            </w:r>
            <w:r w:rsidR="00920126" w:rsidRPr="006A28CC">
              <w:rPr>
                <w:rFonts w:ascii="Arial Narrow" w:hAnsi="Arial Narrow"/>
                <w:b/>
                <w:bCs/>
                <w:iCs/>
                <w:sz w:val="20"/>
              </w:rPr>
              <w:t xml:space="preserve"> from the evaluation</w:t>
            </w:r>
          </w:p>
        </w:tc>
      </w:tr>
      <w:tr w:rsidR="00FE542A" w:rsidRPr="00802DBC" w:rsidTr="0094297E">
        <w:trPr>
          <w:cantSplit/>
          <w:tblHeader/>
        </w:trPr>
        <w:tc>
          <w:tcPr>
            <w:tcW w:w="404" w:type="dxa"/>
            <w:vMerge/>
            <w:vAlign w:val="center"/>
          </w:tcPr>
          <w:p w:rsidR="00FE542A" w:rsidRPr="00802DBC" w:rsidRDefault="00FE542A" w:rsidP="0094297E">
            <w:pPr>
              <w:jc w:val="left"/>
              <w:rPr>
                <w:rFonts w:ascii="Arial Narrow" w:hAnsi="Arial Narrow"/>
                <w:b/>
                <w:bCs/>
                <w:sz w:val="20"/>
              </w:rPr>
            </w:pPr>
          </w:p>
        </w:tc>
        <w:tc>
          <w:tcPr>
            <w:tcW w:w="993" w:type="dxa"/>
            <w:vMerge/>
            <w:vAlign w:val="center"/>
          </w:tcPr>
          <w:p w:rsidR="00FE542A" w:rsidRPr="00802DBC" w:rsidRDefault="00FE542A" w:rsidP="0094297E">
            <w:pPr>
              <w:jc w:val="center"/>
              <w:rPr>
                <w:rFonts w:ascii="Arial Narrow" w:hAnsi="Arial Narrow"/>
                <w:b/>
                <w:bCs/>
                <w:sz w:val="20"/>
              </w:rPr>
            </w:pPr>
          </w:p>
        </w:tc>
        <w:tc>
          <w:tcPr>
            <w:tcW w:w="850" w:type="dxa"/>
            <w:vAlign w:val="center"/>
          </w:tcPr>
          <w:p w:rsidR="00FE542A" w:rsidRPr="00802DBC" w:rsidRDefault="00FE542A" w:rsidP="0094297E">
            <w:pPr>
              <w:jc w:val="center"/>
              <w:rPr>
                <w:rFonts w:ascii="Arial Narrow" w:hAnsi="Arial Narrow"/>
                <w:b/>
                <w:bCs/>
                <w:sz w:val="20"/>
              </w:rPr>
            </w:pPr>
            <w:r w:rsidRPr="00802DBC">
              <w:rPr>
                <w:rFonts w:ascii="Arial Narrow" w:hAnsi="Arial Narrow"/>
                <w:b/>
                <w:bCs/>
                <w:sz w:val="20"/>
              </w:rPr>
              <w:t>Efficacy</w:t>
            </w:r>
          </w:p>
        </w:tc>
        <w:tc>
          <w:tcPr>
            <w:tcW w:w="992" w:type="dxa"/>
            <w:vAlign w:val="center"/>
          </w:tcPr>
          <w:p w:rsidR="00FE542A" w:rsidRPr="00802DBC" w:rsidRDefault="00FE542A" w:rsidP="0094297E">
            <w:pPr>
              <w:jc w:val="center"/>
              <w:rPr>
                <w:rFonts w:ascii="Arial Narrow" w:hAnsi="Arial Narrow"/>
                <w:b/>
                <w:bCs/>
                <w:sz w:val="20"/>
              </w:rPr>
            </w:pPr>
            <w:r w:rsidRPr="00802DBC">
              <w:rPr>
                <w:rFonts w:ascii="Arial Narrow" w:hAnsi="Arial Narrow"/>
                <w:b/>
                <w:bCs/>
                <w:sz w:val="20"/>
              </w:rPr>
              <w:t>Safety</w:t>
            </w:r>
          </w:p>
        </w:tc>
        <w:tc>
          <w:tcPr>
            <w:tcW w:w="5124" w:type="dxa"/>
            <w:vMerge/>
            <w:vAlign w:val="center"/>
          </w:tcPr>
          <w:p w:rsidR="00FE542A" w:rsidRPr="00802DBC" w:rsidRDefault="00FE542A" w:rsidP="0094297E">
            <w:pPr>
              <w:jc w:val="center"/>
              <w:rPr>
                <w:rFonts w:ascii="Arial Narrow" w:hAnsi="Arial Narrow"/>
                <w:b/>
                <w:bCs/>
                <w:i/>
                <w:iCs/>
                <w:sz w:val="20"/>
              </w:rPr>
            </w:pPr>
          </w:p>
        </w:tc>
      </w:tr>
      <w:tr w:rsidR="00FE542A" w:rsidRPr="00802DBC" w:rsidTr="0094297E">
        <w:trPr>
          <w:cantSplit/>
        </w:trPr>
        <w:tc>
          <w:tcPr>
            <w:tcW w:w="8363" w:type="dxa"/>
            <w:gridSpan w:val="5"/>
            <w:vAlign w:val="center"/>
          </w:tcPr>
          <w:p w:rsidR="00FE542A" w:rsidRPr="00802DBC" w:rsidRDefault="00FE542A" w:rsidP="0094297E">
            <w:pPr>
              <w:jc w:val="left"/>
              <w:rPr>
                <w:rFonts w:ascii="Arial Narrow" w:hAnsi="Arial Narrow"/>
                <w:b/>
                <w:bCs/>
                <w:i/>
                <w:iCs/>
                <w:sz w:val="20"/>
              </w:rPr>
            </w:pPr>
            <w:r w:rsidRPr="00802DBC">
              <w:rPr>
                <w:rFonts w:ascii="Arial Narrow" w:hAnsi="Arial Narrow"/>
                <w:b/>
                <w:bCs/>
                <w:sz w:val="20"/>
              </w:rPr>
              <w:t>No cirrhosis or compensated cirrhosis</w:t>
            </w:r>
          </w:p>
        </w:tc>
      </w:tr>
      <w:tr w:rsidR="00FE542A" w:rsidRPr="00802DBC" w:rsidTr="0094297E">
        <w:trPr>
          <w:cantSplit/>
        </w:trPr>
        <w:tc>
          <w:tcPr>
            <w:tcW w:w="404" w:type="dxa"/>
            <w:vAlign w:val="center"/>
          </w:tcPr>
          <w:p w:rsidR="00FE542A" w:rsidRPr="00802DBC" w:rsidRDefault="00FE542A" w:rsidP="0094297E">
            <w:pPr>
              <w:jc w:val="left"/>
              <w:rPr>
                <w:rFonts w:ascii="Arial Narrow" w:hAnsi="Arial Narrow"/>
                <w:sz w:val="20"/>
              </w:rPr>
            </w:pPr>
            <w:r w:rsidRPr="00802DBC">
              <w:rPr>
                <w:rFonts w:ascii="Arial Narrow" w:hAnsi="Arial Narrow"/>
                <w:sz w:val="20"/>
              </w:rPr>
              <w:t>1</w:t>
            </w:r>
          </w:p>
        </w:tc>
        <w:tc>
          <w:tcPr>
            <w:tcW w:w="993"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Ledipasvir/ sofosbuvir</w:t>
            </w:r>
          </w:p>
          <w:p w:rsidR="00FE542A" w:rsidRPr="00802DBC" w:rsidRDefault="00FE542A" w:rsidP="00222D02">
            <w:pPr>
              <w:jc w:val="center"/>
              <w:rPr>
                <w:rFonts w:ascii="Arial Narrow" w:hAnsi="Arial Narrow"/>
                <w:sz w:val="20"/>
              </w:rPr>
            </w:pPr>
            <w:r w:rsidRPr="00802DBC">
              <w:rPr>
                <w:rFonts w:ascii="Arial Narrow" w:hAnsi="Arial Narrow"/>
                <w:sz w:val="20"/>
              </w:rPr>
              <w:t>(8</w:t>
            </w:r>
            <w:r w:rsidR="00222D02">
              <w:rPr>
                <w:rFonts w:ascii="Arial Narrow" w:hAnsi="Arial Narrow"/>
                <w:sz w:val="20"/>
              </w:rPr>
              <w:t>,</w:t>
            </w:r>
            <w:r w:rsidRPr="00802DBC">
              <w:rPr>
                <w:rFonts w:ascii="Arial Narrow" w:hAnsi="Arial Narrow"/>
                <w:sz w:val="20"/>
              </w:rPr>
              <w:t xml:space="preserve"> 12</w:t>
            </w:r>
            <w:r w:rsidR="00222D02">
              <w:rPr>
                <w:rFonts w:ascii="Arial Narrow" w:hAnsi="Arial Narrow"/>
                <w:sz w:val="20"/>
              </w:rPr>
              <w:t xml:space="preserve"> or 24</w:t>
            </w:r>
            <w:r w:rsidRPr="00802DBC">
              <w:rPr>
                <w:rFonts w:ascii="Arial Narrow" w:hAnsi="Arial Narrow"/>
                <w:sz w:val="20"/>
              </w:rPr>
              <w:t xml:space="preserve"> weeks)</w:t>
            </w:r>
          </w:p>
        </w:tc>
        <w:tc>
          <w:tcPr>
            <w:tcW w:w="850"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Non-inferior</w:t>
            </w:r>
          </w:p>
        </w:tc>
        <w:tc>
          <w:tcPr>
            <w:tcW w:w="992"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Comparable</w:t>
            </w:r>
          </w:p>
        </w:tc>
        <w:tc>
          <w:tcPr>
            <w:tcW w:w="5124" w:type="dxa"/>
          </w:tcPr>
          <w:p w:rsidR="00FE542A" w:rsidRPr="006A28CC" w:rsidRDefault="00FE542A" w:rsidP="0081636A">
            <w:pPr>
              <w:jc w:val="left"/>
              <w:rPr>
                <w:rFonts w:ascii="Arial Narrow" w:hAnsi="Arial Narrow"/>
                <w:iCs/>
                <w:sz w:val="20"/>
              </w:rPr>
            </w:pPr>
            <w:r w:rsidRPr="006A28CC">
              <w:rPr>
                <w:rFonts w:ascii="Arial Narrow" w:hAnsi="Arial Narrow"/>
                <w:iCs/>
                <w:sz w:val="20"/>
              </w:rPr>
              <w:t>The clinical claims may be reasonable despite not being adequately supported. A naïve comparison for SVR12 was presented, which had major limitations and was at high risk of bias. No comparative safety data were presented.</w:t>
            </w:r>
          </w:p>
        </w:tc>
      </w:tr>
      <w:tr w:rsidR="00FE542A" w:rsidRPr="00802DBC" w:rsidTr="0094297E">
        <w:trPr>
          <w:cantSplit/>
        </w:trPr>
        <w:tc>
          <w:tcPr>
            <w:tcW w:w="404" w:type="dxa"/>
            <w:vAlign w:val="center"/>
          </w:tcPr>
          <w:p w:rsidR="00FE542A" w:rsidRPr="00802DBC" w:rsidRDefault="00FE542A" w:rsidP="0094297E">
            <w:pPr>
              <w:jc w:val="left"/>
              <w:rPr>
                <w:rFonts w:ascii="Arial Narrow" w:hAnsi="Arial Narrow"/>
                <w:sz w:val="20"/>
              </w:rPr>
            </w:pPr>
            <w:r w:rsidRPr="00802DBC">
              <w:rPr>
                <w:rFonts w:ascii="Arial Narrow" w:hAnsi="Arial Narrow"/>
                <w:sz w:val="20"/>
              </w:rPr>
              <w:t>2</w:t>
            </w:r>
          </w:p>
        </w:tc>
        <w:tc>
          <w:tcPr>
            <w:tcW w:w="993"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 xml:space="preserve">Sofosbuvir + ribavirin </w:t>
            </w:r>
          </w:p>
          <w:p w:rsidR="00FE542A" w:rsidRPr="00802DBC" w:rsidRDefault="00FE542A" w:rsidP="0094297E">
            <w:pPr>
              <w:jc w:val="center"/>
              <w:rPr>
                <w:rFonts w:ascii="Arial Narrow" w:hAnsi="Arial Narrow"/>
                <w:sz w:val="20"/>
              </w:rPr>
            </w:pPr>
            <w:r w:rsidRPr="00802DBC">
              <w:rPr>
                <w:rFonts w:ascii="Arial Narrow" w:hAnsi="Arial Narrow"/>
                <w:sz w:val="20"/>
              </w:rPr>
              <w:t>(12 weeks)</w:t>
            </w:r>
          </w:p>
        </w:tc>
        <w:tc>
          <w:tcPr>
            <w:tcW w:w="850"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Superior</w:t>
            </w:r>
          </w:p>
        </w:tc>
        <w:tc>
          <w:tcPr>
            <w:tcW w:w="992"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Superior</w:t>
            </w:r>
          </w:p>
        </w:tc>
        <w:tc>
          <w:tcPr>
            <w:tcW w:w="5124" w:type="dxa"/>
          </w:tcPr>
          <w:p w:rsidR="00FE542A" w:rsidRPr="00735E81" w:rsidRDefault="00FE542A" w:rsidP="0081636A">
            <w:pPr>
              <w:jc w:val="left"/>
              <w:rPr>
                <w:rFonts w:ascii="Arial Narrow" w:hAnsi="Arial Narrow"/>
                <w:iCs/>
                <w:sz w:val="20"/>
              </w:rPr>
            </w:pPr>
            <w:r w:rsidRPr="00735E81">
              <w:rPr>
                <w:rFonts w:ascii="Arial Narrow" w:hAnsi="Arial Narrow"/>
                <w:iCs/>
                <w:sz w:val="20"/>
              </w:rPr>
              <w:t>The clinical claim was inadequately supported in terms of comparative efficacy, as</w:t>
            </w:r>
            <w:r w:rsidR="0061247F" w:rsidRPr="00735E81">
              <w:rPr>
                <w:rFonts w:ascii="Arial Narrow" w:hAnsi="Arial Narrow"/>
                <w:iCs/>
                <w:sz w:val="20"/>
              </w:rPr>
              <w:t xml:space="preserve"> although a head-to-head comparison,</w:t>
            </w:r>
            <w:r w:rsidRPr="00735E81">
              <w:rPr>
                <w:rFonts w:ascii="Arial Narrow" w:hAnsi="Arial Narrow"/>
                <w:iCs/>
                <w:sz w:val="20"/>
              </w:rPr>
              <w:t xml:space="preserve"> the 95% CI for SVR12 included differences </w:t>
            </w:r>
            <w:r w:rsidR="0000485D" w:rsidRPr="00735E81">
              <w:rPr>
                <w:rFonts w:ascii="Arial Narrow" w:hAnsi="Arial Narrow"/>
                <w:iCs/>
                <w:sz w:val="20"/>
              </w:rPr>
              <w:t xml:space="preserve">that </w:t>
            </w:r>
            <w:r w:rsidRPr="00735E81">
              <w:rPr>
                <w:rFonts w:ascii="Arial Narrow" w:hAnsi="Arial Narrow"/>
                <w:iCs/>
                <w:sz w:val="20"/>
              </w:rPr>
              <w:t>were unlikely to be clinically relevant (lower bound of the absolute risk difference was 0.2%). The claim may be reasonable in terms of comparative safety. However, no statistical testing was conducted. Additionally, there did not appear to be numerical differences between arms in terms of discontinuation due to adverse events, Grade 3 or 4 adverse events, and serious adverse events.</w:t>
            </w:r>
          </w:p>
        </w:tc>
      </w:tr>
      <w:tr w:rsidR="00FE542A" w:rsidRPr="00802DBC" w:rsidTr="0094297E">
        <w:trPr>
          <w:cantSplit/>
        </w:trPr>
        <w:tc>
          <w:tcPr>
            <w:tcW w:w="404" w:type="dxa"/>
            <w:vAlign w:val="center"/>
          </w:tcPr>
          <w:p w:rsidR="00FE542A" w:rsidRPr="00802DBC" w:rsidRDefault="00FE542A" w:rsidP="0094297E">
            <w:pPr>
              <w:jc w:val="left"/>
              <w:rPr>
                <w:rFonts w:ascii="Arial Narrow" w:hAnsi="Arial Narrow"/>
                <w:sz w:val="20"/>
              </w:rPr>
            </w:pPr>
            <w:r w:rsidRPr="00802DBC">
              <w:rPr>
                <w:rFonts w:ascii="Arial Narrow" w:hAnsi="Arial Narrow"/>
                <w:sz w:val="20"/>
              </w:rPr>
              <w:t>3</w:t>
            </w:r>
          </w:p>
        </w:tc>
        <w:tc>
          <w:tcPr>
            <w:tcW w:w="993"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 xml:space="preserve">Daclatasvir + sofosbuvir </w:t>
            </w:r>
          </w:p>
          <w:p w:rsidR="00FE542A" w:rsidRPr="00802DBC" w:rsidRDefault="00FE542A" w:rsidP="0094297E">
            <w:pPr>
              <w:jc w:val="center"/>
              <w:rPr>
                <w:rFonts w:ascii="Arial Narrow" w:hAnsi="Arial Narrow"/>
                <w:sz w:val="20"/>
              </w:rPr>
            </w:pPr>
            <w:r w:rsidRPr="00802DBC">
              <w:rPr>
                <w:rFonts w:ascii="Arial Narrow" w:hAnsi="Arial Narrow"/>
                <w:sz w:val="20"/>
              </w:rPr>
              <w:t>(12 or 24 weeks)</w:t>
            </w:r>
          </w:p>
        </w:tc>
        <w:tc>
          <w:tcPr>
            <w:tcW w:w="850"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Non-inferior</w:t>
            </w:r>
          </w:p>
        </w:tc>
        <w:tc>
          <w:tcPr>
            <w:tcW w:w="992"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Comparable</w:t>
            </w:r>
          </w:p>
        </w:tc>
        <w:tc>
          <w:tcPr>
            <w:tcW w:w="5124" w:type="dxa"/>
          </w:tcPr>
          <w:p w:rsidR="00FE542A" w:rsidRPr="00735E81" w:rsidRDefault="00FE542A" w:rsidP="0081636A">
            <w:pPr>
              <w:jc w:val="left"/>
              <w:rPr>
                <w:rFonts w:ascii="Arial Narrow" w:hAnsi="Arial Narrow"/>
                <w:iCs/>
                <w:sz w:val="20"/>
              </w:rPr>
            </w:pPr>
            <w:r w:rsidRPr="00735E81">
              <w:rPr>
                <w:rFonts w:ascii="Arial Narrow" w:hAnsi="Arial Narrow"/>
                <w:iCs/>
                <w:sz w:val="20"/>
              </w:rPr>
              <w:t>The clinical claim may be reasonable in terms of daclatasvir + sofosbuvir for 12 weeks in patients with no cirrhosis despite not being adequately supported. A naïve comparison for SVR12 was presented, which had major limitations and was at high risk of bias. No comparative safety data were presented.</w:t>
            </w:r>
          </w:p>
          <w:p w:rsidR="00FE542A" w:rsidRPr="00802DBC" w:rsidRDefault="00FE542A" w:rsidP="0081636A">
            <w:pPr>
              <w:jc w:val="left"/>
              <w:rPr>
                <w:rFonts w:ascii="Arial Narrow" w:hAnsi="Arial Narrow"/>
                <w:sz w:val="20"/>
              </w:rPr>
            </w:pPr>
            <w:r w:rsidRPr="00735E81">
              <w:rPr>
                <w:rFonts w:ascii="Arial Narrow" w:hAnsi="Arial Narrow"/>
                <w:iCs/>
                <w:sz w:val="20"/>
              </w:rPr>
              <w:t xml:space="preserve">The submission did not present any comparative data versus daclatasvir + sofosbuvir for </w:t>
            </w:r>
            <w:r w:rsidRPr="00735E81">
              <w:rPr>
                <w:rFonts w:ascii="Arial Narrow" w:hAnsi="Arial Narrow"/>
                <w:iCs/>
                <w:sz w:val="20"/>
                <w:u w:val="single"/>
              </w:rPr>
              <w:t>24 weeks</w:t>
            </w:r>
            <w:r w:rsidRPr="00735E81">
              <w:rPr>
                <w:rFonts w:ascii="Arial Narrow" w:hAnsi="Arial Narrow"/>
                <w:iCs/>
                <w:sz w:val="20"/>
              </w:rPr>
              <w:t xml:space="preserve">, the nominated comparator for patients compensated cirrhosis. Thus, the clinical claim versus daclatasvir + sofosbuvir for </w:t>
            </w:r>
            <w:r w:rsidRPr="00735E81">
              <w:rPr>
                <w:rFonts w:ascii="Arial Narrow" w:hAnsi="Arial Narrow"/>
                <w:iCs/>
                <w:sz w:val="20"/>
                <w:u w:val="single"/>
              </w:rPr>
              <w:t>24 weeks</w:t>
            </w:r>
            <w:r w:rsidRPr="00735E81">
              <w:rPr>
                <w:rFonts w:ascii="Arial Narrow" w:hAnsi="Arial Narrow"/>
                <w:iCs/>
                <w:sz w:val="20"/>
              </w:rPr>
              <w:t xml:space="preserve"> was </w:t>
            </w:r>
            <w:r w:rsidR="00A8477E" w:rsidRPr="00735E81">
              <w:rPr>
                <w:rFonts w:ascii="Arial Narrow" w:hAnsi="Arial Narrow"/>
                <w:iCs/>
                <w:sz w:val="20"/>
              </w:rPr>
              <w:t xml:space="preserve">not </w:t>
            </w:r>
            <w:r w:rsidRPr="00735E81">
              <w:rPr>
                <w:rFonts w:ascii="Arial Narrow" w:hAnsi="Arial Narrow"/>
                <w:iCs/>
                <w:sz w:val="20"/>
              </w:rPr>
              <w:t xml:space="preserve">supported and </w:t>
            </w:r>
            <w:r w:rsidR="003E1A35" w:rsidRPr="00735E81">
              <w:rPr>
                <w:rFonts w:ascii="Arial Narrow" w:hAnsi="Arial Narrow"/>
                <w:iCs/>
                <w:sz w:val="20"/>
              </w:rPr>
              <w:t>is not</w:t>
            </w:r>
            <w:r w:rsidRPr="00735E81">
              <w:rPr>
                <w:rFonts w:ascii="Arial Narrow" w:hAnsi="Arial Narrow"/>
                <w:iCs/>
                <w:sz w:val="20"/>
              </w:rPr>
              <w:t xml:space="preserve"> reasonable.</w:t>
            </w:r>
          </w:p>
        </w:tc>
      </w:tr>
      <w:tr w:rsidR="00FE542A" w:rsidRPr="00802DBC" w:rsidTr="0094297E">
        <w:trPr>
          <w:cantSplit/>
        </w:trPr>
        <w:tc>
          <w:tcPr>
            <w:tcW w:w="404" w:type="dxa"/>
            <w:vAlign w:val="center"/>
          </w:tcPr>
          <w:p w:rsidR="00FE542A" w:rsidRPr="00802DBC" w:rsidRDefault="00FE542A" w:rsidP="0094297E">
            <w:pPr>
              <w:jc w:val="left"/>
              <w:rPr>
                <w:rFonts w:ascii="Arial Narrow" w:hAnsi="Arial Narrow"/>
                <w:sz w:val="20"/>
              </w:rPr>
            </w:pPr>
            <w:r w:rsidRPr="00802DBC">
              <w:rPr>
                <w:rFonts w:ascii="Arial Narrow" w:hAnsi="Arial Narrow"/>
                <w:sz w:val="20"/>
              </w:rPr>
              <w:t>4-6</w:t>
            </w:r>
          </w:p>
        </w:tc>
        <w:tc>
          <w:tcPr>
            <w:tcW w:w="993"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 xml:space="preserve">Sofosbuvir + peg-IFN + ribavirin </w:t>
            </w:r>
          </w:p>
          <w:p w:rsidR="00FE542A" w:rsidRPr="00802DBC" w:rsidRDefault="00FE542A" w:rsidP="0094297E">
            <w:pPr>
              <w:jc w:val="center"/>
              <w:rPr>
                <w:rFonts w:ascii="Arial Narrow" w:hAnsi="Arial Narrow"/>
                <w:sz w:val="20"/>
              </w:rPr>
            </w:pPr>
            <w:r w:rsidRPr="00802DBC">
              <w:rPr>
                <w:rFonts w:ascii="Arial Narrow" w:hAnsi="Arial Narrow"/>
                <w:sz w:val="20"/>
              </w:rPr>
              <w:t>(12 weeks)</w:t>
            </w:r>
          </w:p>
        </w:tc>
        <w:tc>
          <w:tcPr>
            <w:tcW w:w="850"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Superior</w:t>
            </w:r>
          </w:p>
        </w:tc>
        <w:tc>
          <w:tcPr>
            <w:tcW w:w="992"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Superior</w:t>
            </w:r>
          </w:p>
        </w:tc>
        <w:tc>
          <w:tcPr>
            <w:tcW w:w="5124" w:type="dxa"/>
          </w:tcPr>
          <w:p w:rsidR="00FE542A" w:rsidRPr="00087226" w:rsidRDefault="00FE542A" w:rsidP="0081636A">
            <w:pPr>
              <w:jc w:val="left"/>
              <w:rPr>
                <w:rFonts w:ascii="Arial Narrow" w:hAnsi="Arial Narrow"/>
                <w:iCs/>
                <w:sz w:val="20"/>
              </w:rPr>
            </w:pPr>
            <w:r w:rsidRPr="00087226">
              <w:rPr>
                <w:rFonts w:ascii="Arial Narrow" w:hAnsi="Arial Narrow"/>
                <w:iCs/>
                <w:sz w:val="20"/>
              </w:rPr>
              <w:t xml:space="preserve">The claim in terms of comparative efficacy was inadequately supported, as there were no differences in SVR12 rates based on a naïve comparison with sparse comparator data. The naïve comparison was at high risk of bias and had major limitations. The safety claim may be reasonable </w:t>
            </w:r>
            <w:r w:rsidR="00CA6C20" w:rsidRPr="00087226">
              <w:rPr>
                <w:rFonts w:ascii="Arial Narrow" w:hAnsi="Arial Narrow"/>
                <w:iCs/>
                <w:sz w:val="20"/>
              </w:rPr>
              <w:t xml:space="preserve">given the known safety profile of peg-IFN, </w:t>
            </w:r>
            <w:r w:rsidRPr="00087226">
              <w:rPr>
                <w:rFonts w:ascii="Arial Narrow" w:hAnsi="Arial Narrow"/>
                <w:iCs/>
                <w:sz w:val="20"/>
              </w:rPr>
              <w:t>despite not being adequately supported. No comparative safety data were presented.</w:t>
            </w:r>
          </w:p>
        </w:tc>
      </w:tr>
      <w:tr w:rsidR="00FE542A" w:rsidRPr="00802DBC" w:rsidTr="0094297E">
        <w:trPr>
          <w:cantSplit/>
        </w:trPr>
        <w:tc>
          <w:tcPr>
            <w:tcW w:w="8363" w:type="dxa"/>
            <w:gridSpan w:val="5"/>
            <w:vAlign w:val="center"/>
          </w:tcPr>
          <w:p w:rsidR="00FE542A" w:rsidRPr="00802DBC" w:rsidRDefault="00FE542A" w:rsidP="0081636A">
            <w:pPr>
              <w:jc w:val="left"/>
              <w:rPr>
                <w:rFonts w:ascii="Arial Narrow" w:hAnsi="Arial Narrow"/>
                <w:b/>
                <w:bCs/>
                <w:i/>
                <w:iCs/>
                <w:sz w:val="20"/>
              </w:rPr>
            </w:pPr>
            <w:r w:rsidRPr="00802DBC">
              <w:rPr>
                <w:rFonts w:ascii="Arial Narrow" w:hAnsi="Arial Narrow"/>
                <w:b/>
                <w:bCs/>
                <w:sz w:val="20"/>
              </w:rPr>
              <w:t>Decompensated cirrhosis</w:t>
            </w:r>
          </w:p>
        </w:tc>
      </w:tr>
      <w:tr w:rsidR="00FE542A" w:rsidRPr="00802DBC" w:rsidTr="0094297E">
        <w:trPr>
          <w:cantSplit/>
        </w:trPr>
        <w:tc>
          <w:tcPr>
            <w:tcW w:w="404" w:type="dxa"/>
            <w:vAlign w:val="center"/>
          </w:tcPr>
          <w:p w:rsidR="00FE542A" w:rsidRPr="00802DBC" w:rsidRDefault="00FE542A" w:rsidP="0094297E">
            <w:pPr>
              <w:jc w:val="left"/>
              <w:rPr>
                <w:rFonts w:ascii="Arial Narrow" w:hAnsi="Arial Narrow"/>
                <w:sz w:val="20"/>
              </w:rPr>
            </w:pPr>
            <w:r w:rsidRPr="00802DBC">
              <w:rPr>
                <w:rFonts w:ascii="Arial Narrow" w:hAnsi="Arial Narrow"/>
                <w:sz w:val="20"/>
              </w:rPr>
              <w:t>1-6</w:t>
            </w:r>
          </w:p>
        </w:tc>
        <w:tc>
          <w:tcPr>
            <w:tcW w:w="993"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 xml:space="preserve">Daclatasvir + sofosbuvir </w:t>
            </w:r>
          </w:p>
          <w:p w:rsidR="00FE542A" w:rsidRPr="00802DBC" w:rsidRDefault="00FE542A" w:rsidP="0094297E">
            <w:pPr>
              <w:jc w:val="center"/>
              <w:rPr>
                <w:rFonts w:ascii="Arial Narrow" w:hAnsi="Arial Narrow"/>
                <w:sz w:val="20"/>
              </w:rPr>
            </w:pPr>
            <w:r w:rsidRPr="00802DBC">
              <w:rPr>
                <w:rFonts w:ascii="Arial Narrow" w:hAnsi="Arial Narrow"/>
                <w:sz w:val="20"/>
              </w:rPr>
              <w:t>(12 or 24 weeks)</w:t>
            </w:r>
          </w:p>
        </w:tc>
        <w:tc>
          <w:tcPr>
            <w:tcW w:w="850"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Non-inferior</w:t>
            </w:r>
          </w:p>
        </w:tc>
        <w:tc>
          <w:tcPr>
            <w:tcW w:w="992" w:type="dxa"/>
            <w:vAlign w:val="center"/>
          </w:tcPr>
          <w:p w:rsidR="00FE542A" w:rsidRPr="00802DBC" w:rsidRDefault="00FE542A" w:rsidP="0094297E">
            <w:pPr>
              <w:jc w:val="center"/>
              <w:rPr>
                <w:rFonts w:ascii="Arial Narrow" w:hAnsi="Arial Narrow"/>
                <w:sz w:val="20"/>
              </w:rPr>
            </w:pPr>
            <w:r w:rsidRPr="00802DBC">
              <w:rPr>
                <w:rFonts w:ascii="Arial Narrow" w:hAnsi="Arial Narrow"/>
                <w:sz w:val="20"/>
              </w:rPr>
              <w:t>Comparable</w:t>
            </w:r>
          </w:p>
        </w:tc>
        <w:tc>
          <w:tcPr>
            <w:tcW w:w="5124" w:type="dxa"/>
          </w:tcPr>
          <w:p w:rsidR="00FE542A" w:rsidRPr="00027BAB" w:rsidRDefault="00FE542A" w:rsidP="0081636A">
            <w:pPr>
              <w:jc w:val="left"/>
              <w:rPr>
                <w:rFonts w:ascii="Arial Narrow" w:hAnsi="Arial Narrow"/>
                <w:iCs/>
                <w:sz w:val="20"/>
              </w:rPr>
            </w:pPr>
            <w:r w:rsidRPr="00027BAB">
              <w:rPr>
                <w:rFonts w:ascii="Arial Narrow" w:hAnsi="Arial Narrow"/>
                <w:iCs/>
                <w:sz w:val="20"/>
              </w:rPr>
              <w:t>The claim may be reasonable for HCV genotype 1 (daclatasvir + sofosbuvir + ribavirin for 12 weeks) despite not being adequately supported. A naïve comparison for SVR12 were presented, which had major limitations and was at high risk of bias. No comparative safety data were presented.</w:t>
            </w:r>
          </w:p>
          <w:p w:rsidR="00FE542A" w:rsidRPr="00027BAB" w:rsidRDefault="00FE542A" w:rsidP="0081636A">
            <w:pPr>
              <w:jc w:val="left"/>
              <w:rPr>
                <w:rFonts w:ascii="Arial Narrow" w:hAnsi="Arial Narrow"/>
                <w:sz w:val="20"/>
              </w:rPr>
            </w:pPr>
            <w:r w:rsidRPr="00027BAB">
              <w:rPr>
                <w:rFonts w:ascii="Arial Narrow" w:hAnsi="Arial Narrow"/>
                <w:iCs/>
                <w:sz w:val="20"/>
              </w:rPr>
              <w:t xml:space="preserve">The clinical claims may not be adequately supported for the other HCV genotypes. The submission did not present any comparative data versus daclatasvir + sofosbuvir + ribavirin for </w:t>
            </w:r>
            <w:r w:rsidRPr="00027BAB">
              <w:rPr>
                <w:rFonts w:ascii="Arial Narrow" w:hAnsi="Arial Narrow"/>
                <w:iCs/>
                <w:sz w:val="20"/>
                <w:u w:val="single"/>
              </w:rPr>
              <w:t>24 weeks</w:t>
            </w:r>
            <w:r w:rsidRPr="00027BAB">
              <w:rPr>
                <w:rFonts w:ascii="Arial Narrow" w:hAnsi="Arial Narrow"/>
                <w:iCs/>
                <w:sz w:val="20"/>
              </w:rPr>
              <w:t xml:space="preserve">, the nominated comparator for HCV genotype 3. There were few patients with HCV genotype 2 </w:t>
            </w:r>
            <w:r w:rsidR="0029415C" w:rsidRPr="00027BAB">
              <w:rPr>
                <w:rFonts w:ascii="Arial Narrow" w:hAnsi="Arial Narrow"/>
                <w:iCs/>
                <w:sz w:val="20"/>
              </w:rPr>
              <w:t xml:space="preserve">(n=4) </w:t>
            </w:r>
            <w:r w:rsidRPr="00027BAB">
              <w:rPr>
                <w:rFonts w:ascii="Arial Narrow" w:hAnsi="Arial Narrow"/>
                <w:iCs/>
                <w:sz w:val="20"/>
              </w:rPr>
              <w:t>or 4</w:t>
            </w:r>
            <w:r w:rsidR="0029415C" w:rsidRPr="00027BAB">
              <w:rPr>
                <w:rFonts w:ascii="Arial Narrow" w:hAnsi="Arial Narrow"/>
                <w:iCs/>
                <w:sz w:val="20"/>
              </w:rPr>
              <w:t xml:space="preserve"> (n=2)</w:t>
            </w:r>
            <w:r w:rsidRPr="00027BAB">
              <w:rPr>
                <w:rFonts w:ascii="Arial Narrow" w:hAnsi="Arial Narrow"/>
                <w:iCs/>
                <w:sz w:val="20"/>
              </w:rPr>
              <w:t xml:space="preserve">, and no patient with HCV genotype 5 or 6 who received sofosbuvir/velpatasvir FDC + ribavirin. </w:t>
            </w:r>
          </w:p>
        </w:tc>
      </w:tr>
    </w:tbl>
    <w:p w:rsidR="00FE542A" w:rsidRPr="00802DBC" w:rsidRDefault="00FE542A" w:rsidP="00FE542A">
      <w:pPr>
        <w:ind w:firstLine="720"/>
        <w:rPr>
          <w:rFonts w:ascii="Arial Narrow" w:hAnsi="Arial Narrow"/>
          <w:sz w:val="18"/>
          <w:szCs w:val="18"/>
        </w:rPr>
      </w:pPr>
      <w:r w:rsidRPr="00802DBC">
        <w:rPr>
          <w:rFonts w:ascii="Arial Narrow" w:hAnsi="Arial Narrow"/>
          <w:sz w:val="18"/>
          <w:szCs w:val="18"/>
        </w:rPr>
        <w:t>Source: Adapted from pp171-172 of the submission</w:t>
      </w:r>
      <w:r w:rsidR="001F6787">
        <w:rPr>
          <w:rFonts w:ascii="Arial Narrow" w:hAnsi="Arial Narrow"/>
          <w:sz w:val="18"/>
          <w:szCs w:val="18"/>
        </w:rPr>
        <w:t xml:space="preserve"> </w:t>
      </w:r>
    </w:p>
    <w:p w:rsidR="00FE542A" w:rsidRPr="00802DBC" w:rsidRDefault="00FE542A" w:rsidP="00FE542A">
      <w:pPr>
        <w:ind w:left="720"/>
        <w:rPr>
          <w:rFonts w:ascii="Arial Narrow" w:hAnsi="Arial Narrow"/>
          <w:sz w:val="18"/>
          <w:szCs w:val="18"/>
        </w:rPr>
      </w:pPr>
      <w:r w:rsidRPr="00802DBC">
        <w:rPr>
          <w:rFonts w:ascii="Arial Narrow" w:hAnsi="Arial Narrow"/>
          <w:sz w:val="18"/>
          <w:szCs w:val="18"/>
        </w:rPr>
        <w:t>Abbreviations: FDC = fixed dose combination; Gt = genotype; HCV = hepatitis C virus; peg-IFN = peginterferon alfa-2a; SVR12 = sustained virological response at 12 weeks following the completion of treatment</w:t>
      </w:r>
    </w:p>
    <w:p w:rsidR="004C12B3" w:rsidRDefault="004C12B3" w:rsidP="001C4B29">
      <w:bookmarkStart w:id="25" w:name="_Toc458698816"/>
      <w:bookmarkStart w:id="26" w:name="_Toc461609480"/>
    </w:p>
    <w:p w:rsidR="005D104C" w:rsidRPr="005D104C" w:rsidRDefault="00476A1A" w:rsidP="005D104C">
      <w:pPr>
        <w:pStyle w:val="ListParagraph"/>
        <w:numPr>
          <w:ilvl w:val="1"/>
          <w:numId w:val="2"/>
        </w:numPr>
        <w:rPr>
          <w:bCs/>
          <w:szCs w:val="22"/>
        </w:rPr>
      </w:pPr>
      <w:r w:rsidRPr="005D104C">
        <w:rPr>
          <w:bCs/>
          <w:szCs w:val="22"/>
        </w:rPr>
        <w:t xml:space="preserve">The PBAC considered that the claim of non-inferior comparative effectiveness and comparable safety against the nominated comparators was reasonable for </w:t>
      </w:r>
      <w:r w:rsidRPr="005D104C">
        <w:rPr>
          <w:bCs/>
          <w:szCs w:val="22"/>
        </w:rPr>
        <w:lastRenderedPageBreak/>
        <w:t xml:space="preserve">sofosbuvir/velpatasvir FDC treatment in patients with genotypes 1 and 3 (no cirrhosis or compensated cirrhosis). </w:t>
      </w:r>
      <w:r w:rsidR="005D104C" w:rsidRPr="005D104C">
        <w:rPr>
          <w:bCs/>
          <w:szCs w:val="22"/>
        </w:rPr>
        <w:t>The PBAC also considered a conclusion of non-inferior effectiveness and comparable safety for sofosbuvir/velpatasvir FDC (12 weeks) versus sofosbuvir plus ribavirin (24 weeks) in GT3 was reasonable.</w:t>
      </w:r>
    </w:p>
    <w:p w:rsidR="005D104C" w:rsidRPr="005D104C" w:rsidRDefault="005D104C" w:rsidP="005D104C">
      <w:pPr>
        <w:pStyle w:val="ListParagraph"/>
        <w:widowControl/>
        <w:rPr>
          <w:bCs/>
        </w:rPr>
      </w:pPr>
    </w:p>
    <w:p w:rsidR="00476A1A" w:rsidRPr="00DB1FE5" w:rsidRDefault="00476A1A" w:rsidP="00476A1A">
      <w:pPr>
        <w:pStyle w:val="ListParagraph"/>
        <w:widowControl/>
        <w:numPr>
          <w:ilvl w:val="1"/>
          <w:numId w:val="2"/>
        </w:numPr>
        <w:rPr>
          <w:bCs/>
        </w:rPr>
      </w:pPr>
      <w:r w:rsidRPr="00080D1A">
        <w:rPr>
          <w:bCs/>
          <w:szCs w:val="22"/>
        </w:rPr>
        <w:t xml:space="preserve">However, for patients with genotypes 2, 4-6, the PBAC viewed the claims of superior comparative effectiveness against the nominated comparators as inadequately supported by the data. In terms of comparative safety </w:t>
      </w:r>
      <w:r>
        <w:rPr>
          <w:bCs/>
          <w:szCs w:val="22"/>
        </w:rPr>
        <w:t>for genotype 2, the PBAC considered that the claim of superiority to sofosbuvir</w:t>
      </w:r>
      <w:r w:rsidR="00936B82">
        <w:rPr>
          <w:bCs/>
          <w:szCs w:val="22"/>
        </w:rPr>
        <w:t xml:space="preserve"> plus</w:t>
      </w:r>
      <w:r w:rsidR="0043697D">
        <w:rPr>
          <w:bCs/>
          <w:szCs w:val="22"/>
        </w:rPr>
        <w:t xml:space="preserve"> ribavirin </w:t>
      </w:r>
      <w:r>
        <w:rPr>
          <w:bCs/>
          <w:szCs w:val="22"/>
        </w:rPr>
        <w:t xml:space="preserve">was inadequately supported. For genotypes 4 to 6,  </w:t>
      </w:r>
      <w:r w:rsidRPr="009B5CB6">
        <w:rPr>
          <w:bCs/>
          <w:szCs w:val="22"/>
        </w:rPr>
        <w:t xml:space="preserve">while no comparative safety data were presented, </w:t>
      </w:r>
      <w:r>
        <w:rPr>
          <w:bCs/>
          <w:szCs w:val="22"/>
        </w:rPr>
        <w:t xml:space="preserve">the PBAC considered that </w:t>
      </w:r>
      <w:r w:rsidRPr="009B5CB6">
        <w:rPr>
          <w:bCs/>
          <w:szCs w:val="22"/>
        </w:rPr>
        <w:t>it may be reasonable to conclude that sofosbuvir/velpatasvir FDC would be superior</w:t>
      </w:r>
      <w:r>
        <w:rPr>
          <w:bCs/>
          <w:szCs w:val="22"/>
        </w:rPr>
        <w:t xml:space="preserve"> in safety</w:t>
      </w:r>
      <w:r w:rsidRPr="009B5CB6">
        <w:rPr>
          <w:bCs/>
          <w:szCs w:val="22"/>
        </w:rPr>
        <w:t xml:space="preserve"> to sofosbuvir+peg-IFN+ribavirin, given the </w:t>
      </w:r>
      <w:r w:rsidR="00380CAC" w:rsidRPr="009B5CB6">
        <w:rPr>
          <w:bCs/>
          <w:szCs w:val="22"/>
        </w:rPr>
        <w:t>well-known</w:t>
      </w:r>
      <w:r w:rsidRPr="009B5CB6">
        <w:rPr>
          <w:bCs/>
          <w:szCs w:val="22"/>
        </w:rPr>
        <w:t xml:space="preserve"> limitations of interferon-containing regimens.</w:t>
      </w:r>
    </w:p>
    <w:p w:rsidR="00DB1FE5" w:rsidRPr="00DB1FE5" w:rsidRDefault="00DB1FE5" w:rsidP="00DB1FE5">
      <w:pPr>
        <w:pStyle w:val="ListParagraph"/>
        <w:widowControl/>
        <w:rPr>
          <w:bCs/>
        </w:rPr>
      </w:pPr>
    </w:p>
    <w:p w:rsidR="00476A1A" w:rsidRDefault="00476A1A" w:rsidP="00476A1A">
      <w:pPr>
        <w:pStyle w:val="ListParagraph"/>
        <w:widowControl/>
        <w:numPr>
          <w:ilvl w:val="1"/>
          <w:numId w:val="2"/>
        </w:numPr>
        <w:rPr>
          <w:bCs/>
        </w:rPr>
      </w:pPr>
      <w:r w:rsidRPr="00DB1FE5">
        <w:rPr>
          <w:bCs/>
        </w:rPr>
        <w:t xml:space="preserve">For patients with decompensated cirrhosis, the PBAC considered that </w:t>
      </w:r>
      <w:r w:rsidR="00ED282B" w:rsidRPr="00DB1FE5">
        <w:rPr>
          <w:bCs/>
        </w:rPr>
        <w:t>a</w:t>
      </w:r>
      <w:r w:rsidRPr="00DB1FE5">
        <w:rPr>
          <w:bCs/>
        </w:rPr>
        <w:t xml:space="preserve"> claim of non-inferior comparative </w:t>
      </w:r>
      <w:r w:rsidRPr="00DB1FE5">
        <w:rPr>
          <w:bCs/>
          <w:szCs w:val="22"/>
        </w:rPr>
        <w:t xml:space="preserve">effectiveness </w:t>
      </w:r>
      <w:r w:rsidRPr="00DB1FE5">
        <w:rPr>
          <w:bCs/>
        </w:rPr>
        <w:t>and comparable safety with daclatasvir+sofosbuvir</w:t>
      </w:r>
      <w:r w:rsidR="00ED282B" w:rsidRPr="00DB1FE5">
        <w:rPr>
          <w:bCs/>
        </w:rPr>
        <w:t>+</w:t>
      </w:r>
      <w:r w:rsidR="002725D7" w:rsidRPr="00DB1FE5">
        <w:rPr>
          <w:bCs/>
        </w:rPr>
        <w:t>/-</w:t>
      </w:r>
      <w:r w:rsidR="00ED282B" w:rsidRPr="00DB1FE5">
        <w:rPr>
          <w:bCs/>
        </w:rPr>
        <w:t>ribavirin</w:t>
      </w:r>
      <w:r w:rsidRPr="00DB1FE5">
        <w:rPr>
          <w:bCs/>
        </w:rPr>
        <w:t xml:space="preserve"> may be reasonable despite </w:t>
      </w:r>
      <w:r w:rsidR="00936B82">
        <w:rPr>
          <w:bCs/>
        </w:rPr>
        <w:t>not being adequately supported.</w:t>
      </w:r>
    </w:p>
    <w:p w:rsidR="00DB1FE5" w:rsidRDefault="00DB1FE5" w:rsidP="00DB1FE5">
      <w:pPr>
        <w:pStyle w:val="ListParagraph"/>
        <w:widowControl/>
        <w:rPr>
          <w:bCs/>
        </w:rPr>
      </w:pPr>
    </w:p>
    <w:p w:rsidR="00060B93" w:rsidRPr="00060B93" w:rsidRDefault="00476A1A" w:rsidP="00476A1A">
      <w:pPr>
        <w:pStyle w:val="ListParagraph"/>
        <w:widowControl/>
        <w:numPr>
          <w:ilvl w:val="1"/>
          <w:numId w:val="2"/>
        </w:numPr>
        <w:rPr>
          <w:bCs/>
        </w:rPr>
      </w:pPr>
      <w:r>
        <w:rPr>
          <w:bCs/>
        </w:rPr>
        <w:t xml:space="preserve">The PBAC noted that a number of other potential comparators exist, and that </w:t>
      </w:r>
      <w:r w:rsidRPr="008C3321">
        <w:rPr>
          <w:iCs/>
        </w:rPr>
        <w:t>sofosbuvir/velpatasvir FDC</w:t>
      </w:r>
      <w:r>
        <w:rPr>
          <w:iCs/>
        </w:rPr>
        <w:t xml:space="preserve"> had not demonstrated </w:t>
      </w:r>
      <w:r w:rsidRPr="008C3321">
        <w:t xml:space="preserve">superior comparative effectiveness or comparative safety over </w:t>
      </w:r>
      <w:r w:rsidR="005A17AB">
        <w:t xml:space="preserve">any </w:t>
      </w:r>
      <w:r w:rsidRPr="008C3321">
        <w:t>alternative regimens</w:t>
      </w:r>
      <w:r w:rsidR="005A17AB">
        <w:t>.</w:t>
      </w:r>
    </w:p>
    <w:p w:rsidR="002C4748" w:rsidRDefault="002C4748" w:rsidP="001B796A"/>
    <w:p w:rsidR="00FE542A" w:rsidRPr="00802DBC" w:rsidRDefault="00FE542A" w:rsidP="00FE542A">
      <w:pPr>
        <w:pStyle w:val="Heading2"/>
        <w:rPr>
          <w:i/>
        </w:rPr>
      </w:pPr>
      <w:r w:rsidRPr="00802DBC">
        <w:rPr>
          <w:i/>
        </w:rPr>
        <w:t>Economic analysis</w:t>
      </w:r>
      <w:bookmarkEnd w:id="25"/>
      <w:bookmarkEnd w:id="26"/>
      <w:r w:rsidRPr="00802DBC">
        <w:rPr>
          <w:i/>
        </w:rPr>
        <w:t xml:space="preserve"> </w:t>
      </w:r>
    </w:p>
    <w:p w:rsidR="00FE542A" w:rsidRPr="00802DBC" w:rsidRDefault="00FE542A" w:rsidP="00FE542A">
      <w:pPr>
        <w:ind w:left="720" w:hanging="720"/>
        <w:rPr>
          <w:szCs w:val="22"/>
        </w:rPr>
      </w:pPr>
    </w:p>
    <w:p w:rsidR="00FE542A" w:rsidRPr="008102D0" w:rsidRDefault="00FE542A" w:rsidP="00FE542A">
      <w:pPr>
        <w:pStyle w:val="ListParagraph"/>
        <w:widowControl/>
        <w:numPr>
          <w:ilvl w:val="1"/>
          <w:numId w:val="2"/>
        </w:numPr>
        <w:rPr>
          <w:szCs w:val="22"/>
        </w:rPr>
      </w:pPr>
      <w:r w:rsidRPr="00802DBC">
        <w:t>The submission presented a cost-minimisation analysis</w:t>
      </w:r>
      <w:r w:rsidR="002725D7">
        <w:t xml:space="preserve"> based on published prices.</w:t>
      </w:r>
    </w:p>
    <w:p w:rsidR="008102D0" w:rsidRPr="008102D0" w:rsidRDefault="008102D0" w:rsidP="008102D0">
      <w:pPr>
        <w:pStyle w:val="ListParagraph"/>
        <w:widowControl/>
        <w:rPr>
          <w:szCs w:val="22"/>
        </w:rPr>
      </w:pPr>
    </w:p>
    <w:p w:rsidR="00E52B5E" w:rsidRPr="00867E26" w:rsidRDefault="00E52B5E" w:rsidP="00543CC1">
      <w:pPr>
        <w:ind w:left="720"/>
      </w:pPr>
      <w:r w:rsidRPr="00543CC1">
        <w:rPr>
          <w:szCs w:val="22"/>
        </w:rPr>
        <w:t>The</w:t>
      </w:r>
      <w:r w:rsidRPr="008C3321">
        <w:t xml:space="preserve"> </w:t>
      </w:r>
      <w:r w:rsidR="00867E26" w:rsidRPr="00867E26">
        <w:t xml:space="preserve">PBAC noted that </w:t>
      </w:r>
      <w:r w:rsidR="002725D7">
        <w:t xml:space="preserve">the department would need to conduct an alternative cost-minimisation analysis </w:t>
      </w:r>
      <w:r w:rsidR="00C128C8">
        <w:t xml:space="preserve">on the basis of the effective prices for the regimens included in the </w:t>
      </w:r>
      <w:r w:rsidR="00C128C8" w:rsidRPr="00936B82">
        <w:rPr>
          <w:i/>
        </w:rPr>
        <w:t>General Statement</w:t>
      </w:r>
      <w:r w:rsidR="00C128C8">
        <w:t xml:space="preserve">, compared with the regimen approved by the TGA for </w:t>
      </w:r>
      <w:r w:rsidR="00C128C8" w:rsidRPr="00C128C8">
        <w:t>sofosbuvir/velpatasvir FDC</w:t>
      </w:r>
      <w:r w:rsidR="00543CC1">
        <w:t>.</w:t>
      </w:r>
    </w:p>
    <w:p w:rsidR="00C128C8" w:rsidRDefault="00C128C8" w:rsidP="0036643B">
      <w:bookmarkStart w:id="27" w:name="_Toc458698817"/>
      <w:bookmarkStart w:id="28" w:name="_Toc461609481"/>
    </w:p>
    <w:p w:rsidR="00FE542A" w:rsidRPr="00802DBC" w:rsidRDefault="00FE542A" w:rsidP="00FE542A">
      <w:pPr>
        <w:pStyle w:val="Heading2"/>
        <w:rPr>
          <w:i/>
          <w:szCs w:val="22"/>
        </w:rPr>
      </w:pPr>
      <w:r w:rsidRPr="00867E26">
        <w:rPr>
          <w:i/>
        </w:rPr>
        <w:t>Drug cost/patient/course:</w:t>
      </w:r>
      <w:bookmarkEnd w:id="27"/>
      <w:bookmarkEnd w:id="28"/>
    </w:p>
    <w:p w:rsidR="00FE542A" w:rsidRPr="00802DBC" w:rsidRDefault="00FE542A" w:rsidP="00FE542A">
      <w:pPr>
        <w:widowControl/>
        <w:rPr>
          <w:szCs w:val="22"/>
        </w:rPr>
      </w:pPr>
    </w:p>
    <w:p w:rsidR="00FE542A" w:rsidRPr="00802DBC" w:rsidRDefault="00FE542A" w:rsidP="007811AD">
      <w:pPr>
        <w:ind w:left="720"/>
        <w:rPr>
          <w:rFonts w:ascii="Arial Narrow" w:hAnsi="Arial Narrow"/>
          <w:b/>
          <w:bCs/>
          <w:sz w:val="20"/>
        </w:rPr>
      </w:pPr>
      <w:r w:rsidRPr="00802DBC">
        <w:rPr>
          <w:rFonts w:ascii="Arial Narrow" w:hAnsi="Arial Narrow"/>
          <w:b/>
          <w:bCs/>
          <w:sz w:val="20"/>
        </w:rPr>
        <w:t xml:space="preserve">Table </w:t>
      </w:r>
      <w:r w:rsidR="0052346C">
        <w:rPr>
          <w:rFonts w:ascii="Arial Narrow" w:hAnsi="Arial Narrow"/>
          <w:b/>
          <w:bCs/>
          <w:sz w:val="20"/>
        </w:rPr>
        <w:t>14</w:t>
      </w:r>
      <w:r w:rsidRPr="00802DBC">
        <w:rPr>
          <w:rFonts w:ascii="Arial Narrow" w:hAnsi="Arial Narrow"/>
          <w:b/>
          <w:bCs/>
          <w:sz w:val="20"/>
        </w:rPr>
        <w:t>: Drug cost/patient/</w:t>
      </w:r>
      <w:r w:rsidR="00700E51" w:rsidRPr="00802DBC">
        <w:rPr>
          <w:rFonts w:ascii="Arial Narrow" w:hAnsi="Arial Narrow"/>
          <w:b/>
          <w:bCs/>
          <w:sz w:val="20"/>
        </w:rPr>
        <w:t xml:space="preserve">course </w:t>
      </w:r>
      <w:r w:rsidR="00700E51">
        <w:rPr>
          <w:rFonts w:ascii="Arial Narrow" w:hAnsi="Arial Narrow"/>
          <w:b/>
          <w:bCs/>
          <w:sz w:val="20"/>
        </w:rPr>
        <w:t>at</w:t>
      </w:r>
      <w:r w:rsidR="00F45832">
        <w:rPr>
          <w:rFonts w:ascii="Arial Narrow" w:hAnsi="Arial Narrow"/>
          <w:b/>
          <w:bCs/>
          <w:sz w:val="20"/>
        </w:rPr>
        <w:t xml:space="preserve"> published prices</w:t>
      </w:r>
      <w:r w:rsidR="00675D9D">
        <w:rPr>
          <w:rFonts w:ascii="Arial Narrow" w:hAnsi="Arial Narrow"/>
          <w:b/>
          <w:bCs/>
          <w:sz w:val="20"/>
        </w:rPr>
        <w:t xml:space="preserve"> </w:t>
      </w:r>
      <w:r w:rsidRPr="00802DBC">
        <w:rPr>
          <w:rFonts w:ascii="Arial Narrow" w:hAnsi="Arial Narrow"/>
          <w:b/>
          <w:bCs/>
          <w:sz w:val="20"/>
        </w:rPr>
        <w:t>(3 scripts per item per patient per course)</w:t>
      </w:r>
    </w:p>
    <w:tbl>
      <w:tblPr>
        <w:tblW w:w="4596" w:type="pct"/>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39"/>
        <w:gridCol w:w="2109"/>
      </w:tblGrid>
      <w:tr w:rsidR="00FE542A" w:rsidRPr="00802DBC" w:rsidTr="0094297E">
        <w:trPr>
          <w:tblHeader/>
        </w:trPr>
        <w:tc>
          <w:tcPr>
            <w:tcW w:w="3737" w:type="pct"/>
            <w:tcBorders>
              <w:top w:val="single" w:sz="4" w:space="0" w:color="auto"/>
              <w:left w:val="single" w:sz="4" w:space="0" w:color="auto"/>
              <w:right w:val="single" w:sz="4" w:space="0" w:color="auto"/>
            </w:tcBorders>
            <w:shd w:val="clear" w:color="auto" w:fill="auto"/>
            <w:vAlign w:val="center"/>
          </w:tcPr>
          <w:p w:rsidR="00FE542A" w:rsidRPr="00802DBC" w:rsidRDefault="00FE542A" w:rsidP="0094297E">
            <w:pPr>
              <w:tabs>
                <w:tab w:val="left" w:pos="142"/>
              </w:tabs>
              <w:jc w:val="center"/>
              <w:rPr>
                <w:rFonts w:ascii="Arial Narrow" w:hAnsi="Arial Narrow"/>
                <w:b/>
                <w:bCs/>
                <w:sz w:val="20"/>
              </w:rPr>
            </w:pPr>
            <w:r w:rsidRPr="00802DBC">
              <w:rPr>
                <w:rFonts w:ascii="Arial Narrow" w:hAnsi="Arial Narrow"/>
                <w:b/>
                <w:bCs/>
                <w:sz w:val="20"/>
              </w:rPr>
              <w:t>Treatment regimen</w:t>
            </w:r>
          </w:p>
        </w:tc>
        <w:tc>
          <w:tcPr>
            <w:tcW w:w="1263" w:type="pct"/>
            <w:tcBorders>
              <w:top w:val="single" w:sz="4" w:space="0" w:color="auto"/>
              <w:left w:val="single" w:sz="4" w:space="0" w:color="auto"/>
              <w:right w:val="single" w:sz="4" w:space="0" w:color="auto"/>
            </w:tcBorders>
            <w:vAlign w:val="center"/>
          </w:tcPr>
          <w:p w:rsidR="00FE542A" w:rsidRPr="00802DBC" w:rsidRDefault="00FE542A" w:rsidP="0094297E">
            <w:pPr>
              <w:jc w:val="center"/>
              <w:rPr>
                <w:rFonts w:ascii="Arial Narrow" w:hAnsi="Arial Narrow"/>
                <w:b/>
                <w:sz w:val="20"/>
              </w:rPr>
            </w:pPr>
            <w:r w:rsidRPr="00802DBC">
              <w:rPr>
                <w:rFonts w:ascii="Arial Narrow" w:hAnsi="Arial Narrow"/>
                <w:b/>
                <w:sz w:val="20"/>
              </w:rPr>
              <w:t>Drug cost/patient/course</w:t>
            </w:r>
          </w:p>
        </w:tc>
      </w:tr>
      <w:tr w:rsidR="00FE542A" w:rsidRPr="00802DBC" w:rsidTr="0094297E">
        <w:trPr>
          <w:tblHeader/>
        </w:trPr>
        <w:tc>
          <w:tcPr>
            <w:tcW w:w="3737" w:type="pct"/>
            <w:tcBorders>
              <w:left w:val="single" w:sz="4" w:space="0" w:color="auto"/>
              <w:right w:val="single" w:sz="4" w:space="0" w:color="auto"/>
            </w:tcBorders>
            <w:shd w:val="clear" w:color="auto" w:fill="auto"/>
            <w:vAlign w:val="center"/>
          </w:tcPr>
          <w:p w:rsidR="00FE542A" w:rsidRPr="00802DBC" w:rsidRDefault="00FE542A" w:rsidP="0094297E">
            <w:pPr>
              <w:tabs>
                <w:tab w:val="left" w:pos="142"/>
              </w:tabs>
              <w:jc w:val="left"/>
              <w:rPr>
                <w:rFonts w:ascii="Arial Narrow" w:hAnsi="Arial Narrow"/>
                <w:sz w:val="20"/>
              </w:rPr>
            </w:pPr>
            <w:r w:rsidRPr="00802DBC">
              <w:rPr>
                <w:rFonts w:ascii="Arial Narrow" w:hAnsi="Arial Narrow"/>
                <w:sz w:val="20"/>
              </w:rPr>
              <w:t>Sofosbuvir 400mg/ velpatasvir 100mg daily for 12 weeks</w:t>
            </w:r>
          </w:p>
        </w:tc>
        <w:tc>
          <w:tcPr>
            <w:tcW w:w="1263" w:type="pct"/>
            <w:tcBorders>
              <w:left w:val="single" w:sz="4" w:space="0" w:color="auto"/>
              <w:right w:val="single" w:sz="4" w:space="0" w:color="auto"/>
            </w:tcBorders>
            <w:vAlign w:val="center"/>
          </w:tcPr>
          <w:p w:rsidR="00FE542A" w:rsidRPr="00802DBC" w:rsidRDefault="00FE542A" w:rsidP="0094297E">
            <w:pPr>
              <w:jc w:val="center"/>
              <w:rPr>
                <w:rFonts w:ascii="Arial Narrow" w:hAnsi="Arial Narrow"/>
                <w:bCs/>
                <w:sz w:val="20"/>
              </w:rPr>
            </w:pPr>
            <w:r w:rsidRPr="00802DBC">
              <w:rPr>
                <w:rFonts w:ascii="Arial Narrow" w:hAnsi="Arial Narrow"/>
                <w:bCs/>
                <w:sz w:val="20"/>
              </w:rPr>
              <w:t>$</w:t>
            </w:r>
            <w:r w:rsidR="00EB18F5">
              <w:rPr>
                <w:rFonts w:ascii="Arial Narrow" w:hAnsi="Arial Narrow"/>
                <w:bCs/>
                <w:noProof/>
                <w:color w:val="000000"/>
                <w:sz w:val="20"/>
                <w:highlight w:val="black"/>
              </w:rPr>
              <w:t>''''''''''''''''''''''''</w:t>
            </w:r>
          </w:p>
        </w:tc>
      </w:tr>
      <w:tr w:rsidR="00FE542A" w:rsidRPr="00802DBC" w:rsidTr="0094297E">
        <w:trPr>
          <w:tblHeader/>
        </w:trPr>
        <w:tc>
          <w:tcPr>
            <w:tcW w:w="3737" w:type="pct"/>
            <w:tcBorders>
              <w:left w:val="single" w:sz="4" w:space="0" w:color="auto"/>
              <w:right w:val="single" w:sz="4" w:space="0" w:color="auto"/>
            </w:tcBorders>
            <w:shd w:val="clear" w:color="auto" w:fill="auto"/>
            <w:vAlign w:val="center"/>
          </w:tcPr>
          <w:p w:rsidR="00FE542A" w:rsidRPr="00802DBC" w:rsidRDefault="00FE542A" w:rsidP="0094297E">
            <w:pPr>
              <w:tabs>
                <w:tab w:val="left" w:pos="142"/>
              </w:tabs>
              <w:jc w:val="left"/>
              <w:rPr>
                <w:rFonts w:ascii="Arial Narrow" w:hAnsi="Arial Narrow"/>
                <w:sz w:val="20"/>
              </w:rPr>
            </w:pPr>
            <w:r w:rsidRPr="00802DBC">
              <w:rPr>
                <w:rFonts w:ascii="Arial Narrow" w:hAnsi="Arial Narrow"/>
                <w:sz w:val="20"/>
              </w:rPr>
              <w:t>Sofosbuvir 400mg/ velpatasvir 100mg daily plus ribavirin 600 mg/day for 12 weeks</w:t>
            </w:r>
          </w:p>
        </w:tc>
        <w:tc>
          <w:tcPr>
            <w:tcW w:w="1263" w:type="pct"/>
            <w:tcBorders>
              <w:left w:val="single" w:sz="4" w:space="0" w:color="auto"/>
              <w:right w:val="single" w:sz="4" w:space="0" w:color="auto"/>
            </w:tcBorders>
            <w:vAlign w:val="center"/>
          </w:tcPr>
          <w:p w:rsidR="00FE542A" w:rsidRPr="00802DBC" w:rsidRDefault="00FE542A" w:rsidP="0094297E">
            <w:pPr>
              <w:jc w:val="center"/>
              <w:rPr>
                <w:rFonts w:ascii="Arial Narrow" w:hAnsi="Arial Narrow"/>
                <w:bCs/>
                <w:sz w:val="20"/>
              </w:rPr>
            </w:pPr>
            <w:r w:rsidRPr="00802DBC">
              <w:rPr>
                <w:rFonts w:ascii="Arial Narrow" w:hAnsi="Arial Narrow"/>
                <w:bCs/>
                <w:sz w:val="20"/>
              </w:rPr>
              <w:t>$</w:t>
            </w:r>
            <w:r w:rsidR="00EB18F5">
              <w:rPr>
                <w:rFonts w:ascii="Arial Narrow" w:hAnsi="Arial Narrow"/>
                <w:bCs/>
                <w:noProof/>
                <w:color w:val="000000"/>
                <w:sz w:val="20"/>
                <w:highlight w:val="black"/>
              </w:rPr>
              <w:t>''''''''''''''''''''''</w:t>
            </w:r>
          </w:p>
        </w:tc>
      </w:tr>
      <w:tr w:rsidR="00FE542A" w:rsidRPr="00B9744C" w:rsidTr="0094297E">
        <w:trPr>
          <w:tblHeader/>
        </w:trPr>
        <w:tc>
          <w:tcPr>
            <w:tcW w:w="3737" w:type="pct"/>
            <w:tcBorders>
              <w:left w:val="single" w:sz="4" w:space="0" w:color="auto"/>
              <w:right w:val="single" w:sz="4" w:space="0" w:color="auto"/>
            </w:tcBorders>
            <w:shd w:val="clear" w:color="auto" w:fill="auto"/>
            <w:vAlign w:val="center"/>
          </w:tcPr>
          <w:p w:rsidR="00FE542A" w:rsidRPr="00B9744C" w:rsidRDefault="00FE542A" w:rsidP="0094297E">
            <w:pPr>
              <w:tabs>
                <w:tab w:val="left" w:pos="142"/>
              </w:tabs>
              <w:jc w:val="left"/>
              <w:rPr>
                <w:rFonts w:ascii="Arial Narrow" w:hAnsi="Arial Narrow"/>
                <w:iCs/>
                <w:sz w:val="20"/>
              </w:rPr>
            </w:pPr>
            <w:r w:rsidRPr="00B9744C">
              <w:rPr>
                <w:rFonts w:ascii="Arial Narrow" w:hAnsi="Arial Narrow"/>
                <w:iCs/>
                <w:sz w:val="20"/>
              </w:rPr>
              <w:t>Sofosbuvir 400mg/ velpatasvir 100mg daily plus ribavirin 1000 mg/day for 12 weeks</w:t>
            </w:r>
            <w:r w:rsidR="00B9744C" w:rsidRPr="00B9744C">
              <w:rPr>
                <w:rFonts w:ascii="Arial Narrow" w:hAnsi="Arial Narrow"/>
                <w:iCs/>
                <w:sz w:val="20"/>
                <w:vertAlign w:val="superscript"/>
              </w:rPr>
              <w:t>a</w:t>
            </w:r>
          </w:p>
        </w:tc>
        <w:tc>
          <w:tcPr>
            <w:tcW w:w="1263" w:type="pct"/>
            <w:tcBorders>
              <w:left w:val="single" w:sz="4" w:space="0" w:color="auto"/>
              <w:right w:val="single" w:sz="4" w:space="0" w:color="auto"/>
            </w:tcBorders>
            <w:vAlign w:val="center"/>
          </w:tcPr>
          <w:p w:rsidR="00FE542A" w:rsidRPr="00B9744C" w:rsidRDefault="00FE542A" w:rsidP="0094297E">
            <w:pPr>
              <w:jc w:val="center"/>
              <w:rPr>
                <w:rFonts w:ascii="Arial Narrow" w:hAnsi="Arial Narrow"/>
                <w:bCs/>
                <w:iCs/>
                <w:sz w:val="20"/>
              </w:rPr>
            </w:pPr>
            <w:r w:rsidRPr="00B9744C">
              <w:rPr>
                <w:rFonts w:ascii="Arial Narrow" w:hAnsi="Arial Narrow"/>
                <w:bCs/>
                <w:iCs/>
                <w:sz w:val="20"/>
              </w:rPr>
              <w:t>$</w:t>
            </w:r>
            <w:r w:rsidR="00EB18F5">
              <w:rPr>
                <w:rFonts w:ascii="Arial Narrow" w:hAnsi="Arial Narrow"/>
                <w:bCs/>
                <w:iCs/>
                <w:noProof/>
                <w:color w:val="000000"/>
                <w:sz w:val="20"/>
                <w:highlight w:val="black"/>
              </w:rPr>
              <w:t>'''''''''''''''''''''''''</w:t>
            </w:r>
          </w:p>
        </w:tc>
      </w:tr>
      <w:tr w:rsidR="00FE542A" w:rsidRPr="00B9744C" w:rsidTr="0094297E">
        <w:trPr>
          <w:tblHeader/>
        </w:trPr>
        <w:tc>
          <w:tcPr>
            <w:tcW w:w="3737" w:type="pct"/>
            <w:tcBorders>
              <w:left w:val="single" w:sz="4" w:space="0" w:color="auto"/>
              <w:right w:val="single" w:sz="4" w:space="0" w:color="auto"/>
            </w:tcBorders>
            <w:shd w:val="clear" w:color="auto" w:fill="auto"/>
            <w:vAlign w:val="center"/>
          </w:tcPr>
          <w:p w:rsidR="00FE542A" w:rsidRPr="00B9744C" w:rsidRDefault="00FE542A" w:rsidP="0094297E">
            <w:pPr>
              <w:tabs>
                <w:tab w:val="left" w:pos="142"/>
              </w:tabs>
              <w:jc w:val="left"/>
              <w:rPr>
                <w:rFonts w:ascii="Arial Narrow" w:hAnsi="Arial Narrow"/>
                <w:iCs/>
                <w:sz w:val="20"/>
              </w:rPr>
            </w:pPr>
            <w:r w:rsidRPr="00B9744C">
              <w:rPr>
                <w:rFonts w:ascii="Arial Narrow" w:hAnsi="Arial Narrow"/>
                <w:iCs/>
                <w:sz w:val="20"/>
              </w:rPr>
              <w:t>Sofosbuvir 400mg/ velpatasvir 100mg daily plus ribavirin 1200 mg/day for 12 weeks</w:t>
            </w:r>
            <w:r w:rsidR="00B9744C" w:rsidRPr="00B9744C">
              <w:rPr>
                <w:rFonts w:ascii="Arial Narrow" w:hAnsi="Arial Narrow"/>
                <w:iCs/>
                <w:sz w:val="20"/>
                <w:vertAlign w:val="superscript"/>
              </w:rPr>
              <w:t>a</w:t>
            </w:r>
          </w:p>
        </w:tc>
        <w:tc>
          <w:tcPr>
            <w:tcW w:w="1263" w:type="pct"/>
            <w:tcBorders>
              <w:left w:val="single" w:sz="4" w:space="0" w:color="auto"/>
              <w:right w:val="single" w:sz="4" w:space="0" w:color="auto"/>
            </w:tcBorders>
            <w:vAlign w:val="center"/>
          </w:tcPr>
          <w:p w:rsidR="00FE542A" w:rsidRPr="00B9744C" w:rsidRDefault="00FE542A" w:rsidP="0094297E">
            <w:pPr>
              <w:jc w:val="center"/>
              <w:rPr>
                <w:rFonts w:ascii="Arial Narrow" w:hAnsi="Arial Narrow"/>
                <w:bCs/>
                <w:iCs/>
                <w:sz w:val="20"/>
              </w:rPr>
            </w:pPr>
            <w:r w:rsidRPr="00B9744C">
              <w:rPr>
                <w:rFonts w:ascii="Arial Narrow" w:hAnsi="Arial Narrow"/>
                <w:bCs/>
                <w:iCs/>
                <w:sz w:val="20"/>
              </w:rPr>
              <w:t>$</w:t>
            </w:r>
            <w:r w:rsidR="00EB18F5">
              <w:rPr>
                <w:rFonts w:ascii="Arial Narrow" w:hAnsi="Arial Narrow"/>
                <w:bCs/>
                <w:iCs/>
                <w:noProof/>
                <w:color w:val="000000"/>
                <w:sz w:val="20"/>
                <w:highlight w:val="black"/>
              </w:rPr>
              <w:t>'''''''''''''''''''''</w:t>
            </w:r>
          </w:p>
        </w:tc>
      </w:tr>
    </w:tbl>
    <w:p w:rsidR="00FE542A" w:rsidRPr="00B9744C" w:rsidRDefault="00FE542A" w:rsidP="00FE542A">
      <w:pPr>
        <w:ind w:firstLine="720"/>
        <w:rPr>
          <w:rFonts w:ascii="Arial Narrow" w:hAnsi="Arial Narrow"/>
          <w:sz w:val="18"/>
          <w:szCs w:val="18"/>
        </w:rPr>
      </w:pPr>
      <w:r w:rsidRPr="00B9744C">
        <w:rPr>
          <w:rFonts w:ascii="Arial Narrow" w:hAnsi="Arial Narrow"/>
          <w:sz w:val="18"/>
          <w:szCs w:val="18"/>
        </w:rPr>
        <w:t xml:space="preserve">Source: ‘Epclusa PBAC Submission Section E Workbook.xlsx’ </w:t>
      </w:r>
    </w:p>
    <w:p w:rsidR="00FE542A" w:rsidRPr="00B9744C" w:rsidRDefault="00FE542A" w:rsidP="00FE542A">
      <w:pPr>
        <w:ind w:left="720"/>
        <w:rPr>
          <w:rFonts w:ascii="Arial Narrow" w:hAnsi="Arial Narrow"/>
          <w:sz w:val="18"/>
          <w:szCs w:val="18"/>
        </w:rPr>
      </w:pPr>
      <w:r w:rsidRPr="00B9744C">
        <w:rPr>
          <w:rFonts w:ascii="Arial Narrow" w:hAnsi="Arial Narrow"/>
          <w:sz w:val="18"/>
          <w:szCs w:val="18"/>
        </w:rPr>
        <w:t xml:space="preserve">Note: Assumed General Schedule = </w:t>
      </w:r>
      <w:r w:rsidRPr="00E56A9E">
        <w:rPr>
          <w:rFonts w:ascii="Arial Narrow" w:hAnsi="Arial Narrow"/>
          <w:sz w:val="18"/>
          <w:szCs w:val="18"/>
        </w:rPr>
        <w:t>80.83</w:t>
      </w:r>
      <w:r w:rsidRPr="00B9744C">
        <w:rPr>
          <w:rFonts w:ascii="Arial Narrow" w:hAnsi="Arial Narrow"/>
          <w:sz w:val="18"/>
          <w:szCs w:val="18"/>
        </w:rPr>
        <w:t xml:space="preserve">%, S100 (Public hospital) = </w:t>
      </w:r>
      <w:r w:rsidRPr="00E56A9E">
        <w:rPr>
          <w:rFonts w:ascii="Arial Narrow" w:hAnsi="Arial Narrow"/>
          <w:sz w:val="18"/>
          <w:szCs w:val="18"/>
        </w:rPr>
        <w:t>18.61</w:t>
      </w:r>
      <w:r w:rsidRPr="00B9744C">
        <w:rPr>
          <w:rFonts w:ascii="Arial Narrow" w:hAnsi="Arial Narrow"/>
          <w:sz w:val="18"/>
          <w:szCs w:val="18"/>
        </w:rPr>
        <w:t xml:space="preserve">% and S100 (Private hospital) = </w:t>
      </w:r>
      <w:r w:rsidRPr="00E56A9E">
        <w:rPr>
          <w:rFonts w:ascii="Arial Narrow" w:hAnsi="Arial Narrow"/>
          <w:sz w:val="18"/>
          <w:szCs w:val="18"/>
        </w:rPr>
        <w:t>0.56</w:t>
      </w:r>
      <w:r w:rsidRPr="00B9744C">
        <w:rPr>
          <w:rFonts w:ascii="Arial Narrow" w:hAnsi="Arial Narrow"/>
          <w:sz w:val="18"/>
          <w:szCs w:val="18"/>
        </w:rPr>
        <w:t>%</w:t>
      </w:r>
    </w:p>
    <w:p w:rsidR="00B9744C" w:rsidRPr="00B9744C" w:rsidRDefault="00B9744C" w:rsidP="00FE542A">
      <w:pPr>
        <w:ind w:left="720"/>
        <w:rPr>
          <w:rFonts w:ascii="Arial Narrow" w:hAnsi="Arial Narrow"/>
          <w:sz w:val="16"/>
          <w:szCs w:val="18"/>
        </w:rPr>
      </w:pPr>
      <w:r w:rsidRPr="00B9744C">
        <w:rPr>
          <w:rFonts w:ascii="Arial Narrow" w:hAnsi="Arial Narrow"/>
          <w:iCs/>
          <w:sz w:val="18"/>
          <w:vertAlign w:val="superscript"/>
        </w:rPr>
        <w:t>a</w:t>
      </w:r>
      <w:r w:rsidRPr="00B9744C">
        <w:rPr>
          <w:rFonts w:ascii="Arial Narrow" w:hAnsi="Arial Narrow"/>
          <w:iCs/>
          <w:sz w:val="18"/>
        </w:rPr>
        <w:t xml:space="preserve"> added during the evaluation</w:t>
      </w:r>
    </w:p>
    <w:p w:rsidR="00FE542A" w:rsidRPr="00802DBC" w:rsidRDefault="00FE542A" w:rsidP="00FE542A">
      <w:pPr>
        <w:pStyle w:val="ListParagraph"/>
        <w:widowControl/>
        <w:rPr>
          <w:szCs w:val="22"/>
        </w:rPr>
      </w:pPr>
    </w:p>
    <w:p w:rsidR="00FE542A" w:rsidRPr="00802DBC" w:rsidRDefault="00FE542A" w:rsidP="002C4748">
      <w:pPr>
        <w:pStyle w:val="ListParagraph"/>
        <w:widowControl/>
        <w:numPr>
          <w:ilvl w:val="1"/>
          <w:numId w:val="2"/>
        </w:numPr>
        <w:rPr>
          <w:szCs w:val="22"/>
        </w:rPr>
      </w:pPr>
      <w:r w:rsidRPr="00802DBC">
        <w:rPr>
          <w:szCs w:val="22"/>
        </w:rPr>
        <w:t>As the sponsor is willing to discuss potential Special Pricing Arrangements, the</w:t>
      </w:r>
      <w:r w:rsidR="0005647C">
        <w:rPr>
          <w:szCs w:val="22"/>
        </w:rPr>
        <w:t>se</w:t>
      </w:r>
      <w:r w:rsidRPr="00802DBC">
        <w:rPr>
          <w:szCs w:val="22"/>
        </w:rPr>
        <w:t xml:space="preserve"> prices </w:t>
      </w:r>
      <w:r w:rsidR="00F45832">
        <w:rPr>
          <w:szCs w:val="22"/>
        </w:rPr>
        <w:t>do not</w:t>
      </w:r>
      <w:r w:rsidRPr="00802DBC">
        <w:rPr>
          <w:szCs w:val="22"/>
        </w:rPr>
        <w:t xml:space="preserve"> represent the effective prices.</w:t>
      </w:r>
    </w:p>
    <w:p w:rsidR="00FE542A" w:rsidRPr="00802DBC" w:rsidRDefault="00FE542A" w:rsidP="00FE542A">
      <w:pPr>
        <w:rPr>
          <w:szCs w:val="22"/>
        </w:rPr>
      </w:pPr>
    </w:p>
    <w:p w:rsidR="00FE542A" w:rsidRPr="00802DBC" w:rsidRDefault="00FE542A" w:rsidP="00FE542A">
      <w:pPr>
        <w:pStyle w:val="Heading2"/>
        <w:rPr>
          <w:i/>
        </w:rPr>
      </w:pPr>
      <w:bookmarkStart w:id="29" w:name="_Toc458698818"/>
      <w:bookmarkStart w:id="30" w:name="_Toc461609482"/>
      <w:r w:rsidRPr="00802DBC">
        <w:rPr>
          <w:i/>
        </w:rPr>
        <w:t>Estimated PBS usage &amp; financial implications</w:t>
      </w:r>
      <w:bookmarkEnd w:id="29"/>
      <w:bookmarkEnd w:id="30"/>
    </w:p>
    <w:p w:rsidR="00FE542A" w:rsidRPr="00802DBC" w:rsidRDefault="00FE542A" w:rsidP="00FE542A">
      <w:pPr>
        <w:ind w:left="720" w:hanging="720"/>
        <w:rPr>
          <w:b/>
          <w:i/>
          <w:szCs w:val="22"/>
        </w:rPr>
      </w:pPr>
    </w:p>
    <w:p w:rsidR="00FE542A" w:rsidRPr="005C0A60" w:rsidRDefault="00C478B7" w:rsidP="002C4748">
      <w:pPr>
        <w:pStyle w:val="ListParagraph"/>
        <w:widowControl/>
        <w:numPr>
          <w:ilvl w:val="1"/>
          <w:numId w:val="2"/>
        </w:numPr>
        <w:rPr>
          <w:szCs w:val="22"/>
        </w:rPr>
      </w:pPr>
      <w:r w:rsidRPr="00C0499E">
        <w:t xml:space="preserve">This submission </w:t>
      </w:r>
      <w:r w:rsidR="004E1711">
        <w:t>was</w:t>
      </w:r>
      <w:r w:rsidRPr="00C0499E">
        <w:t xml:space="preserve"> not considered by DUSC. The submission used a mixed epidemiological and market share approach. The number</w:t>
      </w:r>
      <w:r w:rsidR="00D44E28">
        <w:t>s</w:t>
      </w:r>
      <w:r w:rsidRPr="00802DBC">
        <w:t xml:space="preserve"> of treated patients with chronic HCV infection were sourced from the Deed of Agreement 2016, with </w:t>
      </w:r>
      <w:r w:rsidRPr="00802DBC">
        <w:lastRenderedPageBreak/>
        <w:t>assumed varying market uptake by treatment regimen and HCV genotype from the estimated current market composition (which was mostly informed by PBS utilisation data between March 2016 and May 2016).</w:t>
      </w:r>
      <w:r>
        <w:t xml:space="preserve"> </w:t>
      </w:r>
      <w:r w:rsidR="00FE542A" w:rsidRPr="00802DBC">
        <w:t>The sponsor stated that the presented financial implications based on published prices were only illustrative, as</w:t>
      </w:r>
      <w:r w:rsidR="001D3980">
        <w:t xml:space="preserve"> currently listed</w:t>
      </w:r>
      <w:r w:rsidR="00FE542A" w:rsidRPr="00802DBC">
        <w:t xml:space="preserve"> HCV treatments are subject to </w:t>
      </w:r>
      <w:r w:rsidR="001D3980">
        <w:t>S</w:t>
      </w:r>
      <w:r w:rsidR="00FE542A" w:rsidRPr="00802DBC">
        <w:t xml:space="preserve">pecial </w:t>
      </w:r>
      <w:r w:rsidR="001D3980">
        <w:t>P</w:t>
      </w:r>
      <w:r w:rsidR="00FE542A" w:rsidRPr="00802DBC">
        <w:t xml:space="preserve">ricing </w:t>
      </w:r>
      <w:r w:rsidR="001D3980">
        <w:t>A</w:t>
      </w:r>
      <w:r w:rsidR="00FE542A" w:rsidRPr="00802DBC">
        <w:t xml:space="preserve">rrangements. </w:t>
      </w:r>
      <w:r w:rsidR="000C5F96">
        <w:t>The redacted table below shows that at year 5 the estimated number of patients was less than 10,000 per year and the net save to the PBS would be more than $100 million per year.</w:t>
      </w:r>
    </w:p>
    <w:p w:rsidR="005C0A60" w:rsidRPr="005C0A60" w:rsidRDefault="005C0A60" w:rsidP="005C0A60"/>
    <w:p w:rsidR="00FE542A" w:rsidRPr="00802DBC" w:rsidRDefault="00FE542A" w:rsidP="00430B04">
      <w:pPr>
        <w:ind w:firstLine="709"/>
        <w:rPr>
          <w:rStyle w:val="CommentReference"/>
        </w:rPr>
      </w:pPr>
      <w:r w:rsidRPr="00802DBC">
        <w:rPr>
          <w:rStyle w:val="CommentReference"/>
        </w:rPr>
        <w:t xml:space="preserve">Table </w:t>
      </w:r>
      <w:r w:rsidR="0052346C">
        <w:rPr>
          <w:rStyle w:val="CommentReference"/>
        </w:rPr>
        <w:t>15</w:t>
      </w:r>
      <w:r w:rsidR="00430B04" w:rsidRPr="00802DBC">
        <w:rPr>
          <w:rStyle w:val="CommentReference"/>
        </w:rPr>
        <w:t xml:space="preserve">: </w:t>
      </w:r>
      <w:r w:rsidRPr="00802DBC">
        <w:rPr>
          <w:rStyle w:val="CommentReference"/>
        </w:rPr>
        <w:t>Estimated use and financial implications</w:t>
      </w:r>
      <w:r w:rsidR="00F45832">
        <w:rPr>
          <w:rStyle w:val="CommentReference"/>
        </w:rPr>
        <w:t xml:space="preserve"> at published prices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9"/>
        <w:gridCol w:w="1215"/>
        <w:gridCol w:w="1215"/>
        <w:gridCol w:w="1215"/>
        <w:gridCol w:w="1215"/>
        <w:gridCol w:w="1217"/>
      </w:tblGrid>
      <w:tr w:rsidR="00FE542A" w:rsidRPr="00802DBC" w:rsidTr="00C951DD">
        <w:trPr>
          <w:cantSplit/>
          <w:tblHeader/>
        </w:trPr>
        <w:tc>
          <w:tcPr>
            <w:tcW w:w="1359" w:type="pct"/>
            <w:shd w:val="clear" w:color="auto" w:fill="auto"/>
            <w:vAlign w:val="center"/>
          </w:tcPr>
          <w:p w:rsidR="00FE542A" w:rsidRPr="00802DBC" w:rsidRDefault="00FE542A" w:rsidP="0094297E">
            <w:pPr>
              <w:tabs>
                <w:tab w:val="left" w:pos="142"/>
              </w:tabs>
              <w:jc w:val="left"/>
              <w:rPr>
                <w:rFonts w:ascii="Arial Narrow" w:hAnsi="Arial Narrow"/>
                <w:b/>
                <w:sz w:val="19"/>
                <w:szCs w:val="19"/>
              </w:rPr>
            </w:pPr>
          </w:p>
        </w:tc>
        <w:tc>
          <w:tcPr>
            <w:tcW w:w="728" w:type="pct"/>
            <w:shd w:val="clear" w:color="auto" w:fill="auto"/>
            <w:vAlign w:val="center"/>
          </w:tcPr>
          <w:p w:rsidR="00FE542A" w:rsidRPr="00802DBC" w:rsidRDefault="00FE542A" w:rsidP="0094297E">
            <w:pPr>
              <w:jc w:val="center"/>
              <w:rPr>
                <w:rFonts w:ascii="Arial Narrow" w:hAnsi="Arial Narrow"/>
                <w:b/>
                <w:sz w:val="19"/>
                <w:szCs w:val="19"/>
              </w:rPr>
            </w:pPr>
            <w:r w:rsidRPr="00802DBC">
              <w:rPr>
                <w:rFonts w:ascii="Arial Narrow" w:hAnsi="Arial Narrow"/>
                <w:b/>
                <w:sz w:val="19"/>
                <w:szCs w:val="19"/>
              </w:rPr>
              <w:t>Year 1</w:t>
            </w:r>
          </w:p>
        </w:tc>
        <w:tc>
          <w:tcPr>
            <w:tcW w:w="728" w:type="pct"/>
            <w:shd w:val="clear" w:color="auto" w:fill="auto"/>
            <w:vAlign w:val="center"/>
          </w:tcPr>
          <w:p w:rsidR="00FE542A" w:rsidRPr="00802DBC" w:rsidRDefault="00FE542A" w:rsidP="0094297E">
            <w:pPr>
              <w:jc w:val="center"/>
              <w:rPr>
                <w:rFonts w:ascii="Arial Narrow" w:hAnsi="Arial Narrow"/>
                <w:b/>
                <w:sz w:val="19"/>
                <w:szCs w:val="19"/>
              </w:rPr>
            </w:pPr>
            <w:r w:rsidRPr="00802DBC">
              <w:rPr>
                <w:rFonts w:ascii="Arial Narrow" w:hAnsi="Arial Narrow"/>
                <w:b/>
                <w:sz w:val="19"/>
                <w:szCs w:val="19"/>
              </w:rPr>
              <w:t>Year 2</w:t>
            </w:r>
          </w:p>
        </w:tc>
        <w:tc>
          <w:tcPr>
            <w:tcW w:w="728" w:type="pct"/>
            <w:shd w:val="clear" w:color="auto" w:fill="auto"/>
            <w:vAlign w:val="center"/>
          </w:tcPr>
          <w:p w:rsidR="00FE542A" w:rsidRPr="00802DBC" w:rsidRDefault="00FE542A" w:rsidP="0094297E">
            <w:pPr>
              <w:jc w:val="center"/>
              <w:rPr>
                <w:rFonts w:ascii="Arial Narrow" w:hAnsi="Arial Narrow"/>
                <w:b/>
                <w:sz w:val="19"/>
                <w:szCs w:val="19"/>
              </w:rPr>
            </w:pPr>
            <w:r w:rsidRPr="00802DBC">
              <w:rPr>
                <w:rFonts w:ascii="Arial Narrow" w:hAnsi="Arial Narrow"/>
                <w:b/>
                <w:sz w:val="19"/>
                <w:szCs w:val="19"/>
              </w:rPr>
              <w:t>Year 3</w:t>
            </w:r>
          </w:p>
        </w:tc>
        <w:tc>
          <w:tcPr>
            <w:tcW w:w="728" w:type="pct"/>
            <w:shd w:val="clear" w:color="auto" w:fill="auto"/>
            <w:vAlign w:val="center"/>
          </w:tcPr>
          <w:p w:rsidR="00FE542A" w:rsidRPr="00802DBC" w:rsidRDefault="00FE542A" w:rsidP="0094297E">
            <w:pPr>
              <w:jc w:val="center"/>
              <w:rPr>
                <w:rFonts w:ascii="Arial Narrow" w:hAnsi="Arial Narrow"/>
                <w:b/>
                <w:sz w:val="19"/>
                <w:szCs w:val="19"/>
              </w:rPr>
            </w:pPr>
            <w:r w:rsidRPr="00802DBC">
              <w:rPr>
                <w:rFonts w:ascii="Arial Narrow" w:hAnsi="Arial Narrow"/>
                <w:b/>
                <w:sz w:val="19"/>
                <w:szCs w:val="19"/>
              </w:rPr>
              <w:t>Year 4</w:t>
            </w:r>
          </w:p>
        </w:tc>
        <w:tc>
          <w:tcPr>
            <w:tcW w:w="729" w:type="pct"/>
            <w:shd w:val="clear" w:color="auto" w:fill="auto"/>
            <w:vAlign w:val="center"/>
          </w:tcPr>
          <w:p w:rsidR="00FE542A" w:rsidRPr="00802DBC" w:rsidRDefault="00FE542A" w:rsidP="0094297E">
            <w:pPr>
              <w:jc w:val="center"/>
              <w:rPr>
                <w:rFonts w:ascii="Arial Narrow" w:hAnsi="Arial Narrow"/>
                <w:b/>
                <w:sz w:val="19"/>
                <w:szCs w:val="19"/>
              </w:rPr>
            </w:pPr>
            <w:r w:rsidRPr="00802DBC">
              <w:rPr>
                <w:rFonts w:ascii="Arial Narrow" w:hAnsi="Arial Narrow"/>
                <w:b/>
                <w:sz w:val="19"/>
                <w:szCs w:val="19"/>
              </w:rPr>
              <w:t>Year 5</w:t>
            </w:r>
          </w:p>
        </w:tc>
      </w:tr>
      <w:tr w:rsidR="00FE542A" w:rsidRPr="00802DBC" w:rsidTr="00C951DD">
        <w:trPr>
          <w:cantSplit/>
        </w:trPr>
        <w:tc>
          <w:tcPr>
            <w:tcW w:w="5000" w:type="pct"/>
            <w:gridSpan w:val="6"/>
            <w:shd w:val="clear" w:color="auto" w:fill="auto"/>
            <w:vAlign w:val="center"/>
          </w:tcPr>
          <w:p w:rsidR="00FE542A" w:rsidRPr="00802DBC" w:rsidRDefault="00FE542A" w:rsidP="0094297E">
            <w:pPr>
              <w:jc w:val="left"/>
              <w:rPr>
                <w:rFonts w:ascii="Arial Narrow" w:hAnsi="Arial Narrow"/>
                <w:b/>
                <w:bCs/>
                <w:color w:val="000000"/>
                <w:sz w:val="19"/>
                <w:szCs w:val="19"/>
              </w:rPr>
            </w:pPr>
            <w:r w:rsidRPr="00802DBC">
              <w:rPr>
                <w:rFonts w:ascii="Arial Narrow" w:hAnsi="Arial Narrow"/>
                <w:b/>
                <w:bCs/>
                <w:color w:val="000000"/>
                <w:sz w:val="19"/>
                <w:szCs w:val="19"/>
              </w:rPr>
              <w:t>Estimated extent of use</w:t>
            </w:r>
          </w:p>
        </w:tc>
      </w:tr>
      <w:tr w:rsidR="00FE542A" w:rsidRPr="00444CD4" w:rsidTr="00C951DD">
        <w:trPr>
          <w:cantSplit/>
        </w:trPr>
        <w:tc>
          <w:tcPr>
            <w:tcW w:w="1359" w:type="pct"/>
            <w:shd w:val="clear" w:color="auto" w:fill="auto"/>
            <w:vAlign w:val="center"/>
          </w:tcPr>
          <w:p w:rsidR="00FE542A" w:rsidRPr="00444CD4" w:rsidRDefault="00FE542A" w:rsidP="0094297E">
            <w:pPr>
              <w:tabs>
                <w:tab w:val="left" w:pos="142"/>
              </w:tabs>
              <w:jc w:val="left"/>
              <w:rPr>
                <w:rFonts w:ascii="Arial Narrow" w:hAnsi="Arial Narrow"/>
                <w:sz w:val="19"/>
                <w:szCs w:val="19"/>
              </w:rPr>
            </w:pPr>
            <w:r w:rsidRPr="00444CD4">
              <w:rPr>
                <w:rFonts w:ascii="Arial Narrow" w:hAnsi="Arial Narrow"/>
                <w:sz w:val="19"/>
                <w:szCs w:val="19"/>
                <w:lang w:eastAsia="en-AU"/>
              </w:rPr>
              <w:t>Patients treated with SOF/VEL</w:t>
            </w:r>
            <w:r w:rsidR="00444CD4" w:rsidRPr="00444CD4">
              <w:rPr>
                <w:rFonts w:ascii="Arial Narrow" w:hAnsi="Arial Narrow"/>
                <w:sz w:val="18"/>
                <w:szCs w:val="18"/>
                <w:vertAlign w:val="superscript"/>
              </w:rPr>
              <w:t xml:space="preserve"> a</w:t>
            </w:r>
          </w:p>
        </w:tc>
        <w:tc>
          <w:tcPr>
            <w:tcW w:w="728" w:type="pct"/>
            <w:shd w:val="clear" w:color="auto" w:fill="auto"/>
            <w:vAlign w:val="center"/>
          </w:tcPr>
          <w:p w:rsidR="00FE542A" w:rsidRPr="00EB18F5" w:rsidRDefault="00EB18F5" w:rsidP="0094297E">
            <w:pPr>
              <w:jc w:val="center"/>
              <w:rPr>
                <w:rFonts w:ascii="Arial Narrow" w:hAnsi="Arial Narrow"/>
                <w:bCs/>
                <w:color w:val="000000"/>
                <w:sz w:val="19"/>
                <w:szCs w:val="19"/>
                <w:highlight w:val="black"/>
              </w:rPr>
            </w:pPr>
            <w:r>
              <w:rPr>
                <w:rFonts w:ascii="Arial Narrow" w:hAnsi="Arial Narrow"/>
                <w:noProof/>
                <w:color w:val="000000"/>
                <w:sz w:val="19"/>
                <w:szCs w:val="19"/>
                <w:highlight w:val="black"/>
              </w:rPr>
              <w:t>''''''''''''''</w:t>
            </w:r>
          </w:p>
        </w:tc>
        <w:tc>
          <w:tcPr>
            <w:tcW w:w="728" w:type="pct"/>
            <w:shd w:val="clear" w:color="auto" w:fill="auto"/>
            <w:vAlign w:val="center"/>
          </w:tcPr>
          <w:p w:rsidR="00FE542A" w:rsidRPr="00EB18F5" w:rsidRDefault="00EB18F5" w:rsidP="0094297E">
            <w:pPr>
              <w:jc w:val="center"/>
              <w:rPr>
                <w:rFonts w:ascii="Arial Narrow" w:hAnsi="Arial Narrow"/>
                <w:bCs/>
                <w:color w:val="000000"/>
                <w:sz w:val="19"/>
                <w:szCs w:val="19"/>
                <w:highlight w:val="black"/>
              </w:rPr>
            </w:pPr>
            <w:r>
              <w:rPr>
                <w:rFonts w:ascii="Arial Narrow" w:hAnsi="Arial Narrow"/>
                <w:noProof/>
                <w:color w:val="000000"/>
                <w:sz w:val="19"/>
                <w:szCs w:val="19"/>
                <w:highlight w:val="black"/>
              </w:rPr>
              <w:t>''''''''''''''</w:t>
            </w:r>
          </w:p>
        </w:tc>
        <w:tc>
          <w:tcPr>
            <w:tcW w:w="728" w:type="pct"/>
            <w:shd w:val="clear" w:color="auto" w:fill="auto"/>
            <w:vAlign w:val="center"/>
          </w:tcPr>
          <w:p w:rsidR="00FE542A" w:rsidRPr="00EB18F5" w:rsidRDefault="00EB18F5" w:rsidP="0094297E">
            <w:pPr>
              <w:jc w:val="center"/>
              <w:rPr>
                <w:rFonts w:ascii="Arial Narrow" w:hAnsi="Arial Narrow"/>
                <w:bCs/>
                <w:color w:val="000000"/>
                <w:sz w:val="19"/>
                <w:szCs w:val="19"/>
                <w:highlight w:val="black"/>
              </w:rPr>
            </w:pPr>
            <w:r>
              <w:rPr>
                <w:rFonts w:ascii="Arial Narrow" w:hAnsi="Arial Narrow"/>
                <w:noProof/>
                <w:color w:val="000000"/>
                <w:sz w:val="19"/>
                <w:szCs w:val="19"/>
                <w:highlight w:val="black"/>
              </w:rPr>
              <w:t>'''''''''''''</w:t>
            </w:r>
          </w:p>
        </w:tc>
        <w:tc>
          <w:tcPr>
            <w:tcW w:w="728" w:type="pct"/>
            <w:shd w:val="clear" w:color="auto" w:fill="auto"/>
            <w:vAlign w:val="center"/>
          </w:tcPr>
          <w:p w:rsidR="00FE542A" w:rsidRPr="00EB18F5" w:rsidRDefault="00EB18F5" w:rsidP="0094297E">
            <w:pPr>
              <w:jc w:val="center"/>
              <w:rPr>
                <w:rFonts w:ascii="Arial Narrow" w:hAnsi="Arial Narrow"/>
                <w:bCs/>
                <w:color w:val="000000"/>
                <w:sz w:val="19"/>
                <w:szCs w:val="19"/>
                <w:highlight w:val="black"/>
              </w:rPr>
            </w:pPr>
            <w:r>
              <w:rPr>
                <w:rFonts w:ascii="Arial Narrow" w:hAnsi="Arial Narrow"/>
                <w:noProof/>
                <w:color w:val="000000"/>
                <w:sz w:val="19"/>
                <w:szCs w:val="19"/>
                <w:highlight w:val="black"/>
              </w:rPr>
              <w:t>'''''''''''''</w:t>
            </w:r>
          </w:p>
        </w:tc>
        <w:tc>
          <w:tcPr>
            <w:tcW w:w="729" w:type="pct"/>
            <w:shd w:val="clear" w:color="auto" w:fill="auto"/>
            <w:vAlign w:val="center"/>
          </w:tcPr>
          <w:p w:rsidR="00FE542A" w:rsidRPr="00EB18F5" w:rsidRDefault="00EB18F5" w:rsidP="0094297E">
            <w:pPr>
              <w:jc w:val="center"/>
              <w:rPr>
                <w:rFonts w:ascii="Arial Narrow" w:hAnsi="Arial Narrow"/>
                <w:bCs/>
                <w:color w:val="000000"/>
                <w:sz w:val="19"/>
                <w:szCs w:val="19"/>
                <w:highlight w:val="black"/>
              </w:rPr>
            </w:pPr>
            <w:r>
              <w:rPr>
                <w:rFonts w:ascii="Arial Narrow" w:hAnsi="Arial Narrow"/>
                <w:noProof/>
                <w:color w:val="000000"/>
                <w:sz w:val="19"/>
                <w:szCs w:val="19"/>
                <w:highlight w:val="black"/>
              </w:rPr>
              <w:t>'''''''''''''''</w:t>
            </w:r>
          </w:p>
        </w:tc>
      </w:tr>
      <w:tr w:rsidR="00FE542A" w:rsidRPr="00802DBC" w:rsidTr="00C951DD">
        <w:trPr>
          <w:cantSplit/>
        </w:trPr>
        <w:tc>
          <w:tcPr>
            <w:tcW w:w="1359" w:type="pct"/>
            <w:shd w:val="clear" w:color="auto" w:fill="auto"/>
            <w:vAlign w:val="center"/>
          </w:tcPr>
          <w:p w:rsidR="00FE542A" w:rsidRPr="00802DBC" w:rsidRDefault="00FE542A" w:rsidP="0094297E">
            <w:pPr>
              <w:tabs>
                <w:tab w:val="left" w:pos="256"/>
              </w:tabs>
              <w:ind w:left="114"/>
              <w:jc w:val="left"/>
              <w:rPr>
                <w:rFonts w:ascii="Arial Narrow" w:hAnsi="Arial Narrow"/>
                <w:i/>
                <w:sz w:val="19"/>
                <w:szCs w:val="19"/>
                <w:lang w:eastAsia="en-AU"/>
              </w:rPr>
            </w:pPr>
            <w:r w:rsidRPr="00802DBC">
              <w:rPr>
                <w:rFonts w:ascii="Arial Narrow" w:hAnsi="Arial Narrow"/>
                <w:sz w:val="19"/>
                <w:szCs w:val="19"/>
                <w:lang w:eastAsia="en-AU"/>
              </w:rPr>
              <w:t xml:space="preserve">No cirrhosis or compensated cirrhosis (uptake: </w:t>
            </w:r>
            <w:r w:rsidR="00EB18F5">
              <w:rPr>
                <w:rFonts w:ascii="Arial Narrow" w:hAnsi="Arial Narrow"/>
                <w:noProof/>
                <w:color w:val="000000"/>
                <w:sz w:val="19"/>
                <w:szCs w:val="19"/>
                <w:highlight w:val="black"/>
                <w:lang w:eastAsia="en-AU"/>
              </w:rPr>
              <w:t>''''''''''''''</w:t>
            </w:r>
            <w:r w:rsidRPr="00802DBC">
              <w:rPr>
                <w:rFonts w:ascii="Arial Narrow" w:hAnsi="Arial Narrow"/>
                <w:sz w:val="19"/>
                <w:szCs w:val="19"/>
                <w:lang w:eastAsia="en-AU"/>
              </w:rPr>
              <w:t>%)</w:t>
            </w:r>
          </w:p>
        </w:tc>
        <w:tc>
          <w:tcPr>
            <w:tcW w:w="728" w:type="pct"/>
            <w:shd w:val="clear" w:color="auto" w:fill="auto"/>
            <w:vAlign w:val="center"/>
          </w:tcPr>
          <w:p w:rsidR="00FE542A" w:rsidRPr="00EB18F5" w:rsidRDefault="00EB18F5" w:rsidP="0094297E">
            <w:pPr>
              <w:jc w:val="center"/>
              <w:rPr>
                <w:rFonts w:ascii="Arial Narrow" w:hAnsi="Arial Narrow"/>
                <w:i/>
                <w:sz w:val="19"/>
                <w:szCs w:val="19"/>
                <w:highlight w:val="black"/>
              </w:rPr>
            </w:pPr>
            <w:r>
              <w:rPr>
                <w:rFonts w:ascii="Arial Narrow" w:hAnsi="Arial Narrow"/>
                <w:noProof/>
                <w:color w:val="000000"/>
                <w:sz w:val="19"/>
                <w:szCs w:val="19"/>
                <w:highlight w:val="black"/>
              </w:rPr>
              <w:t>'''''''''''''</w:t>
            </w:r>
          </w:p>
        </w:tc>
        <w:tc>
          <w:tcPr>
            <w:tcW w:w="728" w:type="pct"/>
            <w:shd w:val="clear" w:color="auto" w:fill="auto"/>
            <w:vAlign w:val="center"/>
          </w:tcPr>
          <w:p w:rsidR="00FE542A" w:rsidRPr="00EB18F5" w:rsidRDefault="00EB18F5" w:rsidP="0094297E">
            <w:pPr>
              <w:jc w:val="center"/>
              <w:rPr>
                <w:rFonts w:ascii="Arial Narrow" w:hAnsi="Arial Narrow"/>
                <w:i/>
                <w:sz w:val="19"/>
                <w:szCs w:val="19"/>
                <w:highlight w:val="black"/>
              </w:rPr>
            </w:pPr>
            <w:r>
              <w:rPr>
                <w:rFonts w:ascii="Arial Narrow" w:hAnsi="Arial Narrow"/>
                <w:noProof/>
                <w:color w:val="000000"/>
                <w:sz w:val="19"/>
                <w:szCs w:val="19"/>
                <w:highlight w:val="black"/>
              </w:rPr>
              <w:t>'''''''''''''</w:t>
            </w:r>
          </w:p>
        </w:tc>
        <w:tc>
          <w:tcPr>
            <w:tcW w:w="728" w:type="pct"/>
            <w:shd w:val="clear" w:color="auto" w:fill="auto"/>
            <w:vAlign w:val="center"/>
          </w:tcPr>
          <w:p w:rsidR="00FE542A" w:rsidRPr="00EB18F5" w:rsidRDefault="00EB18F5" w:rsidP="0094297E">
            <w:pPr>
              <w:jc w:val="center"/>
              <w:rPr>
                <w:rFonts w:ascii="Arial Narrow" w:hAnsi="Arial Narrow"/>
                <w:i/>
                <w:sz w:val="19"/>
                <w:szCs w:val="19"/>
                <w:highlight w:val="black"/>
              </w:rPr>
            </w:pPr>
            <w:r>
              <w:rPr>
                <w:rFonts w:ascii="Arial Narrow" w:hAnsi="Arial Narrow"/>
                <w:noProof/>
                <w:color w:val="000000"/>
                <w:sz w:val="19"/>
                <w:szCs w:val="19"/>
                <w:highlight w:val="black"/>
              </w:rPr>
              <w:t>''''''''''''</w:t>
            </w:r>
          </w:p>
        </w:tc>
        <w:tc>
          <w:tcPr>
            <w:tcW w:w="728" w:type="pct"/>
            <w:shd w:val="clear" w:color="auto" w:fill="auto"/>
            <w:vAlign w:val="center"/>
          </w:tcPr>
          <w:p w:rsidR="00FE542A" w:rsidRPr="00EB18F5" w:rsidRDefault="00EB18F5" w:rsidP="0094297E">
            <w:pPr>
              <w:jc w:val="center"/>
              <w:rPr>
                <w:rFonts w:ascii="Arial Narrow" w:hAnsi="Arial Narrow"/>
                <w:i/>
                <w:sz w:val="19"/>
                <w:szCs w:val="19"/>
                <w:highlight w:val="black"/>
              </w:rPr>
            </w:pPr>
            <w:r>
              <w:rPr>
                <w:rFonts w:ascii="Arial Narrow" w:hAnsi="Arial Narrow"/>
                <w:noProof/>
                <w:color w:val="000000"/>
                <w:sz w:val="19"/>
                <w:szCs w:val="19"/>
                <w:highlight w:val="black"/>
              </w:rPr>
              <w:t>'''''''''''''</w:t>
            </w:r>
          </w:p>
        </w:tc>
        <w:tc>
          <w:tcPr>
            <w:tcW w:w="729" w:type="pct"/>
            <w:shd w:val="clear" w:color="auto" w:fill="auto"/>
            <w:vAlign w:val="center"/>
          </w:tcPr>
          <w:p w:rsidR="00FE542A" w:rsidRPr="00EB18F5" w:rsidRDefault="00EB18F5" w:rsidP="0094297E">
            <w:pPr>
              <w:jc w:val="center"/>
              <w:rPr>
                <w:rFonts w:ascii="Arial Narrow" w:hAnsi="Arial Narrow"/>
                <w:i/>
                <w:sz w:val="19"/>
                <w:szCs w:val="19"/>
                <w:highlight w:val="black"/>
              </w:rPr>
            </w:pPr>
            <w:r>
              <w:rPr>
                <w:rFonts w:ascii="Arial Narrow" w:hAnsi="Arial Narrow"/>
                <w:noProof/>
                <w:color w:val="000000"/>
                <w:sz w:val="19"/>
                <w:szCs w:val="19"/>
                <w:highlight w:val="black"/>
              </w:rPr>
              <w:t>'''''''''''''''</w:t>
            </w:r>
          </w:p>
        </w:tc>
      </w:tr>
      <w:tr w:rsidR="00FE542A" w:rsidRPr="00802DBC" w:rsidTr="00C951DD">
        <w:trPr>
          <w:cantSplit/>
        </w:trPr>
        <w:tc>
          <w:tcPr>
            <w:tcW w:w="1359" w:type="pct"/>
            <w:shd w:val="clear" w:color="auto" w:fill="auto"/>
            <w:vAlign w:val="center"/>
          </w:tcPr>
          <w:p w:rsidR="00FE542A" w:rsidRPr="00802DBC" w:rsidRDefault="00FE542A" w:rsidP="0094297E">
            <w:pPr>
              <w:tabs>
                <w:tab w:val="left" w:pos="256"/>
              </w:tabs>
              <w:ind w:left="114"/>
              <w:jc w:val="left"/>
              <w:rPr>
                <w:rFonts w:ascii="Arial Narrow" w:hAnsi="Arial Narrow"/>
                <w:i/>
                <w:sz w:val="19"/>
                <w:szCs w:val="19"/>
                <w:lang w:eastAsia="en-AU"/>
              </w:rPr>
            </w:pPr>
            <w:r w:rsidRPr="00802DBC">
              <w:rPr>
                <w:rFonts w:ascii="Arial Narrow" w:hAnsi="Arial Narrow"/>
                <w:sz w:val="19"/>
                <w:szCs w:val="19"/>
                <w:lang w:eastAsia="en-AU"/>
              </w:rPr>
              <w:t xml:space="preserve">Decompensated cirrhosis (uptake: </w:t>
            </w:r>
            <w:r w:rsidR="00EB18F5">
              <w:rPr>
                <w:rFonts w:ascii="Arial Narrow" w:hAnsi="Arial Narrow"/>
                <w:noProof/>
                <w:color w:val="000000"/>
                <w:sz w:val="19"/>
                <w:szCs w:val="19"/>
                <w:highlight w:val="black"/>
                <w:lang w:eastAsia="en-AU"/>
              </w:rPr>
              <w:t>''''''''''''</w:t>
            </w:r>
            <w:r w:rsidRPr="00802DBC">
              <w:rPr>
                <w:rFonts w:ascii="Arial Narrow" w:hAnsi="Arial Narrow"/>
                <w:sz w:val="19"/>
                <w:szCs w:val="19"/>
                <w:lang w:eastAsia="en-AU"/>
              </w:rPr>
              <w:t>%)</w:t>
            </w:r>
          </w:p>
        </w:tc>
        <w:tc>
          <w:tcPr>
            <w:tcW w:w="728" w:type="pct"/>
            <w:shd w:val="clear" w:color="auto" w:fill="auto"/>
            <w:vAlign w:val="center"/>
          </w:tcPr>
          <w:p w:rsidR="00FE542A" w:rsidRPr="00EB18F5" w:rsidRDefault="00EB18F5" w:rsidP="0094297E">
            <w:pPr>
              <w:jc w:val="center"/>
              <w:rPr>
                <w:rFonts w:ascii="Arial Narrow" w:hAnsi="Arial Narrow"/>
                <w:i/>
                <w:sz w:val="19"/>
                <w:szCs w:val="19"/>
                <w:highlight w:val="black"/>
              </w:rPr>
            </w:pPr>
            <w:r>
              <w:rPr>
                <w:rFonts w:ascii="Arial Narrow" w:hAnsi="Arial Narrow"/>
                <w:noProof/>
                <w:color w:val="000000"/>
                <w:sz w:val="19"/>
                <w:szCs w:val="19"/>
                <w:highlight w:val="black"/>
              </w:rPr>
              <w:t>'''''''''</w:t>
            </w:r>
          </w:p>
        </w:tc>
        <w:tc>
          <w:tcPr>
            <w:tcW w:w="728" w:type="pct"/>
            <w:shd w:val="clear" w:color="auto" w:fill="auto"/>
            <w:vAlign w:val="center"/>
          </w:tcPr>
          <w:p w:rsidR="00FE542A" w:rsidRPr="00EB18F5" w:rsidRDefault="00EB18F5" w:rsidP="0094297E">
            <w:pPr>
              <w:jc w:val="center"/>
              <w:rPr>
                <w:rFonts w:ascii="Arial Narrow" w:hAnsi="Arial Narrow"/>
                <w:i/>
                <w:sz w:val="19"/>
                <w:szCs w:val="19"/>
                <w:highlight w:val="black"/>
              </w:rPr>
            </w:pPr>
            <w:r>
              <w:rPr>
                <w:rFonts w:ascii="Arial Narrow" w:hAnsi="Arial Narrow"/>
                <w:noProof/>
                <w:color w:val="000000"/>
                <w:sz w:val="19"/>
                <w:szCs w:val="19"/>
                <w:highlight w:val="black"/>
              </w:rPr>
              <w:t>''''''''''</w:t>
            </w:r>
          </w:p>
        </w:tc>
        <w:tc>
          <w:tcPr>
            <w:tcW w:w="728" w:type="pct"/>
            <w:shd w:val="clear" w:color="auto" w:fill="auto"/>
            <w:vAlign w:val="center"/>
          </w:tcPr>
          <w:p w:rsidR="00FE542A" w:rsidRPr="00EB18F5" w:rsidRDefault="00EB18F5" w:rsidP="0094297E">
            <w:pPr>
              <w:jc w:val="center"/>
              <w:rPr>
                <w:rFonts w:ascii="Arial Narrow" w:hAnsi="Arial Narrow"/>
                <w:i/>
                <w:sz w:val="19"/>
                <w:szCs w:val="19"/>
                <w:highlight w:val="black"/>
              </w:rPr>
            </w:pPr>
            <w:r>
              <w:rPr>
                <w:rFonts w:ascii="Arial Narrow" w:hAnsi="Arial Narrow"/>
                <w:noProof/>
                <w:color w:val="000000"/>
                <w:sz w:val="19"/>
                <w:szCs w:val="19"/>
                <w:highlight w:val="black"/>
              </w:rPr>
              <w:t>''''''</w:t>
            </w:r>
          </w:p>
        </w:tc>
        <w:tc>
          <w:tcPr>
            <w:tcW w:w="728" w:type="pct"/>
            <w:shd w:val="clear" w:color="auto" w:fill="auto"/>
            <w:vAlign w:val="center"/>
          </w:tcPr>
          <w:p w:rsidR="00FE542A" w:rsidRPr="00EB18F5" w:rsidRDefault="00EB18F5" w:rsidP="0094297E">
            <w:pPr>
              <w:jc w:val="center"/>
              <w:rPr>
                <w:rFonts w:ascii="Arial Narrow" w:hAnsi="Arial Narrow"/>
                <w:i/>
                <w:sz w:val="19"/>
                <w:szCs w:val="19"/>
                <w:highlight w:val="black"/>
              </w:rPr>
            </w:pPr>
            <w:r>
              <w:rPr>
                <w:rFonts w:ascii="Arial Narrow" w:hAnsi="Arial Narrow"/>
                <w:noProof/>
                <w:color w:val="000000"/>
                <w:sz w:val="19"/>
                <w:szCs w:val="19"/>
                <w:highlight w:val="black"/>
              </w:rPr>
              <w:t>'''''''</w:t>
            </w:r>
          </w:p>
        </w:tc>
        <w:tc>
          <w:tcPr>
            <w:tcW w:w="729" w:type="pct"/>
            <w:shd w:val="clear" w:color="auto" w:fill="auto"/>
            <w:vAlign w:val="center"/>
          </w:tcPr>
          <w:p w:rsidR="00FE542A" w:rsidRPr="00EB18F5" w:rsidRDefault="00EB18F5" w:rsidP="0094297E">
            <w:pPr>
              <w:jc w:val="center"/>
              <w:rPr>
                <w:rFonts w:ascii="Arial Narrow" w:hAnsi="Arial Narrow"/>
                <w:i/>
                <w:sz w:val="19"/>
                <w:szCs w:val="19"/>
                <w:highlight w:val="black"/>
              </w:rPr>
            </w:pPr>
            <w:r>
              <w:rPr>
                <w:rFonts w:ascii="Arial Narrow" w:hAnsi="Arial Narrow"/>
                <w:noProof/>
                <w:color w:val="000000"/>
                <w:sz w:val="19"/>
                <w:szCs w:val="19"/>
                <w:highlight w:val="black"/>
              </w:rPr>
              <w:t>''''''</w:t>
            </w:r>
          </w:p>
        </w:tc>
      </w:tr>
      <w:tr w:rsidR="00FE542A" w:rsidRPr="00802DBC" w:rsidTr="00C951DD">
        <w:trPr>
          <w:cantSplit/>
        </w:trPr>
        <w:tc>
          <w:tcPr>
            <w:tcW w:w="1359" w:type="pct"/>
            <w:shd w:val="clear" w:color="auto" w:fill="auto"/>
            <w:vAlign w:val="center"/>
          </w:tcPr>
          <w:p w:rsidR="00FE542A" w:rsidRPr="00802DBC" w:rsidRDefault="00FE542A" w:rsidP="0094297E">
            <w:pPr>
              <w:tabs>
                <w:tab w:val="left" w:pos="142"/>
              </w:tabs>
              <w:jc w:val="left"/>
              <w:rPr>
                <w:rFonts w:ascii="Arial Narrow" w:hAnsi="Arial Narrow"/>
                <w:sz w:val="19"/>
                <w:szCs w:val="19"/>
              </w:rPr>
            </w:pPr>
            <w:r w:rsidRPr="00802DBC">
              <w:rPr>
                <w:rFonts w:ascii="Arial Narrow" w:hAnsi="Arial Narrow"/>
                <w:sz w:val="19"/>
                <w:szCs w:val="19"/>
                <w:lang w:eastAsia="en-AU"/>
              </w:rPr>
              <w:t>SOF/VEL scripts (3 scripts/pt)</w:t>
            </w:r>
          </w:p>
        </w:tc>
        <w:tc>
          <w:tcPr>
            <w:tcW w:w="728" w:type="pct"/>
            <w:shd w:val="clear" w:color="auto" w:fill="auto"/>
            <w:vAlign w:val="center"/>
          </w:tcPr>
          <w:p w:rsidR="00FE542A" w:rsidRPr="00EB18F5" w:rsidRDefault="00EB18F5" w:rsidP="0094297E">
            <w:pPr>
              <w:jc w:val="center"/>
              <w:rPr>
                <w:rFonts w:ascii="Arial Narrow" w:hAnsi="Arial Narrow"/>
                <w:bCs/>
                <w:color w:val="000000"/>
                <w:sz w:val="19"/>
                <w:szCs w:val="19"/>
                <w:highlight w:val="black"/>
              </w:rPr>
            </w:pPr>
            <w:r>
              <w:rPr>
                <w:rFonts w:ascii="Arial Narrow" w:hAnsi="Arial Narrow"/>
                <w:bCs/>
                <w:noProof/>
                <w:color w:val="000000"/>
                <w:sz w:val="19"/>
                <w:szCs w:val="19"/>
                <w:highlight w:val="black"/>
              </w:rPr>
              <w:t>'''''''''''''''''</w:t>
            </w:r>
          </w:p>
        </w:tc>
        <w:tc>
          <w:tcPr>
            <w:tcW w:w="728" w:type="pct"/>
            <w:shd w:val="clear" w:color="auto" w:fill="auto"/>
            <w:vAlign w:val="center"/>
          </w:tcPr>
          <w:p w:rsidR="00FE542A" w:rsidRPr="00EB18F5" w:rsidRDefault="00EB18F5" w:rsidP="0094297E">
            <w:pPr>
              <w:jc w:val="center"/>
              <w:rPr>
                <w:rFonts w:ascii="Arial Narrow" w:hAnsi="Arial Narrow"/>
                <w:bCs/>
                <w:color w:val="000000"/>
                <w:sz w:val="19"/>
                <w:szCs w:val="19"/>
                <w:highlight w:val="black"/>
              </w:rPr>
            </w:pPr>
            <w:r>
              <w:rPr>
                <w:rFonts w:ascii="Arial Narrow" w:hAnsi="Arial Narrow"/>
                <w:bCs/>
                <w:noProof/>
                <w:color w:val="000000"/>
                <w:sz w:val="19"/>
                <w:szCs w:val="19"/>
                <w:highlight w:val="black"/>
              </w:rPr>
              <w:t>''''''''''''''''</w:t>
            </w:r>
          </w:p>
        </w:tc>
        <w:tc>
          <w:tcPr>
            <w:tcW w:w="728" w:type="pct"/>
            <w:shd w:val="clear" w:color="auto" w:fill="auto"/>
            <w:vAlign w:val="center"/>
          </w:tcPr>
          <w:p w:rsidR="00FE542A" w:rsidRPr="00EB18F5" w:rsidRDefault="00EB18F5" w:rsidP="0094297E">
            <w:pPr>
              <w:jc w:val="center"/>
              <w:rPr>
                <w:rFonts w:ascii="Arial Narrow" w:hAnsi="Arial Narrow"/>
                <w:bCs/>
                <w:color w:val="000000"/>
                <w:sz w:val="19"/>
                <w:szCs w:val="19"/>
                <w:highlight w:val="black"/>
              </w:rPr>
            </w:pPr>
            <w:r>
              <w:rPr>
                <w:rFonts w:ascii="Arial Narrow" w:hAnsi="Arial Narrow"/>
                <w:bCs/>
                <w:noProof/>
                <w:color w:val="000000"/>
                <w:sz w:val="19"/>
                <w:szCs w:val="19"/>
                <w:highlight w:val="black"/>
              </w:rPr>
              <w:t>'''''''''''''''</w:t>
            </w:r>
          </w:p>
        </w:tc>
        <w:tc>
          <w:tcPr>
            <w:tcW w:w="728" w:type="pct"/>
            <w:shd w:val="clear" w:color="auto" w:fill="auto"/>
            <w:vAlign w:val="center"/>
          </w:tcPr>
          <w:p w:rsidR="00FE542A" w:rsidRPr="00EB18F5" w:rsidRDefault="00EB18F5" w:rsidP="0094297E">
            <w:pPr>
              <w:jc w:val="center"/>
              <w:rPr>
                <w:rFonts w:ascii="Arial Narrow" w:hAnsi="Arial Narrow"/>
                <w:bCs/>
                <w:color w:val="000000"/>
                <w:sz w:val="19"/>
                <w:szCs w:val="19"/>
                <w:highlight w:val="black"/>
              </w:rPr>
            </w:pPr>
            <w:r>
              <w:rPr>
                <w:rFonts w:ascii="Arial Narrow" w:hAnsi="Arial Narrow"/>
                <w:bCs/>
                <w:noProof/>
                <w:color w:val="000000"/>
                <w:sz w:val="19"/>
                <w:szCs w:val="19"/>
                <w:highlight w:val="black"/>
              </w:rPr>
              <w:t>'''''''''''''''</w:t>
            </w:r>
          </w:p>
        </w:tc>
        <w:tc>
          <w:tcPr>
            <w:tcW w:w="729" w:type="pct"/>
            <w:shd w:val="clear" w:color="auto" w:fill="auto"/>
            <w:vAlign w:val="center"/>
          </w:tcPr>
          <w:p w:rsidR="00FE542A" w:rsidRPr="00EB18F5" w:rsidRDefault="00EB18F5" w:rsidP="0094297E">
            <w:pPr>
              <w:jc w:val="center"/>
              <w:rPr>
                <w:rFonts w:ascii="Arial Narrow" w:hAnsi="Arial Narrow"/>
                <w:bCs/>
                <w:color w:val="000000"/>
                <w:sz w:val="19"/>
                <w:szCs w:val="19"/>
                <w:highlight w:val="black"/>
              </w:rPr>
            </w:pPr>
            <w:r>
              <w:rPr>
                <w:rFonts w:ascii="Arial Narrow" w:hAnsi="Arial Narrow"/>
                <w:bCs/>
                <w:noProof/>
                <w:color w:val="000000"/>
                <w:sz w:val="19"/>
                <w:szCs w:val="19"/>
                <w:highlight w:val="black"/>
              </w:rPr>
              <w:t>''''''''''''''''</w:t>
            </w:r>
          </w:p>
        </w:tc>
      </w:tr>
      <w:tr w:rsidR="00FE542A" w:rsidRPr="00802DBC" w:rsidTr="00C951DD">
        <w:trPr>
          <w:cantSplit/>
        </w:trPr>
        <w:tc>
          <w:tcPr>
            <w:tcW w:w="1359" w:type="pct"/>
            <w:shd w:val="clear" w:color="auto" w:fill="auto"/>
            <w:vAlign w:val="bottom"/>
          </w:tcPr>
          <w:p w:rsidR="00FE542A" w:rsidRPr="00802DBC" w:rsidRDefault="00FE542A" w:rsidP="0094297E">
            <w:pPr>
              <w:tabs>
                <w:tab w:val="left" w:pos="142"/>
              </w:tabs>
              <w:jc w:val="left"/>
              <w:rPr>
                <w:rFonts w:ascii="Arial Narrow" w:hAnsi="Arial Narrow"/>
                <w:sz w:val="19"/>
                <w:szCs w:val="19"/>
              </w:rPr>
            </w:pPr>
            <w:r w:rsidRPr="00802DBC">
              <w:rPr>
                <w:rFonts w:ascii="Arial Narrow" w:hAnsi="Arial Narrow"/>
                <w:bCs/>
                <w:iCs/>
                <w:sz w:val="19"/>
                <w:szCs w:val="19"/>
              </w:rPr>
              <w:t xml:space="preserve">Cost of </w:t>
            </w:r>
            <w:r w:rsidRPr="00802DBC">
              <w:rPr>
                <w:rFonts w:ascii="Arial Narrow" w:hAnsi="Arial Narrow"/>
                <w:sz w:val="19"/>
                <w:szCs w:val="19"/>
                <w:lang w:eastAsia="en-AU"/>
              </w:rPr>
              <w:t>SOF/VEL (DPMQ less co-payment)</w:t>
            </w:r>
          </w:p>
        </w:tc>
        <w:tc>
          <w:tcPr>
            <w:tcW w:w="728" w:type="pct"/>
            <w:shd w:val="clear" w:color="auto" w:fill="auto"/>
            <w:vAlign w:val="center"/>
          </w:tcPr>
          <w:p w:rsidR="00FE542A" w:rsidRPr="00802DBC" w:rsidRDefault="00FE542A" w:rsidP="0094297E">
            <w:pPr>
              <w:jc w:val="center"/>
              <w:rPr>
                <w:rFonts w:ascii="Arial Narrow" w:hAnsi="Arial Narrow"/>
                <w:bCs/>
                <w:color w:val="000000"/>
                <w:sz w:val="19"/>
                <w:szCs w:val="19"/>
              </w:rPr>
            </w:pPr>
            <w:r w:rsidRPr="00802DBC">
              <w:rPr>
                <w:rFonts w:ascii="Arial Narrow" w:hAnsi="Arial Narrow"/>
                <w:color w:val="000000"/>
                <w:sz w:val="19"/>
                <w:szCs w:val="19"/>
              </w:rPr>
              <w:t>$</w:t>
            </w:r>
            <w:r w:rsidR="00EB18F5">
              <w:rPr>
                <w:rFonts w:ascii="Arial Narrow" w:hAnsi="Arial Narrow"/>
                <w:noProof/>
                <w:color w:val="000000"/>
                <w:sz w:val="19"/>
                <w:szCs w:val="19"/>
                <w:highlight w:val="black"/>
              </w:rPr>
              <w:t>'''''''''''''''''''''''''''''''</w:t>
            </w:r>
          </w:p>
        </w:tc>
        <w:tc>
          <w:tcPr>
            <w:tcW w:w="728" w:type="pct"/>
            <w:shd w:val="clear" w:color="auto" w:fill="auto"/>
            <w:vAlign w:val="center"/>
          </w:tcPr>
          <w:p w:rsidR="00FE542A" w:rsidRPr="00802DBC" w:rsidRDefault="00FE542A" w:rsidP="0094297E">
            <w:pPr>
              <w:jc w:val="center"/>
              <w:rPr>
                <w:rFonts w:ascii="Arial Narrow" w:hAnsi="Arial Narrow"/>
                <w:bCs/>
                <w:color w:val="000000"/>
                <w:sz w:val="19"/>
                <w:szCs w:val="19"/>
              </w:rPr>
            </w:pPr>
            <w:r w:rsidRPr="00802DBC">
              <w:rPr>
                <w:rFonts w:ascii="Arial Narrow" w:hAnsi="Arial Narrow"/>
                <w:color w:val="000000"/>
                <w:sz w:val="19"/>
                <w:szCs w:val="19"/>
              </w:rPr>
              <w:t>$</w:t>
            </w:r>
            <w:r w:rsidR="00EB18F5">
              <w:rPr>
                <w:rFonts w:ascii="Arial Narrow" w:hAnsi="Arial Narrow"/>
                <w:noProof/>
                <w:color w:val="000000"/>
                <w:sz w:val="19"/>
                <w:szCs w:val="19"/>
                <w:highlight w:val="black"/>
              </w:rPr>
              <w:t>'''''''''''''''''''''''''''''</w:t>
            </w:r>
          </w:p>
        </w:tc>
        <w:tc>
          <w:tcPr>
            <w:tcW w:w="728" w:type="pct"/>
            <w:shd w:val="clear" w:color="auto" w:fill="auto"/>
            <w:vAlign w:val="center"/>
          </w:tcPr>
          <w:p w:rsidR="00FE542A" w:rsidRPr="00802DBC" w:rsidRDefault="00FE542A" w:rsidP="0094297E">
            <w:pPr>
              <w:jc w:val="center"/>
              <w:rPr>
                <w:rFonts w:ascii="Arial Narrow" w:hAnsi="Arial Narrow"/>
                <w:bCs/>
                <w:color w:val="000000"/>
                <w:sz w:val="19"/>
                <w:szCs w:val="19"/>
              </w:rPr>
            </w:pPr>
            <w:r w:rsidRPr="00802DBC">
              <w:rPr>
                <w:rFonts w:ascii="Arial Narrow" w:hAnsi="Arial Narrow"/>
                <w:color w:val="000000"/>
                <w:sz w:val="19"/>
                <w:szCs w:val="19"/>
              </w:rPr>
              <w:t>$</w:t>
            </w:r>
            <w:r w:rsidR="00EB18F5">
              <w:rPr>
                <w:rFonts w:ascii="Arial Narrow" w:hAnsi="Arial Narrow"/>
                <w:noProof/>
                <w:color w:val="000000"/>
                <w:sz w:val="19"/>
                <w:szCs w:val="19"/>
                <w:highlight w:val="black"/>
              </w:rPr>
              <w:t>'''''''''''''''''''''''''''</w:t>
            </w:r>
          </w:p>
        </w:tc>
        <w:tc>
          <w:tcPr>
            <w:tcW w:w="728" w:type="pct"/>
            <w:shd w:val="clear" w:color="auto" w:fill="auto"/>
            <w:vAlign w:val="center"/>
          </w:tcPr>
          <w:p w:rsidR="00FE542A" w:rsidRPr="00802DBC" w:rsidRDefault="00FE542A" w:rsidP="0094297E">
            <w:pPr>
              <w:jc w:val="center"/>
              <w:rPr>
                <w:rFonts w:ascii="Arial Narrow" w:hAnsi="Arial Narrow"/>
                <w:bCs/>
                <w:color w:val="000000"/>
                <w:sz w:val="19"/>
                <w:szCs w:val="19"/>
              </w:rPr>
            </w:pPr>
            <w:r w:rsidRPr="00802DBC">
              <w:rPr>
                <w:rFonts w:ascii="Arial Narrow" w:hAnsi="Arial Narrow"/>
                <w:color w:val="000000"/>
                <w:sz w:val="19"/>
                <w:szCs w:val="19"/>
              </w:rPr>
              <w:t>$</w:t>
            </w:r>
            <w:r w:rsidR="00EB18F5">
              <w:rPr>
                <w:rFonts w:ascii="Arial Narrow" w:hAnsi="Arial Narrow"/>
                <w:noProof/>
                <w:color w:val="000000"/>
                <w:sz w:val="19"/>
                <w:szCs w:val="19"/>
                <w:highlight w:val="black"/>
              </w:rPr>
              <w:t>''''''''''''''''''''''''''''''''</w:t>
            </w:r>
          </w:p>
        </w:tc>
        <w:tc>
          <w:tcPr>
            <w:tcW w:w="729" w:type="pct"/>
            <w:shd w:val="clear" w:color="auto" w:fill="auto"/>
            <w:vAlign w:val="center"/>
          </w:tcPr>
          <w:p w:rsidR="00FE542A" w:rsidRPr="00802DBC" w:rsidRDefault="00FE542A" w:rsidP="0094297E">
            <w:pPr>
              <w:jc w:val="center"/>
              <w:rPr>
                <w:rFonts w:ascii="Arial Narrow" w:hAnsi="Arial Narrow"/>
                <w:bCs/>
                <w:color w:val="000000"/>
                <w:sz w:val="19"/>
                <w:szCs w:val="19"/>
              </w:rPr>
            </w:pPr>
            <w:r w:rsidRPr="00802DBC">
              <w:rPr>
                <w:rFonts w:ascii="Arial Narrow" w:hAnsi="Arial Narrow"/>
                <w:color w:val="000000"/>
                <w:sz w:val="19"/>
                <w:szCs w:val="19"/>
              </w:rPr>
              <w:t>$</w:t>
            </w:r>
            <w:r w:rsidR="00EB18F5">
              <w:rPr>
                <w:rFonts w:ascii="Arial Narrow" w:hAnsi="Arial Narrow"/>
                <w:noProof/>
                <w:color w:val="000000"/>
                <w:sz w:val="19"/>
                <w:szCs w:val="19"/>
                <w:highlight w:val="black"/>
              </w:rPr>
              <w:t>'''''''''''''''''''''''''''''''</w:t>
            </w:r>
          </w:p>
        </w:tc>
      </w:tr>
      <w:tr w:rsidR="00FE542A" w:rsidRPr="00802DBC" w:rsidTr="00C951DD">
        <w:trPr>
          <w:cantSplit/>
        </w:trPr>
        <w:tc>
          <w:tcPr>
            <w:tcW w:w="5000" w:type="pct"/>
            <w:gridSpan w:val="6"/>
            <w:shd w:val="clear" w:color="auto" w:fill="auto"/>
            <w:vAlign w:val="bottom"/>
          </w:tcPr>
          <w:p w:rsidR="00FE542A" w:rsidRPr="00802DBC" w:rsidRDefault="00FE542A" w:rsidP="0094297E">
            <w:pPr>
              <w:jc w:val="left"/>
              <w:rPr>
                <w:rFonts w:ascii="Arial Narrow" w:hAnsi="Arial Narrow"/>
                <w:b/>
                <w:bCs/>
                <w:color w:val="000000"/>
                <w:sz w:val="19"/>
                <w:szCs w:val="19"/>
              </w:rPr>
            </w:pPr>
            <w:r w:rsidRPr="00802DBC">
              <w:rPr>
                <w:rFonts w:ascii="Arial Narrow" w:hAnsi="Arial Narrow"/>
                <w:b/>
                <w:bCs/>
                <w:color w:val="000000"/>
                <w:sz w:val="19"/>
                <w:szCs w:val="19"/>
              </w:rPr>
              <w:t>Estimation of changes in use and cost of other drugs</w:t>
            </w:r>
          </w:p>
        </w:tc>
      </w:tr>
      <w:tr w:rsidR="00FE542A" w:rsidRPr="00802DBC" w:rsidTr="00C951DD">
        <w:trPr>
          <w:cantSplit/>
        </w:trPr>
        <w:tc>
          <w:tcPr>
            <w:tcW w:w="1359" w:type="pct"/>
            <w:shd w:val="clear" w:color="auto" w:fill="auto"/>
            <w:vAlign w:val="bottom"/>
          </w:tcPr>
          <w:p w:rsidR="00FE542A" w:rsidRPr="00802DBC" w:rsidRDefault="00FE542A" w:rsidP="0094297E">
            <w:pPr>
              <w:tabs>
                <w:tab w:val="left" w:pos="142"/>
              </w:tabs>
              <w:jc w:val="left"/>
              <w:rPr>
                <w:rFonts w:ascii="Arial Narrow" w:hAnsi="Arial Narrow"/>
                <w:bCs/>
                <w:iCs/>
                <w:sz w:val="19"/>
                <w:szCs w:val="19"/>
              </w:rPr>
            </w:pPr>
            <w:r w:rsidRPr="00802DBC">
              <w:rPr>
                <w:rFonts w:ascii="Arial Narrow" w:hAnsi="Arial Narrow"/>
                <w:sz w:val="20"/>
              </w:rPr>
              <w:t>Net cost from change in use of other drugs</w:t>
            </w:r>
          </w:p>
        </w:tc>
        <w:tc>
          <w:tcPr>
            <w:tcW w:w="728" w:type="pct"/>
            <w:shd w:val="clear" w:color="auto" w:fill="auto"/>
            <w:vAlign w:val="center"/>
          </w:tcPr>
          <w:p w:rsidR="00FE542A" w:rsidRPr="00802DBC" w:rsidRDefault="00FE542A" w:rsidP="0094297E">
            <w:pPr>
              <w:jc w:val="center"/>
              <w:rPr>
                <w:rFonts w:ascii="Arial Narrow" w:hAnsi="Arial Narrow"/>
                <w:color w:val="000000"/>
                <w:sz w:val="19"/>
                <w:szCs w:val="19"/>
              </w:rPr>
            </w:pPr>
            <w:r w:rsidRPr="00802DBC">
              <w:rPr>
                <w:rFonts w:ascii="Arial Narrow" w:hAnsi="Arial Narrow"/>
                <w:sz w:val="20"/>
              </w:rPr>
              <w:t>-$</w:t>
            </w:r>
            <w:r w:rsidR="00EB18F5">
              <w:rPr>
                <w:rFonts w:ascii="Arial Narrow" w:hAnsi="Arial Narrow"/>
                <w:noProof/>
                <w:color w:val="000000"/>
                <w:sz w:val="20"/>
                <w:highlight w:val="black"/>
              </w:rPr>
              <w:t>'''''''''''''''''''''''''''''</w:t>
            </w:r>
          </w:p>
        </w:tc>
        <w:tc>
          <w:tcPr>
            <w:tcW w:w="728" w:type="pct"/>
            <w:shd w:val="clear" w:color="auto" w:fill="auto"/>
            <w:vAlign w:val="center"/>
          </w:tcPr>
          <w:p w:rsidR="00FE542A" w:rsidRPr="00802DBC" w:rsidRDefault="00FE542A" w:rsidP="0094297E">
            <w:pPr>
              <w:jc w:val="center"/>
              <w:rPr>
                <w:rFonts w:ascii="Arial Narrow" w:hAnsi="Arial Narrow"/>
                <w:color w:val="000000"/>
                <w:sz w:val="19"/>
                <w:szCs w:val="19"/>
              </w:rPr>
            </w:pPr>
            <w:r w:rsidRPr="00802DBC">
              <w:rPr>
                <w:rFonts w:ascii="Arial Narrow" w:hAnsi="Arial Narrow"/>
                <w:sz w:val="20"/>
              </w:rPr>
              <w:t>-$</w:t>
            </w:r>
            <w:r w:rsidR="00EB18F5">
              <w:rPr>
                <w:rFonts w:ascii="Arial Narrow" w:hAnsi="Arial Narrow"/>
                <w:noProof/>
                <w:color w:val="000000"/>
                <w:sz w:val="20"/>
                <w:highlight w:val="black"/>
              </w:rPr>
              <w:t>''''''''''''''''''''''''''''</w:t>
            </w:r>
          </w:p>
        </w:tc>
        <w:tc>
          <w:tcPr>
            <w:tcW w:w="728" w:type="pct"/>
            <w:shd w:val="clear" w:color="auto" w:fill="auto"/>
            <w:vAlign w:val="center"/>
          </w:tcPr>
          <w:p w:rsidR="00FE542A" w:rsidRPr="00802DBC" w:rsidRDefault="00FE542A" w:rsidP="0094297E">
            <w:pPr>
              <w:jc w:val="center"/>
              <w:rPr>
                <w:rFonts w:ascii="Arial Narrow" w:hAnsi="Arial Narrow"/>
                <w:color w:val="000000"/>
                <w:sz w:val="19"/>
                <w:szCs w:val="19"/>
              </w:rPr>
            </w:pPr>
            <w:r w:rsidRPr="00802DBC">
              <w:rPr>
                <w:rFonts w:ascii="Arial Narrow" w:hAnsi="Arial Narrow"/>
                <w:sz w:val="20"/>
              </w:rPr>
              <w:t>-$</w:t>
            </w:r>
            <w:r w:rsidR="00EB18F5">
              <w:rPr>
                <w:rFonts w:ascii="Arial Narrow" w:hAnsi="Arial Narrow"/>
                <w:noProof/>
                <w:color w:val="000000"/>
                <w:sz w:val="20"/>
                <w:highlight w:val="black"/>
              </w:rPr>
              <w:t>''''''''''''''''''''''''''''''''</w:t>
            </w:r>
          </w:p>
        </w:tc>
        <w:tc>
          <w:tcPr>
            <w:tcW w:w="728" w:type="pct"/>
            <w:shd w:val="clear" w:color="auto" w:fill="auto"/>
            <w:vAlign w:val="center"/>
          </w:tcPr>
          <w:p w:rsidR="00FE542A" w:rsidRPr="00802DBC" w:rsidRDefault="00FE542A" w:rsidP="0094297E">
            <w:pPr>
              <w:jc w:val="center"/>
              <w:rPr>
                <w:rFonts w:ascii="Arial Narrow" w:hAnsi="Arial Narrow"/>
                <w:color w:val="000000"/>
                <w:sz w:val="19"/>
                <w:szCs w:val="19"/>
              </w:rPr>
            </w:pPr>
            <w:r w:rsidRPr="00802DBC">
              <w:rPr>
                <w:rFonts w:ascii="Arial Narrow" w:hAnsi="Arial Narrow"/>
                <w:sz w:val="20"/>
              </w:rPr>
              <w:t>-$</w:t>
            </w:r>
            <w:r w:rsidR="00EB18F5">
              <w:rPr>
                <w:rFonts w:ascii="Arial Narrow" w:hAnsi="Arial Narrow"/>
                <w:noProof/>
                <w:color w:val="000000"/>
                <w:sz w:val="20"/>
                <w:highlight w:val="black"/>
              </w:rPr>
              <w:t>'''''''''''''''''''''''''''''''</w:t>
            </w:r>
          </w:p>
        </w:tc>
        <w:tc>
          <w:tcPr>
            <w:tcW w:w="729" w:type="pct"/>
            <w:shd w:val="clear" w:color="auto" w:fill="auto"/>
            <w:vAlign w:val="center"/>
          </w:tcPr>
          <w:p w:rsidR="00FE542A" w:rsidRPr="00802DBC" w:rsidRDefault="00FE542A" w:rsidP="0094297E">
            <w:pPr>
              <w:jc w:val="center"/>
              <w:rPr>
                <w:rFonts w:ascii="Arial Narrow" w:hAnsi="Arial Narrow"/>
                <w:color w:val="000000"/>
                <w:sz w:val="19"/>
                <w:szCs w:val="19"/>
              </w:rPr>
            </w:pPr>
            <w:r w:rsidRPr="00802DBC">
              <w:rPr>
                <w:rFonts w:ascii="Arial Narrow" w:hAnsi="Arial Narrow"/>
                <w:sz w:val="20"/>
              </w:rPr>
              <w:t>-$</w:t>
            </w:r>
            <w:r w:rsidR="00EB18F5">
              <w:rPr>
                <w:rFonts w:ascii="Arial Narrow" w:hAnsi="Arial Narrow"/>
                <w:noProof/>
                <w:color w:val="000000"/>
                <w:sz w:val="20"/>
                <w:highlight w:val="black"/>
              </w:rPr>
              <w:t>'''''''''''''''''''''''''''''</w:t>
            </w:r>
          </w:p>
        </w:tc>
      </w:tr>
      <w:tr w:rsidR="00FE542A" w:rsidRPr="00802DBC" w:rsidTr="00C951DD">
        <w:trPr>
          <w:cantSplit/>
        </w:trPr>
        <w:tc>
          <w:tcPr>
            <w:tcW w:w="5000" w:type="pct"/>
            <w:gridSpan w:val="6"/>
            <w:shd w:val="clear" w:color="auto" w:fill="auto"/>
            <w:vAlign w:val="center"/>
          </w:tcPr>
          <w:p w:rsidR="00FE542A" w:rsidRPr="00802DBC" w:rsidRDefault="00FE542A" w:rsidP="0094297E">
            <w:pPr>
              <w:jc w:val="left"/>
              <w:rPr>
                <w:rFonts w:ascii="Arial Narrow" w:hAnsi="Arial Narrow"/>
                <w:b/>
                <w:bCs/>
                <w:color w:val="000000"/>
                <w:sz w:val="19"/>
                <w:szCs w:val="19"/>
              </w:rPr>
            </w:pPr>
            <w:r w:rsidRPr="00802DBC">
              <w:rPr>
                <w:rFonts w:ascii="Arial Narrow" w:hAnsi="Arial Narrow"/>
                <w:b/>
                <w:bCs/>
                <w:color w:val="000000"/>
                <w:sz w:val="19"/>
                <w:szCs w:val="19"/>
              </w:rPr>
              <w:t>Estimated net cost to PBS/RPBS/MBS</w:t>
            </w:r>
          </w:p>
        </w:tc>
      </w:tr>
      <w:tr w:rsidR="00FE542A" w:rsidRPr="00802DBC" w:rsidTr="00C951DD">
        <w:trPr>
          <w:cantSplit/>
        </w:trPr>
        <w:tc>
          <w:tcPr>
            <w:tcW w:w="1359" w:type="pct"/>
            <w:shd w:val="clear" w:color="auto" w:fill="auto"/>
            <w:vAlign w:val="center"/>
          </w:tcPr>
          <w:p w:rsidR="00FE542A" w:rsidRPr="00802DBC" w:rsidRDefault="00FE542A" w:rsidP="0094297E">
            <w:pPr>
              <w:tabs>
                <w:tab w:val="left" w:pos="142"/>
              </w:tabs>
              <w:jc w:val="left"/>
              <w:rPr>
                <w:rFonts w:ascii="Arial Narrow" w:hAnsi="Arial Narrow"/>
                <w:sz w:val="19"/>
                <w:szCs w:val="19"/>
              </w:rPr>
            </w:pPr>
            <w:r w:rsidRPr="00802DBC">
              <w:rPr>
                <w:rFonts w:ascii="Arial Narrow" w:hAnsi="Arial Narrow"/>
                <w:sz w:val="19"/>
                <w:szCs w:val="19"/>
              </w:rPr>
              <w:t>Net cost to PBS/RPBS</w:t>
            </w:r>
          </w:p>
        </w:tc>
        <w:tc>
          <w:tcPr>
            <w:tcW w:w="728" w:type="pct"/>
            <w:shd w:val="clear" w:color="auto" w:fill="auto"/>
          </w:tcPr>
          <w:p w:rsidR="00FE542A" w:rsidRPr="00802DBC" w:rsidRDefault="00FE542A" w:rsidP="0094297E">
            <w:pPr>
              <w:jc w:val="center"/>
              <w:rPr>
                <w:rFonts w:ascii="Arial Narrow" w:hAnsi="Arial Narrow"/>
                <w:bCs/>
                <w:color w:val="000000"/>
                <w:sz w:val="19"/>
                <w:szCs w:val="19"/>
              </w:rPr>
            </w:pPr>
            <w:r w:rsidRPr="00802DBC">
              <w:rPr>
                <w:rFonts w:ascii="Arial Narrow" w:hAnsi="Arial Narrow"/>
                <w:sz w:val="20"/>
              </w:rPr>
              <w:t>-$</w:t>
            </w:r>
            <w:r w:rsidR="00EB18F5">
              <w:rPr>
                <w:rFonts w:ascii="Arial Narrow" w:hAnsi="Arial Narrow"/>
                <w:noProof/>
                <w:color w:val="000000"/>
                <w:sz w:val="20"/>
                <w:highlight w:val="black"/>
              </w:rPr>
              <w:t>'''''''''''''''''''''''''''</w:t>
            </w:r>
          </w:p>
        </w:tc>
        <w:tc>
          <w:tcPr>
            <w:tcW w:w="728" w:type="pct"/>
            <w:shd w:val="clear" w:color="auto" w:fill="auto"/>
          </w:tcPr>
          <w:p w:rsidR="00FE542A" w:rsidRPr="00802DBC" w:rsidRDefault="00FE542A" w:rsidP="0094297E">
            <w:pPr>
              <w:jc w:val="center"/>
              <w:rPr>
                <w:rFonts w:ascii="Arial Narrow" w:hAnsi="Arial Narrow"/>
                <w:bCs/>
                <w:color w:val="000000"/>
                <w:sz w:val="19"/>
                <w:szCs w:val="19"/>
              </w:rPr>
            </w:pPr>
            <w:r w:rsidRPr="00802DBC">
              <w:rPr>
                <w:rFonts w:ascii="Arial Narrow" w:hAnsi="Arial Narrow"/>
                <w:sz w:val="20"/>
              </w:rPr>
              <w:t>-$</w:t>
            </w:r>
            <w:r w:rsidR="00EB18F5">
              <w:rPr>
                <w:rFonts w:ascii="Arial Narrow" w:hAnsi="Arial Narrow"/>
                <w:noProof/>
                <w:color w:val="000000"/>
                <w:sz w:val="20"/>
                <w:highlight w:val="black"/>
              </w:rPr>
              <w:t>'''''''''''''''''''''''''''''</w:t>
            </w:r>
          </w:p>
        </w:tc>
        <w:tc>
          <w:tcPr>
            <w:tcW w:w="728" w:type="pct"/>
            <w:shd w:val="clear" w:color="auto" w:fill="auto"/>
          </w:tcPr>
          <w:p w:rsidR="00FE542A" w:rsidRPr="00802DBC" w:rsidRDefault="00FE542A" w:rsidP="0094297E">
            <w:pPr>
              <w:jc w:val="center"/>
              <w:rPr>
                <w:rFonts w:ascii="Arial Narrow" w:hAnsi="Arial Narrow"/>
                <w:bCs/>
                <w:color w:val="000000"/>
                <w:sz w:val="19"/>
                <w:szCs w:val="19"/>
              </w:rPr>
            </w:pPr>
            <w:r w:rsidRPr="00802DBC">
              <w:rPr>
                <w:rFonts w:ascii="Arial Narrow" w:hAnsi="Arial Narrow"/>
                <w:sz w:val="20"/>
              </w:rPr>
              <w:t>-$</w:t>
            </w:r>
            <w:r w:rsidR="00EB18F5">
              <w:rPr>
                <w:rFonts w:ascii="Arial Narrow" w:hAnsi="Arial Narrow"/>
                <w:noProof/>
                <w:color w:val="000000"/>
                <w:sz w:val="20"/>
                <w:highlight w:val="black"/>
              </w:rPr>
              <w:t>''''''''''''''''''''''''''''''</w:t>
            </w:r>
          </w:p>
        </w:tc>
        <w:tc>
          <w:tcPr>
            <w:tcW w:w="728" w:type="pct"/>
            <w:shd w:val="clear" w:color="auto" w:fill="auto"/>
          </w:tcPr>
          <w:p w:rsidR="00FE542A" w:rsidRPr="00802DBC" w:rsidRDefault="00FE542A" w:rsidP="0094297E">
            <w:pPr>
              <w:jc w:val="center"/>
              <w:rPr>
                <w:rFonts w:ascii="Arial Narrow" w:hAnsi="Arial Narrow"/>
                <w:bCs/>
                <w:color w:val="000000"/>
                <w:sz w:val="19"/>
                <w:szCs w:val="19"/>
              </w:rPr>
            </w:pPr>
            <w:r w:rsidRPr="00802DBC">
              <w:rPr>
                <w:rFonts w:ascii="Arial Narrow" w:hAnsi="Arial Narrow"/>
                <w:sz w:val="20"/>
              </w:rPr>
              <w:t>-$</w:t>
            </w:r>
            <w:r w:rsidR="00EB18F5">
              <w:rPr>
                <w:rFonts w:ascii="Arial Narrow" w:hAnsi="Arial Narrow"/>
                <w:noProof/>
                <w:color w:val="000000"/>
                <w:sz w:val="20"/>
                <w:highlight w:val="black"/>
              </w:rPr>
              <w:t>'''''''''''''''''''''''''''''''</w:t>
            </w:r>
          </w:p>
        </w:tc>
        <w:tc>
          <w:tcPr>
            <w:tcW w:w="729" w:type="pct"/>
            <w:shd w:val="clear" w:color="auto" w:fill="auto"/>
          </w:tcPr>
          <w:p w:rsidR="00FE542A" w:rsidRPr="00802DBC" w:rsidRDefault="00FE542A" w:rsidP="0094297E">
            <w:pPr>
              <w:jc w:val="center"/>
              <w:rPr>
                <w:rFonts w:ascii="Arial Narrow" w:hAnsi="Arial Narrow"/>
                <w:bCs/>
                <w:color w:val="000000"/>
                <w:sz w:val="19"/>
                <w:szCs w:val="19"/>
              </w:rPr>
            </w:pPr>
            <w:r w:rsidRPr="00802DBC">
              <w:rPr>
                <w:rFonts w:ascii="Arial Narrow" w:hAnsi="Arial Narrow"/>
                <w:sz w:val="20"/>
              </w:rPr>
              <w:t>-$</w:t>
            </w:r>
            <w:r w:rsidR="00EB18F5">
              <w:rPr>
                <w:rFonts w:ascii="Arial Narrow" w:hAnsi="Arial Narrow"/>
                <w:noProof/>
                <w:color w:val="000000"/>
                <w:sz w:val="20"/>
                <w:highlight w:val="black"/>
              </w:rPr>
              <w:t>''''''''''''''''''''''''''''''</w:t>
            </w:r>
          </w:p>
        </w:tc>
      </w:tr>
      <w:tr w:rsidR="00FE542A" w:rsidRPr="00802DBC" w:rsidTr="00C951DD">
        <w:trPr>
          <w:cantSplit/>
        </w:trPr>
        <w:tc>
          <w:tcPr>
            <w:tcW w:w="1359" w:type="pct"/>
            <w:shd w:val="clear" w:color="auto" w:fill="auto"/>
            <w:vAlign w:val="center"/>
          </w:tcPr>
          <w:p w:rsidR="00FE542A" w:rsidRPr="00802DBC" w:rsidRDefault="00FE542A" w:rsidP="0094297E">
            <w:pPr>
              <w:tabs>
                <w:tab w:val="left" w:pos="142"/>
              </w:tabs>
              <w:jc w:val="left"/>
              <w:rPr>
                <w:rFonts w:ascii="Arial Narrow" w:hAnsi="Arial Narrow"/>
                <w:sz w:val="19"/>
                <w:szCs w:val="19"/>
              </w:rPr>
            </w:pPr>
            <w:r w:rsidRPr="00802DBC">
              <w:rPr>
                <w:rFonts w:ascii="Arial Narrow" w:hAnsi="Arial Narrow"/>
                <w:sz w:val="19"/>
                <w:szCs w:val="19"/>
              </w:rPr>
              <w:t>Net cost to MBS</w:t>
            </w:r>
          </w:p>
        </w:tc>
        <w:tc>
          <w:tcPr>
            <w:tcW w:w="728" w:type="pct"/>
            <w:shd w:val="clear" w:color="auto" w:fill="auto"/>
            <w:vAlign w:val="center"/>
          </w:tcPr>
          <w:p w:rsidR="00FE542A" w:rsidRPr="00802DBC" w:rsidRDefault="00FE542A" w:rsidP="0094297E">
            <w:pPr>
              <w:jc w:val="center"/>
              <w:rPr>
                <w:rFonts w:ascii="Arial Narrow" w:hAnsi="Arial Narrow"/>
                <w:bCs/>
                <w:color w:val="000000"/>
                <w:sz w:val="19"/>
                <w:szCs w:val="19"/>
              </w:rPr>
            </w:pPr>
            <w:r w:rsidRPr="00802DBC">
              <w:rPr>
                <w:rFonts w:ascii="Arial Narrow" w:hAnsi="Arial Narrow"/>
                <w:color w:val="000000"/>
                <w:sz w:val="20"/>
              </w:rPr>
              <w:t>-$</w:t>
            </w:r>
            <w:r w:rsidR="00EB18F5">
              <w:rPr>
                <w:rFonts w:ascii="Arial Narrow" w:hAnsi="Arial Narrow"/>
                <w:noProof/>
                <w:color w:val="000000"/>
                <w:sz w:val="20"/>
                <w:highlight w:val="black"/>
              </w:rPr>
              <w:t>'''''''''''''''''''''''''</w:t>
            </w:r>
          </w:p>
        </w:tc>
        <w:tc>
          <w:tcPr>
            <w:tcW w:w="728" w:type="pct"/>
            <w:shd w:val="clear" w:color="auto" w:fill="auto"/>
            <w:vAlign w:val="center"/>
          </w:tcPr>
          <w:p w:rsidR="00FE542A" w:rsidRPr="00802DBC" w:rsidRDefault="00FE542A" w:rsidP="0094297E">
            <w:pPr>
              <w:jc w:val="center"/>
              <w:rPr>
                <w:rFonts w:ascii="Arial Narrow" w:hAnsi="Arial Narrow"/>
                <w:bCs/>
                <w:color w:val="000000"/>
                <w:sz w:val="19"/>
                <w:szCs w:val="19"/>
              </w:rPr>
            </w:pPr>
            <w:r w:rsidRPr="00802DBC">
              <w:rPr>
                <w:rFonts w:ascii="Arial Narrow" w:hAnsi="Arial Narrow"/>
                <w:color w:val="000000"/>
                <w:sz w:val="20"/>
              </w:rPr>
              <w:t>-$</w:t>
            </w:r>
            <w:r w:rsidR="00EB18F5">
              <w:rPr>
                <w:rFonts w:ascii="Arial Narrow" w:hAnsi="Arial Narrow"/>
                <w:noProof/>
                <w:color w:val="000000"/>
                <w:sz w:val="20"/>
                <w:highlight w:val="black"/>
              </w:rPr>
              <w:t>''''''''''''''''''''''''</w:t>
            </w:r>
          </w:p>
        </w:tc>
        <w:tc>
          <w:tcPr>
            <w:tcW w:w="728" w:type="pct"/>
            <w:shd w:val="clear" w:color="auto" w:fill="auto"/>
            <w:vAlign w:val="center"/>
          </w:tcPr>
          <w:p w:rsidR="00FE542A" w:rsidRPr="00802DBC" w:rsidRDefault="00FE542A" w:rsidP="0094297E">
            <w:pPr>
              <w:jc w:val="center"/>
              <w:rPr>
                <w:rFonts w:ascii="Arial Narrow" w:hAnsi="Arial Narrow"/>
                <w:bCs/>
                <w:color w:val="000000"/>
                <w:sz w:val="19"/>
                <w:szCs w:val="19"/>
              </w:rPr>
            </w:pPr>
            <w:r w:rsidRPr="00802DBC">
              <w:rPr>
                <w:rFonts w:ascii="Arial Narrow" w:hAnsi="Arial Narrow"/>
                <w:color w:val="000000"/>
                <w:sz w:val="20"/>
              </w:rPr>
              <w:t>-$</w:t>
            </w:r>
            <w:r w:rsidR="00EB18F5">
              <w:rPr>
                <w:rFonts w:ascii="Arial Narrow" w:hAnsi="Arial Narrow"/>
                <w:noProof/>
                <w:color w:val="000000"/>
                <w:sz w:val="20"/>
                <w:highlight w:val="black"/>
              </w:rPr>
              <w:t>'''''''''''''''''''''''''</w:t>
            </w:r>
          </w:p>
        </w:tc>
        <w:tc>
          <w:tcPr>
            <w:tcW w:w="728" w:type="pct"/>
            <w:shd w:val="clear" w:color="auto" w:fill="auto"/>
            <w:vAlign w:val="center"/>
          </w:tcPr>
          <w:p w:rsidR="00FE542A" w:rsidRPr="00802DBC" w:rsidRDefault="00FE542A" w:rsidP="0094297E">
            <w:pPr>
              <w:jc w:val="center"/>
              <w:rPr>
                <w:rFonts w:ascii="Arial Narrow" w:hAnsi="Arial Narrow"/>
                <w:bCs/>
                <w:color w:val="000000"/>
                <w:sz w:val="19"/>
                <w:szCs w:val="19"/>
              </w:rPr>
            </w:pPr>
            <w:r w:rsidRPr="00802DBC">
              <w:rPr>
                <w:rFonts w:ascii="Arial Narrow" w:hAnsi="Arial Narrow"/>
                <w:color w:val="000000"/>
                <w:sz w:val="20"/>
              </w:rPr>
              <w:t>-$</w:t>
            </w:r>
            <w:r w:rsidR="00EB18F5">
              <w:rPr>
                <w:rFonts w:ascii="Arial Narrow" w:hAnsi="Arial Narrow"/>
                <w:noProof/>
                <w:color w:val="000000"/>
                <w:sz w:val="20"/>
                <w:highlight w:val="black"/>
              </w:rPr>
              <w:t>''''''''''''''''''''''</w:t>
            </w:r>
          </w:p>
        </w:tc>
        <w:tc>
          <w:tcPr>
            <w:tcW w:w="729" w:type="pct"/>
            <w:shd w:val="clear" w:color="auto" w:fill="auto"/>
            <w:vAlign w:val="center"/>
          </w:tcPr>
          <w:p w:rsidR="00FE542A" w:rsidRPr="00802DBC" w:rsidRDefault="00FE542A" w:rsidP="0094297E">
            <w:pPr>
              <w:jc w:val="center"/>
              <w:rPr>
                <w:rFonts w:ascii="Arial Narrow" w:hAnsi="Arial Narrow"/>
                <w:bCs/>
                <w:color w:val="000000"/>
                <w:sz w:val="19"/>
                <w:szCs w:val="19"/>
              </w:rPr>
            </w:pPr>
            <w:r w:rsidRPr="00802DBC">
              <w:rPr>
                <w:rFonts w:ascii="Arial Narrow" w:hAnsi="Arial Narrow"/>
                <w:color w:val="000000"/>
                <w:sz w:val="20"/>
              </w:rPr>
              <w:t>-$</w:t>
            </w:r>
            <w:r w:rsidR="00EB18F5">
              <w:rPr>
                <w:rFonts w:ascii="Arial Narrow" w:hAnsi="Arial Narrow"/>
                <w:noProof/>
                <w:color w:val="000000"/>
                <w:sz w:val="20"/>
                <w:highlight w:val="black"/>
              </w:rPr>
              <w:t>'''''''''''''''''''''''''</w:t>
            </w:r>
          </w:p>
        </w:tc>
      </w:tr>
      <w:tr w:rsidR="00FE542A" w:rsidRPr="00802DBC" w:rsidTr="00C951DD">
        <w:trPr>
          <w:cantSplit/>
        </w:trPr>
        <w:tc>
          <w:tcPr>
            <w:tcW w:w="5000" w:type="pct"/>
            <w:gridSpan w:val="6"/>
            <w:shd w:val="clear" w:color="auto" w:fill="auto"/>
            <w:vAlign w:val="center"/>
          </w:tcPr>
          <w:p w:rsidR="00FE542A" w:rsidRPr="00802DBC" w:rsidRDefault="00FE542A" w:rsidP="0094297E">
            <w:pPr>
              <w:jc w:val="left"/>
              <w:rPr>
                <w:rFonts w:ascii="Arial Narrow" w:hAnsi="Arial Narrow"/>
                <w:b/>
                <w:color w:val="000000"/>
                <w:sz w:val="19"/>
                <w:szCs w:val="19"/>
              </w:rPr>
            </w:pPr>
            <w:r w:rsidRPr="00802DBC">
              <w:rPr>
                <w:rFonts w:ascii="Arial Narrow" w:hAnsi="Arial Narrow"/>
                <w:b/>
                <w:color w:val="000000"/>
                <w:sz w:val="19"/>
                <w:szCs w:val="19"/>
              </w:rPr>
              <w:t>Estimated total net cost</w:t>
            </w:r>
          </w:p>
        </w:tc>
      </w:tr>
      <w:tr w:rsidR="00FE542A" w:rsidRPr="00802DBC" w:rsidTr="00C951DD">
        <w:trPr>
          <w:cantSplit/>
        </w:trPr>
        <w:tc>
          <w:tcPr>
            <w:tcW w:w="1359" w:type="pct"/>
            <w:shd w:val="clear" w:color="auto" w:fill="auto"/>
            <w:vAlign w:val="center"/>
          </w:tcPr>
          <w:p w:rsidR="00FE542A" w:rsidRPr="00802DBC" w:rsidRDefault="00FE542A" w:rsidP="0094297E">
            <w:pPr>
              <w:tabs>
                <w:tab w:val="left" w:pos="142"/>
              </w:tabs>
              <w:jc w:val="left"/>
              <w:rPr>
                <w:rFonts w:ascii="Arial Narrow" w:hAnsi="Arial Narrow"/>
                <w:b/>
                <w:sz w:val="19"/>
                <w:szCs w:val="19"/>
              </w:rPr>
            </w:pPr>
            <w:r w:rsidRPr="00802DBC">
              <w:rPr>
                <w:rFonts w:ascii="Arial Narrow" w:hAnsi="Arial Narrow"/>
                <w:b/>
                <w:bCs/>
                <w:color w:val="000000"/>
                <w:sz w:val="19"/>
                <w:szCs w:val="19"/>
              </w:rPr>
              <w:t>Net cost to PBS/RPBS/MBS</w:t>
            </w:r>
          </w:p>
        </w:tc>
        <w:tc>
          <w:tcPr>
            <w:tcW w:w="728" w:type="pct"/>
            <w:shd w:val="clear" w:color="auto" w:fill="auto"/>
          </w:tcPr>
          <w:p w:rsidR="00FE542A" w:rsidRPr="00802DBC" w:rsidRDefault="00FE542A" w:rsidP="0094297E">
            <w:pPr>
              <w:jc w:val="center"/>
              <w:rPr>
                <w:rFonts w:ascii="Arial Narrow" w:hAnsi="Arial Narrow"/>
                <w:b/>
                <w:bCs/>
                <w:color w:val="000000"/>
                <w:sz w:val="19"/>
                <w:szCs w:val="19"/>
              </w:rPr>
            </w:pPr>
            <w:r w:rsidRPr="00802DBC">
              <w:rPr>
                <w:rFonts w:ascii="Arial Narrow" w:hAnsi="Arial Narrow"/>
                <w:b/>
                <w:bCs/>
                <w:sz w:val="20"/>
              </w:rPr>
              <w:t>-$</w:t>
            </w:r>
            <w:r w:rsidR="00EB18F5">
              <w:rPr>
                <w:rFonts w:ascii="Arial Narrow" w:hAnsi="Arial Narrow"/>
                <w:b/>
                <w:bCs/>
                <w:noProof/>
                <w:color w:val="000000"/>
                <w:sz w:val="20"/>
                <w:highlight w:val="black"/>
              </w:rPr>
              <w:t>'''''''''''''''''''''''''</w:t>
            </w:r>
          </w:p>
        </w:tc>
        <w:tc>
          <w:tcPr>
            <w:tcW w:w="728" w:type="pct"/>
            <w:shd w:val="clear" w:color="auto" w:fill="auto"/>
          </w:tcPr>
          <w:p w:rsidR="00FE542A" w:rsidRPr="00802DBC" w:rsidRDefault="00FE542A" w:rsidP="0094297E">
            <w:pPr>
              <w:jc w:val="center"/>
              <w:rPr>
                <w:rFonts w:ascii="Arial Narrow" w:hAnsi="Arial Narrow"/>
                <w:b/>
                <w:bCs/>
                <w:color w:val="000000"/>
                <w:sz w:val="19"/>
                <w:szCs w:val="19"/>
              </w:rPr>
            </w:pPr>
            <w:r w:rsidRPr="00802DBC">
              <w:rPr>
                <w:rFonts w:ascii="Arial Narrow" w:hAnsi="Arial Narrow"/>
                <w:b/>
                <w:bCs/>
                <w:sz w:val="20"/>
              </w:rPr>
              <w:t>-$</w:t>
            </w:r>
            <w:r w:rsidR="00EB18F5">
              <w:rPr>
                <w:rFonts w:ascii="Arial Narrow" w:hAnsi="Arial Narrow"/>
                <w:b/>
                <w:bCs/>
                <w:noProof/>
                <w:color w:val="000000"/>
                <w:sz w:val="20"/>
                <w:highlight w:val="black"/>
              </w:rPr>
              <w:t>''''''''''''''''''''''''</w:t>
            </w:r>
          </w:p>
        </w:tc>
        <w:tc>
          <w:tcPr>
            <w:tcW w:w="728" w:type="pct"/>
            <w:shd w:val="clear" w:color="auto" w:fill="auto"/>
          </w:tcPr>
          <w:p w:rsidR="00FE542A" w:rsidRPr="00802DBC" w:rsidRDefault="00FE542A" w:rsidP="0094297E">
            <w:pPr>
              <w:jc w:val="center"/>
              <w:rPr>
                <w:rFonts w:ascii="Arial Narrow" w:hAnsi="Arial Narrow"/>
                <w:b/>
                <w:bCs/>
                <w:color w:val="000000"/>
                <w:sz w:val="19"/>
                <w:szCs w:val="19"/>
              </w:rPr>
            </w:pPr>
            <w:r w:rsidRPr="00802DBC">
              <w:rPr>
                <w:rFonts w:ascii="Arial Narrow" w:hAnsi="Arial Narrow"/>
                <w:b/>
                <w:bCs/>
                <w:sz w:val="20"/>
              </w:rPr>
              <w:t>-$</w:t>
            </w:r>
            <w:r w:rsidR="00EB18F5">
              <w:rPr>
                <w:rFonts w:ascii="Arial Narrow" w:hAnsi="Arial Narrow"/>
                <w:b/>
                <w:bCs/>
                <w:noProof/>
                <w:color w:val="000000"/>
                <w:sz w:val="20"/>
                <w:highlight w:val="black"/>
              </w:rPr>
              <w:t>'''''''''''''''''''''''</w:t>
            </w:r>
          </w:p>
        </w:tc>
        <w:tc>
          <w:tcPr>
            <w:tcW w:w="728" w:type="pct"/>
            <w:shd w:val="clear" w:color="auto" w:fill="auto"/>
          </w:tcPr>
          <w:p w:rsidR="00FE542A" w:rsidRPr="00802DBC" w:rsidRDefault="00FE542A" w:rsidP="0094297E">
            <w:pPr>
              <w:jc w:val="center"/>
              <w:rPr>
                <w:rFonts w:ascii="Arial Narrow" w:hAnsi="Arial Narrow"/>
                <w:b/>
                <w:bCs/>
                <w:color w:val="000000"/>
                <w:sz w:val="19"/>
                <w:szCs w:val="19"/>
              </w:rPr>
            </w:pPr>
            <w:r w:rsidRPr="00802DBC">
              <w:rPr>
                <w:rFonts w:ascii="Arial Narrow" w:hAnsi="Arial Narrow"/>
                <w:b/>
                <w:bCs/>
                <w:sz w:val="20"/>
              </w:rPr>
              <w:t>-$</w:t>
            </w:r>
            <w:r w:rsidR="00EB18F5">
              <w:rPr>
                <w:rFonts w:ascii="Arial Narrow" w:hAnsi="Arial Narrow"/>
                <w:b/>
                <w:bCs/>
                <w:noProof/>
                <w:color w:val="000000"/>
                <w:sz w:val="20"/>
                <w:highlight w:val="black"/>
              </w:rPr>
              <w:t>''''''''''''''''''''''''''</w:t>
            </w:r>
          </w:p>
        </w:tc>
        <w:tc>
          <w:tcPr>
            <w:tcW w:w="729" w:type="pct"/>
            <w:shd w:val="clear" w:color="auto" w:fill="auto"/>
          </w:tcPr>
          <w:p w:rsidR="00FE542A" w:rsidRPr="00802DBC" w:rsidRDefault="00FE542A" w:rsidP="0094297E">
            <w:pPr>
              <w:jc w:val="center"/>
              <w:rPr>
                <w:rFonts w:ascii="Arial Narrow" w:hAnsi="Arial Narrow"/>
                <w:b/>
                <w:bCs/>
                <w:color w:val="000000"/>
                <w:sz w:val="19"/>
                <w:szCs w:val="19"/>
              </w:rPr>
            </w:pPr>
            <w:r w:rsidRPr="00802DBC">
              <w:rPr>
                <w:rFonts w:ascii="Arial Narrow" w:hAnsi="Arial Narrow"/>
                <w:b/>
                <w:bCs/>
                <w:sz w:val="20"/>
              </w:rPr>
              <w:t>-$</w:t>
            </w:r>
            <w:r w:rsidR="00EB18F5">
              <w:rPr>
                <w:rFonts w:ascii="Arial Narrow" w:hAnsi="Arial Narrow"/>
                <w:b/>
                <w:bCs/>
                <w:noProof/>
                <w:color w:val="000000"/>
                <w:sz w:val="20"/>
                <w:highlight w:val="black"/>
              </w:rPr>
              <w:t>'''''''''''''''''''''''''</w:t>
            </w:r>
          </w:p>
        </w:tc>
      </w:tr>
    </w:tbl>
    <w:p w:rsidR="00FE542A" w:rsidRPr="00802DBC" w:rsidRDefault="00FE542A" w:rsidP="00FE542A">
      <w:pPr>
        <w:pStyle w:val="TableFooter"/>
        <w:ind w:firstLine="720"/>
        <w:rPr>
          <w:szCs w:val="18"/>
        </w:rPr>
      </w:pPr>
      <w:r w:rsidRPr="00802DBC">
        <w:rPr>
          <w:sz w:val="16"/>
          <w:szCs w:val="18"/>
        </w:rPr>
        <w:t xml:space="preserve">Source: </w:t>
      </w:r>
      <w:r w:rsidRPr="00802DBC">
        <w:rPr>
          <w:szCs w:val="18"/>
        </w:rPr>
        <w:t>‘Epclusa PBAC Submission Section E Workbook.xlsx’</w:t>
      </w:r>
    </w:p>
    <w:p w:rsidR="00FE542A" w:rsidRDefault="00FE542A" w:rsidP="00FE542A">
      <w:pPr>
        <w:ind w:left="720"/>
        <w:rPr>
          <w:rFonts w:ascii="Arial Narrow" w:hAnsi="Arial Narrow"/>
          <w:sz w:val="18"/>
          <w:szCs w:val="18"/>
        </w:rPr>
      </w:pPr>
      <w:r w:rsidRPr="00802DBC">
        <w:rPr>
          <w:rFonts w:ascii="Arial Narrow" w:hAnsi="Arial Narrow"/>
          <w:sz w:val="18"/>
          <w:szCs w:val="18"/>
        </w:rPr>
        <w:t>Abbreviations: DMPQ = dispensed price for maximum quantity; pt = patient; SOF = sofosbuvir; VEL = velpatasvir</w:t>
      </w:r>
    </w:p>
    <w:p w:rsidR="002A1ED8" w:rsidRPr="002A1ED8" w:rsidRDefault="002A1ED8" w:rsidP="00FE542A">
      <w:pPr>
        <w:ind w:left="720"/>
        <w:rPr>
          <w:rFonts w:ascii="Arial Narrow" w:hAnsi="Arial Narrow"/>
          <w:sz w:val="18"/>
          <w:szCs w:val="18"/>
        </w:rPr>
      </w:pPr>
      <w:r w:rsidRPr="002A1ED8">
        <w:rPr>
          <w:rFonts w:ascii="Arial Narrow" w:hAnsi="Arial Narrow"/>
          <w:sz w:val="18"/>
          <w:szCs w:val="18"/>
          <w:vertAlign w:val="superscript"/>
        </w:rPr>
        <w:t>a</w:t>
      </w:r>
      <w:r w:rsidRPr="002A1ED8">
        <w:rPr>
          <w:rFonts w:ascii="Arial Narrow" w:hAnsi="Arial Narrow"/>
          <w:sz w:val="18"/>
          <w:szCs w:val="18"/>
        </w:rPr>
        <w:t xml:space="preserve"> Values </w:t>
      </w:r>
      <w:r w:rsidR="002C1CA7">
        <w:rPr>
          <w:rFonts w:ascii="Arial Narrow" w:hAnsi="Arial Narrow"/>
          <w:sz w:val="18"/>
          <w:szCs w:val="18"/>
        </w:rPr>
        <w:t xml:space="preserve">in the submission </w:t>
      </w:r>
      <w:r w:rsidRPr="002A1ED8">
        <w:rPr>
          <w:rFonts w:ascii="Arial Narrow" w:hAnsi="Arial Narrow"/>
          <w:sz w:val="18"/>
          <w:szCs w:val="18"/>
        </w:rPr>
        <w:t>were not rounded to a whole patient; which resulted in inaccurate estimates. These were corrected during the evaluation.</w:t>
      </w:r>
    </w:p>
    <w:p w:rsidR="00B21F67" w:rsidRDefault="00B21F67" w:rsidP="00B21F67"/>
    <w:p w:rsidR="00905FE2" w:rsidRPr="00F45832" w:rsidRDefault="0056574B" w:rsidP="00B6393D">
      <w:pPr>
        <w:pStyle w:val="ListParagraph"/>
        <w:widowControl/>
        <w:numPr>
          <w:ilvl w:val="1"/>
          <w:numId w:val="2"/>
        </w:numPr>
        <w:rPr>
          <w:szCs w:val="22"/>
        </w:rPr>
      </w:pPr>
      <w:r>
        <w:t xml:space="preserve">The PBAC noted </w:t>
      </w:r>
      <w:r w:rsidR="00B6393D">
        <w:t xml:space="preserve">the Department would </w:t>
      </w:r>
      <w:r w:rsidR="00543CC1" w:rsidRPr="00543CC1">
        <w:t xml:space="preserve">need to </w:t>
      </w:r>
      <w:r w:rsidR="00B6393D">
        <w:t>recalculate the financial estimates on</w:t>
      </w:r>
      <w:r w:rsidR="00543CC1" w:rsidRPr="00543CC1">
        <w:t xml:space="preserve"> the basis of the effective prices for the regimens included in the </w:t>
      </w:r>
      <w:r w:rsidR="00543CC1" w:rsidRPr="00BD6FFF">
        <w:rPr>
          <w:i/>
        </w:rPr>
        <w:t>General Statement</w:t>
      </w:r>
      <w:r w:rsidR="00543CC1" w:rsidRPr="00543CC1">
        <w:t xml:space="preserve">, compared with the </w:t>
      </w:r>
      <w:r w:rsidR="00B6393D">
        <w:t>price agreed</w:t>
      </w:r>
      <w:r w:rsidR="00543CC1" w:rsidRPr="00543CC1">
        <w:t xml:space="preserve"> for </w:t>
      </w:r>
      <w:r w:rsidR="00B6393D">
        <w:t xml:space="preserve">the </w:t>
      </w:r>
      <w:r w:rsidR="00543CC1" w:rsidRPr="00543CC1">
        <w:t>sofosbuvir/velpatasvir FDC</w:t>
      </w:r>
      <w:r w:rsidR="00B6393D">
        <w:t xml:space="preserve">.  </w:t>
      </w:r>
      <w:r w:rsidR="00B6393D">
        <w:rPr>
          <w:iCs/>
          <w:szCs w:val="22"/>
        </w:rPr>
        <w:t>The PBAC agreed that the</w:t>
      </w:r>
      <w:r w:rsidR="00905FE2" w:rsidRPr="00DA298E">
        <w:rPr>
          <w:iCs/>
          <w:szCs w:val="22"/>
        </w:rPr>
        <w:t xml:space="preserve"> claimed MBS cost-offsets based on a reduction in HCV genotype testing and an initial </w:t>
      </w:r>
      <w:r w:rsidR="00905FE2" w:rsidRPr="00DA298E">
        <w:rPr>
          <w:iCs/>
        </w:rPr>
        <w:t>consultation</w:t>
      </w:r>
      <w:r w:rsidR="00905FE2" w:rsidRPr="00DA298E">
        <w:rPr>
          <w:iCs/>
          <w:szCs w:val="22"/>
        </w:rPr>
        <w:t xml:space="preserve"> with a specialist were </w:t>
      </w:r>
      <w:r w:rsidR="00B6393D">
        <w:rPr>
          <w:iCs/>
          <w:szCs w:val="22"/>
        </w:rPr>
        <w:t>un</w:t>
      </w:r>
      <w:r w:rsidR="00905FE2" w:rsidRPr="00DA298E">
        <w:rPr>
          <w:iCs/>
          <w:szCs w:val="22"/>
        </w:rPr>
        <w:t xml:space="preserve">likely </w:t>
      </w:r>
      <w:r w:rsidR="00B6393D">
        <w:rPr>
          <w:iCs/>
          <w:szCs w:val="22"/>
        </w:rPr>
        <w:t>to be achieved</w:t>
      </w:r>
      <w:r w:rsidR="00905FE2" w:rsidRPr="00DA298E">
        <w:rPr>
          <w:iCs/>
          <w:szCs w:val="22"/>
        </w:rPr>
        <w:t>; as it was unlikely that all patients with no cirrhosis or compensated cirrhosis treated with sofosbuvir/velpatasvir FDC would not have a HCV genotype test</w:t>
      </w:r>
      <w:r w:rsidR="00D44E28" w:rsidRPr="00DA298E">
        <w:rPr>
          <w:iCs/>
          <w:szCs w:val="22"/>
        </w:rPr>
        <w:t>.</w:t>
      </w:r>
    </w:p>
    <w:p w:rsidR="00DD2989" w:rsidRPr="00DA298E" w:rsidRDefault="00DD2989" w:rsidP="00DD2989">
      <w:pPr>
        <w:pStyle w:val="ListParagraph"/>
        <w:widowControl/>
        <w:ind w:left="1134"/>
        <w:rPr>
          <w:szCs w:val="22"/>
        </w:rPr>
      </w:pPr>
    </w:p>
    <w:p w:rsidR="00FE542A" w:rsidRPr="00062A55" w:rsidRDefault="00FE542A" w:rsidP="00FE542A">
      <w:pPr>
        <w:pStyle w:val="Heading2"/>
        <w:rPr>
          <w:i/>
        </w:rPr>
      </w:pPr>
      <w:bookmarkStart w:id="31" w:name="_Toc458698819"/>
      <w:bookmarkStart w:id="32" w:name="_Toc461609483"/>
      <w:r w:rsidRPr="00062A55">
        <w:rPr>
          <w:i/>
        </w:rPr>
        <w:t>Quality Use of Medicines</w:t>
      </w:r>
      <w:bookmarkEnd w:id="31"/>
      <w:bookmarkEnd w:id="32"/>
    </w:p>
    <w:p w:rsidR="00FE542A" w:rsidRPr="00802DBC" w:rsidRDefault="00FE542A" w:rsidP="00FE542A">
      <w:pPr>
        <w:widowControl/>
        <w:rPr>
          <w:szCs w:val="22"/>
        </w:rPr>
      </w:pPr>
    </w:p>
    <w:p w:rsidR="00FE542A" w:rsidRPr="00DA298E" w:rsidRDefault="00FE542A" w:rsidP="002C4748">
      <w:pPr>
        <w:pStyle w:val="ListParagraph"/>
        <w:widowControl/>
        <w:numPr>
          <w:ilvl w:val="1"/>
          <w:numId w:val="2"/>
        </w:numPr>
        <w:rPr>
          <w:szCs w:val="22"/>
        </w:rPr>
      </w:pPr>
      <w:r w:rsidRPr="00DA298E">
        <w:t xml:space="preserve">The submission claimed that the availability of sofosbuvir/velpatasvir FDC provides a simplified regimen; requiring one tablet once daily for 12 weeks regardless of HCV genotype, prior treatment experience and cirrhosis status (with the addition of ribavirin in patients with decompensated cirrhosis). The submission claimed sofosbuvir/velpatasvir FDC would remove the potential for prescriber confusion (particularly in the primary care setting), and treatment outcomes would not be compromised by difficulties in assessing intermediate stages of liver fibrosis and inaccuracies in HCV genotyping. </w:t>
      </w:r>
      <w:r w:rsidRPr="00DA298E">
        <w:rPr>
          <w:iCs/>
        </w:rPr>
        <w:t>The extent of the claimed reduction in prescribing errors</w:t>
      </w:r>
      <w:r w:rsidR="00EA4CAD" w:rsidRPr="00DA298E">
        <w:rPr>
          <w:iCs/>
        </w:rPr>
        <w:t xml:space="preserve"> </w:t>
      </w:r>
      <w:r w:rsidR="000D41DC" w:rsidRPr="00DA298E">
        <w:rPr>
          <w:iCs/>
        </w:rPr>
        <w:t xml:space="preserve">and </w:t>
      </w:r>
      <w:r w:rsidR="009B73CB" w:rsidRPr="00DA298E">
        <w:rPr>
          <w:iCs/>
        </w:rPr>
        <w:t>compromised</w:t>
      </w:r>
      <w:r w:rsidR="000D41DC" w:rsidRPr="00DA298E">
        <w:rPr>
          <w:iCs/>
        </w:rPr>
        <w:t xml:space="preserve"> patient care</w:t>
      </w:r>
      <w:r w:rsidR="009B73CB" w:rsidRPr="00DA298E">
        <w:rPr>
          <w:iCs/>
        </w:rPr>
        <w:t xml:space="preserve"> </w:t>
      </w:r>
      <w:r w:rsidR="00F908F0" w:rsidRPr="00DA298E">
        <w:rPr>
          <w:iCs/>
        </w:rPr>
        <w:t>were</w:t>
      </w:r>
      <w:r w:rsidR="00EA4CAD" w:rsidRPr="00DA298E">
        <w:rPr>
          <w:iCs/>
        </w:rPr>
        <w:t xml:space="preserve"> unclear</w:t>
      </w:r>
      <w:r w:rsidRPr="00DA298E">
        <w:rPr>
          <w:iCs/>
        </w:rPr>
        <w:t>.</w:t>
      </w:r>
    </w:p>
    <w:p w:rsidR="00FE542A" w:rsidRPr="00DA298E" w:rsidRDefault="00FE542A" w:rsidP="00FE542A">
      <w:pPr>
        <w:pStyle w:val="ListParagraph"/>
        <w:rPr>
          <w:szCs w:val="22"/>
        </w:rPr>
      </w:pPr>
    </w:p>
    <w:p w:rsidR="00FE542A" w:rsidRPr="00DA298E" w:rsidRDefault="00FE542A" w:rsidP="002C4748">
      <w:pPr>
        <w:pStyle w:val="ListParagraph"/>
        <w:widowControl/>
        <w:numPr>
          <w:ilvl w:val="1"/>
          <w:numId w:val="2"/>
        </w:numPr>
        <w:rPr>
          <w:szCs w:val="22"/>
        </w:rPr>
      </w:pPr>
      <w:r w:rsidRPr="00DA298E">
        <w:t>The submission claimed that the availability of sofosbuvir/velpatasvir FDC would increase equitable access to HCV treatments in the following scenarios:</w:t>
      </w:r>
    </w:p>
    <w:p w:rsidR="00FE542A" w:rsidRPr="00DA298E" w:rsidRDefault="00FE542A" w:rsidP="002C4748">
      <w:pPr>
        <w:pStyle w:val="ListParagraph"/>
        <w:widowControl/>
        <w:numPr>
          <w:ilvl w:val="0"/>
          <w:numId w:val="4"/>
        </w:numPr>
        <w:rPr>
          <w:szCs w:val="22"/>
        </w:rPr>
      </w:pPr>
      <w:r w:rsidRPr="00DA298E">
        <w:rPr>
          <w:szCs w:val="22"/>
          <w:u w:val="single"/>
        </w:rPr>
        <w:t>Rural and remote settings:</w:t>
      </w:r>
      <w:r w:rsidRPr="00DA298E">
        <w:rPr>
          <w:szCs w:val="22"/>
        </w:rPr>
        <w:t xml:space="preserve"> The submission claimed that sofosbuvir/velpatasvir FDC </w:t>
      </w:r>
      <w:r w:rsidR="00A16188">
        <w:rPr>
          <w:szCs w:val="22"/>
        </w:rPr>
        <w:t xml:space="preserve">will </w:t>
      </w:r>
      <w:r w:rsidRPr="00DA298E">
        <w:rPr>
          <w:szCs w:val="22"/>
        </w:rPr>
        <w:t xml:space="preserve">facilitate access in the community and general practice settings, thus improving equity for all patients. </w:t>
      </w:r>
    </w:p>
    <w:p w:rsidR="00FE542A" w:rsidRPr="00DA298E" w:rsidRDefault="00FE542A" w:rsidP="002C4748">
      <w:pPr>
        <w:pStyle w:val="ListParagraph"/>
        <w:widowControl/>
        <w:numPr>
          <w:ilvl w:val="0"/>
          <w:numId w:val="4"/>
        </w:numPr>
        <w:rPr>
          <w:szCs w:val="22"/>
        </w:rPr>
      </w:pPr>
      <w:r w:rsidRPr="00DA298E">
        <w:rPr>
          <w:szCs w:val="22"/>
          <w:u w:val="single"/>
        </w:rPr>
        <w:t>Access to interferon-free and ribavirin-free regimens:</w:t>
      </w:r>
      <w:r w:rsidRPr="00DA298E">
        <w:rPr>
          <w:szCs w:val="22"/>
        </w:rPr>
        <w:t xml:space="preserve"> The currently PBS-listed treatment regimen for patients with HCV genotype 2 is sofosbuvir plus ribavirin and genotypes 4-6 is sofosbuvir plus peginterferon plus ribavirin. The submission argued that PBS-listing of sofosbuvir/velpatasvir FDC for these genotypes would ensure equitable access to regimens without ribavirin or peginterferon. However, ribavirin is still required for patients with decompensated cirrhosis.</w:t>
      </w:r>
    </w:p>
    <w:p w:rsidR="00FE542A" w:rsidRPr="00DA298E" w:rsidRDefault="00FE542A" w:rsidP="002C4748">
      <w:pPr>
        <w:pStyle w:val="ListParagraph"/>
        <w:widowControl/>
        <w:numPr>
          <w:ilvl w:val="0"/>
          <w:numId w:val="4"/>
        </w:numPr>
        <w:rPr>
          <w:szCs w:val="22"/>
        </w:rPr>
      </w:pPr>
      <w:r w:rsidRPr="00DA298E">
        <w:rPr>
          <w:szCs w:val="22"/>
          <w:u w:val="single"/>
        </w:rPr>
        <w:t>Custodial settings</w:t>
      </w:r>
      <w:r w:rsidRPr="00DA298E">
        <w:rPr>
          <w:szCs w:val="22"/>
        </w:rPr>
        <w:t xml:space="preserve">: </w:t>
      </w:r>
      <w:r w:rsidR="00777CD0" w:rsidRPr="00DA298E">
        <w:rPr>
          <w:iCs/>
          <w:szCs w:val="22"/>
        </w:rPr>
        <w:t>However, u</w:t>
      </w:r>
      <w:r w:rsidRPr="00DA298E">
        <w:rPr>
          <w:iCs/>
          <w:szCs w:val="22"/>
        </w:rPr>
        <w:t>ptake</w:t>
      </w:r>
      <w:r w:rsidRPr="00DA298E">
        <w:rPr>
          <w:szCs w:val="22"/>
        </w:rPr>
        <w:t xml:space="preserve"> in this setting is likely to be affected by factors external to the dosing regimen.</w:t>
      </w:r>
    </w:p>
    <w:p w:rsidR="00FE542A" w:rsidRPr="00DA298E" w:rsidRDefault="00FE542A" w:rsidP="00FE542A">
      <w:pPr>
        <w:widowControl/>
        <w:rPr>
          <w:szCs w:val="22"/>
        </w:rPr>
      </w:pPr>
    </w:p>
    <w:p w:rsidR="00FE542A" w:rsidRPr="00802DBC" w:rsidRDefault="00FE542A" w:rsidP="00FE542A">
      <w:pPr>
        <w:pStyle w:val="Heading2"/>
        <w:rPr>
          <w:i/>
          <w:szCs w:val="22"/>
        </w:rPr>
      </w:pPr>
      <w:bookmarkStart w:id="33" w:name="_Toc458698820"/>
      <w:bookmarkStart w:id="34" w:name="_Toc461609484"/>
      <w:r w:rsidRPr="00802DBC">
        <w:rPr>
          <w:i/>
        </w:rPr>
        <w:t>Financial Management – Risk Sharing Arrangements</w:t>
      </w:r>
      <w:bookmarkEnd w:id="33"/>
      <w:bookmarkEnd w:id="34"/>
    </w:p>
    <w:p w:rsidR="00FE542A" w:rsidRPr="00802DBC" w:rsidRDefault="00FE542A" w:rsidP="00FE542A">
      <w:pPr>
        <w:widowControl/>
        <w:rPr>
          <w:szCs w:val="22"/>
        </w:rPr>
      </w:pPr>
    </w:p>
    <w:p w:rsidR="0098212E" w:rsidRPr="00747EC0" w:rsidRDefault="0098212E" w:rsidP="0098212E">
      <w:pPr>
        <w:numPr>
          <w:ilvl w:val="1"/>
          <w:numId w:val="2"/>
        </w:numPr>
        <w:rPr>
          <w:bCs/>
        </w:rPr>
      </w:pPr>
      <w:r w:rsidRPr="002C3191">
        <w:rPr>
          <w:bCs/>
        </w:rPr>
        <w:t xml:space="preserve">The PBAC recommended that </w:t>
      </w:r>
      <w:r w:rsidRPr="00802DBC">
        <w:t xml:space="preserve">sofosbuvir/velpatasvir FDC </w:t>
      </w:r>
      <w:r w:rsidRPr="002C3191">
        <w:rPr>
          <w:bCs/>
        </w:rPr>
        <w:t xml:space="preserve">enter the </w:t>
      </w:r>
      <w:r>
        <w:rPr>
          <w:bCs/>
        </w:rPr>
        <w:t>R</w:t>
      </w:r>
      <w:r w:rsidRPr="002C3191">
        <w:rPr>
          <w:bCs/>
        </w:rPr>
        <w:t xml:space="preserve">isk </w:t>
      </w:r>
      <w:r>
        <w:rPr>
          <w:bCs/>
        </w:rPr>
        <w:t>S</w:t>
      </w:r>
      <w:r w:rsidRPr="002C3191">
        <w:rPr>
          <w:bCs/>
        </w:rPr>
        <w:t xml:space="preserve">haring </w:t>
      </w:r>
      <w:r>
        <w:rPr>
          <w:bCs/>
        </w:rPr>
        <w:t>A</w:t>
      </w:r>
      <w:r w:rsidRPr="002C3191">
        <w:rPr>
          <w:bCs/>
        </w:rPr>
        <w:t xml:space="preserve">rrangement </w:t>
      </w:r>
      <w:r>
        <w:rPr>
          <w:bCs/>
        </w:rPr>
        <w:t xml:space="preserve">(RSA) </w:t>
      </w:r>
      <w:r w:rsidRPr="002C3191">
        <w:rPr>
          <w:bCs/>
        </w:rPr>
        <w:t xml:space="preserve">currently in place for other drugs used for the treatment of </w:t>
      </w:r>
      <w:r>
        <w:rPr>
          <w:bCs/>
        </w:rPr>
        <w:t>CHC</w:t>
      </w:r>
      <w:r w:rsidR="00A81E35" w:rsidRPr="00961B75">
        <w:rPr>
          <w:bCs/>
        </w:rPr>
        <w:t>, and be subject to the same Subsidisation Caps and rebate arrangements.</w:t>
      </w:r>
    </w:p>
    <w:p w:rsidR="00DA298E" w:rsidRDefault="00DA298E" w:rsidP="00DA298E">
      <w:pPr>
        <w:rPr>
          <w:i/>
        </w:rPr>
      </w:pPr>
    </w:p>
    <w:bookmarkEnd w:id="2"/>
    <w:bookmarkEnd w:id="3"/>
    <w:bookmarkEnd w:id="4"/>
    <w:bookmarkEnd w:id="5"/>
    <w:bookmarkEnd w:id="6"/>
    <w:p w:rsidR="00FE542A" w:rsidRDefault="00FE542A" w:rsidP="00A25E61">
      <w:pPr>
        <w:widowControl/>
        <w:rPr>
          <w:szCs w:val="22"/>
        </w:rPr>
      </w:pPr>
    </w:p>
    <w:p w:rsidR="002C4748" w:rsidRPr="00C91A10" w:rsidRDefault="002C4748" w:rsidP="002C4748">
      <w:pPr>
        <w:pStyle w:val="PBACHeading1"/>
        <w:rPr>
          <w:b w:val="0"/>
          <w:bCs/>
        </w:rPr>
      </w:pPr>
      <w:r w:rsidRPr="00C91A10">
        <w:rPr>
          <w:bCs/>
        </w:rPr>
        <w:t>PBAC Outcome</w:t>
      </w:r>
    </w:p>
    <w:p w:rsidR="002C4748" w:rsidRPr="00C91A10" w:rsidRDefault="002C4748" w:rsidP="002C4748">
      <w:pPr>
        <w:contextualSpacing/>
        <w:rPr>
          <w:b/>
          <w:bCs/>
          <w:szCs w:val="22"/>
          <w:lang w:val="en-GB"/>
        </w:rPr>
      </w:pPr>
    </w:p>
    <w:p w:rsidR="002C4748" w:rsidRPr="00C91A10" w:rsidRDefault="00B15770" w:rsidP="00D116F5">
      <w:pPr>
        <w:numPr>
          <w:ilvl w:val="1"/>
          <w:numId w:val="2"/>
        </w:numPr>
        <w:contextualSpacing/>
        <w:rPr>
          <w:bCs/>
          <w:szCs w:val="22"/>
          <w:lang w:val="en-GB"/>
        </w:rPr>
      </w:pPr>
      <w:r w:rsidRPr="00C91A10">
        <w:rPr>
          <w:bCs/>
          <w:szCs w:val="22"/>
          <w:lang w:val="en-GB"/>
        </w:rPr>
        <w:t xml:space="preserve">The PBAC recommended the Authority Required </w:t>
      </w:r>
      <w:r w:rsidR="00D116F5">
        <w:rPr>
          <w:bCs/>
          <w:szCs w:val="22"/>
          <w:lang w:val="en-GB"/>
        </w:rPr>
        <w:t>General Schedule</w:t>
      </w:r>
      <w:r w:rsidRPr="00C91A10">
        <w:rPr>
          <w:bCs/>
          <w:szCs w:val="22"/>
          <w:lang w:val="en-GB"/>
        </w:rPr>
        <w:t xml:space="preserve"> and Section 100 listing of </w:t>
      </w:r>
      <w:r w:rsidR="005661E9" w:rsidRPr="00C91A10">
        <w:rPr>
          <w:bCs/>
          <w:szCs w:val="22"/>
          <w:lang w:val="en-GB"/>
        </w:rPr>
        <w:t>sofosbuvir with velpatasvir</w:t>
      </w:r>
      <w:r w:rsidR="00D116F5">
        <w:rPr>
          <w:bCs/>
          <w:szCs w:val="22"/>
          <w:lang w:val="en-GB"/>
        </w:rPr>
        <w:t xml:space="preserve"> </w:t>
      </w:r>
      <w:r w:rsidRPr="00C91A10">
        <w:rPr>
          <w:bCs/>
          <w:szCs w:val="22"/>
        </w:rPr>
        <w:t xml:space="preserve">for the treatment of </w:t>
      </w:r>
      <w:r w:rsidR="005661E9" w:rsidRPr="00C91A10">
        <w:rPr>
          <w:bCs/>
        </w:rPr>
        <w:t xml:space="preserve">chronic hepatitis C infection </w:t>
      </w:r>
      <w:r w:rsidR="00FA634F" w:rsidRPr="00C91A10">
        <w:rPr>
          <w:bCs/>
        </w:rPr>
        <w:t xml:space="preserve">for patients with </w:t>
      </w:r>
      <w:r w:rsidR="005661E9" w:rsidRPr="00C91A10">
        <w:rPr>
          <w:bCs/>
        </w:rPr>
        <w:t>genotypes 1-6</w:t>
      </w:r>
      <w:r w:rsidR="00102744" w:rsidRPr="00C91A10">
        <w:rPr>
          <w:bCs/>
        </w:rPr>
        <w:t xml:space="preserve"> and no cirrhosis</w:t>
      </w:r>
      <w:r w:rsidR="005661E9" w:rsidRPr="00C91A10">
        <w:rPr>
          <w:bCs/>
        </w:rPr>
        <w:t xml:space="preserve">. </w:t>
      </w:r>
      <w:r w:rsidR="00D116F5" w:rsidRPr="00D116F5">
        <w:rPr>
          <w:bCs/>
        </w:rPr>
        <w:t xml:space="preserve">The PBAC </w:t>
      </w:r>
      <w:r w:rsidR="00D116F5">
        <w:rPr>
          <w:bCs/>
        </w:rPr>
        <w:t xml:space="preserve">also </w:t>
      </w:r>
      <w:r w:rsidR="00D116F5" w:rsidRPr="00D116F5">
        <w:rPr>
          <w:bCs/>
        </w:rPr>
        <w:t>recommended the Authority Required General Schedule and Section 100 listing of sofosbuvir with velpatasvir</w:t>
      </w:r>
      <w:r w:rsidR="00D116F5">
        <w:rPr>
          <w:bCs/>
        </w:rPr>
        <w:t xml:space="preserve"> +/- ribavirin</w:t>
      </w:r>
      <w:r w:rsidR="00D116F5" w:rsidRPr="00D116F5">
        <w:rPr>
          <w:bCs/>
        </w:rPr>
        <w:t xml:space="preserve"> for the treatment of chronic hepatitis C infection for patients with genotypes 1-6 and cirrhosis.</w:t>
      </w:r>
    </w:p>
    <w:p w:rsidR="005661E9" w:rsidRPr="00C91A10" w:rsidRDefault="005661E9" w:rsidP="005661E9">
      <w:pPr>
        <w:ind w:left="720"/>
        <w:contextualSpacing/>
        <w:rPr>
          <w:bCs/>
          <w:szCs w:val="22"/>
          <w:lang w:val="en-GB"/>
        </w:rPr>
      </w:pPr>
    </w:p>
    <w:p w:rsidR="000413A5" w:rsidRPr="000413A5" w:rsidRDefault="000413A5" w:rsidP="000413A5">
      <w:pPr>
        <w:numPr>
          <w:ilvl w:val="1"/>
          <w:numId w:val="2"/>
        </w:numPr>
        <w:contextualSpacing/>
        <w:rPr>
          <w:bCs/>
          <w:szCs w:val="22"/>
          <w:lang w:val="en-GB"/>
        </w:rPr>
      </w:pPr>
      <w:r w:rsidRPr="000413A5">
        <w:rPr>
          <w:bCs/>
          <w:szCs w:val="22"/>
          <w:lang w:val="en-GB"/>
        </w:rPr>
        <w:t xml:space="preserve">The PBAC’s recommendation for listing was based on, among other matters, its assessment, as described above, that the cost-effectiveness of sofosbuvir with velpatasvir +/- ribavirin would be acceptable if it were cost-minimised against </w:t>
      </w:r>
      <w:r>
        <w:rPr>
          <w:bCs/>
          <w:szCs w:val="22"/>
          <w:lang w:val="en-GB"/>
        </w:rPr>
        <w:t xml:space="preserve">the relevent </w:t>
      </w:r>
      <w:r w:rsidRPr="000413A5">
        <w:rPr>
          <w:bCs/>
          <w:szCs w:val="22"/>
          <w:lang w:val="en-GB"/>
        </w:rPr>
        <w:t xml:space="preserve">lowest priced alternative regimen in the </w:t>
      </w:r>
      <w:r w:rsidRPr="00A6532F">
        <w:rPr>
          <w:bCs/>
          <w:i/>
          <w:szCs w:val="22"/>
          <w:lang w:val="en-GB"/>
        </w:rPr>
        <w:t>General Statement</w:t>
      </w:r>
      <w:r w:rsidRPr="000413A5">
        <w:rPr>
          <w:bCs/>
          <w:szCs w:val="22"/>
          <w:lang w:val="en-GB"/>
        </w:rPr>
        <w:t>.</w:t>
      </w:r>
    </w:p>
    <w:p w:rsidR="009B479E" w:rsidRPr="009B479E" w:rsidRDefault="009B479E" w:rsidP="000413A5">
      <w:pPr>
        <w:ind w:left="720"/>
        <w:contextualSpacing/>
        <w:rPr>
          <w:iCs/>
        </w:rPr>
      </w:pPr>
    </w:p>
    <w:p w:rsidR="00945842" w:rsidRPr="00945842" w:rsidRDefault="00DB28D7" w:rsidP="00945842">
      <w:pPr>
        <w:pStyle w:val="ListParagraph"/>
        <w:numPr>
          <w:ilvl w:val="1"/>
          <w:numId w:val="2"/>
        </w:numPr>
      </w:pPr>
      <w:r w:rsidRPr="00945842">
        <w:rPr>
          <w:bCs/>
          <w:szCs w:val="22"/>
          <w:lang w:val="en-GB"/>
        </w:rPr>
        <w:t>The PBAC considered that the PBS restriction should be consistent with other drugs listed in the</w:t>
      </w:r>
      <w:r w:rsidRPr="00543A72">
        <w:t xml:space="preserve"> </w:t>
      </w:r>
      <w:r w:rsidRPr="00945842">
        <w:rPr>
          <w:i/>
        </w:rPr>
        <w:t>General Statement for Drugs for the Treatment of Hepatitis C</w:t>
      </w:r>
      <w:r>
        <w:t xml:space="preserve">, and recommended that the maximum quantity should provide for one pack, and two repeats, </w:t>
      </w:r>
      <w:r w:rsidRPr="00266AE7">
        <w:t>allowing for 12 weeks’ treatment duration.</w:t>
      </w:r>
      <w:r>
        <w:t xml:space="preserve"> </w:t>
      </w:r>
      <w:r w:rsidRPr="00C02A89">
        <w:t xml:space="preserve">The PBAC also noted that the </w:t>
      </w:r>
      <w:r w:rsidR="008321DD" w:rsidRPr="00C02A89">
        <w:t xml:space="preserve">final </w:t>
      </w:r>
      <w:r w:rsidRPr="00C02A89">
        <w:t xml:space="preserve">restriction will be </w:t>
      </w:r>
      <w:r w:rsidR="008321DD" w:rsidRPr="00C02A89">
        <w:t>based on the</w:t>
      </w:r>
      <w:r w:rsidRPr="00C02A89">
        <w:t xml:space="preserve"> TGA registration.</w:t>
      </w:r>
      <w:r w:rsidR="00566B5A">
        <w:t xml:space="preserve"> The PBAC further advised that it was</w:t>
      </w:r>
      <w:r w:rsidR="00566B5A" w:rsidRPr="00566B5A">
        <w:t xml:space="preserve"> unnecessary for the General Statement to differentiate between regimens suitable for patients with compensated versus decompensated cirrhosis, as proposed by the submission</w:t>
      </w:r>
      <w:r w:rsidR="00566B5A">
        <w:t xml:space="preserve">. The PBAC noted that </w:t>
      </w:r>
      <w:r w:rsidR="00566B5A" w:rsidRPr="00945842">
        <w:rPr>
          <w:szCs w:val="22"/>
        </w:rPr>
        <w:t xml:space="preserve">the </w:t>
      </w:r>
      <w:r w:rsidR="00566B5A" w:rsidRPr="00F16CBF">
        <w:rPr>
          <w:i/>
          <w:szCs w:val="22"/>
        </w:rPr>
        <w:t>General Statement</w:t>
      </w:r>
      <w:r w:rsidR="00566B5A" w:rsidRPr="00945842">
        <w:rPr>
          <w:szCs w:val="22"/>
        </w:rPr>
        <w:t xml:space="preserve"> criteria restrict prescribing to medical practitioners experienced</w:t>
      </w:r>
      <w:r w:rsidR="00927BE4">
        <w:rPr>
          <w:szCs w:val="22"/>
        </w:rPr>
        <w:t xml:space="preserve"> </w:t>
      </w:r>
      <w:r w:rsidR="00566B5A" w:rsidRPr="00945842">
        <w:rPr>
          <w:szCs w:val="22"/>
        </w:rPr>
        <w:t>in the treatment of hepatitis C, and that prescribers are required to treat their patients in line with both the PBS criteria and the TGA Product Information</w:t>
      </w:r>
      <w:r w:rsidR="00566B5A">
        <w:t>.</w:t>
      </w:r>
      <w:r w:rsidR="00945842" w:rsidRPr="00945842">
        <w:t xml:space="preserve"> </w:t>
      </w:r>
      <w:r w:rsidR="00945842">
        <w:t xml:space="preserve">The PBAC considered that the </w:t>
      </w:r>
      <w:r w:rsidR="00945842" w:rsidRPr="00945842">
        <w:t>requirement to add ribavirin to sofosbuvir/velpatasvir in patients with decompensated cirrhosis</w:t>
      </w:r>
      <w:r w:rsidR="00945842">
        <w:t xml:space="preserve"> could be dealt with</w:t>
      </w:r>
      <w:r w:rsidR="00FB6B1B">
        <w:t xml:space="preserve"> </w:t>
      </w:r>
      <w:r w:rsidR="00945842">
        <w:t xml:space="preserve">in the existing format of the </w:t>
      </w:r>
      <w:r w:rsidR="00945842" w:rsidRPr="00F16CBF">
        <w:rPr>
          <w:i/>
        </w:rPr>
        <w:t>General Statement.</w:t>
      </w:r>
    </w:p>
    <w:p w:rsidR="002C4748" w:rsidRPr="003C3927" w:rsidRDefault="002C4748" w:rsidP="002C4748">
      <w:pPr>
        <w:ind w:left="720"/>
        <w:contextualSpacing/>
        <w:rPr>
          <w:bCs/>
          <w:szCs w:val="22"/>
          <w:highlight w:val="yellow"/>
          <w:lang w:val="en-GB"/>
        </w:rPr>
      </w:pPr>
    </w:p>
    <w:p w:rsidR="00D44EF3" w:rsidRDefault="000413A5" w:rsidP="00D44EF3">
      <w:pPr>
        <w:numPr>
          <w:ilvl w:val="1"/>
          <w:numId w:val="2"/>
        </w:numPr>
        <w:contextualSpacing/>
        <w:rPr>
          <w:bCs/>
          <w:szCs w:val="22"/>
          <w:lang w:val="en-GB"/>
        </w:rPr>
      </w:pPr>
      <w:r>
        <w:rPr>
          <w:iCs/>
        </w:rPr>
        <w:lastRenderedPageBreak/>
        <w:t>T</w:t>
      </w:r>
      <w:r w:rsidR="00F22FBC" w:rsidRPr="00F5706B">
        <w:rPr>
          <w:iCs/>
        </w:rPr>
        <w:t xml:space="preserve">he PBAC viewed that </w:t>
      </w:r>
      <w:r w:rsidR="00FC3F5A">
        <w:rPr>
          <w:iCs/>
        </w:rPr>
        <w:t xml:space="preserve">the availability of </w:t>
      </w:r>
      <w:r w:rsidR="00F22FBC" w:rsidRPr="00F5706B">
        <w:rPr>
          <w:iCs/>
        </w:rPr>
        <w:t xml:space="preserve">this regimen will </w:t>
      </w:r>
      <w:r w:rsidR="00FC3F5A">
        <w:rPr>
          <w:iCs/>
        </w:rPr>
        <w:t xml:space="preserve">likely </w:t>
      </w:r>
      <w:r w:rsidR="00F22FBC" w:rsidRPr="00F5706B">
        <w:rPr>
          <w:iCs/>
        </w:rPr>
        <w:t>have a considerable impact on prescribing</w:t>
      </w:r>
      <w:r w:rsidR="00D53E50">
        <w:rPr>
          <w:iCs/>
        </w:rPr>
        <w:t xml:space="preserve"> </w:t>
      </w:r>
      <w:r w:rsidR="00D555AF">
        <w:rPr>
          <w:iCs/>
        </w:rPr>
        <w:t>choices for HCV treatment</w:t>
      </w:r>
      <w:r w:rsidR="00F22FBC" w:rsidRPr="00F5706B">
        <w:rPr>
          <w:iCs/>
        </w:rPr>
        <w:t xml:space="preserve"> in Australia, as it is </w:t>
      </w:r>
      <w:r w:rsidR="00F5706B" w:rsidRPr="00F5706B">
        <w:rPr>
          <w:iCs/>
        </w:rPr>
        <w:t>anticipated</w:t>
      </w:r>
      <w:r w:rsidR="00F22FBC" w:rsidRPr="00F5706B">
        <w:rPr>
          <w:iCs/>
        </w:rPr>
        <w:t xml:space="preserve"> that there </w:t>
      </w:r>
      <w:r w:rsidR="00FB6B1B">
        <w:rPr>
          <w:iCs/>
        </w:rPr>
        <w:t>is likely to</w:t>
      </w:r>
      <w:r w:rsidR="00FB6B1B" w:rsidRPr="00F5706B">
        <w:rPr>
          <w:iCs/>
        </w:rPr>
        <w:t xml:space="preserve"> </w:t>
      </w:r>
      <w:r w:rsidR="00F22FBC" w:rsidRPr="00F5706B">
        <w:rPr>
          <w:iCs/>
        </w:rPr>
        <w:t>be a prescriber preference for a regimen that can act against all genotypes.</w:t>
      </w:r>
    </w:p>
    <w:p w:rsidR="00D44EF3" w:rsidRDefault="00D44EF3" w:rsidP="00D44EF3">
      <w:pPr>
        <w:pStyle w:val="ListParagraph"/>
        <w:rPr>
          <w:szCs w:val="22"/>
        </w:rPr>
      </w:pPr>
    </w:p>
    <w:p w:rsidR="006B0C80" w:rsidRPr="006B0C80" w:rsidRDefault="00D53E50" w:rsidP="006B0C80">
      <w:pPr>
        <w:pStyle w:val="ListParagraph"/>
        <w:numPr>
          <w:ilvl w:val="1"/>
          <w:numId w:val="2"/>
        </w:numPr>
      </w:pPr>
      <w:r w:rsidRPr="006B0C80">
        <w:rPr>
          <w:bCs/>
          <w:szCs w:val="22"/>
          <w:lang w:val="en-GB"/>
        </w:rPr>
        <w:t>The PBAC considered that the clinical evaluation presented by the submission</w:t>
      </w:r>
      <w:r w:rsidR="00362F68" w:rsidRPr="006B0C80">
        <w:rPr>
          <w:bCs/>
          <w:szCs w:val="22"/>
          <w:lang w:val="en-GB"/>
        </w:rPr>
        <w:t xml:space="preserve"> </w:t>
      </w:r>
      <w:r w:rsidR="007B66ED" w:rsidRPr="006B0C80">
        <w:rPr>
          <w:bCs/>
          <w:szCs w:val="22"/>
          <w:lang w:val="en-GB"/>
        </w:rPr>
        <w:t xml:space="preserve">– based </w:t>
      </w:r>
      <w:r w:rsidR="007B66ED" w:rsidRPr="006B0C80">
        <w:t>on four key Phase III trials and one</w:t>
      </w:r>
      <w:r w:rsidR="00C9278C" w:rsidRPr="006B0C80">
        <w:t xml:space="preserve"> supplementary single-arm study, and a series of naïve comparisons – </w:t>
      </w:r>
      <w:r w:rsidR="0043697D" w:rsidRPr="006B0C80">
        <w:t xml:space="preserve">allowed the PBAC to reasonably conclude </w:t>
      </w:r>
      <w:r w:rsidR="007353DF" w:rsidRPr="006B0C80">
        <w:t xml:space="preserve">non-inferior comparative efficacy and safety to the nominated </w:t>
      </w:r>
      <w:r w:rsidR="00DD318A" w:rsidRPr="006B0C80">
        <w:t xml:space="preserve">comparators, despite not all claims being </w:t>
      </w:r>
      <w:r w:rsidR="00FB6B1B">
        <w:t>well</w:t>
      </w:r>
      <w:r w:rsidR="00FB6B1B" w:rsidRPr="006B0C80">
        <w:t xml:space="preserve"> </w:t>
      </w:r>
      <w:r w:rsidR="002B2ED9" w:rsidRPr="006B0C80">
        <w:t>supported.</w:t>
      </w:r>
      <w:r w:rsidR="002B2ED9" w:rsidRPr="00711D41">
        <w:t xml:space="preserve"> </w:t>
      </w:r>
      <w:r w:rsidR="006B0C80" w:rsidRPr="006B0C80">
        <w:t>The PBAC also considered a conclusion of non-inferior effectiveness and comparable safety for sofosbuvir/velpatasvir FDC (12 weeks) versus sofosbuvir plus ribavirin (24 weeks) in GT3 was reasonable.</w:t>
      </w:r>
    </w:p>
    <w:p w:rsidR="006B0C80" w:rsidRPr="006B0C80" w:rsidRDefault="006B0C80" w:rsidP="006B0C80">
      <w:pPr>
        <w:ind w:left="720"/>
        <w:contextualSpacing/>
        <w:rPr>
          <w:bCs/>
          <w:szCs w:val="22"/>
          <w:lang w:val="en-GB"/>
        </w:rPr>
      </w:pPr>
      <w:r>
        <w:t xml:space="preserve"> </w:t>
      </w:r>
    </w:p>
    <w:p w:rsidR="00781801" w:rsidRPr="00711D41" w:rsidRDefault="002B2ED9" w:rsidP="00DD318A">
      <w:pPr>
        <w:numPr>
          <w:ilvl w:val="1"/>
          <w:numId w:val="2"/>
        </w:numPr>
        <w:contextualSpacing/>
        <w:rPr>
          <w:bCs/>
          <w:szCs w:val="22"/>
          <w:lang w:val="en-GB"/>
        </w:rPr>
      </w:pPr>
      <w:r w:rsidRPr="00711D41">
        <w:t>The exception was that t</w:t>
      </w:r>
      <w:r w:rsidR="00DD318A" w:rsidRPr="00711D41">
        <w:t xml:space="preserve">he PBAC did consider it reasonable to conclude that sofosbuvir with velpatasvir would be superior in safety to sofosbuvir+peg-IFN+ribavirin for treatment of genotypes 4-6, given the </w:t>
      </w:r>
      <w:r w:rsidR="00380CAC" w:rsidRPr="00711D41">
        <w:t>well-known</w:t>
      </w:r>
      <w:r w:rsidR="00DD318A" w:rsidRPr="00711D41">
        <w:t xml:space="preserve"> limitations of interferon-containing regimens</w:t>
      </w:r>
      <w:r w:rsidR="00A3267E" w:rsidRPr="00711D41">
        <w:t>.</w:t>
      </w:r>
      <w:r w:rsidRPr="00711D41">
        <w:t xml:space="preserve"> The PBAC considered that the data did not adequately support </w:t>
      </w:r>
      <w:r w:rsidR="004B24BE" w:rsidRPr="00711D41">
        <w:t xml:space="preserve">a claim of superior efficacy in comparison with this regimen. Nor did the data presented support the </w:t>
      </w:r>
      <w:r w:rsidRPr="00711D41">
        <w:t>claims that sofosbuvir</w:t>
      </w:r>
      <w:r w:rsidR="00185A28">
        <w:t xml:space="preserve"> with </w:t>
      </w:r>
      <w:r w:rsidRPr="00711D41">
        <w:t>velpatasvir demonstrated superior efficacy and safety compared with sofosbuvir</w:t>
      </w:r>
      <w:r w:rsidR="00185A28">
        <w:t xml:space="preserve"> plus </w:t>
      </w:r>
      <w:r w:rsidRPr="00711D41">
        <w:t xml:space="preserve">ribavirin for the treatment of genotype 2. </w:t>
      </w:r>
    </w:p>
    <w:p w:rsidR="00781801" w:rsidRPr="00711D41" w:rsidRDefault="00781801" w:rsidP="00781801">
      <w:pPr>
        <w:pStyle w:val="ListParagraph"/>
        <w:rPr>
          <w:szCs w:val="22"/>
        </w:rPr>
      </w:pPr>
    </w:p>
    <w:p w:rsidR="002C4748" w:rsidRPr="00781801" w:rsidRDefault="00771CA1" w:rsidP="00DD318A">
      <w:pPr>
        <w:numPr>
          <w:ilvl w:val="1"/>
          <w:numId w:val="2"/>
        </w:numPr>
        <w:contextualSpacing/>
        <w:rPr>
          <w:bCs/>
          <w:szCs w:val="22"/>
          <w:lang w:val="en-GB"/>
        </w:rPr>
      </w:pPr>
      <w:r w:rsidRPr="00711D41">
        <w:rPr>
          <w:szCs w:val="22"/>
        </w:rPr>
        <w:t>The PBAC noted that in the</w:t>
      </w:r>
      <w:r w:rsidRPr="00711D41">
        <w:t xml:space="preserve"> absence of demonstrated superior comparative effectiveness</w:t>
      </w:r>
      <w:r w:rsidRPr="00781801">
        <w:t xml:space="preserve"> or comparative safety of </w:t>
      </w:r>
      <w:r w:rsidRPr="00781801">
        <w:rPr>
          <w:iCs/>
        </w:rPr>
        <w:t>sofosbuvir</w:t>
      </w:r>
      <w:r w:rsidR="00781801" w:rsidRPr="00781801">
        <w:rPr>
          <w:iCs/>
        </w:rPr>
        <w:t xml:space="preserve"> with </w:t>
      </w:r>
      <w:r w:rsidRPr="00781801">
        <w:rPr>
          <w:iCs/>
        </w:rPr>
        <w:t xml:space="preserve">velpatasvir </w:t>
      </w:r>
      <w:r w:rsidRPr="00781801">
        <w:t xml:space="preserve">over alternative regimens, there is no basis for </w:t>
      </w:r>
      <w:r w:rsidRPr="00781801">
        <w:rPr>
          <w:iCs/>
        </w:rPr>
        <w:t>sofosbuvir</w:t>
      </w:r>
      <w:r w:rsidR="00781801" w:rsidRPr="00781801">
        <w:rPr>
          <w:iCs/>
        </w:rPr>
        <w:t xml:space="preserve"> with </w:t>
      </w:r>
      <w:r w:rsidRPr="00781801">
        <w:rPr>
          <w:iCs/>
        </w:rPr>
        <w:t xml:space="preserve">velpatasvir </w:t>
      </w:r>
      <w:r w:rsidRPr="00781801">
        <w:t>to have a cost advantage over the lowest priced regimen.</w:t>
      </w:r>
    </w:p>
    <w:p w:rsidR="00781801" w:rsidRDefault="00781801" w:rsidP="00781801">
      <w:pPr>
        <w:pStyle w:val="ListParagraph"/>
        <w:rPr>
          <w:bCs/>
          <w:szCs w:val="22"/>
          <w:lang w:val="en-GB"/>
        </w:rPr>
      </w:pPr>
    </w:p>
    <w:p w:rsidR="00781801" w:rsidRPr="00781801" w:rsidRDefault="00781801" w:rsidP="00DD318A">
      <w:pPr>
        <w:numPr>
          <w:ilvl w:val="1"/>
          <w:numId w:val="2"/>
        </w:numPr>
        <w:contextualSpacing/>
        <w:rPr>
          <w:bCs/>
          <w:szCs w:val="22"/>
          <w:lang w:val="en-GB"/>
        </w:rPr>
      </w:pPr>
      <w:r>
        <w:rPr>
          <w:bCs/>
          <w:szCs w:val="22"/>
          <w:lang w:val="en-GB"/>
        </w:rPr>
        <w:t xml:space="preserve">Overall, the PBAC viewed that sofosbuvir with velpatasvir treatment showed </w:t>
      </w:r>
      <w:r w:rsidR="00987773">
        <w:rPr>
          <w:bCs/>
          <w:szCs w:val="22"/>
          <w:lang w:val="en-GB"/>
        </w:rPr>
        <w:t xml:space="preserve">high </w:t>
      </w:r>
      <w:r w:rsidR="00987773" w:rsidRPr="001E2B53">
        <w:rPr>
          <w:bCs/>
          <w:szCs w:val="22"/>
          <w:lang w:val="en-GB"/>
        </w:rPr>
        <w:t>SVR12</w:t>
      </w:r>
      <w:r w:rsidRPr="001E2B53">
        <w:rPr>
          <w:bCs/>
          <w:szCs w:val="22"/>
          <w:lang w:val="en-GB"/>
        </w:rPr>
        <w:t xml:space="preserve"> response rates </w:t>
      </w:r>
      <w:r>
        <w:rPr>
          <w:bCs/>
          <w:szCs w:val="22"/>
          <w:lang w:val="en-GB"/>
        </w:rPr>
        <w:t>irrespective of</w:t>
      </w:r>
      <w:r w:rsidR="00987773">
        <w:rPr>
          <w:bCs/>
          <w:szCs w:val="22"/>
          <w:lang w:val="en-GB"/>
        </w:rPr>
        <w:t xml:space="preserve"> genotype and cirrhosis status. Although patients with GT3 CHC, and particularly those with GT3 and decompensated cirrhosis, </w:t>
      </w:r>
      <w:r w:rsidR="000D750E">
        <w:rPr>
          <w:bCs/>
          <w:szCs w:val="22"/>
          <w:lang w:val="en-GB"/>
        </w:rPr>
        <w:t>showed lower response rates</w:t>
      </w:r>
      <w:r w:rsidR="0014603B">
        <w:rPr>
          <w:bCs/>
          <w:szCs w:val="22"/>
          <w:lang w:val="en-GB"/>
        </w:rPr>
        <w:t xml:space="preserve"> compared to other patient types</w:t>
      </w:r>
      <w:r w:rsidR="000D750E">
        <w:rPr>
          <w:bCs/>
          <w:szCs w:val="22"/>
          <w:lang w:val="en-GB"/>
        </w:rPr>
        <w:t>, these</w:t>
      </w:r>
      <w:r w:rsidR="00987773">
        <w:rPr>
          <w:bCs/>
          <w:szCs w:val="22"/>
          <w:lang w:val="en-GB"/>
        </w:rPr>
        <w:t xml:space="preserve"> were still </w:t>
      </w:r>
      <w:r w:rsidR="00FC3F5A">
        <w:rPr>
          <w:bCs/>
          <w:szCs w:val="22"/>
          <w:lang w:val="en-GB"/>
        </w:rPr>
        <w:t>considered acceptable by</w:t>
      </w:r>
      <w:r w:rsidR="00987773">
        <w:rPr>
          <w:bCs/>
          <w:szCs w:val="22"/>
          <w:lang w:val="en-GB"/>
        </w:rPr>
        <w:t xml:space="preserve"> the PBAC, given that it is well acknowledged that these groups are among the most difficult to treat.</w:t>
      </w:r>
    </w:p>
    <w:p w:rsidR="00D704DC" w:rsidRPr="00D704DC" w:rsidRDefault="00D704DC" w:rsidP="00D704DC">
      <w:pPr>
        <w:ind w:left="720"/>
        <w:contextualSpacing/>
        <w:rPr>
          <w:bCs/>
          <w:szCs w:val="22"/>
          <w:lang w:val="en-GB"/>
        </w:rPr>
      </w:pPr>
    </w:p>
    <w:p w:rsidR="002C4748" w:rsidRPr="000F41AD" w:rsidRDefault="00DE2E70" w:rsidP="002C4748">
      <w:pPr>
        <w:numPr>
          <w:ilvl w:val="1"/>
          <w:numId w:val="2"/>
        </w:numPr>
        <w:contextualSpacing/>
        <w:rPr>
          <w:bCs/>
          <w:szCs w:val="22"/>
          <w:lang w:val="en-GB"/>
        </w:rPr>
      </w:pPr>
      <w:r w:rsidRPr="0020685D">
        <w:rPr>
          <w:bCs/>
          <w:szCs w:val="22"/>
          <w:lang w:val="en-GB"/>
        </w:rPr>
        <w:t xml:space="preserve">The PBAC recommended that, under s101(3BA) of the </w:t>
      </w:r>
      <w:r w:rsidRPr="0020685D">
        <w:rPr>
          <w:bCs/>
          <w:i/>
          <w:szCs w:val="22"/>
          <w:lang w:val="en-GB"/>
        </w:rPr>
        <w:t xml:space="preserve">National Health Act 1953, </w:t>
      </w:r>
      <w:r w:rsidRPr="0020685D">
        <w:rPr>
          <w:bCs/>
          <w:szCs w:val="22"/>
          <w:lang w:val="en-GB"/>
        </w:rPr>
        <w:t>sofosbuvir with velpatasvir</w:t>
      </w:r>
      <w:r w:rsidRPr="0020685D">
        <w:rPr>
          <w:bCs/>
          <w:i/>
          <w:szCs w:val="22"/>
          <w:lang w:val="en-GB"/>
        </w:rPr>
        <w:t xml:space="preserve"> </w:t>
      </w:r>
      <w:r w:rsidR="002C4748" w:rsidRPr="0020685D">
        <w:rPr>
          <w:bCs/>
          <w:szCs w:val="22"/>
          <w:lang w:val="en-GB"/>
        </w:rPr>
        <w:t>should be treated as interchangeable on a</w:t>
      </w:r>
      <w:r w:rsidRPr="0020685D">
        <w:rPr>
          <w:bCs/>
          <w:szCs w:val="22"/>
          <w:lang w:val="en-GB"/>
        </w:rPr>
        <w:t xml:space="preserve">n individual </w:t>
      </w:r>
      <w:r w:rsidRPr="000F41AD">
        <w:rPr>
          <w:bCs/>
          <w:szCs w:val="22"/>
          <w:lang w:val="en-GB"/>
        </w:rPr>
        <w:t>patient basis with:</w:t>
      </w:r>
    </w:p>
    <w:p w:rsidR="007270DF" w:rsidRPr="000F41AD" w:rsidRDefault="007270DF" w:rsidP="007270DF">
      <w:pPr>
        <w:pStyle w:val="ListParagraph"/>
        <w:numPr>
          <w:ilvl w:val="0"/>
          <w:numId w:val="13"/>
        </w:numPr>
        <w:ind w:left="993" w:hanging="283"/>
        <w:rPr>
          <w:iCs/>
        </w:rPr>
      </w:pPr>
      <w:r w:rsidRPr="000F41AD">
        <w:rPr>
          <w:iCs/>
        </w:rPr>
        <w:t>Ledipasvir with sofosbuvir</w:t>
      </w:r>
      <w:r w:rsidR="000F41AD">
        <w:rPr>
          <w:iCs/>
        </w:rPr>
        <w:t>,</w:t>
      </w:r>
      <w:r w:rsidRPr="000F41AD">
        <w:rPr>
          <w:iCs/>
        </w:rPr>
        <w:t xml:space="preserve"> </w:t>
      </w:r>
      <w:r w:rsidR="000F41AD" w:rsidRPr="000F41AD">
        <w:rPr>
          <w:iCs/>
        </w:rPr>
        <w:t xml:space="preserve">and </w:t>
      </w:r>
      <w:r w:rsidR="000F41AD">
        <w:rPr>
          <w:iCs/>
        </w:rPr>
        <w:t xml:space="preserve">with </w:t>
      </w:r>
      <w:r w:rsidR="000F41AD" w:rsidRPr="000F41AD">
        <w:rPr>
          <w:bCs/>
          <w:iCs/>
        </w:rPr>
        <w:t>paritaprevir with ritonavir with ombitasvir and dasabuvir +/- RBV</w:t>
      </w:r>
      <w:r w:rsidRPr="000F41AD">
        <w:rPr>
          <w:iCs/>
        </w:rPr>
        <w:t xml:space="preserve">, for genotype 1 (recalling its July 2016 advice </w:t>
      </w:r>
      <w:r w:rsidR="000F41AD" w:rsidRPr="000F41AD">
        <w:rPr>
          <w:iCs/>
        </w:rPr>
        <w:t>under s101(3BA))</w:t>
      </w:r>
      <w:r w:rsidR="00185A28">
        <w:rPr>
          <w:iCs/>
        </w:rPr>
        <w:t>.</w:t>
      </w:r>
    </w:p>
    <w:p w:rsidR="007270DF" w:rsidRDefault="007270DF" w:rsidP="007270DF">
      <w:pPr>
        <w:pStyle w:val="ListParagraph"/>
        <w:numPr>
          <w:ilvl w:val="0"/>
          <w:numId w:val="13"/>
        </w:numPr>
        <w:ind w:left="993" w:hanging="283"/>
        <w:rPr>
          <w:iCs/>
        </w:rPr>
      </w:pPr>
      <w:r>
        <w:rPr>
          <w:iCs/>
        </w:rPr>
        <w:t>Sofosbuvir in combination with ribavirin, for genotypes 2 and 3</w:t>
      </w:r>
      <w:r w:rsidR="00185A28">
        <w:rPr>
          <w:iCs/>
        </w:rPr>
        <w:t>.</w:t>
      </w:r>
    </w:p>
    <w:p w:rsidR="006B0C80" w:rsidRDefault="006B0C80" w:rsidP="007270DF">
      <w:pPr>
        <w:pStyle w:val="ListParagraph"/>
        <w:numPr>
          <w:ilvl w:val="0"/>
          <w:numId w:val="13"/>
        </w:numPr>
        <w:ind w:left="993" w:hanging="283"/>
        <w:rPr>
          <w:iCs/>
        </w:rPr>
      </w:pPr>
      <w:r>
        <w:rPr>
          <w:iCs/>
        </w:rPr>
        <w:t xml:space="preserve">Daclatazvir and sofosbuvir, for </w:t>
      </w:r>
      <w:r w:rsidR="00380CAC">
        <w:rPr>
          <w:iCs/>
        </w:rPr>
        <w:t>genotype</w:t>
      </w:r>
      <w:r>
        <w:rPr>
          <w:iCs/>
        </w:rPr>
        <w:t xml:space="preserve"> 3.</w:t>
      </w:r>
    </w:p>
    <w:p w:rsidR="008548B0" w:rsidRDefault="007270DF" w:rsidP="008548B0">
      <w:pPr>
        <w:pStyle w:val="ListParagraph"/>
        <w:numPr>
          <w:ilvl w:val="0"/>
          <w:numId w:val="13"/>
        </w:numPr>
        <w:ind w:left="993" w:hanging="283"/>
        <w:rPr>
          <w:iCs/>
        </w:rPr>
      </w:pPr>
      <w:r>
        <w:rPr>
          <w:iCs/>
        </w:rPr>
        <w:t xml:space="preserve">Grazoprevir </w:t>
      </w:r>
      <w:r w:rsidRPr="00862C39">
        <w:rPr>
          <w:iCs/>
        </w:rPr>
        <w:t>with elbasvir</w:t>
      </w:r>
      <w:r w:rsidR="0096703F" w:rsidRPr="00862C39">
        <w:rPr>
          <w:iCs/>
        </w:rPr>
        <w:t xml:space="preserve"> </w:t>
      </w:r>
      <w:r w:rsidR="0096703F" w:rsidRPr="00862C39">
        <w:rPr>
          <w:bCs/>
          <w:iCs/>
        </w:rPr>
        <w:t>+/- RBV</w:t>
      </w:r>
      <w:r w:rsidRPr="00862C39">
        <w:rPr>
          <w:iCs/>
        </w:rPr>
        <w:t xml:space="preserve">, for genotype </w:t>
      </w:r>
      <w:r>
        <w:rPr>
          <w:iCs/>
        </w:rPr>
        <w:t>4</w:t>
      </w:r>
      <w:r w:rsidR="00185A28">
        <w:rPr>
          <w:iCs/>
        </w:rPr>
        <w:t>.</w:t>
      </w:r>
    </w:p>
    <w:p w:rsidR="008548B0" w:rsidRPr="008548B0" w:rsidRDefault="008548B0" w:rsidP="008548B0">
      <w:pPr>
        <w:pStyle w:val="ListParagraph"/>
        <w:ind w:left="993"/>
        <w:rPr>
          <w:iCs/>
        </w:rPr>
      </w:pPr>
    </w:p>
    <w:p w:rsidR="00D3336C" w:rsidRPr="00747EC0" w:rsidRDefault="00D3336C" w:rsidP="00D3336C">
      <w:pPr>
        <w:numPr>
          <w:ilvl w:val="1"/>
          <w:numId w:val="2"/>
        </w:numPr>
        <w:rPr>
          <w:bCs/>
        </w:rPr>
      </w:pPr>
      <w:r w:rsidRPr="002C3191">
        <w:rPr>
          <w:bCs/>
        </w:rPr>
        <w:t xml:space="preserve">The PBAC </w:t>
      </w:r>
      <w:r>
        <w:rPr>
          <w:bCs/>
        </w:rPr>
        <w:t xml:space="preserve">also </w:t>
      </w:r>
      <w:r w:rsidRPr="002C3191">
        <w:rPr>
          <w:bCs/>
        </w:rPr>
        <w:t xml:space="preserve">recommended that </w:t>
      </w:r>
      <w:r w:rsidRPr="00802DBC">
        <w:t>sofosbuvir</w:t>
      </w:r>
      <w:r>
        <w:t xml:space="preserve"> with </w:t>
      </w:r>
      <w:r w:rsidRPr="00802DBC">
        <w:t xml:space="preserve">velpatasvir </w:t>
      </w:r>
      <w:r w:rsidRPr="002C3191">
        <w:rPr>
          <w:bCs/>
        </w:rPr>
        <w:t xml:space="preserve">enter the </w:t>
      </w:r>
      <w:r>
        <w:rPr>
          <w:bCs/>
        </w:rPr>
        <w:t xml:space="preserve">RSA </w:t>
      </w:r>
      <w:r w:rsidRPr="002C3191">
        <w:rPr>
          <w:bCs/>
        </w:rPr>
        <w:t xml:space="preserve">currently in place for other drugs used for the treatment of </w:t>
      </w:r>
      <w:r>
        <w:rPr>
          <w:bCs/>
        </w:rPr>
        <w:t>CHC</w:t>
      </w:r>
      <w:r w:rsidRPr="00961B75">
        <w:rPr>
          <w:bCs/>
        </w:rPr>
        <w:t>, and be subject to the same Subsidisation Caps and rebate arrangements.</w:t>
      </w:r>
    </w:p>
    <w:p w:rsidR="00D3336C" w:rsidRDefault="00D3336C" w:rsidP="00D3336C">
      <w:pPr>
        <w:ind w:left="720"/>
        <w:contextualSpacing/>
        <w:rPr>
          <w:bCs/>
          <w:szCs w:val="22"/>
          <w:lang w:val="en-GB"/>
        </w:rPr>
      </w:pPr>
    </w:p>
    <w:p w:rsidR="008975E7" w:rsidRPr="006E24BF" w:rsidRDefault="002C4748" w:rsidP="008975E7">
      <w:pPr>
        <w:numPr>
          <w:ilvl w:val="1"/>
          <w:numId w:val="2"/>
        </w:numPr>
        <w:contextualSpacing/>
        <w:rPr>
          <w:bCs/>
          <w:szCs w:val="22"/>
          <w:lang w:val="en-GB"/>
        </w:rPr>
      </w:pPr>
      <w:r w:rsidRPr="006E24BF">
        <w:rPr>
          <w:bCs/>
          <w:szCs w:val="22"/>
          <w:lang w:val="en-GB"/>
        </w:rPr>
        <w:t xml:space="preserve">The PBAC advised that </w:t>
      </w:r>
      <w:r w:rsidR="008975E7" w:rsidRPr="006E24BF">
        <w:rPr>
          <w:bCs/>
          <w:szCs w:val="22"/>
          <w:lang w:val="en-GB"/>
        </w:rPr>
        <w:t xml:space="preserve">sofosbuvir with velpatasvir should have the same nurse practitioner prescribing arrangements as other HCV treatments under the </w:t>
      </w:r>
      <w:r w:rsidR="008975E7" w:rsidRPr="00185A28">
        <w:rPr>
          <w:bCs/>
          <w:i/>
          <w:szCs w:val="22"/>
          <w:lang w:val="en-GB"/>
        </w:rPr>
        <w:t xml:space="preserve">General </w:t>
      </w:r>
      <w:r w:rsidR="008975E7" w:rsidRPr="00185A28">
        <w:rPr>
          <w:bCs/>
          <w:i/>
          <w:szCs w:val="22"/>
          <w:lang w:val="en-GB"/>
        </w:rPr>
        <w:lastRenderedPageBreak/>
        <w:t>S</w:t>
      </w:r>
      <w:r w:rsidR="005D47D1" w:rsidRPr="00185A28">
        <w:rPr>
          <w:bCs/>
          <w:i/>
          <w:szCs w:val="22"/>
          <w:lang w:val="en-GB"/>
        </w:rPr>
        <w:t>tatement</w:t>
      </w:r>
      <w:r w:rsidR="005D47D1" w:rsidRPr="006E24BF">
        <w:rPr>
          <w:bCs/>
          <w:szCs w:val="22"/>
          <w:lang w:val="en-GB"/>
        </w:rPr>
        <w:t>.</w:t>
      </w:r>
    </w:p>
    <w:p w:rsidR="005D47D1" w:rsidRPr="006E24BF" w:rsidRDefault="005D47D1" w:rsidP="005D47D1">
      <w:pPr>
        <w:contextualSpacing/>
        <w:rPr>
          <w:bCs/>
          <w:szCs w:val="22"/>
          <w:lang w:val="en-GB"/>
        </w:rPr>
      </w:pPr>
    </w:p>
    <w:p w:rsidR="008975E7" w:rsidRPr="003205D3" w:rsidRDefault="008975E7" w:rsidP="006B0C80">
      <w:pPr>
        <w:numPr>
          <w:ilvl w:val="1"/>
          <w:numId w:val="2"/>
        </w:numPr>
        <w:contextualSpacing/>
        <w:rPr>
          <w:bCs/>
          <w:szCs w:val="22"/>
          <w:lang w:val="en-GB"/>
        </w:rPr>
      </w:pPr>
      <w:r w:rsidRPr="006E24BF">
        <w:rPr>
          <w:bCs/>
          <w:szCs w:val="22"/>
          <w:lang w:val="en-GB"/>
        </w:rPr>
        <w:t>The</w:t>
      </w:r>
      <w:r w:rsidRPr="003205D3">
        <w:rPr>
          <w:bCs/>
          <w:szCs w:val="22"/>
          <w:lang w:val="en-GB"/>
        </w:rPr>
        <w:t xml:space="preserve"> PBAC recommended that the Early Supply Rule should apply to the listing of </w:t>
      </w:r>
      <w:r w:rsidR="006B0C80" w:rsidRPr="006B0C80">
        <w:rPr>
          <w:bCs/>
          <w:szCs w:val="22"/>
          <w:lang w:val="en-GB"/>
        </w:rPr>
        <w:t xml:space="preserve">sofosbuvir with velpatasvir </w:t>
      </w:r>
      <w:r w:rsidRPr="00CA6BA4">
        <w:rPr>
          <w:szCs w:val="22"/>
        </w:rPr>
        <w:t>under the General Schedule.</w:t>
      </w:r>
    </w:p>
    <w:p w:rsidR="002C4748" w:rsidRPr="003C3927" w:rsidRDefault="002C4748" w:rsidP="002C4748">
      <w:pPr>
        <w:pStyle w:val="ListParagraph"/>
        <w:rPr>
          <w:bCs/>
          <w:szCs w:val="22"/>
          <w:highlight w:val="yellow"/>
          <w:lang w:val="en-GB"/>
        </w:rPr>
      </w:pPr>
    </w:p>
    <w:p w:rsidR="002D78F9" w:rsidRPr="006432BD" w:rsidRDefault="002D78F9" w:rsidP="002D78F9">
      <w:pPr>
        <w:numPr>
          <w:ilvl w:val="1"/>
          <w:numId w:val="2"/>
        </w:numPr>
        <w:contextualSpacing/>
        <w:rPr>
          <w:bCs/>
          <w:szCs w:val="22"/>
          <w:lang w:val="en-GB"/>
        </w:rPr>
      </w:pPr>
      <w:r w:rsidRPr="006432BD">
        <w:rPr>
          <w:bCs/>
          <w:szCs w:val="22"/>
          <w:lang w:val="en-GB"/>
        </w:rPr>
        <w:t xml:space="preserve">The PBAC noted that this submission was not eligible for an Independent Review because it received a positive recommendation. </w:t>
      </w:r>
    </w:p>
    <w:p w:rsidR="002C4748" w:rsidRPr="00EA0EDA" w:rsidRDefault="002C4748" w:rsidP="002C4748">
      <w:pPr>
        <w:rPr>
          <w:b/>
          <w:bCs/>
          <w:szCs w:val="22"/>
          <w:highlight w:val="yellow"/>
          <w:lang w:val="en-GB"/>
        </w:rPr>
      </w:pPr>
    </w:p>
    <w:p w:rsidR="0052346C" w:rsidRDefault="0052346C">
      <w:pPr>
        <w:widowControl/>
        <w:jc w:val="left"/>
        <w:rPr>
          <w:b/>
          <w:bCs/>
          <w:szCs w:val="22"/>
          <w:lang w:val="en-GB"/>
        </w:rPr>
      </w:pPr>
      <w:r>
        <w:rPr>
          <w:b/>
          <w:bCs/>
          <w:szCs w:val="22"/>
          <w:lang w:val="en-GB"/>
        </w:rPr>
        <w:br w:type="page"/>
      </w:r>
    </w:p>
    <w:p w:rsidR="002C4748" w:rsidRPr="002D78F9" w:rsidRDefault="002C4748" w:rsidP="002C4748">
      <w:pPr>
        <w:rPr>
          <w:b/>
          <w:bCs/>
          <w:szCs w:val="22"/>
          <w:lang w:val="en-GB"/>
        </w:rPr>
      </w:pPr>
      <w:r w:rsidRPr="002D78F9">
        <w:rPr>
          <w:b/>
          <w:bCs/>
          <w:szCs w:val="22"/>
          <w:lang w:val="en-GB"/>
        </w:rPr>
        <w:lastRenderedPageBreak/>
        <w:t>Outcome:</w:t>
      </w:r>
    </w:p>
    <w:p w:rsidR="00AA77E5" w:rsidRDefault="002D78F9" w:rsidP="00A927CD">
      <w:pPr>
        <w:rPr>
          <w:bCs/>
          <w:szCs w:val="22"/>
          <w:lang w:val="en-GB"/>
        </w:rPr>
      </w:pPr>
      <w:r w:rsidRPr="002D78F9">
        <w:rPr>
          <w:bCs/>
          <w:szCs w:val="22"/>
          <w:lang w:val="en-GB"/>
        </w:rPr>
        <w:t>Recommended</w:t>
      </w:r>
    </w:p>
    <w:p w:rsidR="0052346C" w:rsidRDefault="0052346C" w:rsidP="00A927CD">
      <w:pPr>
        <w:rPr>
          <w:bCs/>
          <w:szCs w:val="22"/>
          <w:lang w:val="en-GB"/>
        </w:rPr>
      </w:pPr>
    </w:p>
    <w:p w:rsidR="0052346C" w:rsidRDefault="0052346C" w:rsidP="00A927CD">
      <w:pPr>
        <w:rPr>
          <w:b/>
          <w:bCs/>
          <w:szCs w:val="22"/>
        </w:rPr>
      </w:pPr>
    </w:p>
    <w:p w:rsidR="00B2397D" w:rsidRPr="00C90D1C" w:rsidRDefault="002C4748" w:rsidP="00B2397D">
      <w:pPr>
        <w:pStyle w:val="PBACHeading1"/>
        <w:rPr>
          <w:bCs/>
        </w:rPr>
      </w:pPr>
      <w:r w:rsidRPr="00C90D1C">
        <w:rPr>
          <w:bCs/>
        </w:rPr>
        <w:t>Recommended listing</w:t>
      </w:r>
    </w:p>
    <w:p w:rsidR="00B2397D" w:rsidRPr="00C90D1C" w:rsidRDefault="00B2397D" w:rsidP="00C3413C"/>
    <w:p w:rsidR="002C4748" w:rsidRPr="00C90D1C" w:rsidRDefault="002C4748" w:rsidP="00C3413C">
      <w:pPr>
        <w:numPr>
          <w:ilvl w:val="1"/>
          <w:numId w:val="2"/>
        </w:numPr>
        <w:contextualSpacing/>
      </w:pPr>
      <w:r w:rsidRPr="00C90D1C">
        <w:t>Add new item:</w:t>
      </w:r>
    </w:p>
    <w:p w:rsidR="002C4748" w:rsidRPr="006C307E" w:rsidRDefault="002C4748" w:rsidP="002C4748">
      <w:pPr>
        <w:rPr>
          <w:b/>
          <w:bCs/>
          <w:szCs w:val="22"/>
          <w:highlight w:val="yellow"/>
        </w:rPr>
      </w:pPr>
    </w:p>
    <w:tbl>
      <w:tblPr>
        <w:tblW w:w="4534" w:type="pct"/>
        <w:tblInd w:w="737" w:type="dxa"/>
        <w:tblLayout w:type="fixed"/>
        <w:tblCellMar>
          <w:left w:w="28" w:type="dxa"/>
          <w:right w:w="28" w:type="dxa"/>
        </w:tblCellMar>
        <w:tblLook w:val="04A0" w:firstRow="1" w:lastRow="0" w:firstColumn="1" w:lastColumn="0" w:noHBand="0" w:noVBand="1"/>
      </w:tblPr>
      <w:tblGrid>
        <w:gridCol w:w="2087"/>
        <w:gridCol w:w="700"/>
        <w:gridCol w:w="865"/>
        <w:gridCol w:w="15"/>
        <w:gridCol w:w="797"/>
        <w:gridCol w:w="838"/>
        <w:gridCol w:w="1537"/>
        <w:gridCol w:w="1385"/>
        <w:gridCol w:w="12"/>
      </w:tblGrid>
      <w:tr w:rsidR="00C90D1C" w:rsidRPr="00311B3B" w:rsidTr="00615AB9">
        <w:trPr>
          <w:cantSplit/>
          <w:trHeight w:val="20"/>
        </w:trPr>
        <w:tc>
          <w:tcPr>
            <w:tcW w:w="1692" w:type="pct"/>
            <w:gridSpan w:val="2"/>
            <w:tcBorders>
              <w:top w:val="nil"/>
              <w:left w:val="nil"/>
              <w:bottom w:val="single" w:sz="4" w:space="0" w:color="auto"/>
              <w:right w:val="nil"/>
            </w:tcBorders>
            <w:hideMark/>
          </w:tcPr>
          <w:p w:rsidR="00C90D1C" w:rsidRPr="00311B3B" w:rsidRDefault="00C90D1C" w:rsidP="00615AB9">
            <w:pPr>
              <w:keepNext/>
              <w:widowControl/>
              <w:rPr>
                <w:rFonts w:ascii="Arial Narrow" w:hAnsi="Arial Narrow"/>
                <w:b/>
                <w:sz w:val="20"/>
              </w:rPr>
            </w:pPr>
            <w:r w:rsidRPr="00311B3B">
              <w:rPr>
                <w:rFonts w:ascii="Arial Narrow" w:hAnsi="Arial Narrow"/>
                <w:b/>
                <w:sz w:val="20"/>
              </w:rPr>
              <w:t>Name, Restriction,</w:t>
            </w:r>
          </w:p>
          <w:p w:rsidR="00C90D1C" w:rsidRPr="00311B3B" w:rsidRDefault="00C90D1C" w:rsidP="00615AB9">
            <w:pPr>
              <w:keepNext/>
              <w:widowControl/>
              <w:rPr>
                <w:rFonts w:ascii="Arial Narrow" w:hAnsi="Arial Narrow"/>
                <w:b/>
                <w:sz w:val="20"/>
              </w:rPr>
            </w:pPr>
            <w:r w:rsidRPr="00311B3B">
              <w:rPr>
                <w:rFonts w:ascii="Arial Narrow" w:hAnsi="Arial Narrow"/>
                <w:b/>
                <w:sz w:val="20"/>
              </w:rPr>
              <w:t>Manner of administration and form</w:t>
            </w:r>
          </w:p>
        </w:tc>
        <w:tc>
          <w:tcPr>
            <w:tcW w:w="534" w:type="pct"/>
            <w:gridSpan w:val="2"/>
            <w:tcBorders>
              <w:top w:val="nil"/>
              <w:left w:val="nil"/>
              <w:bottom w:val="single" w:sz="4" w:space="0" w:color="auto"/>
              <w:right w:val="nil"/>
            </w:tcBorders>
            <w:hideMark/>
          </w:tcPr>
          <w:p w:rsidR="00C90D1C" w:rsidRPr="00311B3B" w:rsidRDefault="00C90D1C" w:rsidP="00615AB9">
            <w:pPr>
              <w:keepNext/>
              <w:widowControl/>
              <w:jc w:val="center"/>
              <w:rPr>
                <w:rFonts w:ascii="Arial Narrow" w:hAnsi="Arial Narrow"/>
                <w:b/>
                <w:sz w:val="20"/>
              </w:rPr>
            </w:pPr>
            <w:r w:rsidRPr="00311B3B">
              <w:rPr>
                <w:rFonts w:ascii="Arial Narrow" w:hAnsi="Arial Narrow"/>
                <w:b/>
                <w:sz w:val="20"/>
              </w:rPr>
              <w:t>Max. Qty (units)</w:t>
            </w:r>
          </w:p>
        </w:tc>
        <w:tc>
          <w:tcPr>
            <w:tcW w:w="484" w:type="pct"/>
            <w:tcBorders>
              <w:top w:val="nil"/>
              <w:left w:val="nil"/>
              <w:bottom w:val="single" w:sz="4" w:space="0" w:color="auto"/>
              <w:right w:val="nil"/>
            </w:tcBorders>
          </w:tcPr>
          <w:p w:rsidR="00C90D1C" w:rsidRPr="00311B3B" w:rsidRDefault="00C90D1C" w:rsidP="00615AB9">
            <w:pPr>
              <w:keepNext/>
              <w:widowControl/>
              <w:jc w:val="center"/>
              <w:rPr>
                <w:rFonts w:ascii="Arial Narrow" w:hAnsi="Arial Narrow"/>
                <w:b/>
                <w:sz w:val="20"/>
              </w:rPr>
            </w:pPr>
            <w:r w:rsidRPr="00311B3B">
              <w:rPr>
                <w:rFonts w:ascii="Arial Narrow" w:hAnsi="Arial Narrow"/>
                <w:b/>
                <w:sz w:val="20"/>
              </w:rPr>
              <w:t>Max. Qty (packs)</w:t>
            </w:r>
          </w:p>
        </w:tc>
        <w:tc>
          <w:tcPr>
            <w:tcW w:w="509" w:type="pct"/>
            <w:tcBorders>
              <w:top w:val="nil"/>
              <w:left w:val="nil"/>
              <w:bottom w:val="single" w:sz="4" w:space="0" w:color="auto"/>
              <w:right w:val="nil"/>
            </w:tcBorders>
            <w:hideMark/>
          </w:tcPr>
          <w:p w:rsidR="00C90D1C" w:rsidRPr="00311B3B" w:rsidRDefault="00C90D1C" w:rsidP="00615AB9">
            <w:pPr>
              <w:keepNext/>
              <w:widowControl/>
              <w:jc w:val="center"/>
              <w:rPr>
                <w:rFonts w:ascii="Arial Narrow" w:hAnsi="Arial Narrow"/>
                <w:b/>
                <w:sz w:val="20"/>
              </w:rPr>
            </w:pPr>
            <w:r w:rsidRPr="00311B3B">
              <w:rPr>
                <w:rFonts w:ascii="Arial Narrow" w:hAnsi="Arial Narrow"/>
                <w:b/>
                <w:sz w:val="20"/>
              </w:rPr>
              <w:t>№.of</w:t>
            </w:r>
          </w:p>
          <w:p w:rsidR="00C90D1C" w:rsidRPr="00311B3B" w:rsidRDefault="00C90D1C" w:rsidP="00615AB9">
            <w:pPr>
              <w:keepNext/>
              <w:widowControl/>
              <w:jc w:val="center"/>
              <w:rPr>
                <w:rFonts w:ascii="Arial Narrow" w:hAnsi="Arial Narrow"/>
                <w:b/>
                <w:sz w:val="20"/>
              </w:rPr>
            </w:pPr>
            <w:r w:rsidRPr="00311B3B">
              <w:rPr>
                <w:rFonts w:ascii="Arial Narrow" w:hAnsi="Arial Narrow"/>
                <w:b/>
                <w:sz w:val="20"/>
              </w:rPr>
              <w:t>Rpts</w:t>
            </w:r>
          </w:p>
        </w:tc>
        <w:tc>
          <w:tcPr>
            <w:tcW w:w="1781" w:type="pct"/>
            <w:gridSpan w:val="3"/>
            <w:tcBorders>
              <w:top w:val="nil"/>
              <w:left w:val="nil"/>
              <w:bottom w:val="single" w:sz="4" w:space="0" w:color="auto"/>
              <w:right w:val="nil"/>
            </w:tcBorders>
            <w:hideMark/>
          </w:tcPr>
          <w:p w:rsidR="00C90D1C" w:rsidRPr="00311B3B" w:rsidRDefault="00C90D1C" w:rsidP="00615AB9">
            <w:pPr>
              <w:keepNext/>
              <w:widowControl/>
              <w:jc w:val="center"/>
              <w:rPr>
                <w:rFonts w:ascii="Arial Narrow" w:hAnsi="Arial Narrow"/>
                <w:b/>
                <w:sz w:val="20"/>
              </w:rPr>
            </w:pPr>
            <w:r w:rsidRPr="00311B3B">
              <w:rPr>
                <w:rFonts w:ascii="Arial Narrow" w:hAnsi="Arial Narrow"/>
                <w:b/>
                <w:sz w:val="20"/>
              </w:rPr>
              <w:t>Proprietary Name and Manufacturer</w:t>
            </w:r>
          </w:p>
        </w:tc>
      </w:tr>
      <w:tr w:rsidR="00C90D1C" w:rsidRPr="00311B3B" w:rsidTr="00615AB9">
        <w:trPr>
          <w:cantSplit/>
          <w:trHeight w:val="20"/>
        </w:trPr>
        <w:tc>
          <w:tcPr>
            <w:tcW w:w="1692" w:type="pct"/>
            <w:gridSpan w:val="2"/>
            <w:hideMark/>
          </w:tcPr>
          <w:p w:rsidR="00C90D1C" w:rsidRPr="009C6E2C" w:rsidRDefault="0033675B" w:rsidP="00615AB9">
            <w:pPr>
              <w:keepNext/>
              <w:widowControl/>
              <w:jc w:val="left"/>
              <w:rPr>
                <w:rFonts w:ascii="Arial Narrow" w:hAnsi="Arial Narrow"/>
                <w:smallCaps/>
                <w:sz w:val="20"/>
              </w:rPr>
            </w:pPr>
            <w:r w:rsidRPr="009C6E2C">
              <w:rPr>
                <w:rFonts w:ascii="Arial Narrow" w:hAnsi="Arial Narrow"/>
                <w:smallCaps/>
                <w:sz w:val="20"/>
              </w:rPr>
              <w:t>SOFOSBUVIR + VELPATASVIR</w:t>
            </w:r>
          </w:p>
          <w:p w:rsidR="00C90D1C" w:rsidRPr="009C6E2C" w:rsidRDefault="0033675B" w:rsidP="00615AB9">
            <w:pPr>
              <w:keepNext/>
              <w:widowControl/>
              <w:rPr>
                <w:rFonts w:ascii="Arial Narrow" w:hAnsi="Arial Narrow"/>
                <w:b/>
                <w:bCs/>
                <w:sz w:val="20"/>
              </w:rPr>
            </w:pPr>
            <w:r w:rsidRPr="009C6E2C">
              <w:rPr>
                <w:rFonts w:ascii="Arial Narrow" w:hAnsi="Arial Narrow"/>
                <w:sz w:val="20"/>
              </w:rPr>
              <w:t>Sofosbuvir 400 mg + velpatasvir 100 mg tablet</w:t>
            </w:r>
          </w:p>
        </w:tc>
        <w:tc>
          <w:tcPr>
            <w:tcW w:w="525" w:type="pct"/>
            <w:vAlign w:val="center"/>
          </w:tcPr>
          <w:p w:rsidR="00C90D1C" w:rsidRPr="009C6E2C" w:rsidRDefault="0033675B" w:rsidP="00615AB9">
            <w:pPr>
              <w:keepNext/>
              <w:widowControl/>
              <w:jc w:val="center"/>
              <w:rPr>
                <w:rFonts w:ascii="Arial Narrow" w:hAnsi="Arial Narrow"/>
                <w:sz w:val="20"/>
              </w:rPr>
            </w:pPr>
            <w:r w:rsidRPr="009C6E2C">
              <w:rPr>
                <w:rFonts w:ascii="Arial Narrow" w:hAnsi="Arial Narrow"/>
                <w:sz w:val="20"/>
              </w:rPr>
              <w:t>28</w:t>
            </w:r>
          </w:p>
        </w:tc>
        <w:tc>
          <w:tcPr>
            <w:tcW w:w="493" w:type="pct"/>
            <w:gridSpan w:val="2"/>
            <w:vAlign w:val="center"/>
          </w:tcPr>
          <w:p w:rsidR="00C90D1C" w:rsidRPr="009C6E2C" w:rsidRDefault="00C90D1C" w:rsidP="00615AB9">
            <w:pPr>
              <w:keepNext/>
              <w:widowControl/>
              <w:jc w:val="center"/>
              <w:rPr>
                <w:rFonts w:ascii="Arial Narrow" w:hAnsi="Arial Narrow"/>
                <w:sz w:val="20"/>
              </w:rPr>
            </w:pPr>
            <w:r w:rsidRPr="009C6E2C">
              <w:rPr>
                <w:rFonts w:ascii="Arial Narrow" w:hAnsi="Arial Narrow"/>
                <w:sz w:val="20"/>
              </w:rPr>
              <w:t>1</w:t>
            </w:r>
          </w:p>
        </w:tc>
        <w:tc>
          <w:tcPr>
            <w:tcW w:w="509" w:type="pct"/>
            <w:vAlign w:val="center"/>
          </w:tcPr>
          <w:p w:rsidR="00C90D1C" w:rsidRPr="009C6E2C" w:rsidRDefault="00C90D1C" w:rsidP="00615AB9">
            <w:pPr>
              <w:keepNext/>
              <w:widowControl/>
              <w:jc w:val="center"/>
              <w:rPr>
                <w:rFonts w:ascii="Arial Narrow" w:hAnsi="Arial Narrow"/>
                <w:sz w:val="20"/>
              </w:rPr>
            </w:pPr>
            <w:r w:rsidRPr="009C6E2C">
              <w:rPr>
                <w:rFonts w:ascii="Arial Narrow" w:hAnsi="Arial Narrow"/>
                <w:sz w:val="20"/>
              </w:rPr>
              <w:t>2</w:t>
            </w:r>
          </w:p>
        </w:tc>
        <w:tc>
          <w:tcPr>
            <w:tcW w:w="933" w:type="pct"/>
            <w:vAlign w:val="center"/>
            <w:hideMark/>
          </w:tcPr>
          <w:p w:rsidR="00C90D1C" w:rsidRPr="009C6E2C" w:rsidRDefault="0033675B" w:rsidP="0033675B">
            <w:pPr>
              <w:keepNext/>
              <w:widowControl/>
              <w:rPr>
                <w:rFonts w:ascii="Arial Narrow" w:hAnsi="Arial Narrow"/>
                <w:sz w:val="20"/>
              </w:rPr>
            </w:pPr>
            <w:r w:rsidRPr="009C6E2C">
              <w:rPr>
                <w:rFonts w:ascii="Arial Narrow" w:hAnsi="Arial Narrow"/>
                <w:sz w:val="20"/>
              </w:rPr>
              <w:t>Epclusa</w:t>
            </w:r>
            <w:r w:rsidR="00C90D1C" w:rsidRPr="009C6E2C">
              <w:rPr>
                <w:rFonts w:ascii="Arial Narrow" w:hAnsi="Arial Narrow"/>
                <w:sz w:val="20"/>
              </w:rPr>
              <w:t>®</w:t>
            </w:r>
          </w:p>
        </w:tc>
        <w:tc>
          <w:tcPr>
            <w:tcW w:w="848" w:type="pct"/>
            <w:gridSpan w:val="2"/>
            <w:vAlign w:val="center"/>
            <w:hideMark/>
          </w:tcPr>
          <w:p w:rsidR="00C90D1C" w:rsidRPr="009C6E2C" w:rsidRDefault="0033675B" w:rsidP="00615AB9">
            <w:pPr>
              <w:keepNext/>
              <w:widowControl/>
              <w:jc w:val="center"/>
              <w:rPr>
                <w:rFonts w:ascii="Arial Narrow" w:hAnsi="Arial Narrow"/>
                <w:sz w:val="20"/>
              </w:rPr>
            </w:pPr>
            <w:r w:rsidRPr="009C6E2C">
              <w:rPr>
                <w:rFonts w:ascii="Arial Narrow" w:hAnsi="Arial Narrow"/>
                <w:sz w:val="20"/>
              </w:rPr>
              <w:t>Gilead Sciences Pty Ltd</w:t>
            </w:r>
          </w:p>
        </w:tc>
      </w:tr>
      <w:tr w:rsidR="00C90D1C" w:rsidRPr="00260CE3" w:rsidTr="00615AB9">
        <w:tblPrEx>
          <w:tblCellMar>
            <w:left w:w="108" w:type="dxa"/>
            <w:right w:w="108" w:type="dxa"/>
          </w:tblCellMar>
          <w:tblLook w:val="0000" w:firstRow="0" w:lastRow="0" w:firstColumn="0" w:lastColumn="0" w:noHBand="0" w:noVBand="0"/>
        </w:tblPrEx>
        <w:trPr>
          <w:gridAfter w:val="1"/>
          <w:wAfter w:w="7" w:type="pct"/>
          <w:cantSplit/>
          <w:trHeight w:val="20"/>
        </w:trPr>
        <w:tc>
          <w:tcPr>
            <w:tcW w:w="1267" w:type="pct"/>
            <w:tcBorders>
              <w:top w:val="single" w:sz="4" w:space="0" w:color="auto"/>
              <w:left w:val="single" w:sz="4" w:space="0" w:color="auto"/>
              <w:bottom w:val="single" w:sz="4" w:space="0" w:color="auto"/>
              <w:right w:val="single" w:sz="4" w:space="0" w:color="auto"/>
            </w:tcBorders>
          </w:tcPr>
          <w:p w:rsidR="00C90D1C" w:rsidRPr="00260CE3" w:rsidRDefault="00C90D1C" w:rsidP="00615AB9">
            <w:pPr>
              <w:rPr>
                <w:rFonts w:ascii="Arial Narrow" w:hAnsi="Arial Narrow"/>
                <w:b/>
                <w:sz w:val="20"/>
              </w:rPr>
            </w:pPr>
            <w:r w:rsidRPr="00260CE3">
              <w:rPr>
                <w:rFonts w:ascii="Arial Narrow" w:hAnsi="Arial Narrow"/>
                <w:b/>
                <w:sz w:val="20"/>
              </w:rPr>
              <w:t xml:space="preserve">Category / </w:t>
            </w:r>
            <w:r>
              <w:rPr>
                <w:rFonts w:ascii="Arial Narrow" w:hAnsi="Arial Narrow"/>
                <w:b/>
                <w:sz w:val="20"/>
              </w:rPr>
              <w:t xml:space="preserve"> </w:t>
            </w:r>
            <w:r w:rsidRPr="00260CE3">
              <w:rPr>
                <w:rFonts w:ascii="Arial Narrow" w:hAnsi="Arial Narrow"/>
                <w:b/>
                <w:sz w:val="20"/>
              </w:rPr>
              <w:t>Program</w:t>
            </w:r>
            <w:r>
              <w:rPr>
                <w:rFonts w:ascii="Arial Narrow" w:hAnsi="Arial Narrow"/>
                <w:b/>
                <w:sz w:val="20"/>
              </w:rPr>
              <w:t>:</w:t>
            </w:r>
          </w:p>
        </w:tc>
        <w:tc>
          <w:tcPr>
            <w:tcW w:w="3726" w:type="pct"/>
            <w:gridSpan w:val="7"/>
            <w:tcBorders>
              <w:top w:val="single" w:sz="4" w:space="0" w:color="auto"/>
              <w:left w:val="single" w:sz="4" w:space="0" w:color="auto"/>
              <w:bottom w:val="single" w:sz="4" w:space="0" w:color="auto"/>
              <w:right w:val="single" w:sz="4" w:space="0" w:color="auto"/>
            </w:tcBorders>
          </w:tcPr>
          <w:p w:rsidR="00C90D1C" w:rsidRPr="00260CE3" w:rsidRDefault="00C90D1C" w:rsidP="00615AB9">
            <w:pPr>
              <w:rPr>
                <w:rFonts w:ascii="Arial Narrow" w:hAnsi="Arial Narrow"/>
                <w:sz w:val="20"/>
              </w:rPr>
            </w:pPr>
            <w:r w:rsidRPr="00260CE3">
              <w:rPr>
                <w:rFonts w:ascii="Arial Narrow" w:hAnsi="Arial Narrow"/>
                <w:sz w:val="20"/>
              </w:rPr>
              <w:t>GENERAL – General Schedule (Code GE)</w:t>
            </w:r>
          </w:p>
          <w:p w:rsidR="00C90D1C" w:rsidRPr="00260CE3" w:rsidRDefault="00C90D1C" w:rsidP="00615AB9">
            <w:pPr>
              <w:rPr>
                <w:rFonts w:ascii="Arial Narrow" w:hAnsi="Arial Narrow"/>
                <w:sz w:val="20"/>
              </w:rPr>
            </w:pPr>
            <w:r w:rsidRPr="00260CE3">
              <w:rPr>
                <w:rFonts w:ascii="Arial Narrow" w:hAnsi="Arial Narrow"/>
                <w:sz w:val="20"/>
              </w:rPr>
              <w:t>Section 100 – Highly Specialised Drugs Program</w:t>
            </w:r>
          </w:p>
        </w:tc>
      </w:tr>
      <w:tr w:rsidR="00C90D1C" w:rsidRPr="00260CE3" w:rsidTr="00615AB9">
        <w:tblPrEx>
          <w:tblCellMar>
            <w:left w:w="108" w:type="dxa"/>
            <w:right w:w="108" w:type="dxa"/>
          </w:tblCellMar>
          <w:tblLook w:val="0000" w:firstRow="0" w:lastRow="0" w:firstColumn="0" w:lastColumn="0" w:noHBand="0" w:noVBand="0"/>
        </w:tblPrEx>
        <w:trPr>
          <w:gridAfter w:val="1"/>
          <w:wAfter w:w="7" w:type="pct"/>
          <w:cantSplit/>
          <w:trHeight w:val="20"/>
        </w:trPr>
        <w:tc>
          <w:tcPr>
            <w:tcW w:w="1267" w:type="pct"/>
            <w:tcBorders>
              <w:top w:val="single" w:sz="4" w:space="0" w:color="auto"/>
              <w:left w:val="single" w:sz="4" w:space="0" w:color="auto"/>
              <w:bottom w:val="single" w:sz="4" w:space="0" w:color="auto"/>
              <w:right w:val="single" w:sz="4" w:space="0" w:color="auto"/>
            </w:tcBorders>
          </w:tcPr>
          <w:p w:rsidR="00C90D1C" w:rsidRPr="00260CE3" w:rsidRDefault="00C90D1C" w:rsidP="00615AB9">
            <w:pPr>
              <w:rPr>
                <w:rFonts w:ascii="Arial Narrow" w:hAnsi="Arial Narrow"/>
                <w:b/>
                <w:sz w:val="20"/>
              </w:rPr>
            </w:pPr>
            <w:r w:rsidRPr="00260CE3">
              <w:rPr>
                <w:rFonts w:ascii="Arial Narrow" w:hAnsi="Arial Narrow"/>
                <w:b/>
                <w:sz w:val="20"/>
              </w:rPr>
              <w:t>Prescriber type:</w:t>
            </w:r>
          </w:p>
        </w:tc>
        <w:tc>
          <w:tcPr>
            <w:tcW w:w="3726" w:type="pct"/>
            <w:gridSpan w:val="7"/>
            <w:tcBorders>
              <w:top w:val="single" w:sz="4" w:space="0" w:color="auto"/>
              <w:left w:val="single" w:sz="4" w:space="0" w:color="auto"/>
              <w:bottom w:val="single" w:sz="4" w:space="0" w:color="auto"/>
              <w:right w:val="single" w:sz="4" w:space="0" w:color="auto"/>
            </w:tcBorders>
          </w:tcPr>
          <w:p w:rsidR="00C90D1C" w:rsidRPr="00260CE3" w:rsidRDefault="00C90D1C" w:rsidP="007E7D6F">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A71D0">
              <w:rPr>
                <w:rFonts w:ascii="Arial Narrow" w:hAnsi="Arial Narrow"/>
                <w:sz w:val="20"/>
              </w:rPr>
            </w:r>
            <w:r w:rsidR="002A71D0">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p>
        </w:tc>
      </w:tr>
      <w:tr w:rsidR="00C90D1C" w:rsidRPr="00260CE3" w:rsidTr="00615AB9">
        <w:tblPrEx>
          <w:tblCellMar>
            <w:left w:w="108" w:type="dxa"/>
            <w:right w:w="108" w:type="dxa"/>
          </w:tblCellMar>
          <w:tblLook w:val="0000" w:firstRow="0" w:lastRow="0" w:firstColumn="0" w:lastColumn="0" w:noHBand="0" w:noVBand="0"/>
        </w:tblPrEx>
        <w:trPr>
          <w:gridAfter w:val="1"/>
          <w:wAfter w:w="7" w:type="pct"/>
          <w:cantSplit/>
          <w:trHeight w:val="20"/>
        </w:trPr>
        <w:tc>
          <w:tcPr>
            <w:tcW w:w="1267" w:type="pct"/>
            <w:tcBorders>
              <w:top w:val="single" w:sz="4" w:space="0" w:color="auto"/>
              <w:left w:val="single" w:sz="4" w:space="0" w:color="auto"/>
              <w:bottom w:val="single" w:sz="4" w:space="0" w:color="auto"/>
              <w:right w:val="single" w:sz="4" w:space="0" w:color="auto"/>
            </w:tcBorders>
          </w:tcPr>
          <w:p w:rsidR="00C90D1C" w:rsidRPr="00B67119" w:rsidRDefault="00C90D1C" w:rsidP="00615AB9">
            <w:pPr>
              <w:rPr>
                <w:rFonts w:ascii="Arial Narrow" w:hAnsi="Arial Narrow"/>
                <w:b/>
                <w:sz w:val="20"/>
              </w:rPr>
            </w:pPr>
            <w:r w:rsidRPr="00260CE3">
              <w:rPr>
                <w:rFonts w:ascii="Arial Narrow" w:hAnsi="Arial Narrow"/>
                <w:b/>
                <w:sz w:val="20"/>
              </w:rPr>
              <w:t>PBS Indication:</w:t>
            </w:r>
          </w:p>
        </w:tc>
        <w:tc>
          <w:tcPr>
            <w:tcW w:w="3726" w:type="pct"/>
            <w:gridSpan w:val="7"/>
            <w:tcBorders>
              <w:top w:val="single" w:sz="4" w:space="0" w:color="auto"/>
              <w:left w:val="single" w:sz="4" w:space="0" w:color="auto"/>
              <w:bottom w:val="single" w:sz="4" w:space="0" w:color="auto"/>
              <w:right w:val="single" w:sz="4" w:space="0" w:color="auto"/>
            </w:tcBorders>
          </w:tcPr>
          <w:p w:rsidR="00C90D1C" w:rsidRPr="00260CE3" w:rsidRDefault="00C90D1C" w:rsidP="00615AB9">
            <w:pPr>
              <w:rPr>
                <w:rFonts w:ascii="Arial Narrow" w:hAnsi="Arial Narrow"/>
                <w:sz w:val="20"/>
              </w:rPr>
            </w:pPr>
            <w:r w:rsidRPr="00B67119">
              <w:rPr>
                <w:rFonts w:ascii="Arial Narrow" w:hAnsi="Arial Narrow"/>
                <w:sz w:val="20"/>
              </w:rPr>
              <w:t>Chronic hepatitis C infection</w:t>
            </w:r>
          </w:p>
        </w:tc>
      </w:tr>
      <w:tr w:rsidR="00C90D1C" w:rsidRPr="00260CE3" w:rsidTr="00615AB9">
        <w:tblPrEx>
          <w:tblCellMar>
            <w:left w:w="108" w:type="dxa"/>
            <w:right w:w="108" w:type="dxa"/>
          </w:tblCellMar>
          <w:tblLook w:val="0000" w:firstRow="0" w:lastRow="0" w:firstColumn="0" w:lastColumn="0" w:noHBand="0" w:noVBand="0"/>
        </w:tblPrEx>
        <w:trPr>
          <w:gridAfter w:val="1"/>
          <w:wAfter w:w="7" w:type="pct"/>
          <w:cantSplit/>
          <w:trHeight w:val="20"/>
        </w:trPr>
        <w:tc>
          <w:tcPr>
            <w:tcW w:w="1267" w:type="pct"/>
            <w:tcBorders>
              <w:top w:val="single" w:sz="4" w:space="0" w:color="auto"/>
              <w:left w:val="single" w:sz="4" w:space="0" w:color="auto"/>
              <w:bottom w:val="single" w:sz="4" w:space="0" w:color="auto"/>
              <w:right w:val="single" w:sz="4" w:space="0" w:color="auto"/>
            </w:tcBorders>
          </w:tcPr>
          <w:p w:rsidR="00C90D1C" w:rsidRPr="00CD28F3" w:rsidRDefault="00C90D1C" w:rsidP="00615AB9">
            <w:pPr>
              <w:jc w:val="left"/>
              <w:rPr>
                <w:rFonts w:ascii="Arial Narrow" w:hAnsi="Arial Narrow"/>
                <w:i/>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3726" w:type="pct"/>
            <w:gridSpan w:val="7"/>
            <w:tcBorders>
              <w:top w:val="single" w:sz="4" w:space="0" w:color="auto"/>
              <w:left w:val="single" w:sz="4" w:space="0" w:color="auto"/>
              <w:bottom w:val="single" w:sz="4" w:space="0" w:color="auto"/>
              <w:right w:val="single" w:sz="4" w:space="0" w:color="auto"/>
            </w:tcBorders>
          </w:tcPr>
          <w:p w:rsidR="00C90D1C" w:rsidRPr="00106BCF" w:rsidRDefault="00C90D1C" w:rsidP="00615AB9">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A71D0">
              <w:rPr>
                <w:rFonts w:ascii="Arial Narrow" w:hAnsi="Arial Narrow"/>
                <w:sz w:val="20"/>
              </w:rPr>
            </w:r>
            <w:r w:rsidR="002A71D0">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C90D1C" w:rsidRPr="00260CE3" w:rsidRDefault="00C90D1C" w:rsidP="00615AB9">
            <w:pPr>
              <w:rPr>
                <w:rFonts w:ascii="Arial Narrow" w:hAnsi="Arial Narrow"/>
                <w:sz w:val="20"/>
              </w:rPr>
            </w:pPr>
            <w:r>
              <w:rPr>
                <w:rFonts w:ascii="Arial Narrow" w:hAnsi="Arial Narrow"/>
                <w:sz w:val="20"/>
              </w:rPr>
              <w:fldChar w:fldCharType="begin">
                <w:ffData>
                  <w:name w:val="Check3"/>
                  <w:enabled/>
                  <w:calcOnExit w:val="0"/>
                  <w:checkBox>
                    <w:sizeAuto/>
                    <w:default w:val="1"/>
                  </w:checkBox>
                </w:ffData>
              </w:fldChar>
            </w:r>
            <w:bookmarkStart w:id="35" w:name="Check3"/>
            <w:r>
              <w:rPr>
                <w:rFonts w:ascii="Arial Narrow" w:hAnsi="Arial Narrow"/>
                <w:sz w:val="20"/>
              </w:rPr>
              <w:instrText xml:space="preserve"> FORMCHECKBOX </w:instrText>
            </w:r>
            <w:r w:rsidR="002A71D0">
              <w:rPr>
                <w:rFonts w:ascii="Arial Narrow" w:hAnsi="Arial Narrow"/>
                <w:sz w:val="20"/>
              </w:rPr>
            </w:r>
            <w:r w:rsidR="002A71D0">
              <w:rPr>
                <w:rFonts w:ascii="Arial Narrow" w:hAnsi="Arial Narrow"/>
                <w:sz w:val="20"/>
              </w:rPr>
              <w:fldChar w:fldCharType="separate"/>
            </w:r>
            <w:r>
              <w:rPr>
                <w:rFonts w:ascii="Arial Narrow" w:hAnsi="Arial Narrow"/>
                <w:sz w:val="20"/>
              </w:rPr>
              <w:fldChar w:fldCharType="end"/>
            </w:r>
            <w:bookmarkEnd w:id="35"/>
            <w:r w:rsidRPr="00106BCF">
              <w:rPr>
                <w:rFonts w:ascii="Arial Narrow" w:hAnsi="Arial Narrow"/>
                <w:sz w:val="20"/>
              </w:rPr>
              <w:t>Authority Required - Telephone</w:t>
            </w:r>
          </w:p>
        </w:tc>
      </w:tr>
      <w:tr w:rsidR="00C90D1C" w:rsidRPr="00172C40" w:rsidTr="00615AB9">
        <w:tblPrEx>
          <w:tblCellMar>
            <w:left w:w="108" w:type="dxa"/>
            <w:right w:w="108" w:type="dxa"/>
          </w:tblCellMar>
          <w:tblLook w:val="0000" w:firstRow="0" w:lastRow="0" w:firstColumn="0" w:lastColumn="0" w:noHBand="0" w:noVBand="0"/>
        </w:tblPrEx>
        <w:trPr>
          <w:gridAfter w:val="1"/>
          <w:wAfter w:w="7" w:type="pct"/>
          <w:cantSplit/>
          <w:trHeight w:val="20"/>
        </w:trPr>
        <w:tc>
          <w:tcPr>
            <w:tcW w:w="1267" w:type="pct"/>
            <w:tcBorders>
              <w:top w:val="single" w:sz="4" w:space="0" w:color="auto"/>
              <w:left w:val="single" w:sz="4" w:space="0" w:color="auto"/>
              <w:bottom w:val="single" w:sz="4" w:space="0" w:color="auto"/>
              <w:right w:val="single" w:sz="4" w:space="0" w:color="auto"/>
            </w:tcBorders>
          </w:tcPr>
          <w:p w:rsidR="00C90D1C" w:rsidRPr="00172C40" w:rsidRDefault="00C90D1C" w:rsidP="00615AB9">
            <w:pPr>
              <w:rPr>
                <w:rFonts w:ascii="Arial Narrow" w:hAnsi="Arial Narrow"/>
                <w:b/>
                <w:sz w:val="20"/>
              </w:rPr>
            </w:pPr>
            <w:r w:rsidRPr="00172C40">
              <w:rPr>
                <w:rFonts w:ascii="Arial Narrow" w:hAnsi="Arial Narrow"/>
                <w:b/>
                <w:sz w:val="20"/>
              </w:rPr>
              <w:t>Clinical criteria:</w:t>
            </w:r>
          </w:p>
          <w:p w:rsidR="00C90D1C" w:rsidRPr="00172C40" w:rsidRDefault="00C90D1C" w:rsidP="00615AB9">
            <w:pPr>
              <w:rPr>
                <w:rFonts w:ascii="Arial Narrow" w:hAnsi="Arial Narrow"/>
                <w:sz w:val="20"/>
              </w:rPr>
            </w:pPr>
          </w:p>
        </w:tc>
        <w:tc>
          <w:tcPr>
            <w:tcW w:w="3726" w:type="pct"/>
            <w:gridSpan w:val="7"/>
            <w:tcBorders>
              <w:top w:val="single" w:sz="4" w:space="0" w:color="auto"/>
              <w:left w:val="single" w:sz="4" w:space="0" w:color="auto"/>
              <w:bottom w:val="single" w:sz="4" w:space="0" w:color="auto"/>
              <w:right w:val="single" w:sz="4" w:space="0" w:color="auto"/>
            </w:tcBorders>
          </w:tcPr>
          <w:p w:rsidR="00C90D1C" w:rsidRPr="00172C40" w:rsidRDefault="00C90D1C" w:rsidP="00615AB9">
            <w:pPr>
              <w:rPr>
                <w:rFonts w:ascii="Arial Narrow" w:hAnsi="Arial Narrow"/>
                <w:sz w:val="20"/>
              </w:rPr>
            </w:pPr>
            <w:r w:rsidRPr="00172C40">
              <w:rPr>
                <w:rFonts w:ascii="Arial Narrow" w:hAnsi="Arial Narrow"/>
                <w:sz w:val="20"/>
              </w:rPr>
              <w:t>Patient must meet the criteria set out in the General Statement for Drugs for the Treatment of Hepatitis C,</w:t>
            </w:r>
          </w:p>
          <w:p w:rsidR="00C90D1C" w:rsidRPr="00172C40" w:rsidRDefault="00C90D1C" w:rsidP="00615AB9">
            <w:pPr>
              <w:rPr>
                <w:rFonts w:ascii="Arial Narrow" w:hAnsi="Arial Narrow"/>
                <w:sz w:val="20"/>
              </w:rPr>
            </w:pPr>
            <w:r w:rsidRPr="00172C40">
              <w:rPr>
                <w:rFonts w:ascii="Arial Narrow" w:hAnsi="Arial Narrow"/>
                <w:sz w:val="20"/>
              </w:rPr>
              <w:t>AND</w:t>
            </w:r>
          </w:p>
          <w:p w:rsidR="00C90D1C" w:rsidRPr="00172C40" w:rsidRDefault="00C90D1C" w:rsidP="00615AB9">
            <w:pPr>
              <w:rPr>
                <w:rFonts w:ascii="Arial Narrow" w:hAnsi="Arial Narrow"/>
                <w:sz w:val="20"/>
              </w:rPr>
            </w:pPr>
            <w:r w:rsidRPr="00172C40">
              <w:rPr>
                <w:rFonts w:ascii="Arial Narrow" w:hAnsi="Arial Narrow"/>
                <w:sz w:val="20"/>
              </w:rPr>
              <w:t>Patient must be taking this drug as part of a regimen set out in the matrix in the General Statement for Drugs for the Treatment of Hepatitis C, based on the hepatitis C virus genotype, patient treatment history and cirrhotic status,</w:t>
            </w:r>
          </w:p>
          <w:p w:rsidR="00C90D1C" w:rsidRPr="00172C40" w:rsidRDefault="00C90D1C" w:rsidP="00615AB9">
            <w:pPr>
              <w:rPr>
                <w:rFonts w:ascii="Arial Narrow" w:hAnsi="Arial Narrow"/>
                <w:sz w:val="20"/>
              </w:rPr>
            </w:pPr>
            <w:r w:rsidRPr="00172C40">
              <w:rPr>
                <w:rFonts w:ascii="Arial Narrow" w:hAnsi="Arial Narrow"/>
                <w:sz w:val="20"/>
              </w:rPr>
              <w:t>AND</w:t>
            </w:r>
          </w:p>
          <w:p w:rsidR="00C90D1C" w:rsidRPr="00172C40" w:rsidRDefault="00C90D1C" w:rsidP="00615AB9">
            <w:pPr>
              <w:rPr>
                <w:rFonts w:ascii="Arial Narrow" w:hAnsi="Arial Narrow"/>
                <w:sz w:val="20"/>
              </w:rPr>
            </w:pPr>
            <w:r w:rsidRPr="00172C40">
              <w:rPr>
                <w:rFonts w:ascii="Arial Narrow" w:hAnsi="Arial Narrow"/>
                <w:sz w:val="20"/>
              </w:rPr>
              <w:t>The treatment must be limited to a maximum duration of 12 weeks.</w:t>
            </w:r>
          </w:p>
        </w:tc>
      </w:tr>
      <w:tr w:rsidR="00C90D1C" w:rsidRPr="00172C40" w:rsidTr="00615AB9">
        <w:tblPrEx>
          <w:tblCellMar>
            <w:left w:w="108" w:type="dxa"/>
            <w:right w:w="108" w:type="dxa"/>
          </w:tblCellMar>
          <w:tblLook w:val="0000" w:firstRow="0" w:lastRow="0" w:firstColumn="0" w:lastColumn="0" w:noHBand="0" w:noVBand="0"/>
        </w:tblPrEx>
        <w:trPr>
          <w:gridAfter w:val="1"/>
          <w:wAfter w:w="7" w:type="pct"/>
          <w:cantSplit/>
          <w:trHeight w:val="20"/>
        </w:trPr>
        <w:tc>
          <w:tcPr>
            <w:tcW w:w="1267" w:type="pct"/>
            <w:tcBorders>
              <w:top w:val="single" w:sz="4" w:space="0" w:color="auto"/>
              <w:left w:val="single" w:sz="4" w:space="0" w:color="auto"/>
              <w:bottom w:val="single" w:sz="4" w:space="0" w:color="auto"/>
              <w:right w:val="single" w:sz="4" w:space="0" w:color="auto"/>
            </w:tcBorders>
          </w:tcPr>
          <w:p w:rsidR="00C90D1C" w:rsidRPr="00172C40" w:rsidRDefault="00C90D1C" w:rsidP="00615AB9">
            <w:pPr>
              <w:rPr>
                <w:rFonts w:ascii="Arial Narrow" w:hAnsi="Arial Narrow"/>
                <w:b/>
                <w:sz w:val="20"/>
              </w:rPr>
            </w:pPr>
            <w:r w:rsidRPr="00172C40">
              <w:rPr>
                <w:rFonts w:ascii="Arial Narrow" w:hAnsi="Arial Narrow"/>
                <w:b/>
                <w:sz w:val="20"/>
              </w:rPr>
              <w:t>Administrative Advice</w:t>
            </w:r>
          </w:p>
          <w:p w:rsidR="00C90D1C" w:rsidRPr="00172C40" w:rsidRDefault="00C90D1C" w:rsidP="00615AB9">
            <w:pPr>
              <w:rPr>
                <w:rFonts w:ascii="Arial Narrow" w:hAnsi="Arial Narrow"/>
                <w:i/>
                <w:sz w:val="20"/>
              </w:rPr>
            </w:pPr>
          </w:p>
        </w:tc>
        <w:tc>
          <w:tcPr>
            <w:tcW w:w="3726" w:type="pct"/>
            <w:gridSpan w:val="7"/>
            <w:tcBorders>
              <w:top w:val="single" w:sz="4" w:space="0" w:color="auto"/>
              <w:left w:val="single" w:sz="4" w:space="0" w:color="auto"/>
              <w:bottom w:val="single" w:sz="4" w:space="0" w:color="auto"/>
              <w:right w:val="single" w:sz="4" w:space="0" w:color="auto"/>
            </w:tcBorders>
          </w:tcPr>
          <w:p w:rsidR="00C90D1C" w:rsidRPr="00172C40" w:rsidRDefault="00C90D1C" w:rsidP="00615AB9">
            <w:pPr>
              <w:rPr>
                <w:rFonts w:ascii="Arial Narrow" w:hAnsi="Arial Narrow"/>
                <w:sz w:val="20"/>
              </w:rPr>
            </w:pPr>
            <w:r w:rsidRPr="00172C40">
              <w:rPr>
                <w:rFonts w:ascii="Arial Narrow" w:hAnsi="Arial Narrow"/>
                <w:sz w:val="20"/>
              </w:rPr>
              <w:t>No increase in the maximum quantity or number of units may be authorised.</w:t>
            </w:r>
          </w:p>
          <w:p w:rsidR="00C90D1C" w:rsidRPr="00172C40" w:rsidRDefault="00C90D1C" w:rsidP="00615AB9">
            <w:pPr>
              <w:tabs>
                <w:tab w:val="left" w:pos="571"/>
              </w:tabs>
              <w:rPr>
                <w:rFonts w:ascii="Arial Narrow" w:hAnsi="Arial Narrow"/>
                <w:sz w:val="20"/>
              </w:rPr>
            </w:pPr>
            <w:r w:rsidRPr="00172C40">
              <w:rPr>
                <w:rFonts w:ascii="Arial Narrow" w:hAnsi="Arial Narrow"/>
                <w:sz w:val="20"/>
              </w:rPr>
              <w:t>No increase in the maximum number of repeats may be authorised.</w:t>
            </w:r>
          </w:p>
          <w:p w:rsidR="00C90D1C" w:rsidRPr="00172C40" w:rsidRDefault="00C90D1C" w:rsidP="00615AB9">
            <w:pPr>
              <w:tabs>
                <w:tab w:val="left" w:pos="571"/>
              </w:tabs>
              <w:rPr>
                <w:rFonts w:ascii="Arial Narrow" w:hAnsi="Arial Narrow"/>
                <w:sz w:val="20"/>
              </w:rPr>
            </w:pPr>
            <w:r w:rsidRPr="00172C40">
              <w:rPr>
                <w:rFonts w:ascii="Arial Narrow" w:hAnsi="Arial Narrow"/>
                <w:sz w:val="20"/>
              </w:rPr>
              <w:t>Special Pricing Arrangements apply.</w:t>
            </w:r>
          </w:p>
        </w:tc>
      </w:tr>
    </w:tbl>
    <w:p w:rsidR="00C90D1C" w:rsidRPr="00172C40" w:rsidRDefault="00C90D1C" w:rsidP="00C90D1C">
      <w:pPr>
        <w:widowControl/>
        <w:tabs>
          <w:tab w:val="left" w:pos="5387"/>
        </w:tabs>
      </w:pPr>
    </w:p>
    <w:p w:rsidR="002C4748" w:rsidRDefault="008321DD" w:rsidP="00751EF1">
      <w:pPr>
        <w:widowControl/>
        <w:tabs>
          <w:tab w:val="left" w:pos="709"/>
        </w:tabs>
        <w:ind w:left="680"/>
      </w:pPr>
      <w:r w:rsidRPr="00C02A89">
        <w:t>The a</w:t>
      </w:r>
      <w:r w:rsidR="00C90D1C" w:rsidRPr="00C02A89">
        <w:t xml:space="preserve">dditions to the </w:t>
      </w:r>
      <w:r w:rsidR="00C90D1C" w:rsidRPr="00C02A89">
        <w:rPr>
          <w:i/>
        </w:rPr>
        <w:t>General Statement for Drugs for the Treatment of Hepatitis C</w:t>
      </w:r>
      <w:r w:rsidR="00C90D1C" w:rsidRPr="00C02A89">
        <w:t xml:space="preserve"> will be </w:t>
      </w:r>
      <w:r w:rsidRPr="00C02A89">
        <w:t>based on the</w:t>
      </w:r>
      <w:r w:rsidR="00C90D1C" w:rsidRPr="00C02A89">
        <w:t xml:space="preserve"> TGA registration.</w:t>
      </w:r>
    </w:p>
    <w:p w:rsidR="000C5F96" w:rsidRDefault="000C5F96" w:rsidP="000C5F96">
      <w:pPr>
        <w:widowControl/>
        <w:tabs>
          <w:tab w:val="left" w:pos="709"/>
        </w:tabs>
      </w:pPr>
    </w:p>
    <w:p w:rsidR="000C5F96" w:rsidRDefault="000C5F96" w:rsidP="000C5F96">
      <w:pPr>
        <w:widowControl/>
        <w:tabs>
          <w:tab w:val="left" w:pos="709"/>
        </w:tabs>
      </w:pPr>
    </w:p>
    <w:p w:rsidR="000C5F96" w:rsidRPr="00570D4E" w:rsidRDefault="000C5F96" w:rsidP="000C5F96">
      <w:pPr>
        <w:pStyle w:val="PBACheading10"/>
        <w:numPr>
          <w:ilvl w:val="0"/>
          <w:numId w:val="2"/>
        </w:numPr>
      </w:pPr>
      <w:r w:rsidRPr="00485DD3">
        <w:t>Context for Decision</w:t>
      </w:r>
    </w:p>
    <w:p w:rsidR="000C5F96" w:rsidRDefault="000C5F96" w:rsidP="000C5F96">
      <w:pPr>
        <w:ind w:left="426"/>
      </w:pPr>
    </w:p>
    <w:p w:rsidR="000C5F96" w:rsidRDefault="000C5F96" w:rsidP="000C5F96">
      <w:pPr>
        <w:ind w:left="709"/>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C5F96" w:rsidRDefault="000C5F96" w:rsidP="000C5F96">
      <w:pPr>
        <w:ind w:left="426"/>
      </w:pPr>
    </w:p>
    <w:p w:rsidR="000C5F96" w:rsidRPr="00570D4E" w:rsidRDefault="000C5F96" w:rsidP="000C5F96">
      <w:pPr>
        <w:pStyle w:val="PBACheading10"/>
        <w:numPr>
          <w:ilvl w:val="0"/>
          <w:numId w:val="2"/>
        </w:numPr>
      </w:pPr>
      <w:r w:rsidRPr="00485DD3">
        <w:t>Sponsor’s Comment</w:t>
      </w:r>
    </w:p>
    <w:p w:rsidR="000C5F96" w:rsidRDefault="000C5F96" w:rsidP="000C5F96">
      <w:pPr>
        <w:ind w:left="426"/>
        <w:rPr>
          <w:bCs/>
          <w:highlight w:val="yellow"/>
          <w:lang w:val="en-GB"/>
        </w:rPr>
      </w:pPr>
    </w:p>
    <w:p w:rsidR="000C5F96" w:rsidRPr="00C02A89" w:rsidRDefault="00797E08" w:rsidP="00797E08">
      <w:pPr>
        <w:widowControl/>
        <w:tabs>
          <w:tab w:val="left" w:pos="709"/>
        </w:tabs>
        <w:ind w:left="709"/>
      </w:pPr>
      <w:r w:rsidRPr="00C02A89">
        <w:rPr>
          <w:bCs/>
          <w:lang w:val="en-GB"/>
        </w:rPr>
        <w:t xml:space="preserve">The Sponsor welcomes the positive PBAC recommendation and looks forward to working with the Department to make Epclusa available to Australian patients as soon as possible. The Sponsor notes that in point 7.8 the PBAC has specified (pursuant to s101(3BA)) that Epclusa should be treated as interchangeable with particular other drugs. The issue of interchangeability with those other drugs was not addressed in the Sponsor's submission and importantly there are groups of patients who, by the virtue of specific characteristics (other than genotype) cannot be treated </w:t>
      </w:r>
      <w:r w:rsidRPr="00C02A89">
        <w:rPr>
          <w:bCs/>
          <w:lang w:val="en-GB"/>
        </w:rPr>
        <w:lastRenderedPageBreak/>
        <w:t>with all the drugs determined to be interchangeable. The Sponsor wishes to understand the basis of the PBAC's decision and welcomes discussing this further with the Department as part of the post-PBAC process and, where appropriate, providing the PBAC with information relevant to interchangeability.</w:t>
      </w:r>
    </w:p>
    <w:sectPr w:rsidR="000C5F96" w:rsidRPr="00C02A89" w:rsidSect="00DA298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DDF5BB" w15:done="0"/>
  <w15:commentEx w15:paraId="0AC56A1E" w15:paraIdParent="32DDF5B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8F5" w:rsidRDefault="00EB18F5" w:rsidP="00124A51">
      <w:r>
        <w:separator/>
      </w:r>
    </w:p>
  </w:endnote>
  <w:endnote w:type="continuationSeparator" w:id="0">
    <w:p w:rsidR="00EB18F5" w:rsidRDefault="00EB18F5"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8F5" w:rsidRDefault="00EB18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C0E" w:rsidRDefault="00795C0E" w:rsidP="005A414D">
    <w:pPr>
      <w:pStyle w:val="Footer"/>
      <w:ind w:left="360"/>
      <w:jc w:val="center"/>
    </w:pPr>
  </w:p>
  <w:p w:rsidR="000C5F96" w:rsidRPr="00795C0E" w:rsidRDefault="000C5F96" w:rsidP="005A414D">
    <w:pPr>
      <w:pStyle w:val="Footer"/>
      <w:ind w:left="360"/>
      <w:jc w:val="center"/>
    </w:pPr>
    <w:r w:rsidRPr="00795C0E">
      <w:fldChar w:fldCharType="begin"/>
    </w:r>
    <w:r w:rsidRPr="00795C0E">
      <w:instrText xml:space="preserve"> PAGE   \* MERGEFORMAT </w:instrText>
    </w:r>
    <w:r w:rsidRPr="00795C0E">
      <w:fldChar w:fldCharType="separate"/>
    </w:r>
    <w:r w:rsidR="002A71D0">
      <w:rPr>
        <w:noProof/>
      </w:rPr>
      <w:t>1</w:t>
    </w:r>
    <w:r w:rsidRPr="00795C0E">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8F5" w:rsidRDefault="00EB18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8F5" w:rsidRDefault="00EB18F5" w:rsidP="00124A51">
      <w:r>
        <w:separator/>
      </w:r>
    </w:p>
  </w:footnote>
  <w:footnote w:type="continuationSeparator" w:id="0">
    <w:p w:rsidR="00EB18F5" w:rsidRDefault="00EB18F5"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8F5" w:rsidRDefault="00EB18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F96" w:rsidRPr="00DF217D" w:rsidRDefault="000C5F96" w:rsidP="005A414D">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November 2016 </w:t>
    </w:r>
    <w:r w:rsidRPr="00DF217D">
      <w:rPr>
        <w:i/>
        <w:color w:val="808080"/>
      </w:rPr>
      <w:t>PBAC</w:t>
    </w:r>
    <w:r>
      <w:rPr>
        <w:i/>
        <w:color w:val="808080"/>
      </w:rPr>
      <w:t xml:space="preserve"> </w:t>
    </w:r>
    <w:r w:rsidRPr="00DF217D">
      <w:rPr>
        <w:i/>
        <w:color w:val="808080"/>
      </w:rPr>
      <w:t>Meeting</w:t>
    </w:r>
  </w:p>
  <w:p w:rsidR="000C5F96" w:rsidRPr="00061A28" w:rsidRDefault="000C5F96" w:rsidP="00061A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8F5" w:rsidRDefault="00EB18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DB6EC1"/>
    <w:multiLevelType w:val="hybridMultilevel"/>
    <w:tmpl w:val="F814DC24"/>
    <w:lvl w:ilvl="0" w:tplc="04090001">
      <w:start w:val="1"/>
      <w:numFmt w:val="bullet"/>
      <w:lvlText w:val=""/>
      <w:lvlJc w:val="left"/>
      <w:pPr>
        <w:ind w:left="720" w:hanging="360"/>
      </w:pPr>
      <w:rPr>
        <w:rFonts w:ascii="Symbol" w:hAnsi="Symbol" w:hint="default"/>
      </w:rPr>
    </w:lvl>
    <w:lvl w:ilvl="1" w:tplc="05C0F90C">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D0006"/>
    <w:multiLevelType w:val="hybridMultilevel"/>
    <w:tmpl w:val="3B906850"/>
    <w:lvl w:ilvl="0" w:tplc="0C090001">
      <w:start w:val="1"/>
      <w:numFmt w:val="bullet"/>
      <w:lvlText w:val=""/>
      <w:lvlJc w:val="left"/>
      <w:pPr>
        <w:ind w:left="2550" w:hanging="360"/>
      </w:pPr>
      <w:rPr>
        <w:rFonts w:ascii="Symbol" w:hAnsi="Symbol" w:hint="default"/>
      </w:rPr>
    </w:lvl>
    <w:lvl w:ilvl="1" w:tplc="0C090003" w:tentative="1">
      <w:start w:val="1"/>
      <w:numFmt w:val="bullet"/>
      <w:lvlText w:val="o"/>
      <w:lvlJc w:val="left"/>
      <w:pPr>
        <w:ind w:left="3270" w:hanging="360"/>
      </w:pPr>
      <w:rPr>
        <w:rFonts w:ascii="Courier New" w:hAnsi="Courier New" w:cs="Courier New" w:hint="default"/>
      </w:rPr>
    </w:lvl>
    <w:lvl w:ilvl="2" w:tplc="0C090005" w:tentative="1">
      <w:start w:val="1"/>
      <w:numFmt w:val="bullet"/>
      <w:lvlText w:val=""/>
      <w:lvlJc w:val="left"/>
      <w:pPr>
        <w:ind w:left="3990" w:hanging="360"/>
      </w:pPr>
      <w:rPr>
        <w:rFonts w:ascii="Wingdings" w:hAnsi="Wingdings" w:hint="default"/>
      </w:rPr>
    </w:lvl>
    <w:lvl w:ilvl="3" w:tplc="0C090001" w:tentative="1">
      <w:start w:val="1"/>
      <w:numFmt w:val="bullet"/>
      <w:lvlText w:val=""/>
      <w:lvlJc w:val="left"/>
      <w:pPr>
        <w:ind w:left="4710" w:hanging="360"/>
      </w:pPr>
      <w:rPr>
        <w:rFonts w:ascii="Symbol" w:hAnsi="Symbol" w:hint="default"/>
      </w:rPr>
    </w:lvl>
    <w:lvl w:ilvl="4" w:tplc="0C090003" w:tentative="1">
      <w:start w:val="1"/>
      <w:numFmt w:val="bullet"/>
      <w:lvlText w:val="o"/>
      <w:lvlJc w:val="left"/>
      <w:pPr>
        <w:ind w:left="5430" w:hanging="360"/>
      </w:pPr>
      <w:rPr>
        <w:rFonts w:ascii="Courier New" w:hAnsi="Courier New" w:cs="Courier New" w:hint="default"/>
      </w:rPr>
    </w:lvl>
    <w:lvl w:ilvl="5" w:tplc="0C090005" w:tentative="1">
      <w:start w:val="1"/>
      <w:numFmt w:val="bullet"/>
      <w:lvlText w:val=""/>
      <w:lvlJc w:val="left"/>
      <w:pPr>
        <w:ind w:left="6150" w:hanging="360"/>
      </w:pPr>
      <w:rPr>
        <w:rFonts w:ascii="Wingdings" w:hAnsi="Wingdings" w:hint="default"/>
      </w:rPr>
    </w:lvl>
    <w:lvl w:ilvl="6" w:tplc="0C090001" w:tentative="1">
      <w:start w:val="1"/>
      <w:numFmt w:val="bullet"/>
      <w:lvlText w:val=""/>
      <w:lvlJc w:val="left"/>
      <w:pPr>
        <w:ind w:left="6870" w:hanging="360"/>
      </w:pPr>
      <w:rPr>
        <w:rFonts w:ascii="Symbol" w:hAnsi="Symbol" w:hint="default"/>
      </w:rPr>
    </w:lvl>
    <w:lvl w:ilvl="7" w:tplc="0C090003" w:tentative="1">
      <w:start w:val="1"/>
      <w:numFmt w:val="bullet"/>
      <w:lvlText w:val="o"/>
      <w:lvlJc w:val="left"/>
      <w:pPr>
        <w:ind w:left="7590" w:hanging="360"/>
      </w:pPr>
      <w:rPr>
        <w:rFonts w:ascii="Courier New" w:hAnsi="Courier New" w:cs="Courier New" w:hint="default"/>
      </w:rPr>
    </w:lvl>
    <w:lvl w:ilvl="8" w:tplc="0C090005" w:tentative="1">
      <w:start w:val="1"/>
      <w:numFmt w:val="bullet"/>
      <w:lvlText w:val=""/>
      <w:lvlJc w:val="left"/>
      <w:pPr>
        <w:ind w:left="8310" w:hanging="360"/>
      </w:pPr>
      <w:rPr>
        <w:rFonts w:ascii="Wingdings" w:hAnsi="Wingdings" w:hint="default"/>
      </w:rPr>
    </w:lvl>
  </w:abstractNum>
  <w:abstractNum w:abstractNumId="3">
    <w:nsid w:val="09E11B55"/>
    <w:multiLevelType w:val="hybridMultilevel"/>
    <w:tmpl w:val="A8F09BC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D692CE1"/>
    <w:multiLevelType w:val="hybridMultilevel"/>
    <w:tmpl w:val="F4CCD8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64F1B7E"/>
    <w:multiLevelType w:val="hybridMultilevel"/>
    <w:tmpl w:val="DFD0DB18"/>
    <w:lvl w:ilvl="0" w:tplc="510A7BDE">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1B4859EC"/>
    <w:multiLevelType w:val="hybridMultilevel"/>
    <w:tmpl w:val="072A39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23576BDE"/>
    <w:multiLevelType w:val="hybridMultilevel"/>
    <w:tmpl w:val="52AE5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2A05CEB"/>
    <w:multiLevelType w:val="singleLevel"/>
    <w:tmpl w:val="0C090011"/>
    <w:lvl w:ilvl="0">
      <w:start w:val="1"/>
      <w:numFmt w:val="decimal"/>
      <w:lvlText w:val="%1)"/>
      <w:lvlJc w:val="left"/>
      <w:pPr>
        <w:tabs>
          <w:tab w:val="num" w:pos="360"/>
        </w:tabs>
        <w:ind w:left="360" w:hanging="360"/>
      </w:pPr>
      <w:rPr>
        <w:rFonts w:hint="default"/>
      </w:rPr>
    </w:lvl>
  </w:abstractNum>
  <w:abstractNum w:abstractNumId="11">
    <w:nsid w:val="32D55FC6"/>
    <w:multiLevelType w:val="hybridMultilevel"/>
    <w:tmpl w:val="E39EB1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36E37190"/>
    <w:multiLevelType w:val="hybridMultilevel"/>
    <w:tmpl w:val="54B63AF8"/>
    <w:lvl w:ilvl="0" w:tplc="510A7BD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8BE1D02"/>
    <w:multiLevelType w:val="hybridMultilevel"/>
    <w:tmpl w:val="3EAE107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41825B7D"/>
    <w:multiLevelType w:val="hybridMultilevel"/>
    <w:tmpl w:val="0DB8BC2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42323CAD"/>
    <w:multiLevelType w:val="hybridMultilevel"/>
    <w:tmpl w:val="54B291B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292861F8">
      <w:start w:val="11"/>
      <w:numFmt w:val="bullet"/>
      <w:lvlText w:val="-"/>
      <w:lvlJc w:val="left"/>
      <w:pPr>
        <w:ind w:left="2520" w:hanging="360"/>
      </w:pPr>
      <w:rPr>
        <w:rFonts w:ascii="Arial Narrow" w:eastAsia="Times New Roman" w:hAnsi="Arial Narrow" w:cs="Arial"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49336AC5"/>
    <w:multiLevelType w:val="hybridMultilevel"/>
    <w:tmpl w:val="92AEB8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4DB2713E"/>
    <w:multiLevelType w:val="hybridMultilevel"/>
    <w:tmpl w:val="DAD01C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7D7253C"/>
    <w:multiLevelType w:val="hybridMultilevel"/>
    <w:tmpl w:val="DFF8F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9107EEF"/>
    <w:multiLevelType w:val="multilevel"/>
    <w:tmpl w:val="CFFCA654"/>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65220AA9"/>
    <w:multiLevelType w:val="hybridMultilevel"/>
    <w:tmpl w:val="32F66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84D033C"/>
    <w:multiLevelType w:val="multilevel"/>
    <w:tmpl w:val="340AC350"/>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EB128AF"/>
    <w:multiLevelType w:val="hybridMultilevel"/>
    <w:tmpl w:val="1632B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FC21CA9"/>
    <w:multiLevelType w:val="hybridMultilevel"/>
    <w:tmpl w:val="9D44AB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15"/>
  </w:num>
  <w:num w:numId="4">
    <w:abstractNumId w:val="7"/>
  </w:num>
  <w:num w:numId="5">
    <w:abstractNumId w:val="11"/>
  </w:num>
  <w:num w:numId="6">
    <w:abstractNumId w:val="3"/>
  </w:num>
  <w:num w:numId="7">
    <w:abstractNumId w:val="5"/>
  </w:num>
  <w:num w:numId="8">
    <w:abstractNumId w:val="8"/>
  </w:num>
  <w:num w:numId="9">
    <w:abstractNumId w:val="24"/>
  </w:num>
  <w:num w:numId="10">
    <w:abstractNumId w:val="13"/>
  </w:num>
  <w:num w:numId="11">
    <w:abstractNumId w:val="19"/>
  </w:num>
  <w:num w:numId="12">
    <w:abstractNumId w:val="14"/>
  </w:num>
  <w:num w:numId="13">
    <w:abstractNumId w:val="2"/>
  </w:num>
  <w:num w:numId="14">
    <w:abstractNumId w:val="23"/>
  </w:num>
  <w:num w:numId="15">
    <w:abstractNumId w:val="21"/>
  </w:num>
  <w:num w:numId="16">
    <w:abstractNumId w:val="18"/>
  </w:num>
  <w:num w:numId="17">
    <w:abstractNumId w:val="4"/>
  </w:num>
  <w:num w:numId="18">
    <w:abstractNumId w:val="0"/>
  </w:num>
  <w:num w:numId="19">
    <w:abstractNumId w:val="9"/>
  </w:num>
  <w:num w:numId="20">
    <w:abstractNumId w:val="20"/>
  </w:num>
  <w:num w:numId="21">
    <w:abstractNumId w:val="10"/>
  </w:num>
  <w:num w:numId="22">
    <w:abstractNumId w:val="16"/>
  </w:num>
  <w:num w:numId="23">
    <w:abstractNumId w:val="12"/>
  </w:num>
  <w:num w:numId="24">
    <w:abstractNumId w:val="6"/>
  </w:num>
  <w:num w:numId="25">
    <w:abstractNumId w:val="17"/>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 Snelling">
    <w15:presenceInfo w15:providerId="AD" w15:userId="S-1-5-21-1982029612-917206853-945835055-19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321"/>
    <w:rsid w:val="000003D9"/>
    <w:rsid w:val="00000783"/>
    <w:rsid w:val="00000790"/>
    <w:rsid w:val="000010FC"/>
    <w:rsid w:val="0000110B"/>
    <w:rsid w:val="00001139"/>
    <w:rsid w:val="00001650"/>
    <w:rsid w:val="0000192E"/>
    <w:rsid w:val="00001DF1"/>
    <w:rsid w:val="00001E18"/>
    <w:rsid w:val="00001F34"/>
    <w:rsid w:val="000020AA"/>
    <w:rsid w:val="000022A5"/>
    <w:rsid w:val="000022B7"/>
    <w:rsid w:val="000024CC"/>
    <w:rsid w:val="0000299D"/>
    <w:rsid w:val="00003192"/>
    <w:rsid w:val="0000325A"/>
    <w:rsid w:val="0000340C"/>
    <w:rsid w:val="00003499"/>
    <w:rsid w:val="000036D5"/>
    <w:rsid w:val="0000373D"/>
    <w:rsid w:val="0000378F"/>
    <w:rsid w:val="0000387B"/>
    <w:rsid w:val="00003AE3"/>
    <w:rsid w:val="00003EB2"/>
    <w:rsid w:val="00003F50"/>
    <w:rsid w:val="00003FEF"/>
    <w:rsid w:val="000040D4"/>
    <w:rsid w:val="0000410F"/>
    <w:rsid w:val="00004263"/>
    <w:rsid w:val="000043C0"/>
    <w:rsid w:val="000045AB"/>
    <w:rsid w:val="00004701"/>
    <w:rsid w:val="0000485D"/>
    <w:rsid w:val="000049AB"/>
    <w:rsid w:val="00004EF9"/>
    <w:rsid w:val="00004FE1"/>
    <w:rsid w:val="00005324"/>
    <w:rsid w:val="00005390"/>
    <w:rsid w:val="00005564"/>
    <w:rsid w:val="0000574D"/>
    <w:rsid w:val="00005782"/>
    <w:rsid w:val="00005AB1"/>
    <w:rsid w:val="00005C9C"/>
    <w:rsid w:val="00006B30"/>
    <w:rsid w:val="00006DB6"/>
    <w:rsid w:val="00007069"/>
    <w:rsid w:val="000070F5"/>
    <w:rsid w:val="00007187"/>
    <w:rsid w:val="00007679"/>
    <w:rsid w:val="00007B7F"/>
    <w:rsid w:val="00007E0A"/>
    <w:rsid w:val="00010035"/>
    <w:rsid w:val="00010706"/>
    <w:rsid w:val="00010CBF"/>
    <w:rsid w:val="00010F0D"/>
    <w:rsid w:val="0001115A"/>
    <w:rsid w:val="0001166F"/>
    <w:rsid w:val="000118E3"/>
    <w:rsid w:val="00011A31"/>
    <w:rsid w:val="00011BAB"/>
    <w:rsid w:val="00011E88"/>
    <w:rsid w:val="0001219A"/>
    <w:rsid w:val="00012459"/>
    <w:rsid w:val="00012509"/>
    <w:rsid w:val="000125D3"/>
    <w:rsid w:val="000125F1"/>
    <w:rsid w:val="00012A5D"/>
    <w:rsid w:val="00012F21"/>
    <w:rsid w:val="00012F68"/>
    <w:rsid w:val="00012FC9"/>
    <w:rsid w:val="00013247"/>
    <w:rsid w:val="0001351B"/>
    <w:rsid w:val="00013877"/>
    <w:rsid w:val="0001394C"/>
    <w:rsid w:val="00013A39"/>
    <w:rsid w:val="00013E7B"/>
    <w:rsid w:val="00013ECF"/>
    <w:rsid w:val="0001404A"/>
    <w:rsid w:val="000143A1"/>
    <w:rsid w:val="0001461C"/>
    <w:rsid w:val="00014825"/>
    <w:rsid w:val="00015028"/>
    <w:rsid w:val="0001547F"/>
    <w:rsid w:val="000154B8"/>
    <w:rsid w:val="00015784"/>
    <w:rsid w:val="00015886"/>
    <w:rsid w:val="00015BB0"/>
    <w:rsid w:val="00015C98"/>
    <w:rsid w:val="00015D20"/>
    <w:rsid w:val="00015FCD"/>
    <w:rsid w:val="0001609A"/>
    <w:rsid w:val="000162CF"/>
    <w:rsid w:val="000162EF"/>
    <w:rsid w:val="000164F4"/>
    <w:rsid w:val="00016557"/>
    <w:rsid w:val="0001674D"/>
    <w:rsid w:val="00016968"/>
    <w:rsid w:val="00016995"/>
    <w:rsid w:val="00016B61"/>
    <w:rsid w:val="00016B98"/>
    <w:rsid w:val="00016C27"/>
    <w:rsid w:val="00017083"/>
    <w:rsid w:val="000171DA"/>
    <w:rsid w:val="0001734B"/>
    <w:rsid w:val="00017B49"/>
    <w:rsid w:val="00017B76"/>
    <w:rsid w:val="00017FB6"/>
    <w:rsid w:val="0002027A"/>
    <w:rsid w:val="0002058C"/>
    <w:rsid w:val="0002087C"/>
    <w:rsid w:val="00020943"/>
    <w:rsid w:val="000209F5"/>
    <w:rsid w:val="00020BEF"/>
    <w:rsid w:val="00020D3C"/>
    <w:rsid w:val="00020FFD"/>
    <w:rsid w:val="0002113A"/>
    <w:rsid w:val="00021293"/>
    <w:rsid w:val="00021304"/>
    <w:rsid w:val="000214B9"/>
    <w:rsid w:val="000219C4"/>
    <w:rsid w:val="00021C55"/>
    <w:rsid w:val="00021CCF"/>
    <w:rsid w:val="00021DBE"/>
    <w:rsid w:val="00022162"/>
    <w:rsid w:val="0002225F"/>
    <w:rsid w:val="000222AB"/>
    <w:rsid w:val="00022393"/>
    <w:rsid w:val="000223C2"/>
    <w:rsid w:val="000223E1"/>
    <w:rsid w:val="00022512"/>
    <w:rsid w:val="000225FA"/>
    <w:rsid w:val="000226EB"/>
    <w:rsid w:val="000227DE"/>
    <w:rsid w:val="00022ABD"/>
    <w:rsid w:val="000231EA"/>
    <w:rsid w:val="00023763"/>
    <w:rsid w:val="00023953"/>
    <w:rsid w:val="000239FF"/>
    <w:rsid w:val="00023A04"/>
    <w:rsid w:val="00023DCF"/>
    <w:rsid w:val="00023E66"/>
    <w:rsid w:val="0002406D"/>
    <w:rsid w:val="00024126"/>
    <w:rsid w:val="00024195"/>
    <w:rsid w:val="00024507"/>
    <w:rsid w:val="00024A8C"/>
    <w:rsid w:val="00024BA8"/>
    <w:rsid w:val="00024C9D"/>
    <w:rsid w:val="00024E1C"/>
    <w:rsid w:val="000254E8"/>
    <w:rsid w:val="00025546"/>
    <w:rsid w:val="00025639"/>
    <w:rsid w:val="00025A46"/>
    <w:rsid w:val="00025AF8"/>
    <w:rsid w:val="00025C54"/>
    <w:rsid w:val="00025F12"/>
    <w:rsid w:val="000261E1"/>
    <w:rsid w:val="000263E5"/>
    <w:rsid w:val="0002648D"/>
    <w:rsid w:val="00026541"/>
    <w:rsid w:val="000265DC"/>
    <w:rsid w:val="000265F1"/>
    <w:rsid w:val="000266DA"/>
    <w:rsid w:val="000269A9"/>
    <w:rsid w:val="00026D0C"/>
    <w:rsid w:val="000270E8"/>
    <w:rsid w:val="00027119"/>
    <w:rsid w:val="000276A4"/>
    <w:rsid w:val="00027763"/>
    <w:rsid w:val="0002787E"/>
    <w:rsid w:val="00027B5E"/>
    <w:rsid w:val="00027BAB"/>
    <w:rsid w:val="00027C8F"/>
    <w:rsid w:val="0003008B"/>
    <w:rsid w:val="00030212"/>
    <w:rsid w:val="00030DBE"/>
    <w:rsid w:val="00030FC5"/>
    <w:rsid w:val="00031068"/>
    <w:rsid w:val="00031122"/>
    <w:rsid w:val="000312FA"/>
    <w:rsid w:val="00031308"/>
    <w:rsid w:val="000315FE"/>
    <w:rsid w:val="00031C31"/>
    <w:rsid w:val="00031CD6"/>
    <w:rsid w:val="00031D54"/>
    <w:rsid w:val="000320FA"/>
    <w:rsid w:val="000322CA"/>
    <w:rsid w:val="000323E1"/>
    <w:rsid w:val="000325C4"/>
    <w:rsid w:val="000325DF"/>
    <w:rsid w:val="00032706"/>
    <w:rsid w:val="000329C0"/>
    <w:rsid w:val="00032BD2"/>
    <w:rsid w:val="00032BD3"/>
    <w:rsid w:val="00032C44"/>
    <w:rsid w:val="00032EBF"/>
    <w:rsid w:val="00032F8A"/>
    <w:rsid w:val="000330D7"/>
    <w:rsid w:val="00033309"/>
    <w:rsid w:val="000333DD"/>
    <w:rsid w:val="000334C6"/>
    <w:rsid w:val="000335C0"/>
    <w:rsid w:val="00033902"/>
    <w:rsid w:val="00033939"/>
    <w:rsid w:val="00033D5D"/>
    <w:rsid w:val="00033F8F"/>
    <w:rsid w:val="0003422B"/>
    <w:rsid w:val="00034592"/>
    <w:rsid w:val="00034A9F"/>
    <w:rsid w:val="00034CFB"/>
    <w:rsid w:val="00034DAF"/>
    <w:rsid w:val="00034E5B"/>
    <w:rsid w:val="00035197"/>
    <w:rsid w:val="0003519C"/>
    <w:rsid w:val="0003558F"/>
    <w:rsid w:val="0003592D"/>
    <w:rsid w:val="00035D0D"/>
    <w:rsid w:val="00035D7C"/>
    <w:rsid w:val="00035F3E"/>
    <w:rsid w:val="00035F4A"/>
    <w:rsid w:val="00035F68"/>
    <w:rsid w:val="0003680A"/>
    <w:rsid w:val="00036B41"/>
    <w:rsid w:val="00036C54"/>
    <w:rsid w:val="00036EF3"/>
    <w:rsid w:val="000370A2"/>
    <w:rsid w:val="0003748E"/>
    <w:rsid w:val="00037B39"/>
    <w:rsid w:val="00037EF9"/>
    <w:rsid w:val="00040210"/>
    <w:rsid w:val="000407EF"/>
    <w:rsid w:val="00040895"/>
    <w:rsid w:val="00040C76"/>
    <w:rsid w:val="00041033"/>
    <w:rsid w:val="000413A5"/>
    <w:rsid w:val="000414A4"/>
    <w:rsid w:val="00041542"/>
    <w:rsid w:val="00041571"/>
    <w:rsid w:val="00041B20"/>
    <w:rsid w:val="0004239E"/>
    <w:rsid w:val="000427FD"/>
    <w:rsid w:val="000428F4"/>
    <w:rsid w:val="00042942"/>
    <w:rsid w:val="00042A55"/>
    <w:rsid w:val="00042ADE"/>
    <w:rsid w:val="00042C5E"/>
    <w:rsid w:val="0004322B"/>
    <w:rsid w:val="000434C4"/>
    <w:rsid w:val="000435B8"/>
    <w:rsid w:val="000436C2"/>
    <w:rsid w:val="000436CF"/>
    <w:rsid w:val="00043B26"/>
    <w:rsid w:val="00043C20"/>
    <w:rsid w:val="00043C37"/>
    <w:rsid w:val="00043FAA"/>
    <w:rsid w:val="00044354"/>
    <w:rsid w:val="00044505"/>
    <w:rsid w:val="000446DA"/>
    <w:rsid w:val="00045187"/>
    <w:rsid w:val="000454BC"/>
    <w:rsid w:val="0004556D"/>
    <w:rsid w:val="00045A7C"/>
    <w:rsid w:val="00045B6F"/>
    <w:rsid w:val="00045DC2"/>
    <w:rsid w:val="00045F21"/>
    <w:rsid w:val="00045F56"/>
    <w:rsid w:val="00045FAB"/>
    <w:rsid w:val="00046042"/>
    <w:rsid w:val="000463DF"/>
    <w:rsid w:val="0004675C"/>
    <w:rsid w:val="000467BD"/>
    <w:rsid w:val="000469AE"/>
    <w:rsid w:val="00046B22"/>
    <w:rsid w:val="00046FA6"/>
    <w:rsid w:val="00047340"/>
    <w:rsid w:val="00047512"/>
    <w:rsid w:val="00047E7A"/>
    <w:rsid w:val="00047F23"/>
    <w:rsid w:val="000502A7"/>
    <w:rsid w:val="00050469"/>
    <w:rsid w:val="00050964"/>
    <w:rsid w:val="00050A06"/>
    <w:rsid w:val="00050D91"/>
    <w:rsid w:val="00051416"/>
    <w:rsid w:val="000515B5"/>
    <w:rsid w:val="000515F3"/>
    <w:rsid w:val="000519D3"/>
    <w:rsid w:val="00051AE6"/>
    <w:rsid w:val="00051B77"/>
    <w:rsid w:val="00051E14"/>
    <w:rsid w:val="00052246"/>
    <w:rsid w:val="00052403"/>
    <w:rsid w:val="000525DF"/>
    <w:rsid w:val="00052642"/>
    <w:rsid w:val="000529E8"/>
    <w:rsid w:val="00052ABA"/>
    <w:rsid w:val="00052B2B"/>
    <w:rsid w:val="00053012"/>
    <w:rsid w:val="000530B2"/>
    <w:rsid w:val="0005343B"/>
    <w:rsid w:val="000535E1"/>
    <w:rsid w:val="000535F1"/>
    <w:rsid w:val="000537AE"/>
    <w:rsid w:val="000537B5"/>
    <w:rsid w:val="00053D0A"/>
    <w:rsid w:val="00053DE6"/>
    <w:rsid w:val="00054097"/>
    <w:rsid w:val="0005459E"/>
    <w:rsid w:val="000546D7"/>
    <w:rsid w:val="0005487C"/>
    <w:rsid w:val="00054BE0"/>
    <w:rsid w:val="00054CAE"/>
    <w:rsid w:val="00054EF7"/>
    <w:rsid w:val="00054FA2"/>
    <w:rsid w:val="000550ED"/>
    <w:rsid w:val="000550FE"/>
    <w:rsid w:val="000553F1"/>
    <w:rsid w:val="000556C1"/>
    <w:rsid w:val="00055BE0"/>
    <w:rsid w:val="00055CC1"/>
    <w:rsid w:val="000563B2"/>
    <w:rsid w:val="0005647C"/>
    <w:rsid w:val="000565CC"/>
    <w:rsid w:val="000566FE"/>
    <w:rsid w:val="0005671E"/>
    <w:rsid w:val="00056A94"/>
    <w:rsid w:val="00056D80"/>
    <w:rsid w:val="0005700F"/>
    <w:rsid w:val="00057646"/>
    <w:rsid w:val="00057700"/>
    <w:rsid w:val="00057A1D"/>
    <w:rsid w:val="00057A70"/>
    <w:rsid w:val="00057CF5"/>
    <w:rsid w:val="000602A9"/>
    <w:rsid w:val="00060826"/>
    <w:rsid w:val="000609FF"/>
    <w:rsid w:val="00060B93"/>
    <w:rsid w:val="00060D09"/>
    <w:rsid w:val="00060D1B"/>
    <w:rsid w:val="00060E81"/>
    <w:rsid w:val="00061160"/>
    <w:rsid w:val="000613DC"/>
    <w:rsid w:val="00061543"/>
    <w:rsid w:val="000615B1"/>
    <w:rsid w:val="000618F2"/>
    <w:rsid w:val="00061A28"/>
    <w:rsid w:val="00061E6F"/>
    <w:rsid w:val="0006213F"/>
    <w:rsid w:val="00062A55"/>
    <w:rsid w:val="00062A89"/>
    <w:rsid w:val="00062B2F"/>
    <w:rsid w:val="00062BC7"/>
    <w:rsid w:val="00062D19"/>
    <w:rsid w:val="00062D24"/>
    <w:rsid w:val="00062E47"/>
    <w:rsid w:val="00062EE4"/>
    <w:rsid w:val="0006326F"/>
    <w:rsid w:val="0006327F"/>
    <w:rsid w:val="000632BC"/>
    <w:rsid w:val="00063404"/>
    <w:rsid w:val="000634A2"/>
    <w:rsid w:val="00063A82"/>
    <w:rsid w:val="00063ACB"/>
    <w:rsid w:val="00063D7A"/>
    <w:rsid w:val="00064580"/>
    <w:rsid w:val="000649CB"/>
    <w:rsid w:val="0006550B"/>
    <w:rsid w:val="000655BF"/>
    <w:rsid w:val="00065B40"/>
    <w:rsid w:val="00065F27"/>
    <w:rsid w:val="00066295"/>
    <w:rsid w:val="00066483"/>
    <w:rsid w:val="0006660E"/>
    <w:rsid w:val="00066614"/>
    <w:rsid w:val="000666F2"/>
    <w:rsid w:val="000668FC"/>
    <w:rsid w:val="000669B5"/>
    <w:rsid w:val="00066AB2"/>
    <w:rsid w:val="00066D8F"/>
    <w:rsid w:val="00066EAC"/>
    <w:rsid w:val="00066F7B"/>
    <w:rsid w:val="0006715B"/>
    <w:rsid w:val="00067467"/>
    <w:rsid w:val="00067689"/>
    <w:rsid w:val="000676A6"/>
    <w:rsid w:val="00067767"/>
    <w:rsid w:val="00067836"/>
    <w:rsid w:val="00067CAF"/>
    <w:rsid w:val="000703B5"/>
    <w:rsid w:val="00070497"/>
    <w:rsid w:val="00070929"/>
    <w:rsid w:val="000709C2"/>
    <w:rsid w:val="00070F6A"/>
    <w:rsid w:val="00070FC8"/>
    <w:rsid w:val="00071018"/>
    <w:rsid w:val="00071078"/>
    <w:rsid w:val="00071129"/>
    <w:rsid w:val="00071248"/>
    <w:rsid w:val="00071260"/>
    <w:rsid w:val="000712A9"/>
    <w:rsid w:val="0007149C"/>
    <w:rsid w:val="000714B8"/>
    <w:rsid w:val="00071E61"/>
    <w:rsid w:val="00071E77"/>
    <w:rsid w:val="00071F25"/>
    <w:rsid w:val="00071F90"/>
    <w:rsid w:val="0007209B"/>
    <w:rsid w:val="000720B9"/>
    <w:rsid w:val="000721EA"/>
    <w:rsid w:val="000726C8"/>
    <w:rsid w:val="0007281F"/>
    <w:rsid w:val="00072B82"/>
    <w:rsid w:val="00072F23"/>
    <w:rsid w:val="00072F4D"/>
    <w:rsid w:val="000730D1"/>
    <w:rsid w:val="00073436"/>
    <w:rsid w:val="00073626"/>
    <w:rsid w:val="00073694"/>
    <w:rsid w:val="000737AE"/>
    <w:rsid w:val="0007389B"/>
    <w:rsid w:val="00073B0F"/>
    <w:rsid w:val="00073BF1"/>
    <w:rsid w:val="00073C64"/>
    <w:rsid w:val="00073EEF"/>
    <w:rsid w:val="00074504"/>
    <w:rsid w:val="0007452E"/>
    <w:rsid w:val="00074B00"/>
    <w:rsid w:val="00074BD6"/>
    <w:rsid w:val="00074E84"/>
    <w:rsid w:val="0007512D"/>
    <w:rsid w:val="00075164"/>
    <w:rsid w:val="00075715"/>
    <w:rsid w:val="00075859"/>
    <w:rsid w:val="000759BF"/>
    <w:rsid w:val="00075A76"/>
    <w:rsid w:val="00075B1C"/>
    <w:rsid w:val="00075E6E"/>
    <w:rsid w:val="00075F6F"/>
    <w:rsid w:val="0007624D"/>
    <w:rsid w:val="0007649E"/>
    <w:rsid w:val="000765E1"/>
    <w:rsid w:val="000767EE"/>
    <w:rsid w:val="00076BB3"/>
    <w:rsid w:val="00076C3E"/>
    <w:rsid w:val="00076EF7"/>
    <w:rsid w:val="00076F90"/>
    <w:rsid w:val="00077006"/>
    <w:rsid w:val="00077145"/>
    <w:rsid w:val="00077152"/>
    <w:rsid w:val="00077579"/>
    <w:rsid w:val="000777C8"/>
    <w:rsid w:val="00077AA1"/>
    <w:rsid w:val="0008006D"/>
    <w:rsid w:val="00080664"/>
    <w:rsid w:val="000806BB"/>
    <w:rsid w:val="000808F9"/>
    <w:rsid w:val="000809BB"/>
    <w:rsid w:val="00080D1A"/>
    <w:rsid w:val="00081297"/>
    <w:rsid w:val="000812B5"/>
    <w:rsid w:val="000812CA"/>
    <w:rsid w:val="000815BB"/>
    <w:rsid w:val="00081893"/>
    <w:rsid w:val="00081B63"/>
    <w:rsid w:val="00081D16"/>
    <w:rsid w:val="00081D4D"/>
    <w:rsid w:val="00081E98"/>
    <w:rsid w:val="00081EFF"/>
    <w:rsid w:val="00081F6F"/>
    <w:rsid w:val="000829FE"/>
    <w:rsid w:val="00082C0A"/>
    <w:rsid w:val="00082C13"/>
    <w:rsid w:val="00082EA2"/>
    <w:rsid w:val="00082F16"/>
    <w:rsid w:val="00082F7F"/>
    <w:rsid w:val="000831AD"/>
    <w:rsid w:val="000832FC"/>
    <w:rsid w:val="000836DE"/>
    <w:rsid w:val="000839FB"/>
    <w:rsid w:val="00083A33"/>
    <w:rsid w:val="000847ED"/>
    <w:rsid w:val="00084B89"/>
    <w:rsid w:val="00084D2E"/>
    <w:rsid w:val="00085376"/>
    <w:rsid w:val="00085473"/>
    <w:rsid w:val="000855B9"/>
    <w:rsid w:val="0008570B"/>
    <w:rsid w:val="00085A86"/>
    <w:rsid w:val="00085AFC"/>
    <w:rsid w:val="00085D96"/>
    <w:rsid w:val="00085EC1"/>
    <w:rsid w:val="00085F4A"/>
    <w:rsid w:val="0008637D"/>
    <w:rsid w:val="000865C8"/>
    <w:rsid w:val="000867F1"/>
    <w:rsid w:val="00086971"/>
    <w:rsid w:val="00086AA2"/>
    <w:rsid w:val="00086B07"/>
    <w:rsid w:val="00086C64"/>
    <w:rsid w:val="00086D72"/>
    <w:rsid w:val="00087226"/>
    <w:rsid w:val="0008733C"/>
    <w:rsid w:val="0008772A"/>
    <w:rsid w:val="00087B46"/>
    <w:rsid w:val="00087CCA"/>
    <w:rsid w:val="00090550"/>
    <w:rsid w:val="0009081A"/>
    <w:rsid w:val="0009081D"/>
    <w:rsid w:val="00090A6A"/>
    <w:rsid w:val="00090C7E"/>
    <w:rsid w:val="00090EA1"/>
    <w:rsid w:val="0009114D"/>
    <w:rsid w:val="00091284"/>
    <w:rsid w:val="000912C9"/>
    <w:rsid w:val="000915D8"/>
    <w:rsid w:val="0009175A"/>
    <w:rsid w:val="00091ADD"/>
    <w:rsid w:val="000922FE"/>
    <w:rsid w:val="000924FA"/>
    <w:rsid w:val="0009250B"/>
    <w:rsid w:val="000925E1"/>
    <w:rsid w:val="000926D6"/>
    <w:rsid w:val="0009273D"/>
    <w:rsid w:val="00093044"/>
    <w:rsid w:val="000931C4"/>
    <w:rsid w:val="000932DD"/>
    <w:rsid w:val="0009331D"/>
    <w:rsid w:val="00093634"/>
    <w:rsid w:val="0009393D"/>
    <w:rsid w:val="00093B2F"/>
    <w:rsid w:val="00094581"/>
    <w:rsid w:val="0009465C"/>
    <w:rsid w:val="00094819"/>
    <w:rsid w:val="00094B2F"/>
    <w:rsid w:val="00094B3D"/>
    <w:rsid w:val="00094C88"/>
    <w:rsid w:val="00094F6C"/>
    <w:rsid w:val="00095003"/>
    <w:rsid w:val="000952BD"/>
    <w:rsid w:val="00095316"/>
    <w:rsid w:val="00095815"/>
    <w:rsid w:val="000959A7"/>
    <w:rsid w:val="00095B77"/>
    <w:rsid w:val="00095BE8"/>
    <w:rsid w:val="00095F28"/>
    <w:rsid w:val="00095F5B"/>
    <w:rsid w:val="0009617D"/>
    <w:rsid w:val="00096657"/>
    <w:rsid w:val="00096991"/>
    <w:rsid w:val="00096AA0"/>
    <w:rsid w:val="00096B76"/>
    <w:rsid w:val="00096B7C"/>
    <w:rsid w:val="00096E3C"/>
    <w:rsid w:val="00096EDC"/>
    <w:rsid w:val="00096F71"/>
    <w:rsid w:val="00097049"/>
    <w:rsid w:val="00097525"/>
    <w:rsid w:val="00097A90"/>
    <w:rsid w:val="00097EE1"/>
    <w:rsid w:val="000A02CF"/>
    <w:rsid w:val="000A0469"/>
    <w:rsid w:val="000A07FF"/>
    <w:rsid w:val="000A0A9C"/>
    <w:rsid w:val="000A131A"/>
    <w:rsid w:val="000A135E"/>
    <w:rsid w:val="000A141B"/>
    <w:rsid w:val="000A1447"/>
    <w:rsid w:val="000A14F4"/>
    <w:rsid w:val="000A160F"/>
    <w:rsid w:val="000A1861"/>
    <w:rsid w:val="000A199A"/>
    <w:rsid w:val="000A19CC"/>
    <w:rsid w:val="000A285A"/>
    <w:rsid w:val="000A2932"/>
    <w:rsid w:val="000A29B4"/>
    <w:rsid w:val="000A2CCF"/>
    <w:rsid w:val="000A2CD4"/>
    <w:rsid w:val="000A2DA6"/>
    <w:rsid w:val="000A2E0A"/>
    <w:rsid w:val="000A3130"/>
    <w:rsid w:val="000A31D4"/>
    <w:rsid w:val="000A34CE"/>
    <w:rsid w:val="000A3521"/>
    <w:rsid w:val="000A366F"/>
    <w:rsid w:val="000A3C02"/>
    <w:rsid w:val="000A3CE9"/>
    <w:rsid w:val="000A3E06"/>
    <w:rsid w:val="000A3EE6"/>
    <w:rsid w:val="000A40D8"/>
    <w:rsid w:val="000A4550"/>
    <w:rsid w:val="000A4591"/>
    <w:rsid w:val="000A467F"/>
    <w:rsid w:val="000A4737"/>
    <w:rsid w:val="000A4E2E"/>
    <w:rsid w:val="000A4F2E"/>
    <w:rsid w:val="000A535C"/>
    <w:rsid w:val="000A53B9"/>
    <w:rsid w:val="000A5442"/>
    <w:rsid w:val="000A55E1"/>
    <w:rsid w:val="000A5D92"/>
    <w:rsid w:val="000A6152"/>
    <w:rsid w:val="000A6490"/>
    <w:rsid w:val="000A66D2"/>
    <w:rsid w:val="000A6E16"/>
    <w:rsid w:val="000A7132"/>
    <w:rsid w:val="000A71EA"/>
    <w:rsid w:val="000A7591"/>
    <w:rsid w:val="000A77A6"/>
    <w:rsid w:val="000A7931"/>
    <w:rsid w:val="000A7C0B"/>
    <w:rsid w:val="000A7C31"/>
    <w:rsid w:val="000B0018"/>
    <w:rsid w:val="000B0352"/>
    <w:rsid w:val="000B0526"/>
    <w:rsid w:val="000B05E4"/>
    <w:rsid w:val="000B0675"/>
    <w:rsid w:val="000B0798"/>
    <w:rsid w:val="000B0918"/>
    <w:rsid w:val="000B0B98"/>
    <w:rsid w:val="000B0F86"/>
    <w:rsid w:val="000B0FAE"/>
    <w:rsid w:val="000B136D"/>
    <w:rsid w:val="000B151D"/>
    <w:rsid w:val="000B16B7"/>
    <w:rsid w:val="000B1726"/>
    <w:rsid w:val="000B1801"/>
    <w:rsid w:val="000B1C44"/>
    <w:rsid w:val="000B2165"/>
    <w:rsid w:val="000B2299"/>
    <w:rsid w:val="000B22B2"/>
    <w:rsid w:val="000B2679"/>
    <w:rsid w:val="000B272C"/>
    <w:rsid w:val="000B2AB9"/>
    <w:rsid w:val="000B2AC4"/>
    <w:rsid w:val="000B2CAE"/>
    <w:rsid w:val="000B2EB8"/>
    <w:rsid w:val="000B2FEA"/>
    <w:rsid w:val="000B30D7"/>
    <w:rsid w:val="000B30DA"/>
    <w:rsid w:val="000B37D9"/>
    <w:rsid w:val="000B3AA2"/>
    <w:rsid w:val="000B3B34"/>
    <w:rsid w:val="000B3BBF"/>
    <w:rsid w:val="000B3C89"/>
    <w:rsid w:val="000B3F2C"/>
    <w:rsid w:val="000B4080"/>
    <w:rsid w:val="000B419A"/>
    <w:rsid w:val="000B4246"/>
    <w:rsid w:val="000B44D5"/>
    <w:rsid w:val="000B4608"/>
    <w:rsid w:val="000B46E7"/>
    <w:rsid w:val="000B57AD"/>
    <w:rsid w:val="000B5BC0"/>
    <w:rsid w:val="000B5C13"/>
    <w:rsid w:val="000B5DED"/>
    <w:rsid w:val="000B61CF"/>
    <w:rsid w:val="000B6465"/>
    <w:rsid w:val="000B6576"/>
    <w:rsid w:val="000B6626"/>
    <w:rsid w:val="000B6C26"/>
    <w:rsid w:val="000B6D3A"/>
    <w:rsid w:val="000B6F25"/>
    <w:rsid w:val="000B7236"/>
    <w:rsid w:val="000B743B"/>
    <w:rsid w:val="000B74E1"/>
    <w:rsid w:val="000B767A"/>
    <w:rsid w:val="000B781F"/>
    <w:rsid w:val="000B7F02"/>
    <w:rsid w:val="000B7FA7"/>
    <w:rsid w:val="000C0097"/>
    <w:rsid w:val="000C01C6"/>
    <w:rsid w:val="000C03F5"/>
    <w:rsid w:val="000C0634"/>
    <w:rsid w:val="000C0830"/>
    <w:rsid w:val="000C0BDA"/>
    <w:rsid w:val="000C0C54"/>
    <w:rsid w:val="000C0ED0"/>
    <w:rsid w:val="000C0F5E"/>
    <w:rsid w:val="000C160B"/>
    <w:rsid w:val="000C1C88"/>
    <w:rsid w:val="000C1D49"/>
    <w:rsid w:val="000C1E72"/>
    <w:rsid w:val="000C1FB5"/>
    <w:rsid w:val="000C221F"/>
    <w:rsid w:val="000C2A67"/>
    <w:rsid w:val="000C311F"/>
    <w:rsid w:val="000C3222"/>
    <w:rsid w:val="000C364F"/>
    <w:rsid w:val="000C3695"/>
    <w:rsid w:val="000C37ED"/>
    <w:rsid w:val="000C3C58"/>
    <w:rsid w:val="000C3DEF"/>
    <w:rsid w:val="000C4048"/>
    <w:rsid w:val="000C4592"/>
    <w:rsid w:val="000C4C05"/>
    <w:rsid w:val="000C4D12"/>
    <w:rsid w:val="000C4DDD"/>
    <w:rsid w:val="000C4EEB"/>
    <w:rsid w:val="000C510D"/>
    <w:rsid w:val="000C5192"/>
    <w:rsid w:val="000C52A8"/>
    <w:rsid w:val="000C56D9"/>
    <w:rsid w:val="000C57E7"/>
    <w:rsid w:val="000C5C52"/>
    <w:rsid w:val="000C5F96"/>
    <w:rsid w:val="000C6179"/>
    <w:rsid w:val="000C655A"/>
    <w:rsid w:val="000C6704"/>
    <w:rsid w:val="000C6889"/>
    <w:rsid w:val="000C68E5"/>
    <w:rsid w:val="000C69E8"/>
    <w:rsid w:val="000C6A20"/>
    <w:rsid w:val="000C6AEF"/>
    <w:rsid w:val="000C6C02"/>
    <w:rsid w:val="000C6DB2"/>
    <w:rsid w:val="000C716E"/>
    <w:rsid w:val="000C71FF"/>
    <w:rsid w:val="000C7680"/>
    <w:rsid w:val="000C7937"/>
    <w:rsid w:val="000C7CED"/>
    <w:rsid w:val="000C7DEA"/>
    <w:rsid w:val="000C7E17"/>
    <w:rsid w:val="000D0133"/>
    <w:rsid w:val="000D03D0"/>
    <w:rsid w:val="000D0DE8"/>
    <w:rsid w:val="000D0E48"/>
    <w:rsid w:val="000D0F17"/>
    <w:rsid w:val="000D1031"/>
    <w:rsid w:val="000D1358"/>
    <w:rsid w:val="000D1AE4"/>
    <w:rsid w:val="000D1BFC"/>
    <w:rsid w:val="000D1CDA"/>
    <w:rsid w:val="000D1FF5"/>
    <w:rsid w:val="000D22D7"/>
    <w:rsid w:val="000D2387"/>
    <w:rsid w:val="000D282B"/>
    <w:rsid w:val="000D2F76"/>
    <w:rsid w:val="000D2FDE"/>
    <w:rsid w:val="000D31EF"/>
    <w:rsid w:val="000D3433"/>
    <w:rsid w:val="000D35D5"/>
    <w:rsid w:val="000D366D"/>
    <w:rsid w:val="000D3926"/>
    <w:rsid w:val="000D3E76"/>
    <w:rsid w:val="000D3F6A"/>
    <w:rsid w:val="000D41DC"/>
    <w:rsid w:val="000D4359"/>
    <w:rsid w:val="000D47E9"/>
    <w:rsid w:val="000D4F35"/>
    <w:rsid w:val="000D501E"/>
    <w:rsid w:val="000D5226"/>
    <w:rsid w:val="000D5429"/>
    <w:rsid w:val="000D5822"/>
    <w:rsid w:val="000D583B"/>
    <w:rsid w:val="000D5886"/>
    <w:rsid w:val="000D5965"/>
    <w:rsid w:val="000D59AC"/>
    <w:rsid w:val="000D5A73"/>
    <w:rsid w:val="000D67DB"/>
    <w:rsid w:val="000D685E"/>
    <w:rsid w:val="000D6B6C"/>
    <w:rsid w:val="000D6BC7"/>
    <w:rsid w:val="000D6C05"/>
    <w:rsid w:val="000D6E8B"/>
    <w:rsid w:val="000D73EA"/>
    <w:rsid w:val="000D750E"/>
    <w:rsid w:val="000D7CD3"/>
    <w:rsid w:val="000E0380"/>
    <w:rsid w:val="000E05EC"/>
    <w:rsid w:val="000E0BCD"/>
    <w:rsid w:val="000E0CD8"/>
    <w:rsid w:val="000E1088"/>
    <w:rsid w:val="000E1181"/>
    <w:rsid w:val="000E11A1"/>
    <w:rsid w:val="000E139B"/>
    <w:rsid w:val="000E1547"/>
    <w:rsid w:val="000E1637"/>
    <w:rsid w:val="000E1854"/>
    <w:rsid w:val="000E1A59"/>
    <w:rsid w:val="000E1A86"/>
    <w:rsid w:val="000E1E4C"/>
    <w:rsid w:val="000E1FC7"/>
    <w:rsid w:val="000E21B9"/>
    <w:rsid w:val="000E21F5"/>
    <w:rsid w:val="000E2345"/>
    <w:rsid w:val="000E2932"/>
    <w:rsid w:val="000E29F5"/>
    <w:rsid w:val="000E2ADF"/>
    <w:rsid w:val="000E2BF9"/>
    <w:rsid w:val="000E2F84"/>
    <w:rsid w:val="000E2FA7"/>
    <w:rsid w:val="000E3066"/>
    <w:rsid w:val="000E3293"/>
    <w:rsid w:val="000E3525"/>
    <w:rsid w:val="000E3703"/>
    <w:rsid w:val="000E3CCA"/>
    <w:rsid w:val="000E3D9C"/>
    <w:rsid w:val="000E3E2F"/>
    <w:rsid w:val="000E44A0"/>
    <w:rsid w:val="000E47C7"/>
    <w:rsid w:val="000E4971"/>
    <w:rsid w:val="000E4A6F"/>
    <w:rsid w:val="000E4F16"/>
    <w:rsid w:val="000E5229"/>
    <w:rsid w:val="000E56A5"/>
    <w:rsid w:val="000E5827"/>
    <w:rsid w:val="000E5A11"/>
    <w:rsid w:val="000E5C37"/>
    <w:rsid w:val="000E6084"/>
    <w:rsid w:val="000E661A"/>
    <w:rsid w:val="000E68A1"/>
    <w:rsid w:val="000E6AF8"/>
    <w:rsid w:val="000E6B22"/>
    <w:rsid w:val="000E6EF6"/>
    <w:rsid w:val="000E70AC"/>
    <w:rsid w:val="000E7B04"/>
    <w:rsid w:val="000F03F1"/>
    <w:rsid w:val="000F04CF"/>
    <w:rsid w:val="000F0675"/>
    <w:rsid w:val="000F0F1D"/>
    <w:rsid w:val="000F13CD"/>
    <w:rsid w:val="000F13D3"/>
    <w:rsid w:val="000F14F5"/>
    <w:rsid w:val="000F15F5"/>
    <w:rsid w:val="000F164B"/>
    <w:rsid w:val="000F17F2"/>
    <w:rsid w:val="000F18FF"/>
    <w:rsid w:val="000F1DDB"/>
    <w:rsid w:val="000F1F55"/>
    <w:rsid w:val="000F1F95"/>
    <w:rsid w:val="000F21EA"/>
    <w:rsid w:val="000F2238"/>
    <w:rsid w:val="000F278D"/>
    <w:rsid w:val="000F286E"/>
    <w:rsid w:val="000F2975"/>
    <w:rsid w:val="000F29CA"/>
    <w:rsid w:val="000F29CC"/>
    <w:rsid w:val="000F2D05"/>
    <w:rsid w:val="000F3B07"/>
    <w:rsid w:val="000F3C8C"/>
    <w:rsid w:val="000F3CF1"/>
    <w:rsid w:val="000F3DFE"/>
    <w:rsid w:val="000F41AD"/>
    <w:rsid w:val="000F430B"/>
    <w:rsid w:val="000F444A"/>
    <w:rsid w:val="000F45D5"/>
    <w:rsid w:val="000F4861"/>
    <w:rsid w:val="000F49B7"/>
    <w:rsid w:val="000F4A51"/>
    <w:rsid w:val="000F4BB8"/>
    <w:rsid w:val="000F4DE0"/>
    <w:rsid w:val="000F4DE2"/>
    <w:rsid w:val="000F4E3B"/>
    <w:rsid w:val="000F52F0"/>
    <w:rsid w:val="000F56A7"/>
    <w:rsid w:val="000F578D"/>
    <w:rsid w:val="000F5A1E"/>
    <w:rsid w:val="000F5B27"/>
    <w:rsid w:val="000F6154"/>
    <w:rsid w:val="000F622B"/>
    <w:rsid w:val="000F62A3"/>
    <w:rsid w:val="000F647E"/>
    <w:rsid w:val="000F6A3C"/>
    <w:rsid w:val="000F7076"/>
    <w:rsid w:val="000F70FF"/>
    <w:rsid w:val="000F7127"/>
    <w:rsid w:val="000F72A8"/>
    <w:rsid w:val="000F7399"/>
    <w:rsid w:val="000F73E9"/>
    <w:rsid w:val="000F795C"/>
    <w:rsid w:val="000F7A0C"/>
    <w:rsid w:val="000F7D1B"/>
    <w:rsid w:val="000F7F88"/>
    <w:rsid w:val="001006E7"/>
    <w:rsid w:val="001007F5"/>
    <w:rsid w:val="0010087C"/>
    <w:rsid w:val="00100D11"/>
    <w:rsid w:val="00100F8A"/>
    <w:rsid w:val="00101633"/>
    <w:rsid w:val="0010183A"/>
    <w:rsid w:val="0010191D"/>
    <w:rsid w:val="00101B6C"/>
    <w:rsid w:val="00101BA8"/>
    <w:rsid w:val="00101BA9"/>
    <w:rsid w:val="00101E96"/>
    <w:rsid w:val="00101FB6"/>
    <w:rsid w:val="00101FEA"/>
    <w:rsid w:val="001026E8"/>
    <w:rsid w:val="00102744"/>
    <w:rsid w:val="00102B9E"/>
    <w:rsid w:val="00102FF7"/>
    <w:rsid w:val="001032FF"/>
    <w:rsid w:val="0010333F"/>
    <w:rsid w:val="001033E1"/>
    <w:rsid w:val="00103A43"/>
    <w:rsid w:val="00103A51"/>
    <w:rsid w:val="00104200"/>
    <w:rsid w:val="001043EA"/>
    <w:rsid w:val="0010460D"/>
    <w:rsid w:val="001046C3"/>
    <w:rsid w:val="0010488E"/>
    <w:rsid w:val="00104A05"/>
    <w:rsid w:val="00105248"/>
    <w:rsid w:val="00105356"/>
    <w:rsid w:val="0010576E"/>
    <w:rsid w:val="001059BE"/>
    <w:rsid w:val="00105FEB"/>
    <w:rsid w:val="00106346"/>
    <w:rsid w:val="0010661C"/>
    <w:rsid w:val="0010676C"/>
    <w:rsid w:val="00106C44"/>
    <w:rsid w:val="00106EF3"/>
    <w:rsid w:val="001071AA"/>
    <w:rsid w:val="00107278"/>
    <w:rsid w:val="00107937"/>
    <w:rsid w:val="00107A63"/>
    <w:rsid w:val="0011009E"/>
    <w:rsid w:val="001101BA"/>
    <w:rsid w:val="0011032E"/>
    <w:rsid w:val="00110381"/>
    <w:rsid w:val="001104F7"/>
    <w:rsid w:val="001105A7"/>
    <w:rsid w:val="001107F8"/>
    <w:rsid w:val="00110876"/>
    <w:rsid w:val="00110C71"/>
    <w:rsid w:val="00110EE3"/>
    <w:rsid w:val="001111B1"/>
    <w:rsid w:val="0011122F"/>
    <w:rsid w:val="001112FB"/>
    <w:rsid w:val="0011186C"/>
    <w:rsid w:val="00111954"/>
    <w:rsid w:val="00111B41"/>
    <w:rsid w:val="00111FFE"/>
    <w:rsid w:val="001121F0"/>
    <w:rsid w:val="0011228C"/>
    <w:rsid w:val="001125A9"/>
    <w:rsid w:val="00112FD5"/>
    <w:rsid w:val="0011348B"/>
    <w:rsid w:val="0011357E"/>
    <w:rsid w:val="00113780"/>
    <w:rsid w:val="001139C2"/>
    <w:rsid w:val="00113A07"/>
    <w:rsid w:val="00113D5E"/>
    <w:rsid w:val="0011440F"/>
    <w:rsid w:val="00114441"/>
    <w:rsid w:val="001146C2"/>
    <w:rsid w:val="00114AAF"/>
    <w:rsid w:val="00114DC1"/>
    <w:rsid w:val="00114E4A"/>
    <w:rsid w:val="00114E8B"/>
    <w:rsid w:val="001150C2"/>
    <w:rsid w:val="0011559C"/>
    <w:rsid w:val="00115608"/>
    <w:rsid w:val="0011590A"/>
    <w:rsid w:val="001163C9"/>
    <w:rsid w:val="001163D8"/>
    <w:rsid w:val="00116436"/>
    <w:rsid w:val="00116999"/>
    <w:rsid w:val="00116A64"/>
    <w:rsid w:val="00116AD0"/>
    <w:rsid w:val="00116C53"/>
    <w:rsid w:val="00117206"/>
    <w:rsid w:val="00117278"/>
    <w:rsid w:val="001174B9"/>
    <w:rsid w:val="001175AD"/>
    <w:rsid w:val="00117A38"/>
    <w:rsid w:val="00117EB9"/>
    <w:rsid w:val="001202FA"/>
    <w:rsid w:val="0012055B"/>
    <w:rsid w:val="00120598"/>
    <w:rsid w:val="001206EF"/>
    <w:rsid w:val="0012088F"/>
    <w:rsid w:val="00120EA8"/>
    <w:rsid w:val="00121799"/>
    <w:rsid w:val="0012195F"/>
    <w:rsid w:val="00121ACE"/>
    <w:rsid w:val="00121B28"/>
    <w:rsid w:val="00121D15"/>
    <w:rsid w:val="001220F7"/>
    <w:rsid w:val="001222FC"/>
    <w:rsid w:val="00122A49"/>
    <w:rsid w:val="00122B9D"/>
    <w:rsid w:val="00122C66"/>
    <w:rsid w:val="00122E28"/>
    <w:rsid w:val="00123163"/>
    <w:rsid w:val="0012374D"/>
    <w:rsid w:val="001239AC"/>
    <w:rsid w:val="00123EC1"/>
    <w:rsid w:val="001240EE"/>
    <w:rsid w:val="001244AD"/>
    <w:rsid w:val="0012465B"/>
    <w:rsid w:val="00124A51"/>
    <w:rsid w:val="00124DC1"/>
    <w:rsid w:val="00125230"/>
    <w:rsid w:val="00125314"/>
    <w:rsid w:val="00125486"/>
    <w:rsid w:val="0012561C"/>
    <w:rsid w:val="00125D0D"/>
    <w:rsid w:val="00125F89"/>
    <w:rsid w:val="001260B9"/>
    <w:rsid w:val="00126248"/>
    <w:rsid w:val="001262EA"/>
    <w:rsid w:val="0012631D"/>
    <w:rsid w:val="00126386"/>
    <w:rsid w:val="00126497"/>
    <w:rsid w:val="00126568"/>
    <w:rsid w:val="00126621"/>
    <w:rsid w:val="0012694B"/>
    <w:rsid w:val="001269EB"/>
    <w:rsid w:val="00126DD8"/>
    <w:rsid w:val="00126EAA"/>
    <w:rsid w:val="00127095"/>
    <w:rsid w:val="00127250"/>
    <w:rsid w:val="001272E7"/>
    <w:rsid w:val="00127421"/>
    <w:rsid w:val="00127861"/>
    <w:rsid w:val="00127C5F"/>
    <w:rsid w:val="001301E9"/>
    <w:rsid w:val="001302E0"/>
    <w:rsid w:val="001302F1"/>
    <w:rsid w:val="00130695"/>
    <w:rsid w:val="001308A0"/>
    <w:rsid w:val="00130903"/>
    <w:rsid w:val="00130B28"/>
    <w:rsid w:val="00130E2F"/>
    <w:rsid w:val="00130E5D"/>
    <w:rsid w:val="00130F77"/>
    <w:rsid w:val="001310AD"/>
    <w:rsid w:val="001312F9"/>
    <w:rsid w:val="00131400"/>
    <w:rsid w:val="0013148E"/>
    <w:rsid w:val="0013191D"/>
    <w:rsid w:val="001319D0"/>
    <w:rsid w:val="00131C34"/>
    <w:rsid w:val="00131EC0"/>
    <w:rsid w:val="00132039"/>
    <w:rsid w:val="001322BC"/>
    <w:rsid w:val="001322DF"/>
    <w:rsid w:val="001323F3"/>
    <w:rsid w:val="00132475"/>
    <w:rsid w:val="001329E0"/>
    <w:rsid w:val="00132A89"/>
    <w:rsid w:val="00132BF9"/>
    <w:rsid w:val="00132DA2"/>
    <w:rsid w:val="00132E6B"/>
    <w:rsid w:val="0013364C"/>
    <w:rsid w:val="00133670"/>
    <w:rsid w:val="001338D7"/>
    <w:rsid w:val="00133AA1"/>
    <w:rsid w:val="00133E84"/>
    <w:rsid w:val="00133E9E"/>
    <w:rsid w:val="001341DC"/>
    <w:rsid w:val="001342B7"/>
    <w:rsid w:val="0013431C"/>
    <w:rsid w:val="001345F1"/>
    <w:rsid w:val="00134749"/>
    <w:rsid w:val="00134B6A"/>
    <w:rsid w:val="00134E69"/>
    <w:rsid w:val="00135240"/>
    <w:rsid w:val="0013567D"/>
    <w:rsid w:val="00135715"/>
    <w:rsid w:val="001360F5"/>
    <w:rsid w:val="00136212"/>
    <w:rsid w:val="001362D8"/>
    <w:rsid w:val="0013642F"/>
    <w:rsid w:val="001364CC"/>
    <w:rsid w:val="00136962"/>
    <w:rsid w:val="00136978"/>
    <w:rsid w:val="00136B96"/>
    <w:rsid w:val="00137083"/>
    <w:rsid w:val="0013719C"/>
    <w:rsid w:val="0013724A"/>
    <w:rsid w:val="0013727B"/>
    <w:rsid w:val="001373CF"/>
    <w:rsid w:val="00137645"/>
    <w:rsid w:val="00137DFD"/>
    <w:rsid w:val="00137F8E"/>
    <w:rsid w:val="00140017"/>
    <w:rsid w:val="00140159"/>
    <w:rsid w:val="0014015A"/>
    <w:rsid w:val="00140202"/>
    <w:rsid w:val="00140644"/>
    <w:rsid w:val="001406AA"/>
    <w:rsid w:val="00140C2A"/>
    <w:rsid w:val="00140D51"/>
    <w:rsid w:val="00140DA0"/>
    <w:rsid w:val="00140E5A"/>
    <w:rsid w:val="00140E5C"/>
    <w:rsid w:val="00140E99"/>
    <w:rsid w:val="00141089"/>
    <w:rsid w:val="00141164"/>
    <w:rsid w:val="0014171A"/>
    <w:rsid w:val="001417C3"/>
    <w:rsid w:val="00141D76"/>
    <w:rsid w:val="001421F0"/>
    <w:rsid w:val="00142641"/>
    <w:rsid w:val="00143197"/>
    <w:rsid w:val="001431F3"/>
    <w:rsid w:val="001432DA"/>
    <w:rsid w:val="001434F9"/>
    <w:rsid w:val="00143AA5"/>
    <w:rsid w:val="00143E03"/>
    <w:rsid w:val="00143E7C"/>
    <w:rsid w:val="00143E8F"/>
    <w:rsid w:val="00143FBB"/>
    <w:rsid w:val="001441A1"/>
    <w:rsid w:val="00144395"/>
    <w:rsid w:val="001447D1"/>
    <w:rsid w:val="00144CCF"/>
    <w:rsid w:val="00145047"/>
    <w:rsid w:val="00145233"/>
    <w:rsid w:val="0014537D"/>
    <w:rsid w:val="00145540"/>
    <w:rsid w:val="001456B0"/>
    <w:rsid w:val="00145FD1"/>
    <w:rsid w:val="0014603B"/>
    <w:rsid w:val="0014643E"/>
    <w:rsid w:val="00146880"/>
    <w:rsid w:val="00146D91"/>
    <w:rsid w:val="00146EC9"/>
    <w:rsid w:val="00146F4F"/>
    <w:rsid w:val="001472BB"/>
    <w:rsid w:val="00147752"/>
    <w:rsid w:val="00147A52"/>
    <w:rsid w:val="00147A6C"/>
    <w:rsid w:val="00147AE8"/>
    <w:rsid w:val="00147C15"/>
    <w:rsid w:val="0015000B"/>
    <w:rsid w:val="0015007D"/>
    <w:rsid w:val="00150281"/>
    <w:rsid w:val="0015028F"/>
    <w:rsid w:val="00150B12"/>
    <w:rsid w:val="00150FA0"/>
    <w:rsid w:val="001512F2"/>
    <w:rsid w:val="0015184C"/>
    <w:rsid w:val="0015185C"/>
    <w:rsid w:val="0015189F"/>
    <w:rsid w:val="00151AC6"/>
    <w:rsid w:val="00151B11"/>
    <w:rsid w:val="00151B78"/>
    <w:rsid w:val="00151BD8"/>
    <w:rsid w:val="00151DD2"/>
    <w:rsid w:val="00151F0D"/>
    <w:rsid w:val="00152B8C"/>
    <w:rsid w:val="00152BC2"/>
    <w:rsid w:val="00152C24"/>
    <w:rsid w:val="00152E92"/>
    <w:rsid w:val="00153120"/>
    <w:rsid w:val="00153241"/>
    <w:rsid w:val="0015325C"/>
    <w:rsid w:val="001534A3"/>
    <w:rsid w:val="001534F9"/>
    <w:rsid w:val="001534FE"/>
    <w:rsid w:val="0015357F"/>
    <w:rsid w:val="00153878"/>
    <w:rsid w:val="00153B1D"/>
    <w:rsid w:val="0015404B"/>
    <w:rsid w:val="001540A7"/>
    <w:rsid w:val="001543B0"/>
    <w:rsid w:val="001543F3"/>
    <w:rsid w:val="00154511"/>
    <w:rsid w:val="001545F0"/>
    <w:rsid w:val="001549E7"/>
    <w:rsid w:val="00154B19"/>
    <w:rsid w:val="00154D01"/>
    <w:rsid w:val="00154EF7"/>
    <w:rsid w:val="00154EFB"/>
    <w:rsid w:val="00154F85"/>
    <w:rsid w:val="00154FE4"/>
    <w:rsid w:val="00155146"/>
    <w:rsid w:val="0015548E"/>
    <w:rsid w:val="0015599A"/>
    <w:rsid w:val="00155EB5"/>
    <w:rsid w:val="00155F1C"/>
    <w:rsid w:val="00156090"/>
    <w:rsid w:val="001561A1"/>
    <w:rsid w:val="001561DA"/>
    <w:rsid w:val="001561E9"/>
    <w:rsid w:val="001562B7"/>
    <w:rsid w:val="00156539"/>
    <w:rsid w:val="00156573"/>
    <w:rsid w:val="00156A65"/>
    <w:rsid w:val="00156BEF"/>
    <w:rsid w:val="00156C25"/>
    <w:rsid w:val="00156D37"/>
    <w:rsid w:val="00156E11"/>
    <w:rsid w:val="00157130"/>
    <w:rsid w:val="001571DF"/>
    <w:rsid w:val="0015720B"/>
    <w:rsid w:val="0015727C"/>
    <w:rsid w:val="00157795"/>
    <w:rsid w:val="00157859"/>
    <w:rsid w:val="00157A51"/>
    <w:rsid w:val="00157AF9"/>
    <w:rsid w:val="00160061"/>
    <w:rsid w:val="001600EE"/>
    <w:rsid w:val="0016010E"/>
    <w:rsid w:val="001601DB"/>
    <w:rsid w:val="001601DE"/>
    <w:rsid w:val="001602DC"/>
    <w:rsid w:val="00160534"/>
    <w:rsid w:val="001607A0"/>
    <w:rsid w:val="00160DF8"/>
    <w:rsid w:val="00161077"/>
    <w:rsid w:val="001614FD"/>
    <w:rsid w:val="0016151E"/>
    <w:rsid w:val="0016176A"/>
    <w:rsid w:val="0016179F"/>
    <w:rsid w:val="0016193F"/>
    <w:rsid w:val="00161C76"/>
    <w:rsid w:val="00161F7B"/>
    <w:rsid w:val="0016254B"/>
    <w:rsid w:val="00162913"/>
    <w:rsid w:val="0016300A"/>
    <w:rsid w:val="00163538"/>
    <w:rsid w:val="001636AB"/>
    <w:rsid w:val="00163BCC"/>
    <w:rsid w:val="00163D85"/>
    <w:rsid w:val="00163E59"/>
    <w:rsid w:val="00163EFF"/>
    <w:rsid w:val="00163F94"/>
    <w:rsid w:val="0016407A"/>
    <w:rsid w:val="001648F0"/>
    <w:rsid w:val="00164A2C"/>
    <w:rsid w:val="00164A33"/>
    <w:rsid w:val="00164AEB"/>
    <w:rsid w:val="001650B4"/>
    <w:rsid w:val="00165273"/>
    <w:rsid w:val="00165644"/>
    <w:rsid w:val="00165704"/>
    <w:rsid w:val="00165956"/>
    <w:rsid w:val="00165A61"/>
    <w:rsid w:val="00165A63"/>
    <w:rsid w:val="00165B35"/>
    <w:rsid w:val="00165B3B"/>
    <w:rsid w:val="00165C81"/>
    <w:rsid w:val="00165E81"/>
    <w:rsid w:val="00165EC8"/>
    <w:rsid w:val="00165EF2"/>
    <w:rsid w:val="00165F2D"/>
    <w:rsid w:val="001661FB"/>
    <w:rsid w:val="001663D4"/>
    <w:rsid w:val="00166478"/>
    <w:rsid w:val="0016663A"/>
    <w:rsid w:val="001668D8"/>
    <w:rsid w:val="00166FF1"/>
    <w:rsid w:val="001670FD"/>
    <w:rsid w:val="001674D6"/>
    <w:rsid w:val="00167E68"/>
    <w:rsid w:val="001702AB"/>
    <w:rsid w:val="001705AE"/>
    <w:rsid w:val="001706C9"/>
    <w:rsid w:val="00170809"/>
    <w:rsid w:val="00170AB0"/>
    <w:rsid w:val="00170B1B"/>
    <w:rsid w:val="00170DCD"/>
    <w:rsid w:val="00170F3C"/>
    <w:rsid w:val="0017107C"/>
    <w:rsid w:val="0017138D"/>
    <w:rsid w:val="00171522"/>
    <w:rsid w:val="0017186D"/>
    <w:rsid w:val="00171AFC"/>
    <w:rsid w:val="00172133"/>
    <w:rsid w:val="001721D7"/>
    <w:rsid w:val="0017225C"/>
    <w:rsid w:val="00172796"/>
    <w:rsid w:val="00172863"/>
    <w:rsid w:val="001728A1"/>
    <w:rsid w:val="00172A0A"/>
    <w:rsid w:val="00172CE8"/>
    <w:rsid w:val="00172D11"/>
    <w:rsid w:val="00172DBE"/>
    <w:rsid w:val="00172F32"/>
    <w:rsid w:val="001736F9"/>
    <w:rsid w:val="001737B8"/>
    <w:rsid w:val="001739E3"/>
    <w:rsid w:val="00173AD2"/>
    <w:rsid w:val="00173BF7"/>
    <w:rsid w:val="00173CFC"/>
    <w:rsid w:val="00173E42"/>
    <w:rsid w:val="001740A7"/>
    <w:rsid w:val="00174180"/>
    <w:rsid w:val="00174263"/>
    <w:rsid w:val="00174555"/>
    <w:rsid w:val="001745E0"/>
    <w:rsid w:val="001747D4"/>
    <w:rsid w:val="00174C0E"/>
    <w:rsid w:val="00174E1E"/>
    <w:rsid w:val="00174F4C"/>
    <w:rsid w:val="00174FEF"/>
    <w:rsid w:val="001753DD"/>
    <w:rsid w:val="00175513"/>
    <w:rsid w:val="0017589D"/>
    <w:rsid w:val="00176021"/>
    <w:rsid w:val="00176987"/>
    <w:rsid w:val="00176D88"/>
    <w:rsid w:val="00176EC1"/>
    <w:rsid w:val="00176FD5"/>
    <w:rsid w:val="00177095"/>
    <w:rsid w:val="001772C3"/>
    <w:rsid w:val="001775E3"/>
    <w:rsid w:val="00177809"/>
    <w:rsid w:val="00177936"/>
    <w:rsid w:val="001805AE"/>
    <w:rsid w:val="0018065F"/>
    <w:rsid w:val="00180D32"/>
    <w:rsid w:val="001810BA"/>
    <w:rsid w:val="00181393"/>
    <w:rsid w:val="001813EE"/>
    <w:rsid w:val="001816EC"/>
    <w:rsid w:val="001817E8"/>
    <w:rsid w:val="001822C6"/>
    <w:rsid w:val="0018233B"/>
    <w:rsid w:val="001824C8"/>
    <w:rsid w:val="001825F5"/>
    <w:rsid w:val="00182BD3"/>
    <w:rsid w:val="00182FE3"/>
    <w:rsid w:val="0018388E"/>
    <w:rsid w:val="00183A52"/>
    <w:rsid w:val="00183ACC"/>
    <w:rsid w:val="00183AFA"/>
    <w:rsid w:val="00183EA2"/>
    <w:rsid w:val="00183EE0"/>
    <w:rsid w:val="001840B7"/>
    <w:rsid w:val="001840D9"/>
    <w:rsid w:val="00184478"/>
    <w:rsid w:val="001844A5"/>
    <w:rsid w:val="001845D9"/>
    <w:rsid w:val="001847F5"/>
    <w:rsid w:val="00184A35"/>
    <w:rsid w:val="00184D18"/>
    <w:rsid w:val="00184E72"/>
    <w:rsid w:val="00185009"/>
    <w:rsid w:val="0018500F"/>
    <w:rsid w:val="00185081"/>
    <w:rsid w:val="001852D5"/>
    <w:rsid w:val="001852FE"/>
    <w:rsid w:val="0018563B"/>
    <w:rsid w:val="001858A6"/>
    <w:rsid w:val="00185A28"/>
    <w:rsid w:val="00185E56"/>
    <w:rsid w:val="001861DE"/>
    <w:rsid w:val="00186352"/>
    <w:rsid w:val="00186598"/>
    <w:rsid w:val="001865D7"/>
    <w:rsid w:val="0018668E"/>
    <w:rsid w:val="00186811"/>
    <w:rsid w:val="001869E8"/>
    <w:rsid w:val="00186F34"/>
    <w:rsid w:val="00187071"/>
    <w:rsid w:val="0018752F"/>
    <w:rsid w:val="0018756A"/>
    <w:rsid w:val="00187B33"/>
    <w:rsid w:val="00187B90"/>
    <w:rsid w:val="00187CFF"/>
    <w:rsid w:val="001904FB"/>
    <w:rsid w:val="00190551"/>
    <w:rsid w:val="001906C4"/>
    <w:rsid w:val="00190982"/>
    <w:rsid w:val="00190A9C"/>
    <w:rsid w:val="00190B3B"/>
    <w:rsid w:val="00190B3C"/>
    <w:rsid w:val="00190FB0"/>
    <w:rsid w:val="00191076"/>
    <w:rsid w:val="001914D8"/>
    <w:rsid w:val="001918ED"/>
    <w:rsid w:val="00191A2B"/>
    <w:rsid w:val="00191B96"/>
    <w:rsid w:val="00191C0D"/>
    <w:rsid w:val="0019216F"/>
    <w:rsid w:val="001922EB"/>
    <w:rsid w:val="001923BF"/>
    <w:rsid w:val="00192575"/>
    <w:rsid w:val="001925A1"/>
    <w:rsid w:val="001925FB"/>
    <w:rsid w:val="001926BC"/>
    <w:rsid w:val="001926DF"/>
    <w:rsid w:val="00192AED"/>
    <w:rsid w:val="00192B15"/>
    <w:rsid w:val="00192C25"/>
    <w:rsid w:val="00192C2D"/>
    <w:rsid w:val="00192E2E"/>
    <w:rsid w:val="00193207"/>
    <w:rsid w:val="001934F8"/>
    <w:rsid w:val="001936ED"/>
    <w:rsid w:val="00193990"/>
    <w:rsid w:val="00193BEE"/>
    <w:rsid w:val="00194125"/>
    <w:rsid w:val="00194147"/>
    <w:rsid w:val="001941C6"/>
    <w:rsid w:val="00194644"/>
    <w:rsid w:val="001946E4"/>
    <w:rsid w:val="00194D31"/>
    <w:rsid w:val="00194DFA"/>
    <w:rsid w:val="00195222"/>
    <w:rsid w:val="00195336"/>
    <w:rsid w:val="001953BA"/>
    <w:rsid w:val="001957B5"/>
    <w:rsid w:val="00195914"/>
    <w:rsid w:val="00195AE7"/>
    <w:rsid w:val="00195C7A"/>
    <w:rsid w:val="00195F65"/>
    <w:rsid w:val="00196059"/>
    <w:rsid w:val="001960AF"/>
    <w:rsid w:val="001960D3"/>
    <w:rsid w:val="001960E6"/>
    <w:rsid w:val="0019612A"/>
    <w:rsid w:val="001965DC"/>
    <w:rsid w:val="001966D6"/>
    <w:rsid w:val="0019679F"/>
    <w:rsid w:val="001969B6"/>
    <w:rsid w:val="00196E18"/>
    <w:rsid w:val="00197577"/>
    <w:rsid w:val="001975D8"/>
    <w:rsid w:val="00197630"/>
    <w:rsid w:val="00197EE6"/>
    <w:rsid w:val="001A038B"/>
    <w:rsid w:val="001A03F7"/>
    <w:rsid w:val="001A057F"/>
    <w:rsid w:val="001A06E9"/>
    <w:rsid w:val="001A079B"/>
    <w:rsid w:val="001A0B04"/>
    <w:rsid w:val="001A0E36"/>
    <w:rsid w:val="001A1420"/>
    <w:rsid w:val="001A150E"/>
    <w:rsid w:val="001A18ED"/>
    <w:rsid w:val="001A1938"/>
    <w:rsid w:val="001A1A6A"/>
    <w:rsid w:val="001A1C92"/>
    <w:rsid w:val="001A1D9D"/>
    <w:rsid w:val="001A1FAF"/>
    <w:rsid w:val="001A2312"/>
    <w:rsid w:val="001A245C"/>
    <w:rsid w:val="001A2C13"/>
    <w:rsid w:val="001A2CE6"/>
    <w:rsid w:val="001A2D33"/>
    <w:rsid w:val="001A327A"/>
    <w:rsid w:val="001A339B"/>
    <w:rsid w:val="001A3622"/>
    <w:rsid w:val="001A368D"/>
    <w:rsid w:val="001A36A2"/>
    <w:rsid w:val="001A3793"/>
    <w:rsid w:val="001A3876"/>
    <w:rsid w:val="001A3935"/>
    <w:rsid w:val="001A3B23"/>
    <w:rsid w:val="001A3B8D"/>
    <w:rsid w:val="001A3E61"/>
    <w:rsid w:val="001A4001"/>
    <w:rsid w:val="001A40B1"/>
    <w:rsid w:val="001A45F0"/>
    <w:rsid w:val="001A4979"/>
    <w:rsid w:val="001A4BA3"/>
    <w:rsid w:val="001A4DAE"/>
    <w:rsid w:val="001A4FFB"/>
    <w:rsid w:val="001A50DF"/>
    <w:rsid w:val="001A5368"/>
    <w:rsid w:val="001A558B"/>
    <w:rsid w:val="001A59B3"/>
    <w:rsid w:val="001A5F63"/>
    <w:rsid w:val="001A6021"/>
    <w:rsid w:val="001A6158"/>
    <w:rsid w:val="001A6408"/>
    <w:rsid w:val="001A6520"/>
    <w:rsid w:val="001A6826"/>
    <w:rsid w:val="001A689E"/>
    <w:rsid w:val="001A6C0A"/>
    <w:rsid w:val="001A6EF9"/>
    <w:rsid w:val="001A7243"/>
    <w:rsid w:val="001A73E6"/>
    <w:rsid w:val="001A7415"/>
    <w:rsid w:val="001A7683"/>
    <w:rsid w:val="001A7EED"/>
    <w:rsid w:val="001A7F0F"/>
    <w:rsid w:val="001A7F4E"/>
    <w:rsid w:val="001A7FE4"/>
    <w:rsid w:val="001B0491"/>
    <w:rsid w:val="001B06B7"/>
    <w:rsid w:val="001B0707"/>
    <w:rsid w:val="001B0722"/>
    <w:rsid w:val="001B086C"/>
    <w:rsid w:val="001B0878"/>
    <w:rsid w:val="001B0966"/>
    <w:rsid w:val="001B0D8C"/>
    <w:rsid w:val="001B0F55"/>
    <w:rsid w:val="001B10F5"/>
    <w:rsid w:val="001B1452"/>
    <w:rsid w:val="001B14E0"/>
    <w:rsid w:val="001B1574"/>
    <w:rsid w:val="001B15BD"/>
    <w:rsid w:val="001B16FA"/>
    <w:rsid w:val="001B1A96"/>
    <w:rsid w:val="001B1AE1"/>
    <w:rsid w:val="001B1AF0"/>
    <w:rsid w:val="001B1AFB"/>
    <w:rsid w:val="001B1B89"/>
    <w:rsid w:val="001B1B8F"/>
    <w:rsid w:val="001B1C81"/>
    <w:rsid w:val="001B1CF8"/>
    <w:rsid w:val="001B1D8F"/>
    <w:rsid w:val="001B1E3C"/>
    <w:rsid w:val="001B2164"/>
    <w:rsid w:val="001B235E"/>
    <w:rsid w:val="001B25C6"/>
    <w:rsid w:val="001B27E8"/>
    <w:rsid w:val="001B2863"/>
    <w:rsid w:val="001B2A0A"/>
    <w:rsid w:val="001B2B13"/>
    <w:rsid w:val="001B2BC5"/>
    <w:rsid w:val="001B2FA4"/>
    <w:rsid w:val="001B3112"/>
    <w:rsid w:val="001B3443"/>
    <w:rsid w:val="001B36CE"/>
    <w:rsid w:val="001B3734"/>
    <w:rsid w:val="001B3858"/>
    <w:rsid w:val="001B3A58"/>
    <w:rsid w:val="001B3F50"/>
    <w:rsid w:val="001B3FB8"/>
    <w:rsid w:val="001B40FC"/>
    <w:rsid w:val="001B4284"/>
    <w:rsid w:val="001B4454"/>
    <w:rsid w:val="001B4709"/>
    <w:rsid w:val="001B4E26"/>
    <w:rsid w:val="001B4F46"/>
    <w:rsid w:val="001B5076"/>
    <w:rsid w:val="001B5210"/>
    <w:rsid w:val="001B5657"/>
    <w:rsid w:val="001B573D"/>
    <w:rsid w:val="001B5A45"/>
    <w:rsid w:val="001B5DCC"/>
    <w:rsid w:val="001B5E56"/>
    <w:rsid w:val="001B5F3F"/>
    <w:rsid w:val="001B6204"/>
    <w:rsid w:val="001B6464"/>
    <w:rsid w:val="001B64A1"/>
    <w:rsid w:val="001B66A6"/>
    <w:rsid w:val="001B6936"/>
    <w:rsid w:val="001B6C02"/>
    <w:rsid w:val="001B6CE3"/>
    <w:rsid w:val="001B6F26"/>
    <w:rsid w:val="001B7070"/>
    <w:rsid w:val="001B7072"/>
    <w:rsid w:val="001B7189"/>
    <w:rsid w:val="001B71B0"/>
    <w:rsid w:val="001B722D"/>
    <w:rsid w:val="001B739B"/>
    <w:rsid w:val="001B7678"/>
    <w:rsid w:val="001B77DB"/>
    <w:rsid w:val="001B786D"/>
    <w:rsid w:val="001B7872"/>
    <w:rsid w:val="001B796A"/>
    <w:rsid w:val="001B79D8"/>
    <w:rsid w:val="001B7CD2"/>
    <w:rsid w:val="001B7DB9"/>
    <w:rsid w:val="001B7F9F"/>
    <w:rsid w:val="001C02D9"/>
    <w:rsid w:val="001C0396"/>
    <w:rsid w:val="001C054A"/>
    <w:rsid w:val="001C054C"/>
    <w:rsid w:val="001C091D"/>
    <w:rsid w:val="001C0B6C"/>
    <w:rsid w:val="001C0EE5"/>
    <w:rsid w:val="001C11EF"/>
    <w:rsid w:val="001C166F"/>
    <w:rsid w:val="001C16F2"/>
    <w:rsid w:val="001C1B9F"/>
    <w:rsid w:val="001C218B"/>
    <w:rsid w:val="001C2592"/>
    <w:rsid w:val="001C27B4"/>
    <w:rsid w:val="001C2A51"/>
    <w:rsid w:val="001C2A57"/>
    <w:rsid w:val="001C2FCF"/>
    <w:rsid w:val="001C33D9"/>
    <w:rsid w:val="001C3732"/>
    <w:rsid w:val="001C3751"/>
    <w:rsid w:val="001C3A76"/>
    <w:rsid w:val="001C3B28"/>
    <w:rsid w:val="001C3B98"/>
    <w:rsid w:val="001C42CD"/>
    <w:rsid w:val="001C438C"/>
    <w:rsid w:val="001C447F"/>
    <w:rsid w:val="001C459D"/>
    <w:rsid w:val="001C4612"/>
    <w:rsid w:val="001C4890"/>
    <w:rsid w:val="001C4B29"/>
    <w:rsid w:val="001C4BA9"/>
    <w:rsid w:val="001C4FA5"/>
    <w:rsid w:val="001C5260"/>
    <w:rsid w:val="001C535B"/>
    <w:rsid w:val="001C53BD"/>
    <w:rsid w:val="001C55EC"/>
    <w:rsid w:val="001C56EB"/>
    <w:rsid w:val="001C5C3C"/>
    <w:rsid w:val="001C6035"/>
    <w:rsid w:val="001C6383"/>
    <w:rsid w:val="001C6423"/>
    <w:rsid w:val="001C6C79"/>
    <w:rsid w:val="001C6E66"/>
    <w:rsid w:val="001C6FD7"/>
    <w:rsid w:val="001C71E6"/>
    <w:rsid w:val="001C7204"/>
    <w:rsid w:val="001C76F6"/>
    <w:rsid w:val="001C7724"/>
    <w:rsid w:val="001C791B"/>
    <w:rsid w:val="001C7DFE"/>
    <w:rsid w:val="001D041F"/>
    <w:rsid w:val="001D0498"/>
    <w:rsid w:val="001D06B1"/>
    <w:rsid w:val="001D06D5"/>
    <w:rsid w:val="001D06D9"/>
    <w:rsid w:val="001D07BF"/>
    <w:rsid w:val="001D0A65"/>
    <w:rsid w:val="001D0AC3"/>
    <w:rsid w:val="001D0DFE"/>
    <w:rsid w:val="001D0F94"/>
    <w:rsid w:val="001D0FB5"/>
    <w:rsid w:val="001D1135"/>
    <w:rsid w:val="001D11C1"/>
    <w:rsid w:val="001D1442"/>
    <w:rsid w:val="001D179F"/>
    <w:rsid w:val="001D1A33"/>
    <w:rsid w:val="001D1B07"/>
    <w:rsid w:val="001D215F"/>
    <w:rsid w:val="001D2320"/>
    <w:rsid w:val="001D236C"/>
    <w:rsid w:val="001D241A"/>
    <w:rsid w:val="001D2589"/>
    <w:rsid w:val="001D25A4"/>
    <w:rsid w:val="001D27D2"/>
    <w:rsid w:val="001D27E6"/>
    <w:rsid w:val="001D2D72"/>
    <w:rsid w:val="001D320F"/>
    <w:rsid w:val="001D32DF"/>
    <w:rsid w:val="001D32F7"/>
    <w:rsid w:val="001D3303"/>
    <w:rsid w:val="001D382E"/>
    <w:rsid w:val="001D3980"/>
    <w:rsid w:val="001D3B01"/>
    <w:rsid w:val="001D3FD2"/>
    <w:rsid w:val="001D4370"/>
    <w:rsid w:val="001D46B3"/>
    <w:rsid w:val="001D494A"/>
    <w:rsid w:val="001D4F14"/>
    <w:rsid w:val="001D53A9"/>
    <w:rsid w:val="001D55CC"/>
    <w:rsid w:val="001D55EF"/>
    <w:rsid w:val="001D5646"/>
    <w:rsid w:val="001D5749"/>
    <w:rsid w:val="001D5845"/>
    <w:rsid w:val="001D5F0B"/>
    <w:rsid w:val="001D60DB"/>
    <w:rsid w:val="001D62E0"/>
    <w:rsid w:val="001D640F"/>
    <w:rsid w:val="001D652E"/>
    <w:rsid w:val="001D675D"/>
    <w:rsid w:val="001D67D2"/>
    <w:rsid w:val="001D685B"/>
    <w:rsid w:val="001D695F"/>
    <w:rsid w:val="001D69FC"/>
    <w:rsid w:val="001D6ACF"/>
    <w:rsid w:val="001D6DD3"/>
    <w:rsid w:val="001D6E12"/>
    <w:rsid w:val="001D6E2B"/>
    <w:rsid w:val="001D7277"/>
    <w:rsid w:val="001D7AC0"/>
    <w:rsid w:val="001E068A"/>
    <w:rsid w:val="001E06B2"/>
    <w:rsid w:val="001E06CC"/>
    <w:rsid w:val="001E06EA"/>
    <w:rsid w:val="001E073C"/>
    <w:rsid w:val="001E07CE"/>
    <w:rsid w:val="001E08C1"/>
    <w:rsid w:val="001E0C6E"/>
    <w:rsid w:val="001E0D9D"/>
    <w:rsid w:val="001E0EB1"/>
    <w:rsid w:val="001E1073"/>
    <w:rsid w:val="001E12D4"/>
    <w:rsid w:val="001E1788"/>
    <w:rsid w:val="001E17AC"/>
    <w:rsid w:val="001E190E"/>
    <w:rsid w:val="001E1959"/>
    <w:rsid w:val="001E1CA2"/>
    <w:rsid w:val="001E238E"/>
    <w:rsid w:val="001E29B1"/>
    <w:rsid w:val="001E2B1E"/>
    <w:rsid w:val="001E3136"/>
    <w:rsid w:val="001E3212"/>
    <w:rsid w:val="001E344D"/>
    <w:rsid w:val="001E367F"/>
    <w:rsid w:val="001E3E8D"/>
    <w:rsid w:val="001E44D0"/>
    <w:rsid w:val="001E496C"/>
    <w:rsid w:val="001E4DF5"/>
    <w:rsid w:val="001E52EB"/>
    <w:rsid w:val="001E5310"/>
    <w:rsid w:val="001E57B9"/>
    <w:rsid w:val="001E5C58"/>
    <w:rsid w:val="001E5EE5"/>
    <w:rsid w:val="001E5F21"/>
    <w:rsid w:val="001E5F56"/>
    <w:rsid w:val="001E5FF9"/>
    <w:rsid w:val="001E619F"/>
    <w:rsid w:val="001E6623"/>
    <w:rsid w:val="001E6862"/>
    <w:rsid w:val="001E68F7"/>
    <w:rsid w:val="001E6B2D"/>
    <w:rsid w:val="001E6BD4"/>
    <w:rsid w:val="001E6E1C"/>
    <w:rsid w:val="001E6ED3"/>
    <w:rsid w:val="001E7047"/>
    <w:rsid w:val="001E724F"/>
    <w:rsid w:val="001E737B"/>
    <w:rsid w:val="001E740C"/>
    <w:rsid w:val="001E7446"/>
    <w:rsid w:val="001E7728"/>
    <w:rsid w:val="001E77DF"/>
    <w:rsid w:val="001E7CB6"/>
    <w:rsid w:val="001E7E0F"/>
    <w:rsid w:val="001E7ECA"/>
    <w:rsid w:val="001F0100"/>
    <w:rsid w:val="001F016D"/>
    <w:rsid w:val="001F04C5"/>
    <w:rsid w:val="001F0700"/>
    <w:rsid w:val="001F0722"/>
    <w:rsid w:val="001F07BC"/>
    <w:rsid w:val="001F0855"/>
    <w:rsid w:val="001F08F7"/>
    <w:rsid w:val="001F0B0C"/>
    <w:rsid w:val="001F0DE3"/>
    <w:rsid w:val="001F113A"/>
    <w:rsid w:val="001F11AD"/>
    <w:rsid w:val="001F1235"/>
    <w:rsid w:val="001F1578"/>
    <w:rsid w:val="001F15BA"/>
    <w:rsid w:val="001F1AE9"/>
    <w:rsid w:val="001F1CAF"/>
    <w:rsid w:val="001F1CB3"/>
    <w:rsid w:val="001F236C"/>
    <w:rsid w:val="001F23EA"/>
    <w:rsid w:val="001F256E"/>
    <w:rsid w:val="001F25BA"/>
    <w:rsid w:val="001F25C8"/>
    <w:rsid w:val="001F2B79"/>
    <w:rsid w:val="001F2D8C"/>
    <w:rsid w:val="001F2E10"/>
    <w:rsid w:val="001F35E6"/>
    <w:rsid w:val="001F38DC"/>
    <w:rsid w:val="001F3B6D"/>
    <w:rsid w:val="001F3C14"/>
    <w:rsid w:val="001F4293"/>
    <w:rsid w:val="001F4CC6"/>
    <w:rsid w:val="001F4D69"/>
    <w:rsid w:val="001F5241"/>
    <w:rsid w:val="001F587C"/>
    <w:rsid w:val="001F5C97"/>
    <w:rsid w:val="001F5D2F"/>
    <w:rsid w:val="001F5F8A"/>
    <w:rsid w:val="001F600C"/>
    <w:rsid w:val="001F613F"/>
    <w:rsid w:val="001F6593"/>
    <w:rsid w:val="001F6787"/>
    <w:rsid w:val="001F691C"/>
    <w:rsid w:val="001F69A2"/>
    <w:rsid w:val="001F6C3F"/>
    <w:rsid w:val="001F6E88"/>
    <w:rsid w:val="001F6F17"/>
    <w:rsid w:val="001F7001"/>
    <w:rsid w:val="001F712E"/>
    <w:rsid w:val="001F72FF"/>
    <w:rsid w:val="001F7361"/>
    <w:rsid w:val="001F7607"/>
    <w:rsid w:val="001F76EA"/>
    <w:rsid w:val="001F7BC3"/>
    <w:rsid w:val="001F7EE1"/>
    <w:rsid w:val="002000B5"/>
    <w:rsid w:val="0020021A"/>
    <w:rsid w:val="00200263"/>
    <w:rsid w:val="002002C1"/>
    <w:rsid w:val="00200426"/>
    <w:rsid w:val="00200502"/>
    <w:rsid w:val="002006C1"/>
    <w:rsid w:val="00200878"/>
    <w:rsid w:val="00200D2F"/>
    <w:rsid w:val="00200E62"/>
    <w:rsid w:val="0020111B"/>
    <w:rsid w:val="002011FD"/>
    <w:rsid w:val="00201C42"/>
    <w:rsid w:val="00201CC1"/>
    <w:rsid w:val="00201F07"/>
    <w:rsid w:val="00202258"/>
    <w:rsid w:val="00202612"/>
    <w:rsid w:val="00202629"/>
    <w:rsid w:val="0020385F"/>
    <w:rsid w:val="002039DB"/>
    <w:rsid w:val="00203BF0"/>
    <w:rsid w:val="00203E8A"/>
    <w:rsid w:val="00203EFA"/>
    <w:rsid w:val="00203F00"/>
    <w:rsid w:val="002040B1"/>
    <w:rsid w:val="002040B2"/>
    <w:rsid w:val="002041CB"/>
    <w:rsid w:val="0020435E"/>
    <w:rsid w:val="0020446C"/>
    <w:rsid w:val="002045AC"/>
    <w:rsid w:val="002049AE"/>
    <w:rsid w:val="00204C48"/>
    <w:rsid w:val="00204F14"/>
    <w:rsid w:val="00204F81"/>
    <w:rsid w:val="00204FA7"/>
    <w:rsid w:val="0020528E"/>
    <w:rsid w:val="00205377"/>
    <w:rsid w:val="002053EB"/>
    <w:rsid w:val="0020567D"/>
    <w:rsid w:val="00205733"/>
    <w:rsid w:val="0020581A"/>
    <w:rsid w:val="00205A65"/>
    <w:rsid w:val="00205B6F"/>
    <w:rsid w:val="00205E16"/>
    <w:rsid w:val="00206537"/>
    <w:rsid w:val="0020664D"/>
    <w:rsid w:val="002066CF"/>
    <w:rsid w:val="0020685D"/>
    <w:rsid w:val="00206A7D"/>
    <w:rsid w:val="00206C99"/>
    <w:rsid w:val="00206EC1"/>
    <w:rsid w:val="00207021"/>
    <w:rsid w:val="00207078"/>
    <w:rsid w:val="0020728F"/>
    <w:rsid w:val="00207384"/>
    <w:rsid w:val="002076F0"/>
    <w:rsid w:val="00207835"/>
    <w:rsid w:val="00207871"/>
    <w:rsid w:val="002078E1"/>
    <w:rsid w:val="002079B5"/>
    <w:rsid w:val="00207C9E"/>
    <w:rsid w:val="00207D00"/>
    <w:rsid w:val="0021010F"/>
    <w:rsid w:val="00210266"/>
    <w:rsid w:val="00210504"/>
    <w:rsid w:val="0021058D"/>
    <w:rsid w:val="002105C1"/>
    <w:rsid w:val="00210773"/>
    <w:rsid w:val="00210CE0"/>
    <w:rsid w:val="00210DA3"/>
    <w:rsid w:val="00210DD4"/>
    <w:rsid w:val="00210F8B"/>
    <w:rsid w:val="00210FCE"/>
    <w:rsid w:val="002116F2"/>
    <w:rsid w:val="0021222A"/>
    <w:rsid w:val="0021231B"/>
    <w:rsid w:val="00212419"/>
    <w:rsid w:val="00212493"/>
    <w:rsid w:val="00212558"/>
    <w:rsid w:val="00212796"/>
    <w:rsid w:val="00212837"/>
    <w:rsid w:val="0021291F"/>
    <w:rsid w:val="00212C59"/>
    <w:rsid w:val="00212F80"/>
    <w:rsid w:val="00212FED"/>
    <w:rsid w:val="0021308A"/>
    <w:rsid w:val="00213326"/>
    <w:rsid w:val="00213482"/>
    <w:rsid w:val="0021356D"/>
    <w:rsid w:val="0021372F"/>
    <w:rsid w:val="0021397C"/>
    <w:rsid w:val="00213A20"/>
    <w:rsid w:val="00213A8D"/>
    <w:rsid w:val="00213EF8"/>
    <w:rsid w:val="00214461"/>
    <w:rsid w:val="002144DF"/>
    <w:rsid w:val="00214A9F"/>
    <w:rsid w:val="00214E45"/>
    <w:rsid w:val="0021561E"/>
    <w:rsid w:val="0021569A"/>
    <w:rsid w:val="002156BF"/>
    <w:rsid w:val="00215DA8"/>
    <w:rsid w:val="002162C6"/>
    <w:rsid w:val="00216306"/>
    <w:rsid w:val="00216779"/>
    <w:rsid w:val="00216AED"/>
    <w:rsid w:val="00216FBA"/>
    <w:rsid w:val="00216FC1"/>
    <w:rsid w:val="0021706D"/>
    <w:rsid w:val="00217332"/>
    <w:rsid w:val="00217545"/>
    <w:rsid w:val="00217992"/>
    <w:rsid w:val="00217C9F"/>
    <w:rsid w:val="00217F9A"/>
    <w:rsid w:val="00220777"/>
    <w:rsid w:val="00220934"/>
    <w:rsid w:val="00220B04"/>
    <w:rsid w:val="00220C4E"/>
    <w:rsid w:val="00220CB0"/>
    <w:rsid w:val="00221204"/>
    <w:rsid w:val="002214D5"/>
    <w:rsid w:val="002216D2"/>
    <w:rsid w:val="002219A5"/>
    <w:rsid w:val="002219B6"/>
    <w:rsid w:val="00221A17"/>
    <w:rsid w:val="00221BF2"/>
    <w:rsid w:val="00221F19"/>
    <w:rsid w:val="0022234D"/>
    <w:rsid w:val="00222583"/>
    <w:rsid w:val="0022259C"/>
    <w:rsid w:val="0022290F"/>
    <w:rsid w:val="00222D02"/>
    <w:rsid w:val="00222D89"/>
    <w:rsid w:val="00222F06"/>
    <w:rsid w:val="00222FFE"/>
    <w:rsid w:val="00223221"/>
    <w:rsid w:val="002232EE"/>
    <w:rsid w:val="0022343E"/>
    <w:rsid w:val="00223538"/>
    <w:rsid w:val="00223B49"/>
    <w:rsid w:val="00223B78"/>
    <w:rsid w:val="00223EA2"/>
    <w:rsid w:val="00223EA6"/>
    <w:rsid w:val="00223F5F"/>
    <w:rsid w:val="0022416E"/>
    <w:rsid w:val="002241F5"/>
    <w:rsid w:val="002248D6"/>
    <w:rsid w:val="00224DD4"/>
    <w:rsid w:val="00225302"/>
    <w:rsid w:val="00225383"/>
    <w:rsid w:val="00225956"/>
    <w:rsid w:val="00225964"/>
    <w:rsid w:val="002263E1"/>
    <w:rsid w:val="002267B7"/>
    <w:rsid w:val="00226ADC"/>
    <w:rsid w:val="00226AE7"/>
    <w:rsid w:val="00226B72"/>
    <w:rsid w:val="00226BDB"/>
    <w:rsid w:val="00226ED0"/>
    <w:rsid w:val="00227045"/>
    <w:rsid w:val="002272CE"/>
    <w:rsid w:val="00227D3F"/>
    <w:rsid w:val="00227F93"/>
    <w:rsid w:val="002305D7"/>
    <w:rsid w:val="00230637"/>
    <w:rsid w:val="00230755"/>
    <w:rsid w:val="002309CC"/>
    <w:rsid w:val="00230A5B"/>
    <w:rsid w:val="00230E76"/>
    <w:rsid w:val="00230FE7"/>
    <w:rsid w:val="0023168A"/>
    <w:rsid w:val="00231B0B"/>
    <w:rsid w:val="00231FEC"/>
    <w:rsid w:val="00232028"/>
    <w:rsid w:val="002322DB"/>
    <w:rsid w:val="00232488"/>
    <w:rsid w:val="00232AD0"/>
    <w:rsid w:val="00232C3B"/>
    <w:rsid w:val="00232CAB"/>
    <w:rsid w:val="00232E3E"/>
    <w:rsid w:val="00232E57"/>
    <w:rsid w:val="002332C5"/>
    <w:rsid w:val="002339EF"/>
    <w:rsid w:val="00233BA3"/>
    <w:rsid w:val="00233D51"/>
    <w:rsid w:val="00233E00"/>
    <w:rsid w:val="00234249"/>
    <w:rsid w:val="002342E8"/>
    <w:rsid w:val="002343BE"/>
    <w:rsid w:val="0023464D"/>
    <w:rsid w:val="002349F7"/>
    <w:rsid w:val="00234C3E"/>
    <w:rsid w:val="00234D5F"/>
    <w:rsid w:val="00234DB1"/>
    <w:rsid w:val="00234DE1"/>
    <w:rsid w:val="00234E5F"/>
    <w:rsid w:val="00234EEC"/>
    <w:rsid w:val="00235503"/>
    <w:rsid w:val="002357D1"/>
    <w:rsid w:val="002359CE"/>
    <w:rsid w:val="002359D0"/>
    <w:rsid w:val="00235F3D"/>
    <w:rsid w:val="00236107"/>
    <w:rsid w:val="0023612D"/>
    <w:rsid w:val="0023641F"/>
    <w:rsid w:val="002364D8"/>
    <w:rsid w:val="00236828"/>
    <w:rsid w:val="00236A00"/>
    <w:rsid w:val="00236C0F"/>
    <w:rsid w:val="00236CF6"/>
    <w:rsid w:val="00236E30"/>
    <w:rsid w:val="00236F2C"/>
    <w:rsid w:val="002371D3"/>
    <w:rsid w:val="002372D3"/>
    <w:rsid w:val="002376DB"/>
    <w:rsid w:val="002377D2"/>
    <w:rsid w:val="0023797B"/>
    <w:rsid w:val="00237A71"/>
    <w:rsid w:val="00237BEF"/>
    <w:rsid w:val="00237E63"/>
    <w:rsid w:val="00237E9D"/>
    <w:rsid w:val="002401C0"/>
    <w:rsid w:val="002408DA"/>
    <w:rsid w:val="00240DEE"/>
    <w:rsid w:val="00240E85"/>
    <w:rsid w:val="00240ED0"/>
    <w:rsid w:val="00240F6A"/>
    <w:rsid w:val="002410BD"/>
    <w:rsid w:val="00241739"/>
    <w:rsid w:val="0024178D"/>
    <w:rsid w:val="00241FD3"/>
    <w:rsid w:val="002420FD"/>
    <w:rsid w:val="0024212F"/>
    <w:rsid w:val="0024253B"/>
    <w:rsid w:val="00242632"/>
    <w:rsid w:val="002426E8"/>
    <w:rsid w:val="002426FA"/>
    <w:rsid w:val="00242CEC"/>
    <w:rsid w:val="00242EB2"/>
    <w:rsid w:val="00242FB6"/>
    <w:rsid w:val="00243062"/>
    <w:rsid w:val="00243309"/>
    <w:rsid w:val="002434A5"/>
    <w:rsid w:val="002434FE"/>
    <w:rsid w:val="002438AB"/>
    <w:rsid w:val="002438EF"/>
    <w:rsid w:val="00243A9C"/>
    <w:rsid w:val="00243DA3"/>
    <w:rsid w:val="00243E21"/>
    <w:rsid w:val="00244007"/>
    <w:rsid w:val="0024441B"/>
    <w:rsid w:val="00244826"/>
    <w:rsid w:val="002448D2"/>
    <w:rsid w:val="00244BD4"/>
    <w:rsid w:val="00244C5F"/>
    <w:rsid w:val="00244D9A"/>
    <w:rsid w:val="00244E48"/>
    <w:rsid w:val="0024538D"/>
    <w:rsid w:val="0024543B"/>
    <w:rsid w:val="00245A24"/>
    <w:rsid w:val="00245AA0"/>
    <w:rsid w:val="00245C75"/>
    <w:rsid w:val="00245F93"/>
    <w:rsid w:val="00245FED"/>
    <w:rsid w:val="00246663"/>
    <w:rsid w:val="00246767"/>
    <w:rsid w:val="002469C4"/>
    <w:rsid w:val="00246CD5"/>
    <w:rsid w:val="0024707E"/>
    <w:rsid w:val="0024712A"/>
    <w:rsid w:val="0024715C"/>
    <w:rsid w:val="00247369"/>
    <w:rsid w:val="0024747F"/>
    <w:rsid w:val="00247580"/>
    <w:rsid w:val="00247590"/>
    <w:rsid w:val="002475FC"/>
    <w:rsid w:val="0024775E"/>
    <w:rsid w:val="00247836"/>
    <w:rsid w:val="00250046"/>
    <w:rsid w:val="00250050"/>
    <w:rsid w:val="00250228"/>
    <w:rsid w:val="00250365"/>
    <w:rsid w:val="002503B1"/>
    <w:rsid w:val="00250BB8"/>
    <w:rsid w:val="00250D23"/>
    <w:rsid w:val="00250ED5"/>
    <w:rsid w:val="002511BE"/>
    <w:rsid w:val="002512D8"/>
    <w:rsid w:val="00251317"/>
    <w:rsid w:val="0025191A"/>
    <w:rsid w:val="00251D5B"/>
    <w:rsid w:val="002521CD"/>
    <w:rsid w:val="0025256B"/>
    <w:rsid w:val="00252649"/>
    <w:rsid w:val="002528CE"/>
    <w:rsid w:val="00252A46"/>
    <w:rsid w:val="00252BCB"/>
    <w:rsid w:val="00252DDF"/>
    <w:rsid w:val="00252EDB"/>
    <w:rsid w:val="00253400"/>
    <w:rsid w:val="00253442"/>
    <w:rsid w:val="0025360A"/>
    <w:rsid w:val="00253763"/>
    <w:rsid w:val="0025388F"/>
    <w:rsid w:val="00253A68"/>
    <w:rsid w:val="00253AC5"/>
    <w:rsid w:val="00253C10"/>
    <w:rsid w:val="00253D58"/>
    <w:rsid w:val="00253DEB"/>
    <w:rsid w:val="00254195"/>
    <w:rsid w:val="00254465"/>
    <w:rsid w:val="0025476B"/>
    <w:rsid w:val="00254889"/>
    <w:rsid w:val="00254DCF"/>
    <w:rsid w:val="00254DEE"/>
    <w:rsid w:val="0025534B"/>
    <w:rsid w:val="00255578"/>
    <w:rsid w:val="00255610"/>
    <w:rsid w:val="002557C1"/>
    <w:rsid w:val="00255830"/>
    <w:rsid w:val="002558F6"/>
    <w:rsid w:val="00255AFE"/>
    <w:rsid w:val="00255B13"/>
    <w:rsid w:val="00255BB7"/>
    <w:rsid w:val="00256086"/>
    <w:rsid w:val="0025616C"/>
    <w:rsid w:val="002562A7"/>
    <w:rsid w:val="00256452"/>
    <w:rsid w:val="0025670F"/>
    <w:rsid w:val="00256774"/>
    <w:rsid w:val="00256F96"/>
    <w:rsid w:val="00257366"/>
    <w:rsid w:val="0025770D"/>
    <w:rsid w:val="00257921"/>
    <w:rsid w:val="00257A6B"/>
    <w:rsid w:val="00257B20"/>
    <w:rsid w:val="00257BBB"/>
    <w:rsid w:val="00257EE7"/>
    <w:rsid w:val="00260471"/>
    <w:rsid w:val="00260593"/>
    <w:rsid w:val="002606B1"/>
    <w:rsid w:val="002606E1"/>
    <w:rsid w:val="00260919"/>
    <w:rsid w:val="00260980"/>
    <w:rsid w:val="00260A1C"/>
    <w:rsid w:val="00260A71"/>
    <w:rsid w:val="00260CA3"/>
    <w:rsid w:val="00261015"/>
    <w:rsid w:val="00261397"/>
    <w:rsid w:val="00261401"/>
    <w:rsid w:val="0026170D"/>
    <w:rsid w:val="00261816"/>
    <w:rsid w:val="00261A14"/>
    <w:rsid w:val="00261A7D"/>
    <w:rsid w:val="00262033"/>
    <w:rsid w:val="002621CD"/>
    <w:rsid w:val="002622F3"/>
    <w:rsid w:val="00262458"/>
    <w:rsid w:val="002627A4"/>
    <w:rsid w:val="00262827"/>
    <w:rsid w:val="0026287A"/>
    <w:rsid w:val="00262A87"/>
    <w:rsid w:val="00263084"/>
    <w:rsid w:val="0026314C"/>
    <w:rsid w:val="002631BA"/>
    <w:rsid w:val="00263416"/>
    <w:rsid w:val="00263464"/>
    <w:rsid w:val="00263582"/>
    <w:rsid w:val="00263677"/>
    <w:rsid w:val="00263A78"/>
    <w:rsid w:val="00263AA1"/>
    <w:rsid w:val="002641B0"/>
    <w:rsid w:val="002645C2"/>
    <w:rsid w:val="002648F1"/>
    <w:rsid w:val="00264939"/>
    <w:rsid w:val="00264A97"/>
    <w:rsid w:val="00264C84"/>
    <w:rsid w:val="002652DC"/>
    <w:rsid w:val="0026543A"/>
    <w:rsid w:val="0026548E"/>
    <w:rsid w:val="002654A8"/>
    <w:rsid w:val="002655D3"/>
    <w:rsid w:val="0026598D"/>
    <w:rsid w:val="00265A30"/>
    <w:rsid w:val="00265DD1"/>
    <w:rsid w:val="00266296"/>
    <w:rsid w:val="002666F0"/>
    <w:rsid w:val="002669A7"/>
    <w:rsid w:val="00266B59"/>
    <w:rsid w:val="00266C08"/>
    <w:rsid w:val="00266C22"/>
    <w:rsid w:val="00266C4F"/>
    <w:rsid w:val="00266C75"/>
    <w:rsid w:val="002673E2"/>
    <w:rsid w:val="00267571"/>
    <w:rsid w:val="0026792B"/>
    <w:rsid w:val="00267AA6"/>
    <w:rsid w:val="00267DDE"/>
    <w:rsid w:val="002700F5"/>
    <w:rsid w:val="0027037C"/>
    <w:rsid w:val="002703F8"/>
    <w:rsid w:val="0027050F"/>
    <w:rsid w:val="00270514"/>
    <w:rsid w:val="00270918"/>
    <w:rsid w:val="00270B0D"/>
    <w:rsid w:val="00270BF9"/>
    <w:rsid w:val="00270DC9"/>
    <w:rsid w:val="00271202"/>
    <w:rsid w:val="00271383"/>
    <w:rsid w:val="00271716"/>
    <w:rsid w:val="00271891"/>
    <w:rsid w:val="002719D3"/>
    <w:rsid w:val="00271A9C"/>
    <w:rsid w:val="00271AE0"/>
    <w:rsid w:val="00271CBE"/>
    <w:rsid w:val="00271F0D"/>
    <w:rsid w:val="00272305"/>
    <w:rsid w:val="002725D7"/>
    <w:rsid w:val="00272623"/>
    <w:rsid w:val="00272876"/>
    <w:rsid w:val="00272B41"/>
    <w:rsid w:val="00272D44"/>
    <w:rsid w:val="00273438"/>
    <w:rsid w:val="0027361C"/>
    <w:rsid w:val="0027366C"/>
    <w:rsid w:val="00273A15"/>
    <w:rsid w:val="00273D82"/>
    <w:rsid w:val="002742BA"/>
    <w:rsid w:val="002746A4"/>
    <w:rsid w:val="00274806"/>
    <w:rsid w:val="002748DD"/>
    <w:rsid w:val="00274B91"/>
    <w:rsid w:val="0027511B"/>
    <w:rsid w:val="00275257"/>
    <w:rsid w:val="00275301"/>
    <w:rsid w:val="00275794"/>
    <w:rsid w:val="0027581A"/>
    <w:rsid w:val="00275A06"/>
    <w:rsid w:val="00275C5A"/>
    <w:rsid w:val="00276153"/>
    <w:rsid w:val="0027669A"/>
    <w:rsid w:val="002766FF"/>
    <w:rsid w:val="002767F3"/>
    <w:rsid w:val="00276B8A"/>
    <w:rsid w:val="002776AB"/>
    <w:rsid w:val="00277794"/>
    <w:rsid w:val="00277985"/>
    <w:rsid w:val="00277D34"/>
    <w:rsid w:val="00277D9F"/>
    <w:rsid w:val="00277E6E"/>
    <w:rsid w:val="0028035B"/>
    <w:rsid w:val="00280511"/>
    <w:rsid w:val="00280855"/>
    <w:rsid w:val="00280FFE"/>
    <w:rsid w:val="00281014"/>
    <w:rsid w:val="002817A3"/>
    <w:rsid w:val="00281B42"/>
    <w:rsid w:val="00281BB6"/>
    <w:rsid w:val="00281C32"/>
    <w:rsid w:val="00281C71"/>
    <w:rsid w:val="00281CF6"/>
    <w:rsid w:val="00282032"/>
    <w:rsid w:val="00282380"/>
    <w:rsid w:val="00282662"/>
    <w:rsid w:val="0028281E"/>
    <w:rsid w:val="002828C0"/>
    <w:rsid w:val="00282ABD"/>
    <w:rsid w:val="00282BA8"/>
    <w:rsid w:val="00282C56"/>
    <w:rsid w:val="00282C7D"/>
    <w:rsid w:val="00282EB9"/>
    <w:rsid w:val="00282FB4"/>
    <w:rsid w:val="002830C1"/>
    <w:rsid w:val="002832AD"/>
    <w:rsid w:val="002833C3"/>
    <w:rsid w:val="00283417"/>
    <w:rsid w:val="00283462"/>
    <w:rsid w:val="00283486"/>
    <w:rsid w:val="00283C4B"/>
    <w:rsid w:val="00283C9B"/>
    <w:rsid w:val="00283FA0"/>
    <w:rsid w:val="002840F5"/>
    <w:rsid w:val="0028414F"/>
    <w:rsid w:val="0028418A"/>
    <w:rsid w:val="0028480E"/>
    <w:rsid w:val="00284AF5"/>
    <w:rsid w:val="00284F28"/>
    <w:rsid w:val="002850B0"/>
    <w:rsid w:val="0028532C"/>
    <w:rsid w:val="002856A1"/>
    <w:rsid w:val="002858BD"/>
    <w:rsid w:val="00285B7C"/>
    <w:rsid w:val="00285DE4"/>
    <w:rsid w:val="00285F66"/>
    <w:rsid w:val="0028616D"/>
    <w:rsid w:val="002862BE"/>
    <w:rsid w:val="00286360"/>
    <w:rsid w:val="002864A0"/>
    <w:rsid w:val="002866DC"/>
    <w:rsid w:val="0028670F"/>
    <w:rsid w:val="0028687B"/>
    <w:rsid w:val="00286E0C"/>
    <w:rsid w:val="00286F73"/>
    <w:rsid w:val="0028716B"/>
    <w:rsid w:val="00287208"/>
    <w:rsid w:val="00287764"/>
    <w:rsid w:val="002877EA"/>
    <w:rsid w:val="00287837"/>
    <w:rsid w:val="00287973"/>
    <w:rsid w:val="00287F1B"/>
    <w:rsid w:val="00287F41"/>
    <w:rsid w:val="00287FA2"/>
    <w:rsid w:val="00290063"/>
    <w:rsid w:val="0029006A"/>
    <w:rsid w:val="002906B4"/>
    <w:rsid w:val="002906CE"/>
    <w:rsid w:val="0029083A"/>
    <w:rsid w:val="00291103"/>
    <w:rsid w:val="00291256"/>
    <w:rsid w:val="00291307"/>
    <w:rsid w:val="0029138E"/>
    <w:rsid w:val="00291510"/>
    <w:rsid w:val="0029159B"/>
    <w:rsid w:val="002915D0"/>
    <w:rsid w:val="00291697"/>
    <w:rsid w:val="002916AC"/>
    <w:rsid w:val="0029180B"/>
    <w:rsid w:val="002918C2"/>
    <w:rsid w:val="002919A6"/>
    <w:rsid w:val="002919B9"/>
    <w:rsid w:val="00291DC1"/>
    <w:rsid w:val="00291E80"/>
    <w:rsid w:val="002924DF"/>
    <w:rsid w:val="00293114"/>
    <w:rsid w:val="0029314F"/>
    <w:rsid w:val="0029325E"/>
    <w:rsid w:val="0029328B"/>
    <w:rsid w:val="002933A6"/>
    <w:rsid w:val="002934D4"/>
    <w:rsid w:val="00293562"/>
    <w:rsid w:val="002935B3"/>
    <w:rsid w:val="00293966"/>
    <w:rsid w:val="00293CFC"/>
    <w:rsid w:val="00293D54"/>
    <w:rsid w:val="00293EF2"/>
    <w:rsid w:val="00293FCE"/>
    <w:rsid w:val="0029415C"/>
    <w:rsid w:val="0029427D"/>
    <w:rsid w:val="00294B83"/>
    <w:rsid w:val="00294F4A"/>
    <w:rsid w:val="0029515B"/>
    <w:rsid w:val="002952BB"/>
    <w:rsid w:val="0029535F"/>
    <w:rsid w:val="0029538A"/>
    <w:rsid w:val="002954E8"/>
    <w:rsid w:val="002956E8"/>
    <w:rsid w:val="002958FB"/>
    <w:rsid w:val="00295A62"/>
    <w:rsid w:val="00295B03"/>
    <w:rsid w:val="00295B54"/>
    <w:rsid w:val="00296062"/>
    <w:rsid w:val="00296076"/>
    <w:rsid w:val="00296386"/>
    <w:rsid w:val="00296740"/>
    <w:rsid w:val="00296C03"/>
    <w:rsid w:val="00296D78"/>
    <w:rsid w:val="002973C5"/>
    <w:rsid w:val="00297632"/>
    <w:rsid w:val="00297643"/>
    <w:rsid w:val="002976D5"/>
    <w:rsid w:val="0029783A"/>
    <w:rsid w:val="00297957"/>
    <w:rsid w:val="002979F9"/>
    <w:rsid w:val="00297D5F"/>
    <w:rsid w:val="00297E01"/>
    <w:rsid w:val="00297EEB"/>
    <w:rsid w:val="00297F27"/>
    <w:rsid w:val="002A010B"/>
    <w:rsid w:val="002A0362"/>
    <w:rsid w:val="002A03A4"/>
    <w:rsid w:val="002A0533"/>
    <w:rsid w:val="002A067A"/>
    <w:rsid w:val="002A0C10"/>
    <w:rsid w:val="002A0D2C"/>
    <w:rsid w:val="002A0D86"/>
    <w:rsid w:val="002A0E2B"/>
    <w:rsid w:val="002A12E4"/>
    <w:rsid w:val="002A138E"/>
    <w:rsid w:val="002A14AB"/>
    <w:rsid w:val="002A15A9"/>
    <w:rsid w:val="002A1921"/>
    <w:rsid w:val="002A1AE5"/>
    <w:rsid w:val="002A1D87"/>
    <w:rsid w:val="002A1ED8"/>
    <w:rsid w:val="002A1EEA"/>
    <w:rsid w:val="002A21AE"/>
    <w:rsid w:val="002A2341"/>
    <w:rsid w:val="002A24EA"/>
    <w:rsid w:val="002A2567"/>
    <w:rsid w:val="002A265E"/>
    <w:rsid w:val="002A2DE4"/>
    <w:rsid w:val="002A2E01"/>
    <w:rsid w:val="002A2E85"/>
    <w:rsid w:val="002A3018"/>
    <w:rsid w:val="002A3150"/>
    <w:rsid w:val="002A31E4"/>
    <w:rsid w:val="002A325E"/>
    <w:rsid w:val="002A3F69"/>
    <w:rsid w:val="002A4186"/>
    <w:rsid w:val="002A44C4"/>
    <w:rsid w:val="002A45A4"/>
    <w:rsid w:val="002A46B7"/>
    <w:rsid w:val="002A4D2D"/>
    <w:rsid w:val="002A4D9B"/>
    <w:rsid w:val="002A5013"/>
    <w:rsid w:val="002A5304"/>
    <w:rsid w:val="002A5384"/>
    <w:rsid w:val="002A5818"/>
    <w:rsid w:val="002A5841"/>
    <w:rsid w:val="002A597E"/>
    <w:rsid w:val="002A5CF1"/>
    <w:rsid w:val="002A5F83"/>
    <w:rsid w:val="002A6445"/>
    <w:rsid w:val="002A646E"/>
    <w:rsid w:val="002A6A32"/>
    <w:rsid w:val="002A6D35"/>
    <w:rsid w:val="002A71D0"/>
    <w:rsid w:val="002A71EE"/>
    <w:rsid w:val="002A725A"/>
    <w:rsid w:val="002A725B"/>
    <w:rsid w:val="002A78B7"/>
    <w:rsid w:val="002A7A16"/>
    <w:rsid w:val="002A7CE9"/>
    <w:rsid w:val="002A7D38"/>
    <w:rsid w:val="002A7D4F"/>
    <w:rsid w:val="002A7D93"/>
    <w:rsid w:val="002A7F2D"/>
    <w:rsid w:val="002B0541"/>
    <w:rsid w:val="002B07A6"/>
    <w:rsid w:val="002B07BB"/>
    <w:rsid w:val="002B0C8D"/>
    <w:rsid w:val="002B0E70"/>
    <w:rsid w:val="002B165D"/>
    <w:rsid w:val="002B17D5"/>
    <w:rsid w:val="002B1888"/>
    <w:rsid w:val="002B1C1F"/>
    <w:rsid w:val="002B1F58"/>
    <w:rsid w:val="002B212A"/>
    <w:rsid w:val="002B21E5"/>
    <w:rsid w:val="002B2281"/>
    <w:rsid w:val="002B27AB"/>
    <w:rsid w:val="002B281E"/>
    <w:rsid w:val="002B28E1"/>
    <w:rsid w:val="002B29A3"/>
    <w:rsid w:val="002B2A3F"/>
    <w:rsid w:val="002B2CEE"/>
    <w:rsid w:val="002B2DE0"/>
    <w:rsid w:val="002B2ED9"/>
    <w:rsid w:val="002B3506"/>
    <w:rsid w:val="002B3540"/>
    <w:rsid w:val="002B3614"/>
    <w:rsid w:val="002B3A6A"/>
    <w:rsid w:val="002B3C96"/>
    <w:rsid w:val="002B4063"/>
    <w:rsid w:val="002B408C"/>
    <w:rsid w:val="002B432F"/>
    <w:rsid w:val="002B443C"/>
    <w:rsid w:val="002B48DD"/>
    <w:rsid w:val="002B490E"/>
    <w:rsid w:val="002B49A4"/>
    <w:rsid w:val="002B4D8E"/>
    <w:rsid w:val="002B54E6"/>
    <w:rsid w:val="002B566A"/>
    <w:rsid w:val="002B5715"/>
    <w:rsid w:val="002B5E14"/>
    <w:rsid w:val="002B60DE"/>
    <w:rsid w:val="002B6315"/>
    <w:rsid w:val="002B6367"/>
    <w:rsid w:val="002B65EF"/>
    <w:rsid w:val="002B67EB"/>
    <w:rsid w:val="002B6967"/>
    <w:rsid w:val="002B6C5E"/>
    <w:rsid w:val="002B6CCE"/>
    <w:rsid w:val="002B70DF"/>
    <w:rsid w:val="002B711D"/>
    <w:rsid w:val="002B714D"/>
    <w:rsid w:val="002B7A67"/>
    <w:rsid w:val="002B7BB2"/>
    <w:rsid w:val="002B7EC4"/>
    <w:rsid w:val="002B7FD5"/>
    <w:rsid w:val="002C016D"/>
    <w:rsid w:val="002C0282"/>
    <w:rsid w:val="002C038C"/>
    <w:rsid w:val="002C0809"/>
    <w:rsid w:val="002C0972"/>
    <w:rsid w:val="002C0980"/>
    <w:rsid w:val="002C0A2E"/>
    <w:rsid w:val="002C0D06"/>
    <w:rsid w:val="002C0E3C"/>
    <w:rsid w:val="002C0E95"/>
    <w:rsid w:val="002C1458"/>
    <w:rsid w:val="002C1473"/>
    <w:rsid w:val="002C1600"/>
    <w:rsid w:val="002C1685"/>
    <w:rsid w:val="002C1701"/>
    <w:rsid w:val="002C17FD"/>
    <w:rsid w:val="002C1986"/>
    <w:rsid w:val="002C1A32"/>
    <w:rsid w:val="002C1CA7"/>
    <w:rsid w:val="002C1DB1"/>
    <w:rsid w:val="002C1EE6"/>
    <w:rsid w:val="002C1EF0"/>
    <w:rsid w:val="002C207E"/>
    <w:rsid w:val="002C249C"/>
    <w:rsid w:val="002C2775"/>
    <w:rsid w:val="002C27C1"/>
    <w:rsid w:val="002C28D5"/>
    <w:rsid w:val="002C2A46"/>
    <w:rsid w:val="002C2BC6"/>
    <w:rsid w:val="002C2D50"/>
    <w:rsid w:val="002C33DE"/>
    <w:rsid w:val="002C3EA8"/>
    <w:rsid w:val="002C3FA9"/>
    <w:rsid w:val="002C4204"/>
    <w:rsid w:val="002C4309"/>
    <w:rsid w:val="002C4386"/>
    <w:rsid w:val="002C4592"/>
    <w:rsid w:val="002C4748"/>
    <w:rsid w:val="002C4B96"/>
    <w:rsid w:val="002C4EFC"/>
    <w:rsid w:val="002C4F54"/>
    <w:rsid w:val="002C5173"/>
    <w:rsid w:val="002C5444"/>
    <w:rsid w:val="002C56C6"/>
    <w:rsid w:val="002C57EA"/>
    <w:rsid w:val="002C57F5"/>
    <w:rsid w:val="002C592F"/>
    <w:rsid w:val="002C6053"/>
    <w:rsid w:val="002C618B"/>
    <w:rsid w:val="002C63C9"/>
    <w:rsid w:val="002C640E"/>
    <w:rsid w:val="002C65D8"/>
    <w:rsid w:val="002C6830"/>
    <w:rsid w:val="002C6944"/>
    <w:rsid w:val="002C6BCB"/>
    <w:rsid w:val="002C78C1"/>
    <w:rsid w:val="002D083B"/>
    <w:rsid w:val="002D0A68"/>
    <w:rsid w:val="002D0DB6"/>
    <w:rsid w:val="002D106F"/>
    <w:rsid w:val="002D1971"/>
    <w:rsid w:val="002D1BF3"/>
    <w:rsid w:val="002D1D47"/>
    <w:rsid w:val="002D20D6"/>
    <w:rsid w:val="002D2245"/>
    <w:rsid w:val="002D2677"/>
    <w:rsid w:val="002D289A"/>
    <w:rsid w:val="002D2ED2"/>
    <w:rsid w:val="002D2F69"/>
    <w:rsid w:val="002D3286"/>
    <w:rsid w:val="002D33D7"/>
    <w:rsid w:val="002D3B40"/>
    <w:rsid w:val="002D3EE0"/>
    <w:rsid w:val="002D409E"/>
    <w:rsid w:val="002D4100"/>
    <w:rsid w:val="002D4391"/>
    <w:rsid w:val="002D45C5"/>
    <w:rsid w:val="002D466C"/>
    <w:rsid w:val="002D46AA"/>
    <w:rsid w:val="002D46DB"/>
    <w:rsid w:val="002D4D1D"/>
    <w:rsid w:val="002D4D59"/>
    <w:rsid w:val="002D53CD"/>
    <w:rsid w:val="002D5420"/>
    <w:rsid w:val="002D5913"/>
    <w:rsid w:val="002D595D"/>
    <w:rsid w:val="002D596E"/>
    <w:rsid w:val="002D5A08"/>
    <w:rsid w:val="002D5DA3"/>
    <w:rsid w:val="002D5E2E"/>
    <w:rsid w:val="002D62C8"/>
    <w:rsid w:val="002D67AF"/>
    <w:rsid w:val="002D7124"/>
    <w:rsid w:val="002D7173"/>
    <w:rsid w:val="002D7332"/>
    <w:rsid w:val="002D7357"/>
    <w:rsid w:val="002D74CE"/>
    <w:rsid w:val="002D78F9"/>
    <w:rsid w:val="002D7914"/>
    <w:rsid w:val="002E00C5"/>
    <w:rsid w:val="002E02A5"/>
    <w:rsid w:val="002E031F"/>
    <w:rsid w:val="002E0ACD"/>
    <w:rsid w:val="002E0C14"/>
    <w:rsid w:val="002E0DD0"/>
    <w:rsid w:val="002E0EE4"/>
    <w:rsid w:val="002E178D"/>
    <w:rsid w:val="002E17EE"/>
    <w:rsid w:val="002E1D7B"/>
    <w:rsid w:val="002E1F29"/>
    <w:rsid w:val="002E226E"/>
    <w:rsid w:val="002E234D"/>
    <w:rsid w:val="002E2375"/>
    <w:rsid w:val="002E2488"/>
    <w:rsid w:val="002E288E"/>
    <w:rsid w:val="002E2C28"/>
    <w:rsid w:val="002E2D7F"/>
    <w:rsid w:val="002E2E7E"/>
    <w:rsid w:val="002E2EE4"/>
    <w:rsid w:val="002E2F69"/>
    <w:rsid w:val="002E3444"/>
    <w:rsid w:val="002E353E"/>
    <w:rsid w:val="002E369F"/>
    <w:rsid w:val="002E392C"/>
    <w:rsid w:val="002E3C35"/>
    <w:rsid w:val="002E3E1F"/>
    <w:rsid w:val="002E3FE7"/>
    <w:rsid w:val="002E4448"/>
    <w:rsid w:val="002E46E2"/>
    <w:rsid w:val="002E4A42"/>
    <w:rsid w:val="002E4A4D"/>
    <w:rsid w:val="002E4DE0"/>
    <w:rsid w:val="002E4F0C"/>
    <w:rsid w:val="002E510D"/>
    <w:rsid w:val="002E53D0"/>
    <w:rsid w:val="002E5C31"/>
    <w:rsid w:val="002E5F39"/>
    <w:rsid w:val="002E6616"/>
    <w:rsid w:val="002E6693"/>
    <w:rsid w:val="002E6ABA"/>
    <w:rsid w:val="002E6BD1"/>
    <w:rsid w:val="002E6D37"/>
    <w:rsid w:val="002E6E11"/>
    <w:rsid w:val="002E6E73"/>
    <w:rsid w:val="002E6EBB"/>
    <w:rsid w:val="002E6EF2"/>
    <w:rsid w:val="002E7047"/>
    <w:rsid w:val="002E7486"/>
    <w:rsid w:val="002E752C"/>
    <w:rsid w:val="002E7675"/>
    <w:rsid w:val="002E7878"/>
    <w:rsid w:val="002E7ADF"/>
    <w:rsid w:val="002E7BCA"/>
    <w:rsid w:val="002E7CC9"/>
    <w:rsid w:val="002F0880"/>
    <w:rsid w:val="002F0C9A"/>
    <w:rsid w:val="002F0CEE"/>
    <w:rsid w:val="002F0DD9"/>
    <w:rsid w:val="002F12DB"/>
    <w:rsid w:val="002F133D"/>
    <w:rsid w:val="002F1425"/>
    <w:rsid w:val="002F19BB"/>
    <w:rsid w:val="002F1DB2"/>
    <w:rsid w:val="002F21EF"/>
    <w:rsid w:val="002F2316"/>
    <w:rsid w:val="002F270C"/>
    <w:rsid w:val="002F2C21"/>
    <w:rsid w:val="002F2CCC"/>
    <w:rsid w:val="002F2D28"/>
    <w:rsid w:val="002F2D40"/>
    <w:rsid w:val="002F3616"/>
    <w:rsid w:val="002F3622"/>
    <w:rsid w:val="002F3993"/>
    <w:rsid w:val="002F3B8E"/>
    <w:rsid w:val="002F4139"/>
    <w:rsid w:val="002F425A"/>
    <w:rsid w:val="002F44A6"/>
    <w:rsid w:val="002F4544"/>
    <w:rsid w:val="002F4D18"/>
    <w:rsid w:val="002F5034"/>
    <w:rsid w:val="002F515E"/>
    <w:rsid w:val="002F574C"/>
    <w:rsid w:val="002F57A0"/>
    <w:rsid w:val="002F655E"/>
    <w:rsid w:val="002F66F4"/>
    <w:rsid w:val="002F67E6"/>
    <w:rsid w:val="002F6B56"/>
    <w:rsid w:val="002F6C60"/>
    <w:rsid w:val="002F6D21"/>
    <w:rsid w:val="002F6DAC"/>
    <w:rsid w:val="002F6F09"/>
    <w:rsid w:val="002F6F26"/>
    <w:rsid w:val="002F70CB"/>
    <w:rsid w:val="002F724A"/>
    <w:rsid w:val="002F7494"/>
    <w:rsid w:val="002F76B6"/>
    <w:rsid w:val="002F76BE"/>
    <w:rsid w:val="002F7953"/>
    <w:rsid w:val="002F7CDA"/>
    <w:rsid w:val="002F7D0B"/>
    <w:rsid w:val="002F7DAE"/>
    <w:rsid w:val="002F7DD9"/>
    <w:rsid w:val="002F7EE8"/>
    <w:rsid w:val="0030036B"/>
    <w:rsid w:val="0030068C"/>
    <w:rsid w:val="00300744"/>
    <w:rsid w:val="003008C9"/>
    <w:rsid w:val="003009FA"/>
    <w:rsid w:val="00300E10"/>
    <w:rsid w:val="00300F1F"/>
    <w:rsid w:val="00300F8C"/>
    <w:rsid w:val="00301017"/>
    <w:rsid w:val="00301135"/>
    <w:rsid w:val="00301425"/>
    <w:rsid w:val="00301513"/>
    <w:rsid w:val="00301579"/>
    <w:rsid w:val="003015CE"/>
    <w:rsid w:val="00301641"/>
    <w:rsid w:val="00301725"/>
    <w:rsid w:val="00301787"/>
    <w:rsid w:val="00301840"/>
    <w:rsid w:val="00301901"/>
    <w:rsid w:val="003019D6"/>
    <w:rsid w:val="00301AE7"/>
    <w:rsid w:val="00301B43"/>
    <w:rsid w:val="00301BA2"/>
    <w:rsid w:val="00301C3D"/>
    <w:rsid w:val="003022A5"/>
    <w:rsid w:val="00302355"/>
    <w:rsid w:val="00302472"/>
    <w:rsid w:val="003024D6"/>
    <w:rsid w:val="003028AD"/>
    <w:rsid w:val="00302A1D"/>
    <w:rsid w:val="00302F1A"/>
    <w:rsid w:val="00303117"/>
    <w:rsid w:val="0030358C"/>
    <w:rsid w:val="00303851"/>
    <w:rsid w:val="00303BA2"/>
    <w:rsid w:val="00303F8A"/>
    <w:rsid w:val="00303FF2"/>
    <w:rsid w:val="00304225"/>
    <w:rsid w:val="0030490B"/>
    <w:rsid w:val="003049E8"/>
    <w:rsid w:val="00304D21"/>
    <w:rsid w:val="00304D53"/>
    <w:rsid w:val="00304E0A"/>
    <w:rsid w:val="00304E83"/>
    <w:rsid w:val="00305104"/>
    <w:rsid w:val="0030522C"/>
    <w:rsid w:val="00305481"/>
    <w:rsid w:val="0030579B"/>
    <w:rsid w:val="003057E3"/>
    <w:rsid w:val="0030588D"/>
    <w:rsid w:val="00305942"/>
    <w:rsid w:val="003059C5"/>
    <w:rsid w:val="00305A7A"/>
    <w:rsid w:val="00305B21"/>
    <w:rsid w:val="00305EC1"/>
    <w:rsid w:val="00306243"/>
    <w:rsid w:val="003062A1"/>
    <w:rsid w:val="003066CC"/>
    <w:rsid w:val="00306780"/>
    <w:rsid w:val="003068AF"/>
    <w:rsid w:val="003069A5"/>
    <w:rsid w:val="00306DD9"/>
    <w:rsid w:val="003075F8"/>
    <w:rsid w:val="0030786C"/>
    <w:rsid w:val="00307B08"/>
    <w:rsid w:val="00307BDF"/>
    <w:rsid w:val="00310029"/>
    <w:rsid w:val="00310056"/>
    <w:rsid w:val="0031021E"/>
    <w:rsid w:val="003102CD"/>
    <w:rsid w:val="003102ED"/>
    <w:rsid w:val="0031031A"/>
    <w:rsid w:val="003106D6"/>
    <w:rsid w:val="00310981"/>
    <w:rsid w:val="00310BD0"/>
    <w:rsid w:val="00310C07"/>
    <w:rsid w:val="00310EBD"/>
    <w:rsid w:val="00310F0E"/>
    <w:rsid w:val="00310F4B"/>
    <w:rsid w:val="0031115D"/>
    <w:rsid w:val="00311442"/>
    <w:rsid w:val="00311729"/>
    <w:rsid w:val="003117E0"/>
    <w:rsid w:val="00311ED2"/>
    <w:rsid w:val="00312270"/>
    <w:rsid w:val="00312830"/>
    <w:rsid w:val="00312D2A"/>
    <w:rsid w:val="00312EE1"/>
    <w:rsid w:val="0031325F"/>
    <w:rsid w:val="00313621"/>
    <w:rsid w:val="003137C4"/>
    <w:rsid w:val="003138DC"/>
    <w:rsid w:val="00313E5C"/>
    <w:rsid w:val="00314064"/>
    <w:rsid w:val="003148FA"/>
    <w:rsid w:val="00314E11"/>
    <w:rsid w:val="0031509D"/>
    <w:rsid w:val="003151E0"/>
    <w:rsid w:val="00315498"/>
    <w:rsid w:val="00315638"/>
    <w:rsid w:val="00315A77"/>
    <w:rsid w:val="00315BD3"/>
    <w:rsid w:val="00315C86"/>
    <w:rsid w:val="00315D1A"/>
    <w:rsid w:val="00315E5F"/>
    <w:rsid w:val="00315F78"/>
    <w:rsid w:val="003161BA"/>
    <w:rsid w:val="003163E5"/>
    <w:rsid w:val="003163EF"/>
    <w:rsid w:val="00316487"/>
    <w:rsid w:val="003164C8"/>
    <w:rsid w:val="00316537"/>
    <w:rsid w:val="00316BBE"/>
    <w:rsid w:val="0031724D"/>
    <w:rsid w:val="0031746E"/>
    <w:rsid w:val="0031759F"/>
    <w:rsid w:val="00317A0D"/>
    <w:rsid w:val="00317C30"/>
    <w:rsid w:val="00317C92"/>
    <w:rsid w:val="00317EC6"/>
    <w:rsid w:val="0032005B"/>
    <w:rsid w:val="00320132"/>
    <w:rsid w:val="00320525"/>
    <w:rsid w:val="00320865"/>
    <w:rsid w:val="0032114E"/>
    <w:rsid w:val="003214AB"/>
    <w:rsid w:val="00321550"/>
    <w:rsid w:val="0032162E"/>
    <w:rsid w:val="003216AF"/>
    <w:rsid w:val="00321D64"/>
    <w:rsid w:val="00321D77"/>
    <w:rsid w:val="00321DAE"/>
    <w:rsid w:val="00322032"/>
    <w:rsid w:val="0032217F"/>
    <w:rsid w:val="00322A6A"/>
    <w:rsid w:val="00322AE4"/>
    <w:rsid w:val="00323434"/>
    <w:rsid w:val="0032369B"/>
    <w:rsid w:val="00323AF4"/>
    <w:rsid w:val="0032424C"/>
    <w:rsid w:val="00324272"/>
    <w:rsid w:val="00324481"/>
    <w:rsid w:val="00324B5A"/>
    <w:rsid w:val="00324C29"/>
    <w:rsid w:val="00324E47"/>
    <w:rsid w:val="003253D9"/>
    <w:rsid w:val="00325450"/>
    <w:rsid w:val="0032549F"/>
    <w:rsid w:val="00325685"/>
    <w:rsid w:val="003257D4"/>
    <w:rsid w:val="003259C1"/>
    <w:rsid w:val="00325A8C"/>
    <w:rsid w:val="00325AC6"/>
    <w:rsid w:val="00325E84"/>
    <w:rsid w:val="00325EE6"/>
    <w:rsid w:val="00326041"/>
    <w:rsid w:val="00326740"/>
    <w:rsid w:val="0032678E"/>
    <w:rsid w:val="00326A5E"/>
    <w:rsid w:val="00326DEB"/>
    <w:rsid w:val="00326F95"/>
    <w:rsid w:val="00327045"/>
    <w:rsid w:val="0032715D"/>
    <w:rsid w:val="003271B7"/>
    <w:rsid w:val="0032720A"/>
    <w:rsid w:val="003277AB"/>
    <w:rsid w:val="00327A60"/>
    <w:rsid w:val="00327B4C"/>
    <w:rsid w:val="00327BF1"/>
    <w:rsid w:val="003300F0"/>
    <w:rsid w:val="003302D9"/>
    <w:rsid w:val="0033035E"/>
    <w:rsid w:val="003304D2"/>
    <w:rsid w:val="0033054C"/>
    <w:rsid w:val="00330AE1"/>
    <w:rsid w:val="00330E6C"/>
    <w:rsid w:val="003312A6"/>
    <w:rsid w:val="00331328"/>
    <w:rsid w:val="0033146A"/>
    <w:rsid w:val="00331754"/>
    <w:rsid w:val="0033233D"/>
    <w:rsid w:val="003327B0"/>
    <w:rsid w:val="003329B9"/>
    <w:rsid w:val="00332BEF"/>
    <w:rsid w:val="00332C72"/>
    <w:rsid w:val="00332CD8"/>
    <w:rsid w:val="00332E01"/>
    <w:rsid w:val="00333498"/>
    <w:rsid w:val="003334AA"/>
    <w:rsid w:val="003334B7"/>
    <w:rsid w:val="0033357A"/>
    <w:rsid w:val="0033359C"/>
    <w:rsid w:val="0033382C"/>
    <w:rsid w:val="00333946"/>
    <w:rsid w:val="00333A45"/>
    <w:rsid w:val="00333D7F"/>
    <w:rsid w:val="00333D86"/>
    <w:rsid w:val="0033432D"/>
    <w:rsid w:val="0033467E"/>
    <w:rsid w:val="00334BFB"/>
    <w:rsid w:val="00334DE8"/>
    <w:rsid w:val="00334E1B"/>
    <w:rsid w:val="00334F8C"/>
    <w:rsid w:val="00335010"/>
    <w:rsid w:val="0033522C"/>
    <w:rsid w:val="0033538E"/>
    <w:rsid w:val="003354DD"/>
    <w:rsid w:val="003357DD"/>
    <w:rsid w:val="00335969"/>
    <w:rsid w:val="00335A41"/>
    <w:rsid w:val="00335CFD"/>
    <w:rsid w:val="00335E2B"/>
    <w:rsid w:val="00336122"/>
    <w:rsid w:val="00336250"/>
    <w:rsid w:val="00336668"/>
    <w:rsid w:val="003366B5"/>
    <w:rsid w:val="003366C9"/>
    <w:rsid w:val="0033675B"/>
    <w:rsid w:val="00336AA9"/>
    <w:rsid w:val="00336C2C"/>
    <w:rsid w:val="00336EB1"/>
    <w:rsid w:val="003371B0"/>
    <w:rsid w:val="00337693"/>
    <w:rsid w:val="003377E5"/>
    <w:rsid w:val="0033794D"/>
    <w:rsid w:val="003379D5"/>
    <w:rsid w:val="00337B52"/>
    <w:rsid w:val="00337CA3"/>
    <w:rsid w:val="00340007"/>
    <w:rsid w:val="0034028E"/>
    <w:rsid w:val="003402D5"/>
    <w:rsid w:val="0034052F"/>
    <w:rsid w:val="00340793"/>
    <w:rsid w:val="003408DD"/>
    <w:rsid w:val="0034090D"/>
    <w:rsid w:val="00340A89"/>
    <w:rsid w:val="00340CAE"/>
    <w:rsid w:val="00340F17"/>
    <w:rsid w:val="00340F57"/>
    <w:rsid w:val="0034153F"/>
    <w:rsid w:val="00341AD1"/>
    <w:rsid w:val="00341CAC"/>
    <w:rsid w:val="0034216E"/>
    <w:rsid w:val="00342299"/>
    <w:rsid w:val="0034279E"/>
    <w:rsid w:val="0034294B"/>
    <w:rsid w:val="003429A6"/>
    <w:rsid w:val="00342B6F"/>
    <w:rsid w:val="00342CF3"/>
    <w:rsid w:val="00342F22"/>
    <w:rsid w:val="003436EC"/>
    <w:rsid w:val="00343750"/>
    <w:rsid w:val="003438FE"/>
    <w:rsid w:val="0034394F"/>
    <w:rsid w:val="0034406E"/>
    <w:rsid w:val="0034438F"/>
    <w:rsid w:val="003444A0"/>
    <w:rsid w:val="00344657"/>
    <w:rsid w:val="003446E6"/>
    <w:rsid w:val="0034485C"/>
    <w:rsid w:val="00344ADB"/>
    <w:rsid w:val="00344AEC"/>
    <w:rsid w:val="00344B4C"/>
    <w:rsid w:val="00344B69"/>
    <w:rsid w:val="00345091"/>
    <w:rsid w:val="00345310"/>
    <w:rsid w:val="003453B7"/>
    <w:rsid w:val="003454BB"/>
    <w:rsid w:val="0034597C"/>
    <w:rsid w:val="00345AF6"/>
    <w:rsid w:val="00345B0E"/>
    <w:rsid w:val="00345B37"/>
    <w:rsid w:val="00345D0D"/>
    <w:rsid w:val="00346727"/>
    <w:rsid w:val="00346A00"/>
    <w:rsid w:val="00346E92"/>
    <w:rsid w:val="003473E3"/>
    <w:rsid w:val="003475B8"/>
    <w:rsid w:val="00347E3D"/>
    <w:rsid w:val="003500E2"/>
    <w:rsid w:val="003506E5"/>
    <w:rsid w:val="00350736"/>
    <w:rsid w:val="00350842"/>
    <w:rsid w:val="003509C9"/>
    <w:rsid w:val="00350BDF"/>
    <w:rsid w:val="00350D19"/>
    <w:rsid w:val="00350DD3"/>
    <w:rsid w:val="00350E71"/>
    <w:rsid w:val="00350F6E"/>
    <w:rsid w:val="003511C6"/>
    <w:rsid w:val="003512C1"/>
    <w:rsid w:val="003515D6"/>
    <w:rsid w:val="0035168D"/>
    <w:rsid w:val="0035175A"/>
    <w:rsid w:val="00351785"/>
    <w:rsid w:val="00351BDB"/>
    <w:rsid w:val="003521AC"/>
    <w:rsid w:val="0035242D"/>
    <w:rsid w:val="00352434"/>
    <w:rsid w:val="00352838"/>
    <w:rsid w:val="00352C3A"/>
    <w:rsid w:val="00352CE9"/>
    <w:rsid w:val="00352EF3"/>
    <w:rsid w:val="00352FD8"/>
    <w:rsid w:val="003531D3"/>
    <w:rsid w:val="0035320E"/>
    <w:rsid w:val="0035323E"/>
    <w:rsid w:val="00353651"/>
    <w:rsid w:val="003538BB"/>
    <w:rsid w:val="003539E1"/>
    <w:rsid w:val="00353C70"/>
    <w:rsid w:val="00354298"/>
    <w:rsid w:val="0035470B"/>
    <w:rsid w:val="00354759"/>
    <w:rsid w:val="00354900"/>
    <w:rsid w:val="00354AD6"/>
    <w:rsid w:val="00354BD2"/>
    <w:rsid w:val="00355058"/>
    <w:rsid w:val="003550F5"/>
    <w:rsid w:val="003558A0"/>
    <w:rsid w:val="003558DF"/>
    <w:rsid w:val="00355A70"/>
    <w:rsid w:val="00355BFB"/>
    <w:rsid w:val="00356062"/>
    <w:rsid w:val="0035613A"/>
    <w:rsid w:val="0035620E"/>
    <w:rsid w:val="003562B3"/>
    <w:rsid w:val="003566C2"/>
    <w:rsid w:val="0035677F"/>
    <w:rsid w:val="00356850"/>
    <w:rsid w:val="00356AD8"/>
    <w:rsid w:val="00357329"/>
    <w:rsid w:val="0035755F"/>
    <w:rsid w:val="00357A96"/>
    <w:rsid w:val="00357D21"/>
    <w:rsid w:val="00357DBA"/>
    <w:rsid w:val="003603EA"/>
    <w:rsid w:val="00360D51"/>
    <w:rsid w:val="00360F5D"/>
    <w:rsid w:val="00360F87"/>
    <w:rsid w:val="003613CD"/>
    <w:rsid w:val="00361967"/>
    <w:rsid w:val="003619E0"/>
    <w:rsid w:val="00361C1B"/>
    <w:rsid w:val="00361F06"/>
    <w:rsid w:val="003620DF"/>
    <w:rsid w:val="003623C8"/>
    <w:rsid w:val="00362636"/>
    <w:rsid w:val="00362698"/>
    <w:rsid w:val="00362782"/>
    <w:rsid w:val="003627E4"/>
    <w:rsid w:val="003629EB"/>
    <w:rsid w:val="00362D09"/>
    <w:rsid w:val="00362F68"/>
    <w:rsid w:val="00363479"/>
    <w:rsid w:val="003634DB"/>
    <w:rsid w:val="0036381F"/>
    <w:rsid w:val="00363C70"/>
    <w:rsid w:val="00363C84"/>
    <w:rsid w:val="00363E61"/>
    <w:rsid w:val="00364055"/>
    <w:rsid w:val="0036410D"/>
    <w:rsid w:val="003643F5"/>
    <w:rsid w:val="00364459"/>
    <w:rsid w:val="00364A69"/>
    <w:rsid w:val="00364BA6"/>
    <w:rsid w:val="00364BCE"/>
    <w:rsid w:val="00364BD8"/>
    <w:rsid w:val="00364BE0"/>
    <w:rsid w:val="0036522D"/>
    <w:rsid w:val="003653FF"/>
    <w:rsid w:val="003656DF"/>
    <w:rsid w:val="003657AD"/>
    <w:rsid w:val="00365843"/>
    <w:rsid w:val="00365937"/>
    <w:rsid w:val="00365AA0"/>
    <w:rsid w:val="00365B78"/>
    <w:rsid w:val="00365DA4"/>
    <w:rsid w:val="00366007"/>
    <w:rsid w:val="00366200"/>
    <w:rsid w:val="00366222"/>
    <w:rsid w:val="00366317"/>
    <w:rsid w:val="00366375"/>
    <w:rsid w:val="0036643B"/>
    <w:rsid w:val="00366588"/>
    <w:rsid w:val="00366618"/>
    <w:rsid w:val="00366758"/>
    <w:rsid w:val="00366ADD"/>
    <w:rsid w:val="00366B09"/>
    <w:rsid w:val="00366C72"/>
    <w:rsid w:val="00366FCF"/>
    <w:rsid w:val="0036714D"/>
    <w:rsid w:val="00367388"/>
    <w:rsid w:val="00367446"/>
    <w:rsid w:val="00367477"/>
    <w:rsid w:val="00367549"/>
    <w:rsid w:val="00367931"/>
    <w:rsid w:val="00367A77"/>
    <w:rsid w:val="00367AC6"/>
    <w:rsid w:val="0037012C"/>
    <w:rsid w:val="003703A7"/>
    <w:rsid w:val="00370857"/>
    <w:rsid w:val="0037098E"/>
    <w:rsid w:val="00370BE9"/>
    <w:rsid w:val="00370CA8"/>
    <w:rsid w:val="00371211"/>
    <w:rsid w:val="003712F0"/>
    <w:rsid w:val="003713E8"/>
    <w:rsid w:val="003715D6"/>
    <w:rsid w:val="00371727"/>
    <w:rsid w:val="00371AF2"/>
    <w:rsid w:val="00371C64"/>
    <w:rsid w:val="00371D8F"/>
    <w:rsid w:val="00371ED2"/>
    <w:rsid w:val="00371F16"/>
    <w:rsid w:val="0037213E"/>
    <w:rsid w:val="003721A6"/>
    <w:rsid w:val="00372505"/>
    <w:rsid w:val="00372918"/>
    <w:rsid w:val="003729A4"/>
    <w:rsid w:val="00372B4B"/>
    <w:rsid w:val="0037315F"/>
    <w:rsid w:val="003736AA"/>
    <w:rsid w:val="00373B7B"/>
    <w:rsid w:val="0037406B"/>
    <w:rsid w:val="00374179"/>
    <w:rsid w:val="003741FD"/>
    <w:rsid w:val="0037421B"/>
    <w:rsid w:val="003742DF"/>
    <w:rsid w:val="00374E5E"/>
    <w:rsid w:val="0037522D"/>
    <w:rsid w:val="00375372"/>
    <w:rsid w:val="00375419"/>
    <w:rsid w:val="00375707"/>
    <w:rsid w:val="00375B52"/>
    <w:rsid w:val="00375E8D"/>
    <w:rsid w:val="00376182"/>
    <w:rsid w:val="0037620C"/>
    <w:rsid w:val="003762EA"/>
    <w:rsid w:val="003763B1"/>
    <w:rsid w:val="00376885"/>
    <w:rsid w:val="003770BD"/>
    <w:rsid w:val="00377C33"/>
    <w:rsid w:val="003802AB"/>
    <w:rsid w:val="00380344"/>
    <w:rsid w:val="003804DA"/>
    <w:rsid w:val="003808D4"/>
    <w:rsid w:val="00380A20"/>
    <w:rsid w:val="00380ABF"/>
    <w:rsid w:val="00380CAC"/>
    <w:rsid w:val="00380CDA"/>
    <w:rsid w:val="00380E09"/>
    <w:rsid w:val="0038174F"/>
    <w:rsid w:val="0038179E"/>
    <w:rsid w:val="00381B80"/>
    <w:rsid w:val="00381CD0"/>
    <w:rsid w:val="00381F62"/>
    <w:rsid w:val="003820A3"/>
    <w:rsid w:val="00382293"/>
    <w:rsid w:val="00382404"/>
    <w:rsid w:val="0038299C"/>
    <w:rsid w:val="00382BD1"/>
    <w:rsid w:val="00382EC8"/>
    <w:rsid w:val="00383245"/>
    <w:rsid w:val="0038339A"/>
    <w:rsid w:val="00383454"/>
    <w:rsid w:val="0038365C"/>
    <w:rsid w:val="00383828"/>
    <w:rsid w:val="00383C73"/>
    <w:rsid w:val="00383CCB"/>
    <w:rsid w:val="00383D48"/>
    <w:rsid w:val="00383FF3"/>
    <w:rsid w:val="003841E6"/>
    <w:rsid w:val="003841F6"/>
    <w:rsid w:val="00384884"/>
    <w:rsid w:val="00384B6E"/>
    <w:rsid w:val="00384DFF"/>
    <w:rsid w:val="003855B9"/>
    <w:rsid w:val="0038563B"/>
    <w:rsid w:val="0038589E"/>
    <w:rsid w:val="00385D5D"/>
    <w:rsid w:val="00385E94"/>
    <w:rsid w:val="00385FFB"/>
    <w:rsid w:val="00386111"/>
    <w:rsid w:val="003861C4"/>
    <w:rsid w:val="003863DD"/>
    <w:rsid w:val="0038644B"/>
    <w:rsid w:val="003864F5"/>
    <w:rsid w:val="00386587"/>
    <w:rsid w:val="00386678"/>
    <w:rsid w:val="00386A49"/>
    <w:rsid w:val="00386C3B"/>
    <w:rsid w:val="0038714C"/>
    <w:rsid w:val="00387538"/>
    <w:rsid w:val="00387B8D"/>
    <w:rsid w:val="00387BE4"/>
    <w:rsid w:val="00387C07"/>
    <w:rsid w:val="00387CB5"/>
    <w:rsid w:val="00387D5B"/>
    <w:rsid w:val="00387F77"/>
    <w:rsid w:val="003906ED"/>
    <w:rsid w:val="00390E4C"/>
    <w:rsid w:val="00390E4F"/>
    <w:rsid w:val="00391725"/>
    <w:rsid w:val="003920CE"/>
    <w:rsid w:val="00392390"/>
    <w:rsid w:val="00392499"/>
    <w:rsid w:val="003928CB"/>
    <w:rsid w:val="00392980"/>
    <w:rsid w:val="00392B2F"/>
    <w:rsid w:val="00392FCF"/>
    <w:rsid w:val="003933A0"/>
    <w:rsid w:val="00393622"/>
    <w:rsid w:val="003938E4"/>
    <w:rsid w:val="003939B4"/>
    <w:rsid w:val="00393CFB"/>
    <w:rsid w:val="00393D14"/>
    <w:rsid w:val="00393D93"/>
    <w:rsid w:val="003940AA"/>
    <w:rsid w:val="003942CF"/>
    <w:rsid w:val="00394371"/>
    <w:rsid w:val="00394A6D"/>
    <w:rsid w:val="00394B91"/>
    <w:rsid w:val="00394C47"/>
    <w:rsid w:val="0039505F"/>
    <w:rsid w:val="003950C1"/>
    <w:rsid w:val="003954F3"/>
    <w:rsid w:val="0039565A"/>
    <w:rsid w:val="0039565F"/>
    <w:rsid w:val="003956BC"/>
    <w:rsid w:val="00395950"/>
    <w:rsid w:val="00395972"/>
    <w:rsid w:val="003959B7"/>
    <w:rsid w:val="00395C06"/>
    <w:rsid w:val="00395C44"/>
    <w:rsid w:val="00395D84"/>
    <w:rsid w:val="003964B4"/>
    <w:rsid w:val="00396682"/>
    <w:rsid w:val="003966A2"/>
    <w:rsid w:val="003968A6"/>
    <w:rsid w:val="0039692C"/>
    <w:rsid w:val="00396DA1"/>
    <w:rsid w:val="00396FD0"/>
    <w:rsid w:val="003970CD"/>
    <w:rsid w:val="0039755E"/>
    <w:rsid w:val="00397A88"/>
    <w:rsid w:val="00397B37"/>
    <w:rsid w:val="003A01A3"/>
    <w:rsid w:val="003A03DD"/>
    <w:rsid w:val="003A050D"/>
    <w:rsid w:val="003A0A36"/>
    <w:rsid w:val="003A0ACD"/>
    <w:rsid w:val="003A0C60"/>
    <w:rsid w:val="003A0FEB"/>
    <w:rsid w:val="003A1200"/>
    <w:rsid w:val="003A1201"/>
    <w:rsid w:val="003A1364"/>
    <w:rsid w:val="003A1518"/>
    <w:rsid w:val="003A168B"/>
    <w:rsid w:val="003A1A7A"/>
    <w:rsid w:val="003A1BAD"/>
    <w:rsid w:val="003A1BB1"/>
    <w:rsid w:val="003A1C73"/>
    <w:rsid w:val="003A210B"/>
    <w:rsid w:val="003A216B"/>
    <w:rsid w:val="003A21E5"/>
    <w:rsid w:val="003A25C4"/>
    <w:rsid w:val="003A2684"/>
    <w:rsid w:val="003A28E9"/>
    <w:rsid w:val="003A2C06"/>
    <w:rsid w:val="003A2DA4"/>
    <w:rsid w:val="003A30FB"/>
    <w:rsid w:val="003A314E"/>
    <w:rsid w:val="003A33B7"/>
    <w:rsid w:val="003A347C"/>
    <w:rsid w:val="003A34A1"/>
    <w:rsid w:val="003A3833"/>
    <w:rsid w:val="003A3A49"/>
    <w:rsid w:val="003A3AA9"/>
    <w:rsid w:val="003A3B55"/>
    <w:rsid w:val="003A3BFF"/>
    <w:rsid w:val="003A44DC"/>
    <w:rsid w:val="003A46E2"/>
    <w:rsid w:val="003A472E"/>
    <w:rsid w:val="003A492C"/>
    <w:rsid w:val="003A4BC6"/>
    <w:rsid w:val="003A4BDA"/>
    <w:rsid w:val="003A4E34"/>
    <w:rsid w:val="003A52C6"/>
    <w:rsid w:val="003A546F"/>
    <w:rsid w:val="003A54A3"/>
    <w:rsid w:val="003A5689"/>
    <w:rsid w:val="003A56E6"/>
    <w:rsid w:val="003A574B"/>
    <w:rsid w:val="003A5ABB"/>
    <w:rsid w:val="003A5CB7"/>
    <w:rsid w:val="003A5FDF"/>
    <w:rsid w:val="003A62C4"/>
    <w:rsid w:val="003A635B"/>
    <w:rsid w:val="003A6730"/>
    <w:rsid w:val="003A6A6A"/>
    <w:rsid w:val="003A6A99"/>
    <w:rsid w:val="003A6B22"/>
    <w:rsid w:val="003A715D"/>
    <w:rsid w:val="003A7604"/>
    <w:rsid w:val="003A786E"/>
    <w:rsid w:val="003A7B28"/>
    <w:rsid w:val="003A7B77"/>
    <w:rsid w:val="003A7E73"/>
    <w:rsid w:val="003B0211"/>
    <w:rsid w:val="003B03BA"/>
    <w:rsid w:val="003B04BD"/>
    <w:rsid w:val="003B05B9"/>
    <w:rsid w:val="003B065F"/>
    <w:rsid w:val="003B08AD"/>
    <w:rsid w:val="003B08EE"/>
    <w:rsid w:val="003B092E"/>
    <w:rsid w:val="003B0B50"/>
    <w:rsid w:val="003B0CB0"/>
    <w:rsid w:val="003B0E1B"/>
    <w:rsid w:val="003B0EDF"/>
    <w:rsid w:val="003B1090"/>
    <w:rsid w:val="003B144C"/>
    <w:rsid w:val="003B16C1"/>
    <w:rsid w:val="003B1707"/>
    <w:rsid w:val="003B1AC6"/>
    <w:rsid w:val="003B1D06"/>
    <w:rsid w:val="003B1D3C"/>
    <w:rsid w:val="003B2005"/>
    <w:rsid w:val="003B240A"/>
    <w:rsid w:val="003B258C"/>
    <w:rsid w:val="003B2592"/>
    <w:rsid w:val="003B25A2"/>
    <w:rsid w:val="003B2932"/>
    <w:rsid w:val="003B2CA9"/>
    <w:rsid w:val="003B2DA0"/>
    <w:rsid w:val="003B3104"/>
    <w:rsid w:val="003B3666"/>
    <w:rsid w:val="003B385A"/>
    <w:rsid w:val="003B3C14"/>
    <w:rsid w:val="003B476D"/>
    <w:rsid w:val="003B48D4"/>
    <w:rsid w:val="003B4A42"/>
    <w:rsid w:val="003B5141"/>
    <w:rsid w:val="003B58DB"/>
    <w:rsid w:val="003B5E4E"/>
    <w:rsid w:val="003B5F9C"/>
    <w:rsid w:val="003B634A"/>
    <w:rsid w:val="003B6629"/>
    <w:rsid w:val="003B6972"/>
    <w:rsid w:val="003B72A2"/>
    <w:rsid w:val="003B72B3"/>
    <w:rsid w:val="003B7646"/>
    <w:rsid w:val="003B7789"/>
    <w:rsid w:val="003B77CB"/>
    <w:rsid w:val="003B7B30"/>
    <w:rsid w:val="003B7B6E"/>
    <w:rsid w:val="003B7B98"/>
    <w:rsid w:val="003B7C1C"/>
    <w:rsid w:val="003C0051"/>
    <w:rsid w:val="003C0115"/>
    <w:rsid w:val="003C01A0"/>
    <w:rsid w:val="003C0211"/>
    <w:rsid w:val="003C0334"/>
    <w:rsid w:val="003C07D8"/>
    <w:rsid w:val="003C08E4"/>
    <w:rsid w:val="003C0B78"/>
    <w:rsid w:val="003C0CF4"/>
    <w:rsid w:val="003C10BC"/>
    <w:rsid w:val="003C19D2"/>
    <w:rsid w:val="003C1C85"/>
    <w:rsid w:val="003C1D1F"/>
    <w:rsid w:val="003C1E93"/>
    <w:rsid w:val="003C1FA8"/>
    <w:rsid w:val="003C2065"/>
    <w:rsid w:val="003C2245"/>
    <w:rsid w:val="003C22D0"/>
    <w:rsid w:val="003C26ED"/>
    <w:rsid w:val="003C2867"/>
    <w:rsid w:val="003C2938"/>
    <w:rsid w:val="003C2AB9"/>
    <w:rsid w:val="003C2CF0"/>
    <w:rsid w:val="003C2F66"/>
    <w:rsid w:val="003C33C3"/>
    <w:rsid w:val="003C393E"/>
    <w:rsid w:val="003C3B1F"/>
    <w:rsid w:val="003C3BBF"/>
    <w:rsid w:val="003C3C84"/>
    <w:rsid w:val="003C3D4E"/>
    <w:rsid w:val="003C3DF3"/>
    <w:rsid w:val="003C4196"/>
    <w:rsid w:val="003C421D"/>
    <w:rsid w:val="003C460E"/>
    <w:rsid w:val="003C4729"/>
    <w:rsid w:val="003C48F8"/>
    <w:rsid w:val="003C4FAB"/>
    <w:rsid w:val="003C50EE"/>
    <w:rsid w:val="003C5182"/>
    <w:rsid w:val="003C5258"/>
    <w:rsid w:val="003C53EF"/>
    <w:rsid w:val="003C581D"/>
    <w:rsid w:val="003C5903"/>
    <w:rsid w:val="003C59F5"/>
    <w:rsid w:val="003C5A20"/>
    <w:rsid w:val="003C5A2E"/>
    <w:rsid w:val="003C5A45"/>
    <w:rsid w:val="003C5A72"/>
    <w:rsid w:val="003C5D97"/>
    <w:rsid w:val="003C5DF7"/>
    <w:rsid w:val="003C601C"/>
    <w:rsid w:val="003C648F"/>
    <w:rsid w:val="003C6847"/>
    <w:rsid w:val="003C6901"/>
    <w:rsid w:val="003C6EA0"/>
    <w:rsid w:val="003C7171"/>
    <w:rsid w:val="003C71E2"/>
    <w:rsid w:val="003C7563"/>
    <w:rsid w:val="003C7736"/>
    <w:rsid w:val="003C7793"/>
    <w:rsid w:val="003C7BA3"/>
    <w:rsid w:val="003C7BF5"/>
    <w:rsid w:val="003C7C1F"/>
    <w:rsid w:val="003C7C7A"/>
    <w:rsid w:val="003D0070"/>
    <w:rsid w:val="003D029E"/>
    <w:rsid w:val="003D02AE"/>
    <w:rsid w:val="003D034B"/>
    <w:rsid w:val="003D03CA"/>
    <w:rsid w:val="003D045E"/>
    <w:rsid w:val="003D04CF"/>
    <w:rsid w:val="003D04F6"/>
    <w:rsid w:val="003D06B1"/>
    <w:rsid w:val="003D083A"/>
    <w:rsid w:val="003D0926"/>
    <w:rsid w:val="003D0C22"/>
    <w:rsid w:val="003D1278"/>
    <w:rsid w:val="003D137E"/>
    <w:rsid w:val="003D1492"/>
    <w:rsid w:val="003D1828"/>
    <w:rsid w:val="003D18E6"/>
    <w:rsid w:val="003D2422"/>
    <w:rsid w:val="003D2428"/>
    <w:rsid w:val="003D2676"/>
    <w:rsid w:val="003D267D"/>
    <w:rsid w:val="003D278E"/>
    <w:rsid w:val="003D2ADE"/>
    <w:rsid w:val="003D2D9D"/>
    <w:rsid w:val="003D2DF2"/>
    <w:rsid w:val="003D335A"/>
    <w:rsid w:val="003D35AC"/>
    <w:rsid w:val="003D3A81"/>
    <w:rsid w:val="003D3CAB"/>
    <w:rsid w:val="003D3CC6"/>
    <w:rsid w:val="003D3D9B"/>
    <w:rsid w:val="003D3DA0"/>
    <w:rsid w:val="003D4002"/>
    <w:rsid w:val="003D447B"/>
    <w:rsid w:val="003D47A8"/>
    <w:rsid w:val="003D484A"/>
    <w:rsid w:val="003D498B"/>
    <w:rsid w:val="003D49D3"/>
    <w:rsid w:val="003D4CB1"/>
    <w:rsid w:val="003D4CFE"/>
    <w:rsid w:val="003D4D5E"/>
    <w:rsid w:val="003D4D70"/>
    <w:rsid w:val="003D4E58"/>
    <w:rsid w:val="003D51DD"/>
    <w:rsid w:val="003D563A"/>
    <w:rsid w:val="003D5739"/>
    <w:rsid w:val="003D580D"/>
    <w:rsid w:val="003D59F8"/>
    <w:rsid w:val="003D5A06"/>
    <w:rsid w:val="003D5E6A"/>
    <w:rsid w:val="003D5EC0"/>
    <w:rsid w:val="003D5F61"/>
    <w:rsid w:val="003D61AD"/>
    <w:rsid w:val="003D6822"/>
    <w:rsid w:val="003D6DD3"/>
    <w:rsid w:val="003D70DF"/>
    <w:rsid w:val="003D780A"/>
    <w:rsid w:val="003D7C1C"/>
    <w:rsid w:val="003D7F1E"/>
    <w:rsid w:val="003D7F36"/>
    <w:rsid w:val="003E0344"/>
    <w:rsid w:val="003E04E1"/>
    <w:rsid w:val="003E06BD"/>
    <w:rsid w:val="003E0748"/>
    <w:rsid w:val="003E091C"/>
    <w:rsid w:val="003E0959"/>
    <w:rsid w:val="003E0F0A"/>
    <w:rsid w:val="003E0F82"/>
    <w:rsid w:val="003E115C"/>
    <w:rsid w:val="003E1260"/>
    <w:rsid w:val="003E1310"/>
    <w:rsid w:val="003E1436"/>
    <w:rsid w:val="003E18D1"/>
    <w:rsid w:val="003E1A35"/>
    <w:rsid w:val="003E1A84"/>
    <w:rsid w:val="003E1CB7"/>
    <w:rsid w:val="003E1DFC"/>
    <w:rsid w:val="003E1E3A"/>
    <w:rsid w:val="003E1F07"/>
    <w:rsid w:val="003E23A4"/>
    <w:rsid w:val="003E244A"/>
    <w:rsid w:val="003E25FD"/>
    <w:rsid w:val="003E2FA4"/>
    <w:rsid w:val="003E30AF"/>
    <w:rsid w:val="003E30B5"/>
    <w:rsid w:val="003E30D0"/>
    <w:rsid w:val="003E3197"/>
    <w:rsid w:val="003E3531"/>
    <w:rsid w:val="003E375E"/>
    <w:rsid w:val="003E3777"/>
    <w:rsid w:val="003E3EC2"/>
    <w:rsid w:val="003E412A"/>
    <w:rsid w:val="003E4361"/>
    <w:rsid w:val="003E44A9"/>
    <w:rsid w:val="003E47A9"/>
    <w:rsid w:val="003E489D"/>
    <w:rsid w:val="003E4968"/>
    <w:rsid w:val="003E4C4E"/>
    <w:rsid w:val="003E4F19"/>
    <w:rsid w:val="003E5054"/>
    <w:rsid w:val="003E5162"/>
    <w:rsid w:val="003E52B0"/>
    <w:rsid w:val="003E5427"/>
    <w:rsid w:val="003E5CCC"/>
    <w:rsid w:val="003E5D63"/>
    <w:rsid w:val="003E5F72"/>
    <w:rsid w:val="003E61FE"/>
    <w:rsid w:val="003E6518"/>
    <w:rsid w:val="003E6718"/>
    <w:rsid w:val="003E6900"/>
    <w:rsid w:val="003E6A5E"/>
    <w:rsid w:val="003E6F71"/>
    <w:rsid w:val="003E7323"/>
    <w:rsid w:val="003E73CD"/>
    <w:rsid w:val="003E73D8"/>
    <w:rsid w:val="003E75AB"/>
    <w:rsid w:val="003E797C"/>
    <w:rsid w:val="003E79B2"/>
    <w:rsid w:val="003E7BFA"/>
    <w:rsid w:val="003E7C19"/>
    <w:rsid w:val="003E7C4D"/>
    <w:rsid w:val="003E7CFD"/>
    <w:rsid w:val="003E7F2F"/>
    <w:rsid w:val="003F0320"/>
    <w:rsid w:val="003F0478"/>
    <w:rsid w:val="003F08BC"/>
    <w:rsid w:val="003F09C2"/>
    <w:rsid w:val="003F0A89"/>
    <w:rsid w:val="003F0C3F"/>
    <w:rsid w:val="003F1115"/>
    <w:rsid w:val="003F1797"/>
    <w:rsid w:val="003F1814"/>
    <w:rsid w:val="003F25D9"/>
    <w:rsid w:val="003F2A4E"/>
    <w:rsid w:val="003F2CCE"/>
    <w:rsid w:val="003F2DA3"/>
    <w:rsid w:val="003F2E0D"/>
    <w:rsid w:val="003F2FB5"/>
    <w:rsid w:val="003F30BC"/>
    <w:rsid w:val="003F3725"/>
    <w:rsid w:val="003F385C"/>
    <w:rsid w:val="003F39ED"/>
    <w:rsid w:val="003F3C0F"/>
    <w:rsid w:val="003F3D29"/>
    <w:rsid w:val="003F3D8C"/>
    <w:rsid w:val="003F3DD7"/>
    <w:rsid w:val="003F3DF4"/>
    <w:rsid w:val="003F3F4B"/>
    <w:rsid w:val="003F4156"/>
    <w:rsid w:val="003F441F"/>
    <w:rsid w:val="003F4523"/>
    <w:rsid w:val="003F4DA7"/>
    <w:rsid w:val="003F4F6B"/>
    <w:rsid w:val="003F50A6"/>
    <w:rsid w:val="003F5139"/>
    <w:rsid w:val="003F5448"/>
    <w:rsid w:val="003F57BF"/>
    <w:rsid w:val="003F5B30"/>
    <w:rsid w:val="003F5C0D"/>
    <w:rsid w:val="003F5F65"/>
    <w:rsid w:val="003F6035"/>
    <w:rsid w:val="003F6143"/>
    <w:rsid w:val="003F616C"/>
    <w:rsid w:val="003F6444"/>
    <w:rsid w:val="003F64E9"/>
    <w:rsid w:val="003F6529"/>
    <w:rsid w:val="003F6B7C"/>
    <w:rsid w:val="003F6C78"/>
    <w:rsid w:val="003F6E23"/>
    <w:rsid w:val="003F71D3"/>
    <w:rsid w:val="003F771A"/>
    <w:rsid w:val="003F7998"/>
    <w:rsid w:val="003F7BF2"/>
    <w:rsid w:val="003F7D8B"/>
    <w:rsid w:val="00400192"/>
    <w:rsid w:val="004001F9"/>
    <w:rsid w:val="0040025C"/>
    <w:rsid w:val="004002F8"/>
    <w:rsid w:val="004004CA"/>
    <w:rsid w:val="0040069A"/>
    <w:rsid w:val="00400905"/>
    <w:rsid w:val="00400A50"/>
    <w:rsid w:val="00400ABE"/>
    <w:rsid w:val="00400D09"/>
    <w:rsid w:val="0040106E"/>
    <w:rsid w:val="004010B0"/>
    <w:rsid w:val="0040126E"/>
    <w:rsid w:val="00401384"/>
    <w:rsid w:val="004014AD"/>
    <w:rsid w:val="0040179F"/>
    <w:rsid w:val="004018BB"/>
    <w:rsid w:val="004019BF"/>
    <w:rsid w:val="00401C69"/>
    <w:rsid w:val="00401F9F"/>
    <w:rsid w:val="00401FAA"/>
    <w:rsid w:val="00402989"/>
    <w:rsid w:val="00402A60"/>
    <w:rsid w:val="00402BFC"/>
    <w:rsid w:val="00402C1B"/>
    <w:rsid w:val="00403321"/>
    <w:rsid w:val="00403368"/>
    <w:rsid w:val="004033C5"/>
    <w:rsid w:val="00403BA6"/>
    <w:rsid w:val="00403D9B"/>
    <w:rsid w:val="00404040"/>
    <w:rsid w:val="00404177"/>
    <w:rsid w:val="00404576"/>
    <w:rsid w:val="00404590"/>
    <w:rsid w:val="00404624"/>
    <w:rsid w:val="00404CB9"/>
    <w:rsid w:val="004052B2"/>
    <w:rsid w:val="004057DC"/>
    <w:rsid w:val="00405847"/>
    <w:rsid w:val="00405F2C"/>
    <w:rsid w:val="00406064"/>
    <w:rsid w:val="00406189"/>
    <w:rsid w:val="0040698D"/>
    <w:rsid w:val="00406A7E"/>
    <w:rsid w:val="00406A96"/>
    <w:rsid w:val="00406E7D"/>
    <w:rsid w:val="0040720C"/>
    <w:rsid w:val="004072D2"/>
    <w:rsid w:val="004073DB"/>
    <w:rsid w:val="0040751F"/>
    <w:rsid w:val="0040768E"/>
    <w:rsid w:val="00407AD6"/>
    <w:rsid w:val="00407D74"/>
    <w:rsid w:val="00407E5A"/>
    <w:rsid w:val="00407F35"/>
    <w:rsid w:val="00410343"/>
    <w:rsid w:val="00410488"/>
    <w:rsid w:val="00410708"/>
    <w:rsid w:val="0041093A"/>
    <w:rsid w:val="0041093F"/>
    <w:rsid w:val="00410954"/>
    <w:rsid w:val="00410EC7"/>
    <w:rsid w:val="00411196"/>
    <w:rsid w:val="00411207"/>
    <w:rsid w:val="00411422"/>
    <w:rsid w:val="004114AF"/>
    <w:rsid w:val="004119DC"/>
    <w:rsid w:val="00411AFA"/>
    <w:rsid w:val="00411B40"/>
    <w:rsid w:val="00411D03"/>
    <w:rsid w:val="00411F11"/>
    <w:rsid w:val="00411FBE"/>
    <w:rsid w:val="004120BB"/>
    <w:rsid w:val="0041242A"/>
    <w:rsid w:val="004124FC"/>
    <w:rsid w:val="0041286C"/>
    <w:rsid w:val="00412A1C"/>
    <w:rsid w:val="00412BC4"/>
    <w:rsid w:val="00412BDF"/>
    <w:rsid w:val="00412DCB"/>
    <w:rsid w:val="00412F6C"/>
    <w:rsid w:val="004130A5"/>
    <w:rsid w:val="00413545"/>
    <w:rsid w:val="00413954"/>
    <w:rsid w:val="00413B6A"/>
    <w:rsid w:val="00413BC3"/>
    <w:rsid w:val="00413FEB"/>
    <w:rsid w:val="004140D6"/>
    <w:rsid w:val="00414165"/>
    <w:rsid w:val="004143FF"/>
    <w:rsid w:val="00414476"/>
    <w:rsid w:val="00414605"/>
    <w:rsid w:val="004149A4"/>
    <w:rsid w:val="00414C9C"/>
    <w:rsid w:val="00414D8B"/>
    <w:rsid w:val="00415047"/>
    <w:rsid w:val="004151A8"/>
    <w:rsid w:val="004154F2"/>
    <w:rsid w:val="00415587"/>
    <w:rsid w:val="0041597E"/>
    <w:rsid w:val="00415AA6"/>
    <w:rsid w:val="00415BAE"/>
    <w:rsid w:val="00415C3E"/>
    <w:rsid w:val="00415CF9"/>
    <w:rsid w:val="00415F81"/>
    <w:rsid w:val="00416421"/>
    <w:rsid w:val="004165EA"/>
    <w:rsid w:val="004168ED"/>
    <w:rsid w:val="004168F3"/>
    <w:rsid w:val="00416BBC"/>
    <w:rsid w:val="00416C3B"/>
    <w:rsid w:val="00416D38"/>
    <w:rsid w:val="0041717D"/>
    <w:rsid w:val="00417720"/>
    <w:rsid w:val="00417C94"/>
    <w:rsid w:val="004200AA"/>
    <w:rsid w:val="004204CF"/>
    <w:rsid w:val="00420533"/>
    <w:rsid w:val="00420584"/>
    <w:rsid w:val="00420596"/>
    <w:rsid w:val="00420676"/>
    <w:rsid w:val="00420694"/>
    <w:rsid w:val="004206B3"/>
    <w:rsid w:val="004206F2"/>
    <w:rsid w:val="00420AF5"/>
    <w:rsid w:val="00420B9F"/>
    <w:rsid w:val="0042106C"/>
    <w:rsid w:val="00421148"/>
    <w:rsid w:val="0042118D"/>
    <w:rsid w:val="0042174D"/>
    <w:rsid w:val="00421D41"/>
    <w:rsid w:val="00421EBF"/>
    <w:rsid w:val="00422320"/>
    <w:rsid w:val="00422A23"/>
    <w:rsid w:val="00422AC4"/>
    <w:rsid w:val="00422D31"/>
    <w:rsid w:val="0042307E"/>
    <w:rsid w:val="0042329C"/>
    <w:rsid w:val="004239F3"/>
    <w:rsid w:val="00423DE2"/>
    <w:rsid w:val="004240A1"/>
    <w:rsid w:val="0042444B"/>
    <w:rsid w:val="00424482"/>
    <w:rsid w:val="00424509"/>
    <w:rsid w:val="0042461E"/>
    <w:rsid w:val="0042462A"/>
    <w:rsid w:val="0042483B"/>
    <w:rsid w:val="004248DA"/>
    <w:rsid w:val="0042497E"/>
    <w:rsid w:val="004249F1"/>
    <w:rsid w:val="00424A3D"/>
    <w:rsid w:val="00424B6F"/>
    <w:rsid w:val="00424BAA"/>
    <w:rsid w:val="00424CE1"/>
    <w:rsid w:val="004250CD"/>
    <w:rsid w:val="004251E0"/>
    <w:rsid w:val="004251E5"/>
    <w:rsid w:val="00425402"/>
    <w:rsid w:val="004255D4"/>
    <w:rsid w:val="00425663"/>
    <w:rsid w:val="0042582B"/>
    <w:rsid w:val="00425FFA"/>
    <w:rsid w:val="0042606E"/>
    <w:rsid w:val="004261A7"/>
    <w:rsid w:val="004264AF"/>
    <w:rsid w:val="004267EE"/>
    <w:rsid w:val="00426876"/>
    <w:rsid w:val="00426D9C"/>
    <w:rsid w:val="00426E44"/>
    <w:rsid w:val="00426F2E"/>
    <w:rsid w:val="00426F6C"/>
    <w:rsid w:val="00427140"/>
    <w:rsid w:val="004271A5"/>
    <w:rsid w:val="0042728D"/>
    <w:rsid w:val="00427561"/>
    <w:rsid w:val="00427822"/>
    <w:rsid w:val="00427B68"/>
    <w:rsid w:val="00427BF9"/>
    <w:rsid w:val="00427C14"/>
    <w:rsid w:val="00427C1E"/>
    <w:rsid w:val="00427D47"/>
    <w:rsid w:val="00430027"/>
    <w:rsid w:val="00430089"/>
    <w:rsid w:val="0043017A"/>
    <w:rsid w:val="0043054F"/>
    <w:rsid w:val="004305C6"/>
    <w:rsid w:val="0043084A"/>
    <w:rsid w:val="00430945"/>
    <w:rsid w:val="00430B04"/>
    <w:rsid w:val="00430B1C"/>
    <w:rsid w:val="0043114E"/>
    <w:rsid w:val="00431669"/>
    <w:rsid w:val="00431701"/>
    <w:rsid w:val="0043176C"/>
    <w:rsid w:val="004317CB"/>
    <w:rsid w:val="00431903"/>
    <w:rsid w:val="004319BC"/>
    <w:rsid w:val="004319F8"/>
    <w:rsid w:val="00431B32"/>
    <w:rsid w:val="00431DE6"/>
    <w:rsid w:val="004320F9"/>
    <w:rsid w:val="0043216D"/>
    <w:rsid w:val="0043232B"/>
    <w:rsid w:val="00432651"/>
    <w:rsid w:val="004326A0"/>
    <w:rsid w:val="004327FB"/>
    <w:rsid w:val="00432A8D"/>
    <w:rsid w:val="00432AAD"/>
    <w:rsid w:val="00432C0E"/>
    <w:rsid w:val="00432DA2"/>
    <w:rsid w:val="00433044"/>
    <w:rsid w:val="00433303"/>
    <w:rsid w:val="0043344B"/>
    <w:rsid w:val="00433524"/>
    <w:rsid w:val="0043359D"/>
    <w:rsid w:val="00433904"/>
    <w:rsid w:val="00433DE6"/>
    <w:rsid w:val="00433E17"/>
    <w:rsid w:val="004342A7"/>
    <w:rsid w:val="004346C7"/>
    <w:rsid w:val="00434990"/>
    <w:rsid w:val="00434BFB"/>
    <w:rsid w:val="00434CEE"/>
    <w:rsid w:val="00434D6D"/>
    <w:rsid w:val="00434FC1"/>
    <w:rsid w:val="004350DD"/>
    <w:rsid w:val="0043560C"/>
    <w:rsid w:val="004364EC"/>
    <w:rsid w:val="0043659A"/>
    <w:rsid w:val="0043697D"/>
    <w:rsid w:val="00436A20"/>
    <w:rsid w:val="00437317"/>
    <w:rsid w:val="004373E5"/>
    <w:rsid w:val="00437515"/>
    <w:rsid w:val="00437776"/>
    <w:rsid w:val="00437D49"/>
    <w:rsid w:val="0044031A"/>
    <w:rsid w:val="00440367"/>
    <w:rsid w:val="00440458"/>
    <w:rsid w:val="004404A4"/>
    <w:rsid w:val="004406D2"/>
    <w:rsid w:val="004407AC"/>
    <w:rsid w:val="00440A43"/>
    <w:rsid w:val="00440AC8"/>
    <w:rsid w:val="00440C8D"/>
    <w:rsid w:val="00440F11"/>
    <w:rsid w:val="00440F24"/>
    <w:rsid w:val="004412F1"/>
    <w:rsid w:val="00441372"/>
    <w:rsid w:val="004416FE"/>
    <w:rsid w:val="00441A58"/>
    <w:rsid w:val="00441BCF"/>
    <w:rsid w:val="00441BD4"/>
    <w:rsid w:val="00441D17"/>
    <w:rsid w:val="00442004"/>
    <w:rsid w:val="00442748"/>
    <w:rsid w:val="00442766"/>
    <w:rsid w:val="004427E9"/>
    <w:rsid w:val="00442AA5"/>
    <w:rsid w:val="00443063"/>
    <w:rsid w:val="00443323"/>
    <w:rsid w:val="0044332E"/>
    <w:rsid w:val="0044377D"/>
    <w:rsid w:val="00443C5A"/>
    <w:rsid w:val="004440F8"/>
    <w:rsid w:val="00444214"/>
    <w:rsid w:val="004443A7"/>
    <w:rsid w:val="00444445"/>
    <w:rsid w:val="00444651"/>
    <w:rsid w:val="00444740"/>
    <w:rsid w:val="00444B7D"/>
    <w:rsid w:val="00444CD4"/>
    <w:rsid w:val="00444E6E"/>
    <w:rsid w:val="00444FC0"/>
    <w:rsid w:val="0044550F"/>
    <w:rsid w:val="004455B8"/>
    <w:rsid w:val="0044568D"/>
    <w:rsid w:val="004457EC"/>
    <w:rsid w:val="00445858"/>
    <w:rsid w:val="00445C29"/>
    <w:rsid w:val="00445D59"/>
    <w:rsid w:val="00445E09"/>
    <w:rsid w:val="00445E2C"/>
    <w:rsid w:val="00445F1D"/>
    <w:rsid w:val="0044612D"/>
    <w:rsid w:val="004463B4"/>
    <w:rsid w:val="004463C0"/>
    <w:rsid w:val="004464C4"/>
    <w:rsid w:val="004464EB"/>
    <w:rsid w:val="0044699D"/>
    <w:rsid w:val="004469D8"/>
    <w:rsid w:val="00446ACA"/>
    <w:rsid w:val="00446AF9"/>
    <w:rsid w:val="00446ED8"/>
    <w:rsid w:val="00446F9B"/>
    <w:rsid w:val="0044721C"/>
    <w:rsid w:val="0044740E"/>
    <w:rsid w:val="00447E8E"/>
    <w:rsid w:val="004500D9"/>
    <w:rsid w:val="0045013E"/>
    <w:rsid w:val="0045018F"/>
    <w:rsid w:val="004502D5"/>
    <w:rsid w:val="004504DF"/>
    <w:rsid w:val="00450553"/>
    <w:rsid w:val="004507BE"/>
    <w:rsid w:val="00450CAB"/>
    <w:rsid w:val="00450E0C"/>
    <w:rsid w:val="004510D9"/>
    <w:rsid w:val="00451288"/>
    <w:rsid w:val="00451408"/>
    <w:rsid w:val="00451499"/>
    <w:rsid w:val="0045156D"/>
    <w:rsid w:val="0045167F"/>
    <w:rsid w:val="004517EA"/>
    <w:rsid w:val="00451A8F"/>
    <w:rsid w:val="00451B86"/>
    <w:rsid w:val="00451F4B"/>
    <w:rsid w:val="00452018"/>
    <w:rsid w:val="00452386"/>
    <w:rsid w:val="00452397"/>
    <w:rsid w:val="00452605"/>
    <w:rsid w:val="00452BCE"/>
    <w:rsid w:val="00452CE2"/>
    <w:rsid w:val="00452FF5"/>
    <w:rsid w:val="004532EC"/>
    <w:rsid w:val="004534DD"/>
    <w:rsid w:val="004535DE"/>
    <w:rsid w:val="0045370E"/>
    <w:rsid w:val="004537AE"/>
    <w:rsid w:val="004537FB"/>
    <w:rsid w:val="00453897"/>
    <w:rsid w:val="00453F46"/>
    <w:rsid w:val="004541B4"/>
    <w:rsid w:val="004543B4"/>
    <w:rsid w:val="0045495E"/>
    <w:rsid w:val="004549C1"/>
    <w:rsid w:val="00454AC3"/>
    <w:rsid w:val="00454F35"/>
    <w:rsid w:val="00454F6D"/>
    <w:rsid w:val="00454FD8"/>
    <w:rsid w:val="00454FDD"/>
    <w:rsid w:val="00455199"/>
    <w:rsid w:val="00455338"/>
    <w:rsid w:val="0045545A"/>
    <w:rsid w:val="00455B28"/>
    <w:rsid w:val="00455D45"/>
    <w:rsid w:val="00455EC6"/>
    <w:rsid w:val="0045609F"/>
    <w:rsid w:val="00456611"/>
    <w:rsid w:val="004566FD"/>
    <w:rsid w:val="00456774"/>
    <w:rsid w:val="00456BE1"/>
    <w:rsid w:val="00456C0A"/>
    <w:rsid w:val="00456C31"/>
    <w:rsid w:val="004574A5"/>
    <w:rsid w:val="0045758A"/>
    <w:rsid w:val="00457ABC"/>
    <w:rsid w:val="00457E84"/>
    <w:rsid w:val="00457F89"/>
    <w:rsid w:val="00460056"/>
    <w:rsid w:val="0046034E"/>
    <w:rsid w:val="00460370"/>
    <w:rsid w:val="00460606"/>
    <w:rsid w:val="0046069D"/>
    <w:rsid w:val="004606F8"/>
    <w:rsid w:val="004609D7"/>
    <w:rsid w:val="00460BD2"/>
    <w:rsid w:val="00460ECE"/>
    <w:rsid w:val="004611A6"/>
    <w:rsid w:val="004613B5"/>
    <w:rsid w:val="004615AC"/>
    <w:rsid w:val="00461954"/>
    <w:rsid w:val="00461B4A"/>
    <w:rsid w:val="00461CCE"/>
    <w:rsid w:val="00461CDE"/>
    <w:rsid w:val="00461D16"/>
    <w:rsid w:val="00461DFA"/>
    <w:rsid w:val="00462073"/>
    <w:rsid w:val="004625F2"/>
    <w:rsid w:val="00462817"/>
    <w:rsid w:val="004633B2"/>
    <w:rsid w:val="00463E2B"/>
    <w:rsid w:val="00463E81"/>
    <w:rsid w:val="00464139"/>
    <w:rsid w:val="00464289"/>
    <w:rsid w:val="00464362"/>
    <w:rsid w:val="00464595"/>
    <w:rsid w:val="00464809"/>
    <w:rsid w:val="0046496C"/>
    <w:rsid w:val="00464B1D"/>
    <w:rsid w:val="004651D8"/>
    <w:rsid w:val="0046520C"/>
    <w:rsid w:val="00465454"/>
    <w:rsid w:val="004659F7"/>
    <w:rsid w:val="00465A3C"/>
    <w:rsid w:val="00465ED0"/>
    <w:rsid w:val="004661E4"/>
    <w:rsid w:val="004662C9"/>
    <w:rsid w:val="00466425"/>
    <w:rsid w:val="00466621"/>
    <w:rsid w:val="004667EF"/>
    <w:rsid w:val="00466A50"/>
    <w:rsid w:val="00466CB9"/>
    <w:rsid w:val="00466DAA"/>
    <w:rsid w:val="00467343"/>
    <w:rsid w:val="004674B9"/>
    <w:rsid w:val="00467725"/>
    <w:rsid w:val="004679E3"/>
    <w:rsid w:val="004679E5"/>
    <w:rsid w:val="00467B9A"/>
    <w:rsid w:val="00467C83"/>
    <w:rsid w:val="00467CB8"/>
    <w:rsid w:val="00467E18"/>
    <w:rsid w:val="00467F1B"/>
    <w:rsid w:val="00470104"/>
    <w:rsid w:val="0047020D"/>
    <w:rsid w:val="0047037A"/>
    <w:rsid w:val="004706E4"/>
    <w:rsid w:val="0047083A"/>
    <w:rsid w:val="00470AE6"/>
    <w:rsid w:val="00470C68"/>
    <w:rsid w:val="0047161B"/>
    <w:rsid w:val="00471680"/>
    <w:rsid w:val="0047178F"/>
    <w:rsid w:val="00471EBB"/>
    <w:rsid w:val="004720F9"/>
    <w:rsid w:val="0047228E"/>
    <w:rsid w:val="004722B3"/>
    <w:rsid w:val="004722E7"/>
    <w:rsid w:val="00472506"/>
    <w:rsid w:val="0047281E"/>
    <w:rsid w:val="00472B81"/>
    <w:rsid w:val="00472C39"/>
    <w:rsid w:val="00472E59"/>
    <w:rsid w:val="00473322"/>
    <w:rsid w:val="00473A33"/>
    <w:rsid w:val="00473C98"/>
    <w:rsid w:val="00473E39"/>
    <w:rsid w:val="004741E9"/>
    <w:rsid w:val="004744A2"/>
    <w:rsid w:val="0047493A"/>
    <w:rsid w:val="0047496E"/>
    <w:rsid w:val="00474BC3"/>
    <w:rsid w:val="00475AAD"/>
    <w:rsid w:val="00475AB2"/>
    <w:rsid w:val="00475C36"/>
    <w:rsid w:val="00475C3E"/>
    <w:rsid w:val="00475E5F"/>
    <w:rsid w:val="00476004"/>
    <w:rsid w:val="00476202"/>
    <w:rsid w:val="004762F3"/>
    <w:rsid w:val="004765C4"/>
    <w:rsid w:val="004766BF"/>
    <w:rsid w:val="00476766"/>
    <w:rsid w:val="004769DF"/>
    <w:rsid w:val="00476A1A"/>
    <w:rsid w:val="00476C84"/>
    <w:rsid w:val="00476E56"/>
    <w:rsid w:val="004771F6"/>
    <w:rsid w:val="00477526"/>
    <w:rsid w:val="0047759C"/>
    <w:rsid w:val="004776B0"/>
    <w:rsid w:val="00477AA0"/>
    <w:rsid w:val="00480185"/>
    <w:rsid w:val="0048043E"/>
    <w:rsid w:val="00480623"/>
    <w:rsid w:val="00480D1B"/>
    <w:rsid w:val="0048113C"/>
    <w:rsid w:val="004813DB"/>
    <w:rsid w:val="00481408"/>
    <w:rsid w:val="00481741"/>
    <w:rsid w:val="0048180C"/>
    <w:rsid w:val="00481FC6"/>
    <w:rsid w:val="0048208A"/>
    <w:rsid w:val="0048234C"/>
    <w:rsid w:val="004823CF"/>
    <w:rsid w:val="00482498"/>
    <w:rsid w:val="00482547"/>
    <w:rsid w:val="00482899"/>
    <w:rsid w:val="004828C7"/>
    <w:rsid w:val="0048319F"/>
    <w:rsid w:val="0048326B"/>
    <w:rsid w:val="00483290"/>
    <w:rsid w:val="004837CE"/>
    <w:rsid w:val="004838D4"/>
    <w:rsid w:val="00483983"/>
    <w:rsid w:val="00483A07"/>
    <w:rsid w:val="00484004"/>
    <w:rsid w:val="00484B35"/>
    <w:rsid w:val="00484BAD"/>
    <w:rsid w:val="00484D6C"/>
    <w:rsid w:val="00485041"/>
    <w:rsid w:val="004851EB"/>
    <w:rsid w:val="00485284"/>
    <w:rsid w:val="0048550E"/>
    <w:rsid w:val="00485538"/>
    <w:rsid w:val="0048558D"/>
    <w:rsid w:val="004858C0"/>
    <w:rsid w:val="00485ABE"/>
    <w:rsid w:val="00485BC4"/>
    <w:rsid w:val="00485CAF"/>
    <w:rsid w:val="004861DB"/>
    <w:rsid w:val="004862B3"/>
    <w:rsid w:val="004862DB"/>
    <w:rsid w:val="0048642A"/>
    <w:rsid w:val="004866A6"/>
    <w:rsid w:val="004867C8"/>
    <w:rsid w:val="004867E2"/>
    <w:rsid w:val="0048699F"/>
    <w:rsid w:val="004869D4"/>
    <w:rsid w:val="00486CC9"/>
    <w:rsid w:val="004871DB"/>
    <w:rsid w:val="004871F0"/>
    <w:rsid w:val="0048744C"/>
    <w:rsid w:val="00487718"/>
    <w:rsid w:val="00487B5A"/>
    <w:rsid w:val="00490370"/>
    <w:rsid w:val="0049048D"/>
    <w:rsid w:val="0049050A"/>
    <w:rsid w:val="00490B32"/>
    <w:rsid w:val="00490B84"/>
    <w:rsid w:val="00490D45"/>
    <w:rsid w:val="00490D67"/>
    <w:rsid w:val="004914B0"/>
    <w:rsid w:val="004915F6"/>
    <w:rsid w:val="004916A0"/>
    <w:rsid w:val="004917D4"/>
    <w:rsid w:val="00491A3C"/>
    <w:rsid w:val="00491B3A"/>
    <w:rsid w:val="00491E8B"/>
    <w:rsid w:val="0049212A"/>
    <w:rsid w:val="0049231A"/>
    <w:rsid w:val="0049233C"/>
    <w:rsid w:val="004924C4"/>
    <w:rsid w:val="004929C1"/>
    <w:rsid w:val="00492A36"/>
    <w:rsid w:val="00492CFD"/>
    <w:rsid w:val="00492F29"/>
    <w:rsid w:val="00492FEC"/>
    <w:rsid w:val="0049300B"/>
    <w:rsid w:val="0049330B"/>
    <w:rsid w:val="0049346D"/>
    <w:rsid w:val="004936A7"/>
    <w:rsid w:val="0049382E"/>
    <w:rsid w:val="004938E9"/>
    <w:rsid w:val="0049395E"/>
    <w:rsid w:val="0049399F"/>
    <w:rsid w:val="00493AE0"/>
    <w:rsid w:val="00493BCF"/>
    <w:rsid w:val="00494197"/>
    <w:rsid w:val="0049425E"/>
    <w:rsid w:val="004947AE"/>
    <w:rsid w:val="00494A23"/>
    <w:rsid w:val="00494BA3"/>
    <w:rsid w:val="00494E34"/>
    <w:rsid w:val="00494FB2"/>
    <w:rsid w:val="00494FBD"/>
    <w:rsid w:val="00495087"/>
    <w:rsid w:val="004951C6"/>
    <w:rsid w:val="00495445"/>
    <w:rsid w:val="0049549C"/>
    <w:rsid w:val="00495574"/>
    <w:rsid w:val="00495B66"/>
    <w:rsid w:val="00495E11"/>
    <w:rsid w:val="004961AC"/>
    <w:rsid w:val="004962D2"/>
    <w:rsid w:val="00496459"/>
    <w:rsid w:val="0049685D"/>
    <w:rsid w:val="00496ACC"/>
    <w:rsid w:val="00496C99"/>
    <w:rsid w:val="00496EC9"/>
    <w:rsid w:val="004971B5"/>
    <w:rsid w:val="004971E7"/>
    <w:rsid w:val="0049749C"/>
    <w:rsid w:val="00497507"/>
    <w:rsid w:val="004975AF"/>
    <w:rsid w:val="004977FD"/>
    <w:rsid w:val="00497961"/>
    <w:rsid w:val="00497C7C"/>
    <w:rsid w:val="00497DFF"/>
    <w:rsid w:val="004A04FD"/>
    <w:rsid w:val="004A052A"/>
    <w:rsid w:val="004A07B2"/>
    <w:rsid w:val="004A089D"/>
    <w:rsid w:val="004A0C47"/>
    <w:rsid w:val="004A0DA1"/>
    <w:rsid w:val="004A0DC7"/>
    <w:rsid w:val="004A11A9"/>
    <w:rsid w:val="004A135A"/>
    <w:rsid w:val="004A1383"/>
    <w:rsid w:val="004A18F2"/>
    <w:rsid w:val="004A1F5F"/>
    <w:rsid w:val="004A2104"/>
    <w:rsid w:val="004A2161"/>
    <w:rsid w:val="004A2B46"/>
    <w:rsid w:val="004A339C"/>
    <w:rsid w:val="004A35E0"/>
    <w:rsid w:val="004A369A"/>
    <w:rsid w:val="004A3764"/>
    <w:rsid w:val="004A397A"/>
    <w:rsid w:val="004A3C04"/>
    <w:rsid w:val="004A3D45"/>
    <w:rsid w:val="004A42BD"/>
    <w:rsid w:val="004A432D"/>
    <w:rsid w:val="004A4601"/>
    <w:rsid w:val="004A4D22"/>
    <w:rsid w:val="004A5927"/>
    <w:rsid w:val="004A59DC"/>
    <w:rsid w:val="004A5AF4"/>
    <w:rsid w:val="004A5DC0"/>
    <w:rsid w:val="004A5E63"/>
    <w:rsid w:val="004A5EF3"/>
    <w:rsid w:val="004A6009"/>
    <w:rsid w:val="004A6014"/>
    <w:rsid w:val="004A6020"/>
    <w:rsid w:val="004A656B"/>
    <w:rsid w:val="004A6597"/>
    <w:rsid w:val="004A6648"/>
    <w:rsid w:val="004A675F"/>
    <w:rsid w:val="004A6B02"/>
    <w:rsid w:val="004A6DEE"/>
    <w:rsid w:val="004A734F"/>
    <w:rsid w:val="004A7555"/>
    <w:rsid w:val="004A774C"/>
    <w:rsid w:val="004A783B"/>
    <w:rsid w:val="004A7D24"/>
    <w:rsid w:val="004A7D81"/>
    <w:rsid w:val="004B02DC"/>
    <w:rsid w:val="004B08CB"/>
    <w:rsid w:val="004B0A36"/>
    <w:rsid w:val="004B0A97"/>
    <w:rsid w:val="004B0D5B"/>
    <w:rsid w:val="004B10ED"/>
    <w:rsid w:val="004B10F5"/>
    <w:rsid w:val="004B1463"/>
    <w:rsid w:val="004B15F4"/>
    <w:rsid w:val="004B178F"/>
    <w:rsid w:val="004B1821"/>
    <w:rsid w:val="004B186F"/>
    <w:rsid w:val="004B1931"/>
    <w:rsid w:val="004B1A72"/>
    <w:rsid w:val="004B1CB4"/>
    <w:rsid w:val="004B1CEF"/>
    <w:rsid w:val="004B1FF2"/>
    <w:rsid w:val="004B2331"/>
    <w:rsid w:val="004B24BE"/>
    <w:rsid w:val="004B24D4"/>
    <w:rsid w:val="004B25B4"/>
    <w:rsid w:val="004B25EA"/>
    <w:rsid w:val="004B26A4"/>
    <w:rsid w:val="004B27D7"/>
    <w:rsid w:val="004B2A55"/>
    <w:rsid w:val="004B2A9D"/>
    <w:rsid w:val="004B2F18"/>
    <w:rsid w:val="004B3135"/>
    <w:rsid w:val="004B33B1"/>
    <w:rsid w:val="004B3505"/>
    <w:rsid w:val="004B35FC"/>
    <w:rsid w:val="004B3663"/>
    <w:rsid w:val="004B3990"/>
    <w:rsid w:val="004B399B"/>
    <w:rsid w:val="004B3A80"/>
    <w:rsid w:val="004B3B49"/>
    <w:rsid w:val="004B3CCF"/>
    <w:rsid w:val="004B3D42"/>
    <w:rsid w:val="004B3DDB"/>
    <w:rsid w:val="004B3F4E"/>
    <w:rsid w:val="004B4250"/>
    <w:rsid w:val="004B43AE"/>
    <w:rsid w:val="004B44FD"/>
    <w:rsid w:val="004B4912"/>
    <w:rsid w:val="004B49AE"/>
    <w:rsid w:val="004B4C13"/>
    <w:rsid w:val="004B4DAB"/>
    <w:rsid w:val="004B4DB9"/>
    <w:rsid w:val="004B4E02"/>
    <w:rsid w:val="004B4F43"/>
    <w:rsid w:val="004B55A4"/>
    <w:rsid w:val="004B571B"/>
    <w:rsid w:val="004B59B3"/>
    <w:rsid w:val="004B5B59"/>
    <w:rsid w:val="004B5BBF"/>
    <w:rsid w:val="004B5C5C"/>
    <w:rsid w:val="004B5CFC"/>
    <w:rsid w:val="004B5D0F"/>
    <w:rsid w:val="004B6294"/>
    <w:rsid w:val="004B6410"/>
    <w:rsid w:val="004B64CE"/>
    <w:rsid w:val="004B6BBD"/>
    <w:rsid w:val="004B6D52"/>
    <w:rsid w:val="004B6DC2"/>
    <w:rsid w:val="004B7172"/>
    <w:rsid w:val="004B765E"/>
    <w:rsid w:val="004B775E"/>
    <w:rsid w:val="004C000D"/>
    <w:rsid w:val="004C0144"/>
    <w:rsid w:val="004C07FC"/>
    <w:rsid w:val="004C0958"/>
    <w:rsid w:val="004C095C"/>
    <w:rsid w:val="004C0B2A"/>
    <w:rsid w:val="004C0C5D"/>
    <w:rsid w:val="004C0E95"/>
    <w:rsid w:val="004C10BE"/>
    <w:rsid w:val="004C10D8"/>
    <w:rsid w:val="004C11E7"/>
    <w:rsid w:val="004C12B3"/>
    <w:rsid w:val="004C143A"/>
    <w:rsid w:val="004C1447"/>
    <w:rsid w:val="004C1639"/>
    <w:rsid w:val="004C18BC"/>
    <w:rsid w:val="004C1974"/>
    <w:rsid w:val="004C1A65"/>
    <w:rsid w:val="004C1C3D"/>
    <w:rsid w:val="004C22AD"/>
    <w:rsid w:val="004C2548"/>
    <w:rsid w:val="004C2D32"/>
    <w:rsid w:val="004C2D88"/>
    <w:rsid w:val="004C2F10"/>
    <w:rsid w:val="004C2FDF"/>
    <w:rsid w:val="004C3162"/>
    <w:rsid w:val="004C3A9C"/>
    <w:rsid w:val="004C3AE2"/>
    <w:rsid w:val="004C3D75"/>
    <w:rsid w:val="004C4189"/>
    <w:rsid w:val="004C419D"/>
    <w:rsid w:val="004C49ED"/>
    <w:rsid w:val="004C4A75"/>
    <w:rsid w:val="004C4AED"/>
    <w:rsid w:val="004C4BBC"/>
    <w:rsid w:val="004C4BFB"/>
    <w:rsid w:val="004C4EDA"/>
    <w:rsid w:val="004C504C"/>
    <w:rsid w:val="004C5065"/>
    <w:rsid w:val="004C512F"/>
    <w:rsid w:val="004C5255"/>
    <w:rsid w:val="004C5A42"/>
    <w:rsid w:val="004C5AD7"/>
    <w:rsid w:val="004C5BAF"/>
    <w:rsid w:val="004C5CE8"/>
    <w:rsid w:val="004C5DF2"/>
    <w:rsid w:val="004C603E"/>
    <w:rsid w:val="004C60C4"/>
    <w:rsid w:val="004C637B"/>
    <w:rsid w:val="004C64B1"/>
    <w:rsid w:val="004C6910"/>
    <w:rsid w:val="004C6B63"/>
    <w:rsid w:val="004C6EC3"/>
    <w:rsid w:val="004C71FE"/>
    <w:rsid w:val="004C7326"/>
    <w:rsid w:val="004C75E8"/>
    <w:rsid w:val="004C7A72"/>
    <w:rsid w:val="004C7CC7"/>
    <w:rsid w:val="004C7FC5"/>
    <w:rsid w:val="004D00C2"/>
    <w:rsid w:val="004D02CD"/>
    <w:rsid w:val="004D03EB"/>
    <w:rsid w:val="004D04D2"/>
    <w:rsid w:val="004D056B"/>
    <w:rsid w:val="004D05FC"/>
    <w:rsid w:val="004D0AA2"/>
    <w:rsid w:val="004D0CC3"/>
    <w:rsid w:val="004D105B"/>
    <w:rsid w:val="004D15CE"/>
    <w:rsid w:val="004D1B59"/>
    <w:rsid w:val="004D1C15"/>
    <w:rsid w:val="004D1D73"/>
    <w:rsid w:val="004D1ED0"/>
    <w:rsid w:val="004D1FEF"/>
    <w:rsid w:val="004D2270"/>
    <w:rsid w:val="004D2688"/>
    <w:rsid w:val="004D26D8"/>
    <w:rsid w:val="004D2761"/>
    <w:rsid w:val="004D299C"/>
    <w:rsid w:val="004D2CF9"/>
    <w:rsid w:val="004D2DB3"/>
    <w:rsid w:val="004D2E0F"/>
    <w:rsid w:val="004D32B8"/>
    <w:rsid w:val="004D3899"/>
    <w:rsid w:val="004D3C58"/>
    <w:rsid w:val="004D3D11"/>
    <w:rsid w:val="004D3EF6"/>
    <w:rsid w:val="004D40F9"/>
    <w:rsid w:val="004D41F2"/>
    <w:rsid w:val="004D4205"/>
    <w:rsid w:val="004D42E5"/>
    <w:rsid w:val="004D43F3"/>
    <w:rsid w:val="004D4431"/>
    <w:rsid w:val="004D4D16"/>
    <w:rsid w:val="004D503E"/>
    <w:rsid w:val="004D50C7"/>
    <w:rsid w:val="004D52B8"/>
    <w:rsid w:val="004D532A"/>
    <w:rsid w:val="004D53FA"/>
    <w:rsid w:val="004D5965"/>
    <w:rsid w:val="004D5A68"/>
    <w:rsid w:val="004D5B3C"/>
    <w:rsid w:val="004D5BB7"/>
    <w:rsid w:val="004D5BE1"/>
    <w:rsid w:val="004D6072"/>
    <w:rsid w:val="004D67A5"/>
    <w:rsid w:val="004D6970"/>
    <w:rsid w:val="004D6D98"/>
    <w:rsid w:val="004D6F9E"/>
    <w:rsid w:val="004D7294"/>
    <w:rsid w:val="004D7485"/>
    <w:rsid w:val="004D75D6"/>
    <w:rsid w:val="004D762C"/>
    <w:rsid w:val="004D76F7"/>
    <w:rsid w:val="004D7798"/>
    <w:rsid w:val="004D77FD"/>
    <w:rsid w:val="004D784C"/>
    <w:rsid w:val="004D79AC"/>
    <w:rsid w:val="004D7CCA"/>
    <w:rsid w:val="004D7E3E"/>
    <w:rsid w:val="004D7EB5"/>
    <w:rsid w:val="004E0179"/>
    <w:rsid w:val="004E0197"/>
    <w:rsid w:val="004E0219"/>
    <w:rsid w:val="004E0486"/>
    <w:rsid w:val="004E0497"/>
    <w:rsid w:val="004E04D4"/>
    <w:rsid w:val="004E0AD8"/>
    <w:rsid w:val="004E0AE8"/>
    <w:rsid w:val="004E0BD0"/>
    <w:rsid w:val="004E0D89"/>
    <w:rsid w:val="004E0EB8"/>
    <w:rsid w:val="004E1040"/>
    <w:rsid w:val="004E11C7"/>
    <w:rsid w:val="004E1242"/>
    <w:rsid w:val="004E1333"/>
    <w:rsid w:val="004E1474"/>
    <w:rsid w:val="004E1540"/>
    <w:rsid w:val="004E1711"/>
    <w:rsid w:val="004E1839"/>
    <w:rsid w:val="004E1D7A"/>
    <w:rsid w:val="004E211E"/>
    <w:rsid w:val="004E229F"/>
    <w:rsid w:val="004E2371"/>
    <w:rsid w:val="004E27D8"/>
    <w:rsid w:val="004E280F"/>
    <w:rsid w:val="004E2ADC"/>
    <w:rsid w:val="004E2E77"/>
    <w:rsid w:val="004E2FBA"/>
    <w:rsid w:val="004E30E5"/>
    <w:rsid w:val="004E369A"/>
    <w:rsid w:val="004E3A44"/>
    <w:rsid w:val="004E3AA7"/>
    <w:rsid w:val="004E3D92"/>
    <w:rsid w:val="004E3ED7"/>
    <w:rsid w:val="004E3F62"/>
    <w:rsid w:val="004E4121"/>
    <w:rsid w:val="004E43B2"/>
    <w:rsid w:val="004E448D"/>
    <w:rsid w:val="004E4569"/>
    <w:rsid w:val="004E45E2"/>
    <w:rsid w:val="004E46A2"/>
    <w:rsid w:val="004E46E5"/>
    <w:rsid w:val="004E47B9"/>
    <w:rsid w:val="004E4970"/>
    <w:rsid w:val="004E4A2F"/>
    <w:rsid w:val="004E4B29"/>
    <w:rsid w:val="004E4B2F"/>
    <w:rsid w:val="004E5326"/>
    <w:rsid w:val="004E53E3"/>
    <w:rsid w:val="004E54FF"/>
    <w:rsid w:val="004E55D2"/>
    <w:rsid w:val="004E55E9"/>
    <w:rsid w:val="004E56DC"/>
    <w:rsid w:val="004E58AD"/>
    <w:rsid w:val="004E5A4D"/>
    <w:rsid w:val="004E5C8B"/>
    <w:rsid w:val="004E6122"/>
    <w:rsid w:val="004E63E4"/>
    <w:rsid w:val="004E6633"/>
    <w:rsid w:val="004E682D"/>
    <w:rsid w:val="004E68C3"/>
    <w:rsid w:val="004E6D6B"/>
    <w:rsid w:val="004E7124"/>
    <w:rsid w:val="004E718D"/>
    <w:rsid w:val="004E7596"/>
    <w:rsid w:val="004E7A37"/>
    <w:rsid w:val="004E7B5C"/>
    <w:rsid w:val="004E7C97"/>
    <w:rsid w:val="004F0928"/>
    <w:rsid w:val="004F0B93"/>
    <w:rsid w:val="004F0E82"/>
    <w:rsid w:val="004F13E5"/>
    <w:rsid w:val="004F1591"/>
    <w:rsid w:val="004F17EB"/>
    <w:rsid w:val="004F1902"/>
    <w:rsid w:val="004F1A0D"/>
    <w:rsid w:val="004F1D02"/>
    <w:rsid w:val="004F20CC"/>
    <w:rsid w:val="004F227D"/>
    <w:rsid w:val="004F2679"/>
    <w:rsid w:val="004F2A9B"/>
    <w:rsid w:val="004F2AE8"/>
    <w:rsid w:val="004F2B31"/>
    <w:rsid w:val="004F2E22"/>
    <w:rsid w:val="004F2F4D"/>
    <w:rsid w:val="004F308C"/>
    <w:rsid w:val="004F30E7"/>
    <w:rsid w:val="004F3306"/>
    <w:rsid w:val="004F3846"/>
    <w:rsid w:val="004F3878"/>
    <w:rsid w:val="004F39D7"/>
    <w:rsid w:val="004F4253"/>
    <w:rsid w:val="004F4291"/>
    <w:rsid w:val="004F44FC"/>
    <w:rsid w:val="004F4591"/>
    <w:rsid w:val="004F4687"/>
    <w:rsid w:val="004F481D"/>
    <w:rsid w:val="004F4849"/>
    <w:rsid w:val="004F484F"/>
    <w:rsid w:val="004F48D5"/>
    <w:rsid w:val="004F4983"/>
    <w:rsid w:val="004F4B40"/>
    <w:rsid w:val="004F4F2B"/>
    <w:rsid w:val="004F536C"/>
    <w:rsid w:val="004F53C0"/>
    <w:rsid w:val="004F592A"/>
    <w:rsid w:val="004F5B1A"/>
    <w:rsid w:val="004F5B86"/>
    <w:rsid w:val="004F5C38"/>
    <w:rsid w:val="004F5D41"/>
    <w:rsid w:val="004F5DC3"/>
    <w:rsid w:val="004F602A"/>
    <w:rsid w:val="004F6469"/>
    <w:rsid w:val="004F64A5"/>
    <w:rsid w:val="004F651B"/>
    <w:rsid w:val="004F69C7"/>
    <w:rsid w:val="004F6D65"/>
    <w:rsid w:val="004F6D72"/>
    <w:rsid w:val="004F6F82"/>
    <w:rsid w:val="004F6F95"/>
    <w:rsid w:val="004F7137"/>
    <w:rsid w:val="004F741D"/>
    <w:rsid w:val="004F7481"/>
    <w:rsid w:val="004F75A6"/>
    <w:rsid w:val="004F7865"/>
    <w:rsid w:val="004F7BAE"/>
    <w:rsid w:val="004F7BD5"/>
    <w:rsid w:val="004F7CE2"/>
    <w:rsid w:val="004F7D18"/>
    <w:rsid w:val="00500065"/>
    <w:rsid w:val="005000C2"/>
    <w:rsid w:val="0050021F"/>
    <w:rsid w:val="0050081A"/>
    <w:rsid w:val="00500832"/>
    <w:rsid w:val="005008EE"/>
    <w:rsid w:val="00500D76"/>
    <w:rsid w:val="005012C8"/>
    <w:rsid w:val="00501582"/>
    <w:rsid w:val="005015C4"/>
    <w:rsid w:val="005015F7"/>
    <w:rsid w:val="00501777"/>
    <w:rsid w:val="00501FA8"/>
    <w:rsid w:val="005021E6"/>
    <w:rsid w:val="00502AB7"/>
    <w:rsid w:val="00502B91"/>
    <w:rsid w:val="00502BB3"/>
    <w:rsid w:val="00502BF7"/>
    <w:rsid w:val="00502C86"/>
    <w:rsid w:val="00502CCD"/>
    <w:rsid w:val="00502CFE"/>
    <w:rsid w:val="00502E60"/>
    <w:rsid w:val="00502E6A"/>
    <w:rsid w:val="00503352"/>
    <w:rsid w:val="00503771"/>
    <w:rsid w:val="00503921"/>
    <w:rsid w:val="0050402B"/>
    <w:rsid w:val="00504165"/>
    <w:rsid w:val="005047AE"/>
    <w:rsid w:val="00504993"/>
    <w:rsid w:val="005049BC"/>
    <w:rsid w:val="00504B45"/>
    <w:rsid w:val="00504FB2"/>
    <w:rsid w:val="0050524E"/>
    <w:rsid w:val="005056CD"/>
    <w:rsid w:val="00505D88"/>
    <w:rsid w:val="00505F43"/>
    <w:rsid w:val="00506214"/>
    <w:rsid w:val="00506262"/>
    <w:rsid w:val="0050645A"/>
    <w:rsid w:val="00506928"/>
    <w:rsid w:val="00506BA5"/>
    <w:rsid w:val="00506DE0"/>
    <w:rsid w:val="00506E4D"/>
    <w:rsid w:val="00506EF1"/>
    <w:rsid w:val="005071AA"/>
    <w:rsid w:val="00507284"/>
    <w:rsid w:val="005078AD"/>
    <w:rsid w:val="00507AC0"/>
    <w:rsid w:val="00507AEC"/>
    <w:rsid w:val="00507E6E"/>
    <w:rsid w:val="00507E83"/>
    <w:rsid w:val="0051061B"/>
    <w:rsid w:val="0051065C"/>
    <w:rsid w:val="00510A55"/>
    <w:rsid w:val="00510CBD"/>
    <w:rsid w:val="00510D04"/>
    <w:rsid w:val="00510DE5"/>
    <w:rsid w:val="00510ECF"/>
    <w:rsid w:val="00510F4E"/>
    <w:rsid w:val="005110E5"/>
    <w:rsid w:val="00511805"/>
    <w:rsid w:val="00512030"/>
    <w:rsid w:val="00512112"/>
    <w:rsid w:val="00512115"/>
    <w:rsid w:val="00512245"/>
    <w:rsid w:val="00512448"/>
    <w:rsid w:val="00512830"/>
    <w:rsid w:val="00512BA3"/>
    <w:rsid w:val="00512D31"/>
    <w:rsid w:val="00512F9F"/>
    <w:rsid w:val="0051319B"/>
    <w:rsid w:val="005132DA"/>
    <w:rsid w:val="005137D9"/>
    <w:rsid w:val="005139A2"/>
    <w:rsid w:val="00513A7B"/>
    <w:rsid w:val="00513E13"/>
    <w:rsid w:val="00513EA8"/>
    <w:rsid w:val="00513F79"/>
    <w:rsid w:val="00514259"/>
    <w:rsid w:val="005145AF"/>
    <w:rsid w:val="005147A3"/>
    <w:rsid w:val="005147B9"/>
    <w:rsid w:val="00514A57"/>
    <w:rsid w:val="00514B9F"/>
    <w:rsid w:val="00514E3E"/>
    <w:rsid w:val="00514E70"/>
    <w:rsid w:val="00514EB0"/>
    <w:rsid w:val="00514FA5"/>
    <w:rsid w:val="00515252"/>
    <w:rsid w:val="005152B5"/>
    <w:rsid w:val="00515449"/>
    <w:rsid w:val="00515478"/>
    <w:rsid w:val="005154BE"/>
    <w:rsid w:val="00515591"/>
    <w:rsid w:val="005157FF"/>
    <w:rsid w:val="00515862"/>
    <w:rsid w:val="00515878"/>
    <w:rsid w:val="00515CB8"/>
    <w:rsid w:val="00515E82"/>
    <w:rsid w:val="00515F46"/>
    <w:rsid w:val="00516542"/>
    <w:rsid w:val="00516C16"/>
    <w:rsid w:val="00516F9D"/>
    <w:rsid w:val="005171CF"/>
    <w:rsid w:val="0051725A"/>
    <w:rsid w:val="0051745A"/>
    <w:rsid w:val="005175A5"/>
    <w:rsid w:val="00517748"/>
    <w:rsid w:val="00517799"/>
    <w:rsid w:val="00517A5C"/>
    <w:rsid w:val="00517D88"/>
    <w:rsid w:val="00517E59"/>
    <w:rsid w:val="00517EC4"/>
    <w:rsid w:val="00520809"/>
    <w:rsid w:val="00520C47"/>
    <w:rsid w:val="00520FDE"/>
    <w:rsid w:val="00521319"/>
    <w:rsid w:val="00521B43"/>
    <w:rsid w:val="005220D6"/>
    <w:rsid w:val="0052216F"/>
    <w:rsid w:val="00522239"/>
    <w:rsid w:val="00522466"/>
    <w:rsid w:val="0052252D"/>
    <w:rsid w:val="0052255D"/>
    <w:rsid w:val="005225C6"/>
    <w:rsid w:val="005225D3"/>
    <w:rsid w:val="005226E1"/>
    <w:rsid w:val="00522B4E"/>
    <w:rsid w:val="00522EAD"/>
    <w:rsid w:val="00522F60"/>
    <w:rsid w:val="00522F63"/>
    <w:rsid w:val="00523030"/>
    <w:rsid w:val="00523399"/>
    <w:rsid w:val="005233E8"/>
    <w:rsid w:val="0052346C"/>
    <w:rsid w:val="005238D0"/>
    <w:rsid w:val="00523C28"/>
    <w:rsid w:val="00523E05"/>
    <w:rsid w:val="00524358"/>
    <w:rsid w:val="00524D03"/>
    <w:rsid w:val="00524DC8"/>
    <w:rsid w:val="00524F5F"/>
    <w:rsid w:val="0052516E"/>
    <w:rsid w:val="0052523D"/>
    <w:rsid w:val="00525B19"/>
    <w:rsid w:val="00525D37"/>
    <w:rsid w:val="00525D38"/>
    <w:rsid w:val="00525F99"/>
    <w:rsid w:val="00525FE4"/>
    <w:rsid w:val="005263CA"/>
    <w:rsid w:val="00526490"/>
    <w:rsid w:val="0052677A"/>
    <w:rsid w:val="005269C8"/>
    <w:rsid w:val="00526CC1"/>
    <w:rsid w:val="00526DC4"/>
    <w:rsid w:val="00526F5B"/>
    <w:rsid w:val="0052721A"/>
    <w:rsid w:val="005272A3"/>
    <w:rsid w:val="00527333"/>
    <w:rsid w:val="005276A2"/>
    <w:rsid w:val="005277DF"/>
    <w:rsid w:val="00527A3F"/>
    <w:rsid w:val="00527A9D"/>
    <w:rsid w:val="00527F3C"/>
    <w:rsid w:val="005302D6"/>
    <w:rsid w:val="005304A8"/>
    <w:rsid w:val="00530CC5"/>
    <w:rsid w:val="00530F9B"/>
    <w:rsid w:val="00530F9E"/>
    <w:rsid w:val="00530FB2"/>
    <w:rsid w:val="00531147"/>
    <w:rsid w:val="00531311"/>
    <w:rsid w:val="0053163D"/>
    <w:rsid w:val="0053172F"/>
    <w:rsid w:val="00531749"/>
    <w:rsid w:val="00531B8C"/>
    <w:rsid w:val="00531BD8"/>
    <w:rsid w:val="00531FAF"/>
    <w:rsid w:val="00532328"/>
    <w:rsid w:val="0053232B"/>
    <w:rsid w:val="00532383"/>
    <w:rsid w:val="00532E43"/>
    <w:rsid w:val="00532FFB"/>
    <w:rsid w:val="00533079"/>
    <w:rsid w:val="00533562"/>
    <w:rsid w:val="005335B7"/>
    <w:rsid w:val="0053367E"/>
    <w:rsid w:val="0053368C"/>
    <w:rsid w:val="00533712"/>
    <w:rsid w:val="00533D02"/>
    <w:rsid w:val="00533DF8"/>
    <w:rsid w:val="00533F43"/>
    <w:rsid w:val="00533F4D"/>
    <w:rsid w:val="005340AB"/>
    <w:rsid w:val="00534154"/>
    <w:rsid w:val="00534671"/>
    <w:rsid w:val="005346B3"/>
    <w:rsid w:val="0053473F"/>
    <w:rsid w:val="00534C8E"/>
    <w:rsid w:val="00534D57"/>
    <w:rsid w:val="00534DEB"/>
    <w:rsid w:val="00534E5A"/>
    <w:rsid w:val="0053515D"/>
    <w:rsid w:val="00535520"/>
    <w:rsid w:val="0053596E"/>
    <w:rsid w:val="00535DE0"/>
    <w:rsid w:val="00535E5A"/>
    <w:rsid w:val="00536163"/>
    <w:rsid w:val="00536613"/>
    <w:rsid w:val="005367E9"/>
    <w:rsid w:val="005369FA"/>
    <w:rsid w:val="00536AEC"/>
    <w:rsid w:val="00536DFF"/>
    <w:rsid w:val="00536E00"/>
    <w:rsid w:val="005371BC"/>
    <w:rsid w:val="00537A75"/>
    <w:rsid w:val="00537E48"/>
    <w:rsid w:val="00540056"/>
    <w:rsid w:val="0054016E"/>
    <w:rsid w:val="005402AA"/>
    <w:rsid w:val="00540638"/>
    <w:rsid w:val="005406E6"/>
    <w:rsid w:val="00540740"/>
    <w:rsid w:val="00540C54"/>
    <w:rsid w:val="00540EF3"/>
    <w:rsid w:val="00541019"/>
    <w:rsid w:val="005410E5"/>
    <w:rsid w:val="00541303"/>
    <w:rsid w:val="0054147A"/>
    <w:rsid w:val="00541B2E"/>
    <w:rsid w:val="00541DBB"/>
    <w:rsid w:val="00542050"/>
    <w:rsid w:val="005421C4"/>
    <w:rsid w:val="005428B2"/>
    <w:rsid w:val="00542B16"/>
    <w:rsid w:val="00542BD9"/>
    <w:rsid w:val="00542C5B"/>
    <w:rsid w:val="00542D82"/>
    <w:rsid w:val="00542E06"/>
    <w:rsid w:val="00543079"/>
    <w:rsid w:val="0054384D"/>
    <w:rsid w:val="00543878"/>
    <w:rsid w:val="005439CE"/>
    <w:rsid w:val="00543BD3"/>
    <w:rsid w:val="00543CC1"/>
    <w:rsid w:val="00544270"/>
    <w:rsid w:val="00544369"/>
    <w:rsid w:val="0054442D"/>
    <w:rsid w:val="005445A6"/>
    <w:rsid w:val="00544612"/>
    <w:rsid w:val="00544CF1"/>
    <w:rsid w:val="00544D23"/>
    <w:rsid w:val="00544F44"/>
    <w:rsid w:val="005451A5"/>
    <w:rsid w:val="0054539E"/>
    <w:rsid w:val="005453A8"/>
    <w:rsid w:val="00545735"/>
    <w:rsid w:val="0054587F"/>
    <w:rsid w:val="00545BCB"/>
    <w:rsid w:val="00545C53"/>
    <w:rsid w:val="00546281"/>
    <w:rsid w:val="00546791"/>
    <w:rsid w:val="00546807"/>
    <w:rsid w:val="005469FE"/>
    <w:rsid w:val="00546D49"/>
    <w:rsid w:val="00546EC1"/>
    <w:rsid w:val="005470E5"/>
    <w:rsid w:val="0054711A"/>
    <w:rsid w:val="00547507"/>
    <w:rsid w:val="0054752B"/>
    <w:rsid w:val="005479B4"/>
    <w:rsid w:val="00547B85"/>
    <w:rsid w:val="00547D5B"/>
    <w:rsid w:val="00547DA9"/>
    <w:rsid w:val="0055013A"/>
    <w:rsid w:val="005502E5"/>
    <w:rsid w:val="00550631"/>
    <w:rsid w:val="0055063F"/>
    <w:rsid w:val="00550DB2"/>
    <w:rsid w:val="00550E30"/>
    <w:rsid w:val="00550E5A"/>
    <w:rsid w:val="0055117D"/>
    <w:rsid w:val="005511BE"/>
    <w:rsid w:val="00551372"/>
    <w:rsid w:val="00551439"/>
    <w:rsid w:val="005515DD"/>
    <w:rsid w:val="005516B8"/>
    <w:rsid w:val="00551803"/>
    <w:rsid w:val="005519BC"/>
    <w:rsid w:val="00551BCE"/>
    <w:rsid w:val="00551C75"/>
    <w:rsid w:val="00551DC1"/>
    <w:rsid w:val="005522F6"/>
    <w:rsid w:val="00552A6E"/>
    <w:rsid w:val="00552BD3"/>
    <w:rsid w:val="00552C31"/>
    <w:rsid w:val="00552C69"/>
    <w:rsid w:val="00552D98"/>
    <w:rsid w:val="00553090"/>
    <w:rsid w:val="005530EC"/>
    <w:rsid w:val="00553580"/>
    <w:rsid w:val="005535C4"/>
    <w:rsid w:val="0055392C"/>
    <w:rsid w:val="005539C7"/>
    <w:rsid w:val="00553A9F"/>
    <w:rsid w:val="00553CC0"/>
    <w:rsid w:val="0055411D"/>
    <w:rsid w:val="0055425C"/>
    <w:rsid w:val="00554265"/>
    <w:rsid w:val="005544CF"/>
    <w:rsid w:val="0055495B"/>
    <w:rsid w:val="00554976"/>
    <w:rsid w:val="00554DC9"/>
    <w:rsid w:val="00554EB7"/>
    <w:rsid w:val="00554EFF"/>
    <w:rsid w:val="00555109"/>
    <w:rsid w:val="0055513C"/>
    <w:rsid w:val="00555CC2"/>
    <w:rsid w:val="00555ED8"/>
    <w:rsid w:val="005560ED"/>
    <w:rsid w:val="005562B6"/>
    <w:rsid w:val="0055658F"/>
    <w:rsid w:val="00556611"/>
    <w:rsid w:val="005569B5"/>
    <w:rsid w:val="00556A49"/>
    <w:rsid w:val="00556B5E"/>
    <w:rsid w:val="00556C8C"/>
    <w:rsid w:val="00556FFD"/>
    <w:rsid w:val="00557050"/>
    <w:rsid w:val="0055722C"/>
    <w:rsid w:val="00557538"/>
    <w:rsid w:val="005575E5"/>
    <w:rsid w:val="005576F4"/>
    <w:rsid w:val="005577AC"/>
    <w:rsid w:val="00557B45"/>
    <w:rsid w:val="0056008B"/>
    <w:rsid w:val="00560281"/>
    <w:rsid w:val="00560454"/>
    <w:rsid w:val="00560B09"/>
    <w:rsid w:val="00560C21"/>
    <w:rsid w:val="00560CE3"/>
    <w:rsid w:val="00560CFC"/>
    <w:rsid w:val="00561375"/>
    <w:rsid w:val="0056149F"/>
    <w:rsid w:val="005615A3"/>
    <w:rsid w:val="00561839"/>
    <w:rsid w:val="0056189C"/>
    <w:rsid w:val="00561A80"/>
    <w:rsid w:val="00561BE2"/>
    <w:rsid w:val="00561EDF"/>
    <w:rsid w:val="005622DF"/>
    <w:rsid w:val="005626BE"/>
    <w:rsid w:val="005626DE"/>
    <w:rsid w:val="0056277A"/>
    <w:rsid w:val="0056277B"/>
    <w:rsid w:val="005627BC"/>
    <w:rsid w:val="00562A3B"/>
    <w:rsid w:val="00562CDD"/>
    <w:rsid w:val="0056345C"/>
    <w:rsid w:val="00563568"/>
    <w:rsid w:val="00563750"/>
    <w:rsid w:val="00563A7D"/>
    <w:rsid w:val="00563A86"/>
    <w:rsid w:val="00563D65"/>
    <w:rsid w:val="00563E51"/>
    <w:rsid w:val="00564274"/>
    <w:rsid w:val="005643B5"/>
    <w:rsid w:val="00564566"/>
    <w:rsid w:val="005645B7"/>
    <w:rsid w:val="00564BC8"/>
    <w:rsid w:val="00564D64"/>
    <w:rsid w:val="00564D69"/>
    <w:rsid w:val="00564DF8"/>
    <w:rsid w:val="00564E04"/>
    <w:rsid w:val="00564EF5"/>
    <w:rsid w:val="00564FAC"/>
    <w:rsid w:val="00565727"/>
    <w:rsid w:val="0056574B"/>
    <w:rsid w:val="005657FB"/>
    <w:rsid w:val="0056584B"/>
    <w:rsid w:val="0056590F"/>
    <w:rsid w:val="00565B1E"/>
    <w:rsid w:val="00565BDA"/>
    <w:rsid w:val="00565FD9"/>
    <w:rsid w:val="005660CE"/>
    <w:rsid w:val="005661E9"/>
    <w:rsid w:val="00566253"/>
    <w:rsid w:val="00566569"/>
    <w:rsid w:val="005666AA"/>
    <w:rsid w:val="0056696F"/>
    <w:rsid w:val="00566AE9"/>
    <w:rsid w:val="00566B5A"/>
    <w:rsid w:val="00566C71"/>
    <w:rsid w:val="00566D91"/>
    <w:rsid w:val="00566E10"/>
    <w:rsid w:val="00566EAB"/>
    <w:rsid w:val="0056788E"/>
    <w:rsid w:val="0056799A"/>
    <w:rsid w:val="00567A4D"/>
    <w:rsid w:val="00567CC9"/>
    <w:rsid w:val="00567D15"/>
    <w:rsid w:val="00570074"/>
    <w:rsid w:val="005708CA"/>
    <w:rsid w:val="00570D3F"/>
    <w:rsid w:val="00571112"/>
    <w:rsid w:val="00571FEC"/>
    <w:rsid w:val="005725F2"/>
    <w:rsid w:val="00572D9A"/>
    <w:rsid w:val="00572DB2"/>
    <w:rsid w:val="00572E36"/>
    <w:rsid w:val="0057358D"/>
    <w:rsid w:val="005737D6"/>
    <w:rsid w:val="00573828"/>
    <w:rsid w:val="00573858"/>
    <w:rsid w:val="00573B12"/>
    <w:rsid w:val="00573D21"/>
    <w:rsid w:val="00573F25"/>
    <w:rsid w:val="00573FC6"/>
    <w:rsid w:val="00574132"/>
    <w:rsid w:val="0057438C"/>
    <w:rsid w:val="00574498"/>
    <w:rsid w:val="00574554"/>
    <w:rsid w:val="00574740"/>
    <w:rsid w:val="00574776"/>
    <w:rsid w:val="005748D1"/>
    <w:rsid w:val="00574BAA"/>
    <w:rsid w:val="005751C8"/>
    <w:rsid w:val="005752BC"/>
    <w:rsid w:val="005755E8"/>
    <w:rsid w:val="00575623"/>
    <w:rsid w:val="00575B6D"/>
    <w:rsid w:val="00575D8D"/>
    <w:rsid w:val="00575F9F"/>
    <w:rsid w:val="005760FF"/>
    <w:rsid w:val="00576156"/>
    <w:rsid w:val="0057694A"/>
    <w:rsid w:val="00576972"/>
    <w:rsid w:val="00576C59"/>
    <w:rsid w:val="00576D1F"/>
    <w:rsid w:val="0057729D"/>
    <w:rsid w:val="005772FD"/>
    <w:rsid w:val="00577823"/>
    <w:rsid w:val="00577A2B"/>
    <w:rsid w:val="00577BDB"/>
    <w:rsid w:val="00577C87"/>
    <w:rsid w:val="00577DFF"/>
    <w:rsid w:val="00580190"/>
    <w:rsid w:val="00580283"/>
    <w:rsid w:val="00580609"/>
    <w:rsid w:val="00580651"/>
    <w:rsid w:val="0058099D"/>
    <w:rsid w:val="00580AA6"/>
    <w:rsid w:val="00580E79"/>
    <w:rsid w:val="00581234"/>
    <w:rsid w:val="00581390"/>
    <w:rsid w:val="00581557"/>
    <w:rsid w:val="00581559"/>
    <w:rsid w:val="00581622"/>
    <w:rsid w:val="00581A2F"/>
    <w:rsid w:val="00581A48"/>
    <w:rsid w:val="00581FC0"/>
    <w:rsid w:val="0058201C"/>
    <w:rsid w:val="0058210F"/>
    <w:rsid w:val="00582511"/>
    <w:rsid w:val="00582719"/>
    <w:rsid w:val="00582722"/>
    <w:rsid w:val="00582A5D"/>
    <w:rsid w:val="00583109"/>
    <w:rsid w:val="0058319F"/>
    <w:rsid w:val="005831A0"/>
    <w:rsid w:val="00583699"/>
    <w:rsid w:val="005837EA"/>
    <w:rsid w:val="00583CD5"/>
    <w:rsid w:val="00583DEA"/>
    <w:rsid w:val="00583EA8"/>
    <w:rsid w:val="00584267"/>
    <w:rsid w:val="00584545"/>
    <w:rsid w:val="005847B4"/>
    <w:rsid w:val="00584819"/>
    <w:rsid w:val="005848B3"/>
    <w:rsid w:val="005849A7"/>
    <w:rsid w:val="00584C08"/>
    <w:rsid w:val="00584C46"/>
    <w:rsid w:val="00584E15"/>
    <w:rsid w:val="00584E54"/>
    <w:rsid w:val="00584F3D"/>
    <w:rsid w:val="005850EB"/>
    <w:rsid w:val="00586664"/>
    <w:rsid w:val="00586809"/>
    <w:rsid w:val="00586C30"/>
    <w:rsid w:val="00586F3C"/>
    <w:rsid w:val="0058727A"/>
    <w:rsid w:val="00587385"/>
    <w:rsid w:val="0058765C"/>
    <w:rsid w:val="00587736"/>
    <w:rsid w:val="0058787E"/>
    <w:rsid w:val="00587BAC"/>
    <w:rsid w:val="00590559"/>
    <w:rsid w:val="00590577"/>
    <w:rsid w:val="005905C9"/>
    <w:rsid w:val="00590E24"/>
    <w:rsid w:val="0059109A"/>
    <w:rsid w:val="005910DD"/>
    <w:rsid w:val="0059112B"/>
    <w:rsid w:val="00591218"/>
    <w:rsid w:val="0059190C"/>
    <w:rsid w:val="00591BE8"/>
    <w:rsid w:val="00591D11"/>
    <w:rsid w:val="00591D55"/>
    <w:rsid w:val="00591DE8"/>
    <w:rsid w:val="00592419"/>
    <w:rsid w:val="005924BF"/>
    <w:rsid w:val="005924E7"/>
    <w:rsid w:val="00592610"/>
    <w:rsid w:val="0059263D"/>
    <w:rsid w:val="00592BFC"/>
    <w:rsid w:val="00592D6E"/>
    <w:rsid w:val="0059356D"/>
    <w:rsid w:val="00593675"/>
    <w:rsid w:val="00593D0F"/>
    <w:rsid w:val="00593D7B"/>
    <w:rsid w:val="00593F4B"/>
    <w:rsid w:val="00594068"/>
    <w:rsid w:val="00594241"/>
    <w:rsid w:val="005942A3"/>
    <w:rsid w:val="005943C4"/>
    <w:rsid w:val="00594834"/>
    <w:rsid w:val="0059496A"/>
    <w:rsid w:val="005949BE"/>
    <w:rsid w:val="00594D06"/>
    <w:rsid w:val="00594D0A"/>
    <w:rsid w:val="00594D6F"/>
    <w:rsid w:val="00594E89"/>
    <w:rsid w:val="00594EF8"/>
    <w:rsid w:val="005950EE"/>
    <w:rsid w:val="0059511F"/>
    <w:rsid w:val="00595679"/>
    <w:rsid w:val="00595BC8"/>
    <w:rsid w:val="005962D9"/>
    <w:rsid w:val="00596435"/>
    <w:rsid w:val="005967ED"/>
    <w:rsid w:val="00596805"/>
    <w:rsid w:val="005969C6"/>
    <w:rsid w:val="00596E92"/>
    <w:rsid w:val="00596F4C"/>
    <w:rsid w:val="00596FA6"/>
    <w:rsid w:val="005970F0"/>
    <w:rsid w:val="0059719B"/>
    <w:rsid w:val="005974C3"/>
    <w:rsid w:val="00597B13"/>
    <w:rsid w:val="00597EB7"/>
    <w:rsid w:val="005A0199"/>
    <w:rsid w:val="005A019D"/>
    <w:rsid w:val="005A0407"/>
    <w:rsid w:val="005A04D0"/>
    <w:rsid w:val="005A052D"/>
    <w:rsid w:val="005A0D1C"/>
    <w:rsid w:val="005A11DA"/>
    <w:rsid w:val="005A1345"/>
    <w:rsid w:val="005A159D"/>
    <w:rsid w:val="005A17AB"/>
    <w:rsid w:val="005A1A59"/>
    <w:rsid w:val="005A1C0D"/>
    <w:rsid w:val="005A1C74"/>
    <w:rsid w:val="005A1E14"/>
    <w:rsid w:val="005A1E7C"/>
    <w:rsid w:val="005A2C33"/>
    <w:rsid w:val="005A2DB1"/>
    <w:rsid w:val="005A2DC7"/>
    <w:rsid w:val="005A2F38"/>
    <w:rsid w:val="005A3363"/>
    <w:rsid w:val="005A33A8"/>
    <w:rsid w:val="005A33C7"/>
    <w:rsid w:val="005A3575"/>
    <w:rsid w:val="005A36F9"/>
    <w:rsid w:val="005A3751"/>
    <w:rsid w:val="005A379F"/>
    <w:rsid w:val="005A3A39"/>
    <w:rsid w:val="005A3AE6"/>
    <w:rsid w:val="005A3E70"/>
    <w:rsid w:val="005A414D"/>
    <w:rsid w:val="005A4362"/>
    <w:rsid w:val="005A440F"/>
    <w:rsid w:val="005A4945"/>
    <w:rsid w:val="005A4A08"/>
    <w:rsid w:val="005A4DA3"/>
    <w:rsid w:val="005A4E29"/>
    <w:rsid w:val="005A5791"/>
    <w:rsid w:val="005A5BB3"/>
    <w:rsid w:val="005A5D2F"/>
    <w:rsid w:val="005A6075"/>
    <w:rsid w:val="005A63CA"/>
    <w:rsid w:val="005A6680"/>
    <w:rsid w:val="005A6A6D"/>
    <w:rsid w:val="005A6B73"/>
    <w:rsid w:val="005A70D4"/>
    <w:rsid w:val="005A7125"/>
    <w:rsid w:val="005A72DD"/>
    <w:rsid w:val="005A737F"/>
    <w:rsid w:val="005A751B"/>
    <w:rsid w:val="005A775B"/>
    <w:rsid w:val="005A7A6B"/>
    <w:rsid w:val="005A7C81"/>
    <w:rsid w:val="005A7EDE"/>
    <w:rsid w:val="005A7F26"/>
    <w:rsid w:val="005A7FA0"/>
    <w:rsid w:val="005B0201"/>
    <w:rsid w:val="005B07CA"/>
    <w:rsid w:val="005B089A"/>
    <w:rsid w:val="005B0903"/>
    <w:rsid w:val="005B0A40"/>
    <w:rsid w:val="005B0CBE"/>
    <w:rsid w:val="005B0D47"/>
    <w:rsid w:val="005B0F90"/>
    <w:rsid w:val="005B11F6"/>
    <w:rsid w:val="005B124E"/>
    <w:rsid w:val="005B1D30"/>
    <w:rsid w:val="005B1DFA"/>
    <w:rsid w:val="005B234C"/>
    <w:rsid w:val="005B23EE"/>
    <w:rsid w:val="005B242E"/>
    <w:rsid w:val="005B24EF"/>
    <w:rsid w:val="005B259F"/>
    <w:rsid w:val="005B269D"/>
    <w:rsid w:val="005B2864"/>
    <w:rsid w:val="005B32D0"/>
    <w:rsid w:val="005B3404"/>
    <w:rsid w:val="005B37E5"/>
    <w:rsid w:val="005B3B7B"/>
    <w:rsid w:val="005B4001"/>
    <w:rsid w:val="005B40FD"/>
    <w:rsid w:val="005B41A3"/>
    <w:rsid w:val="005B4390"/>
    <w:rsid w:val="005B455D"/>
    <w:rsid w:val="005B4650"/>
    <w:rsid w:val="005B466A"/>
    <w:rsid w:val="005B494F"/>
    <w:rsid w:val="005B4D66"/>
    <w:rsid w:val="005B4D88"/>
    <w:rsid w:val="005B4E07"/>
    <w:rsid w:val="005B5244"/>
    <w:rsid w:val="005B5294"/>
    <w:rsid w:val="005B56F4"/>
    <w:rsid w:val="005B5857"/>
    <w:rsid w:val="005B590C"/>
    <w:rsid w:val="005B5AB2"/>
    <w:rsid w:val="005B5D45"/>
    <w:rsid w:val="005B6424"/>
    <w:rsid w:val="005B68A3"/>
    <w:rsid w:val="005B6C9D"/>
    <w:rsid w:val="005B6F4B"/>
    <w:rsid w:val="005B6F58"/>
    <w:rsid w:val="005B6F7D"/>
    <w:rsid w:val="005B705C"/>
    <w:rsid w:val="005B72D0"/>
    <w:rsid w:val="005B739B"/>
    <w:rsid w:val="005B73DB"/>
    <w:rsid w:val="005B7451"/>
    <w:rsid w:val="005B761F"/>
    <w:rsid w:val="005B779E"/>
    <w:rsid w:val="005B79D2"/>
    <w:rsid w:val="005B7A38"/>
    <w:rsid w:val="005C002A"/>
    <w:rsid w:val="005C08FC"/>
    <w:rsid w:val="005C0A60"/>
    <w:rsid w:val="005C0F25"/>
    <w:rsid w:val="005C0F8A"/>
    <w:rsid w:val="005C10C1"/>
    <w:rsid w:val="005C120E"/>
    <w:rsid w:val="005C19C3"/>
    <w:rsid w:val="005C1B04"/>
    <w:rsid w:val="005C1B83"/>
    <w:rsid w:val="005C2032"/>
    <w:rsid w:val="005C20D1"/>
    <w:rsid w:val="005C2307"/>
    <w:rsid w:val="005C230B"/>
    <w:rsid w:val="005C2411"/>
    <w:rsid w:val="005C260F"/>
    <w:rsid w:val="005C27E3"/>
    <w:rsid w:val="005C2A0A"/>
    <w:rsid w:val="005C2ACC"/>
    <w:rsid w:val="005C2E2D"/>
    <w:rsid w:val="005C2FBB"/>
    <w:rsid w:val="005C3029"/>
    <w:rsid w:val="005C3136"/>
    <w:rsid w:val="005C3210"/>
    <w:rsid w:val="005C346B"/>
    <w:rsid w:val="005C3518"/>
    <w:rsid w:val="005C369D"/>
    <w:rsid w:val="005C3A0C"/>
    <w:rsid w:val="005C3CB6"/>
    <w:rsid w:val="005C4105"/>
    <w:rsid w:val="005C421D"/>
    <w:rsid w:val="005C4295"/>
    <w:rsid w:val="005C45E1"/>
    <w:rsid w:val="005C45FA"/>
    <w:rsid w:val="005C46DB"/>
    <w:rsid w:val="005C4900"/>
    <w:rsid w:val="005C4D68"/>
    <w:rsid w:val="005C4DB2"/>
    <w:rsid w:val="005C4DE7"/>
    <w:rsid w:val="005C5002"/>
    <w:rsid w:val="005C5393"/>
    <w:rsid w:val="005C54F6"/>
    <w:rsid w:val="005C5549"/>
    <w:rsid w:val="005C555F"/>
    <w:rsid w:val="005C5659"/>
    <w:rsid w:val="005C5D6F"/>
    <w:rsid w:val="005C5E41"/>
    <w:rsid w:val="005C6225"/>
    <w:rsid w:val="005C640B"/>
    <w:rsid w:val="005C6518"/>
    <w:rsid w:val="005C66DD"/>
    <w:rsid w:val="005C68D9"/>
    <w:rsid w:val="005C69D1"/>
    <w:rsid w:val="005C6A2B"/>
    <w:rsid w:val="005C6A3C"/>
    <w:rsid w:val="005C6ADA"/>
    <w:rsid w:val="005C7115"/>
    <w:rsid w:val="005C736F"/>
    <w:rsid w:val="005C746B"/>
    <w:rsid w:val="005C747A"/>
    <w:rsid w:val="005C74D8"/>
    <w:rsid w:val="005C7853"/>
    <w:rsid w:val="005C7D05"/>
    <w:rsid w:val="005C7FD8"/>
    <w:rsid w:val="005D00B0"/>
    <w:rsid w:val="005D01EC"/>
    <w:rsid w:val="005D044D"/>
    <w:rsid w:val="005D060B"/>
    <w:rsid w:val="005D0806"/>
    <w:rsid w:val="005D0DBF"/>
    <w:rsid w:val="005D104C"/>
    <w:rsid w:val="005D106E"/>
    <w:rsid w:val="005D145F"/>
    <w:rsid w:val="005D1693"/>
    <w:rsid w:val="005D1882"/>
    <w:rsid w:val="005D18AD"/>
    <w:rsid w:val="005D1968"/>
    <w:rsid w:val="005D19A0"/>
    <w:rsid w:val="005D1ACA"/>
    <w:rsid w:val="005D1BCC"/>
    <w:rsid w:val="005D1F26"/>
    <w:rsid w:val="005D1FCC"/>
    <w:rsid w:val="005D225B"/>
    <w:rsid w:val="005D22A4"/>
    <w:rsid w:val="005D2835"/>
    <w:rsid w:val="005D2E18"/>
    <w:rsid w:val="005D2E2B"/>
    <w:rsid w:val="005D3301"/>
    <w:rsid w:val="005D3362"/>
    <w:rsid w:val="005D3732"/>
    <w:rsid w:val="005D38DA"/>
    <w:rsid w:val="005D3B7A"/>
    <w:rsid w:val="005D3D71"/>
    <w:rsid w:val="005D3FC4"/>
    <w:rsid w:val="005D4054"/>
    <w:rsid w:val="005D45C9"/>
    <w:rsid w:val="005D4779"/>
    <w:rsid w:val="005D47D1"/>
    <w:rsid w:val="005D4B3B"/>
    <w:rsid w:val="005D4C57"/>
    <w:rsid w:val="005D4FFE"/>
    <w:rsid w:val="005D5302"/>
    <w:rsid w:val="005D56FD"/>
    <w:rsid w:val="005D5926"/>
    <w:rsid w:val="005D5991"/>
    <w:rsid w:val="005D6075"/>
    <w:rsid w:val="005D61DA"/>
    <w:rsid w:val="005D649E"/>
    <w:rsid w:val="005D65C8"/>
    <w:rsid w:val="005D65D3"/>
    <w:rsid w:val="005D6CAC"/>
    <w:rsid w:val="005D6F1E"/>
    <w:rsid w:val="005D7072"/>
    <w:rsid w:val="005D71EB"/>
    <w:rsid w:val="005D7CB7"/>
    <w:rsid w:val="005E002A"/>
    <w:rsid w:val="005E04E0"/>
    <w:rsid w:val="005E06FC"/>
    <w:rsid w:val="005E0777"/>
    <w:rsid w:val="005E09AB"/>
    <w:rsid w:val="005E09E7"/>
    <w:rsid w:val="005E0CA4"/>
    <w:rsid w:val="005E0F95"/>
    <w:rsid w:val="005E11A5"/>
    <w:rsid w:val="005E1349"/>
    <w:rsid w:val="005E1634"/>
    <w:rsid w:val="005E1C5D"/>
    <w:rsid w:val="005E21B3"/>
    <w:rsid w:val="005E2775"/>
    <w:rsid w:val="005E2BB3"/>
    <w:rsid w:val="005E2BDB"/>
    <w:rsid w:val="005E2C17"/>
    <w:rsid w:val="005E2F13"/>
    <w:rsid w:val="005E2F91"/>
    <w:rsid w:val="005E326C"/>
    <w:rsid w:val="005E3281"/>
    <w:rsid w:val="005E359B"/>
    <w:rsid w:val="005E379A"/>
    <w:rsid w:val="005E39EB"/>
    <w:rsid w:val="005E3FC8"/>
    <w:rsid w:val="005E414D"/>
    <w:rsid w:val="005E4271"/>
    <w:rsid w:val="005E42DC"/>
    <w:rsid w:val="005E436D"/>
    <w:rsid w:val="005E4469"/>
    <w:rsid w:val="005E48F5"/>
    <w:rsid w:val="005E4D4B"/>
    <w:rsid w:val="005E5212"/>
    <w:rsid w:val="005E54D7"/>
    <w:rsid w:val="005E558D"/>
    <w:rsid w:val="005E598E"/>
    <w:rsid w:val="005E5AB4"/>
    <w:rsid w:val="005E5C00"/>
    <w:rsid w:val="005E602B"/>
    <w:rsid w:val="005E6104"/>
    <w:rsid w:val="005E61FF"/>
    <w:rsid w:val="005E637A"/>
    <w:rsid w:val="005E6A70"/>
    <w:rsid w:val="005E70E3"/>
    <w:rsid w:val="005E73C0"/>
    <w:rsid w:val="005E7831"/>
    <w:rsid w:val="005E7910"/>
    <w:rsid w:val="005E7B3D"/>
    <w:rsid w:val="005E7C60"/>
    <w:rsid w:val="005E7F27"/>
    <w:rsid w:val="005F0076"/>
    <w:rsid w:val="005F04EE"/>
    <w:rsid w:val="005F05E0"/>
    <w:rsid w:val="005F0DE2"/>
    <w:rsid w:val="005F0F67"/>
    <w:rsid w:val="005F115C"/>
    <w:rsid w:val="005F13D0"/>
    <w:rsid w:val="005F1648"/>
    <w:rsid w:val="005F1820"/>
    <w:rsid w:val="005F1A1C"/>
    <w:rsid w:val="005F1B17"/>
    <w:rsid w:val="005F2039"/>
    <w:rsid w:val="005F206A"/>
    <w:rsid w:val="005F2077"/>
    <w:rsid w:val="005F2346"/>
    <w:rsid w:val="005F2361"/>
    <w:rsid w:val="005F2378"/>
    <w:rsid w:val="005F2706"/>
    <w:rsid w:val="005F273F"/>
    <w:rsid w:val="005F2C8B"/>
    <w:rsid w:val="005F3174"/>
    <w:rsid w:val="005F3551"/>
    <w:rsid w:val="005F3687"/>
    <w:rsid w:val="005F393D"/>
    <w:rsid w:val="005F3E52"/>
    <w:rsid w:val="005F4145"/>
    <w:rsid w:val="005F452D"/>
    <w:rsid w:val="005F4638"/>
    <w:rsid w:val="005F4A58"/>
    <w:rsid w:val="005F4B6F"/>
    <w:rsid w:val="005F4CB4"/>
    <w:rsid w:val="005F4D4C"/>
    <w:rsid w:val="005F4ED0"/>
    <w:rsid w:val="005F57DC"/>
    <w:rsid w:val="005F589A"/>
    <w:rsid w:val="005F58E2"/>
    <w:rsid w:val="005F5B4C"/>
    <w:rsid w:val="005F5DB7"/>
    <w:rsid w:val="005F5DBA"/>
    <w:rsid w:val="005F5F96"/>
    <w:rsid w:val="005F60A7"/>
    <w:rsid w:val="005F624E"/>
    <w:rsid w:val="005F6623"/>
    <w:rsid w:val="005F67A0"/>
    <w:rsid w:val="005F6A83"/>
    <w:rsid w:val="005F6A8F"/>
    <w:rsid w:val="005F6BAE"/>
    <w:rsid w:val="005F6CEE"/>
    <w:rsid w:val="005F6F0A"/>
    <w:rsid w:val="005F7084"/>
    <w:rsid w:val="005F71D3"/>
    <w:rsid w:val="005F7963"/>
    <w:rsid w:val="005F79E8"/>
    <w:rsid w:val="005F7A2D"/>
    <w:rsid w:val="005F7A82"/>
    <w:rsid w:val="005F7FF8"/>
    <w:rsid w:val="00600002"/>
    <w:rsid w:val="0060003E"/>
    <w:rsid w:val="00600234"/>
    <w:rsid w:val="006003DB"/>
    <w:rsid w:val="006005D3"/>
    <w:rsid w:val="00600910"/>
    <w:rsid w:val="00600967"/>
    <w:rsid w:val="00600CA1"/>
    <w:rsid w:val="00600E92"/>
    <w:rsid w:val="0060104E"/>
    <w:rsid w:val="006015BD"/>
    <w:rsid w:val="0060179B"/>
    <w:rsid w:val="006017BB"/>
    <w:rsid w:val="00601AE9"/>
    <w:rsid w:val="00601B43"/>
    <w:rsid w:val="00601E2D"/>
    <w:rsid w:val="00601EDF"/>
    <w:rsid w:val="00601F48"/>
    <w:rsid w:val="00601FB2"/>
    <w:rsid w:val="00601FB3"/>
    <w:rsid w:val="006021A2"/>
    <w:rsid w:val="00602258"/>
    <w:rsid w:val="00602B64"/>
    <w:rsid w:val="0060318B"/>
    <w:rsid w:val="00603392"/>
    <w:rsid w:val="00603403"/>
    <w:rsid w:val="0060351E"/>
    <w:rsid w:val="006036D5"/>
    <w:rsid w:val="00603BEF"/>
    <w:rsid w:val="00603C86"/>
    <w:rsid w:val="00603FA6"/>
    <w:rsid w:val="00604195"/>
    <w:rsid w:val="00604242"/>
    <w:rsid w:val="006044B6"/>
    <w:rsid w:val="00604673"/>
    <w:rsid w:val="00604937"/>
    <w:rsid w:val="00604B4C"/>
    <w:rsid w:val="00604CF0"/>
    <w:rsid w:val="00604D5A"/>
    <w:rsid w:val="006052F5"/>
    <w:rsid w:val="00605426"/>
    <w:rsid w:val="00605474"/>
    <w:rsid w:val="006058DD"/>
    <w:rsid w:val="00605B3B"/>
    <w:rsid w:val="00605E9A"/>
    <w:rsid w:val="0060607C"/>
    <w:rsid w:val="006060E0"/>
    <w:rsid w:val="006062BF"/>
    <w:rsid w:val="006066B7"/>
    <w:rsid w:val="006067D8"/>
    <w:rsid w:val="00606840"/>
    <w:rsid w:val="006069C8"/>
    <w:rsid w:val="00606F47"/>
    <w:rsid w:val="00607669"/>
    <w:rsid w:val="0060783D"/>
    <w:rsid w:val="00607913"/>
    <w:rsid w:val="00607A88"/>
    <w:rsid w:val="00607ADE"/>
    <w:rsid w:val="00607B41"/>
    <w:rsid w:val="00607DEA"/>
    <w:rsid w:val="00610084"/>
    <w:rsid w:val="006101B0"/>
    <w:rsid w:val="006102E1"/>
    <w:rsid w:val="0061048A"/>
    <w:rsid w:val="006107B4"/>
    <w:rsid w:val="00610A95"/>
    <w:rsid w:val="00610AFB"/>
    <w:rsid w:val="00610CCF"/>
    <w:rsid w:val="00611033"/>
    <w:rsid w:val="006113B1"/>
    <w:rsid w:val="006113B5"/>
    <w:rsid w:val="006114FE"/>
    <w:rsid w:val="006115B1"/>
    <w:rsid w:val="00611D95"/>
    <w:rsid w:val="00611E54"/>
    <w:rsid w:val="0061201C"/>
    <w:rsid w:val="006120B3"/>
    <w:rsid w:val="0061247F"/>
    <w:rsid w:val="006124A0"/>
    <w:rsid w:val="00612572"/>
    <w:rsid w:val="00612BEC"/>
    <w:rsid w:val="00612F97"/>
    <w:rsid w:val="0061305F"/>
    <w:rsid w:val="006130AC"/>
    <w:rsid w:val="006130B0"/>
    <w:rsid w:val="00613195"/>
    <w:rsid w:val="006136DD"/>
    <w:rsid w:val="00613756"/>
    <w:rsid w:val="00613872"/>
    <w:rsid w:val="00613DCF"/>
    <w:rsid w:val="006140D0"/>
    <w:rsid w:val="006145F9"/>
    <w:rsid w:val="00614765"/>
    <w:rsid w:val="00615178"/>
    <w:rsid w:val="00615AB9"/>
    <w:rsid w:val="00615D38"/>
    <w:rsid w:val="00615DE0"/>
    <w:rsid w:val="00616470"/>
    <w:rsid w:val="00616802"/>
    <w:rsid w:val="00616E2A"/>
    <w:rsid w:val="00616ED6"/>
    <w:rsid w:val="00617E12"/>
    <w:rsid w:val="00617E67"/>
    <w:rsid w:val="00617F88"/>
    <w:rsid w:val="006200F6"/>
    <w:rsid w:val="0062042B"/>
    <w:rsid w:val="0062056C"/>
    <w:rsid w:val="006206CE"/>
    <w:rsid w:val="0062089E"/>
    <w:rsid w:val="00620961"/>
    <w:rsid w:val="00620FC9"/>
    <w:rsid w:val="00621070"/>
    <w:rsid w:val="00621161"/>
    <w:rsid w:val="00621477"/>
    <w:rsid w:val="006215B6"/>
    <w:rsid w:val="006216AB"/>
    <w:rsid w:val="00621933"/>
    <w:rsid w:val="00621FFB"/>
    <w:rsid w:val="00622016"/>
    <w:rsid w:val="00622206"/>
    <w:rsid w:val="006222EA"/>
    <w:rsid w:val="0062232A"/>
    <w:rsid w:val="0062258F"/>
    <w:rsid w:val="006225E7"/>
    <w:rsid w:val="00622C12"/>
    <w:rsid w:val="00623016"/>
    <w:rsid w:val="006230E8"/>
    <w:rsid w:val="0062367F"/>
    <w:rsid w:val="006237BE"/>
    <w:rsid w:val="006237E8"/>
    <w:rsid w:val="00623815"/>
    <w:rsid w:val="00623A06"/>
    <w:rsid w:val="00623A9E"/>
    <w:rsid w:val="00623BCA"/>
    <w:rsid w:val="00623C1E"/>
    <w:rsid w:val="006243F2"/>
    <w:rsid w:val="006245E8"/>
    <w:rsid w:val="006246F0"/>
    <w:rsid w:val="00624C5D"/>
    <w:rsid w:val="00624D17"/>
    <w:rsid w:val="00624F9E"/>
    <w:rsid w:val="0062505C"/>
    <w:rsid w:val="0062556B"/>
    <w:rsid w:val="006256BB"/>
    <w:rsid w:val="006257A9"/>
    <w:rsid w:val="0062582C"/>
    <w:rsid w:val="006258E6"/>
    <w:rsid w:val="00625925"/>
    <w:rsid w:val="00625AB5"/>
    <w:rsid w:val="00625CB9"/>
    <w:rsid w:val="0062642D"/>
    <w:rsid w:val="00626954"/>
    <w:rsid w:val="00626978"/>
    <w:rsid w:val="00626B34"/>
    <w:rsid w:val="00626B48"/>
    <w:rsid w:val="00626E07"/>
    <w:rsid w:val="006270F4"/>
    <w:rsid w:val="0062713F"/>
    <w:rsid w:val="006271E2"/>
    <w:rsid w:val="006272A6"/>
    <w:rsid w:val="006272EC"/>
    <w:rsid w:val="006273D6"/>
    <w:rsid w:val="006276CA"/>
    <w:rsid w:val="00627982"/>
    <w:rsid w:val="00627CC5"/>
    <w:rsid w:val="00627EB6"/>
    <w:rsid w:val="0063008E"/>
    <w:rsid w:val="006304F8"/>
    <w:rsid w:val="00630A1E"/>
    <w:rsid w:val="00630C69"/>
    <w:rsid w:val="00631395"/>
    <w:rsid w:val="00631443"/>
    <w:rsid w:val="0063160C"/>
    <w:rsid w:val="00631740"/>
    <w:rsid w:val="00631749"/>
    <w:rsid w:val="00631CA7"/>
    <w:rsid w:val="00631D6B"/>
    <w:rsid w:val="00631DEC"/>
    <w:rsid w:val="006320D2"/>
    <w:rsid w:val="00632625"/>
    <w:rsid w:val="006327B1"/>
    <w:rsid w:val="006327F6"/>
    <w:rsid w:val="00632862"/>
    <w:rsid w:val="00632AEF"/>
    <w:rsid w:val="00632C51"/>
    <w:rsid w:val="00632D49"/>
    <w:rsid w:val="00632E1C"/>
    <w:rsid w:val="0063317F"/>
    <w:rsid w:val="006335B2"/>
    <w:rsid w:val="00633956"/>
    <w:rsid w:val="00633CD4"/>
    <w:rsid w:val="0063406B"/>
    <w:rsid w:val="006346CF"/>
    <w:rsid w:val="00634732"/>
    <w:rsid w:val="0063479F"/>
    <w:rsid w:val="00634A10"/>
    <w:rsid w:val="00634A8A"/>
    <w:rsid w:val="00634B55"/>
    <w:rsid w:val="00634E91"/>
    <w:rsid w:val="0063514A"/>
    <w:rsid w:val="0063514B"/>
    <w:rsid w:val="00635200"/>
    <w:rsid w:val="0063522E"/>
    <w:rsid w:val="00635277"/>
    <w:rsid w:val="00635765"/>
    <w:rsid w:val="00635D15"/>
    <w:rsid w:val="00635D71"/>
    <w:rsid w:val="00635F16"/>
    <w:rsid w:val="00636061"/>
    <w:rsid w:val="006360B7"/>
    <w:rsid w:val="00636105"/>
    <w:rsid w:val="006363D5"/>
    <w:rsid w:val="0063644F"/>
    <w:rsid w:val="006364A1"/>
    <w:rsid w:val="00636959"/>
    <w:rsid w:val="006369BF"/>
    <w:rsid w:val="006369F7"/>
    <w:rsid w:val="00636B44"/>
    <w:rsid w:val="00637155"/>
    <w:rsid w:val="006372F2"/>
    <w:rsid w:val="0063749B"/>
    <w:rsid w:val="006376B3"/>
    <w:rsid w:val="0063798F"/>
    <w:rsid w:val="00637BFD"/>
    <w:rsid w:val="00637DBF"/>
    <w:rsid w:val="00637E60"/>
    <w:rsid w:val="0064010A"/>
    <w:rsid w:val="006401D8"/>
    <w:rsid w:val="00640253"/>
    <w:rsid w:val="00640292"/>
    <w:rsid w:val="00640294"/>
    <w:rsid w:val="006404CB"/>
    <w:rsid w:val="00640595"/>
    <w:rsid w:val="00640803"/>
    <w:rsid w:val="00640F9B"/>
    <w:rsid w:val="0064152D"/>
    <w:rsid w:val="00641632"/>
    <w:rsid w:val="00641BD8"/>
    <w:rsid w:val="00641BDE"/>
    <w:rsid w:val="00642227"/>
    <w:rsid w:val="00642232"/>
    <w:rsid w:val="006424A4"/>
    <w:rsid w:val="006426E8"/>
    <w:rsid w:val="00642CB0"/>
    <w:rsid w:val="00642D0F"/>
    <w:rsid w:val="00642E61"/>
    <w:rsid w:val="00643474"/>
    <w:rsid w:val="0064379C"/>
    <w:rsid w:val="006437FD"/>
    <w:rsid w:val="00643DD3"/>
    <w:rsid w:val="00643F92"/>
    <w:rsid w:val="00643FA9"/>
    <w:rsid w:val="006443A2"/>
    <w:rsid w:val="006443B7"/>
    <w:rsid w:val="00644508"/>
    <w:rsid w:val="00644569"/>
    <w:rsid w:val="0064466D"/>
    <w:rsid w:val="00644712"/>
    <w:rsid w:val="00644905"/>
    <w:rsid w:val="00644DAB"/>
    <w:rsid w:val="00644DCE"/>
    <w:rsid w:val="00644E99"/>
    <w:rsid w:val="00645082"/>
    <w:rsid w:val="006458A6"/>
    <w:rsid w:val="006458BA"/>
    <w:rsid w:val="00645917"/>
    <w:rsid w:val="0064595F"/>
    <w:rsid w:val="00645977"/>
    <w:rsid w:val="00645E16"/>
    <w:rsid w:val="0064616F"/>
    <w:rsid w:val="0064617C"/>
    <w:rsid w:val="00646646"/>
    <w:rsid w:val="00646AE0"/>
    <w:rsid w:val="00646B05"/>
    <w:rsid w:val="00646CC2"/>
    <w:rsid w:val="00646CC8"/>
    <w:rsid w:val="00646CD0"/>
    <w:rsid w:val="00646E58"/>
    <w:rsid w:val="00646EBF"/>
    <w:rsid w:val="006471CC"/>
    <w:rsid w:val="006471E8"/>
    <w:rsid w:val="0064734B"/>
    <w:rsid w:val="006473FF"/>
    <w:rsid w:val="0064750C"/>
    <w:rsid w:val="00647B01"/>
    <w:rsid w:val="00647F1C"/>
    <w:rsid w:val="00647FDF"/>
    <w:rsid w:val="006504A1"/>
    <w:rsid w:val="006506AB"/>
    <w:rsid w:val="0065079F"/>
    <w:rsid w:val="00650888"/>
    <w:rsid w:val="00650B9E"/>
    <w:rsid w:val="00650ED9"/>
    <w:rsid w:val="00651211"/>
    <w:rsid w:val="0065156D"/>
    <w:rsid w:val="00651961"/>
    <w:rsid w:val="00651BB2"/>
    <w:rsid w:val="00651C1B"/>
    <w:rsid w:val="00651E5E"/>
    <w:rsid w:val="00651F11"/>
    <w:rsid w:val="00651FF1"/>
    <w:rsid w:val="006520FC"/>
    <w:rsid w:val="00652384"/>
    <w:rsid w:val="006524C2"/>
    <w:rsid w:val="0065269D"/>
    <w:rsid w:val="006534DC"/>
    <w:rsid w:val="0065354B"/>
    <w:rsid w:val="006536E0"/>
    <w:rsid w:val="006536FD"/>
    <w:rsid w:val="006537AE"/>
    <w:rsid w:val="00653882"/>
    <w:rsid w:val="00653A02"/>
    <w:rsid w:val="00653BD9"/>
    <w:rsid w:val="00653D9A"/>
    <w:rsid w:val="00653DB0"/>
    <w:rsid w:val="00653E18"/>
    <w:rsid w:val="00653EBF"/>
    <w:rsid w:val="00654043"/>
    <w:rsid w:val="0065460A"/>
    <w:rsid w:val="00654858"/>
    <w:rsid w:val="00654C26"/>
    <w:rsid w:val="00654CBA"/>
    <w:rsid w:val="00654D7C"/>
    <w:rsid w:val="00654DAA"/>
    <w:rsid w:val="00654F16"/>
    <w:rsid w:val="006555BB"/>
    <w:rsid w:val="006555D8"/>
    <w:rsid w:val="00655EF9"/>
    <w:rsid w:val="00656766"/>
    <w:rsid w:val="006567F5"/>
    <w:rsid w:val="00656929"/>
    <w:rsid w:val="00656ECA"/>
    <w:rsid w:val="006571DE"/>
    <w:rsid w:val="00657707"/>
    <w:rsid w:val="00657708"/>
    <w:rsid w:val="006578D9"/>
    <w:rsid w:val="00657A86"/>
    <w:rsid w:val="00657B5A"/>
    <w:rsid w:val="00657B98"/>
    <w:rsid w:val="00657E52"/>
    <w:rsid w:val="006602C4"/>
    <w:rsid w:val="0066035F"/>
    <w:rsid w:val="006608DA"/>
    <w:rsid w:val="006608E3"/>
    <w:rsid w:val="00660B30"/>
    <w:rsid w:val="00660E1E"/>
    <w:rsid w:val="00661303"/>
    <w:rsid w:val="00661396"/>
    <w:rsid w:val="006616F7"/>
    <w:rsid w:val="006618EA"/>
    <w:rsid w:val="00661979"/>
    <w:rsid w:val="00661E98"/>
    <w:rsid w:val="006621D5"/>
    <w:rsid w:val="00662396"/>
    <w:rsid w:val="006623BE"/>
    <w:rsid w:val="00662505"/>
    <w:rsid w:val="00662696"/>
    <w:rsid w:val="006628A2"/>
    <w:rsid w:val="00662A4D"/>
    <w:rsid w:val="00662A5C"/>
    <w:rsid w:val="00662C19"/>
    <w:rsid w:val="00662D88"/>
    <w:rsid w:val="00663155"/>
    <w:rsid w:val="0066340D"/>
    <w:rsid w:val="00663441"/>
    <w:rsid w:val="00663686"/>
    <w:rsid w:val="00663789"/>
    <w:rsid w:val="00663A80"/>
    <w:rsid w:val="00663C1D"/>
    <w:rsid w:val="00663DC9"/>
    <w:rsid w:val="00663E40"/>
    <w:rsid w:val="0066419F"/>
    <w:rsid w:val="00664AB6"/>
    <w:rsid w:val="006657F6"/>
    <w:rsid w:val="00665976"/>
    <w:rsid w:val="00665B4B"/>
    <w:rsid w:val="00665CD7"/>
    <w:rsid w:val="00665F69"/>
    <w:rsid w:val="00666014"/>
    <w:rsid w:val="00666033"/>
    <w:rsid w:val="006660CD"/>
    <w:rsid w:val="00666417"/>
    <w:rsid w:val="0066668F"/>
    <w:rsid w:val="006666F7"/>
    <w:rsid w:val="00666785"/>
    <w:rsid w:val="00666856"/>
    <w:rsid w:val="0066688A"/>
    <w:rsid w:val="006668E5"/>
    <w:rsid w:val="00666FD9"/>
    <w:rsid w:val="006671A1"/>
    <w:rsid w:val="00667219"/>
    <w:rsid w:val="0066724A"/>
    <w:rsid w:val="00667737"/>
    <w:rsid w:val="00667975"/>
    <w:rsid w:val="006679FC"/>
    <w:rsid w:val="00667B83"/>
    <w:rsid w:val="00670403"/>
    <w:rsid w:val="0067077A"/>
    <w:rsid w:val="00670787"/>
    <w:rsid w:val="006707F4"/>
    <w:rsid w:val="00670C8D"/>
    <w:rsid w:val="0067116F"/>
    <w:rsid w:val="00671263"/>
    <w:rsid w:val="00671962"/>
    <w:rsid w:val="00671C44"/>
    <w:rsid w:val="006721AD"/>
    <w:rsid w:val="00672323"/>
    <w:rsid w:val="00672364"/>
    <w:rsid w:val="00672794"/>
    <w:rsid w:val="0067308D"/>
    <w:rsid w:val="00673389"/>
    <w:rsid w:val="00674053"/>
    <w:rsid w:val="0067406F"/>
    <w:rsid w:val="006741AC"/>
    <w:rsid w:val="00674857"/>
    <w:rsid w:val="006748BC"/>
    <w:rsid w:val="00674A3D"/>
    <w:rsid w:val="00674E42"/>
    <w:rsid w:val="006750A8"/>
    <w:rsid w:val="006750D6"/>
    <w:rsid w:val="00675337"/>
    <w:rsid w:val="00675D9D"/>
    <w:rsid w:val="00675FFD"/>
    <w:rsid w:val="00676100"/>
    <w:rsid w:val="0067629D"/>
    <w:rsid w:val="00676464"/>
    <w:rsid w:val="0067662D"/>
    <w:rsid w:val="006766B1"/>
    <w:rsid w:val="0067675D"/>
    <w:rsid w:val="0067683B"/>
    <w:rsid w:val="00676948"/>
    <w:rsid w:val="00676A65"/>
    <w:rsid w:val="00677138"/>
    <w:rsid w:val="00677186"/>
    <w:rsid w:val="006771E8"/>
    <w:rsid w:val="00677206"/>
    <w:rsid w:val="006773F6"/>
    <w:rsid w:val="006779CF"/>
    <w:rsid w:val="00677F94"/>
    <w:rsid w:val="00677FA4"/>
    <w:rsid w:val="00680031"/>
    <w:rsid w:val="006801DF"/>
    <w:rsid w:val="006806B3"/>
    <w:rsid w:val="0068097D"/>
    <w:rsid w:val="00680B01"/>
    <w:rsid w:val="00680B79"/>
    <w:rsid w:val="00680E71"/>
    <w:rsid w:val="00681045"/>
    <w:rsid w:val="0068128F"/>
    <w:rsid w:val="0068156F"/>
    <w:rsid w:val="00681675"/>
    <w:rsid w:val="00681705"/>
    <w:rsid w:val="006817E4"/>
    <w:rsid w:val="00681E52"/>
    <w:rsid w:val="00682112"/>
    <w:rsid w:val="006823A0"/>
    <w:rsid w:val="006829D1"/>
    <w:rsid w:val="00682B36"/>
    <w:rsid w:val="00682B60"/>
    <w:rsid w:val="00682C98"/>
    <w:rsid w:val="00682CD9"/>
    <w:rsid w:val="00682E28"/>
    <w:rsid w:val="00682F8F"/>
    <w:rsid w:val="00682FA0"/>
    <w:rsid w:val="0068333C"/>
    <w:rsid w:val="006837E7"/>
    <w:rsid w:val="00683915"/>
    <w:rsid w:val="00683998"/>
    <w:rsid w:val="00683BB3"/>
    <w:rsid w:val="00683DC8"/>
    <w:rsid w:val="00684069"/>
    <w:rsid w:val="006840DA"/>
    <w:rsid w:val="0068429C"/>
    <w:rsid w:val="006851A0"/>
    <w:rsid w:val="00685330"/>
    <w:rsid w:val="00685D5C"/>
    <w:rsid w:val="00685D6B"/>
    <w:rsid w:val="00685ED2"/>
    <w:rsid w:val="00685F17"/>
    <w:rsid w:val="006861D8"/>
    <w:rsid w:val="00686264"/>
    <w:rsid w:val="00686298"/>
    <w:rsid w:val="00686388"/>
    <w:rsid w:val="006863C0"/>
    <w:rsid w:val="00686713"/>
    <w:rsid w:val="00686B1D"/>
    <w:rsid w:val="00686C6E"/>
    <w:rsid w:val="00686CC3"/>
    <w:rsid w:val="00686E1A"/>
    <w:rsid w:val="00686E6B"/>
    <w:rsid w:val="00686EF6"/>
    <w:rsid w:val="006872BA"/>
    <w:rsid w:val="006872C0"/>
    <w:rsid w:val="006872E0"/>
    <w:rsid w:val="006873D4"/>
    <w:rsid w:val="006879FC"/>
    <w:rsid w:val="00687FC2"/>
    <w:rsid w:val="00690251"/>
    <w:rsid w:val="00690288"/>
    <w:rsid w:val="006908E4"/>
    <w:rsid w:val="00690B8B"/>
    <w:rsid w:val="00691410"/>
    <w:rsid w:val="006914BF"/>
    <w:rsid w:val="0069173E"/>
    <w:rsid w:val="006917D7"/>
    <w:rsid w:val="00691C83"/>
    <w:rsid w:val="00692374"/>
    <w:rsid w:val="006925A5"/>
    <w:rsid w:val="006926D5"/>
    <w:rsid w:val="0069272C"/>
    <w:rsid w:val="0069284D"/>
    <w:rsid w:val="00692A5A"/>
    <w:rsid w:val="00692FB5"/>
    <w:rsid w:val="006930A3"/>
    <w:rsid w:val="0069333A"/>
    <w:rsid w:val="00693A6E"/>
    <w:rsid w:val="00693E6A"/>
    <w:rsid w:val="00693E6B"/>
    <w:rsid w:val="00693ECC"/>
    <w:rsid w:val="00693EDE"/>
    <w:rsid w:val="00693FB2"/>
    <w:rsid w:val="006940DC"/>
    <w:rsid w:val="006942AE"/>
    <w:rsid w:val="006944CA"/>
    <w:rsid w:val="00694551"/>
    <w:rsid w:val="006945FE"/>
    <w:rsid w:val="006946B4"/>
    <w:rsid w:val="00694ACD"/>
    <w:rsid w:val="00694C96"/>
    <w:rsid w:val="00694DF9"/>
    <w:rsid w:val="00694F44"/>
    <w:rsid w:val="006950D7"/>
    <w:rsid w:val="00695161"/>
    <w:rsid w:val="006956F7"/>
    <w:rsid w:val="00695858"/>
    <w:rsid w:val="00695FC6"/>
    <w:rsid w:val="00696002"/>
    <w:rsid w:val="0069630D"/>
    <w:rsid w:val="00696479"/>
    <w:rsid w:val="006964C1"/>
    <w:rsid w:val="006966CA"/>
    <w:rsid w:val="006968E2"/>
    <w:rsid w:val="00696A42"/>
    <w:rsid w:val="00696BE8"/>
    <w:rsid w:val="00696C12"/>
    <w:rsid w:val="00696C47"/>
    <w:rsid w:val="00696E73"/>
    <w:rsid w:val="00696F4F"/>
    <w:rsid w:val="00697346"/>
    <w:rsid w:val="006974B3"/>
    <w:rsid w:val="00697A5B"/>
    <w:rsid w:val="00697DFE"/>
    <w:rsid w:val="00697FF1"/>
    <w:rsid w:val="006A0900"/>
    <w:rsid w:val="006A0A92"/>
    <w:rsid w:val="006A0BA7"/>
    <w:rsid w:val="006A0E6A"/>
    <w:rsid w:val="006A1306"/>
    <w:rsid w:val="006A15A7"/>
    <w:rsid w:val="006A169B"/>
    <w:rsid w:val="006A18B2"/>
    <w:rsid w:val="006A18D9"/>
    <w:rsid w:val="006A1DC9"/>
    <w:rsid w:val="006A21DA"/>
    <w:rsid w:val="006A22F7"/>
    <w:rsid w:val="006A24ED"/>
    <w:rsid w:val="006A269E"/>
    <w:rsid w:val="006A2823"/>
    <w:rsid w:val="006A28CC"/>
    <w:rsid w:val="006A2BB7"/>
    <w:rsid w:val="006A2D07"/>
    <w:rsid w:val="006A2E2C"/>
    <w:rsid w:val="006A2E72"/>
    <w:rsid w:val="006A2EF1"/>
    <w:rsid w:val="006A383F"/>
    <w:rsid w:val="006A3EFE"/>
    <w:rsid w:val="006A3F26"/>
    <w:rsid w:val="006A435D"/>
    <w:rsid w:val="006A4369"/>
    <w:rsid w:val="006A481A"/>
    <w:rsid w:val="006A4BFC"/>
    <w:rsid w:val="006A4D03"/>
    <w:rsid w:val="006A50B2"/>
    <w:rsid w:val="006A512E"/>
    <w:rsid w:val="006A5175"/>
    <w:rsid w:val="006A5507"/>
    <w:rsid w:val="006A555A"/>
    <w:rsid w:val="006A5723"/>
    <w:rsid w:val="006A577B"/>
    <w:rsid w:val="006A5A29"/>
    <w:rsid w:val="006A5B81"/>
    <w:rsid w:val="006A5D77"/>
    <w:rsid w:val="006A5E0B"/>
    <w:rsid w:val="006A600D"/>
    <w:rsid w:val="006A63FD"/>
    <w:rsid w:val="006A64CB"/>
    <w:rsid w:val="006A679C"/>
    <w:rsid w:val="006A6AB1"/>
    <w:rsid w:val="006A6B1C"/>
    <w:rsid w:val="006A6C9B"/>
    <w:rsid w:val="006A6EDA"/>
    <w:rsid w:val="006A6FF0"/>
    <w:rsid w:val="006A7067"/>
    <w:rsid w:val="006A722C"/>
    <w:rsid w:val="006A724B"/>
    <w:rsid w:val="006A7415"/>
    <w:rsid w:val="006A75D6"/>
    <w:rsid w:val="006A7735"/>
    <w:rsid w:val="006A7E4C"/>
    <w:rsid w:val="006A7E8A"/>
    <w:rsid w:val="006B06A2"/>
    <w:rsid w:val="006B0758"/>
    <w:rsid w:val="006B085F"/>
    <w:rsid w:val="006B08AD"/>
    <w:rsid w:val="006B0C80"/>
    <w:rsid w:val="006B1134"/>
    <w:rsid w:val="006B158B"/>
    <w:rsid w:val="006B165A"/>
    <w:rsid w:val="006B1F4D"/>
    <w:rsid w:val="006B1FCA"/>
    <w:rsid w:val="006B208E"/>
    <w:rsid w:val="006B22C1"/>
    <w:rsid w:val="006B29FA"/>
    <w:rsid w:val="006B2A10"/>
    <w:rsid w:val="006B2AC6"/>
    <w:rsid w:val="006B2BA7"/>
    <w:rsid w:val="006B2D65"/>
    <w:rsid w:val="006B318C"/>
    <w:rsid w:val="006B3ADD"/>
    <w:rsid w:val="006B4030"/>
    <w:rsid w:val="006B422F"/>
    <w:rsid w:val="006B428E"/>
    <w:rsid w:val="006B4441"/>
    <w:rsid w:val="006B44E9"/>
    <w:rsid w:val="006B4542"/>
    <w:rsid w:val="006B455A"/>
    <w:rsid w:val="006B4689"/>
    <w:rsid w:val="006B4810"/>
    <w:rsid w:val="006B49F3"/>
    <w:rsid w:val="006B49F5"/>
    <w:rsid w:val="006B4AEB"/>
    <w:rsid w:val="006B4D10"/>
    <w:rsid w:val="006B5291"/>
    <w:rsid w:val="006B5424"/>
    <w:rsid w:val="006B55B9"/>
    <w:rsid w:val="006B55BC"/>
    <w:rsid w:val="006B5660"/>
    <w:rsid w:val="006B5700"/>
    <w:rsid w:val="006B5738"/>
    <w:rsid w:val="006B5739"/>
    <w:rsid w:val="006B5792"/>
    <w:rsid w:val="006B591B"/>
    <w:rsid w:val="006B5B5F"/>
    <w:rsid w:val="006B5FFC"/>
    <w:rsid w:val="006B6005"/>
    <w:rsid w:val="006B61EA"/>
    <w:rsid w:val="006B6240"/>
    <w:rsid w:val="006B6AF0"/>
    <w:rsid w:val="006B6C18"/>
    <w:rsid w:val="006B6DE3"/>
    <w:rsid w:val="006B6E51"/>
    <w:rsid w:val="006B6EE6"/>
    <w:rsid w:val="006B759A"/>
    <w:rsid w:val="006B78FF"/>
    <w:rsid w:val="006B7C04"/>
    <w:rsid w:val="006B7C09"/>
    <w:rsid w:val="006B7C75"/>
    <w:rsid w:val="006C027C"/>
    <w:rsid w:val="006C05DB"/>
    <w:rsid w:val="006C06DD"/>
    <w:rsid w:val="006C08BF"/>
    <w:rsid w:val="006C08F6"/>
    <w:rsid w:val="006C0A23"/>
    <w:rsid w:val="006C0F5F"/>
    <w:rsid w:val="006C108B"/>
    <w:rsid w:val="006C110D"/>
    <w:rsid w:val="006C158D"/>
    <w:rsid w:val="006C183F"/>
    <w:rsid w:val="006C1E74"/>
    <w:rsid w:val="006C1F5F"/>
    <w:rsid w:val="006C1F64"/>
    <w:rsid w:val="006C2052"/>
    <w:rsid w:val="006C2108"/>
    <w:rsid w:val="006C21E4"/>
    <w:rsid w:val="006C2494"/>
    <w:rsid w:val="006C2559"/>
    <w:rsid w:val="006C25A6"/>
    <w:rsid w:val="006C2925"/>
    <w:rsid w:val="006C2A8E"/>
    <w:rsid w:val="006C2D47"/>
    <w:rsid w:val="006C2F01"/>
    <w:rsid w:val="006C31B7"/>
    <w:rsid w:val="006C31BB"/>
    <w:rsid w:val="006C32DB"/>
    <w:rsid w:val="006C3A89"/>
    <w:rsid w:val="006C3D11"/>
    <w:rsid w:val="006C3F34"/>
    <w:rsid w:val="006C3FB6"/>
    <w:rsid w:val="006C431C"/>
    <w:rsid w:val="006C43B9"/>
    <w:rsid w:val="006C4413"/>
    <w:rsid w:val="006C4765"/>
    <w:rsid w:val="006C4826"/>
    <w:rsid w:val="006C48C8"/>
    <w:rsid w:val="006C49F9"/>
    <w:rsid w:val="006C4A80"/>
    <w:rsid w:val="006C4AAA"/>
    <w:rsid w:val="006C513E"/>
    <w:rsid w:val="006C552F"/>
    <w:rsid w:val="006C5547"/>
    <w:rsid w:val="006C55D8"/>
    <w:rsid w:val="006C56CC"/>
    <w:rsid w:val="006C5919"/>
    <w:rsid w:val="006C59CB"/>
    <w:rsid w:val="006C5ACB"/>
    <w:rsid w:val="006C5D58"/>
    <w:rsid w:val="006C5E7E"/>
    <w:rsid w:val="006C5EC0"/>
    <w:rsid w:val="006C5FF2"/>
    <w:rsid w:val="006C6445"/>
    <w:rsid w:val="006C725C"/>
    <w:rsid w:val="006C7312"/>
    <w:rsid w:val="006C77ED"/>
    <w:rsid w:val="006C7989"/>
    <w:rsid w:val="006C7EF4"/>
    <w:rsid w:val="006D01BB"/>
    <w:rsid w:val="006D0315"/>
    <w:rsid w:val="006D04BA"/>
    <w:rsid w:val="006D0579"/>
    <w:rsid w:val="006D068C"/>
    <w:rsid w:val="006D0CFC"/>
    <w:rsid w:val="006D1000"/>
    <w:rsid w:val="006D1086"/>
    <w:rsid w:val="006D10ED"/>
    <w:rsid w:val="006D15E7"/>
    <w:rsid w:val="006D18E7"/>
    <w:rsid w:val="006D1ABC"/>
    <w:rsid w:val="006D1F54"/>
    <w:rsid w:val="006D21D8"/>
    <w:rsid w:val="006D227E"/>
    <w:rsid w:val="006D2659"/>
    <w:rsid w:val="006D26BA"/>
    <w:rsid w:val="006D2A43"/>
    <w:rsid w:val="006D2C71"/>
    <w:rsid w:val="006D2D28"/>
    <w:rsid w:val="006D2F69"/>
    <w:rsid w:val="006D3123"/>
    <w:rsid w:val="006D33BD"/>
    <w:rsid w:val="006D34C1"/>
    <w:rsid w:val="006D3543"/>
    <w:rsid w:val="006D36FF"/>
    <w:rsid w:val="006D39E3"/>
    <w:rsid w:val="006D3ABE"/>
    <w:rsid w:val="006D3BCB"/>
    <w:rsid w:val="006D3C7D"/>
    <w:rsid w:val="006D40A5"/>
    <w:rsid w:val="006D45CD"/>
    <w:rsid w:val="006D4A45"/>
    <w:rsid w:val="006D4D47"/>
    <w:rsid w:val="006D55D6"/>
    <w:rsid w:val="006D5837"/>
    <w:rsid w:val="006D5D41"/>
    <w:rsid w:val="006D5D5F"/>
    <w:rsid w:val="006D5DC6"/>
    <w:rsid w:val="006D5EE5"/>
    <w:rsid w:val="006D5F77"/>
    <w:rsid w:val="006D5FB6"/>
    <w:rsid w:val="006D6339"/>
    <w:rsid w:val="006D6341"/>
    <w:rsid w:val="006D643E"/>
    <w:rsid w:val="006D67FE"/>
    <w:rsid w:val="006D6829"/>
    <w:rsid w:val="006D6873"/>
    <w:rsid w:val="006D68E4"/>
    <w:rsid w:val="006D69D7"/>
    <w:rsid w:val="006D6C3C"/>
    <w:rsid w:val="006D6E3E"/>
    <w:rsid w:val="006D6EB9"/>
    <w:rsid w:val="006D6FC5"/>
    <w:rsid w:val="006D7063"/>
    <w:rsid w:val="006D7167"/>
    <w:rsid w:val="006D7374"/>
    <w:rsid w:val="006D7541"/>
    <w:rsid w:val="006D7717"/>
    <w:rsid w:val="006D7721"/>
    <w:rsid w:val="006D7813"/>
    <w:rsid w:val="006D7AD7"/>
    <w:rsid w:val="006D7E49"/>
    <w:rsid w:val="006D7E6D"/>
    <w:rsid w:val="006D7F78"/>
    <w:rsid w:val="006E01A4"/>
    <w:rsid w:val="006E01AF"/>
    <w:rsid w:val="006E02E6"/>
    <w:rsid w:val="006E04FC"/>
    <w:rsid w:val="006E05C6"/>
    <w:rsid w:val="006E0806"/>
    <w:rsid w:val="006E0979"/>
    <w:rsid w:val="006E0A04"/>
    <w:rsid w:val="006E0FFD"/>
    <w:rsid w:val="006E1D46"/>
    <w:rsid w:val="006E2018"/>
    <w:rsid w:val="006E23C0"/>
    <w:rsid w:val="006E24BF"/>
    <w:rsid w:val="006E2700"/>
    <w:rsid w:val="006E28D8"/>
    <w:rsid w:val="006E30BB"/>
    <w:rsid w:val="006E3AD3"/>
    <w:rsid w:val="006E3CF2"/>
    <w:rsid w:val="006E3F5A"/>
    <w:rsid w:val="006E3FA7"/>
    <w:rsid w:val="006E47BC"/>
    <w:rsid w:val="006E508F"/>
    <w:rsid w:val="006E54A4"/>
    <w:rsid w:val="006E566B"/>
    <w:rsid w:val="006E56CF"/>
    <w:rsid w:val="006E57A8"/>
    <w:rsid w:val="006E5D59"/>
    <w:rsid w:val="006E5EAC"/>
    <w:rsid w:val="006E639A"/>
    <w:rsid w:val="006E64FF"/>
    <w:rsid w:val="006E65DC"/>
    <w:rsid w:val="006E66B8"/>
    <w:rsid w:val="006E6AED"/>
    <w:rsid w:val="006E6DC6"/>
    <w:rsid w:val="006E711C"/>
    <w:rsid w:val="006E7181"/>
    <w:rsid w:val="006E7258"/>
    <w:rsid w:val="006E74C8"/>
    <w:rsid w:val="006E750C"/>
    <w:rsid w:val="006E7598"/>
    <w:rsid w:val="006E7664"/>
    <w:rsid w:val="006E76C6"/>
    <w:rsid w:val="006E77A0"/>
    <w:rsid w:val="006E797C"/>
    <w:rsid w:val="006E79A0"/>
    <w:rsid w:val="006E7D22"/>
    <w:rsid w:val="006E7E51"/>
    <w:rsid w:val="006F01D3"/>
    <w:rsid w:val="006F0596"/>
    <w:rsid w:val="006F0692"/>
    <w:rsid w:val="006F0846"/>
    <w:rsid w:val="006F0920"/>
    <w:rsid w:val="006F09CB"/>
    <w:rsid w:val="006F1149"/>
    <w:rsid w:val="006F1249"/>
    <w:rsid w:val="006F13EB"/>
    <w:rsid w:val="006F1461"/>
    <w:rsid w:val="006F14C8"/>
    <w:rsid w:val="006F159C"/>
    <w:rsid w:val="006F16CE"/>
    <w:rsid w:val="006F1733"/>
    <w:rsid w:val="006F1D28"/>
    <w:rsid w:val="006F20AB"/>
    <w:rsid w:val="006F2329"/>
    <w:rsid w:val="006F25A9"/>
    <w:rsid w:val="006F2C75"/>
    <w:rsid w:val="006F2F75"/>
    <w:rsid w:val="006F3026"/>
    <w:rsid w:val="006F324E"/>
    <w:rsid w:val="006F32FB"/>
    <w:rsid w:val="006F356E"/>
    <w:rsid w:val="006F3691"/>
    <w:rsid w:val="006F38BE"/>
    <w:rsid w:val="006F3919"/>
    <w:rsid w:val="006F3A03"/>
    <w:rsid w:val="006F41D4"/>
    <w:rsid w:val="006F42FD"/>
    <w:rsid w:val="006F4548"/>
    <w:rsid w:val="006F45FE"/>
    <w:rsid w:val="006F4619"/>
    <w:rsid w:val="006F49BE"/>
    <w:rsid w:val="006F4A1E"/>
    <w:rsid w:val="006F4A40"/>
    <w:rsid w:val="006F4A4F"/>
    <w:rsid w:val="006F4E33"/>
    <w:rsid w:val="006F50EF"/>
    <w:rsid w:val="006F5388"/>
    <w:rsid w:val="006F54B1"/>
    <w:rsid w:val="006F54C6"/>
    <w:rsid w:val="006F55AB"/>
    <w:rsid w:val="006F55F5"/>
    <w:rsid w:val="006F57B4"/>
    <w:rsid w:val="006F5B1B"/>
    <w:rsid w:val="006F610C"/>
    <w:rsid w:val="006F629C"/>
    <w:rsid w:val="006F63A5"/>
    <w:rsid w:val="006F674C"/>
    <w:rsid w:val="006F6B3F"/>
    <w:rsid w:val="006F6D18"/>
    <w:rsid w:val="006F71BE"/>
    <w:rsid w:val="006F7285"/>
    <w:rsid w:val="006F7398"/>
    <w:rsid w:val="006F796C"/>
    <w:rsid w:val="006F7A1C"/>
    <w:rsid w:val="006F7C0B"/>
    <w:rsid w:val="006F7F0F"/>
    <w:rsid w:val="007004F0"/>
    <w:rsid w:val="00700676"/>
    <w:rsid w:val="007006B3"/>
    <w:rsid w:val="007009E5"/>
    <w:rsid w:val="00700E51"/>
    <w:rsid w:val="007011FE"/>
    <w:rsid w:val="00701213"/>
    <w:rsid w:val="00701529"/>
    <w:rsid w:val="00701609"/>
    <w:rsid w:val="0070177A"/>
    <w:rsid w:val="00701B2E"/>
    <w:rsid w:val="00701C47"/>
    <w:rsid w:val="00701CE2"/>
    <w:rsid w:val="00701E37"/>
    <w:rsid w:val="0070237C"/>
    <w:rsid w:val="007026A2"/>
    <w:rsid w:val="0070276E"/>
    <w:rsid w:val="00702844"/>
    <w:rsid w:val="00702BA5"/>
    <w:rsid w:val="00702D81"/>
    <w:rsid w:val="00702E29"/>
    <w:rsid w:val="00702F50"/>
    <w:rsid w:val="00702F68"/>
    <w:rsid w:val="00702F8F"/>
    <w:rsid w:val="00703037"/>
    <w:rsid w:val="0070313B"/>
    <w:rsid w:val="007032A8"/>
    <w:rsid w:val="00703373"/>
    <w:rsid w:val="00703CA0"/>
    <w:rsid w:val="00703F6B"/>
    <w:rsid w:val="00704096"/>
    <w:rsid w:val="007040D1"/>
    <w:rsid w:val="00704378"/>
    <w:rsid w:val="0070448B"/>
    <w:rsid w:val="007044D9"/>
    <w:rsid w:val="007049F3"/>
    <w:rsid w:val="00704AD2"/>
    <w:rsid w:val="00704F6E"/>
    <w:rsid w:val="0070510F"/>
    <w:rsid w:val="00705336"/>
    <w:rsid w:val="0070543E"/>
    <w:rsid w:val="00705590"/>
    <w:rsid w:val="007055A8"/>
    <w:rsid w:val="00705D20"/>
    <w:rsid w:val="00705D9B"/>
    <w:rsid w:val="0070619C"/>
    <w:rsid w:val="007061BE"/>
    <w:rsid w:val="00706619"/>
    <w:rsid w:val="0070661A"/>
    <w:rsid w:val="007069D2"/>
    <w:rsid w:val="00706A31"/>
    <w:rsid w:val="00706CF3"/>
    <w:rsid w:val="00706D6C"/>
    <w:rsid w:val="0070725C"/>
    <w:rsid w:val="007076B2"/>
    <w:rsid w:val="007078CC"/>
    <w:rsid w:val="0070797E"/>
    <w:rsid w:val="00707CB7"/>
    <w:rsid w:val="00707EBC"/>
    <w:rsid w:val="00707F70"/>
    <w:rsid w:val="007100DD"/>
    <w:rsid w:val="007101E9"/>
    <w:rsid w:val="007103B1"/>
    <w:rsid w:val="007104FE"/>
    <w:rsid w:val="00710785"/>
    <w:rsid w:val="0071097D"/>
    <w:rsid w:val="00710B0B"/>
    <w:rsid w:val="00710F36"/>
    <w:rsid w:val="00711693"/>
    <w:rsid w:val="00711773"/>
    <w:rsid w:val="00711847"/>
    <w:rsid w:val="007118F7"/>
    <w:rsid w:val="00711A36"/>
    <w:rsid w:val="00711A93"/>
    <w:rsid w:val="00711D41"/>
    <w:rsid w:val="00711D4E"/>
    <w:rsid w:val="00712084"/>
    <w:rsid w:val="007121DC"/>
    <w:rsid w:val="007124CD"/>
    <w:rsid w:val="007128C2"/>
    <w:rsid w:val="007130C5"/>
    <w:rsid w:val="007133A8"/>
    <w:rsid w:val="007134AD"/>
    <w:rsid w:val="00713747"/>
    <w:rsid w:val="0071396D"/>
    <w:rsid w:val="00713985"/>
    <w:rsid w:val="007139C7"/>
    <w:rsid w:val="00713B4E"/>
    <w:rsid w:val="00713B79"/>
    <w:rsid w:val="00713EF2"/>
    <w:rsid w:val="0071437A"/>
    <w:rsid w:val="00714443"/>
    <w:rsid w:val="00714520"/>
    <w:rsid w:val="00714B6F"/>
    <w:rsid w:val="00714E79"/>
    <w:rsid w:val="00715291"/>
    <w:rsid w:val="007152DB"/>
    <w:rsid w:val="007154A5"/>
    <w:rsid w:val="00715553"/>
    <w:rsid w:val="00715822"/>
    <w:rsid w:val="00715859"/>
    <w:rsid w:val="0071588B"/>
    <w:rsid w:val="00715A6C"/>
    <w:rsid w:val="00715A84"/>
    <w:rsid w:val="00715B65"/>
    <w:rsid w:val="00715DA8"/>
    <w:rsid w:val="00716012"/>
    <w:rsid w:val="00716035"/>
    <w:rsid w:val="0071611A"/>
    <w:rsid w:val="00716428"/>
    <w:rsid w:val="007164F8"/>
    <w:rsid w:val="00716580"/>
    <w:rsid w:val="007168D9"/>
    <w:rsid w:val="007169DB"/>
    <w:rsid w:val="00716E81"/>
    <w:rsid w:val="00716EB6"/>
    <w:rsid w:val="00717148"/>
    <w:rsid w:val="0071727A"/>
    <w:rsid w:val="007172AD"/>
    <w:rsid w:val="00717564"/>
    <w:rsid w:val="0071758C"/>
    <w:rsid w:val="007175EF"/>
    <w:rsid w:val="007177F4"/>
    <w:rsid w:val="00717811"/>
    <w:rsid w:val="00717B97"/>
    <w:rsid w:val="00717CF8"/>
    <w:rsid w:val="00717DCE"/>
    <w:rsid w:val="00717DFB"/>
    <w:rsid w:val="00717F00"/>
    <w:rsid w:val="00717F8B"/>
    <w:rsid w:val="00717FA9"/>
    <w:rsid w:val="0072004C"/>
    <w:rsid w:val="00720302"/>
    <w:rsid w:val="007208DB"/>
    <w:rsid w:val="00720BDD"/>
    <w:rsid w:val="00720C77"/>
    <w:rsid w:val="00720E8A"/>
    <w:rsid w:val="00720FBF"/>
    <w:rsid w:val="0072157B"/>
    <w:rsid w:val="0072168D"/>
    <w:rsid w:val="007216F7"/>
    <w:rsid w:val="00721C34"/>
    <w:rsid w:val="00721DF3"/>
    <w:rsid w:val="00722128"/>
    <w:rsid w:val="007224A0"/>
    <w:rsid w:val="007228B1"/>
    <w:rsid w:val="00722905"/>
    <w:rsid w:val="00722B55"/>
    <w:rsid w:val="00722C10"/>
    <w:rsid w:val="00722FFF"/>
    <w:rsid w:val="007231F8"/>
    <w:rsid w:val="007232AD"/>
    <w:rsid w:val="00723C5B"/>
    <w:rsid w:val="00723D32"/>
    <w:rsid w:val="00723FE7"/>
    <w:rsid w:val="00724004"/>
    <w:rsid w:val="00724052"/>
    <w:rsid w:val="0072416F"/>
    <w:rsid w:val="0072482B"/>
    <w:rsid w:val="00724B1E"/>
    <w:rsid w:val="00724B57"/>
    <w:rsid w:val="00724F14"/>
    <w:rsid w:val="00724FC1"/>
    <w:rsid w:val="007252EA"/>
    <w:rsid w:val="0072530A"/>
    <w:rsid w:val="00725425"/>
    <w:rsid w:val="00725437"/>
    <w:rsid w:val="007259A5"/>
    <w:rsid w:val="00725DE0"/>
    <w:rsid w:val="00725DF2"/>
    <w:rsid w:val="00725F45"/>
    <w:rsid w:val="00726173"/>
    <w:rsid w:val="007261B5"/>
    <w:rsid w:val="007261E4"/>
    <w:rsid w:val="00726446"/>
    <w:rsid w:val="0072647B"/>
    <w:rsid w:val="00726767"/>
    <w:rsid w:val="007267A4"/>
    <w:rsid w:val="007267B6"/>
    <w:rsid w:val="00726941"/>
    <w:rsid w:val="0072697B"/>
    <w:rsid w:val="00726A12"/>
    <w:rsid w:val="00726B84"/>
    <w:rsid w:val="00726E7A"/>
    <w:rsid w:val="00726F0D"/>
    <w:rsid w:val="00727071"/>
    <w:rsid w:val="007270DF"/>
    <w:rsid w:val="0072756E"/>
    <w:rsid w:val="007303A5"/>
    <w:rsid w:val="007304AF"/>
    <w:rsid w:val="007306A9"/>
    <w:rsid w:val="007306CE"/>
    <w:rsid w:val="00730922"/>
    <w:rsid w:val="00730A1D"/>
    <w:rsid w:val="00730D72"/>
    <w:rsid w:val="00730D8B"/>
    <w:rsid w:val="00730F48"/>
    <w:rsid w:val="0073120E"/>
    <w:rsid w:val="00731509"/>
    <w:rsid w:val="00731536"/>
    <w:rsid w:val="00731B07"/>
    <w:rsid w:val="00731B71"/>
    <w:rsid w:val="00731D25"/>
    <w:rsid w:val="00731E4F"/>
    <w:rsid w:val="00731E60"/>
    <w:rsid w:val="007324DC"/>
    <w:rsid w:val="00732E22"/>
    <w:rsid w:val="00732E2B"/>
    <w:rsid w:val="00732F9B"/>
    <w:rsid w:val="007333BD"/>
    <w:rsid w:val="00733938"/>
    <w:rsid w:val="00734451"/>
    <w:rsid w:val="0073494B"/>
    <w:rsid w:val="00734951"/>
    <w:rsid w:val="00734EE0"/>
    <w:rsid w:val="00734EEA"/>
    <w:rsid w:val="00735328"/>
    <w:rsid w:val="007353DF"/>
    <w:rsid w:val="00735515"/>
    <w:rsid w:val="0073551D"/>
    <w:rsid w:val="00735859"/>
    <w:rsid w:val="00735997"/>
    <w:rsid w:val="00735AD2"/>
    <w:rsid w:val="00735B51"/>
    <w:rsid w:val="00735DA4"/>
    <w:rsid w:val="00735E81"/>
    <w:rsid w:val="007361AD"/>
    <w:rsid w:val="007364C1"/>
    <w:rsid w:val="007365D2"/>
    <w:rsid w:val="0073685B"/>
    <w:rsid w:val="00736927"/>
    <w:rsid w:val="00736ECE"/>
    <w:rsid w:val="00736ED9"/>
    <w:rsid w:val="007370DE"/>
    <w:rsid w:val="00737104"/>
    <w:rsid w:val="007372E6"/>
    <w:rsid w:val="00737563"/>
    <w:rsid w:val="00737649"/>
    <w:rsid w:val="0073770B"/>
    <w:rsid w:val="00737839"/>
    <w:rsid w:val="0073792E"/>
    <w:rsid w:val="007379EB"/>
    <w:rsid w:val="00737AE7"/>
    <w:rsid w:val="00737FC8"/>
    <w:rsid w:val="0074003D"/>
    <w:rsid w:val="0074025A"/>
    <w:rsid w:val="007402CC"/>
    <w:rsid w:val="00740328"/>
    <w:rsid w:val="007407DA"/>
    <w:rsid w:val="00740D6B"/>
    <w:rsid w:val="00740E49"/>
    <w:rsid w:val="00741270"/>
    <w:rsid w:val="00741474"/>
    <w:rsid w:val="0074148B"/>
    <w:rsid w:val="007415F0"/>
    <w:rsid w:val="0074187B"/>
    <w:rsid w:val="00741F40"/>
    <w:rsid w:val="0074225C"/>
    <w:rsid w:val="007423A7"/>
    <w:rsid w:val="0074262C"/>
    <w:rsid w:val="007429B8"/>
    <w:rsid w:val="00742A22"/>
    <w:rsid w:val="00742A3A"/>
    <w:rsid w:val="00742C36"/>
    <w:rsid w:val="00742FF8"/>
    <w:rsid w:val="0074311C"/>
    <w:rsid w:val="007433BC"/>
    <w:rsid w:val="00743487"/>
    <w:rsid w:val="00743704"/>
    <w:rsid w:val="00743780"/>
    <w:rsid w:val="00743BB1"/>
    <w:rsid w:val="00743C3B"/>
    <w:rsid w:val="00743DF0"/>
    <w:rsid w:val="00743F5F"/>
    <w:rsid w:val="0074422A"/>
    <w:rsid w:val="00744243"/>
    <w:rsid w:val="007445C6"/>
    <w:rsid w:val="0074479D"/>
    <w:rsid w:val="00744855"/>
    <w:rsid w:val="007448D5"/>
    <w:rsid w:val="00744DDA"/>
    <w:rsid w:val="00744E3C"/>
    <w:rsid w:val="00745138"/>
    <w:rsid w:val="007452A3"/>
    <w:rsid w:val="00745981"/>
    <w:rsid w:val="00745ACE"/>
    <w:rsid w:val="00745DD8"/>
    <w:rsid w:val="007461CE"/>
    <w:rsid w:val="0074629A"/>
    <w:rsid w:val="0074638E"/>
    <w:rsid w:val="007464B7"/>
    <w:rsid w:val="007464D0"/>
    <w:rsid w:val="0074675A"/>
    <w:rsid w:val="007469CF"/>
    <w:rsid w:val="00746B27"/>
    <w:rsid w:val="00747394"/>
    <w:rsid w:val="00747757"/>
    <w:rsid w:val="00747A74"/>
    <w:rsid w:val="00747AF0"/>
    <w:rsid w:val="00747E14"/>
    <w:rsid w:val="00747F5B"/>
    <w:rsid w:val="00750012"/>
    <w:rsid w:val="007500BE"/>
    <w:rsid w:val="00750226"/>
    <w:rsid w:val="00750324"/>
    <w:rsid w:val="0075034D"/>
    <w:rsid w:val="007508AA"/>
    <w:rsid w:val="0075091D"/>
    <w:rsid w:val="00750DA6"/>
    <w:rsid w:val="007510F6"/>
    <w:rsid w:val="00751122"/>
    <w:rsid w:val="00751126"/>
    <w:rsid w:val="00751239"/>
    <w:rsid w:val="007512F8"/>
    <w:rsid w:val="007513FB"/>
    <w:rsid w:val="00751A5A"/>
    <w:rsid w:val="00751AD7"/>
    <w:rsid w:val="00751D79"/>
    <w:rsid w:val="00751EF1"/>
    <w:rsid w:val="0075250F"/>
    <w:rsid w:val="0075252F"/>
    <w:rsid w:val="007527D7"/>
    <w:rsid w:val="00752877"/>
    <w:rsid w:val="00752E30"/>
    <w:rsid w:val="00752E63"/>
    <w:rsid w:val="007530A3"/>
    <w:rsid w:val="0075331A"/>
    <w:rsid w:val="0075332D"/>
    <w:rsid w:val="00753563"/>
    <w:rsid w:val="007536B8"/>
    <w:rsid w:val="00753837"/>
    <w:rsid w:val="0075383D"/>
    <w:rsid w:val="007538E5"/>
    <w:rsid w:val="0075391E"/>
    <w:rsid w:val="00753A7F"/>
    <w:rsid w:val="00753D87"/>
    <w:rsid w:val="00753DCE"/>
    <w:rsid w:val="0075414C"/>
    <w:rsid w:val="0075429D"/>
    <w:rsid w:val="00754490"/>
    <w:rsid w:val="00754F2B"/>
    <w:rsid w:val="00754FEE"/>
    <w:rsid w:val="00755089"/>
    <w:rsid w:val="007552B6"/>
    <w:rsid w:val="00755312"/>
    <w:rsid w:val="007553C2"/>
    <w:rsid w:val="0075542F"/>
    <w:rsid w:val="00755699"/>
    <w:rsid w:val="0075590E"/>
    <w:rsid w:val="00755A80"/>
    <w:rsid w:val="00755B06"/>
    <w:rsid w:val="00755BDD"/>
    <w:rsid w:val="00755C9F"/>
    <w:rsid w:val="00755E5A"/>
    <w:rsid w:val="00755F40"/>
    <w:rsid w:val="00756C45"/>
    <w:rsid w:val="0075704E"/>
    <w:rsid w:val="007573DC"/>
    <w:rsid w:val="0075745A"/>
    <w:rsid w:val="00757991"/>
    <w:rsid w:val="00757B67"/>
    <w:rsid w:val="00757B79"/>
    <w:rsid w:val="00757DE9"/>
    <w:rsid w:val="00757E73"/>
    <w:rsid w:val="00757FF7"/>
    <w:rsid w:val="00760018"/>
    <w:rsid w:val="007601C7"/>
    <w:rsid w:val="00760547"/>
    <w:rsid w:val="00760671"/>
    <w:rsid w:val="0076069B"/>
    <w:rsid w:val="00760E54"/>
    <w:rsid w:val="00760F13"/>
    <w:rsid w:val="00760F83"/>
    <w:rsid w:val="00761131"/>
    <w:rsid w:val="00761442"/>
    <w:rsid w:val="007614E4"/>
    <w:rsid w:val="0076160B"/>
    <w:rsid w:val="00761770"/>
    <w:rsid w:val="00761A79"/>
    <w:rsid w:val="00761B07"/>
    <w:rsid w:val="00761D88"/>
    <w:rsid w:val="00761DF7"/>
    <w:rsid w:val="00762008"/>
    <w:rsid w:val="007626D2"/>
    <w:rsid w:val="00762971"/>
    <w:rsid w:val="00762C40"/>
    <w:rsid w:val="00762ED2"/>
    <w:rsid w:val="00762F3E"/>
    <w:rsid w:val="007632DD"/>
    <w:rsid w:val="00763493"/>
    <w:rsid w:val="00763F1C"/>
    <w:rsid w:val="007640B2"/>
    <w:rsid w:val="007642DA"/>
    <w:rsid w:val="007648FA"/>
    <w:rsid w:val="007651C6"/>
    <w:rsid w:val="007654F5"/>
    <w:rsid w:val="007655A5"/>
    <w:rsid w:val="007655F0"/>
    <w:rsid w:val="00765664"/>
    <w:rsid w:val="007656F0"/>
    <w:rsid w:val="007658FA"/>
    <w:rsid w:val="00765D95"/>
    <w:rsid w:val="0076611F"/>
    <w:rsid w:val="0076614F"/>
    <w:rsid w:val="0076628F"/>
    <w:rsid w:val="00766426"/>
    <w:rsid w:val="00766453"/>
    <w:rsid w:val="007665D0"/>
    <w:rsid w:val="007665E6"/>
    <w:rsid w:val="007666B0"/>
    <w:rsid w:val="00766A51"/>
    <w:rsid w:val="00766B14"/>
    <w:rsid w:val="00766F01"/>
    <w:rsid w:val="0076720D"/>
    <w:rsid w:val="00767344"/>
    <w:rsid w:val="00767534"/>
    <w:rsid w:val="007675B0"/>
    <w:rsid w:val="00767614"/>
    <w:rsid w:val="00767797"/>
    <w:rsid w:val="007677D2"/>
    <w:rsid w:val="00767DCA"/>
    <w:rsid w:val="00767F03"/>
    <w:rsid w:val="00770144"/>
    <w:rsid w:val="007703DC"/>
    <w:rsid w:val="0077040E"/>
    <w:rsid w:val="00770429"/>
    <w:rsid w:val="007704AA"/>
    <w:rsid w:val="007704C9"/>
    <w:rsid w:val="00770543"/>
    <w:rsid w:val="007708C2"/>
    <w:rsid w:val="007709F1"/>
    <w:rsid w:val="00770AE4"/>
    <w:rsid w:val="00770C99"/>
    <w:rsid w:val="00770CED"/>
    <w:rsid w:val="00770F95"/>
    <w:rsid w:val="00771531"/>
    <w:rsid w:val="007719E7"/>
    <w:rsid w:val="00771B8D"/>
    <w:rsid w:val="00771CA1"/>
    <w:rsid w:val="00771CA8"/>
    <w:rsid w:val="00771D16"/>
    <w:rsid w:val="00772112"/>
    <w:rsid w:val="007722D2"/>
    <w:rsid w:val="007728EB"/>
    <w:rsid w:val="0077321C"/>
    <w:rsid w:val="00773794"/>
    <w:rsid w:val="00773B75"/>
    <w:rsid w:val="00773C3C"/>
    <w:rsid w:val="00773D62"/>
    <w:rsid w:val="00773EEB"/>
    <w:rsid w:val="00774030"/>
    <w:rsid w:val="0077419E"/>
    <w:rsid w:val="007741C2"/>
    <w:rsid w:val="00774321"/>
    <w:rsid w:val="00774727"/>
    <w:rsid w:val="0077481E"/>
    <w:rsid w:val="00774DF2"/>
    <w:rsid w:val="00774FBD"/>
    <w:rsid w:val="007759EE"/>
    <w:rsid w:val="00775AA4"/>
    <w:rsid w:val="00775C0B"/>
    <w:rsid w:val="00775E81"/>
    <w:rsid w:val="00775F05"/>
    <w:rsid w:val="00775F0D"/>
    <w:rsid w:val="0077686E"/>
    <w:rsid w:val="007768E1"/>
    <w:rsid w:val="00776A2A"/>
    <w:rsid w:val="00776B3B"/>
    <w:rsid w:val="0077739B"/>
    <w:rsid w:val="007774F4"/>
    <w:rsid w:val="00777CD0"/>
    <w:rsid w:val="00777D05"/>
    <w:rsid w:val="00777E8D"/>
    <w:rsid w:val="00780386"/>
    <w:rsid w:val="0078044A"/>
    <w:rsid w:val="0078060C"/>
    <w:rsid w:val="007806F2"/>
    <w:rsid w:val="00780840"/>
    <w:rsid w:val="007809BE"/>
    <w:rsid w:val="00780B9C"/>
    <w:rsid w:val="00780C1D"/>
    <w:rsid w:val="00780D56"/>
    <w:rsid w:val="00780F0A"/>
    <w:rsid w:val="007811AD"/>
    <w:rsid w:val="007811FD"/>
    <w:rsid w:val="007815B2"/>
    <w:rsid w:val="00781680"/>
    <w:rsid w:val="00781801"/>
    <w:rsid w:val="00781939"/>
    <w:rsid w:val="00781A58"/>
    <w:rsid w:val="00781BCD"/>
    <w:rsid w:val="00781E11"/>
    <w:rsid w:val="007822A9"/>
    <w:rsid w:val="00782EB8"/>
    <w:rsid w:val="00782EF0"/>
    <w:rsid w:val="00782FCB"/>
    <w:rsid w:val="007832B0"/>
    <w:rsid w:val="00783722"/>
    <w:rsid w:val="0078372A"/>
    <w:rsid w:val="00783826"/>
    <w:rsid w:val="00783A6F"/>
    <w:rsid w:val="00783BE3"/>
    <w:rsid w:val="00783C9D"/>
    <w:rsid w:val="00783CFE"/>
    <w:rsid w:val="00783DB8"/>
    <w:rsid w:val="00783FDA"/>
    <w:rsid w:val="007845F3"/>
    <w:rsid w:val="0078483C"/>
    <w:rsid w:val="00784861"/>
    <w:rsid w:val="007849E1"/>
    <w:rsid w:val="00784B40"/>
    <w:rsid w:val="00784B9A"/>
    <w:rsid w:val="00785622"/>
    <w:rsid w:val="00785854"/>
    <w:rsid w:val="00785B59"/>
    <w:rsid w:val="00785C6F"/>
    <w:rsid w:val="00785E48"/>
    <w:rsid w:val="00785E83"/>
    <w:rsid w:val="00786451"/>
    <w:rsid w:val="00786459"/>
    <w:rsid w:val="007867CF"/>
    <w:rsid w:val="00786A5B"/>
    <w:rsid w:val="00786A84"/>
    <w:rsid w:val="00786CAD"/>
    <w:rsid w:val="00787021"/>
    <w:rsid w:val="00787658"/>
    <w:rsid w:val="007877A4"/>
    <w:rsid w:val="00787839"/>
    <w:rsid w:val="007879C2"/>
    <w:rsid w:val="00787A8B"/>
    <w:rsid w:val="00787B93"/>
    <w:rsid w:val="00787E64"/>
    <w:rsid w:val="00787F2D"/>
    <w:rsid w:val="007900F5"/>
    <w:rsid w:val="00790936"/>
    <w:rsid w:val="00790FC3"/>
    <w:rsid w:val="0079121C"/>
    <w:rsid w:val="0079143A"/>
    <w:rsid w:val="00791470"/>
    <w:rsid w:val="00791698"/>
    <w:rsid w:val="00791874"/>
    <w:rsid w:val="007919E0"/>
    <w:rsid w:val="00791B2E"/>
    <w:rsid w:val="00791CBC"/>
    <w:rsid w:val="00791D0D"/>
    <w:rsid w:val="00791D98"/>
    <w:rsid w:val="00791E13"/>
    <w:rsid w:val="00791E79"/>
    <w:rsid w:val="0079209D"/>
    <w:rsid w:val="0079223B"/>
    <w:rsid w:val="007923B3"/>
    <w:rsid w:val="007927A0"/>
    <w:rsid w:val="00792981"/>
    <w:rsid w:val="00792C35"/>
    <w:rsid w:val="00792D70"/>
    <w:rsid w:val="00792DC9"/>
    <w:rsid w:val="00792DCD"/>
    <w:rsid w:val="00792E58"/>
    <w:rsid w:val="00792FDB"/>
    <w:rsid w:val="00793460"/>
    <w:rsid w:val="007934A4"/>
    <w:rsid w:val="00793589"/>
    <w:rsid w:val="00793593"/>
    <w:rsid w:val="00793603"/>
    <w:rsid w:val="00793752"/>
    <w:rsid w:val="00793BBA"/>
    <w:rsid w:val="00793E8A"/>
    <w:rsid w:val="00794402"/>
    <w:rsid w:val="007944A0"/>
    <w:rsid w:val="00794533"/>
    <w:rsid w:val="007947B7"/>
    <w:rsid w:val="00794846"/>
    <w:rsid w:val="007949CF"/>
    <w:rsid w:val="007950A3"/>
    <w:rsid w:val="0079528B"/>
    <w:rsid w:val="00795407"/>
    <w:rsid w:val="007959C8"/>
    <w:rsid w:val="00795C0E"/>
    <w:rsid w:val="00795C9A"/>
    <w:rsid w:val="00795D0B"/>
    <w:rsid w:val="00795D81"/>
    <w:rsid w:val="00795F68"/>
    <w:rsid w:val="007960A5"/>
    <w:rsid w:val="00796373"/>
    <w:rsid w:val="00796497"/>
    <w:rsid w:val="00796529"/>
    <w:rsid w:val="0079684E"/>
    <w:rsid w:val="00796ACB"/>
    <w:rsid w:val="00796D98"/>
    <w:rsid w:val="0079714D"/>
    <w:rsid w:val="00797299"/>
    <w:rsid w:val="00797810"/>
    <w:rsid w:val="00797BBB"/>
    <w:rsid w:val="00797E08"/>
    <w:rsid w:val="00797F2B"/>
    <w:rsid w:val="00797F38"/>
    <w:rsid w:val="00797FF5"/>
    <w:rsid w:val="007A01A5"/>
    <w:rsid w:val="007A01A7"/>
    <w:rsid w:val="007A01C6"/>
    <w:rsid w:val="007A04A8"/>
    <w:rsid w:val="007A04B7"/>
    <w:rsid w:val="007A05C8"/>
    <w:rsid w:val="007A05E9"/>
    <w:rsid w:val="007A079F"/>
    <w:rsid w:val="007A0811"/>
    <w:rsid w:val="007A0A12"/>
    <w:rsid w:val="007A0A1D"/>
    <w:rsid w:val="007A0B0E"/>
    <w:rsid w:val="007A0FA1"/>
    <w:rsid w:val="007A1000"/>
    <w:rsid w:val="007A1125"/>
    <w:rsid w:val="007A115C"/>
    <w:rsid w:val="007A11F3"/>
    <w:rsid w:val="007A1220"/>
    <w:rsid w:val="007A1669"/>
    <w:rsid w:val="007A16A2"/>
    <w:rsid w:val="007A16ED"/>
    <w:rsid w:val="007A1759"/>
    <w:rsid w:val="007A192B"/>
    <w:rsid w:val="007A1A63"/>
    <w:rsid w:val="007A243E"/>
    <w:rsid w:val="007A2665"/>
    <w:rsid w:val="007A2989"/>
    <w:rsid w:val="007A2990"/>
    <w:rsid w:val="007A2CB8"/>
    <w:rsid w:val="007A2CF2"/>
    <w:rsid w:val="007A304A"/>
    <w:rsid w:val="007A32B6"/>
    <w:rsid w:val="007A340C"/>
    <w:rsid w:val="007A3932"/>
    <w:rsid w:val="007A3BAC"/>
    <w:rsid w:val="007A3BF6"/>
    <w:rsid w:val="007A3D09"/>
    <w:rsid w:val="007A46AF"/>
    <w:rsid w:val="007A4731"/>
    <w:rsid w:val="007A47B5"/>
    <w:rsid w:val="007A494C"/>
    <w:rsid w:val="007A4956"/>
    <w:rsid w:val="007A4A31"/>
    <w:rsid w:val="007A4A35"/>
    <w:rsid w:val="007A51CF"/>
    <w:rsid w:val="007A5680"/>
    <w:rsid w:val="007A571C"/>
    <w:rsid w:val="007A5C65"/>
    <w:rsid w:val="007A5D85"/>
    <w:rsid w:val="007A5F30"/>
    <w:rsid w:val="007A6626"/>
    <w:rsid w:val="007A6982"/>
    <w:rsid w:val="007A76B3"/>
    <w:rsid w:val="007A7B55"/>
    <w:rsid w:val="007B0652"/>
    <w:rsid w:val="007B0700"/>
    <w:rsid w:val="007B0F67"/>
    <w:rsid w:val="007B13E3"/>
    <w:rsid w:val="007B1414"/>
    <w:rsid w:val="007B15B6"/>
    <w:rsid w:val="007B186B"/>
    <w:rsid w:val="007B1A12"/>
    <w:rsid w:val="007B1BCC"/>
    <w:rsid w:val="007B1C0C"/>
    <w:rsid w:val="007B1E20"/>
    <w:rsid w:val="007B203C"/>
    <w:rsid w:val="007B251D"/>
    <w:rsid w:val="007B268C"/>
    <w:rsid w:val="007B2877"/>
    <w:rsid w:val="007B2A1A"/>
    <w:rsid w:val="007B2D24"/>
    <w:rsid w:val="007B2E18"/>
    <w:rsid w:val="007B2E93"/>
    <w:rsid w:val="007B313A"/>
    <w:rsid w:val="007B327D"/>
    <w:rsid w:val="007B3323"/>
    <w:rsid w:val="007B33E5"/>
    <w:rsid w:val="007B35CF"/>
    <w:rsid w:val="007B385F"/>
    <w:rsid w:val="007B3C41"/>
    <w:rsid w:val="007B452D"/>
    <w:rsid w:val="007B47EF"/>
    <w:rsid w:val="007B4FC7"/>
    <w:rsid w:val="007B5085"/>
    <w:rsid w:val="007B5365"/>
    <w:rsid w:val="007B556C"/>
    <w:rsid w:val="007B5791"/>
    <w:rsid w:val="007B5A92"/>
    <w:rsid w:val="007B5C00"/>
    <w:rsid w:val="007B6268"/>
    <w:rsid w:val="007B6276"/>
    <w:rsid w:val="007B62C0"/>
    <w:rsid w:val="007B630A"/>
    <w:rsid w:val="007B63F4"/>
    <w:rsid w:val="007B6699"/>
    <w:rsid w:val="007B66ED"/>
    <w:rsid w:val="007B681C"/>
    <w:rsid w:val="007B6A22"/>
    <w:rsid w:val="007B6DC2"/>
    <w:rsid w:val="007B7552"/>
    <w:rsid w:val="007B77D1"/>
    <w:rsid w:val="007B79A0"/>
    <w:rsid w:val="007B7A1E"/>
    <w:rsid w:val="007B7A44"/>
    <w:rsid w:val="007B7A46"/>
    <w:rsid w:val="007B7A8E"/>
    <w:rsid w:val="007B7E7F"/>
    <w:rsid w:val="007B7FC9"/>
    <w:rsid w:val="007C0190"/>
    <w:rsid w:val="007C0264"/>
    <w:rsid w:val="007C049A"/>
    <w:rsid w:val="007C06CF"/>
    <w:rsid w:val="007C0B19"/>
    <w:rsid w:val="007C0C2C"/>
    <w:rsid w:val="007C0EE5"/>
    <w:rsid w:val="007C116D"/>
    <w:rsid w:val="007C1229"/>
    <w:rsid w:val="007C144C"/>
    <w:rsid w:val="007C1673"/>
    <w:rsid w:val="007C1B87"/>
    <w:rsid w:val="007C1D57"/>
    <w:rsid w:val="007C1DFB"/>
    <w:rsid w:val="007C2051"/>
    <w:rsid w:val="007C23F5"/>
    <w:rsid w:val="007C241B"/>
    <w:rsid w:val="007C24FD"/>
    <w:rsid w:val="007C2A06"/>
    <w:rsid w:val="007C2C60"/>
    <w:rsid w:val="007C2E53"/>
    <w:rsid w:val="007C30D1"/>
    <w:rsid w:val="007C3396"/>
    <w:rsid w:val="007C34A3"/>
    <w:rsid w:val="007C361D"/>
    <w:rsid w:val="007C43AB"/>
    <w:rsid w:val="007C4678"/>
    <w:rsid w:val="007C4870"/>
    <w:rsid w:val="007C4DAA"/>
    <w:rsid w:val="007C4E8B"/>
    <w:rsid w:val="007C52E5"/>
    <w:rsid w:val="007C53DA"/>
    <w:rsid w:val="007C571C"/>
    <w:rsid w:val="007C599D"/>
    <w:rsid w:val="007C5BF5"/>
    <w:rsid w:val="007C5EFB"/>
    <w:rsid w:val="007C5F1B"/>
    <w:rsid w:val="007C618C"/>
    <w:rsid w:val="007C6743"/>
    <w:rsid w:val="007C6A0B"/>
    <w:rsid w:val="007C6B6F"/>
    <w:rsid w:val="007C6BD1"/>
    <w:rsid w:val="007C6C25"/>
    <w:rsid w:val="007C723A"/>
    <w:rsid w:val="007C7360"/>
    <w:rsid w:val="007C7530"/>
    <w:rsid w:val="007C7A1B"/>
    <w:rsid w:val="007C7BE1"/>
    <w:rsid w:val="007C7D7B"/>
    <w:rsid w:val="007C7E0B"/>
    <w:rsid w:val="007C7EBF"/>
    <w:rsid w:val="007C7EEF"/>
    <w:rsid w:val="007D029A"/>
    <w:rsid w:val="007D081F"/>
    <w:rsid w:val="007D0ACC"/>
    <w:rsid w:val="007D0B38"/>
    <w:rsid w:val="007D0D38"/>
    <w:rsid w:val="007D1126"/>
    <w:rsid w:val="007D14A2"/>
    <w:rsid w:val="007D1500"/>
    <w:rsid w:val="007D159F"/>
    <w:rsid w:val="007D19BC"/>
    <w:rsid w:val="007D1BEB"/>
    <w:rsid w:val="007D1C4B"/>
    <w:rsid w:val="007D21D2"/>
    <w:rsid w:val="007D2263"/>
    <w:rsid w:val="007D22B5"/>
    <w:rsid w:val="007D2417"/>
    <w:rsid w:val="007D271B"/>
    <w:rsid w:val="007D2AE3"/>
    <w:rsid w:val="007D2BEC"/>
    <w:rsid w:val="007D2D38"/>
    <w:rsid w:val="007D2D7C"/>
    <w:rsid w:val="007D3442"/>
    <w:rsid w:val="007D356A"/>
    <w:rsid w:val="007D382E"/>
    <w:rsid w:val="007D3874"/>
    <w:rsid w:val="007D3A68"/>
    <w:rsid w:val="007D3CE4"/>
    <w:rsid w:val="007D3DCF"/>
    <w:rsid w:val="007D4041"/>
    <w:rsid w:val="007D4371"/>
    <w:rsid w:val="007D43B4"/>
    <w:rsid w:val="007D4421"/>
    <w:rsid w:val="007D4434"/>
    <w:rsid w:val="007D44C3"/>
    <w:rsid w:val="007D47C7"/>
    <w:rsid w:val="007D4D54"/>
    <w:rsid w:val="007D4EFD"/>
    <w:rsid w:val="007D5893"/>
    <w:rsid w:val="007D58D8"/>
    <w:rsid w:val="007D59D7"/>
    <w:rsid w:val="007D5F3B"/>
    <w:rsid w:val="007D6153"/>
    <w:rsid w:val="007D63F6"/>
    <w:rsid w:val="007D64FA"/>
    <w:rsid w:val="007D65BC"/>
    <w:rsid w:val="007D6BF1"/>
    <w:rsid w:val="007D6CB0"/>
    <w:rsid w:val="007D6DA9"/>
    <w:rsid w:val="007D7252"/>
    <w:rsid w:val="007D7330"/>
    <w:rsid w:val="007D74E8"/>
    <w:rsid w:val="007D75AD"/>
    <w:rsid w:val="007D7666"/>
    <w:rsid w:val="007D772D"/>
    <w:rsid w:val="007E0081"/>
    <w:rsid w:val="007E05F6"/>
    <w:rsid w:val="007E08DC"/>
    <w:rsid w:val="007E0CB3"/>
    <w:rsid w:val="007E1026"/>
    <w:rsid w:val="007E1505"/>
    <w:rsid w:val="007E163A"/>
    <w:rsid w:val="007E1A28"/>
    <w:rsid w:val="007E1AE3"/>
    <w:rsid w:val="007E1E4F"/>
    <w:rsid w:val="007E1E56"/>
    <w:rsid w:val="007E1EAD"/>
    <w:rsid w:val="007E22D8"/>
    <w:rsid w:val="007E2658"/>
    <w:rsid w:val="007E2749"/>
    <w:rsid w:val="007E274F"/>
    <w:rsid w:val="007E2870"/>
    <w:rsid w:val="007E2C40"/>
    <w:rsid w:val="007E2CB9"/>
    <w:rsid w:val="007E2D40"/>
    <w:rsid w:val="007E2E31"/>
    <w:rsid w:val="007E2EFD"/>
    <w:rsid w:val="007E324D"/>
    <w:rsid w:val="007E32B4"/>
    <w:rsid w:val="007E394A"/>
    <w:rsid w:val="007E3AF8"/>
    <w:rsid w:val="007E3BB8"/>
    <w:rsid w:val="007E3F5E"/>
    <w:rsid w:val="007E43DF"/>
    <w:rsid w:val="007E4C83"/>
    <w:rsid w:val="007E4C89"/>
    <w:rsid w:val="007E4DDC"/>
    <w:rsid w:val="007E51BF"/>
    <w:rsid w:val="007E56A5"/>
    <w:rsid w:val="007E5EF0"/>
    <w:rsid w:val="007E603E"/>
    <w:rsid w:val="007E63D6"/>
    <w:rsid w:val="007E6456"/>
    <w:rsid w:val="007E6721"/>
    <w:rsid w:val="007E68A4"/>
    <w:rsid w:val="007E69F0"/>
    <w:rsid w:val="007E6E5E"/>
    <w:rsid w:val="007E6EDF"/>
    <w:rsid w:val="007E7712"/>
    <w:rsid w:val="007E7902"/>
    <w:rsid w:val="007E7D52"/>
    <w:rsid w:val="007E7D6F"/>
    <w:rsid w:val="007F0086"/>
    <w:rsid w:val="007F06E3"/>
    <w:rsid w:val="007F071D"/>
    <w:rsid w:val="007F0CBD"/>
    <w:rsid w:val="007F0CEE"/>
    <w:rsid w:val="007F0EDE"/>
    <w:rsid w:val="007F1017"/>
    <w:rsid w:val="007F12B7"/>
    <w:rsid w:val="007F1573"/>
    <w:rsid w:val="007F1B16"/>
    <w:rsid w:val="007F1D91"/>
    <w:rsid w:val="007F1EEE"/>
    <w:rsid w:val="007F1F90"/>
    <w:rsid w:val="007F215A"/>
    <w:rsid w:val="007F2286"/>
    <w:rsid w:val="007F237F"/>
    <w:rsid w:val="007F2535"/>
    <w:rsid w:val="007F2567"/>
    <w:rsid w:val="007F2EA0"/>
    <w:rsid w:val="007F323A"/>
    <w:rsid w:val="007F34A8"/>
    <w:rsid w:val="007F35E4"/>
    <w:rsid w:val="007F35F2"/>
    <w:rsid w:val="007F3698"/>
    <w:rsid w:val="007F36D4"/>
    <w:rsid w:val="007F36DE"/>
    <w:rsid w:val="007F3B42"/>
    <w:rsid w:val="007F3C09"/>
    <w:rsid w:val="007F401B"/>
    <w:rsid w:val="007F42A8"/>
    <w:rsid w:val="007F4377"/>
    <w:rsid w:val="007F44B4"/>
    <w:rsid w:val="007F49ED"/>
    <w:rsid w:val="007F4A3F"/>
    <w:rsid w:val="007F4BF9"/>
    <w:rsid w:val="007F4D25"/>
    <w:rsid w:val="007F4DF7"/>
    <w:rsid w:val="007F4FAB"/>
    <w:rsid w:val="007F4FFE"/>
    <w:rsid w:val="007F52A2"/>
    <w:rsid w:val="007F5994"/>
    <w:rsid w:val="007F5A5C"/>
    <w:rsid w:val="007F5B86"/>
    <w:rsid w:val="007F5D5E"/>
    <w:rsid w:val="007F5F1A"/>
    <w:rsid w:val="007F6024"/>
    <w:rsid w:val="007F60BA"/>
    <w:rsid w:val="007F639F"/>
    <w:rsid w:val="007F6794"/>
    <w:rsid w:val="007F67E5"/>
    <w:rsid w:val="007F6958"/>
    <w:rsid w:val="007F6BE4"/>
    <w:rsid w:val="007F6C37"/>
    <w:rsid w:val="007F6D13"/>
    <w:rsid w:val="007F6D3A"/>
    <w:rsid w:val="007F6E81"/>
    <w:rsid w:val="007F723D"/>
    <w:rsid w:val="007F739F"/>
    <w:rsid w:val="007F7528"/>
    <w:rsid w:val="007F758D"/>
    <w:rsid w:val="007F75F3"/>
    <w:rsid w:val="007F774B"/>
    <w:rsid w:val="007F77BE"/>
    <w:rsid w:val="007F7821"/>
    <w:rsid w:val="007F78EA"/>
    <w:rsid w:val="007F7958"/>
    <w:rsid w:val="007F79C0"/>
    <w:rsid w:val="007F7ED8"/>
    <w:rsid w:val="007F7F1E"/>
    <w:rsid w:val="00800050"/>
    <w:rsid w:val="0080012D"/>
    <w:rsid w:val="008003EC"/>
    <w:rsid w:val="00800594"/>
    <w:rsid w:val="00800C81"/>
    <w:rsid w:val="00800DC7"/>
    <w:rsid w:val="008011C5"/>
    <w:rsid w:val="00801246"/>
    <w:rsid w:val="008012B2"/>
    <w:rsid w:val="008014CD"/>
    <w:rsid w:val="00801519"/>
    <w:rsid w:val="0080166C"/>
    <w:rsid w:val="008016CC"/>
    <w:rsid w:val="008016DC"/>
    <w:rsid w:val="0080175F"/>
    <w:rsid w:val="00801969"/>
    <w:rsid w:val="00801CBE"/>
    <w:rsid w:val="00801D40"/>
    <w:rsid w:val="00801F2E"/>
    <w:rsid w:val="00802027"/>
    <w:rsid w:val="0080211B"/>
    <w:rsid w:val="00802621"/>
    <w:rsid w:val="0080273C"/>
    <w:rsid w:val="008028B6"/>
    <w:rsid w:val="0080293A"/>
    <w:rsid w:val="008029EE"/>
    <w:rsid w:val="00802DAB"/>
    <w:rsid w:val="00802DBC"/>
    <w:rsid w:val="00802EAD"/>
    <w:rsid w:val="00802FF5"/>
    <w:rsid w:val="008030D2"/>
    <w:rsid w:val="00803471"/>
    <w:rsid w:val="00803719"/>
    <w:rsid w:val="0080375D"/>
    <w:rsid w:val="0080385A"/>
    <w:rsid w:val="00803D36"/>
    <w:rsid w:val="00803EA5"/>
    <w:rsid w:val="00803FCB"/>
    <w:rsid w:val="008040AE"/>
    <w:rsid w:val="00804362"/>
    <w:rsid w:val="008044EF"/>
    <w:rsid w:val="00804574"/>
    <w:rsid w:val="0080471F"/>
    <w:rsid w:val="008047C7"/>
    <w:rsid w:val="00804AE1"/>
    <w:rsid w:val="00804EE4"/>
    <w:rsid w:val="00805142"/>
    <w:rsid w:val="00805152"/>
    <w:rsid w:val="00805528"/>
    <w:rsid w:val="00805697"/>
    <w:rsid w:val="00805836"/>
    <w:rsid w:val="00805903"/>
    <w:rsid w:val="00805920"/>
    <w:rsid w:val="00805A40"/>
    <w:rsid w:val="00805C77"/>
    <w:rsid w:val="008062C7"/>
    <w:rsid w:val="00806482"/>
    <w:rsid w:val="008067CE"/>
    <w:rsid w:val="00806C9D"/>
    <w:rsid w:val="00807284"/>
    <w:rsid w:val="008072BE"/>
    <w:rsid w:val="008073AE"/>
    <w:rsid w:val="008075D8"/>
    <w:rsid w:val="0080767D"/>
    <w:rsid w:val="00807942"/>
    <w:rsid w:val="008079EA"/>
    <w:rsid w:val="00807A8B"/>
    <w:rsid w:val="00807C59"/>
    <w:rsid w:val="0081021C"/>
    <w:rsid w:val="008102D0"/>
    <w:rsid w:val="00810412"/>
    <w:rsid w:val="0081054E"/>
    <w:rsid w:val="00810819"/>
    <w:rsid w:val="00810C72"/>
    <w:rsid w:val="00810EA5"/>
    <w:rsid w:val="008114BB"/>
    <w:rsid w:val="008114F4"/>
    <w:rsid w:val="0081156F"/>
    <w:rsid w:val="00811816"/>
    <w:rsid w:val="00811823"/>
    <w:rsid w:val="00811A4D"/>
    <w:rsid w:val="00811C3B"/>
    <w:rsid w:val="00812149"/>
    <w:rsid w:val="00812236"/>
    <w:rsid w:val="008124DD"/>
    <w:rsid w:val="008127AB"/>
    <w:rsid w:val="00812BC0"/>
    <w:rsid w:val="00812E71"/>
    <w:rsid w:val="00813173"/>
    <w:rsid w:val="00813179"/>
    <w:rsid w:val="0081332B"/>
    <w:rsid w:val="00813393"/>
    <w:rsid w:val="008133FE"/>
    <w:rsid w:val="00813854"/>
    <w:rsid w:val="0081385B"/>
    <w:rsid w:val="008138AA"/>
    <w:rsid w:val="00813A5E"/>
    <w:rsid w:val="00813AC2"/>
    <w:rsid w:val="00813C1F"/>
    <w:rsid w:val="00813E01"/>
    <w:rsid w:val="00813F44"/>
    <w:rsid w:val="008142AB"/>
    <w:rsid w:val="008146CD"/>
    <w:rsid w:val="008148AA"/>
    <w:rsid w:val="008149D3"/>
    <w:rsid w:val="00814B71"/>
    <w:rsid w:val="00814F34"/>
    <w:rsid w:val="0081501E"/>
    <w:rsid w:val="008150E5"/>
    <w:rsid w:val="0081512E"/>
    <w:rsid w:val="008155B5"/>
    <w:rsid w:val="0081590A"/>
    <w:rsid w:val="00815CF7"/>
    <w:rsid w:val="00815D82"/>
    <w:rsid w:val="00815F1D"/>
    <w:rsid w:val="00815FED"/>
    <w:rsid w:val="00816119"/>
    <w:rsid w:val="00816353"/>
    <w:rsid w:val="0081636A"/>
    <w:rsid w:val="0081642D"/>
    <w:rsid w:val="00816566"/>
    <w:rsid w:val="00816691"/>
    <w:rsid w:val="008166EF"/>
    <w:rsid w:val="00816992"/>
    <w:rsid w:val="00816D2F"/>
    <w:rsid w:val="00816E5B"/>
    <w:rsid w:val="00816E98"/>
    <w:rsid w:val="00816EA9"/>
    <w:rsid w:val="00816EE5"/>
    <w:rsid w:val="00817054"/>
    <w:rsid w:val="00817062"/>
    <w:rsid w:val="00817529"/>
    <w:rsid w:val="00817654"/>
    <w:rsid w:val="008176E3"/>
    <w:rsid w:val="00817E94"/>
    <w:rsid w:val="00817F50"/>
    <w:rsid w:val="00820482"/>
    <w:rsid w:val="00820743"/>
    <w:rsid w:val="00820A59"/>
    <w:rsid w:val="00820A5E"/>
    <w:rsid w:val="00820CC5"/>
    <w:rsid w:val="00820CE2"/>
    <w:rsid w:val="00820E99"/>
    <w:rsid w:val="00820F89"/>
    <w:rsid w:val="0082107D"/>
    <w:rsid w:val="008210A3"/>
    <w:rsid w:val="008211BA"/>
    <w:rsid w:val="008211D5"/>
    <w:rsid w:val="008213E7"/>
    <w:rsid w:val="00821503"/>
    <w:rsid w:val="0082177A"/>
    <w:rsid w:val="008217A9"/>
    <w:rsid w:val="00821C30"/>
    <w:rsid w:val="00821CC2"/>
    <w:rsid w:val="00821E19"/>
    <w:rsid w:val="008220B5"/>
    <w:rsid w:val="008220CD"/>
    <w:rsid w:val="008227E8"/>
    <w:rsid w:val="00822BB8"/>
    <w:rsid w:val="00822D93"/>
    <w:rsid w:val="00822E35"/>
    <w:rsid w:val="008230B7"/>
    <w:rsid w:val="008231A0"/>
    <w:rsid w:val="008232A9"/>
    <w:rsid w:val="00823A41"/>
    <w:rsid w:val="00823FE4"/>
    <w:rsid w:val="008240D0"/>
    <w:rsid w:val="008242C1"/>
    <w:rsid w:val="0082442E"/>
    <w:rsid w:val="0082452F"/>
    <w:rsid w:val="00824CDD"/>
    <w:rsid w:val="00824E98"/>
    <w:rsid w:val="00824EB4"/>
    <w:rsid w:val="008250C3"/>
    <w:rsid w:val="00825167"/>
    <w:rsid w:val="0082526D"/>
    <w:rsid w:val="00825362"/>
    <w:rsid w:val="008254E9"/>
    <w:rsid w:val="00825537"/>
    <w:rsid w:val="00825A61"/>
    <w:rsid w:val="00825B65"/>
    <w:rsid w:val="00825EEB"/>
    <w:rsid w:val="00826132"/>
    <w:rsid w:val="008263E8"/>
    <w:rsid w:val="00826441"/>
    <w:rsid w:val="00826466"/>
    <w:rsid w:val="008264EB"/>
    <w:rsid w:val="0082657E"/>
    <w:rsid w:val="00826B8E"/>
    <w:rsid w:val="008272E1"/>
    <w:rsid w:val="00827534"/>
    <w:rsid w:val="0082779A"/>
    <w:rsid w:val="008279A7"/>
    <w:rsid w:val="008307E3"/>
    <w:rsid w:val="00830909"/>
    <w:rsid w:val="00830C86"/>
    <w:rsid w:val="00830D17"/>
    <w:rsid w:val="00830E9A"/>
    <w:rsid w:val="00830F89"/>
    <w:rsid w:val="008310AC"/>
    <w:rsid w:val="008319A7"/>
    <w:rsid w:val="00831D7B"/>
    <w:rsid w:val="00831F29"/>
    <w:rsid w:val="00831FF9"/>
    <w:rsid w:val="00832102"/>
    <w:rsid w:val="008321DD"/>
    <w:rsid w:val="0083220E"/>
    <w:rsid w:val="00832596"/>
    <w:rsid w:val="0083283D"/>
    <w:rsid w:val="008329BB"/>
    <w:rsid w:val="00832AF1"/>
    <w:rsid w:val="00832D1D"/>
    <w:rsid w:val="0083325E"/>
    <w:rsid w:val="008337B2"/>
    <w:rsid w:val="00833A90"/>
    <w:rsid w:val="00833B05"/>
    <w:rsid w:val="00833DD0"/>
    <w:rsid w:val="00833DEB"/>
    <w:rsid w:val="00833F10"/>
    <w:rsid w:val="00833F13"/>
    <w:rsid w:val="00833F16"/>
    <w:rsid w:val="00833F20"/>
    <w:rsid w:val="0083403C"/>
    <w:rsid w:val="0083465B"/>
    <w:rsid w:val="00834A93"/>
    <w:rsid w:val="00834D3B"/>
    <w:rsid w:val="00834DBD"/>
    <w:rsid w:val="00834E63"/>
    <w:rsid w:val="00835077"/>
    <w:rsid w:val="008357D1"/>
    <w:rsid w:val="008358D6"/>
    <w:rsid w:val="00835A5B"/>
    <w:rsid w:val="00835FD4"/>
    <w:rsid w:val="008364E9"/>
    <w:rsid w:val="0083671C"/>
    <w:rsid w:val="00836819"/>
    <w:rsid w:val="008368FE"/>
    <w:rsid w:val="00837275"/>
    <w:rsid w:val="008372CC"/>
    <w:rsid w:val="008373D6"/>
    <w:rsid w:val="008374B4"/>
    <w:rsid w:val="0083758C"/>
    <w:rsid w:val="008377B9"/>
    <w:rsid w:val="00837837"/>
    <w:rsid w:val="008378A3"/>
    <w:rsid w:val="00837B6D"/>
    <w:rsid w:val="00837BC0"/>
    <w:rsid w:val="00837C97"/>
    <w:rsid w:val="00837E0F"/>
    <w:rsid w:val="00840145"/>
    <w:rsid w:val="00840BD1"/>
    <w:rsid w:val="00840CA2"/>
    <w:rsid w:val="00840CF9"/>
    <w:rsid w:val="00840D4B"/>
    <w:rsid w:val="00840E5E"/>
    <w:rsid w:val="008410F1"/>
    <w:rsid w:val="00841232"/>
    <w:rsid w:val="00841636"/>
    <w:rsid w:val="008421FE"/>
    <w:rsid w:val="00842450"/>
    <w:rsid w:val="0084247A"/>
    <w:rsid w:val="0084264C"/>
    <w:rsid w:val="008426B5"/>
    <w:rsid w:val="0084290B"/>
    <w:rsid w:val="008429BD"/>
    <w:rsid w:val="00842ADA"/>
    <w:rsid w:val="00842F76"/>
    <w:rsid w:val="00843153"/>
    <w:rsid w:val="008431D8"/>
    <w:rsid w:val="0084348B"/>
    <w:rsid w:val="00843494"/>
    <w:rsid w:val="00843638"/>
    <w:rsid w:val="008436EE"/>
    <w:rsid w:val="008437C5"/>
    <w:rsid w:val="00843823"/>
    <w:rsid w:val="00843CD3"/>
    <w:rsid w:val="00843F18"/>
    <w:rsid w:val="00844188"/>
    <w:rsid w:val="00844543"/>
    <w:rsid w:val="0084463C"/>
    <w:rsid w:val="00844945"/>
    <w:rsid w:val="00844C6B"/>
    <w:rsid w:val="008450A6"/>
    <w:rsid w:val="008450BA"/>
    <w:rsid w:val="008455F9"/>
    <w:rsid w:val="008455FD"/>
    <w:rsid w:val="0084580C"/>
    <w:rsid w:val="0084585B"/>
    <w:rsid w:val="00845C4A"/>
    <w:rsid w:val="0084624D"/>
    <w:rsid w:val="0084682C"/>
    <w:rsid w:val="00846E88"/>
    <w:rsid w:val="008470D4"/>
    <w:rsid w:val="008472B2"/>
    <w:rsid w:val="008475A9"/>
    <w:rsid w:val="00847710"/>
    <w:rsid w:val="00847861"/>
    <w:rsid w:val="00847CC3"/>
    <w:rsid w:val="00847CF1"/>
    <w:rsid w:val="00850021"/>
    <w:rsid w:val="00850604"/>
    <w:rsid w:val="00850785"/>
    <w:rsid w:val="008507D1"/>
    <w:rsid w:val="00850AE4"/>
    <w:rsid w:val="00850C86"/>
    <w:rsid w:val="00850D42"/>
    <w:rsid w:val="00850F81"/>
    <w:rsid w:val="008510AE"/>
    <w:rsid w:val="0085121A"/>
    <w:rsid w:val="00851C0F"/>
    <w:rsid w:val="00851D16"/>
    <w:rsid w:val="00852128"/>
    <w:rsid w:val="00852438"/>
    <w:rsid w:val="008528B6"/>
    <w:rsid w:val="008528D3"/>
    <w:rsid w:val="00852A1B"/>
    <w:rsid w:val="00852DEF"/>
    <w:rsid w:val="00853038"/>
    <w:rsid w:val="008535AC"/>
    <w:rsid w:val="00853808"/>
    <w:rsid w:val="008538D8"/>
    <w:rsid w:val="00853947"/>
    <w:rsid w:val="00853A9B"/>
    <w:rsid w:val="00853D86"/>
    <w:rsid w:val="008541C6"/>
    <w:rsid w:val="008548B0"/>
    <w:rsid w:val="00854C57"/>
    <w:rsid w:val="00854CC5"/>
    <w:rsid w:val="00854CF7"/>
    <w:rsid w:val="0085505E"/>
    <w:rsid w:val="0085532B"/>
    <w:rsid w:val="00855440"/>
    <w:rsid w:val="0085558B"/>
    <w:rsid w:val="00855A9F"/>
    <w:rsid w:val="00855BF2"/>
    <w:rsid w:val="00855C66"/>
    <w:rsid w:val="008567FE"/>
    <w:rsid w:val="00856871"/>
    <w:rsid w:val="00856E9A"/>
    <w:rsid w:val="0085703D"/>
    <w:rsid w:val="00857404"/>
    <w:rsid w:val="00857906"/>
    <w:rsid w:val="00857B25"/>
    <w:rsid w:val="00857C69"/>
    <w:rsid w:val="00857C81"/>
    <w:rsid w:val="00857D13"/>
    <w:rsid w:val="00857F9A"/>
    <w:rsid w:val="00860138"/>
    <w:rsid w:val="00860207"/>
    <w:rsid w:val="0086049B"/>
    <w:rsid w:val="008606BC"/>
    <w:rsid w:val="0086090F"/>
    <w:rsid w:val="008609E2"/>
    <w:rsid w:val="00860C36"/>
    <w:rsid w:val="00860C78"/>
    <w:rsid w:val="00860CAF"/>
    <w:rsid w:val="00860D31"/>
    <w:rsid w:val="00860FD3"/>
    <w:rsid w:val="008611F5"/>
    <w:rsid w:val="0086131E"/>
    <w:rsid w:val="0086159C"/>
    <w:rsid w:val="00861864"/>
    <w:rsid w:val="00861E52"/>
    <w:rsid w:val="00861F05"/>
    <w:rsid w:val="0086200C"/>
    <w:rsid w:val="00862502"/>
    <w:rsid w:val="00862781"/>
    <w:rsid w:val="00862985"/>
    <w:rsid w:val="00862C39"/>
    <w:rsid w:val="00862F5E"/>
    <w:rsid w:val="00863214"/>
    <w:rsid w:val="008633D9"/>
    <w:rsid w:val="008636B9"/>
    <w:rsid w:val="008637F0"/>
    <w:rsid w:val="0086397D"/>
    <w:rsid w:val="00863AE3"/>
    <w:rsid w:val="00863B9E"/>
    <w:rsid w:val="00863C73"/>
    <w:rsid w:val="00863DB5"/>
    <w:rsid w:val="00863F28"/>
    <w:rsid w:val="008640CF"/>
    <w:rsid w:val="00864246"/>
    <w:rsid w:val="008642D7"/>
    <w:rsid w:val="008642EE"/>
    <w:rsid w:val="0086455E"/>
    <w:rsid w:val="008646F7"/>
    <w:rsid w:val="00864AFE"/>
    <w:rsid w:val="00864DD1"/>
    <w:rsid w:val="00864F20"/>
    <w:rsid w:val="00864F32"/>
    <w:rsid w:val="00864F41"/>
    <w:rsid w:val="0086508F"/>
    <w:rsid w:val="00865306"/>
    <w:rsid w:val="0086560B"/>
    <w:rsid w:val="00865BD7"/>
    <w:rsid w:val="00866212"/>
    <w:rsid w:val="00866230"/>
    <w:rsid w:val="00866407"/>
    <w:rsid w:val="00866A8D"/>
    <w:rsid w:val="00867073"/>
    <w:rsid w:val="00867132"/>
    <w:rsid w:val="008676D7"/>
    <w:rsid w:val="008677E4"/>
    <w:rsid w:val="00867C15"/>
    <w:rsid w:val="00867C52"/>
    <w:rsid w:val="00867E26"/>
    <w:rsid w:val="008700FF"/>
    <w:rsid w:val="00870267"/>
    <w:rsid w:val="00870288"/>
    <w:rsid w:val="00870BA6"/>
    <w:rsid w:val="00870C49"/>
    <w:rsid w:val="00870E0C"/>
    <w:rsid w:val="00870ECC"/>
    <w:rsid w:val="008711BC"/>
    <w:rsid w:val="00871299"/>
    <w:rsid w:val="008719BB"/>
    <w:rsid w:val="00871ABA"/>
    <w:rsid w:val="00871C34"/>
    <w:rsid w:val="00871EF5"/>
    <w:rsid w:val="00871FA2"/>
    <w:rsid w:val="00872028"/>
    <w:rsid w:val="00872042"/>
    <w:rsid w:val="008722BF"/>
    <w:rsid w:val="008724C8"/>
    <w:rsid w:val="0087261C"/>
    <w:rsid w:val="008727B4"/>
    <w:rsid w:val="00872AA9"/>
    <w:rsid w:val="00872B37"/>
    <w:rsid w:val="00872E9C"/>
    <w:rsid w:val="00872ECD"/>
    <w:rsid w:val="0087333C"/>
    <w:rsid w:val="008735E7"/>
    <w:rsid w:val="008737BC"/>
    <w:rsid w:val="0087381F"/>
    <w:rsid w:val="00873A4F"/>
    <w:rsid w:val="00873A7A"/>
    <w:rsid w:val="00873A8D"/>
    <w:rsid w:val="00873CC1"/>
    <w:rsid w:val="00874278"/>
    <w:rsid w:val="00874527"/>
    <w:rsid w:val="00874897"/>
    <w:rsid w:val="00874C03"/>
    <w:rsid w:val="0087512F"/>
    <w:rsid w:val="008752DB"/>
    <w:rsid w:val="008754A1"/>
    <w:rsid w:val="008755D3"/>
    <w:rsid w:val="00875671"/>
    <w:rsid w:val="00875699"/>
    <w:rsid w:val="00875741"/>
    <w:rsid w:val="00875915"/>
    <w:rsid w:val="00875BE5"/>
    <w:rsid w:val="00875E83"/>
    <w:rsid w:val="00875F70"/>
    <w:rsid w:val="0087659E"/>
    <w:rsid w:val="0087660C"/>
    <w:rsid w:val="00876B12"/>
    <w:rsid w:val="008775D4"/>
    <w:rsid w:val="00877A45"/>
    <w:rsid w:val="00877B10"/>
    <w:rsid w:val="00877E86"/>
    <w:rsid w:val="00877F2A"/>
    <w:rsid w:val="0088023F"/>
    <w:rsid w:val="008805E0"/>
    <w:rsid w:val="00880700"/>
    <w:rsid w:val="00880A04"/>
    <w:rsid w:val="00880B40"/>
    <w:rsid w:val="00880E06"/>
    <w:rsid w:val="00880EBB"/>
    <w:rsid w:val="00881201"/>
    <w:rsid w:val="00881709"/>
    <w:rsid w:val="00881754"/>
    <w:rsid w:val="00881763"/>
    <w:rsid w:val="0088184F"/>
    <w:rsid w:val="00881A16"/>
    <w:rsid w:val="00881B28"/>
    <w:rsid w:val="00881BCF"/>
    <w:rsid w:val="00881C04"/>
    <w:rsid w:val="00882063"/>
    <w:rsid w:val="00882351"/>
    <w:rsid w:val="00882748"/>
    <w:rsid w:val="00882789"/>
    <w:rsid w:val="00882874"/>
    <w:rsid w:val="008828FB"/>
    <w:rsid w:val="00882A86"/>
    <w:rsid w:val="00882B46"/>
    <w:rsid w:val="00882CF3"/>
    <w:rsid w:val="008830F0"/>
    <w:rsid w:val="008834DA"/>
    <w:rsid w:val="00883787"/>
    <w:rsid w:val="00883BBA"/>
    <w:rsid w:val="008840B1"/>
    <w:rsid w:val="00884339"/>
    <w:rsid w:val="008844C7"/>
    <w:rsid w:val="00884822"/>
    <w:rsid w:val="008849C2"/>
    <w:rsid w:val="00884B8E"/>
    <w:rsid w:val="00884F8E"/>
    <w:rsid w:val="00885128"/>
    <w:rsid w:val="00885751"/>
    <w:rsid w:val="0088577E"/>
    <w:rsid w:val="00885A93"/>
    <w:rsid w:val="00885B9F"/>
    <w:rsid w:val="00885BF8"/>
    <w:rsid w:val="00886201"/>
    <w:rsid w:val="008862A7"/>
    <w:rsid w:val="0088667E"/>
    <w:rsid w:val="00886AD3"/>
    <w:rsid w:val="00886E59"/>
    <w:rsid w:val="00886E92"/>
    <w:rsid w:val="008871EB"/>
    <w:rsid w:val="00887214"/>
    <w:rsid w:val="00887501"/>
    <w:rsid w:val="008876BF"/>
    <w:rsid w:val="008878D1"/>
    <w:rsid w:val="00887917"/>
    <w:rsid w:val="00887C0C"/>
    <w:rsid w:val="00887D98"/>
    <w:rsid w:val="008901A7"/>
    <w:rsid w:val="008902DA"/>
    <w:rsid w:val="0089057F"/>
    <w:rsid w:val="008905D7"/>
    <w:rsid w:val="0089060E"/>
    <w:rsid w:val="00890668"/>
    <w:rsid w:val="00890D1B"/>
    <w:rsid w:val="00891337"/>
    <w:rsid w:val="00891386"/>
    <w:rsid w:val="00891535"/>
    <w:rsid w:val="008915FB"/>
    <w:rsid w:val="00891727"/>
    <w:rsid w:val="008919DA"/>
    <w:rsid w:val="00891A9F"/>
    <w:rsid w:val="00891BA8"/>
    <w:rsid w:val="00891C4F"/>
    <w:rsid w:val="00891CAC"/>
    <w:rsid w:val="00891DF9"/>
    <w:rsid w:val="0089202D"/>
    <w:rsid w:val="00892064"/>
    <w:rsid w:val="00892443"/>
    <w:rsid w:val="00892708"/>
    <w:rsid w:val="008928D5"/>
    <w:rsid w:val="008928E5"/>
    <w:rsid w:val="00892976"/>
    <w:rsid w:val="00892C67"/>
    <w:rsid w:val="00892E94"/>
    <w:rsid w:val="00893037"/>
    <w:rsid w:val="0089303C"/>
    <w:rsid w:val="00893698"/>
    <w:rsid w:val="008938FD"/>
    <w:rsid w:val="0089434C"/>
    <w:rsid w:val="00894489"/>
    <w:rsid w:val="008945C6"/>
    <w:rsid w:val="00894764"/>
    <w:rsid w:val="00894946"/>
    <w:rsid w:val="00894A48"/>
    <w:rsid w:val="00894AE4"/>
    <w:rsid w:val="00894C4E"/>
    <w:rsid w:val="00894F6B"/>
    <w:rsid w:val="00894FB0"/>
    <w:rsid w:val="0089513A"/>
    <w:rsid w:val="00895186"/>
    <w:rsid w:val="00895991"/>
    <w:rsid w:val="00895B0E"/>
    <w:rsid w:val="00895B30"/>
    <w:rsid w:val="00895F4C"/>
    <w:rsid w:val="00896247"/>
    <w:rsid w:val="008962D2"/>
    <w:rsid w:val="00896359"/>
    <w:rsid w:val="0089635F"/>
    <w:rsid w:val="008963A5"/>
    <w:rsid w:val="00896705"/>
    <w:rsid w:val="00896749"/>
    <w:rsid w:val="008967A6"/>
    <w:rsid w:val="00896911"/>
    <w:rsid w:val="00896EE2"/>
    <w:rsid w:val="008970AA"/>
    <w:rsid w:val="0089712D"/>
    <w:rsid w:val="00897251"/>
    <w:rsid w:val="00897263"/>
    <w:rsid w:val="00897265"/>
    <w:rsid w:val="0089728A"/>
    <w:rsid w:val="008974B8"/>
    <w:rsid w:val="008975E7"/>
    <w:rsid w:val="00897962"/>
    <w:rsid w:val="00897F84"/>
    <w:rsid w:val="00897FAC"/>
    <w:rsid w:val="008A026D"/>
    <w:rsid w:val="008A09A5"/>
    <w:rsid w:val="008A0A26"/>
    <w:rsid w:val="008A0B17"/>
    <w:rsid w:val="008A0BF6"/>
    <w:rsid w:val="008A11BD"/>
    <w:rsid w:val="008A1222"/>
    <w:rsid w:val="008A14BF"/>
    <w:rsid w:val="008A14E6"/>
    <w:rsid w:val="008A157A"/>
    <w:rsid w:val="008A15D8"/>
    <w:rsid w:val="008A18CB"/>
    <w:rsid w:val="008A1970"/>
    <w:rsid w:val="008A19A1"/>
    <w:rsid w:val="008A1A14"/>
    <w:rsid w:val="008A1CE4"/>
    <w:rsid w:val="008A1D0D"/>
    <w:rsid w:val="008A2148"/>
    <w:rsid w:val="008A21B6"/>
    <w:rsid w:val="008A2275"/>
    <w:rsid w:val="008A2388"/>
    <w:rsid w:val="008A23C8"/>
    <w:rsid w:val="008A2464"/>
    <w:rsid w:val="008A24FB"/>
    <w:rsid w:val="008A2517"/>
    <w:rsid w:val="008A26A1"/>
    <w:rsid w:val="008A2D60"/>
    <w:rsid w:val="008A2D78"/>
    <w:rsid w:val="008A2F2A"/>
    <w:rsid w:val="008A3101"/>
    <w:rsid w:val="008A3195"/>
    <w:rsid w:val="008A38BD"/>
    <w:rsid w:val="008A3940"/>
    <w:rsid w:val="008A394D"/>
    <w:rsid w:val="008A3B00"/>
    <w:rsid w:val="008A3C3E"/>
    <w:rsid w:val="008A3E09"/>
    <w:rsid w:val="008A44BE"/>
    <w:rsid w:val="008A4A5A"/>
    <w:rsid w:val="008A4E6F"/>
    <w:rsid w:val="008A54A6"/>
    <w:rsid w:val="008A54DE"/>
    <w:rsid w:val="008A559A"/>
    <w:rsid w:val="008A5C11"/>
    <w:rsid w:val="008A6351"/>
    <w:rsid w:val="008A698A"/>
    <w:rsid w:val="008A6D6A"/>
    <w:rsid w:val="008A7645"/>
    <w:rsid w:val="008A7738"/>
    <w:rsid w:val="008A7873"/>
    <w:rsid w:val="008A79DE"/>
    <w:rsid w:val="008A79F8"/>
    <w:rsid w:val="008A7C9A"/>
    <w:rsid w:val="008A7E0D"/>
    <w:rsid w:val="008B00B1"/>
    <w:rsid w:val="008B03B1"/>
    <w:rsid w:val="008B0641"/>
    <w:rsid w:val="008B066B"/>
    <w:rsid w:val="008B0BAD"/>
    <w:rsid w:val="008B0F90"/>
    <w:rsid w:val="008B13F8"/>
    <w:rsid w:val="008B169D"/>
    <w:rsid w:val="008B183F"/>
    <w:rsid w:val="008B1C34"/>
    <w:rsid w:val="008B1C60"/>
    <w:rsid w:val="008B1D97"/>
    <w:rsid w:val="008B2525"/>
    <w:rsid w:val="008B259A"/>
    <w:rsid w:val="008B2792"/>
    <w:rsid w:val="008B2A54"/>
    <w:rsid w:val="008B3251"/>
    <w:rsid w:val="008B3598"/>
    <w:rsid w:val="008B38B9"/>
    <w:rsid w:val="008B3B83"/>
    <w:rsid w:val="008B3CD2"/>
    <w:rsid w:val="008B3F23"/>
    <w:rsid w:val="008B41AA"/>
    <w:rsid w:val="008B423F"/>
    <w:rsid w:val="008B42DA"/>
    <w:rsid w:val="008B444B"/>
    <w:rsid w:val="008B44A1"/>
    <w:rsid w:val="008B4D36"/>
    <w:rsid w:val="008B4ED3"/>
    <w:rsid w:val="008B5001"/>
    <w:rsid w:val="008B56AE"/>
    <w:rsid w:val="008B5797"/>
    <w:rsid w:val="008B5D11"/>
    <w:rsid w:val="008B61BE"/>
    <w:rsid w:val="008B68E2"/>
    <w:rsid w:val="008B6B91"/>
    <w:rsid w:val="008B6BA5"/>
    <w:rsid w:val="008B6E1B"/>
    <w:rsid w:val="008B7094"/>
    <w:rsid w:val="008B7129"/>
    <w:rsid w:val="008B72BC"/>
    <w:rsid w:val="008B7404"/>
    <w:rsid w:val="008B7503"/>
    <w:rsid w:val="008B7887"/>
    <w:rsid w:val="008B79A0"/>
    <w:rsid w:val="008B7ABD"/>
    <w:rsid w:val="008B7D7E"/>
    <w:rsid w:val="008C013C"/>
    <w:rsid w:val="008C0A85"/>
    <w:rsid w:val="008C0C67"/>
    <w:rsid w:val="008C0D45"/>
    <w:rsid w:val="008C0E47"/>
    <w:rsid w:val="008C0FD8"/>
    <w:rsid w:val="008C179F"/>
    <w:rsid w:val="008C1804"/>
    <w:rsid w:val="008C19C2"/>
    <w:rsid w:val="008C1AF4"/>
    <w:rsid w:val="008C1B50"/>
    <w:rsid w:val="008C1D46"/>
    <w:rsid w:val="008C1F9F"/>
    <w:rsid w:val="008C2398"/>
    <w:rsid w:val="008C2549"/>
    <w:rsid w:val="008C295E"/>
    <w:rsid w:val="008C2D9D"/>
    <w:rsid w:val="008C2DDB"/>
    <w:rsid w:val="008C30FF"/>
    <w:rsid w:val="008C311B"/>
    <w:rsid w:val="008C32BB"/>
    <w:rsid w:val="008C3321"/>
    <w:rsid w:val="008C3496"/>
    <w:rsid w:val="008C38AD"/>
    <w:rsid w:val="008C3941"/>
    <w:rsid w:val="008C3B5F"/>
    <w:rsid w:val="008C3B7B"/>
    <w:rsid w:val="008C3CF8"/>
    <w:rsid w:val="008C3D81"/>
    <w:rsid w:val="008C3E2B"/>
    <w:rsid w:val="008C407D"/>
    <w:rsid w:val="008C45A3"/>
    <w:rsid w:val="008C45C0"/>
    <w:rsid w:val="008C49B5"/>
    <w:rsid w:val="008C4CD8"/>
    <w:rsid w:val="008C4D5A"/>
    <w:rsid w:val="008C4FCB"/>
    <w:rsid w:val="008C50CC"/>
    <w:rsid w:val="008C5636"/>
    <w:rsid w:val="008C5A74"/>
    <w:rsid w:val="008C6363"/>
    <w:rsid w:val="008C66AA"/>
    <w:rsid w:val="008C681C"/>
    <w:rsid w:val="008C6985"/>
    <w:rsid w:val="008C6A95"/>
    <w:rsid w:val="008C6C48"/>
    <w:rsid w:val="008C6E3A"/>
    <w:rsid w:val="008C6EDA"/>
    <w:rsid w:val="008C70A1"/>
    <w:rsid w:val="008C719C"/>
    <w:rsid w:val="008C7292"/>
    <w:rsid w:val="008C734A"/>
    <w:rsid w:val="008C73B6"/>
    <w:rsid w:val="008C7423"/>
    <w:rsid w:val="008C76A2"/>
    <w:rsid w:val="008C76C1"/>
    <w:rsid w:val="008C7734"/>
    <w:rsid w:val="008C7C5E"/>
    <w:rsid w:val="008C7C9D"/>
    <w:rsid w:val="008C7EA1"/>
    <w:rsid w:val="008C7ECB"/>
    <w:rsid w:val="008D0340"/>
    <w:rsid w:val="008D0E26"/>
    <w:rsid w:val="008D134E"/>
    <w:rsid w:val="008D18B2"/>
    <w:rsid w:val="008D19B6"/>
    <w:rsid w:val="008D1B9D"/>
    <w:rsid w:val="008D2153"/>
    <w:rsid w:val="008D233F"/>
    <w:rsid w:val="008D26E8"/>
    <w:rsid w:val="008D2820"/>
    <w:rsid w:val="008D2A65"/>
    <w:rsid w:val="008D2CAE"/>
    <w:rsid w:val="008D2EC4"/>
    <w:rsid w:val="008D3365"/>
    <w:rsid w:val="008D382D"/>
    <w:rsid w:val="008D3A6C"/>
    <w:rsid w:val="008D3C20"/>
    <w:rsid w:val="008D41B1"/>
    <w:rsid w:val="008D43C7"/>
    <w:rsid w:val="008D47CE"/>
    <w:rsid w:val="008D47DE"/>
    <w:rsid w:val="008D482F"/>
    <w:rsid w:val="008D4E4A"/>
    <w:rsid w:val="008D53DD"/>
    <w:rsid w:val="008D5506"/>
    <w:rsid w:val="008D568D"/>
    <w:rsid w:val="008D5B67"/>
    <w:rsid w:val="008D5D22"/>
    <w:rsid w:val="008D5DC3"/>
    <w:rsid w:val="008D62B4"/>
    <w:rsid w:val="008D67E4"/>
    <w:rsid w:val="008D680A"/>
    <w:rsid w:val="008D6C88"/>
    <w:rsid w:val="008D714A"/>
    <w:rsid w:val="008D72D9"/>
    <w:rsid w:val="008D7353"/>
    <w:rsid w:val="008D74FE"/>
    <w:rsid w:val="008D75BA"/>
    <w:rsid w:val="008D768A"/>
    <w:rsid w:val="008D789D"/>
    <w:rsid w:val="008D7A57"/>
    <w:rsid w:val="008D7D10"/>
    <w:rsid w:val="008E02BB"/>
    <w:rsid w:val="008E059D"/>
    <w:rsid w:val="008E06EF"/>
    <w:rsid w:val="008E0782"/>
    <w:rsid w:val="008E099A"/>
    <w:rsid w:val="008E0B4E"/>
    <w:rsid w:val="008E1096"/>
    <w:rsid w:val="008E11B0"/>
    <w:rsid w:val="008E122F"/>
    <w:rsid w:val="008E1304"/>
    <w:rsid w:val="008E15D4"/>
    <w:rsid w:val="008E1752"/>
    <w:rsid w:val="008E1769"/>
    <w:rsid w:val="008E177F"/>
    <w:rsid w:val="008E18C3"/>
    <w:rsid w:val="008E1B9E"/>
    <w:rsid w:val="008E1D49"/>
    <w:rsid w:val="008E1EFE"/>
    <w:rsid w:val="008E24DD"/>
    <w:rsid w:val="008E25C0"/>
    <w:rsid w:val="008E290E"/>
    <w:rsid w:val="008E293B"/>
    <w:rsid w:val="008E2A3E"/>
    <w:rsid w:val="008E2CAE"/>
    <w:rsid w:val="008E2E03"/>
    <w:rsid w:val="008E2E33"/>
    <w:rsid w:val="008E3651"/>
    <w:rsid w:val="008E36F0"/>
    <w:rsid w:val="008E39FE"/>
    <w:rsid w:val="008E3BF0"/>
    <w:rsid w:val="008E3CCD"/>
    <w:rsid w:val="008E3CE2"/>
    <w:rsid w:val="008E411B"/>
    <w:rsid w:val="008E42DE"/>
    <w:rsid w:val="008E45E4"/>
    <w:rsid w:val="008E472B"/>
    <w:rsid w:val="008E49C7"/>
    <w:rsid w:val="008E4A7A"/>
    <w:rsid w:val="008E4DC0"/>
    <w:rsid w:val="008E4DC3"/>
    <w:rsid w:val="008E5136"/>
    <w:rsid w:val="008E5315"/>
    <w:rsid w:val="008E5340"/>
    <w:rsid w:val="008E558D"/>
    <w:rsid w:val="008E55F8"/>
    <w:rsid w:val="008E5DFF"/>
    <w:rsid w:val="008E5EFE"/>
    <w:rsid w:val="008E5F38"/>
    <w:rsid w:val="008E5F9A"/>
    <w:rsid w:val="008E6087"/>
    <w:rsid w:val="008E62CD"/>
    <w:rsid w:val="008E62EA"/>
    <w:rsid w:val="008E69BD"/>
    <w:rsid w:val="008E6CA5"/>
    <w:rsid w:val="008E6CB5"/>
    <w:rsid w:val="008E7360"/>
    <w:rsid w:val="008E753C"/>
    <w:rsid w:val="008E7B04"/>
    <w:rsid w:val="008E7D6A"/>
    <w:rsid w:val="008F008E"/>
    <w:rsid w:val="008F0446"/>
    <w:rsid w:val="008F052E"/>
    <w:rsid w:val="008F07F2"/>
    <w:rsid w:val="008F0A5B"/>
    <w:rsid w:val="008F0B80"/>
    <w:rsid w:val="008F0C46"/>
    <w:rsid w:val="008F0C59"/>
    <w:rsid w:val="008F0E12"/>
    <w:rsid w:val="008F0E70"/>
    <w:rsid w:val="008F0E90"/>
    <w:rsid w:val="008F120A"/>
    <w:rsid w:val="008F148F"/>
    <w:rsid w:val="008F175A"/>
    <w:rsid w:val="008F1785"/>
    <w:rsid w:val="008F183E"/>
    <w:rsid w:val="008F1942"/>
    <w:rsid w:val="008F19E2"/>
    <w:rsid w:val="008F1D8E"/>
    <w:rsid w:val="008F1E63"/>
    <w:rsid w:val="008F2139"/>
    <w:rsid w:val="008F2155"/>
    <w:rsid w:val="008F243F"/>
    <w:rsid w:val="008F24EF"/>
    <w:rsid w:val="008F253E"/>
    <w:rsid w:val="008F25AE"/>
    <w:rsid w:val="008F261C"/>
    <w:rsid w:val="008F2A5C"/>
    <w:rsid w:val="008F2C15"/>
    <w:rsid w:val="008F31F3"/>
    <w:rsid w:val="008F3545"/>
    <w:rsid w:val="008F3590"/>
    <w:rsid w:val="008F3606"/>
    <w:rsid w:val="008F37CB"/>
    <w:rsid w:val="008F37DC"/>
    <w:rsid w:val="008F3C01"/>
    <w:rsid w:val="008F3C7B"/>
    <w:rsid w:val="008F3CC6"/>
    <w:rsid w:val="008F3D68"/>
    <w:rsid w:val="008F3D83"/>
    <w:rsid w:val="008F4124"/>
    <w:rsid w:val="008F418A"/>
    <w:rsid w:val="008F43B2"/>
    <w:rsid w:val="008F48EB"/>
    <w:rsid w:val="008F4A14"/>
    <w:rsid w:val="008F4B7A"/>
    <w:rsid w:val="008F4E53"/>
    <w:rsid w:val="008F4EE4"/>
    <w:rsid w:val="008F4F0B"/>
    <w:rsid w:val="008F4F86"/>
    <w:rsid w:val="008F506E"/>
    <w:rsid w:val="008F50AF"/>
    <w:rsid w:val="008F56BC"/>
    <w:rsid w:val="008F5843"/>
    <w:rsid w:val="008F5C5D"/>
    <w:rsid w:val="008F5F46"/>
    <w:rsid w:val="008F6044"/>
    <w:rsid w:val="008F61DF"/>
    <w:rsid w:val="008F61EF"/>
    <w:rsid w:val="008F648B"/>
    <w:rsid w:val="008F6820"/>
    <w:rsid w:val="008F6857"/>
    <w:rsid w:val="008F691B"/>
    <w:rsid w:val="008F6EDF"/>
    <w:rsid w:val="008F706B"/>
    <w:rsid w:val="008F77F9"/>
    <w:rsid w:val="008F780A"/>
    <w:rsid w:val="008F78A6"/>
    <w:rsid w:val="008F7B75"/>
    <w:rsid w:val="008F7C6C"/>
    <w:rsid w:val="008F7CF7"/>
    <w:rsid w:val="008F7D34"/>
    <w:rsid w:val="008F7F0D"/>
    <w:rsid w:val="00900741"/>
    <w:rsid w:val="00900CE5"/>
    <w:rsid w:val="00901067"/>
    <w:rsid w:val="009010E8"/>
    <w:rsid w:val="009014FC"/>
    <w:rsid w:val="0090185E"/>
    <w:rsid w:val="00901A48"/>
    <w:rsid w:val="00901AF4"/>
    <w:rsid w:val="00901B3B"/>
    <w:rsid w:val="00901B47"/>
    <w:rsid w:val="00901EED"/>
    <w:rsid w:val="00901F60"/>
    <w:rsid w:val="009023BF"/>
    <w:rsid w:val="009023C8"/>
    <w:rsid w:val="00902522"/>
    <w:rsid w:val="009028F0"/>
    <w:rsid w:val="00902B36"/>
    <w:rsid w:val="00902FB4"/>
    <w:rsid w:val="00903158"/>
    <w:rsid w:val="00903365"/>
    <w:rsid w:val="009033CE"/>
    <w:rsid w:val="00903428"/>
    <w:rsid w:val="009037F8"/>
    <w:rsid w:val="009038AB"/>
    <w:rsid w:val="0090391E"/>
    <w:rsid w:val="00903C04"/>
    <w:rsid w:val="00903CC2"/>
    <w:rsid w:val="00903D27"/>
    <w:rsid w:val="00904074"/>
    <w:rsid w:val="009040B7"/>
    <w:rsid w:val="0090424F"/>
    <w:rsid w:val="009047BC"/>
    <w:rsid w:val="00904BC6"/>
    <w:rsid w:val="00904C1F"/>
    <w:rsid w:val="00904C52"/>
    <w:rsid w:val="00904F22"/>
    <w:rsid w:val="00904FBD"/>
    <w:rsid w:val="00905538"/>
    <w:rsid w:val="00905953"/>
    <w:rsid w:val="00905B13"/>
    <w:rsid w:val="00905E30"/>
    <w:rsid w:val="00905FE2"/>
    <w:rsid w:val="0090614A"/>
    <w:rsid w:val="0090617E"/>
    <w:rsid w:val="00906273"/>
    <w:rsid w:val="009062A5"/>
    <w:rsid w:val="00906471"/>
    <w:rsid w:val="00906712"/>
    <w:rsid w:val="009068A0"/>
    <w:rsid w:val="009069DF"/>
    <w:rsid w:val="00906CC0"/>
    <w:rsid w:val="00906CF1"/>
    <w:rsid w:val="00906DDB"/>
    <w:rsid w:val="00907111"/>
    <w:rsid w:val="0090755C"/>
    <w:rsid w:val="009075EA"/>
    <w:rsid w:val="00907610"/>
    <w:rsid w:val="00907841"/>
    <w:rsid w:val="00907A1E"/>
    <w:rsid w:val="00907A4F"/>
    <w:rsid w:val="00907BCF"/>
    <w:rsid w:val="00907EEA"/>
    <w:rsid w:val="00907F1E"/>
    <w:rsid w:val="00910540"/>
    <w:rsid w:val="00910735"/>
    <w:rsid w:val="00910BBB"/>
    <w:rsid w:val="00911272"/>
    <w:rsid w:val="00911449"/>
    <w:rsid w:val="009115A0"/>
    <w:rsid w:val="0091161E"/>
    <w:rsid w:val="00911707"/>
    <w:rsid w:val="009119E3"/>
    <w:rsid w:val="00911F5C"/>
    <w:rsid w:val="00912047"/>
    <w:rsid w:val="00912177"/>
    <w:rsid w:val="00912335"/>
    <w:rsid w:val="00912819"/>
    <w:rsid w:val="009128E8"/>
    <w:rsid w:val="009129FB"/>
    <w:rsid w:val="00912EE2"/>
    <w:rsid w:val="00912F78"/>
    <w:rsid w:val="009131D0"/>
    <w:rsid w:val="0091372D"/>
    <w:rsid w:val="0091379B"/>
    <w:rsid w:val="00913850"/>
    <w:rsid w:val="00913E0B"/>
    <w:rsid w:val="009140E8"/>
    <w:rsid w:val="009144CD"/>
    <w:rsid w:val="00914816"/>
    <w:rsid w:val="009150BB"/>
    <w:rsid w:val="00915202"/>
    <w:rsid w:val="0091538D"/>
    <w:rsid w:val="00915442"/>
    <w:rsid w:val="00915572"/>
    <w:rsid w:val="009155AF"/>
    <w:rsid w:val="009156A7"/>
    <w:rsid w:val="00915759"/>
    <w:rsid w:val="00915A3E"/>
    <w:rsid w:val="00915D6F"/>
    <w:rsid w:val="00915E61"/>
    <w:rsid w:val="00915FD6"/>
    <w:rsid w:val="00916482"/>
    <w:rsid w:val="009164F5"/>
    <w:rsid w:val="009165D1"/>
    <w:rsid w:val="009165E6"/>
    <w:rsid w:val="00916686"/>
    <w:rsid w:val="009167BE"/>
    <w:rsid w:val="0091688B"/>
    <w:rsid w:val="00916AD4"/>
    <w:rsid w:val="00916ADD"/>
    <w:rsid w:val="009170D0"/>
    <w:rsid w:val="00917105"/>
    <w:rsid w:val="0091732F"/>
    <w:rsid w:val="00917445"/>
    <w:rsid w:val="00917A48"/>
    <w:rsid w:val="00917B3C"/>
    <w:rsid w:val="00920126"/>
    <w:rsid w:val="0092024D"/>
    <w:rsid w:val="0092025B"/>
    <w:rsid w:val="0092044B"/>
    <w:rsid w:val="009204CB"/>
    <w:rsid w:val="00920920"/>
    <w:rsid w:val="00920D8E"/>
    <w:rsid w:val="009211B3"/>
    <w:rsid w:val="00921259"/>
    <w:rsid w:val="00921366"/>
    <w:rsid w:val="009213CB"/>
    <w:rsid w:val="00921DBB"/>
    <w:rsid w:val="00921FE9"/>
    <w:rsid w:val="00922058"/>
    <w:rsid w:val="0092224E"/>
    <w:rsid w:val="009222D5"/>
    <w:rsid w:val="00922310"/>
    <w:rsid w:val="009226C5"/>
    <w:rsid w:val="00922763"/>
    <w:rsid w:val="009228DA"/>
    <w:rsid w:val="0092293A"/>
    <w:rsid w:val="00922ABE"/>
    <w:rsid w:val="00922BC6"/>
    <w:rsid w:val="00922F8E"/>
    <w:rsid w:val="00923C5D"/>
    <w:rsid w:val="009240D5"/>
    <w:rsid w:val="0092453A"/>
    <w:rsid w:val="00924940"/>
    <w:rsid w:val="00924E3C"/>
    <w:rsid w:val="0092536D"/>
    <w:rsid w:val="0092640B"/>
    <w:rsid w:val="00926503"/>
    <w:rsid w:val="009265E0"/>
    <w:rsid w:val="0092663A"/>
    <w:rsid w:val="00926807"/>
    <w:rsid w:val="00926D26"/>
    <w:rsid w:val="00926D38"/>
    <w:rsid w:val="00926FB2"/>
    <w:rsid w:val="009270DE"/>
    <w:rsid w:val="00927746"/>
    <w:rsid w:val="00927782"/>
    <w:rsid w:val="009279A7"/>
    <w:rsid w:val="009279C4"/>
    <w:rsid w:val="00927AD8"/>
    <w:rsid w:val="00927B7E"/>
    <w:rsid w:val="00927BE4"/>
    <w:rsid w:val="00927F6A"/>
    <w:rsid w:val="00930350"/>
    <w:rsid w:val="0093074D"/>
    <w:rsid w:val="00930958"/>
    <w:rsid w:val="00930A34"/>
    <w:rsid w:val="00930C71"/>
    <w:rsid w:val="00930FF9"/>
    <w:rsid w:val="00931008"/>
    <w:rsid w:val="009318CA"/>
    <w:rsid w:val="00931940"/>
    <w:rsid w:val="0093204B"/>
    <w:rsid w:val="00932073"/>
    <w:rsid w:val="00932491"/>
    <w:rsid w:val="009332E3"/>
    <w:rsid w:val="00933339"/>
    <w:rsid w:val="00933781"/>
    <w:rsid w:val="0093382B"/>
    <w:rsid w:val="009338CC"/>
    <w:rsid w:val="009339B5"/>
    <w:rsid w:val="00933B1E"/>
    <w:rsid w:val="00933D0D"/>
    <w:rsid w:val="0093450E"/>
    <w:rsid w:val="00934537"/>
    <w:rsid w:val="009347B5"/>
    <w:rsid w:val="0093492B"/>
    <w:rsid w:val="00934978"/>
    <w:rsid w:val="00934DC4"/>
    <w:rsid w:val="0093511A"/>
    <w:rsid w:val="0093528A"/>
    <w:rsid w:val="009355B1"/>
    <w:rsid w:val="00935A5E"/>
    <w:rsid w:val="00935C42"/>
    <w:rsid w:val="00935CB3"/>
    <w:rsid w:val="00935DB5"/>
    <w:rsid w:val="00935F05"/>
    <w:rsid w:val="009364B2"/>
    <w:rsid w:val="009364C7"/>
    <w:rsid w:val="00936505"/>
    <w:rsid w:val="0093687C"/>
    <w:rsid w:val="00936A87"/>
    <w:rsid w:val="00936B82"/>
    <w:rsid w:val="00936DAB"/>
    <w:rsid w:val="00936E8F"/>
    <w:rsid w:val="00936F83"/>
    <w:rsid w:val="00936FF8"/>
    <w:rsid w:val="009370AD"/>
    <w:rsid w:val="00937166"/>
    <w:rsid w:val="00937514"/>
    <w:rsid w:val="00937B78"/>
    <w:rsid w:val="00937D2F"/>
    <w:rsid w:val="0094001B"/>
    <w:rsid w:val="00940070"/>
    <w:rsid w:val="00940575"/>
    <w:rsid w:val="009405F7"/>
    <w:rsid w:val="009406DC"/>
    <w:rsid w:val="00940C2E"/>
    <w:rsid w:val="00941274"/>
    <w:rsid w:val="009412A4"/>
    <w:rsid w:val="00941796"/>
    <w:rsid w:val="00941A55"/>
    <w:rsid w:val="009425B7"/>
    <w:rsid w:val="0094263A"/>
    <w:rsid w:val="0094297E"/>
    <w:rsid w:val="00942A3E"/>
    <w:rsid w:val="00942BE1"/>
    <w:rsid w:val="00942E81"/>
    <w:rsid w:val="00943167"/>
    <w:rsid w:val="009433FD"/>
    <w:rsid w:val="00943495"/>
    <w:rsid w:val="009434DF"/>
    <w:rsid w:val="00943B50"/>
    <w:rsid w:val="00943CE9"/>
    <w:rsid w:val="00943F35"/>
    <w:rsid w:val="00943FF6"/>
    <w:rsid w:val="009444BE"/>
    <w:rsid w:val="00944878"/>
    <w:rsid w:val="00944A28"/>
    <w:rsid w:val="0094504C"/>
    <w:rsid w:val="00945351"/>
    <w:rsid w:val="00945420"/>
    <w:rsid w:val="00945538"/>
    <w:rsid w:val="00945842"/>
    <w:rsid w:val="00945A34"/>
    <w:rsid w:val="00945B52"/>
    <w:rsid w:val="00945DC6"/>
    <w:rsid w:val="00946301"/>
    <w:rsid w:val="009466FB"/>
    <w:rsid w:val="0094690E"/>
    <w:rsid w:val="00946BDF"/>
    <w:rsid w:val="00946D64"/>
    <w:rsid w:val="00946EF6"/>
    <w:rsid w:val="00946FB7"/>
    <w:rsid w:val="00947001"/>
    <w:rsid w:val="00947532"/>
    <w:rsid w:val="00947BD6"/>
    <w:rsid w:val="00947DC7"/>
    <w:rsid w:val="00947E94"/>
    <w:rsid w:val="00947F15"/>
    <w:rsid w:val="00950083"/>
    <w:rsid w:val="0095039D"/>
    <w:rsid w:val="009506A3"/>
    <w:rsid w:val="00951BF4"/>
    <w:rsid w:val="00951E3A"/>
    <w:rsid w:val="00951EBF"/>
    <w:rsid w:val="00951FD9"/>
    <w:rsid w:val="00952083"/>
    <w:rsid w:val="009520F7"/>
    <w:rsid w:val="00952195"/>
    <w:rsid w:val="009524C6"/>
    <w:rsid w:val="00952546"/>
    <w:rsid w:val="00952814"/>
    <w:rsid w:val="00952B13"/>
    <w:rsid w:val="00952BB0"/>
    <w:rsid w:val="00952BC1"/>
    <w:rsid w:val="00952C9E"/>
    <w:rsid w:val="00952FBE"/>
    <w:rsid w:val="00953050"/>
    <w:rsid w:val="009534D6"/>
    <w:rsid w:val="00953B50"/>
    <w:rsid w:val="00953F21"/>
    <w:rsid w:val="00954283"/>
    <w:rsid w:val="009544D1"/>
    <w:rsid w:val="0095462A"/>
    <w:rsid w:val="0095471F"/>
    <w:rsid w:val="00954945"/>
    <w:rsid w:val="009549D1"/>
    <w:rsid w:val="00954B5D"/>
    <w:rsid w:val="00954CEE"/>
    <w:rsid w:val="00954E97"/>
    <w:rsid w:val="00954EC3"/>
    <w:rsid w:val="00954EF8"/>
    <w:rsid w:val="00955031"/>
    <w:rsid w:val="00955389"/>
    <w:rsid w:val="00955447"/>
    <w:rsid w:val="00955D67"/>
    <w:rsid w:val="00955E8F"/>
    <w:rsid w:val="00956072"/>
    <w:rsid w:val="009562A1"/>
    <w:rsid w:val="0095683B"/>
    <w:rsid w:val="00956980"/>
    <w:rsid w:val="0095699C"/>
    <w:rsid w:val="0095699F"/>
    <w:rsid w:val="00956A6A"/>
    <w:rsid w:val="00956A9C"/>
    <w:rsid w:val="00956C56"/>
    <w:rsid w:val="00957032"/>
    <w:rsid w:val="0095745B"/>
    <w:rsid w:val="009575DA"/>
    <w:rsid w:val="0095769B"/>
    <w:rsid w:val="009579EB"/>
    <w:rsid w:val="00957B22"/>
    <w:rsid w:val="00957BC5"/>
    <w:rsid w:val="00957BE5"/>
    <w:rsid w:val="00957C8A"/>
    <w:rsid w:val="00957D32"/>
    <w:rsid w:val="00957FB6"/>
    <w:rsid w:val="009603A1"/>
    <w:rsid w:val="00960497"/>
    <w:rsid w:val="00960A44"/>
    <w:rsid w:val="00960A87"/>
    <w:rsid w:val="00960D99"/>
    <w:rsid w:val="00960F1C"/>
    <w:rsid w:val="00961201"/>
    <w:rsid w:val="00961209"/>
    <w:rsid w:val="00961506"/>
    <w:rsid w:val="00961562"/>
    <w:rsid w:val="0096181A"/>
    <w:rsid w:val="00961840"/>
    <w:rsid w:val="00961C9F"/>
    <w:rsid w:val="00961FBB"/>
    <w:rsid w:val="009620D0"/>
    <w:rsid w:val="00962237"/>
    <w:rsid w:val="00962666"/>
    <w:rsid w:val="0096271A"/>
    <w:rsid w:val="00962745"/>
    <w:rsid w:val="0096279D"/>
    <w:rsid w:val="009627E1"/>
    <w:rsid w:val="00962805"/>
    <w:rsid w:val="009628A5"/>
    <w:rsid w:val="009629F3"/>
    <w:rsid w:val="00962CB9"/>
    <w:rsid w:val="00962D49"/>
    <w:rsid w:val="00962F39"/>
    <w:rsid w:val="00963050"/>
    <w:rsid w:val="009630A1"/>
    <w:rsid w:val="009630F5"/>
    <w:rsid w:val="009635F7"/>
    <w:rsid w:val="009637AC"/>
    <w:rsid w:val="009639EF"/>
    <w:rsid w:val="00963D28"/>
    <w:rsid w:val="0096416F"/>
    <w:rsid w:val="009642B0"/>
    <w:rsid w:val="00964312"/>
    <w:rsid w:val="009644AA"/>
    <w:rsid w:val="00964634"/>
    <w:rsid w:val="00964696"/>
    <w:rsid w:val="009649B9"/>
    <w:rsid w:val="00964C35"/>
    <w:rsid w:val="00964D1A"/>
    <w:rsid w:val="0096505F"/>
    <w:rsid w:val="009651FE"/>
    <w:rsid w:val="009654EC"/>
    <w:rsid w:val="009654FD"/>
    <w:rsid w:val="00965A57"/>
    <w:rsid w:val="00965CE7"/>
    <w:rsid w:val="00965FE9"/>
    <w:rsid w:val="009661DD"/>
    <w:rsid w:val="00966494"/>
    <w:rsid w:val="0096674B"/>
    <w:rsid w:val="00966863"/>
    <w:rsid w:val="00966C2D"/>
    <w:rsid w:val="0096703F"/>
    <w:rsid w:val="00967244"/>
    <w:rsid w:val="0096758C"/>
    <w:rsid w:val="00967621"/>
    <w:rsid w:val="009676C3"/>
    <w:rsid w:val="00967760"/>
    <w:rsid w:val="009677AC"/>
    <w:rsid w:val="009677AD"/>
    <w:rsid w:val="00967C13"/>
    <w:rsid w:val="0097020A"/>
    <w:rsid w:val="0097037D"/>
    <w:rsid w:val="009704F3"/>
    <w:rsid w:val="00970786"/>
    <w:rsid w:val="00970974"/>
    <w:rsid w:val="009709FD"/>
    <w:rsid w:val="009709FE"/>
    <w:rsid w:val="00970B00"/>
    <w:rsid w:val="00970B58"/>
    <w:rsid w:val="00970D90"/>
    <w:rsid w:val="00970E9B"/>
    <w:rsid w:val="00971057"/>
    <w:rsid w:val="009719FF"/>
    <w:rsid w:val="00971C6D"/>
    <w:rsid w:val="00971C7B"/>
    <w:rsid w:val="00971F65"/>
    <w:rsid w:val="009720B7"/>
    <w:rsid w:val="0097219F"/>
    <w:rsid w:val="00972249"/>
    <w:rsid w:val="00972325"/>
    <w:rsid w:val="009726C9"/>
    <w:rsid w:val="0097281A"/>
    <w:rsid w:val="00972883"/>
    <w:rsid w:val="0097293A"/>
    <w:rsid w:val="00972A8D"/>
    <w:rsid w:val="00972B01"/>
    <w:rsid w:val="00972B4B"/>
    <w:rsid w:val="0097316E"/>
    <w:rsid w:val="009731AF"/>
    <w:rsid w:val="00973343"/>
    <w:rsid w:val="0097344D"/>
    <w:rsid w:val="009734C5"/>
    <w:rsid w:val="0097369F"/>
    <w:rsid w:val="009736A2"/>
    <w:rsid w:val="009736A3"/>
    <w:rsid w:val="009736D1"/>
    <w:rsid w:val="009736F0"/>
    <w:rsid w:val="009737F8"/>
    <w:rsid w:val="00973E6D"/>
    <w:rsid w:val="00973F80"/>
    <w:rsid w:val="00974050"/>
    <w:rsid w:val="00974239"/>
    <w:rsid w:val="0097464E"/>
    <w:rsid w:val="0097482A"/>
    <w:rsid w:val="00974C1B"/>
    <w:rsid w:val="00974D0C"/>
    <w:rsid w:val="00974DAC"/>
    <w:rsid w:val="00974E3B"/>
    <w:rsid w:val="00974EF6"/>
    <w:rsid w:val="009754EA"/>
    <w:rsid w:val="00975929"/>
    <w:rsid w:val="0097645A"/>
    <w:rsid w:val="00976802"/>
    <w:rsid w:val="0097683F"/>
    <w:rsid w:val="00976999"/>
    <w:rsid w:val="00976D42"/>
    <w:rsid w:val="00977605"/>
    <w:rsid w:val="009776E9"/>
    <w:rsid w:val="0097770C"/>
    <w:rsid w:val="009777C4"/>
    <w:rsid w:val="00977CCB"/>
    <w:rsid w:val="00977D49"/>
    <w:rsid w:val="00977D54"/>
    <w:rsid w:val="00977F2B"/>
    <w:rsid w:val="009803C3"/>
    <w:rsid w:val="0098095C"/>
    <w:rsid w:val="009814AB"/>
    <w:rsid w:val="0098163B"/>
    <w:rsid w:val="00981661"/>
    <w:rsid w:val="009816F3"/>
    <w:rsid w:val="0098170F"/>
    <w:rsid w:val="00981756"/>
    <w:rsid w:val="00981BFE"/>
    <w:rsid w:val="009820E3"/>
    <w:rsid w:val="0098212E"/>
    <w:rsid w:val="00982352"/>
    <w:rsid w:val="00982652"/>
    <w:rsid w:val="00982939"/>
    <w:rsid w:val="00982A98"/>
    <w:rsid w:val="00982B5C"/>
    <w:rsid w:val="00982DD1"/>
    <w:rsid w:val="00982DEB"/>
    <w:rsid w:val="00982DF4"/>
    <w:rsid w:val="00983172"/>
    <w:rsid w:val="0098349A"/>
    <w:rsid w:val="009835E6"/>
    <w:rsid w:val="00983816"/>
    <w:rsid w:val="00983E57"/>
    <w:rsid w:val="009841D2"/>
    <w:rsid w:val="009843E2"/>
    <w:rsid w:val="009848C3"/>
    <w:rsid w:val="00984C9B"/>
    <w:rsid w:val="00984F53"/>
    <w:rsid w:val="009850E2"/>
    <w:rsid w:val="0098521A"/>
    <w:rsid w:val="009855A3"/>
    <w:rsid w:val="009855C8"/>
    <w:rsid w:val="009857C3"/>
    <w:rsid w:val="0098584E"/>
    <w:rsid w:val="00985A09"/>
    <w:rsid w:val="00985AB6"/>
    <w:rsid w:val="00985D22"/>
    <w:rsid w:val="009860AA"/>
    <w:rsid w:val="009863AC"/>
    <w:rsid w:val="00986573"/>
    <w:rsid w:val="0098662F"/>
    <w:rsid w:val="009867A3"/>
    <w:rsid w:val="00986B7F"/>
    <w:rsid w:val="00986BEC"/>
    <w:rsid w:val="00986F72"/>
    <w:rsid w:val="009875AF"/>
    <w:rsid w:val="009875CD"/>
    <w:rsid w:val="00987773"/>
    <w:rsid w:val="00987892"/>
    <w:rsid w:val="009879CB"/>
    <w:rsid w:val="00987AD4"/>
    <w:rsid w:val="00987CB8"/>
    <w:rsid w:val="00987D50"/>
    <w:rsid w:val="0099013A"/>
    <w:rsid w:val="00990171"/>
    <w:rsid w:val="00990245"/>
    <w:rsid w:val="00990269"/>
    <w:rsid w:val="009902F2"/>
    <w:rsid w:val="0099069D"/>
    <w:rsid w:val="009906B3"/>
    <w:rsid w:val="009907C2"/>
    <w:rsid w:val="009909DB"/>
    <w:rsid w:val="00990C80"/>
    <w:rsid w:val="00990DAE"/>
    <w:rsid w:val="00991527"/>
    <w:rsid w:val="0099170C"/>
    <w:rsid w:val="0099180D"/>
    <w:rsid w:val="009919CF"/>
    <w:rsid w:val="00991E9D"/>
    <w:rsid w:val="00992032"/>
    <w:rsid w:val="00992513"/>
    <w:rsid w:val="00992850"/>
    <w:rsid w:val="00992874"/>
    <w:rsid w:val="00992A6B"/>
    <w:rsid w:val="00992DB4"/>
    <w:rsid w:val="00993288"/>
    <w:rsid w:val="00993332"/>
    <w:rsid w:val="00993616"/>
    <w:rsid w:val="00993918"/>
    <w:rsid w:val="009939BB"/>
    <w:rsid w:val="00993D2A"/>
    <w:rsid w:val="00993F54"/>
    <w:rsid w:val="00994293"/>
    <w:rsid w:val="009942F1"/>
    <w:rsid w:val="009943C8"/>
    <w:rsid w:val="00994581"/>
    <w:rsid w:val="00994698"/>
    <w:rsid w:val="009946C1"/>
    <w:rsid w:val="009949A4"/>
    <w:rsid w:val="00994B85"/>
    <w:rsid w:val="00994D2F"/>
    <w:rsid w:val="009950A8"/>
    <w:rsid w:val="00995159"/>
    <w:rsid w:val="009955AF"/>
    <w:rsid w:val="009958F7"/>
    <w:rsid w:val="00995A9B"/>
    <w:rsid w:val="00995DA3"/>
    <w:rsid w:val="00995E5C"/>
    <w:rsid w:val="00996205"/>
    <w:rsid w:val="00996376"/>
    <w:rsid w:val="00996490"/>
    <w:rsid w:val="009969A6"/>
    <w:rsid w:val="00996A3E"/>
    <w:rsid w:val="00996B1A"/>
    <w:rsid w:val="00996B77"/>
    <w:rsid w:val="00996F0C"/>
    <w:rsid w:val="0099744B"/>
    <w:rsid w:val="00997598"/>
    <w:rsid w:val="00997910"/>
    <w:rsid w:val="00997AEA"/>
    <w:rsid w:val="00997B2C"/>
    <w:rsid w:val="00997E0B"/>
    <w:rsid w:val="009A0003"/>
    <w:rsid w:val="009A007A"/>
    <w:rsid w:val="009A008A"/>
    <w:rsid w:val="009A0120"/>
    <w:rsid w:val="009A05EF"/>
    <w:rsid w:val="009A07E4"/>
    <w:rsid w:val="009A0AB8"/>
    <w:rsid w:val="009A0B0A"/>
    <w:rsid w:val="009A0C95"/>
    <w:rsid w:val="009A0DC3"/>
    <w:rsid w:val="009A17FC"/>
    <w:rsid w:val="009A192A"/>
    <w:rsid w:val="009A1E2A"/>
    <w:rsid w:val="009A1E4E"/>
    <w:rsid w:val="009A214D"/>
    <w:rsid w:val="009A2162"/>
    <w:rsid w:val="009A2217"/>
    <w:rsid w:val="009A234F"/>
    <w:rsid w:val="009A2898"/>
    <w:rsid w:val="009A2990"/>
    <w:rsid w:val="009A2A5B"/>
    <w:rsid w:val="009A2B00"/>
    <w:rsid w:val="009A2C96"/>
    <w:rsid w:val="009A3112"/>
    <w:rsid w:val="009A3760"/>
    <w:rsid w:val="009A3B45"/>
    <w:rsid w:val="009A3BE2"/>
    <w:rsid w:val="009A3C0A"/>
    <w:rsid w:val="009A3E6D"/>
    <w:rsid w:val="009A3E88"/>
    <w:rsid w:val="009A3FC5"/>
    <w:rsid w:val="009A40EE"/>
    <w:rsid w:val="009A42C8"/>
    <w:rsid w:val="009A453A"/>
    <w:rsid w:val="009A45F9"/>
    <w:rsid w:val="009A4A98"/>
    <w:rsid w:val="009A4DF5"/>
    <w:rsid w:val="009A50C1"/>
    <w:rsid w:val="009A5156"/>
    <w:rsid w:val="009A5492"/>
    <w:rsid w:val="009A556C"/>
    <w:rsid w:val="009A5617"/>
    <w:rsid w:val="009A56B5"/>
    <w:rsid w:val="009A56F5"/>
    <w:rsid w:val="009A5C9E"/>
    <w:rsid w:val="009A5FF3"/>
    <w:rsid w:val="009A6010"/>
    <w:rsid w:val="009A61F6"/>
    <w:rsid w:val="009A6391"/>
    <w:rsid w:val="009A6396"/>
    <w:rsid w:val="009A63DC"/>
    <w:rsid w:val="009A6737"/>
    <w:rsid w:val="009A67CB"/>
    <w:rsid w:val="009A6800"/>
    <w:rsid w:val="009A69F0"/>
    <w:rsid w:val="009A6AEC"/>
    <w:rsid w:val="009A6F7C"/>
    <w:rsid w:val="009A726D"/>
    <w:rsid w:val="009A7345"/>
    <w:rsid w:val="009A7385"/>
    <w:rsid w:val="009A79F8"/>
    <w:rsid w:val="009B02A7"/>
    <w:rsid w:val="009B02AD"/>
    <w:rsid w:val="009B0D1E"/>
    <w:rsid w:val="009B0DA6"/>
    <w:rsid w:val="009B0E68"/>
    <w:rsid w:val="009B1278"/>
    <w:rsid w:val="009B14FA"/>
    <w:rsid w:val="009B17B0"/>
    <w:rsid w:val="009B1A80"/>
    <w:rsid w:val="009B1C8A"/>
    <w:rsid w:val="009B1FBF"/>
    <w:rsid w:val="009B208A"/>
    <w:rsid w:val="009B215E"/>
    <w:rsid w:val="009B2183"/>
    <w:rsid w:val="009B2232"/>
    <w:rsid w:val="009B2841"/>
    <w:rsid w:val="009B2AD4"/>
    <w:rsid w:val="009B2D1D"/>
    <w:rsid w:val="009B2D6A"/>
    <w:rsid w:val="009B2E94"/>
    <w:rsid w:val="009B3165"/>
    <w:rsid w:val="009B32D8"/>
    <w:rsid w:val="009B3449"/>
    <w:rsid w:val="009B3AF7"/>
    <w:rsid w:val="009B3CA0"/>
    <w:rsid w:val="009B3CFC"/>
    <w:rsid w:val="009B3E26"/>
    <w:rsid w:val="009B3E96"/>
    <w:rsid w:val="009B3F28"/>
    <w:rsid w:val="009B40D5"/>
    <w:rsid w:val="009B45FB"/>
    <w:rsid w:val="009B4719"/>
    <w:rsid w:val="009B471F"/>
    <w:rsid w:val="009B479E"/>
    <w:rsid w:val="009B47BD"/>
    <w:rsid w:val="009B4C7F"/>
    <w:rsid w:val="009B4D5F"/>
    <w:rsid w:val="009B4E23"/>
    <w:rsid w:val="009B4EDE"/>
    <w:rsid w:val="009B504B"/>
    <w:rsid w:val="009B518F"/>
    <w:rsid w:val="009B5330"/>
    <w:rsid w:val="009B536C"/>
    <w:rsid w:val="009B5388"/>
    <w:rsid w:val="009B5846"/>
    <w:rsid w:val="009B5848"/>
    <w:rsid w:val="009B59D9"/>
    <w:rsid w:val="009B5CB6"/>
    <w:rsid w:val="009B60B5"/>
    <w:rsid w:val="009B61BB"/>
    <w:rsid w:val="009B6593"/>
    <w:rsid w:val="009B663D"/>
    <w:rsid w:val="009B667E"/>
    <w:rsid w:val="009B67E0"/>
    <w:rsid w:val="009B6AAF"/>
    <w:rsid w:val="009B6D1A"/>
    <w:rsid w:val="009B6D85"/>
    <w:rsid w:val="009B6F37"/>
    <w:rsid w:val="009B7394"/>
    <w:rsid w:val="009B73CB"/>
    <w:rsid w:val="009B73CD"/>
    <w:rsid w:val="009B7890"/>
    <w:rsid w:val="009B79EF"/>
    <w:rsid w:val="009B7E74"/>
    <w:rsid w:val="009B7EDB"/>
    <w:rsid w:val="009B7FF8"/>
    <w:rsid w:val="009C006F"/>
    <w:rsid w:val="009C009B"/>
    <w:rsid w:val="009C034A"/>
    <w:rsid w:val="009C040A"/>
    <w:rsid w:val="009C075E"/>
    <w:rsid w:val="009C0840"/>
    <w:rsid w:val="009C0B1F"/>
    <w:rsid w:val="009C0D49"/>
    <w:rsid w:val="009C13E1"/>
    <w:rsid w:val="009C1534"/>
    <w:rsid w:val="009C1545"/>
    <w:rsid w:val="009C1730"/>
    <w:rsid w:val="009C1B52"/>
    <w:rsid w:val="009C1B5A"/>
    <w:rsid w:val="009C1C1C"/>
    <w:rsid w:val="009C1D3A"/>
    <w:rsid w:val="009C1E0A"/>
    <w:rsid w:val="009C24B2"/>
    <w:rsid w:val="009C25CB"/>
    <w:rsid w:val="009C25E6"/>
    <w:rsid w:val="009C2945"/>
    <w:rsid w:val="009C2A31"/>
    <w:rsid w:val="009C2BE1"/>
    <w:rsid w:val="009C2C3D"/>
    <w:rsid w:val="009C2DE3"/>
    <w:rsid w:val="009C30B0"/>
    <w:rsid w:val="009C338D"/>
    <w:rsid w:val="009C395E"/>
    <w:rsid w:val="009C3D6E"/>
    <w:rsid w:val="009C3F37"/>
    <w:rsid w:val="009C4047"/>
    <w:rsid w:val="009C47DD"/>
    <w:rsid w:val="009C4BA3"/>
    <w:rsid w:val="009C4E9E"/>
    <w:rsid w:val="009C5110"/>
    <w:rsid w:val="009C5362"/>
    <w:rsid w:val="009C56B8"/>
    <w:rsid w:val="009C580B"/>
    <w:rsid w:val="009C58FF"/>
    <w:rsid w:val="009C5F31"/>
    <w:rsid w:val="009C6040"/>
    <w:rsid w:val="009C615F"/>
    <w:rsid w:val="009C6412"/>
    <w:rsid w:val="009C66BE"/>
    <w:rsid w:val="009C6A01"/>
    <w:rsid w:val="009C6E2C"/>
    <w:rsid w:val="009C719A"/>
    <w:rsid w:val="009C74B3"/>
    <w:rsid w:val="009C768E"/>
    <w:rsid w:val="009C76C3"/>
    <w:rsid w:val="009C7D3B"/>
    <w:rsid w:val="009D02CD"/>
    <w:rsid w:val="009D03FD"/>
    <w:rsid w:val="009D0419"/>
    <w:rsid w:val="009D0727"/>
    <w:rsid w:val="009D08F3"/>
    <w:rsid w:val="009D0DB6"/>
    <w:rsid w:val="009D0EFF"/>
    <w:rsid w:val="009D0FFA"/>
    <w:rsid w:val="009D11F4"/>
    <w:rsid w:val="009D1246"/>
    <w:rsid w:val="009D1489"/>
    <w:rsid w:val="009D15B2"/>
    <w:rsid w:val="009D16F3"/>
    <w:rsid w:val="009D17FD"/>
    <w:rsid w:val="009D18E8"/>
    <w:rsid w:val="009D1AD1"/>
    <w:rsid w:val="009D1C16"/>
    <w:rsid w:val="009D1DD3"/>
    <w:rsid w:val="009D1F6D"/>
    <w:rsid w:val="009D2204"/>
    <w:rsid w:val="009D2209"/>
    <w:rsid w:val="009D25AB"/>
    <w:rsid w:val="009D26E2"/>
    <w:rsid w:val="009D2790"/>
    <w:rsid w:val="009D28C6"/>
    <w:rsid w:val="009D295A"/>
    <w:rsid w:val="009D2AF7"/>
    <w:rsid w:val="009D2C36"/>
    <w:rsid w:val="009D2FA3"/>
    <w:rsid w:val="009D37E6"/>
    <w:rsid w:val="009D38AB"/>
    <w:rsid w:val="009D3B2E"/>
    <w:rsid w:val="009D3C40"/>
    <w:rsid w:val="009D3C88"/>
    <w:rsid w:val="009D3E8A"/>
    <w:rsid w:val="009D4BA3"/>
    <w:rsid w:val="009D4D88"/>
    <w:rsid w:val="009D4D94"/>
    <w:rsid w:val="009D5215"/>
    <w:rsid w:val="009D56CC"/>
    <w:rsid w:val="009D5876"/>
    <w:rsid w:val="009D5B91"/>
    <w:rsid w:val="009D5ECD"/>
    <w:rsid w:val="009D60A3"/>
    <w:rsid w:val="009D6296"/>
    <w:rsid w:val="009D6479"/>
    <w:rsid w:val="009D6AC5"/>
    <w:rsid w:val="009D6B17"/>
    <w:rsid w:val="009D6F9F"/>
    <w:rsid w:val="009D7388"/>
    <w:rsid w:val="009D7554"/>
    <w:rsid w:val="009D758D"/>
    <w:rsid w:val="009D77B6"/>
    <w:rsid w:val="009D7990"/>
    <w:rsid w:val="009D7D6B"/>
    <w:rsid w:val="009E0071"/>
    <w:rsid w:val="009E040F"/>
    <w:rsid w:val="009E05F9"/>
    <w:rsid w:val="009E072A"/>
    <w:rsid w:val="009E073B"/>
    <w:rsid w:val="009E087A"/>
    <w:rsid w:val="009E08E0"/>
    <w:rsid w:val="009E0B34"/>
    <w:rsid w:val="009E0B74"/>
    <w:rsid w:val="009E0F46"/>
    <w:rsid w:val="009E124D"/>
    <w:rsid w:val="009E16A2"/>
    <w:rsid w:val="009E1B19"/>
    <w:rsid w:val="009E1D37"/>
    <w:rsid w:val="009E25F0"/>
    <w:rsid w:val="009E2601"/>
    <w:rsid w:val="009E29EF"/>
    <w:rsid w:val="009E2A55"/>
    <w:rsid w:val="009E2C1B"/>
    <w:rsid w:val="009E2C98"/>
    <w:rsid w:val="009E2D47"/>
    <w:rsid w:val="009E2EFB"/>
    <w:rsid w:val="009E2FAD"/>
    <w:rsid w:val="009E33E0"/>
    <w:rsid w:val="009E3418"/>
    <w:rsid w:val="009E3647"/>
    <w:rsid w:val="009E373F"/>
    <w:rsid w:val="009E37E2"/>
    <w:rsid w:val="009E395D"/>
    <w:rsid w:val="009E3C20"/>
    <w:rsid w:val="009E4159"/>
    <w:rsid w:val="009E41BD"/>
    <w:rsid w:val="009E434E"/>
    <w:rsid w:val="009E437E"/>
    <w:rsid w:val="009E440F"/>
    <w:rsid w:val="009E44A7"/>
    <w:rsid w:val="009E46F9"/>
    <w:rsid w:val="009E4B6F"/>
    <w:rsid w:val="009E4C07"/>
    <w:rsid w:val="009E596C"/>
    <w:rsid w:val="009E641A"/>
    <w:rsid w:val="009E66B6"/>
    <w:rsid w:val="009E6B5E"/>
    <w:rsid w:val="009E6CD4"/>
    <w:rsid w:val="009E6D2C"/>
    <w:rsid w:val="009E7202"/>
    <w:rsid w:val="009E7275"/>
    <w:rsid w:val="009E74DF"/>
    <w:rsid w:val="009E764D"/>
    <w:rsid w:val="009F00F7"/>
    <w:rsid w:val="009F0208"/>
    <w:rsid w:val="009F07A0"/>
    <w:rsid w:val="009F07B8"/>
    <w:rsid w:val="009F08FA"/>
    <w:rsid w:val="009F0DD9"/>
    <w:rsid w:val="009F0F08"/>
    <w:rsid w:val="009F0F36"/>
    <w:rsid w:val="009F1012"/>
    <w:rsid w:val="009F1157"/>
    <w:rsid w:val="009F1212"/>
    <w:rsid w:val="009F12E7"/>
    <w:rsid w:val="009F1721"/>
    <w:rsid w:val="009F1991"/>
    <w:rsid w:val="009F1A54"/>
    <w:rsid w:val="009F1C5E"/>
    <w:rsid w:val="009F1EEA"/>
    <w:rsid w:val="009F1F47"/>
    <w:rsid w:val="009F2034"/>
    <w:rsid w:val="009F20AB"/>
    <w:rsid w:val="009F230A"/>
    <w:rsid w:val="009F26B6"/>
    <w:rsid w:val="009F2762"/>
    <w:rsid w:val="009F2F8B"/>
    <w:rsid w:val="009F3072"/>
    <w:rsid w:val="009F340D"/>
    <w:rsid w:val="009F3887"/>
    <w:rsid w:val="009F38D5"/>
    <w:rsid w:val="009F38DC"/>
    <w:rsid w:val="009F3C03"/>
    <w:rsid w:val="009F3E76"/>
    <w:rsid w:val="009F45B7"/>
    <w:rsid w:val="009F472B"/>
    <w:rsid w:val="009F4840"/>
    <w:rsid w:val="009F4A0B"/>
    <w:rsid w:val="009F4D8B"/>
    <w:rsid w:val="009F4DD2"/>
    <w:rsid w:val="009F4E9E"/>
    <w:rsid w:val="009F581A"/>
    <w:rsid w:val="009F5D25"/>
    <w:rsid w:val="009F5D2C"/>
    <w:rsid w:val="009F5D5D"/>
    <w:rsid w:val="009F6216"/>
    <w:rsid w:val="009F6402"/>
    <w:rsid w:val="009F69C2"/>
    <w:rsid w:val="009F6C25"/>
    <w:rsid w:val="009F6E38"/>
    <w:rsid w:val="009F6EEC"/>
    <w:rsid w:val="009F7365"/>
    <w:rsid w:val="009F74FF"/>
    <w:rsid w:val="009F7513"/>
    <w:rsid w:val="009F76D7"/>
    <w:rsid w:val="009F7A91"/>
    <w:rsid w:val="009F7B1F"/>
    <w:rsid w:val="009F7B35"/>
    <w:rsid w:val="00A00115"/>
    <w:rsid w:val="00A00397"/>
    <w:rsid w:val="00A00679"/>
    <w:rsid w:val="00A007BA"/>
    <w:rsid w:val="00A00809"/>
    <w:rsid w:val="00A00B76"/>
    <w:rsid w:val="00A00C8D"/>
    <w:rsid w:val="00A00E29"/>
    <w:rsid w:val="00A00F99"/>
    <w:rsid w:val="00A010ED"/>
    <w:rsid w:val="00A01324"/>
    <w:rsid w:val="00A01594"/>
    <w:rsid w:val="00A02A4F"/>
    <w:rsid w:val="00A02AD7"/>
    <w:rsid w:val="00A02B23"/>
    <w:rsid w:val="00A02D47"/>
    <w:rsid w:val="00A02EBC"/>
    <w:rsid w:val="00A038A1"/>
    <w:rsid w:val="00A03995"/>
    <w:rsid w:val="00A03BB4"/>
    <w:rsid w:val="00A03CF2"/>
    <w:rsid w:val="00A03D43"/>
    <w:rsid w:val="00A04235"/>
    <w:rsid w:val="00A04380"/>
    <w:rsid w:val="00A04719"/>
    <w:rsid w:val="00A04A52"/>
    <w:rsid w:val="00A04A7C"/>
    <w:rsid w:val="00A04CD2"/>
    <w:rsid w:val="00A04D92"/>
    <w:rsid w:val="00A05261"/>
    <w:rsid w:val="00A0530D"/>
    <w:rsid w:val="00A056DF"/>
    <w:rsid w:val="00A05895"/>
    <w:rsid w:val="00A05BBD"/>
    <w:rsid w:val="00A05CC6"/>
    <w:rsid w:val="00A05D52"/>
    <w:rsid w:val="00A05FC4"/>
    <w:rsid w:val="00A05FE7"/>
    <w:rsid w:val="00A063A1"/>
    <w:rsid w:val="00A071A8"/>
    <w:rsid w:val="00A07206"/>
    <w:rsid w:val="00A07419"/>
    <w:rsid w:val="00A074C8"/>
    <w:rsid w:val="00A0767D"/>
    <w:rsid w:val="00A0771F"/>
    <w:rsid w:val="00A079A7"/>
    <w:rsid w:val="00A1056B"/>
    <w:rsid w:val="00A10574"/>
    <w:rsid w:val="00A1062B"/>
    <w:rsid w:val="00A10704"/>
    <w:rsid w:val="00A10761"/>
    <w:rsid w:val="00A110BD"/>
    <w:rsid w:val="00A113AC"/>
    <w:rsid w:val="00A1197F"/>
    <w:rsid w:val="00A12006"/>
    <w:rsid w:val="00A12053"/>
    <w:rsid w:val="00A121EE"/>
    <w:rsid w:val="00A12270"/>
    <w:rsid w:val="00A127A3"/>
    <w:rsid w:val="00A128AA"/>
    <w:rsid w:val="00A12A01"/>
    <w:rsid w:val="00A12E0C"/>
    <w:rsid w:val="00A12F35"/>
    <w:rsid w:val="00A1302D"/>
    <w:rsid w:val="00A1344C"/>
    <w:rsid w:val="00A1369A"/>
    <w:rsid w:val="00A137A9"/>
    <w:rsid w:val="00A13948"/>
    <w:rsid w:val="00A139CF"/>
    <w:rsid w:val="00A13B24"/>
    <w:rsid w:val="00A14008"/>
    <w:rsid w:val="00A14155"/>
    <w:rsid w:val="00A141BC"/>
    <w:rsid w:val="00A147D7"/>
    <w:rsid w:val="00A1482C"/>
    <w:rsid w:val="00A14A2F"/>
    <w:rsid w:val="00A15235"/>
    <w:rsid w:val="00A155AE"/>
    <w:rsid w:val="00A159F6"/>
    <w:rsid w:val="00A15ACF"/>
    <w:rsid w:val="00A15E37"/>
    <w:rsid w:val="00A16188"/>
    <w:rsid w:val="00A164AC"/>
    <w:rsid w:val="00A164F3"/>
    <w:rsid w:val="00A16655"/>
    <w:rsid w:val="00A167DC"/>
    <w:rsid w:val="00A168F0"/>
    <w:rsid w:val="00A16BC8"/>
    <w:rsid w:val="00A16CA5"/>
    <w:rsid w:val="00A16DE1"/>
    <w:rsid w:val="00A17446"/>
    <w:rsid w:val="00A17484"/>
    <w:rsid w:val="00A17AD2"/>
    <w:rsid w:val="00A17AEE"/>
    <w:rsid w:val="00A17C1C"/>
    <w:rsid w:val="00A17CDE"/>
    <w:rsid w:val="00A2011F"/>
    <w:rsid w:val="00A203BC"/>
    <w:rsid w:val="00A20425"/>
    <w:rsid w:val="00A2044D"/>
    <w:rsid w:val="00A2054E"/>
    <w:rsid w:val="00A206BB"/>
    <w:rsid w:val="00A2073F"/>
    <w:rsid w:val="00A20D35"/>
    <w:rsid w:val="00A21113"/>
    <w:rsid w:val="00A2119B"/>
    <w:rsid w:val="00A213DC"/>
    <w:rsid w:val="00A21553"/>
    <w:rsid w:val="00A21584"/>
    <w:rsid w:val="00A21A7D"/>
    <w:rsid w:val="00A21E40"/>
    <w:rsid w:val="00A220E1"/>
    <w:rsid w:val="00A22168"/>
    <w:rsid w:val="00A22860"/>
    <w:rsid w:val="00A22CF2"/>
    <w:rsid w:val="00A23167"/>
    <w:rsid w:val="00A233E1"/>
    <w:rsid w:val="00A2360A"/>
    <w:rsid w:val="00A23852"/>
    <w:rsid w:val="00A23A76"/>
    <w:rsid w:val="00A23C26"/>
    <w:rsid w:val="00A2418B"/>
    <w:rsid w:val="00A24827"/>
    <w:rsid w:val="00A24DF1"/>
    <w:rsid w:val="00A251EB"/>
    <w:rsid w:val="00A2524B"/>
    <w:rsid w:val="00A25621"/>
    <w:rsid w:val="00A25969"/>
    <w:rsid w:val="00A259B4"/>
    <w:rsid w:val="00A25E61"/>
    <w:rsid w:val="00A25E78"/>
    <w:rsid w:val="00A266CE"/>
    <w:rsid w:val="00A2671C"/>
    <w:rsid w:val="00A26A81"/>
    <w:rsid w:val="00A26BDD"/>
    <w:rsid w:val="00A26D84"/>
    <w:rsid w:val="00A26E0F"/>
    <w:rsid w:val="00A2709D"/>
    <w:rsid w:val="00A273F0"/>
    <w:rsid w:val="00A27AEC"/>
    <w:rsid w:val="00A27B64"/>
    <w:rsid w:val="00A27C56"/>
    <w:rsid w:val="00A27DDD"/>
    <w:rsid w:val="00A27DDF"/>
    <w:rsid w:val="00A3010D"/>
    <w:rsid w:val="00A309C6"/>
    <w:rsid w:val="00A30AD4"/>
    <w:rsid w:val="00A30E5D"/>
    <w:rsid w:val="00A30EBA"/>
    <w:rsid w:val="00A314C5"/>
    <w:rsid w:val="00A315D6"/>
    <w:rsid w:val="00A31811"/>
    <w:rsid w:val="00A31AB6"/>
    <w:rsid w:val="00A31BDA"/>
    <w:rsid w:val="00A31C08"/>
    <w:rsid w:val="00A31F3F"/>
    <w:rsid w:val="00A31FEA"/>
    <w:rsid w:val="00A32079"/>
    <w:rsid w:val="00A320B4"/>
    <w:rsid w:val="00A322AD"/>
    <w:rsid w:val="00A3231B"/>
    <w:rsid w:val="00A324B9"/>
    <w:rsid w:val="00A3267E"/>
    <w:rsid w:val="00A326A0"/>
    <w:rsid w:val="00A32921"/>
    <w:rsid w:val="00A32CF7"/>
    <w:rsid w:val="00A32EA7"/>
    <w:rsid w:val="00A32EF1"/>
    <w:rsid w:val="00A32FDC"/>
    <w:rsid w:val="00A3301A"/>
    <w:rsid w:val="00A33343"/>
    <w:rsid w:val="00A33C04"/>
    <w:rsid w:val="00A33C83"/>
    <w:rsid w:val="00A33CBF"/>
    <w:rsid w:val="00A33CD3"/>
    <w:rsid w:val="00A33D59"/>
    <w:rsid w:val="00A34111"/>
    <w:rsid w:val="00A345FF"/>
    <w:rsid w:val="00A346BF"/>
    <w:rsid w:val="00A346E6"/>
    <w:rsid w:val="00A34B6C"/>
    <w:rsid w:val="00A34B8C"/>
    <w:rsid w:val="00A34C5F"/>
    <w:rsid w:val="00A34C76"/>
    <w:rsid w:val="00A34E76"/>
    <w:rsid w:val="00A35131"/>
    <w:rsid w:val="00A35308"/>
    <w:rsid w:val="00A35406"/>
    <w:rsid w:val="00A354E6"/>
    <w:rsid w:val="00A35546"/>
    <w:rsid w:val="00A35D16"/>
    <w:rsid w:val="00A35E16"/>
    <w:rsid w:val="00A36030"/>
    <w:rsid w:val="00A362AA"/>
    <w:rsid w:val="00A364D5"/>
    <w:rsid w:val="00A36659"/>
    <w:rsid w:val="00A366A8"/>
    <w:rsid w:val="00A36A41"/>
    <w:rsid w:val="00A36B21"/>
    <w:rsid w:val="00A36CC8"/>
    <w:rsid w:val="00A36F7B"/>
    <w:rsid w:val="00A3732E"/>
    <w:rsid w:val="00A37505"/>
    <w:rsid w:val="00A37796"/>
    <w:rsid w:val="00A37BAE"/>
    <w:rsid w:val="00A37DA7"/>
    <w:rsid w:val="00A37F53"/>
    <w:rsid w:val="00A40121"/>
    <w:rsid w:val="00A40334"/>
    <w:rsid w:val="00A405BF"/>
    <w:rsid w:val="00A40A7F"/>
    <w:rsid w:val="00A40BBB"/>
    <w:rsid w:val="00A40ED6"/>
    <w:rsid w:val="00A40F64"/>
    <w:rsid w:val="00A4108B"/>
    <w:rsid w:val="00A41160"/>
    <w:rsid w:val="00A412AE"/>
    <w:rsid w:val="00A41496"/>
    <w:rsid w:val="00A41503"/>
    <w:rsid w:val="00A415CC"/>
    <w:rsid w:val="00A41779"/>
    <w:rsid w:val="00A4177C"/>
    <w:rsid w:val="00A41826"/>
    <w:rsid w:val="00A41839"/>
    <w:rsid w:val="00A41DDF"/>
    <w:rsid w:val="00A4222B"/>
    <w:rsid w:val="00A426D6"/>
    <w:rsid w:val="00A42760"/>
    <w:rsid w:val="00A428B6"/>
    <w:rsid w:val="00A42D83"/>
    <w:rsid w:val="00A4333E"/>
    <w:rsid w:val="00A43425"/>
    <w:rsid w:val="00A43608"/>
    <w:rsid w:val="00A4380C"/>
    <w:rsid w:val="00A43841"/>
    <w:rsid w:val="00A43AD8"/>
    <w:rsid w:val="00A43B40"/>
    <w:rsid w:val="00A43B68"/>
    <w:rsid w:val="00A43C59"/>
    <w:rsid w:val="00A4423B"/>
    <w:rsid w:val="00A442D1"/>
    <w:rsid w:val="00A443ED"/>
    <w:rsid w:val="00A4448C"/>
    <w:rsid w:val="00A4454C"/>
    <w:rsid w:val="00A446A6"/>
    <w:rsid w:val="00A44D88"/>
    <w:rsid w:val="00A45101"/>
    <w:rsid w:val="00A451BD"/>
    <w:rsid w:val="00A451FD"/>
    <w:rsid w:val="00A45215"/>
    <w:rsid w:val="00A45259"/>
    <w:rsid w:val="00A45B64"/>
    <w:rsid w:val="00A461AB"/>
    <w:rsid w:val="00A4653A"/>
    <w:rsid w:val="00A465BB"/>
    <w:rsid w:val="00A46AD0"/>
    <w:rsid w:val="00A46C17"/>
    <w:rsid w:val="00A46C2B"/>
    <w:rsid w:val="00A46E43"/>
    <w:rsid w:val="00A46E46"/>
    <w:rsid w:val="00A4749B"/>
    <w:rsid w:val="00A4755A"/>
    <w:rsid w:val="00A475F8"/>
    <w:rsid w:val="00A47721"/>
    <w:rsid w:val="00A479E7"/>
    <w:rsid w:val="00A47B6B"/>
    <w:rsid w:val="00A47C24"/>
    <w:rsid w:val="00A47FA2"/>
    <w:rsid w:val="00A501C7"/>
    <w:rsid w:val="00A50701"/>
    <w:rsid w:val="00A5085B"/>
    <w:rsid w:val="00A50ABD"/>
    <w:rsid w:val="00A50BB2"/>
    <w:rsid w:val="00A50C8B"/>
    <w:rsid w:val="00A50ECD"/>
    <w:rsid w:val="00A51251"/>
    <w:rsid w:val="00A51692"/>
    <w:rsid w:val="00A51843"/>
    <w:rsid w:val="00A5191B"/>
    <w:rsid w:val="00A51DE0"/>
    <w:rsid w:val="00A51F2B"/>
    <w:rsid w:val="00A5225A"/>
    <w:rsid w:val="00A5260B"/>
    <w:rsid w:val="00A52675"/>
    <w:rsid w:val="00A52729"/>
    <w:rsid w:val="00A52842"/>
    <w:rsid w:val="00A528B9"/>
    <w:rsid w:val="00A5296E"/>
    <w:rsid w:val="00A52B54"/>
    <w:rsid w:val="00A52CD1"/>
    <w:rsid w:val="00A52D34"/>
    <w:rsid w:val="00A52E91"/>
    <w:rsid w:val="00A52F6A"/>
    <w:rsid w:val="00A530A5"/>
    <w:rsid w:val="00A5327E"/>
    <w:rsid w:val="00A534AC"/>
    <w:rsid w:val="00A5355E"/>
    <w:rsid w:val="00A53675"/>
    <w:rsid w:val="00A53DC8"/>
    <w:rsid w:val="00A53DF5"/>
    <w:rsid w:val="00A540F0"/>
    <w:rsid w:val="00A54154"/>
    <w:rsid w:val="00A543F8"/>
    <w:rsid w:val="00A54461"/>
    <w:rsid w:val="00A54631"/>
    <w:rsid w:val="00A54909"/>
    <w:rsid w:val="00A54BAF"/>
    <w:rsid w:val="00A54C0A"/>
    <w:rsid w:val="00A54DCE"/>
    <w:rsid w:val="00A55276"/>
    <w:rsid w:val="00A55478"/>
    <w:rsid w:val="00A554A5"/>
    <w:rsid w:val="00A5578B"/>
    <w:rsid w:val="00A55816"/>
    <w:rsid w:val="00A5585B"/>
    <w:rsid w:val="00A558F8"/>
    <w:rsid w:val="00A55D90"/>
    <w:rsid w:val="00A5629C"/>
    <w:rsid w:val="00A5637E"/>
    <w:rsid w:val="00A566F7"/>
    <w:rsid w:val="00A56B6A"/>
    <w:rsid w:val="00A56CFA"/>
    <w:rsid w:val="00A56E9E"/>
    <w:rsid w:val="00A570F2"/>
    <w:rsid w:val="00A57219"/>
    <w:rsid w:val="00A573D7"/>
    <w:rsid w:val="00A57576"/>
    <w:rsid w:val="00A578DC"/>
    <w:rsid w:val="00A57B87"/>
    <w:rsid w:val="00A57DCF"/>
    <w:rsid w:val="00A600D2"/>
    <w:rsid w:val="00A60620"/>
    <w:rsid w:val="00A6070F"/>
    <w:rsid w:val="00A6077D"/>
    <w:rsid w:val="00A612AB"/>
    <w:rsid w:val="00A61347"/>
    <w:rsid w:val="00A61916"/>
    <w:rsid w:val="00A6199E"/>
    <w:rsid w:val="00A61F25"/>
    <w:rsid w:val="00A62001"/>
    <w:rsid w:val="00A620DB"/>
    <w:rsid w:val="00A620EB"/>
    <w:rsid w:val="00A6227D"/>
    <w:rsid w:val="00A62461"/>
    <w:rsid w:val="00A6298B"/>
    <w:rsid w:val="00A6328D"/>
    <w:rsid w:val="00A635F4"/>
    <w:rsid w:val="00A6365E"/>
    <w:rsid w:val="00A637C4"/>
    <w:rsid w:val="00A63AB6"/>
    <w:rsid w:val="00A63AC7"/>
    <w:rsid w:val="00A63AD0"/>
    <w:rsid w:val="00A63DCF"/>
    <w:rsid w:val="00A64445"/>
    <w:rsid w:val="00A64679"/>
    <w:rsid w:val="00A646B2"/>
    <w:rsid w:val="00A6483F"/>
    <w:rsid w:val="00A64A60"/>
    <w:rsid w:val="00A64C34"/>
    <w:rsid w:val="00A64CC2"/>
    <w:rsid w:val="00A64DE6"/>
    <w:rsid w:val="00A64E7A"/>
    <w:rsid w:val="00A651BD"/>
    <w:rsid w:val="00A6532F"/>
    <w:rsid w:val="00A65448"/>
    <w:rsid w:val="00A659B1"/>
    <w:rsid w:val="00A659DA"/>
    <w:rsid w:val="00A6612E"/>
    <w:rsid w:val="00A661AF"/>
    <w:rsid w:val="00A661D6"/>
    <w:rsid w:val="00A6631B"/>
    <w:rsid w:val="00A66418"/>
    <w:rsid w:val="00A66558"/>
    <w:rsid w:val="00A665FC"/>
    <w:rsid w:val="00A66E4C"/>
    <w:rsid w:val="00A670A7"/>
    <w:rsid w:val="00A6725B"/>
    <w:rsid w:val="00A67725"/>
    <w:rsid w:val="00A67A4C"/>
    <w:rsid w:val="00A67A5C"/>
    <w:rsid w:val="00A67AB3"/>
    <w:rsid w:val="00A67DDF"/>
    <w:rsid w:val="00A67E85"/>
    <w:rsid w:val="00A70127"/>
    <w:rsid w:val="00A70156"/>
    <w:rsid w:val="00A70314"/>
    <w:rsid w:val="00A7039D"/>
    <w:rsid w:val="00A704A6"/>
    <w:rsid w:val="00A70A5C"/>
    <w:rsid w:val="00A70C1B"/>
    <w:rsid w:val="00A70E86"/>
    <w:rsid w:val="00A70EFD"/>
    <w:rsid w:val="00A70FB1"/>
    <w:rsid w:val="00A70FCB"/>
    <w:rsid w:val="00A718FE"/>
    <w:rsid w:val="00A71C6F"/>
    <w:rsid w:val="00A71FE5"/>
    <w:rsid w:val="00A72328"/>
    <w:rsid w:val="00A72572"/>
    <w:rsid w:val="00A72ADF"/>
    <w:rsid w:val="00A72D0D"/>
    <w:rsid w:val="00A72FB1"/>
    <w:rsid w:val="00A73302"/>
    <w:rsid w:val="00A733D4"/>
    <w:rsid w:val="00A7353D"/>
    <w:rsid w:val="00A74285"/>
    <w:rsid w:val="00A7450E"/>
    <w:rsid w:val="00A7465C"/>
    <w:rsid w:val="00A74660"/>
    <w:rsid w:val="00A74BED"/>
    <w:rsid w:val="00A74C41"/>
    <w:rsid w:val="00A74CBB"/>
    <w:rsid w:val="00A74F62"/>
    <w:rsid w:val="00A74F68"/>
    <w:rsid w:val="00A75173"/>
    <w:rsid w:val="00A75397"/>
    <w:rsid w:val="00A75398"/>
    <w:rsid w:val="00A753CF"/>
    <w:rsid w:val="00A7541C"/>
    <w:rsid w:val="00A75C83"/>
    <w:rsid w:val="00A7602A"/>
    <w:rsid w:val="00A760EC"/>
    <w:rsid w:val="00A763B0"/>
    <w:rsid w:val="00A76922"/>
    <w:rsid w:val="00A76AC3"/>
    <w:rsid w:val="00A7718D"/>
    <w:rsid w:val="00A77421"/>
    <w:rsid w:val="00A774F4"/>
    <w:rsid w:val="00A77517"/>
    <w:rsid w:val="00A77712"/>
    <w:rsid w:val="00A77726"/>
    <w:rsid w:val="00A77768"/>
    <w:rsid w:val="00A77788"/>
    <w:rsid w:val="00A7779D"/>
    <w:rsid w:val="00A77A50"/>
    <w:rsid w:val="00A77AD8"/>
    <w:rsid w:val="00A77AEC"/>
    <w:rsid w:val="00A77EE4"/>
    <w:rsid w:val="00A80140"/>
    <w:rsid w:val="00A80237"/>
    <w:rsid w:val="00A803C6"/>
    <w:rsid w:val="00A804F1"/>
    <w:rsid w:val="00A80D32"/>
    <w:rsid w:val="00A80DEF"/>
    <w:rsid w:val="00A80EC1"/>
    <w:rsid w:val="00A80FC1"/>
    <w:rsid w:val="00A81154"/>
    <w:rsid w:val="00A81248"/>
    <w:rsid w:val="00A8187E"/>
    <w:rsid w:val="00A818C1"/>
    <w:rsid w:val="00A81E35"/>
    <w:rsid w:val="00A82223"/>
    <w:rsid w:val="00A822E2"/>
    <w:rsid w:val="00A82336"/>
    <w:rsid w:val="00A824B3"/>
    <w:rsid w:val="00A8257C"/>
    <w:rsid w:val="00A82894"/>
    <w:rsid w:val="00A82972"/>
    <w:rsid w:val="00A82C1D"/>
    <w:rsid w:val="00A82E27"/>
    <w:rsid w:val="00A83768"/>
    <w:rsid w:val="00A83ACA"/>
    <w:rsid w:val="00A83C35"/>
    <w:rsid w:val="00A83DBC"/>
    <w:rsid w:val="00A841A1"/>
    <w:rsid w:val="00A841A2"/>
    <w:rsid w:val="00A84271"/>
    <w:rsid w:val="00A84409"/>
    <w:rsid w:val="00A84489"/>
    <w:rsid w:val="00A8477E"/>
    <w:rsid w:val="00A84926"/>
    <w:rsid w:val="00A849C7"/>
    <w:rsid w:val="00A84C26"/>
    <w:rsid w:val="00A84C3B"/>
    <w:rsid w:val="00A84DCE"/>
    <w:rsid w:val="00A84E62"/>
    <w:rsid w:val="00A8509E"/>
    <w:rsid w:val="00A8525A"/>
    <w:rsid w:val="00A85A98"/>
    <w:rsid w:val="00A860BF"/>
    <w:rsid w:val="00A8650C"/>
    <w:rsid w:val="00A8663D"/>
    <w:rsid w:val="00A866C9"/>
    <w:rsid w:val="00A86E8B"/>
    <w:rsid w:val="00A871E5"/>
    <w:rsid w:val="00A8725A"/>
    <w:rsid w:val="00A8742F"/>
    <w:rsid w:val="00A878E0"/>
    <w:rsid w:val="00A901D8"/>
    <w:rsid w:val="00A90A47"/>
    <w:rsid w:val="00A90C4D"/>
    <w:rsid w:val="00A90CAC"/>
    <w:rsid w:val="00A90DDC"/>
    <w:rsid w:val="00A90EA6"/>
    <w:rsid w:val="00A912E3"/>
    <w:rsid w:val="00A9137F"/>
    <w:rsid w:val="00A913BF"/>
    <w:rsid w:val="00A9143E"/>
    <w:rsid w:val="00A91B0B"/>
    <w:rsid w:val="00A91B45"/>
    <w:rsid w:val="00A91BF9"/>
    <w:rsid w:val="00A91E92"/>
    <w:rsid w:val="00A92059"/>
    <w:rsid w:val="00A92146"/>
    <w:rsid w:val="00A922B2"/>
    <w:rsid w:val="00A9275A"/>
    <w:rsid w:val="00A927CD"/>
    <w:rsid w:val="00A928C7"/>
    <w:rsid w:val="00A92BBB"/>
    <w:rsid w:val="00A92D35"/>
    <w:rsid w:val="00A93072"/>
    <w:rsid w:val="00A934A2"/>
    <w:rsid w:val="00A93560"/>
    <w:rsid w:val="00A9361D"/>
    <w:rsid w:val="00A93714"/>
    <w:rsid w:val="00A93E1E"/>
    <w:rsid w:val="00A93F5F"/>
    <w:rsid w:val="00A9421D"/>
    <w:rsid w:val="00A9431B"/>
    <w:rsid w:val="00A945E8"/>
    <w:rsid w:val="00A9495E"/>
    <w:rsid w:val="00A94BEA"/>
    <w:rsid w:val="00A94EE3"/>
    <w:rsid w:val="00A953D4"/>
    <w:rsid w:val="00A958B2"/>
    <w:rsid w:val="00A959D8"/>
    <w:rsid w:val="00A95A26"/>
    <w:rsid w:val="00A95E85"/>
    <w:rsid w:val="00A95EA6"/>
    <w:rsid w:val="00A95FF0"/>
    <w:rsid w:val="00A9627A"/>
    <w:rsid w:val="00A963DC"/>
    <w:rsid w:val="00A9664B"/>
    <w:rsid w:val="00A96920"/>
    <w:rsid w:val="00A96E7A"/>
    <w:rsid w:val="00A96EAD"/>
    <w:rsid w:val="00A96EF7"/>
    <w:rsid w:val="00A96FDD"/>
    <w:rsid w:val="00A96FF2"/>
    <w:rsid w:val="00A97289"/>
    <w:rsid w:val="00A97A24"/>
    <w:rsid w:val="00A97F9B"/>
    <w:rsid w:val="00AA0496"/>
    <w:rsid w:val="00AA05D2"/>
    <w:rsid w:val="00AA0BA3"/>
    <w:rsid w:val="00AA0D6F"/>
    <w:rsid w:val="00AA0E20"/>
    <w:rsid w:val="00AA0FC1"/>
    <w:rsid w:val="00AA14BC"/>
    <w:rsid w:val="00AA157A"/>
    <w:rsid w:val="00AA1777"/>
    <w:rsid w:val="00AA17CD"/>
    <w:rsid w:val="00AA1815"/>
    <w:rsid w:val="00AA1941"/>
    <w:rsid w:val="00AA1ABB"/>
    <w:rsid w:val="00AA1C10"/>
    <w:rsid w:val="00AA1FC1"/>
    <w:rsid w:val="00AA1FD0"/>
    <w:rsid w:val="00AA21D9"/>
    <w:rsid w:val="00AA2771"/>
    <w:rsid w:val="00AA2D28"/>
    <w:rsid w:val="00AA30BB"/>
    <w:rsid w:val="00AA3372"/>
    <w:rsid w:val="00AA33FD"/>
    <w:rsid w:val="00AA3B24"/>
    <w:rsid w:val="00AA41B8"/>
    <w:rsid w:val="00AA449C"/>
    <w:rsid w:val="00AA4645"/>
    <w:rsid w:val="00AA4747"/>
    <w:rsid w:val="00AA47E5"/>
    <w:rsid w:val="00AA4884"/>
    <w:rsid w:val="00AA4DC2"/>
    <w:rsid w:val="00AA4EA8"/>
    <w:rsid w:val="00AA5135"/>
    <w:rsid w:val="00AA5182"/>
    <w:rsid w:val="00AA51B4"/>
    <w:rsid w:val="00AA5428"/>
    <w:rsid w:val="00AA54D0"/>
    <w:rsid w:val="00AA55DA"/>
    <w:rsid w:val="00AA5A7E"/>
    <w:rsid w:val="00AA5B16"/>
    <w:rsid w:val="00AA5C1E"/>
    <w:rsid w:val="00AA5C6F"/>
    <w:rsid w:val="00AA65F1"/>
    <w:rsid w:val="00AA6684"/>
    <w:rsid w:val="00AA6731"/>
    <w:rsid w:val="00AA6CCF"/>
    <w:rsid w:val="00AA6DE0"/>
    <w:rsid w:val="00AA6F4F"/>
    <w:rsid w:val="00AA72DB"/>
    <w:rsid w:val="00AA7350"/>
    <w:rsid w:val="00AA7576"/>
    <w:rsid w:val="00AA774B"/>
    <w:rsid w:val="00AA77E5"/>
    <w:rsid w:val="00AA7A43"/>
    <w:rsid w:val="00AA7D93"/>
    <w:rsid w:val="00AB0271"/>
    <w:rsid w:val="00AB042A"/>
    <w:rsid w:val="00AB04D0"/>
    <w:rsid w:val="00AB0F38"/>
    <w:rsid w:val="00AB12EF"/>
    <w:rsid w:val="00AB147C"/>
    <w:rsid w:val="00AB15DF"/>
    <w:rsid w:val="00AB16EA"/>
    <w:rsid w:val="00AB17AF"/>
    <w:rsid w:val="00AB17CB"/>
    <w:rsid w:val="00AB191D"/>
    <w:rsid w:val="00AB1B95"/>
    <w:rsid w:val="00AB1E8B"/>
    <w:rsid w:val="00AB1F65"/>
    <w:rsid w:val="00AB21B6"/>
    <w:rsid w:val="00AB2275"/>
    <w:rsid w:val="00AB2698"/>
    <w:rsid w:val="00AB2931"/>
    <w:rsid w:val="00AB297C"/>
    <w:rsid w:val="00AB2BEE"/>
    <w:rsid w:val="00AB2D34"/>
    <w:rsid w:val="00AB3316"/>
    <w:rsid w:val="00AB341F"/>
    <w:rsid w:val="00AB3430"/>
    <w:rsid w:val="00AB3532"/>
    <w:rsid w:val="00AB378D"/>
    <w:rsid w:val="00AB37C9"/>
    <w:rsid w:val="00AB3AB0"/>
    <w:rsid w:val="00AB3D02"/>
    <w:rsid w:val="00AB4013"/>
    <w:rsid w:val="00AB414A"/>
    <w:rsid w:val="00AB43F3"/>
    <w:rsid w:val="00AB47AE"/>
    <w:rsid w:val="00AB498E"/>
    <w:rsid w:val="00AB4A84"/>
    <w:rsid w:val="00AB4AC9"/>
    <w:rsid w:val="00AB4D64"/>
    <w:rsid w:val="00AB50D5"/>
    <w:rsid w:val="00AB51DC"/>
    <w:rsid w:val="00AB534F"/>
    <w:rsid w:val="00AB55AD"/>
    <w:rsid w:val="00AB55EF"/>
    <w:rsid w:val="00AB5686"/>
    <w:rsid w:val="00AB57C9"/>
    <w:rsid w:val="00AB58FC"/>
    <w:rsid w:val="00AB5998"/>
    <w:rsid w:val="00AB5B88"/>
    <w:rsid w:val="00AB5D8A"/>
    <w:rsid w:val="00AB5E9B"/>
    <w:rsid w:val="00AB608E"/>
    <w:rsid w:val="00AB649F"/>
    <w:rsid w:val="00AB6804"/>
    <w:rsid w:val="00AB6A27"/>
    <w:rsid w:val="00AB6C0C"/>
    <w:rsid w:val="00AB6C2C"/>
    <w:rsid w:val="00AB6D2C"/>
    <w:rsid w:val="00AB6D4D"/>
    <w:rsid w:val="00AB7184"/>
    <w:rsid w:val="00AB71CA"/>
    <w:rsid w:val="00AB7449"/>
    <w:rsid w:val="00AB74A6"/>
    <w:rsid w:val="00AB77C8"/>
    <w:rsid w:val="00AB782C"/>
    <w:rsid w:val="00AB7CFA"/>
    <w:rsid w:val="00AC0545"/>
    <w:rsid w:val="00AC0846"/>
    <w:rsid w:val="00AC0B95"/>
    <w:rsid w:val="00AC0C1B"/>
    <w:rsid w:val="00AC0DED"/>
    <w:rsid w:val="00AC0E16"/>
    <w:rsid w:val="00AC12AB"/>
    <w:rsid w:val="00AC13A5"/>
    <w:rsid w:val="00AC1A9A"/>
    <w:rsid w:val="00AC1B66"/>
    <w:rsid w:val="00AC20C3"/>
    <w:rsid w:val="00AC234F"/>
    <w:rsid w:val="00AC24F6"/>
    <w:rsid w:val="00AC258A"/>
    <w:rsid w:val="00AC2754"/>
    <w:rsid w:val="00AC2A1D"/>
    <w:rsid w:val="00AC2A52"/>
    <w:rsid w:val="00AC30CA"/>
    <w:rsid w:val="00AC331E"/>
    <w:rsid w:val="00AC3333"/>
    <w:rsid w:val="00AC345D"/>
    <w:rsid w:val="00AC3825"/>
    <w:rsid w:val="00AC3A2F"/>
    <w:rsid w:val="00AC3D75"/>
    <w:rsid w:val="00AC3DF9"/>
    <w:rsid w:val="00AC4240"/>
    <w:rsid w:val="00AC47BE"/>
    <w:rsid w:val="00AC4986"/>
    <w:rsid w:val="00AC4A60"/>
    <w:rsid w:val="00AC4CF7"/>
    <w:rsid w:val="00AC4E03"/>
    <w:rsid w:val="00AC5044"/>
    <w:rsid w:val="00AC51A9"/>
    <w:rsid w:val="00AC526F"/>
    <w:rsid w:val="00AC5490"/>
    <w:rsid w:val="00AC5554"/>
    <w:rsid w:val="00AC5C35"/>
    <w:rsid w:val="00AC5E8C"/>
    <w:rsid w:val="00AC5EC7"/>
    <w:rsid w:val="00AC5ED7"/>
    <w:rsid w:val="00AC645A"/>
    <w:rsid w:val="00AC658C"/>
    <w:rsid w:val="00AC6675"/>
    <w:rsid w:val="00AC66DB"/>
    <w:rsid w:val="00AC674D"/>
    <w:rsid w:val="00AC6876"/>
    <w:rsid w:val="00AC6A1A"/>
    <w:rsid w:val="00AC6A3B"/>
    <w:rsid w:val="00AC6F9D"/>
    <w:rsid w:val="00AC74FE"/>
    <w:rsid w:val="00AC779E"/>
    <w:rsid w:val="00AC7821"/>
    <w:rsid w:val="00AC798B"/>
    <w:rsid w:val="00AC7A1F"/>
    <w:rsid w:val="00AC7E61"/>
    <w:rsid w:val="00AD09B7"/>
    <w:rsid w:val="00AD0A8E"/>
    <w:rsid w:val="00AD0AF2"/>
    <w:rsid w:val="00AD0B78"/>
    <w:rsid w:val="00AD1B49"/>
    <w:rsid w:val="00AD1BE1"/>
    <w:rsid w:val="00AD21CF"/>
    <w:rsid w:val="00AD229E"/>
    <w:rsid w:val="00AD23CC"/>
    <w:rsid w:val="00AD241C"/>
    <w:rsid w:val="00AD2545"/>
    <w:rsid w:val="00AD26B6"/>
    <w:rsid w:val="00AD26E3"/>
    <w:rsid w:val="00AD2B6A"/>
    <w:rsid w:val="00AD2BCD"/>
    <w:rsid w:val="00AD2C15"/>
    <w:rsid w:val="00AD34B3"/>
    <w:rsid w:val="00AD35C4"/>
    <w:rsid w:val="00AD3740"/>
    <w:rsid w:val="00AD38A1"/>
    <w:rsid w:val="00AD3A54"/>
    <w:rsid w:val="00AD3B72"/>
    <w:rsid w:val="00AD3BF1"/>
    <w:rsid w:val="00AD3C19"/>
    <w:rsid w:val="00AD3C98"/>
    <w:rsid w:val="00AD3E13"/>
    <w:rsid w:val="00AD404B"/>
    <w:rsid w:val="00AD43BF"/>
    <w:rsid w:val="00AD4534"/>
    <w:rsid w:val="00AD4680"/>
    <w:rsid w:val="00AD48DD"/>
    <w:rsid w:val="00AD4989"/>
    <w:rsid w:val="00AD4FE0"/>
    <w:rsid w:val="00AD5261"/>
    <w:rsid w:val="00AD534D"/>
    <w:rsid w:val="00AD575E"/>
    <w:rsid w:val="00AD6164"/>
    <w:rsid w:val="00AD6DD3"/>
    <w:rsid w:val="00AD774B"/>
    <w:rsid w:val="00AD7C0D"/>
    <w:rsid w:val="00AD7CC0"/>
    <w:rsid w:val="00AD7DCD"/>
    <w:rsid w:val="00AE020B"/>
    <w:rsid w:val="00AE0269"/>
    <w:rsid w:val="00AE082C"/>
    <w:rsid w:val="00AE08CD"/>
    <w:rsid w:val="00AE0997"/>
    <w:rsid w:val="00AE0E14"/>
    <w:rsid w:val="00AE106D"/>
    <w:rsid w:val="00AE10AA"/>
    <w:rsid w:val="00AE11FA"/>
    <w:rsid w:val="00AE1273"/>
    <w:rsid w:val="00AE14C7"/>
    <w:rsid w:val="00AE15A3"/>
    <w:rsid w:val="00AE1CCC"/>
    <w:rsid w:val="00AE1F4E"/>
    <w:rsid w:val="00AE218E"/>
    <w:rsid w:val="00AE21E6"/>
    <w:rsid w:val="00AE2252"/>
    <w:rsid w:val="00AE266F"/>
    <w:rsid w:val="00AE272A"/>
    <w:rsid w:val="00AE2ABB"/>
    <w:rsid w:val="00AE2C21"/>
    <w:rsid w:val="00AE2F19"/>
    <w:rsid w:val="00AE301B"/>
    <w:rsid w:val="00AE332F"/>
    <w:rsid w:val="00AE33B2"/>
    <w:rsid w:val="00AE33C3"/>
    <w:rsid w:val="00AE3442"/>
    <w:rsid w:val="00AE3484"/>
    <w:rsid w:val="00AE390E"/>
    <w:rsid w:val="00AE3CC0"/>
    <w:rsid w:val="00AE406E"/>
    <w:rsid w:val="00AE4AAE"/>
    <w:rsid w:val="00AE4D8A"/>
    <w:rsid w:val="00AE53AA"/>
    <w:rsid w:val="00AE55DC"/>
    <w:rsid w:val="00AE56BB"/>
    <w:rsid w:val="00AE56F3"/>
    <w:rsid w:val="00AE5989"/>
    <w:rsid w:val="00AE5A1F"/>
    <w:rsid w:val="00AE5D0D"/>
    <w:rsid w:val="00AE5ED6"/>
    <w:rsid w:val="00AE604E"/>
    <w:rsid w:val="00AE6254"/>
    <w:rsid w:val="00AE636A"/>
    <w:rsid w:val="00AE6421"/>
    <w:rsid w:val="00AE650A"/>
    <w:rsid w:val="00AE6564"/>
    <w:rsid w:val="00AE66BB"/>
    <w:rsid w:val="00AE6B61"/>
    <w:rsid w:val="00AE6E8A"/>
    <w:rsid w:val="00AE70EE"/>
    <w:rsid w:val="00AE727C"/>
    <w:rsid w:val="00AE73EA"/>
    <w:rsid w:val="00AE755F"/>
    <w:rsid w:val="00AE756E"/>
    <w:rsid w:val="00AE7C23"/>
    <w:rsid w:val="00AF00DE"/>
    <w:rsid w:val="00AF010B"/>
    <w:rsid w:val="00AF010E"/>
    <w:rsid w:val="00AF02B3"/>
    <w:rsid w:val="00AF04E4"/>
    <w:rsid w:val="00AF07CF"/>
    <w:rsid w:val="00AF0C8F"/>
    <w:rsid w:val="00AF1140"/>
    <w:rsid w:val="00AF13AC"/>
    <w:rsid w:val="00AF1435"/>
    <w:rsid w:val="00AF157B"/>
    <w:rsid w:val="00AF1A3C"/>
    <w:rsid w:val="00AF1B03"/>
    <w:rsid w:val="00AF1C04"/>
    <w:rsid w:val="00AF1CA3"/>
    <w:rsid w:val="00AF1D24"/>
    <w:rsid w:val="00AF1E89"/>
    <w:rsid w:val="00AF22DE"/>
    <w:rsid w:val="00AF25D6"/>
    <w:rsid w:val="00AF3016"/>
    <w:rsid w:val="00AF3040"/>
    <w:rsid w:val="00AF32F9"/>
    <w:rsid w:val="00AF35F0"/>
    <w:rsid w:val="00AF3642"/>
    <w:rsid w:val="00AF367B"/>
    <w:rsid w:val="00AF3BD0"/>
    <w:rsid w:val="00AF42B7"/>
    <w:rsid w:val="00AF45BC"/>
    <w:rsid w:val="00AF4D37"/>
    <w:rsid w:val="00AF4D3B"/>
    <w:rsid w:val="00AF4DA4"/>
    <w:rsid w:val="00AF4E3E"/>
    <w:rsid w:val="00AF4EB3"/>
    <w:rsid w:val="00AF4EEB"/>
    <w:rsid w:val="00AF4FFE"/>
    <w:rsid w:val="00AF51F3"/>
    <w:rsid w:val="00AF5230"/>
    <w:rsid w:val="00AF53FD"/>
    <w:rsid w:val="00AF5676"/>
    <w:rsid w:val="00AF56AB"/>
    <w:rsid w:val="00AF59D8"/>
    <w:rsid w:val="00AF5A0B"/>
    <w:rsid w:val="00AF5BFC"/>
    <w:rsid w:val="00AF5DA6"/>
    <w:rsid w:val="00AF5DD7"/>
    <w:rsid w:val="00AF5F4D"/>
    <w:rsid w:val="00AF5F63"/>
    <w:rsid w:val="00AF6253"/>
    <w:rsid w:val="00AF63CD"/>
    <w:rsid w:val="00AF6499"/>
    <w:rsid w:val="00AF67DF"/>
    <w:rsid w:val="00AF7348"/>
    <w:rsid w:val="00AF7548"/>
    <w:rsid w:val="00AF7554"/>
    <w:rsid w:val="00AF7898"/>
    <w:rsid w:val="00AF7911"/>
    <w:rsid w:val="00AF7C21"/>
    <w:rsid w:val="00AF7E4A"/>
    <w:rsid w:val="00B002BC"/>
    <w:rsid w:val="00B002F1"/>
    <w:rsid w:val="00B004DB"/>
    <w:rsid w:val="00B00B1E"/>
    <w:rsid w:val="00B00D0A"/>
    <w:rsid w:val="00B00DDC"/>
    <w:rsid w:val="00B012CE"/>
    <w:rsid w:val="00B015A1"/>
    <w:rsid w:val="00B01721"/>
    <w:rsid w:val="00B01ABC"/>
    <w:rsid w:val="00B01CD7"/>
    <w:rsid w:val="00B01DC4"/>
    <w:rsid w:val="00B01E9A"/>
    <w:rsid w:val="00B01F30"/>
    <w:rsid w:val="00B01FDB"/>
    <w:rsid w:val="00B02116"/>
    <w:rsid w:val="00B02517"/>
    <w:rsid w:val="00B02706"/>
    <w:rsid w:val="00B02861"/>
    <w:rsid w:val="00B02A93"/>
    <w:rsid w:val="00B02B8E"/>
    <w:rsid w:val="00B03264"/>
    <w:rsid w:val="00B03369"/>
    <w:rsid w:val="00B0347A"/>
    <w:rsid w:val="00B036C0"/>
    <w:rsid w:val="00B037B9"/>
    <w:rsid w:val="00B037CE"/>
    <w:rsid w:val="00B039B5"/>
    <w:rsid w:val="00B03CD1"/>
    <w:rsid w:val="00B03F01"/>
    <w:rsid w:val="00B0423D"/>
    <w:rsid w:val="00B042EF"/>
    <w:rsid w:val="00B045BC"/>
    <w:rsid w:val="00B04796"/>
    <w:rsid w:val="00B04A11"/>
    <w:rsid w:val="00B04A87"/>
    <w:rsid w:val="00B04AF7"/>
    <w:rsid w:val="00B050E3"/>
    <w:rsid w:val="00B056ED"/>
    <w:rsid w:val="00B0599D"/>
    <w:rsid w:val="00B05A52"/>
    <w:rsid w:val="00B05A9A"/>
    <w:rsid w:val="00B05B1E"/>
    <w:rsid w:val="00B05CD5"/>
    <w:rsid w:val="00B06411"/>
    <w:rsid w:val="00B06544"/>
    <w:rsid w:val="00B066F4"/>
    <w:rsid w:val="00B06734"/>
    <w:rsid w:val="00B0699E"/>
    <w:rsid w:val="00B06C33"/>
    <w:rsid w:val="00B06DA4"/>
    <w:rsid w:val="00B06DB4"/>
    <w:rsid w:val="00B06E4D"/>
    <w:rsid w:val="00B06F57"/>
    <w:rsid w:val="00B07999"/>
    <w:rsid w:val="00B07B13"/>
    <w:rsid w:val="00B1061F"/>
    <w:rsid w:val="00B10703"/>
    <w:rsid w:val="00B10752"/>
    <w:rsid w:val="00B10A78"/>
    <w:rsid w:val="00B10E68"/>
    <w:rsid w:val="00B10E78"/>
    <w:rsid w:val="00B110F1"/>
    <w:rsid w:val="00B11204"/>
    <w:rsid w:val="00B112C9"/>
    <w:rsid w:val="00B113E5"/>
    <w:rsid w:val="00B113F6"/>
    <w:rsid w:val="00B11524"/>
    <w:rsid w:val="00B116DC"/>
    <w:rsid w:val="00B11704"/>
    <w:rsid w:val="00B11B8E"/>
    <w:rsid w:val="00B11F7F"/>
    <w:rsid w:val="00B12071"/>
    <w:rsid w:val="00B121CB"/>
    <w:rsid w:val="00B1231C"/>
    <w:rsid w:val="00B12327"/>
    <w:rsid w:val="00B1292E"/>
    <w:rsid w:val="00B12C56"/>
    <w:rsid w:val="00B12DC3"/>
    <w:rsid w:val="00B13019"/>
    <w:rsid w:val="00B133DC"/>
    <w:rsid w:val="00B13658"/>
    <w:rsid w:val="00B138CA"/>
    <w:rsid w:val="00B13CA7"/>
    <w:rsid w:val="00B13DFC"/>
    <w:rsid w:val="00B13EDF"/>
    <w:rsid w:val="00B143CC"/>
    <w:rsid w:val="00B1459D"/>
    <w:rsid w:val="00B14911"/>
    <w:rsid w:val="00B14C41"/>
    <w:rsid w:val="00B15473"/>
    <w:rsid w:val="00B1555C"/>
    <w:rsid w:val="00B15707"/>
    <w:rsid w:val="00B15770"/>
    <w:rsid w:val="00B16173"/>
    <w:rsid w:val="00B1630D"/>
    <w:rsid w:val="00B163D2"/>
    <w:rsid w:val="00B1644D"/>
    <w:rsid w:val="00B164A7"/>
    <w:rsid w:val="00B1660C"/>
    <w:rsid w:val="00B16686"/>
    <w:rsid w:val="00B16B68"/>
    <w:rsid w:val="00B16CF6"/>
    <w:rsid w:val="00B16E4F"/>
    <w:rsid w:val="00B16EFE"/>
    <w:rsid w:val="00B17070"/>
    <w:rsid w:val="00B175FE"/>
    <w:rsid w:val="00B17657"/>
    <w:rsid w:val="00B17A22"/>
    <w:rsid w:val="00B17BA2"/>
    <w:rsid w:val="00B20028"/>
    <w:rsid w:val="00B20088"/>
    <w:rsid w:val="00B200B2"/>
    <w:rsid w:val="00B20275"/>
    <w:rsid w:val="00B20290"/>
    <w:rsid w:val="00B20659"/>
    <w:rsid w:val="00B20897"/>
    <w:rsid w:val="00B20BA6"/>
    <w:rsid w:val="00B20BCE"/>
    <w:rsid w:val="00B20BFB"/>
    <w:rsid w:val="00B20EE5"/>
    <w:rsid w:val="00B20F02"/>
    <w:rsid w:val="00B21099"/>
    <w:rsid w:val="00B214F4"/>
    <w:rsid w:val="00B215A8"/>
    <w:rsid w:val="00B2192A"/>
    <w:rsid w:val="00B21CB3"/>
    <w:rsid w:val="00B21F67"/>
    <w:rsid w:val="00B2228A"/>
    <w:rsid w:val="00B222D5"/>
    <w:rsid w:val="00B223C5"/>
    <w:rsid w:val="00B22818"/>
    <w:rsid w:val="00B2284D"/>
    <w:rsid w:val="00B22E0A"/>
    <w:rsid w:val="00B22F1B"/>
    <w:rsid w:val="00B23057"/>
    <w:rsid w:val="00B2397D"/>
    <w:rsid w:val="00B23B1C"/>
    <w:rsid w:val="00B23C31"/>
    <w:rsid w:val="00B23CFF"/>
    <w:rsid w:val="00B23DD5"/>
    <w:rsid w:val="00B23EC9"/>
    <w:rsid w:val="00B241F6"/>
    <w:rsid w:val="00B24B2E"/>
    <w:rsid w:val="00B24BB7"/>
    <w:rsid w:val="00B24E1A"/>
    <w:rsid w:val="00B251C4"/>
    <w:rsid w:val="00B252DA"/>
    <w:rsid w:val="00B2535B"/>
    <w:rsid w:val="00B2552B"/>
    <w:rsid w:val="00B255D6"/>
    <w:rsid w:val="00B2563C"/>
    <w:rsid w:val="00B25655"/>
    <w:rsid w:val="00B256C5"/>
    <w:rsid w:val="00B257C7"/>
    <w:rsid w:val="00B25A7B"/>
    <w:rsid w:val="00B25B02"/>
    <w:rsid w:val="00B25E2F"/>
    <w:rsid w:val="00B261BB"/>
    <w:rsid w:val="00B2625E"/>
    <w:rsid w:val="00B26489"/>
    <w:rsid w:val="00B26A2D"/>
    <w:rsid w:val="00B278B6"/>
    <w:rsid w:val="00B27BCE"/>
    <w:rsid w:val="00B27DB9"/>
    <w:rsid w:val="00B27DD3"/>
    <w:rsid w:val="00B27FB3"/>
    <w:rsid w:val="00B27FBC"/>
    <w:rsid w:val="00B3071A"/>
    <w:rsid w:val="00B30744"/>
    <w:rsid w:val="00B3094C"/>
    <w:rsid w:val="00B30A0D"/>
    <w:rsid w:val="00B30ACD"/>
    <w:rsid w:val="00B30F90"/>
    <w:rsid w:val="00B3117C"/>
    <w:rsid w:val="00B3194C"/>
    <w:rsid w:val="00B321F9"/>
    <w:rsid w:val="00B32488"/>
    <w:rsid w:val="00B32545"/>
    <w:rsid w:val="00B32BAC"/>
    <w:rsid w:val="00B32C32"/>
    <w:rsid w:val="00B32D48"/>
    <w:rsid w:val="00B32D81"/>
    <w:rsid w:val="00B32E6C"/>
    <w:rsid w:val="00B33086"/>
    <w:rsid w:val="00B33092"/>
    <w:rsid w:val="00B330ED"/>
    <w:rsid w:val="00B3314D"/>
    <w:rsid w:val="00B332E2"/>
    <w:rsid w:val="00B338E9"/>
    <w:rsid w:val="00B33BD7"/>
    <w:rsid w:val="00B33F78"/>
    <w:rsid w:val="00B34166"/>
    <w:rsid w:val="00B344C3"/>
    <w:rsid w:val="00B3477F"/>
    <w:rsid w:val="00B34942"/>
    <w:rsid w:val="00B3495B"/>
    <w:rsid w:val="00B34A0A"/>
    <w:rsid w:val="00B34D06"/>
    <w:rsid w:val="00B34F6C"/>
    <w:rsid w:val="00B35048"/>
    <w:rsid w:val="00B35183"/>
    <w:rsid w:val="00B351F3"/>
    <w:rsid w:val="00B35610"/>
    <w:rsid w:val="00B35668"/>
    <w:rsid w:val="00B35A23"/>
    <w:rsid w:val="00B35A75"/>
    <w:rsid w:val="00B35B82"/>
    <w:rsid w:val="00B35BE8"/>
    <w:rsid w:val="00B36204"/>
    <w:rsid w:val="00B362D0"/>
    <w:rsid w:val="00B36379"/>
    <w:rsid w:val="00B364E0"/>
    <w:rsid w:val="00B3662F"/>
    <w:rsid w:val="00B36768"/>
    <w:rsid w:val="00B36A36"/>
    <w:rsid w:val="00B36F5E"/>
    <w:rsid w:val="00B36FDB"/>
    <w:rsid w:val="00B371EF"/>
    <w:rsid w:val="00B3736E"/>
    <w:rsid w:val="00B374FA"/>
    <w:rsid w:val="00B401A1"/>
    <w:rsid w:val="00B40206"/>
    <w:rsid w:val="00B403CD"/>
    <w:rsid w:val="00B404BE"/>
    <w:rsid w:val="00B40526"/>
    <w:rsid w:val="00B406EF"/>
    <w:rsid w:val="00B40718"/>
    <w:rsid w:val="00B40BC0"/>
    <w:rsid w:val="00B412D2"/>
    <w:rsid w:val="00B413AC"/>
    <w:rsid w:val="00B41D71"/>
    <w:rsid w:val="00B41D83"/>
    <w:rsid w:val="00B41FE2"/>
    <w:rsid w:val="00B426E4"/>
    <w:rsid w:val="00B42851"/>
    <w:rsid w:val="00B428E7"/>
    <w:rsid w:val="00B42B0D"/>
    <w:rsid w:val="00B42C09"/>
    <w:rsid w:val="00B42DB5"/>
    <w:rsid w:val="00B430E7"/>
    <w:rsid w:val="00B43188"/>
    <w:rsid w:val="00B435FC"/>
    <w:rsid w:val="00B43ADF"/>
    <w:rsid w:val="00B43B3E"/>
    <w:rsid w:val="00B43C45"/>
    <w:rsid w:val="00B43C5B"/>
    <w:rsid w:val="00B43CFA"/>
    <w:rsid w:val="00B441D5"/>
    <w:rsid w:val="00B441E6"/>
    <w:rsid w:val="00B4427E"/>
    <w:rsid w:val="00B4438F"/>
    <w:rsid w:val="00B446CA"/>
    <w:rsid w:val="00B446E2"/>
    <w:rsid w:val="00B44A2E"/>
    <w:rsid w:val="00B44A35"/>
    <w:rsid w:val="00B44A87"/>
    <w:rsid w:val="00B44E2B"/>
    <w:rsid w:val="00B45228"/>
    <w:rsid w:val="00B45330"/>
    <w:rsid w:val="00B453DA"/>
    <w:rsid w:val="00B45439"/>
    <w:rsid w:val="00B4546D"/>
    <w:rsid w:val="00B4552F"/>
    <w:rsid w:val="00B4571F"/>
    <w:rsid w:val="00B45C20"/>
    <w:rsid w:val="00B45C3D"/>
    <w:rsid w:val="00B46086"/>
    <w:rsid w:val="00B46178"/>
    <w:rsid w:val="00B4641A"/>
    <w:rsid w:val="00B464F0"/>
    <w:rsid w:val="00B46729"/>
    <w:rsid w:val="00B46D67"/>
    <w:rsid w:val="00B46D98"/>
    <w:rsid w:val="00B46E8A"/>
    <w:rsid w:val="00B47023"/>
    <w:rsid w:val="00B4724D"/>
    <w:rsid w:val="00B472F1"/>
    <w:rsid w:val="00B4766B"/>
    <w:rsid w:val="00B477E0"/>
    <w:rsid w:val="00B47961"/>
    <w:rsid w:val="00B47A93"/>
    <w:rsid w:val="00B47B50"/>
    <w:rsid w:val="00B47D3E"/>
    <w:rsid w:val="00B50038"/>
    <w:rsid w:val="00B500B9"/>
    <w:rsid w:val="00B500BC"/>
    <w:rsid w:val="00B5033F"/>
    <w:rsid w:val="00B50372"/>
    <w:rsid w:val="00B50DB8"/>
    <w:rsid w:val="00B51095"/>
    <w:rsid w:val="00B51352"/>
    <w:rsid w:val="00B5148D"/>
    <w:rsid w:val="00B51572"/>
    <w:rsid w:val="00B51738"/>
    <w:rsid w:val="00B51C4F"/>
    <w:rsid w:val="00B51C5E"/>
    <w:rsid w:val="00B51DEF"/>
    <w:rsid w:val="00B51EF6"/>
    <w:rsid w:val="00B52389"/>
    <w:rsid w:val="00B526CB"/>
    <w:rsid w:val="00B5285E"/>
    <w:rsid w:val="00B52B9B"/>
    <w:rsid w:val="00B52BB0"/>
    <w:rsid w:val="00B52CA9"/>
    <w:rsid w:val="00B534EE"/>
    <w:rsid w:val="00B53816"/>
    <w:rsid w:val="00B53905"/>
    <w:rsid w:val="00B53F47"/>
    <w:rsid w:val="00B5408B"/>
    <w:rsid w:val="00B543B5"/>
    <w:rsid w:val="00B54778"/>
    <w:rsid w:val="00B54919"/>
    <w:rsid w:val="00B54B5B"/>
    <w:rsid w:val="00B54D8D"/>
    <w:rsid w:val="00B54DCD"/>
    <w:rsid w:val="00B551AE"/>
    <w:rsid w:val="00B554E8"/>
    <w:rsid w:val="00B5562E"/>
    <w:rsid w:val="00B5577E"/>
    <w:rsid w:val="00B559F5"/>
    <w:rsid w:val="00B55B2E"/>
    <w:rsid w:val="00B55D21"/>
    <w:rsid w:val="00B55DB6"/>
    <w:rsid w:val="00B56453"/>
    <w:rsid w:val="00B564C9"/>
    <w:rsid w:val="00B5668E"/>
    <w:rsid w:val="00B56B7E"/>
    <w:rsid w:val="00B56B8E"/>
    <w:rsid w:val="00B56C46"/>
    <w:rsid w:val="00B56C6E"/>
    <w:rsid w:val="00B56CFA"/>
    <w:rsid w:val="00B56E56"/>
    <w:rsid w:val="00B57000"/>
    <w:rsid w:val="00B570F8"/>
    <w:rsid w:val="00B57239"/>
    <w:rsid w:val="00B57436"/>
    <w:rsid w:val="00B574B0"/>
    <w:rsid w:val="00B574F1"/>
    <w:rsid w:val="00B57579"/>
    <w:rsid w:val="00B57588"/>
    <w:rsid w:val="00B576B8"/>
    <w:rsid w:val="00B5793E"/>
    <w:rsid w:val="00B57A6A"/>
    <w:rsid w:val="00B60060"/>
    <w:rsid w:val="00B60164"/>
    <w:rsid w:val="00B60823"/>
    <w:rsid w:val="00B60939"/>
    <w:rsid w:val="00B60A5D"/>
    <w:rsid w:val="00B60A73"/>
    <w:rsid w:val="00B60AFD"/>
    <w:rsid w:val="00B60CD5"/>
    <w:rsid w:val="00B6166F"/>
    <w:rsid w:val="00B619ED"/>
    <w:rsid w:val="00B61A02"/>
    <w:rsid w:val="00B61C46"/>
    <w:rsid w:val="00B61CB3"/>
    <w:rsid w:val="00B61E00"/>
    <w:rsid w:val="00B61FAE"/>
    <w:rsid w:val="00B621E3"/>
    <w:rsid w:val="00B626A3"/>
    <w:rsid w:val="00B62715"/>
    <w:rsid w:val="00B62831"/>
    <w:rsid w:val="00B62B90"/>
    <w:rsid w:val="00B62E35"/>
    <w:rsid w:val="00B63082"/>
    <w:rsid w:val="00B630AB"/>
    <w:rsid w:val="00B632A2"/>
    <w:rsid w:val="00B6393D"/>
    <w:rsid w:val="00B63B00"/>
    <w:rsid w:val="00B63BE5"/>
    <w:rsid w:val="00B6426B"/>
    <w:rsid w:val="00B6466E"/>
    <w:rsid w:val="00B647D3"/>
    <w:rsid w:val="00B64A0F"/>
    <w:rsid w:val="00B64A7C"/>
    <w:rsid w:val="00B64C80"/>
    <w:rsid w:val="00B6545B"/>
    <w:rsid w:val="00B654D6"/>
    <w:rsid w:val="00B655E8"/>
    <w:rsid w:val="00B65BC3"/>
    <w:rsid w:val="00B65DAF"/>
    <w:rsid w:val="00B65DCD"/>
    <w:rsid w:val="00B66386"/>
    <w:rsid w:val="00B66A04"/>
    <w:rsid w:val="00B66D62"/>
    <w:rsid w:val="00B66E54"/>
    <w:rsid w:val="00B6732A"/>
    <w:rsid w:val="00B675BC"/>
    <w:rsid w:val="00B6767F"/>
    <w:rsid w:val="00B678D2"/>
    <w:rsid w:val="00B67A18"/>
    <w:rsid w:val="00B67A4C"/>
    <w:rsid w:val="00B67B95"/>
    <w:rsid w:val="00B67F66"/>
    <w:rsid w:val="00B70301"/>
    <w:rsid w:val="00B7032C"/>
    <w:rsid w:val="00B705FC"/>
    <w:rsid w:val="00B709DF"/>
    <w:rsid w:val="00B70B25"/>
    <w:rsid w:val="00B70F92"/>
    <w:rsid w:val="00B71022"/>
    <w:rsid w:val="00B711EB"/>
    <w:rsid w:val="00B71589"/>
    <w:rsid w:val="00B719A5"/>
    <w:rsid w:val="00B71ED1"/>
    <w:rsid w:val="00B71F52"/>
    <w:rsid w:val="00B720BF"/>
    <w:rsid w:val="00B72D5D"/>
    <w:rsid w:val="00B72DAC"/>
    <w:rsid w:val="00B72F3B"/>
    <w:rsid w:val="00B73124"/>
    <w:rsid w:val="00B732DA"/>
    <w:rsid w:val="00B733E2"/>
    <w:rsid w:val="00B73656"/>
    <w:rsid w:val="00B73732"/>
    <w:rsid w:val="00B7385E"/>
    <w:rsid w:val="00B73A6D"/>
    <w:rsid w:val="00B73C24"/>
    <w:rsid w:val="00B73C86"/>
    <w:rsid w:val="00B73CAE"/>
    <w:rsid w:val="00B744AC"/>
    <w:rsid w:val="00B74A5B"/>
    <w:rsid w:val="00B74AC6"/>
    <w:rsid w:val="00B74C7F"/>
    <w:rsid w:val="00B74FCF"/>
    <w:rsid w:val="00B75B3E"/>
    <w:rsid w:val="00B75BD4"/>
    <w:rsid w:val="00B75D6A"/>
    <w:rsid w:val="00B75F59"/>
    <w:rsid w:val="00B75FE8"/>
    <w:rsid w:val="00B76143"/>
    <w:rsid w:val="00B7621C"/>
    <w:rsid w:val="00B764D1"/>
    <w:rsid w:val="00B764E4"/>
    <w:rsid w:val="00B76546"/>
    <w:rsid w:val="00B76713"/>
    <w:rsid w:val="00B7673D"/>
    <w:rsid w:val="00B7679D"/>
    <w:rsid w:val="00B76A2B"/>
    <w:rsid w:val="00B76B31"/>
    <w:rsid w:val="00B76DC2"/>
    <w:rsid w:val="00B77164"/>
    <w:rsid w:val="00B772F6"/>
    <w:rsid w:val="00B77357"/>
    <w:rsid w:val="00B77560"/>
    <w:rsid w:val="00B776E1"/>
    <w:rsid w:val="00B77742"/>
    <w:rsid w:val="00B77787"/>
    <w:rsid w:val="00B7778F"/>
    <w:rsid w:val="00B778CC"/>
    <w:rsid w:val="00B7791E"/>
    <w:rsid w:val="00B77AC9"/>
    <w:rsid w:val="00B77D00"/>
    <w:rsid w:val="00B80790"/>
    <w:rsid w:val="00B8083D"/>
    <w:rsid w:val="00B80850"/>
    <w:rsid w:val="00B80A15"/>
    <w:rsid w:val="00B80B62"/>
    <w:rsid w:val="00B80BD5"/>
    <w:rsid w:val="00B80CA5"/>
    <w:rsid w:val="00B80E91"/>
    <w:rsid w:val="00B80FF1"/>
    <w:rsid w:val="00B8100A"/>
    <w:rsid w:val="00B8117E"/>
    <w:rsid w:val="00B811F6"/>
    <w:rsid w:val="00B81327"/>
    <w:rsid w:val="00B818A4"/>
    <w:rsid w:val="00B818D9"/>
    <w:rsid w:val="00B81936"/>
    <w:rsid w:val="00B819B4"/>
    <w:rsid w:val="00B81BE9"/>
    <w:rsid w:val="00B82151"/>
    <w:rsid w:val="00B82269"/>
    <w:rsid w:val="00B823BD"/>
    <w:rsid w:val="00B82805"/>
    <w:rsid w:val="00B82976"/>
    <w:rsid w:val="00B82D03"/>
    <w:rsid w:val="00B82D6D"/>
    <w:rsid w:val="00B82DD5"/>
    <w:rsid w:val="00B8321C"/>
    <w:rsid w:val="00B83296"/>
    <w:rsid w:val="00B832B3"/>
    <w:rsid w:val="00B834F0"/>
    <w:rsid w:val="00B8353B"/>
    <w:rsid w:val="00B83677"/>
    <w:rsid w:val="00B83798"/>
    <w:rsid w:val="00B8380E"/>
    <w:rsid w:val="00B83925"/>
    <w:rsid w:val="00B839C5"/>
    <w:rsid w:val="00B83A5B"/>
    <w:rsid w:val="00B83B5C"/>
    <w:rsid w:val="00B83FD1"/>
    <w:rsid w:val="00B84227"/>
    <w:rsid w:val="00B8465B"/>
    <w:rsid w:val="00B84750"/>
    <w:rsid w:val="00B847AF"/>
    <w:rsid w:val="00B84924"/>
    <w:rsid w:val="00B84F1A"/>
    <w:rsid w:val="00B85021"/>
    <w:rsid w:val="00B8515C"/>
    <w:rsid w:val="00B852CD"/>
    <w:rsid w:val="00B85422"/>
    <w:rsid w:val="00B85AA5"/>
    <w:rsid w:val="00B85BD6"/>
    <w:rsid w:val="00B85C34"/>
    <w:rsid w:val="00B85DDC"/>
    <w:rsid w:val="00B86118"/>
    <w:rsid w:val="00B86165"/>
    <w:rsid w:val="00B862F6"/>
    <w:rsid w:val="00B86486"/>
    <w:rsid w:val="00B8649C"/>
    <w:rsid w:val="00B865CF"/>
    <w:rsid w:val="00B86790"/>
    <w:rsid w:val="00B867A4"/>
    <w:rsid w:val="00B86CD9"/>
    <w:rsid w:val="00B87108"/>
    <w:rsid w:val="00B8715D"/>
    <w:rsid w:val="00B871A4"/>
    <w:rsid w:val="00B8724A"/>
    <w:rsid w:val="00B87287"/>
    <w:rsid w:val="00B87296"/>
    <w:rsid w:val="00B873A8"/>
    <w:rsid w:val="00B8746F"/>
    <w:rsid w:val="00B878AD"/>
    <w:rsid w:val="00B87F89"/>
    <w:rsid w:val="00B87FA2"/>
    <w:rsid w:val="00B9039E"/>
    <w:rsid w:val="00B903AF"/>
    <w:rsid w:val="00B9046F"/>
    <w:rsid w:val="00B908C5"/>
    <w:rsid w:val="00B90B47"/>
    <w:rsid w:val="00B90B5F"/>
    <w:rsid w:val="00B90B94"/>
    <w:rsid w:val="00B90DF5"/>
    <w:rsid w:val="00B90F3A"/>
    <w:rsid w:val="00B91C5C"/>
    <w:rsid w:val="00B91F36"/>
    <w:rsid w:val="00B91FC4"/>
    <w:rsid w:val="00B92221"/>
    <w:rsid w:val="00B9225F"/>
    <w:rsid w:val="00B9257E"/>
    <w:rsid w:val="00B9296F"/>
    <w:rsid w:val="00B92BEE"/>
    <w:rsid w:val="00B92CED"/>
    <w:rsid w:val="00B92D0B"/>
    <w:rsid w:val="00B92DA8"/>
    <w:rsid w:val="00B932F2"/>
    <w:rsid w:val="00B93ACF"/>
    <w:rsid w:val="00B93D68"/>
    <w:rsid w:val="00B94125"/>
    <w:rsid w:val="00B944E8"/>
    <w:rsid w:val="00B946BE"/>
    <w:rsid w:val="00B946F5"/>
    <w:rsid w:val="00B94945"/>
    <w:rsid w:val="00B94F4F"/>
    <w:rsid w:val="00B94FD2"/>
    <w:rsid w:val="00B952E7"/>
    <w:rsid w:val="00B9544B"/>
    <w:rsid w:val="00B954E3"/>
    <w:rsid w:val="00B95905"/>
    <w:rsid w:val="00B95B6E"/>
    <w:rsid w:val="00B95EAD"/>
    <w:rsid w:val="00B96007"/>
    <w:rsid w:val="00B96404"/>
    <w:rsid w:val="00B96564"/>
    <w:rsid w:val="00B96606"/>
    <w:rsid w:val="00B966FF"/>
    <w:rsid w:val="00B96863"/>
    <w:rsid w:val="00B96982"/>
    <w:rsid w:val="00B96A47"/>
    <w:rsid w:val="00B96B17"/>
    <w:rsid w:val="00B96D28"/>
    <w:rsid w:val="00B9744C"/>
    <w:rsid w:val="00B9760E"/>
    <w:rsid w:val="00B97894"/>
    <w:rsid w:val="00B97E71"/>
    <w:rsid w:val="00BA000F"/>
    <w:rsid w:val="00BA04C3"/>
    <w:rsid w:val="00BA0AC8"/>
    <w:rsid w:val="00BA0DD5"/>
    <w:rsid w:val="00BA0EA0"/>
    <w:rsid w:val="00BA1742"/>
    <w:rsid w:val="00BA18DB"/>
    <w:rsid w:val="00BA1AD7"/>
    <w:rsid w:val="00BA1B0F"/>
    <w:rsid w:val="00BA1B58"/>
    <w:rsid w:val="00BA1CDA"/>
    <w:rsid w:val="00BA2010"/>
    <w:rsid w:val="00BA2179"/>
    <w:rsid w:val="00BA257A"/>
    <w:rsid w:val="00BA2BBB"/>
    <w:rsid w:val="00BA30A1"/>
    <w:rsid w:val="00BA3232"/>
    <w:rsid w:val="00BA349C"/>
    <w:rsid w:val="00BA3571"/>
    <w:rsid w:val="00BA3591"/>
    <w:rsid w:val="00BA45DA"/>
    <w:rsid w:val="00BA4AB5"/>
    <w:rsid w:val="00BA4B83"/>
    <w:rsid w:val="00BA4B8D"/>
    <w:rsid w:val="00BA4D37"/>
    <w:rsid w:val="00BA4E0D"/>
    <w:rsid w:val="00BA5110"/>
    <w:rsid w:val="00BA5580"/>
    <w:rsid w:val="00BA5A42"/>
    <w:rsid w:val="00BA5E4A"/>
    <w:rsid w:val="00BA5FC7"/>
    <w:rsid w:val="00BA6006"/>
    <w:rsid w:val="00BA65BF"/>
    <w:rsid w:val="00BA65F7"/>
    <w:rsid w:val="00BA6A25"/>
    <w:rsid w:val="00BA6B4F"/>
    <w:rsid w:val="00BA6BC7"/>
    <w:rsid w:val="00BA6DE7"/>
    <w:rsid w:val="00BA704E"/>
    <w:rsid w:val="00BA70CA"/>
    <w:rsid w:val="00BA7129"/>
    <w:rsid w:val="00BA7521"/>
    <w:rsid w:val="00BA75E6"/>
    <w:rsid w:val="00BA7B64"/>
    <w:rsid w:val="00BB03B9"/>
    <w:rsid w:val="00BB06AC"/>
    <w:rsid w:val="00BB06F6"/>
    <w:rsid w:val="00BB076C"/>
    <w:rsid w:val="00BB0B80"/>
    <w:rsid w:val="00BB0CA5"/>
    <w:rsid w:val="00BB0CE3"/>
    <w:rsid w:val="00BB12EF"/>
    <w:rsid w:val="00BB2164"/>
    <w:rsid w:val="00BB2285"/>
    <w:rsid w:val="00BB2286"/>
    <w:rsid w:val="00BB22E3"/>
    <w:rsid w:val="00BB23D2"/>
    <w:rsid w:val="00BB24DB"/>
    <w:rsid w:val="00BB2A6C"/>
    <w:rsid w:val="00BB2B8C"/>
    <w:rsid w:val="00BB2CE2"/>
    <w:rsid w:val="00BB2E5F"/>
    <w:rsid w:val="00BB3251"/>
    <w:rsid w:val="00BB325C"/>
    <w:rsid w:val="00BB347B"/>
    <w:rsid w:val="00BB36DF"/>
    <w:rsid w:val="00BB38E3"/>
    <w:rsid w:val="00BB3943"/>
    <w:rsid w:val="00BB3E63"/>
    <w:rsid w:val="00BB3FA8"/>
    <w:rsid w:val="00BB42F0"/>
    <w:rsid w:val="00BB4367"/>
    <w:rsid w:val="00BB44BD"/>
    <w:rsid w:val="00BB44FD"/>
    <w:rsid w:val="00BB45EE"/>
    <w:rsid w:val="00BB4694"/>
    <w:rsid w:val="00BB47D6"/>
    <w:rsid w:val="00BB4881"/>
    <w:rsid w:val="00BB48C4"/>
    <w:rsid w:val="00BB4DB9"/>
    <w:rsid w:val="00BB4E1F"/>
    <w:rsid w:val="00BB4FE3"/>
    <w:rsid w:val="00BB530B"/>
    <w:rsid w:val="00BB53D7"/>
    <w:rsid w:val="00BB5505"/>
    <w:rsid w:val="00BB55C3"/>
    <w:rsid w:val="00BB56F5"/>
    <w:rsid w:val="00BB57BB"/>
    <w:rsid w:val="00BB5932"/>
    <w:rsid w:val="00BB5A10"/>
    <w:rsid w:val="00BB5B0F"/>
    <w:rsid w:val="00BB5D70"/>
    <w:rsid w:val="00BB6520"/>
    <w:rsid w:val="00BB672C"/>
    <w:rsid w:val="00BB6C36"/>
    <w:rsid w:val="00BB6DB2"/>
    <w:rsid w:val="00BB7398"/>
    <w:rsid w:val="00BB7405"/>
    <w:rsid w:val="00BB7560"/>
    <w:rsid w:val="00BB76DE"/>
    <w:rsid w:val="00BB7E04"/>
    <w:rsid w:val="00BB7E25"/>
    <w:rsid w:val="00BB7F03"/>
    <w:rsid w:val="00BC0473"/>
    <w:rsid w:val="00BC04D6"/>
    <w:rsid w:val="00BC05B6"/>
    <w:rsid w:val="00BC05B8"/>
    <w:rsid w:val="00BC0A3F"/>
    <w:rsid w:val="00BC15E8"/>
    <w:rsid w:val="00BC1F68"/>
    <w:rsid w:val="00BC1FD3"/>
    <w:rsid w:val="00BC25C7"/>
    <w:rsid w:val="00BC25F0"/>
    <w:rsid w:val="00BC28ED"/>
    <w:rsid w:val="00BC2AF2"/>
    <w:rsid w:val="00BC2F32"/>
    <w:rsid w:val="00BC2F50"/>
    <w:rsid w:val="00BC3112"/>
    <w:rsid w:val="00BC322A"/>
    <w:rsid w:val="00BC36D1"/>
    <w:rsid w:val="00BC3B6C"/>
    <w:rsid w:val="00BC3BD8"/>
    <w:rsid w:val="00BC3CDB"/>
    <w:rsid w:val="00BC3DB1"/>
    <w:rsid w:val="00BC3FE7"/>
    <w:rsid w:val="00BC4089"/>
    <w:rsid w:val="00BC40BA"/>
    <w:rsid w:val="00BC419D"/>
    <w:rsid w:val="00BC4201"/>
    <w:rsid w:val="00BC4569"/>
    <w:rsid w:val="00BC45DC"/>
    <w:rsid w:val="00BC50D2"/>
    <w:rsid w:val="00BC5851"/>
    <w:rsid w:val="00BC5E29"/>
    <w:rsid w:val="00BC5F96"/>
    <w:rsid w:val="00BC60AE"/>
    <w:rsid w:val="00BC6174"/>
    <w:rsid w:val="00BC62C0"/>
    <w:rsid w:val="00BC6420"/>
    <w:rsid w:val="00BC647F"/>
    <w:rsid w:val="00BC64DE"/>
    <w:rsid w:val="00BC64EE"/>
    <w:rsid w:val="00BC652C"/>
    <w:rsid w:val="00BC690D"/>
    <w:rsid w:val="00BC6AFB"/>
    <w:rsid w:val="00BC6CEB"/>
    <w:rsid w:val="00BC6E93"/>
    <w:rsid w:val="00BC725C"/>
    <w:rsid w:val="00BC7336"/>
    <w:rsid w:val="00BC749B"/>
    <w:rsid w:val="00BC75A0"/>
    <w:rsid w:val="00BC7743"/>
    <w:rsid w:val="00BC7B90"/>
    <w:rsid w:val="00BD01AB"/>
    <w:rsid w:val="00BD041D"/>
    <w:rsid w:val="00BD044E"/>
    <w:rsid w:val="00BD07FC"/>
    <w:rsid w:val="00BD0917"/>
    <w:rsid w:val="00BD0A8E"/>
    <w:rsid w:val="00BD0C96"/>
    <w:rsid w:val="00BD0D17"/>
    <w:rsid w:val="00BD0E41"/>
    <w:rsid w:val="00BD0FF3"/>
    <w:rsid w:val="00BD0FFF"/>
    <w:rsid w:val="00BD11A4"/>
    <w:rsid w:val="00BD13E9"/>
    <w:rsid w:val="00BD15B9"/>
    <w:rsid w:val="00BD17A0"/>
    <w:rsid w:val="00BD1A1A"/>
    <w:rsid w:val="00BD1E12"/>
    <w:rsid w:val="00BD2023"/>
    <w:rsid w:val="00BD2138"/>
    <w:rsid w:val="00BD231D"/>
    <w:rsid w:val="00BD2561"/>
    <w:rsid w:val="00BD3156"/>
    <w:rsid w:val="00BD3455"/>
    <w:rsid w:val="00BD3526"/>
    <w:rsid w:val="00BD36B5"/>
    <w:rsid w:val="00BD38C7"/>
    <w:rsid w:val="00BD3A02"/>
    <w:rsid w:val="00BD3B2D"/>
    <w:rsid w:val="00BD3CFE"/>
    <w:rsid w:val="00BD44A2"/>
    <w:rsid w:val="00BD4CC8"/>
    <w:rsid w:val="00BD508E"/>
    <w:rsid w:val="00BD542D"/>
    <w:rsid w:val="00BD546C"/>
    <w:rsid w:val="00BD5656"/>
    <w:rsid w:val="00BD568A"/>
    <w:rsid w:val="00BD5751"/>
    <w:rsid w:val="00BD5AC1"/>
    <w:rsid w:val="00BD5B86"/>
    <w:rsid w:val="00BD5E15"/>
    <w:rsid w:val="00BD6955"/>
    <w:rsid w:val="00BD6CF3"/>
    <w:rsid w:val="00BD6DB1"/>
    <w:rsid w:val="00BD6FFF"/>
    <w:rsid w:val="00BD7141"/>
    <w:rsid w:val="00BD7787"/>
    <w:rsid w:val="00BD7AA1"/>
    <w:rsid w:val="00BD7B6D"/>
    <w:rsid w:val="00BD7C10"/>
    <w:rsid w:val="00BD7D7A"/>
    <w:rsid w:val="00BD7E6D"/>
    <w:rsid w:val="00BE0123"/>
    <w:rsid w:val="00BE045F"/>
    <w:rsid w:val="00BE0BBE"/>
    <w:rsid w:val="00BE0BFC"/>
    <w:rsid w:val="00BE0C74"/>
    <w:rsid w:val="00BE0D74"/>
    <w:rsid w:val="00BE0E6D"/>
    <w:rsid w:val="00BE0FFE"/>
    <w:rsid w:val="00BE11C7"/>
    <w:rsid w:val="00BE127D"/>
    <w:rsid w:val="00BE1349"/>
    <w:rsid w:val="00BE1407"/>
    <w:rsid w:val="00BE1476"/>
    <w:rsid w:val="00BE156E"/>
    <w:rsid w:val="00BE1676"/>
    <w:rsid w:val="00BE185F"/>
    <w:rsid w:val="00BE1A3A"/>
    <w:rsid w:val="00BE1E50"/>
    <w:rsid w:val="00BE2147"/>
    <w:rsid w:val="00BE2180"/>
    <w:rsid w:val="00BE21E3"/>
    <w:rsid w:val="00BE2332"/>
    <w:rsid w:val="00BE236B"/>
    <w:rsid w:val="00BE2898"/>
    <w:rsid w:val="00BE28CD"/>
    <w:rsid w:val="00BE28EA"/>
    <w:rsid w:val="00BE2947"/>
    <w:rsid w:val="00BE2978"/>
    <w:rsid w:val="00BE299D"/>
    <w:rsid w:val="00BE2A44"/>
    <w:rsid w:val="00BE2A7C"/>
    <w:rsid w:val="00BE2BC5"/>
    <w:rsid w:val="00BE2BDB"/>
    <w:rsid w:val="00BE2DC6"/>
    <w:rsid w:val="00BE2FF7"/>
    <w:rsid w:val="00BE3040"/>
    <w:rsid w:val="00BE30DC"/>
    <w:rsid w:val="00BE3185"/>
    <w:rsid w:val="00BE31F3"/>
    <w:rsid w:val="00BE3517"/>
    <w:rsid w:val="00BE357E"/>
    <w:rsid w:val="00BE383B"/>
    <w:rsid w:val="00BE38F8"/>
    <w:rsid w:val="00BE3BCC"/>
    <w:rsid w:val="00BE3CE6"/>
    <w:rsid w:val="00BE3E8B"/>
    <w:rsid w:val="00BE4275"/>
    <w:rsid w:val="00BE4604"/>
    <w:rsid w:val="00BE4BC8"/>
    <w:rsid w:val="00BE4D50"/>
    <w:rsid w:val="00BE4D5B"/>
    <w:rsid w:val="00BE4DD6"/>
    <w:rsid w:val="00BE4DFC"/>
    <w:rsid w:val="00BE4F8F"/>
    <w:rsid w:val="00BE50CA"/>
    <w:rsid w:val="00BE54C8"/>
    <w:rsid w:val="00BE560B"/>
    <w:rsid w:val="00BE57B2"/>
    <w:rsid w:val="00BE59BF"/>
    <w:rsid w:val="00BE59CA"/>
    <w:rsid w:val="00BE5A98"/>
    <w:rsid w:val="00BE5ADF"/>
    <w:rsid w:val="00BE5ECB"/>
    <w:rsid w:val="00BE6084"/>
    <w:rsid w:val="00BE6451"/>
    <w:rsid w:val="00BE65CB"/>
    <w:rsid w:val="00BE6A17"/>
    <w:rsid w:val="00BE6BB4"/>
    <w:rsid w:val="00BE6C76"/>
    <w:rsid w:val="00BE6D16"/>
    <w:rsid w:val="00BE6DAA"/>
    <w:rsid w:val="00BE6FDD"/>
    <w:rsid w:val="00BE7120"/>
    <w:rsid w:val="00BE7171"/>
    <w:rsid w:val="00BE73EC"/>
    <w:rsid w:val="00BE7753"/>
    <w:rsid w:val="00BE78F2"/>
    <w:rsid w:val="00BE7AB8"/>
    <w:rsid w:val="00BE7E55"/>
    <w:rsid w:val="00BF025E"/>
    <w:rsid w:val="00BF0354"/>
    <w:rsid w:val="00BF04B5"/>
    <w:rsid w:val="00BF0576"/>
    <w:rsid w:val="00BF06B5"/>
    <w:rsid w:val="00BF0885"/>
    <w:rsid w:val="00BF0D35"/>
    <w:rsid w:val="00BF0D93"/>
    <w:rsid w:val="00BF0FCF"/>
    <w:rsid w:val="00BF1098"/>
    <w:rsid w:val="00BF134D"/>
    <w:rsid w:val="00BF19EA"/>
    <w:rsid w:val="00BF1B8D"/>
    <w:rsid w:val="00BF1BF7"/>
    <w:rsid w:val="00BF1D37"/>
    <w:rsid w:val="00BF1D73"/>
    <w:rsid w:val="00BF1DD3"/>
    <w:rsid w:val="00BF210C"/>
    <w:rsid w:val="00BF21CE"/>
    <w:rsid w:val="00BF2433"/>
    <w:rsid w:val="00BF2476"/>
    <w:rsid w:val="00BF251C"/>
    <w:rsid w:val="00BF25A1"/>
    <w:rsid w:val="00BF274F"/>
    <w:rsid w:val="00BF2E51"/>
    <w:rsid w:val="00BF2EF4"/>
    <w:rsid w:val="00BF322B"/>
    <w:rsid w:val="00BF343F"/>
    <w:rsid w:val="00BF3529"/>
    <w:rsid w:val="00BF367D"/>
    <w:rsid w:val="00BF392C"/>
    <w:rsid w:val="00BF3956"/>
    <w:rsid w:val="00BF3E72"/>
    <w:rsid w:val="00BF40E4"/>
    <w:rsid w:val="00BF41B5"/>
    <w:rsid w:val="00BF436D"/>
    <w:rsid w:val="00BF4796"/>
    <w:rsid w:val="00BF4A5B"/>
    <w:rsid w:val="00BF4B12"/>
    <w:rsid w:val="00BF5231"/>
    <w:rsid w:val="00BF5987"/>
    <w:rsid w:val="00BF5F9D"/>
    <w:rsid w:val="00BF60EA"/>
    <w:rsid w:val="00BF6188"/>
    <w:rsid w:val="00BF61C9"/>
    <w:rsid w:val="00BF620B"/>
    <w:rsid w:val="00BF62E8"/>
    <w:rsid w:val="00BF6718"/>
    <w:rsid w:val="00BF6C92"/>
    <w:rsid w:val="00BF6D85"/>
    <w:rsid w:val="00BF6D8A"/>
    <w:rsid w:val="00BF701C"/>
    <w:rsid w:val="00BF71A1"/>
    <w:rsid w:val="00BF72EE"/>
    <w:rsid w:val="00BF7F2D"/>
    <w:rsid w:val="00C001D5"/>
    <w:rsid w:val="00C001EC"/>
    <w:rsid w:val="00C003C9"/>
    <w:rsid w:val="00C0067C"/>
    <w:rsid w:val="00C00784"/>
    <w:rsid w:val="00C00B49"/>
    <w:rsid w:val="00C01162"/>
    <w:rsid w:val="00C01527"/>
    <w:rsid w:val="00C0180E"/>
    <w:rsid w:val="00C0210E"/>
    <w:rsid w:val="00C02796"/>
    <w:rsid w:val="00C0280A"/>
    <w:rsid w:val="00C02A16"/>
    <w:rsid w:val="00C02A89"/>
    <w:rsid w:val="00C02AEF"/>
    <w:rsid w:val="00C02BEB"/>
    <w:rsid w:val="00C02DD0"/>
    <w:rsid w:val="00C030D4"/>
    <w:rsid w:val="00C0336A"/>
    <w:rsid w:val="00C035B2"/>
    <w:rsid w:val="00C037A4"/>
    <w:rsid w:val="00C03CBE"/>
    <w:rsid w:val="00C03CD4"/>
    <w:rsid w:val="00C03E1B"/>
    <w:rsid w:val="00C03EB0"/>
    <w:rsid w:val="00C045E4"/>
    <w:rsid w:val="00C0476E"/>
    <w:rsid w:val="00C0499E"/>
    <w:rsid w:val="00C04B07"/>
    <w:rsid w:val="00C04B46"/>
    <w:rsid w:val="00C04E0B"/>
    <w:rsid w:val="00C04F2D"/>
    <w:rsid w:val="00C05190"/>
    <w:rsid w:val="00C0537B"/>
    <w:rsid w:val="00C0539C"/>
    <w:rsid w:val="00C0539D"/>
    <w:rsid w:val="00C05797"/>
    <w:rsid w:val="00C059CE"/>
    <w:rsid w:val="00C05AFD"/>
    <w:rsid w:val="00C05D9D"/>
    <w:rsid w:val="00C061A3"/>
    <w:rsid w:val="00C061F6"/>
    <w:rsid w:val="00C0649F"/>
    <w:rsid w:val="00C064A9"/>
    <w:rsid w:val="00C06607"/>
    <w:rsid w:val="00C06623"/>
    <w:rsid w:val="00C06ADA"/>
    <w:rsid w:val="00C06ADB"/>
    <w:rsid w:val="00C06D75"/>
    <w:rsid w:val="00C06D95"/>
    <w:rsid w:val="00C06E21"/>
    <w:rsid w:val="00C06F05"/>
    <w:rsid w:val="00C06FE4"/>
    <w:rsid w:val="00C07372"/>
    <w:rsid w:val="00C07A88"/>
    <w:rsid w:val="00C10079"/>
    <w:rsid w:val="00C10201"/>
    <w:rsid w:val="00C1021B"/>
    <w:rsid w:val="00C102FC"/>
    <w:rsid w:val="00C10507"/>
    <w:rsid w:val="00C105DC"/>
    <w:rsid w:val="00C1068F"/>
    <w:rsid w:val="00C10FDB"/>
    <w:rsid w:val="00C11125"/>
    <w:rsid w:val="00C114A9"/>
    <w:rsid w:val="00C11506"/>
    <w:rsid w:val="00C11AE0"/>
    <w:rsid w:val="00C11B61"/>
    <w:rsid w:val="00C11F5B"/>
    <w:rsid w:val="00C12508"/>
    <w:rsid w:val="00C12630"/>
    <w:rsid w:val="00C128C8"/>
    <w:rsid w:val="00C12B0C"/>
    <w:rsid w:val="00C12B76"/>
    <w:rsid w:val="00C12C97"/>
    <w:rsid w:val="00C12E0C"/>
    <w:rsid w:val="00C132D5"/>
    <w:rsid w:val="00C139F1"/>
    <w:rsid w:val="00C13B4D"/>
    <w:rsid w:val="00C13D6E"/>
    <w:rsid w:val="00C13D85"/>
    <w:rsid w:val="00C13E6A"/>
    <w:rsid w:val="00C13E8D"/>
    <w:rsid w:val="00C13FBF"/>
    <w:rsid w:val="00C1440B"/>
    <w:rsid w:val="00C145F5"/>
    <w:rsid w:val="00C14A05"/>
    <w:rsid w:val="00C14BDF"/>
    <w:rsid w:val="00C14EBF"/>
    <w:rsid w:val="00C152C0"/>
    <w:rsid w:val="00C15CDE"/>
    <w:rsid w:val="00C15D30"/>
    <w:rsid w:val="00C16016"/>
    <w:rsid w:val="00C1653E"/>
    <w:rsid w:val="00C1685E"/>
    <w:rsid w:val="00C16AE0"/>
    <w:rsid w:val="00C16E14"/>
    <w:rsid w:val="00C1775B"/>
    <w:rsid w:val="00C200EC"/>
    <w:rsid w:val="00C2058D"/>
    <w:rsid w:val="00C20717"/>
    <w:rsid w:val="00C20877"/>
    <w:rsid w:val="00C20C5E"/>
    <w:rsid w:val="00C20D06"/>
    <w:rsid w:val="00C20E41"/>
    <w:rsid w:val="00C20EC1"/>
    <w:rsid w:val="00C211EB"/>
    <w:rsid w:val="00C21216"/>
    <w:rsid w:val="00C213EF"/>
    <w:rsid w:val="00C21585"/>
    <w:rsid w:val="00C2172C"/>
    <w:rsid w:val="00C21F39"/>
    <w:rsid w:val="00C223DB"/>
    <w:rsid w:val="00C2262C"/>
    <w:rsid w:val="00C22741"/>
    <w:rsid w:val="00C227B6"/>
    <w:rsid w:val="00C22A73"/>
    <w:rsid w:val="00C22B8C"/>
    <w:rsid w:val="00C22BDC"/>
    <w:rsid w:val="00C22CF2"/>
    <w:rsid w:val="00C230F9"/>
    <w:rsid w:val="00C233CF"/>
    <w:rsid w:val="00C2371F"/>
    <w:rsid w:val="00C23836"/>
    <w:rsid w:val="00C23973"/>
    <w:rsid w:val="00C23DD3"/>
    <w:rsid w:val="00C2408A"/>
    <w:rsid w:val="00C24182"/>
    <w:rsid w:val="00C24320"/>
    <w:rsid w:val="00C24474"/>
    <w:rsid w:val="00C248E0"/>
    <w:rsid w:val="00C24954"/>
    <w:rsid w:val="00C24ABE"/>
    <w:rsid w:val="00C24B42"/>
    <w:rsid w:val="00C24C5D"/>
    <w:rsid w:val="00C24D71"/>
    <w:rsid w:val="00C24E66"/>
    <w:rsid w:val="00C24EBD"/>
    <w:rsid w:val="00C24F53"/>
    <w:rsid w:val="00C2508E"/>
    <w:rsid w:val="00C2511D"/>
    <w:rsid w:val="00C25241"/>
    <w:rsid w:val="00C25418"/>
    <w:rsid w:val="00C254F1"/>
    <w:rsid w:val="00C25D9C"/>
    <w:rsid w:val="00C25DCF"/>
    <w:rsid w:val="00C262AB"/>
    <w:rsid w:val="00C263C9"/>
    <w:rsid w:val="00C26A66"/>
    <w:rsid w:val="00C26C4C"/>
    <w:rsid w:val="00C26C8F"/>
    <w:rsid w:val="00C26D21"/>
    <w:rsid w:val="00C26D82"/>
    <w:rsid w:val="00C26D8A"/>
    <w:rsid w:val="00C2714D"/>
    <w:rsid w:val="00C2733C"/>
    <w:rsid w:val="00C2752D"/>
    <w:rsid w:val="00C279D8"/>
    <w:rsid w:val="00C27A84"/>
    <w:rsid w:val="00C27B59"/>
    <w:rsid w:val="00C30182"/>
    <w:rsid w:val="00C30299"/>
    <w:rsid w:val="00C302D2"/>
    <w:rsid w:val="00C30466"/>
    <w:rsid w:val="00C30623"/>
    <w:rsid w:val="00C30672"/>
    <w:rsid w:val="00C30933"/>
    <w:rsid w:val="00C30B6F"/>
    <w:rsid w:val="00C30DAB"/>
    <w:rsid w:val="00C31649"/>
    <w:rsid w:val="00C319F7"/>
    <w:rsid w:val="00C31B83"/>
    <w:rsid w:val="00C31CCA"/>
    <w:rsid w:val="00C31DDC"/>
    <w:rsid w:val="00C32231"/>
    <w:rsid w:val="00C32337"/>
    <w:rsid w:val="00C323BC"/>
    <w:rsid w:val="00C323CA"/>
    <w:rsid w:val="00C3258D"/>
    <w:rsid w:val="00C32772"/>
    <w:rsid w:val="00C327D1"/>
    <w:rsid w:val="00C32AA8"/>
    <w:rsid w:val="00C32AE7"/>
    <w:rsid w:val="00C32BAE"/>
    <w:rsid w:val="00C32C9D"/>
    <w:rsid w:val="00C32D7F"/>
    <w:rsid w:val="00C32F39"/>
    <w:rsid w:val="00C33027"/>
    <w:rsid w:val="00C330BF"/>
    <w:rsid w:val="00C332BC"/>
    <w:rsid w:val="00C33672"/>
    <w:rsid w:val="00C337E4"/>
    <w:rsid w:val="00C3386C"/>
    <w:rsid w:val="00C338C9"/>
    <w:rsid w:val="00C33901"/>
    <w:rsid w:val="00C33C44"/>
    <w:rsid w:val="00C33E7C"/>
    <w:rsid w:val="00C33F6F"/>
    <w:rsid w:val="00C3413C"/>
    <w:rsid w:val="00C3444D"/>
    <w:rsid w:val="00C34854"/>
    <w:rsid w:val="00C34A21"/>
    <w:rsid w:val="00C34D55"/>
    <w:rsid w:val="00C34F31"/>
    <w:rsid w:val="00C354AF"/>
    <w:rsid w:val="00C354BE"/>
    <w:rsid w:val="00C3589E"/>
    <w:rsid w:val="00C35986"/>
    <w:rsid w:val="00C35AD9"/>
    <w:rsid w:val="00C35B83"/>
    <w:rsid w:val="00C35C56"/>
    <w:rsid w:val="00C36692"/>
    <w:rsid w:val="00C367E0"/>
    <w:rsid w:val="00C36A05"/>
    <w:rsid w:val="00C36BD5"/>
    <w:rsid w:val="00C371F9"/>
    <w:rsid w:val="00C37286"/>
    <w:rsid w:val="00C37330"/>
    <w:rsid w:val="00C37CA4"/>
    <w:rsid w:val="00C37E04"/>
    <w:rsid w:val="00C37FCE"/>
    <w:rsid w:val="00C4001F"/>
    <w:rsid w:val="00C4004F"/>
    <w:rsid w:val="00C40244"/>
    <w:rsid w:val="00C40338"/>
    <w:rsid w:val="00C40385"/>
    <w:rsid w:val="00C403EA"/>
    <w:rsid w:val="00C406B6"/>
    <w:rsid w:val="00C40CAA"/>
    <w:rsid w:val="00C40F9E"/>
    <w:rsid w:val="00C41C1D"/>
    <w:rsid w:val="00C41F85"/>
    <w:rsid w:val="00C427B6"/>
    <w:rsid w:val="00C429C0"/>
    <w:rsid w:val="00C42DDA"/>
    <w:rsid w:val="00C4330C"/>
    <w:rsid w:val="00C435FE"/>
    <w:rsid w:val="00C4364B"/>
    <w:rsid w:val="00C437B1"/>
    <w:rsid w:val="00C43929"/>
    <w:rsid w:val="00C43DAC"/>
    <w:rsid w:val="00C43DD1"/>
    <w:rsid w:val="00C440C8"/>
    <w:rsid w:val="00C441B1"/>
    <w:rsid w:val="00C443F8"/>
    <w:rsid w:val="00C44690"/>
    <w:rsid w:val="00C446CC"/>
    <w:rsid w:val="00C44A14"/>
    <w:rsid w:val="00C44BD9"/>
    <w:rsid w:val="00C44EB1"/>
    <w:rsid w:val="00C4510E"/>
    <w:rsid w:val="00C4535A"/>
    <w:rsid w:val="00C455FB"/>
    <w:rsid w:val="00C4595C"/>
    <w:rsid w:val="00C45A7F"/>
    <w:rsid w:val="00C45E20"/>
    <w:rsid w:val="00C45EA0"/>
    <w:rsid w:val="00C46260"/>
    <w:rsid w:val="00C4645C"/>
    <w:rsid w:val="00C46472"/>
    <w:rsid w:val="00C466B9"/>
    <w:rsid w:val="00C46744"/>
    <w:rsid w:val="00C46851"/>
    <w:rsid w:val="00C4685A"/>
    <w:rsid w:val="00C46AC1"/>
    <w:rsid w:val="00C46BF6"/>
    <w:rsid w:val="00C47220"/>
    <w:rsid w:val="00C472A7"/>
    <w:rsid w:val="00C47427"/>
    <w:rsid w:val="00C478B7"/>
    <w:rsid w:val="00C4790C"/>
    <w:rsid w:val="00C47A56"/>
    <w:rsid w:val="00C47A84"/>
    <w:rsid w:val="00C47D19"/>
    <w:rsid w:val="00C50006"/>
    <w:rsid w:val="00C5000D"/>
    <w:rsid w:val="00C505C2"/>
    <w:rsid w:val="00C50667"/>
    <w:rsid w:val="00C50920"/>
    <w:rsid w:val="00C50BAB"/>
    <w:rsid w:val="00C50BD4"/>
    <w:rsid w:val="00C50E96"/>
    <w:rsid w:val="00C5102C"/>
    <w:rsid w:val="00C51037"/>
    <w:rsid w:val="00C512A8"/>
    <w:rsid w:val="00C513F8"/>
    <w:rsid w:val="00C51825"/>
    <w:rsid w:val="00C5192C"/>
    <w:rsid w:val="00C519DF"/>
    <w:rsid w:val="00C51BBF"/>
    <w:rsid w:val="00C51D55"/>
    <w:rsid w:val="00C51E2D"/>
    <w:rsid w:val="00C520CA"/>
    <w:rsid w:val="00C52214"/>
    <w:rsid w:val="00C522FC"/>
    <w:rsid w:val="00C526F1"/>
    <w:rsid w:val="00C528DD"/>
    <w:rsid w:val="00C529C2"/>
    <w:rsid w:val="00C52B3D"/>
    <w:rsid w:val="00C531F0"/>
    <w:rsid w:val="00C53398"/>
    <w:rsid w:val="00C533C2"/>
    <w:rsid w:val="00C5348B"/>
    <w:rsid w:val="00C5358B"/>
    <w:rsid w:val="00C536F0"/>
    <w:rsid w:val="00C53804"/>
    <w:rsid w:val="00C53836"/>
    <w:rsid w:val="00C538F8"/>
    <w:rsid w:val="00C53AEC"/>
    <w:rsid w:val="00C53CF0"/>
    <w:rsid w:val="00C53E3A"/>
    <w:rsid w:val="00C53F13"/>
    <w:rsid w:val="00C53FA8"/>
    <w:rsid w:val="00C5412D"/>
    <w:rsid w:val="00C544CE"/>
    <w:rsid w:val="00C548A1"/>
    <w:rsid w:val="00C54944"/>
    <w:rsid w:val="00C549DC"/>
    <w:rsid w:val="00C5528F"/>
    <w:rsid w:val="00C55A84"/>
    <w:rsid w:val="00C55CD4"/>
    <w:rsid w:val="00C56385"/>
    <w:rsid w:val="00C565A0"/>
    <w:rsid w:val="00C56A1F"/>
    <w:rsid w:val="00C56C18"/>
    <w:rsid w:val="00C56FE6"/>
    <w:rsid w:val="00C570AC"/>
    <w:rsid w:val="00C570BD"/>
    <w:rsid w:val="00C572E1"/>
    <w:rsid w:val="00C5730C"/>
    <w:rsid w:val="00C574F2"/>
    <w:rsid w:val="00C57945"/>
    <w:rsid w:val="00C57A56"/>
    <w:rsid w:val="00C57AAC"/>
    <w:rsid w:val="00C57ECA"/>
    <w:rsid w:val="00C57FBF"/>
    <w:rsid w:val="00C60012"/>
    <w:rsid w:val="00C6032C"/>
    <w:rsid w:val="00C604A2"/>
    <w:rsid w:val="00C604CF"/>
    <w:rsid w:val="00C60CE8"/>
    <w:rsid w:val="00C61023"/>
    <w:rsid w:val="00C61282"/>
    <w:rsid w:val="00C613A6"/>
    <w:rsid w:val="00C61626"/>
    <w:rsid w:val="00C61799"/>
    <w:rsid w:val="00C618AA"/>
    <w:rsid w:val="00C619CE"/>
    <w:rsid w:val="00C61D38"/>
    <w:rsid w:val="00C61F50"/>
    <w:rsid w:val="00C62186"/>
    <w:rsid w:val="00C6225E"/>
    <w:rsid w:val="00C626DF"/>
    <w:rsid w:val="00C62852"/>
    <w:rsid w:val="00C62BD4"/>
    <w:rsid w:val="00C62F74"/>
    <w:rsid w:val="00C630C3"/>
    <w:rsid w:val="00C630FF"/>
    <w:rsid w:val="00C63514"/>
    <w:rsid w:val="00C636C5"/>
    <w:rsid w:val="00C638EA"/>
    <w:rsid w:val="00C639B4"/>
    <w:rsid w:val="00C63D17"/>
    <w:rsid w:val="00C63F6A"/>
    <w:rsid w:val="00C6423F"/>
    <w:rsid w:val="00C64272"/>
    <w:rsid w:val="00C64327"/>
    <w:rsid w:val="00C64704"/>
    <w:rsid w:val="00C64872"/>
    <w:rsid w:val="00C6491F"/>
    <w:rsid w:val="00C64942"/>
    <w:rsid w:val="00C64F71"/>
    <w:rsid w:val="00C65576"/>
    <w:rsid w:val="00C6559C"/>
    <w:rsid w:val="00C65892"/>
    <w:rsid w:val="00C65998"/>
    <w:rsid w:val="00C65F05"/>
    <w:rsid w:val="00C660E8"/>
    <w:rsid w:val="00C66165"/>
    <w:rsid w:val="00C66440"/>
    <w:rsid w:val="00C66764"/>
    <w:rsid w:val="00C669B0"/>
    <w:rsid w:val="00C66A9E"/>
    <w:rsid w:val="00C66DBE"/>
    <w:rsid w:val="00C676A3"/>
    <w:rsid w:val="00C676B2"/>
    <w:rsid w:val="00C700EC"/>
    <w:rsid w:val="00C7018F"/>
    <w:rsid w:val="00C703F4"/>
    <w:rsid w:val="00C704E5"/>
    <w:rsid w:val="00C70BAB"/>
    <w:rsid w:val="00C70BB4"/>
    <w:rsid w:val="00C70D83"/>
    <w:rsid w:val="00C70EE3"/>
    <w:rsid w:val="00C716B5"/>
    <w:rsid w:val="00C71A65"/>
    <w:rsid w:val="00C72142"/>
    <w:rsid w:val="00C722C4"/>
    <w:rsid w:val="00C72387"/>
    <w:rsid w:val="00C72540"/>
    <w:rsid w:val="00C72693"/>
    <w:rsid w:val="00C72729"/>
    <w:rsid w:val="00C72821"/>
    <w:rsid w:val="00C7301B"/>
    <w:rsid w:val="00C733C2"/>
    <w:rsid w:val="00C734AA"/>
    <w:rsid w:val="00C73717"/>
    <w:rsid w:val="00C73809"/>
    <w:rsid w:val="00C73DDA"/>
    <w:rsid w:val="00C74297"/>
    <w:rsid w:val="00C7431D"/>
    <w:rsid w:val="00C744D6"/>
    <w:rsid w:val="00C74537"/>
    <w:rsid w:val="00C74B59"/>
    <w:rsid w:val="00C750C8"/>
    <w:rsid w:val="00C751EC"/>
    <w:rsid w:val="00C7538B"/>
    <w:rsid w:val="00C755BB"/>
    <w:rsid w:val="00C7575C"/>
    <w:rsid w:val="00C75B4D"/>
    <w:rsid w:val="00C75C22"/>
    <w:rsid w:val="00C75D2F"/>
    <w:rsid w:val="00C75DA3"/>
    <w:rsid w:val="00C76001"/>
    <w:rsid w:val="00C76351"/>
    <w:rsid w:val="00C7671D"/>
    <w:rsid w:val="00C767F8"/>
    <w:rsid w:val="00C76A59"/>
    <w:rsid w:val="00C76DFC"/>
    <w:rsid w:val="00C7726F"/>
    <w:rsid w:val="00C779BF"/>
    <w:rsid w:val="00C77A45"/>
    <w:rsid w:val="00C77BD6"/>
    <w:rsid w:val="00C77DBB"/>
    <w:rsid w:val="00C77EBD"/>
    <w:rsid w:val="00C80149"/>
    <w:rsid w:val="00C80156"/>
    <w:rsid w:val="00C80225"/>
    <w:rsid w:val="00C80590"/>
    <w:rsid w:val="00C80F6A"/>
    <w:rsid w:val="00C812EA"/>
    <w:rsid w:val="00C8137C"/>
    <w:rsid w:val="00C813F8"/>
    <w:rsid w:val="00C8164E"/>
    <w:rsid w:val="00C818F5"/>
    <w:rsid w:val="00C81BDF"/>
    <w:rsid w:val="00C81D1C"/>
    <w:rsid w:val="00C81DE5"/>
    <w:rsid w:val="00C81F15"/>
    <w:rsid w:val="00C81FAB"/>
    <w:rsid w:val="00C82048"/>
    <w:rsid w:val="00C8213F"/>
    <w:rsid w:val="00C82147"/>
    <w:rsid w:val="00C821CA"/>
    <w:rsid w:val="00C8228F"/>
    <w:rsid w:val="00C827C2"/>
    <w:rsid w:val="00C82895"/>
    <w:rsid w:val="00C83207"/>
    <w:rsid w:val="00C832E7"/>
    <w:rsid w:val="00C834F6"/>
    <w:rsid w:val="00C835F3"/>
    <w:rsid w:val="00C83D83"/>
    <w:rsid w:val="00C84231"/>
    <w:rsid w:val="00C84581"/>
    <w:rsid w:val="00C84936"/>
    <w:rsid w:val="00C84A3C"/>
    <w:rsid w:val="00C84B78"/>
    <w:rsid w:val="00C84D02"/>
    <w:rsid w:val="00C84FBC"/>
    <w:rsid w:val="00C85456"/>
    <w:rsid w:val="00C85B38"/>
    <w:rsid w:val="00C86151"/>
    <w:rsid w:val="00C861A5"/>
    <w:rsid w:val="00C8650B"/>
    <w:rsid w:val="00C86522"/>
    <w:rsid w:val="00C86AE4"/>
    <w:rsid w:val="00C86C7D"/>
    <w:rsid w:val="00C86F46"/>
    <w:rsid w:val="00C871BB"/>
    <w:rsid w:val="00C8751B"/>
    <w:rsid w:val="00C8757E"/>
    <w:rsid w:val="00C87692"/>
    <w:rsid w:val="00C877F9"/>
    <w:rsid w:val="00C8797A"/>
    <w:rsid w:val="00C87CD5"/>
    <w:rsid w:val="00C90119"/>
    <w:rsid w:val="00C9090F"/>
    <w:rsid w:val="00C90A46"/>
    <w:rsid w:val="00C90C13"/>
    <w:rsid w:val="00C90D1C"/>
    <w:rsid w:val="00C91211"/>
    <w:rsid w:val="00C912F7"/>
    <w:rsid w:val="00C91554"/>
    <w:rsid w:val="00C9155D"/>
    <w:rsid w:val="00C91A10"/>
    <w:rsid w:val="00C91A47"/>
    <w:rsid w:val="00C91CA9"/>
    <w:rsid w:val="00C91E8F"/>
    <w:rsid w:val="00C9278C"/>
    <w:rsid w:val="00C929D4"/>
    <w:rsid w:val="00C92AC7"/>
    <w:rsid w:val="00C92BB0"/>
    <w:rsid w:val="00C92F02"/>
    <w:rsid w:val="00C92F42"/>
    <w:rsid w:val="00C92F74"/>
    <w:rsid w:val="00C933C8"/>
    <w:rsid w:val="00C93500"/>
    <w:rsid w:val="00C937BE"/>
    <w:rsid w:val="00C93851"/>
    <w:rsid w:val="00C938C5"/>
    <w:rsid w:val="00C938CF"/>
    <w:rsid w:val="00C93B13"/>
    <w:rsid w:val="00C93D32"/>
    <w:rsid w:val="00C94043"/>
    <w:rsid w:val="00C942C5"/>
    <w:rsid w:val="00C9433F"/>
    <w:rsid w:val="00C94714"/>
    <w:rsid w:val="00C949F4"/>
    <w:rsid w:val="00C94CA7"/>
    <w:rsid w:val="00C94CCA"/>
    <w:rsid w:val="00C951DD"/>
    <w:rsid w:val="00C95453"/>
    <w:rsid w:val="00C95614"/>
    <w:rsid w:val="00C95719"/>
    <w:rsid w:val="00C95BED"/>
    <w:rsid w:val="00C95D49"/>
    <w:rsid w:val="00C95EE3"/>
    <w:rsid w:val="00C961D6"/>
    <w:rsid w:val="00C963E0"/>
    <w:rsid w:val="00C967C6"/>
    <w:rsid w:val="00C96B88"/>
    <w:rsid w:val="00C96CDF"/>
    <w:rsid w:val="00C96DD0"/>
    <w:rsid w:val="00C96ECF"/>
    <w:rsid w:val="00C96ED2"/>
    <w:rsid w:val="00C96F75"/>
    <w:rsid w:val="00C97083"/>
    <w:rsid w:val="00C97200"/>
    <w:rsid w:val="00C97754"/>
    <w:rsid w:val="00C97F16"/>
    <w:rsid w:val="00C97FA3"/>
    <w:rsid w:val="00CA0492"/>
    <w:rsid w:val="00CA060A"/>
    <w:rsid w:val="00CA0AC2"/>
    <w:rsid w:val="00CA0DF9"/>
    <w:rsid w:val="00CA0E76"/>
    <w:rsid w:val="00CA10FB"/>
    <w:rsid w:val="00CA1144"/>
    <w:rsid w:val="00CA125B"/>
    <w:rsid w:val="00CA12E2"/>
    <w:rsid w:val="00CA172C"/>
    <w:rsid w:val="00CA177B"/>
    <w:rsid w:val="00CA17F6"/>
    <w:rsid w:val="00CA1854"/>
    <w:rsid w:val="00CA1882"/>
    <w:rsid w:val="00CA1A41"/>
    <w:rsid w:val="00CA1A52"/>
    <w:rsid w:val="00CA1D5E"/>
    <w:rsid w:val="00CA203B"/>
    <w:rsid w:val="00CA20B2"/>
    <w:rsid w:val="00CA26D9"/>
    <w:rsid w:val="00CA27D8"/>
    <w:rsid w:val="00CA2A96"/>
    <w:rsid w:val="00CA2AF9"/>
    <w:rsid w:val="00CA2C00"/>
    <w:rsid w:val="00CA3549"/>
    <w:rsid w:val="00CA368D"/>
    <w:rsid w:val="00CA37FE"/>
    <w:rsid w:val="00CA3D26"/>
    <w:rsid w:val="00CA3E4F"/>
    <w:rsid w:val="00CA3E5C"/>
    <w:rsid w:val="00CA3EAA"/>
    <w:rsid w:val="00CA3EF6"/>
    <w:rsid w:val="00CA4196"/>
    <w:rsid w:val="00CA41D3"/>
    <w:rsid w:val="00CA4339"/>
    <w:rsid w:val="00CA4459"/>
    <w:rsid w:val="00CA4525"/>
    <w:rsid w:val="00CA476F"/>
    <w:rsid w:val="00CA47E4"/>
    <w:rsid w:val="00CA486B"/>
    <w:rsid w:val="00CA4E6D"/>
    <w:rsid w:val="00CA5245"/>
    <w:rsid w:val="00CA5277"/>
    <w:rsid w:val="00CA53EB"/>
    <w:rsid w:val="00CA5515"/>
    <w:rsid w:val="00CA5621"/>
    <w:rsid w:val="00CA58FD"/>
    <w:rsid w:val="00CA6278"/>
    <w:rsid w:val="00CA62AA"/>
    <w:rsid w:val="00CA648A"/>
    <w:rsid w:val="00CA6610"/>
    <w:rsid w:val="00CA68DF"/>
    <w:rsid w:val="00CA6BA4"/>
    <w:rsid w:val="00CA6C20"/>
    <w:rsid w:val="00CA6CCF"/>
    <w:rsid w:val="00CA6CD3"/>
    <w:rsid w:val="00CA6D73"/>
    <w:rsid w:val="00CA6DFD"/>
    <w:rsid w:val="00CA7213"/>
    <w:rsid w:val="00CA7366"/>
    <w:rsid w:val="00CA7AD8"/>
    <w:rsid w:val="00CA7B09"/>
    <w:rsid w:val="00CA7DDC"/>
    <w:rsid w:val="00CA7EC1"/>
    <w:rsid w:val="00CA7F20"/>
    <w:rsid w:val="00CA7FC2"/>
    <w:rsid w:val="00CB0304"/>
    <w:rsid w:val="00CB03BD"/>
    <w:rsid w:val="00CB0593"/>
    <w:rsid w:val="00CB07BA"/>
    <w:rsid w:val="00CB0A7D"/>
    <w:rsid w:val="00CB0B00"/>
    <w:rsid w:val="00CB0F4F"/>
    <w:rsid w:val="00CB12E4"/>
    <w:rsid w:val="00CB143B"/>
    <w:rsid w:val="00CB1A53"/>
    <w:rsid w:val="00CB1B5F"/>
    <w:rsid w:val="00CB1BFB"/>
    <w:rsid w:val="00CB1C36"/>
    <w:rsid w:val="00CB1D2E"/>
    <w:rsid w:val="00CB1FD5"/>
    <w:rsid w:val="00CB206C"/>
    <w:rsid w:val="00CB2426"/>
    <w:rsid w:val="00CB2465"/>
    <w:rsid w:val="00CB251E"/>
    <w:rsid w:val="00CB26CB"/>
    <w:rsid w:val="00CB2CA6"/>
    <w:rsid w:val="00CB2EA3"/>
    <w:rsid w:val="00CB318B"/>
    <w:rsid w:val="00CB3299"/>
    <w:rsid w:val="00CB363F"/>
    <w:rsid w:val="00CB3997"/>
    <w:rsid w:val="00CB3C02"/>
    <w:rsid w:val="00CB3DEA"/>
    <w:rsid w:val="00CB3F2B"/>
    <w:rsid w:val="00CB3F82"/>
    <w:rsid w:val="00CB42B3"/>
    <w:rsid w:val="00CB445C"/>
    <w:rsid w:val="00CB4484"/>
    <w:rsid w:val="00CB45B1"/>
    <w:rsid w:val="00CB469C"/>
    <w:rsid w:val="00CB46F1"/>
    <w:rsid w:val="00CB4A5E"/>
    <w:rsid w:val="00CB4B2F"/>
    <w:rsid w:val="00CB4C47"/>
    <w:rsid w:val="00CB4CD8"/>
    <w:rsid w:val="00CB5083"/>
    <w:rsid w:val="00CB50D6"/>
    <w:rsid w:val="00CB5124"/>
    <w:rsid w:val="00CB540A"/>
    <w:rsid w:val="00CB5559"/>
    <w:rsid w:val="00CB5723"/>
    <w:rsid w:val="00CB5964"/>
    <w:rsid w:val="00CB5B1A"/>
    <w:rsid w:val="00CB5BFB"/>
    <w:rsid w:val="00CB5C56"/>
    <w:rsid w:val="00CB5D43"/>
    <w:rsid w:val="00CB5E50"/>
    <w:rsid w:val="00CB6032"/>
    <w:rsid w:val="00CB6238"/>
    <w:rsid w:val="00CB629F"/>
    <w:rsid w:val="00CB65B7"/>
    <w:rsid w:val="00CB6621"/>
    <w:rsid w:val="00CB6903"/>
    <w:rsid w:val="00CB6979"/>
    <w:rsid w:val="00CB6BC2"/>
    <w:rsid w:val="00CB6C33"/>
    <w:rsid w:val="00CB6C4A"/>
    <w:rsid w:val="00CB74B7"/>
    <w:rsid w:val="00CB75AF"/>
    <w:rsid w:val="00CB78CA"/>
    <w:rsid w:val="00CB7AF0"/>
    <w:rsid w:val="00CB7BC6"/>
    <w:rsid w:val="00CB7F08"/>
    <w:rsid w:val="00CB7FAE"/>
    <w:rsid w:val="00CC0207"/>
    <w:rsid w:val="00CC0574"/>
    <w:rsid w:val="00CC089A"/>
    <w:rsid w:val="00CC0C74"/>
    <w:rsid w:val="00CC0C93"/>
    <w:rsid w:val="00CC0D97"/>
    <w:rsid w:val="00CC0F81"/>
    <w:rsid w:val="00CC1603"/>
    <w:rsid w:val="00CC165D"/>
    <w:rsid w:val="00CC17E6"/>
    <w:rsid w:val="00CC1859"/>
    <w:rsid w:val="00CC19F2"/>
    <w:rsid w:val="00CC1B7B"/>
    <w:rsid w:val="00CC1D4F"/>
    <w:rsid w:val="00CC221C"/>
    <w:rsid w:val="00CC24AB"/>
    <w:rsid w:val="00CC24B7"/>
    <w:rsid w:val="00CC25FC"/>
    <w:rsid w:val="00CC2722"/>
    <w:rsid w:val="00CC2A10"/>
    <w:rsid w:val="00CC2E29"/>
    <w:rsid w:val="00CC324F"/>
    <w:rsid w:val="00CC32AF"/>
    <w:rsid w:val="00CC3320"/>
    <w:rsid w:val="00CC360A"/>
    <w:rsid w:val="00CC389D"/>
    <w:rsid w:val="00CC397F"/>
    <w:rsid w:val="00CC3B5D"/>
    <w:rsid w:val="00CC3D76"/>
    <w:rsid w:val="00CC3D95"/>
    <w:rsid w:val="00CC3DC4"/>
    <w:rsid w:val="00CC3E95"/>
    <w:rsid w:val="00CC42F1"/>
    <w:rsid w:val="00CC439D"/>
    <w:rsid w:val="00CC4901"/>
    <w:rsid w:val="00CC49B6"/>
    <w:rsid w:val="00CC4A22"/>
    <w:rsid w:val="00CC4DC9"/>
    <w:rsid w:val="00CC4E3D"/>
    <w:rsid w:val="00CC4F0E"/>
    <w:rsid w:val="00CC51E5"/>
    <w:rsid w:val="00CC531B"/>
    <w:rsid w:val="00CC55B6"/>
    <w:rsid w:val="00CC596B"/>
    <w:rsid w:val="00CC5990"/>
    <w:rsid w:val="00CC5BDE"/>
    <w:rsid w:val="00CC5C86"/>
    <w:rsid w:val="00CC5D84"/>
    <w:rsid w:val="00CC5EEF"/>
    <w:rsid w:val="00CC60E0"/>
    <w:rsid w:val="00CC61C7"/>
    <w:rsid w:val="00CC628B"/>
    <w:rsid w:val="00CC62BC"/>
    <w:rsid w:val="00CC6442"/>
    <w:rsid w:val="00CC655B"/>
    <w:rsid w:val="00CC6625"/>
    <w:rsid w:val="00CC68A6"/>
    <w:rsid w:val="00CC69F9"/>
    <w:rsid w:val="00CC6C25"/>
    <w:rsid w:val="00CC6CF7"/>
    <w:rsid w:val="00CC6DA3"/>
    <w:rsid w:val="00CC7415"/>
    <w:rsid w:val="00CC75C7"/>
    <w:rsid w:val="00CC7874"/>
    <w:rsid w:val="00CC7C37"/>
    <w:rsid w:val="00CD0183"/>
    <w:rsid w:val="00CD0421"/>
    <w:rsid w:val="00CD04F6"/>
    <w:rsid w:val="00CD0500"/>
    <w:rsid w:val="00CD0827"/>
    <w:rsid w:val="00CD0888"/>
    <w:rsid w:val="00CD0A3D"/>
    <w:rsid w:val="00CD0D0D"/>
    <w:rsid w:val="00CD0DA3"/>
    <w:rsid w:val="00CD0F05"/>
    <w:rsid w:val="00CD1279"/>
    <w:rsid w:val="00CD1355"/>
    <w:rsid w:val="00CD1558"/>
    <w:rsid w:val="00CD1A2A"/>
    <w:rsid w:val="00CD1A58"/>
    <w:rsid w:val="00CD1B91"/>
    <w:rsid w:val="00CD1B99"/>
    <w:rsid w:val="00CD1CAC"/>
    <w:rsid w:val="00CD21F7"/>
    <w:rsid w:val="00CD2211"/>
    <w:rsid w:val="00CD22DF"/>
    <w:rsid w:val="00CD2657"/>
    <w:rsid w:val="00CD2926"/>
    <w:rsid w:val="00CD2ACB"/>
    <w:rsid w:val="00CD2F68"/>
    <w:rsid w:val="00CD3158"/>
    <w:rsid w:val="00CD32E3"/>
    <w:rsid w:val="00CD3399"/>
    <w:rsid w:val="00CD3474"/>
    <w:rsid w:val="00CD3626"/>
    <w:rsid w:val="00CD3BCB"/>
    <w:rsid w:val="00CD40B5"/>
    <w:rsid w:val="00CD415A"/>
    <w:rsid w:val="00CD4744"/>
    <w:rsid w:val="00CD47B6"/>
    <w:rsid w:val="00CD52BE"/>
    <w:rsid w:val="00CD56B2"/>
    <w:rsid w:val="00CD5CAE"/>
    <w:rsid w:val="00CD5E6A"/>
    <w:rsid w:val="00CD6145"/>
    <w:rsid w:val="00CD61F1"/>
    <w:rsid w:val="00CD61FC"/>
    <w:rsid w:val="00CD641F"/>
    <w:rsid w:val="00CD67A4"/>
    <w:rsid w:val="00CD6A5D"/>
    <w:rsid w:val="00CD6ADC"/>
    <w:rsid w:val="00CD6C26"/>
    <w:rsid w:val="00CD6DCC"/>
    <w:rsid w:val="00CD7219"/>
    <w:rsid w:val="00CD7301"/>
    <w:rsid w:val="00CD7346"/>
    <w:rsid w:val="00CD742B"/>
    <w:rsid w:val="00CD77FA"/>
    <w:rsid w:val="00CD789C"/>
    <w:rsid w:val="00CD7A2B"/>
    <w:rsid w:val="00CD7BF1"/>
    <w:rsid w:val="00CD7D7A"/>
    <w:rsid w:val="00CD7F40"/>
    <w:rsid w:val="00CD7FA6"/>
    <w:rsid w:val="00CE0374"/>
    <w:rsid w:val="00CE0704"/>
    <w:rsid w:val="00CE075B"/>
    <w:rsid w:val="00CE0864"/>
    <w:rsid w:val="00CE09C7"/>
    <w:rsid w:val="00CE0A2B"/>
    <w:rsid w:val="00CE0F19"/>
    <w:rsid w:val="00CE1043"/>
    <w:rsid w:val="00CE1188"/>
    <w:rsid w:val="00CE11DA"/>
    <w:rsid w:val="00CE1471"/>
    <w:rsid w:val="00CE1477"/>
    <w:rsid w:val="00CE14A9"/>
    <w:rsid w:val="00CE18CF"/>
    <w:rsid w:val="00CE1913"/>
    <w:rsid w:val="00CE1BB5"/>
    <w:rsid w:val="00CE1C48"/>
    <w:rsid w:val="00CE1D15"/>
    <w:rsid w:val="00CE1F05"/>
    <w:rsid w:val="00CE2076"/>
    <w:rsid w:val="00CE20D9"/>
    <w:rsid w:val="00CE21A7"/>
    <w:rsid w:val="00CE2703"/>
    <w:rsid w:val="00CE27F8"/>
    <w:rsid w:val="00CE2813"/>
    <w:rsid w:val="00CE2842"/>
    <w:rsid w:val="00CE31CF"/>
    <w:rsid w:val="00CE3687"/>
    <w:rsid w:val="00CE3786"/>
    <w:rsid w:val="00CE3790"/>
    <w:rsid w:val="00CE38AE"/>
    <w:rsid w:val="00CE3951"/>
    <w:rsid w:val="00CE3B21"/>
    <w:rsid w:val="00CE3F17"/>
    <w:rsid w:val="00CE4013"/>
    <w:rsid w:val="00CE4A03"/>
    <w:rsid w:val="00CE4AA1"/>
    <w:rsid w:val="00CE4E31"/>
    <w:rsid w:val="00CE52E7"/>
    <w:rsid w:val="00CE53E6"/>
    <w:rsid w:val="00CE540C"/>
    <w:rsid w:val="00CE54E9"/>
    <w:rsid w:val="00CE559B"/>
    <w:rsid w:val="00CE55F9"/>
    <w:rsid w:val="00CE561B"/>
    <w:rsid w:val="00CE5624"/>
    <w:rsid w:val="00CE5716"/>
    <w:rsid w:val="00CE58B7"/>
    <w:rsid w:val="00CE5ABA"/>
    <w:rsid w:val="00CE5AEB"/>
    <w:rsid w:val="00CE5B0E"/>
    <w:rsid w:val="00CE6234"/>
    <w:rsid w:val="00CE6274"/>
    <w:rsid w:val="00CE62AD"/>
    <w:rsid w:val="00CE6546"/>
    <w:rsid w:val="00CE6593"/>
    <w:rsid w:val="00CE66A5"/>
    <w:rsid w:val="00CE689F"/>
    <w:rsid w:val="00CE6905"/>
    <w:rsid w:val="00CE693D"/>
    <w:rsid w:val="00CE699D"/>
    <w:rsid w:val="00CE69CB"/>
    <w:rsid w:val="00CE6CC2"/>
    <w:rsid w:val="00CE6DD2"/>
    <w:rsid w:val="00CE6DF2"/>
    <w:rsid w:val="00CE6F5B"/>
    <w:rsid w:val="00CE6FE1"/>
    <w:rsid w:val="00CE70E9"/>
    <w:rsid w:val="00CE7798"/>
    <w:rsid w:val="00CE783E"/>
    <w:rsid w:val="00CE7B8E"/>
    <w:rsid w:val="00CE7C56"/>
    <w:rsid w:val="00CE7CAB"/>
    <w:rsid w:val="00CE7CAD"/>
    <w:rsid w:val="00CE7CE2"/>
    <w:rsid w:val="00CF01F1"/>
    <w:rsid w:val="00CF05A4"/>
    <w:rsid w:val="00CF06C1"/>
    <w:rsid w:val="00CF0D41"/>
    <w:rsid w:val="00CF0D6B"/>
    <w:rsid w:val="00CF15DA"/>
    <w:rsid w:val="00CF15E0"/>
    <w:rsid w:val="00CF193E"/>
    <w:rsid w:val="00CF19FD"/>
    <w:rsid w:val="00CF1AF8"/>
    <w:rsid w:val="00CF1CAE"/>
    <w:rsid w:val="00CF1E1E"/>
    <w:rsid w:val="00CF21D9"/>
    <w:rsid w:val="00CF25D4"/>
    <w:rsid w:val="00CF2603"/>
    <w:rsid w:val="00CF2928"/>
    <w:rsid w:val="00CF2BBF"/>
    <w:rsid w:val="00CF2C25"/>
    <w:rsid w:val="00CF2CDD"/>
    <w:rsid w:val="00CF31DA"/>
    <w:rsid w:val="00CF31E5"/>
    <w:rsid w:val="00CF32E0"/>
    <w:rsid w:val="00CF337F"/>
    <w:rsid w:val="00CF33B3"/>
    <w:rsid w:val="00CF3587"/>
    <w:rsid w:val="00CF3639"/>
    <w:rsid w:val="00CF378B"/>
    <w:rsid w:val="00CF3813"/>
    <w:rsid w:val="00CF3B41"/>
    <w:rsid w:val="00CF3E47"/>
    <w:rsid w:val="00CF3E7A"/>
    <w:rsid w:val="00CF4108"/>
    <w:rsid w:val="00CF4226"/>
    <w:rsid w:val="00CF435D"/>
    <w:rsid w:val="00CF436A"/>
    <w:rsid w:val="00CF456B"/>
    <w:rsid w:val="00CF47ED"/>
    <w:rsid w:val="00CF49CD"/>
    <w:rsid w:val="00CF4DED"/>
    <w:rsid w:val="00CF520E"/>
    <w:rsid w:val="00CF5975"/>
    <w:rsid w:val="00CF5A22"/>
    <w:rsid w:val="00CF5BBB"/>
    <w:rsid w:val="00CF5CB7"/>
    <w:rsid w:val="00CF5E47"/>
    <w:rsid w:val="00CF62A2"/>
    <w:rsid w:val="00CF62A9"/>
    <w:rsid w:val="00CF6424"/>
    <w:rsid w:val="00CF64B5"/>
    <w:rsid w:val="00CF688D"/>
    <w:rsid w:val="00CF69C2"/>
    <w:rsid w:val="00CF6AFA"/>
    <w:rsid w:val="00CF6B65"/>
    <w:rsid w:val="00CF6C35"/>
    <w:rsid w:val="00CF6E8A"/>
    <w:rsid w:val="00CF7158"/>
    <w:rsid w:val="00CF7626"/>
    <w:rsid w:val="00CF7AEF"/>
    <w:rsid w:val="00D00502"/>
    <w:rsid w:val="00D00736"/>
    <w:rsid w:val="00D007C3"/>
    <w:rsid w:val="00D007FF"/>
    <w:rsid w:val="00D00877"/>
    <w:rsid w:val="00D00AB9"/>
    <w:rsid w:val="00D00D7A"/>
    <w:rsid w:val="00D00FE1"/>
    <w:rsid w:val="00D01344"/>
    <w:rsid w:val="00D0146A"/>
    <w:rsid w:val="00D01472"/>
    <w:rsid w:val="00D014D2"/>
    <w:rsid w:val="00D01BB3"/>
    <w:rsid w:val="00D01BCE"/>
    <w:rsid w:val="00D020CD"/>
    <w:rsid w:val="00D02562"/>
    <w:rsid w:val="00D025A7"/>
    <w:rsid w:val="00D0260D"/>
    <w:rsid w:val="00D0262E"/>
    <w:rsid w:val="00D026B0"/>
    <w:rsid w:val="00D0274E"/>
    <w:rsid w:val="00D02B6B"/>
    <w:rsid w:val="00D03324"/>
    <w:rsid w:val="00D0339F"/>
    <w:rsid w:val="00D0370A"/>
    <w:rsid w:val="00D037C9"/>
    <w:rsid w:val="00D0381B"/>
    <w:rsid w:val="00D039B7"/>
    <w:rsid w:val="00D03AE1"/>
    <w:rsid w:val="00D03C67"/>
    <w:rsid w:val="00D03E3B"/>
    <w:rsid w:val="00D04250"/>
    <w:rsid w:val="00D04825"/>
    <w:rsid w:val="00D04A75"/>
    <w:rsid w:val="00D04BB4"/>
    <w:rsid w:val="00D04E24"/>
    <w:rsid w:val="00D04F60"/>
    <w:rsid w:val="00D05467"/>
    <w:rsid w:val="00D05783"/>
    <w:rsid w:val="00D05A14"/>
    <w:rsid w:val="00D05AA8"/>
    <w:rsid w:val="00D06063"/>
    <w:rsid w:val="00D063F2"/>
    <w:rsid w:val="00D065F8"/>
    <w:rsid w:val="00D06A77"/>
    <w:rsid w:val="00D06B54"/>
    <w:rsid w:val="00D06C6C"/>
    <w:rsid w:val="00D06C95"/>
    <w:rsid w:val="00D06D61"/>
    <w:rsid w:val="00D0707D"/>
    <w:rsid w:val="00D07399"/>
    <w:rsid w:val="00D0771E"/>
    <w:rsid w:val="00D07758"/>
    <w:rsid w:val="00D07917"/>
    <w:rsid w:val="00D1008D"/>
    <w:rsid w:val="00D1016B"/>
    <w:rsid w:val="00D10181"/>
    <w:rsid w:val="00D1051B"/>
    <w:rsid w:val="00D1058B"/>
    <w:rsid w:val="00D109A3"/>
    <w:rsid w:val="00D10EE3"/>
    <w:rsid w:val="00D11048"/>
    <w:rsid w:val="00D110BD"/>
    <w:rsid w:val="00D113F4"/>
    <w:rsid w:val="00D11491"/>
    <w:rsid w:val="00D11515"/>
    <w:rsid w:val="00D116F5"/>
    <w:rsid w:val="00D11913"/>
    <w:rsid w:val="00D119AE"/>
    <w:rsid w:val="00D119F8"/>
    <w:rsid w:val="00D1202B"/>
    <w:rsid w:val="00D1219D"/>
    <w:rsid w:val="00D126B7"/>
    <w:rsid w:val="00D127BF"/>
    <w:rsid w:val="00D12D98"/>
    <w:rsid w:val="00D12DEF"/>
    <w:rsid w:val="00D12F4D"/>
    <w:rsid w:val="00D1313B"/>
    <w:rsid w:val="00D131AF"/>
    <w:rsid w:val="00D13394"/>
    <w:rsid w:val="00D135E2"/>
    <w:rsid w:val="00D138B2"/>
    <w:rsid w:val="00D13B06"/>
    <w:rsid w:val="00D13C54"/>
    <w:rsid w:val="00D13EB4"/>
    <w:rsid w:val="00D13F0C"/>
    <w:rsid w:val="00D13F20"/>
    <w:rsid w:val="00D13F58"/>
    <w:rsid w:val="00D14190"/>
    <w:rsid w:val="00D1476A"/>
    <w:rsid w:val="00D148E1"/>
    <w:rsid w:val="00D14CE8"/>
    <w:rsid w:val="00D14CFF"/>
    <w:rsid w:val="00D14D7A"/>
    <w:rsid w:val="00D14E3C"/>
    <w:rsid w:val="00D150C1"/>
    <w:rsid w:val="00D151D9"/>
    <w:rsid w:val="00D15261"/>
    <w:rsid w:val="00D15304"/>
    <w:rsid w:val="00D15376"/>
    <w:rsid w:val="00D15403"/>
    <w:rsid w:val="00D15655"/>
    <w:rsid w:val="00D15C7E"/>
    <w:rsid w:val="00D15F25"/>
    <w:rsid w:val="00D15F94"/>
    <w:rsid w:val="00D160B8"/>
    <w:rsid w:val="00D1629F"/>
    <w:rsid w:val="00D166E4"/>
    <w:rsid w:val="00D167C2"/>
    <w:rsid w:val="00D16EEE"/>
    <w:rsid w:val="00D170A1"/>
    <w:rsid w:val="00D17347"/>
    <w:rsid w:val="00D1753F"/>
    <w:rsid w:val="00D17BA8"/>
    <w:rsid w:val="00D17D42"/>
    <w:rsid w:val="00D17D6C"/>
    <w:rsid w:val="00D17D8F"/>
    <w:rsid w:val="00D20000"/>
    <w:rsid w:val="00D20019"/>
    <w:rsid w:val="00D20153"/>
    <w:rsid w:val="00D203CA"/>
    <w:rsid w:val="00D205F1"/>
    <w:rsid w:val="00D20A78"/>
    <w:rsid w:val="00D20D1B"/>
    <w:rsid w:val="00D20E3B"/>
    <w:rsid w:val="00D211BA"/>
    <w:rsid w:val="00D213AE"/>
    <w:rsid w:val="00D2159D"/>
    <w:rsid w:val="00D2174B"/>
    <w:rsid w:val="00D21854"/>
    <w:rsid w:val="00D21A11"/>
    <w:rsid w:val="00D21AA0"/>
    <w:rsid w:val="00D21AD8"/>
    <w:rsid w:val="00D22028"/>
    <w:rsid w:val="00D22079"/>
    <w:rsid w:val="00D2225C"/>
    <w:rsid w:val="00D223CE"/>
    <w:rsid w:val="00D22932"/>
    <w:rsid w:val="00D22962"/>
    <w:rsid w:val="00D22E1F"/>
    <w:rsid w:val="00D231B3"/>
    <w:rsid w:val="00D23506"/>
    <w:rsid w:val="00D238FA"/>
    <w:rsid w:val="00D239B1"/>
    <w:rsid w:val="00D23ABB"/>
    <w:rsid w:val="00D23D7A"/>
    <w:rsid w:val="00D23F2F"/>
    <w:rsid w:val="00D23F64"/>
    <w:rsid w:val="00D240E2"/>
    <w:rsid w:val="00D24207"/>
    <w:rsid w:val="00D24222"/>
    <w:rsid w:val="00D244D4"/>
    <w:rsid w:val="00D245B9"/>
    <w:rsid w:val="00D24F1B"/>
    <w:rsid w:val="00D25049"/>
    <w:rsid w:val="00D252E9"/>
    <w:rsid w:val="00D254E9"/>
    <w:rsid w:val="00D2571B"/>
    <w:rsid w:val="00D25991"/>
    <w:rsid w:val="00D259CF"/>
    <w:rsid w:val="00D25A97"/>
    <w:rsid w:val="00D25F2D"/>
    <w:rsid w:val="00D26011"/>
    <w:rsid w:val="00D2603B"/>
    <w:rsid w:val="00D266FF"/>
    <w:rsid w:val="00D2689C"/>
    <w:rsid w:val="00D26AC5"/>
    <w:rsid w:val="00D27354"/>
    <w:rsid w:val="00D2764D"/>
    <w:rsid w:val="00D27991"/>
    <w:rsid w:val="00D27A87"/>
    <w:rsid w:val="00D27B35"/>
    <w:rsid w:val="00D27F5A"/>
    <w:rsid w:val="00D300A9"/>
    <w:rsid w:val="00D3053A"/>
    <w:rsid w:val="00D3085F"/>
    <w:rsid w:val="00D30CBA"/>
    <w:rsid w:val="00D30DFC"/>
    <w:rsid w:val="00D30F13"/>
    <w:rsid w:val="00D311B9"/>
    <w:rsid w:val="00D311E2"/>
    <w:rsid w:val="00D31846"/>
    <w:rsid w:val="00D31CD8"/>
    <w:rsid w:val="00D31DB4"/>
    <w:rsid w:val="00D320CE"/>
    <w:rsid w:val="00D32159"/>
    <w:rsid w:val="00D32167"/>
    <w:rsid w:val="00D32380"/>
    <w:rsid w:val="00D32559"/>
    <w:rsid w:val="00D325CB"/>
    <w:rsid w:val="00D32EE5"/>
    <w:rsid w:val="00D330A3"/>
    <w:rsid w:val="00D3336C"/>
    <w:rsid w:val="00D333DE"/>
    <w:rsid w:val="00D333E7"/>
    <w:rsid w:val="00D3358C"/>
    <w:rsid w:val="00D339F5"/>
    <w:rsid w:val="00D33E6B"/>
    <w:rsid w:val="00D340D0"/>
    <w:rsid w:val="00D34375"/>
    <w:rsid w:val="00D3437B"/>
    <w:rsid w:val="00D34C14"/>
    <w:rsid w:val="00D34E88"/>
    <w:rsid w:val="00D3500F"/>
    <w:rsid w:val="00D35145"/>
    <w:rsid w:val="00D351B7"/>
    <w:rsid w:val="00D35275"/>
    <w:rsid w:val="00D353EB"/>
    <w:rsid w:val="00D3554B"/>
    <w:rsid w:val="00D35594"/>
    <w:rsid w:val="00D35628"/>
    <w:rsid w:val="00D357FF"/>
    <w:rsid w:val="00D35806"/>
    <w:rsid w:val="00D3636D"/>
    <w:rsid w:val="00D36812"/>
    <w:rsid w:val="00D368C9"/>
    <w:rsid w:val="00D369B2"/>
    <w:rsid w:val="00D36A27"/>
    <w:rsid w:val="00D36AC2"/>
    <w:rsid w:val="00D36AD0"/>
    <w:rsid w:val="00D36C48"/>
    <w:rsid w:val="00D37167"/>
    <w:rsid w:val="00D375F9"/>
    <w:rsid w:val="00D377DE"/>
    <w:rsid w:val="00D37986"/>
    <w:rsid w:val="00D37C94"/>
    <w:rsid w:val="00D37D27"/>
    <w:rsid w:val="00D407CD"/>
    <w:rsid w:val="00D40A54"/>
    <w:rsid w:val="00D40C03"/>
    <w:rsid w:val="00D410B0"/>
    <w:rsid w:val="00D413A4"/>
    <w:rsid w:val="00D41512"/>
    <w:rsid w:val="00D4153C"/>
    <w:rsid w:val="00D41B02"/>
    <w:rsid w:val="00D41DC1"/>
    <w:rsid w:val="00D41E03"/>
    <w:rsid w:val="00D41EB0"/>
    <w:rsid w:val="00D41F00"/>
    <w:rsid w:val="00D41F05"/>
    <w:rsid w:val="00D421B2"/>
    <w:rsid w:val="00D42440"/>
    <w:rsid w:val="00D42A6C"/>
    <w:rsid w:val="00D42A81"/>
    <w:rsid w:val="00D42C3F"/>
    <w:rsid w:val="00D42ED8"/>
    <w:rsid w:val="00D42F1E"/>
    <w:rsid w:val="00D43167"/>
    <w:rsid w:val="00D431B5"/>
    <w:rsid w:val="00D431D2"/>
    <w:rsid w:val="00D43294"/>
    <w:rsid w:val="00D4350A"/>
    <w:rsid w:val="00D438A4"/>
    <w:rsid w:val="00D43953"/>
    <w:rsid w:val="00D439F7"/>
    <w:rsid w:val="00D43B86"/>
    <w:rsid w:val="00D43DDD"/>
    <w:rsid w:val="00D44099"/>
    <w:rsid w:val="00D4486E"/>
    <w:rsid w:val="00D44DE8"/>
    <w:rsid w:val="00D44E28"/>
    <w:rsid w:val="00D44EF3"/>
    <w:rsid w:val="00D44FE5"/>
    <w:rsid w:val="00D45074"/>
    <w:rsid w:val="00D455B0"/>
    <w:rsid w:val="00D45627"/>
    <w:rsid w:val="00D45729"/>
    <w:rsid w:val="00D4573B"/>
    <w:rsid w:val="00D458AB"/>
    <w:rsid w:val="00D45BC4"/>
    <w:rsid w:val="00D45C78"/>
    <w:rsid w:val="00D45E43"/>
    <w:rsid w:val="00D460CD"/>
    <w:rsid w:val="00D46243"/>
    <w:rsid w:val="00D46526"/>
    <w:rsid w:val="00D46601"/>
    <w:rsid w:val="00D4670A"/>
    <w:rsid w:val="00D469C4"/>
    <w:rsid w:val="00D46D0A"/>
    <w:rsid w:val="00D46D24"/>
    <w:rsid w:val="00D46D34"/>
    <w:rsid w:val="00D472A9"/>
    <w:rsid w:val="00D474DA"/>
    <w:rsid w:val="00D47751"/>
    <w:rsid w:val="00D47A1D"/>
    <w:rsid w:val="00D47C59"/>
    <w:rsid w:val="00D50277"/>
    <w:rsid w:val="00D50315"/>
    <w:rsid w:val="00D504F2"/>
    <w:rsid w:val="00D508B8"/>
    <w:rsid w:val="00D50925"/>
    <w:rsid w:val="00D5095B"/>
    <w:rsid w:val="00D50A38"/>
    <w:rsid w:val="00D50C0A"/>
    <w:rsid w:val="00D513B4"/>
    <w:rsid w:val="00D5146C"/>
    <w:rsid w:val="00D5152B"/>
    <w:rsid w:val="00D51847"/>
    <w:rsid w:val="00D51AD9"/>
    <w:rsid w:val="00D51BFF"/>
    <w:rsid w:val="00D51D48"/>
    <w:rsid w:val="00D525F3"/>
    <w:rsid w:val="00D52668"/>
    <w:rsid w:val="00D529B7"/>
    <w:rsid w:val="00D5317C"/>
    <w:rsid w:val="00D537E6"/>
    <w:rsid w:val="00D53B06"/>
    <w:rsid w:val="00D53BFC"/>
    <w:rsid w:val="00D53E2E"/>
    <w:rsid w:val="00D53E50"/>
    <w:rsid w:val="00D53E85"/>
    <w:rsid w:val="00D541DD"/>
    <w:rsid w:val="00D54551"/>
    <w:rsid w:val="00D54C80"/>
    <w:rsid w:val="00D54D88"/>
    <w:rsid w:val="00D54F05"/>
    <w:rsid w:val="00D54F83"/>
    <w:rsid w:val="00D555AF"/>
    <w:rsid w:val="00D556D4"/>
    <w:rsid w:val="00D557DD"/>
    <w:rsid w:val="00D55888"/>
    <w:rsid w:val="00D55B35"/>
    <w:rsid w:val="00D55B98"/>
    <w:rsid w:val="00D55C76"/>
    <w:rsid w:val="00D560F4"/>
    <w:rsid w:val="00D56389"/>
    <w:rsid w:val="00D56C22"/>
    <w:rsid w:val="00D56CE7"/>
    <w:rsid w:val="00D571C3"/>
    <w:rsid w:val="00D573A3"/>
    <w:rsid w:val="00D5768A"/>
    <w:rsid w:val="00D5768B"/>
    <w:rsid w:val="00D57859"/>
    <w:rsid w:val="00D578B3"/>
    <w:rsid w:val="00D57CDA"/>
    <w:rsid w:val="00D57D81"/>
    <w:rsid w:val="00D57E21"/>
    <w:rsid w:val="00D6072A"/>
    <w:rsid w:val="00D608C0"/>
    <w:rsid w:val="00D60F18"/>
    <w:rsid w:val="00D615D2"/>
    <w:rsid w:val="00D61A7B"/>
    <w:rsid w:val="00D61AFE"/>
    <w:rsid w:val="00D61EB1"/>
    <w:rsid w:val="00D6235E"/>
    <w:rsid w:val="00D623BE"/>
    <w:rsid w:val="00D62849"/>
    <w:rsid w:val="00D62879"/>
    <w:rsid w:val="00D62882"/>
    <w:rsid w:val="00D62BA5"/>
    <w:rsid w:val="00D62E41"/>
    <w:rsid w:val="00D632A0"/>
    <w:rsid w:val="00D63995"/>
    <w:rsid w:val="00D63A96"/>
    <w:rsid w:val="00D63B75"/>
    <w:rsid w:val="00D63C3D"/>
    <w:rsid w:val="00D63F43"/>
    <w:rsid w:val="00D645CA"/>
    <w:rsid w:val="00D647BD"/>
    <w:rsid w:val="00D649E1"/>
    <w:rsid w:val="00D64A13"/>
    <w:rsid w:val="00D64E93"/>
    <w:rsid w:val="00D65594"/>
    <w:rsid w:val="00D656BC"/>
    <w:rsid w:val="00D65886"/>
    <w:rsid w:val="00D66178"/>
    <w:rsid w:val="00D6620C"/>
    <w:rsid w:val="00D666A9"/>
    <w:rsid w:val="00D668F8"/>
    <w:rsid w:val="00D669F0"/>
    <w:rsid w:val="00D67052"/>
    <w:rsid w:val="00D67352"/>
    <w:rsid w:val="00D67748"/>
    <w:rsid w:val="00D677AA"/>
    <w:rsid w:val="00D678F0"/>
    <w:rsid w:val="00D6791B"/>
    <w:rsid w:val="00D67980"/>
    <w:rsid w:val="00D67B1E"/>
    <w:rsid w:val="00D700B3"/>
    <w:rsid w:val="00D701B8"/>
    <w:rsid w:val="00D702EE"/>
    <w:rsid w:val="00D703FD"/>
    <w:rsid w:val="00D704DC"/>
    <w:rsid w:val="00D70936"/>
    <w:rsid w:val="00D70A9B"/>
    <w:rsid w:val="00D70AA0"/>
    <w:rsid w:val="00D70E57"/>
    <w:rsid w:val="00D7111C"/>
    <w:rsid w:val="00D7175F"/>
    <w:rsid w:val="00D71843"/>
    <w:rsid w:val="00D719CE"/>
    <w:rsid w:val="00D71C72"/>
    <w:rsid w:val="00D71C75"/>
    <w:rsid w:val="00D71D47"/>
    <w:rsid w:val="00D71F90"/>
    <w:rsid w:val="00D721F2"/>
    <w:rsid w:val="00D724A4"/>
    <w:rsid w:val="00D72A82"/>
    <w:rsid w:val="00D72B49"/>
    <w:rsid w:val="00D72F85"/>
    <w:rsid w:val="00D73168"/>
    <w:rsid w:val="00D73321"/>
    <w:rsid w:val="00D73471"/>
    <w:rsid w:val="00D734E8"/>
    <w:rsid w:val="00D735CA"/>
    <w:rsid w:val="00D736D8"/>
    <w:rsid w:val="00D73B76"/>
    <w:rsid w:val="00D74600"/>
    <w:rsid w:val="00D7471E"/>
    <w:rsid w:val="00D74794"/>
    <w:rsid w:val="00D747A4"/>
    <w:rsid w:val="00D74AD6"/>
    <w:rsid w:val="00D74E03"/>
    <w:rsid w:val="00D75396"/>
    <w:rsid w:val="00D75560"/>
    <w:rsid w:val="00D75753"/>
    <w:rsid w:val="00D763A6"/>
    <w:rsid w:val="00D76573"/>
    <w:rsid w:val="00D7686A"/>
    <w:rsid w:val="00D76A44"/>
    <w:rsid w:val="00D76E33"/>
    <w:rsid w:val="00D76E71"/>
    <w:rsid w:val="00D77086"/>
    <w:rsid w:val="00D773C7"/>
    <w:rsid w:val="00D7794C"/>
    <w:rsid w:val="00D7799B"/>
    <w:rsid w:val="00D77CCF"/>
    <w:rsid w:val="00D77E10"/>
    <w:rsid w:val="00D77E6E"/>
    <w:rsid w:val="00D80168"/>
    <w:rsid w:val="00D80422"/>
    <w:rsid w:val="00D80548"/>
    <w:rsid w:val="00D809FA"/>
    <w:rsid w:val="00D80EC7"/>
    <w:rsid w:val="00D81100"/>
    <w:rsid w:val="00D81390"/>
    <w:rsid w:val="00D814B0"/>
    <w:rsid w:val="00D815EF"/>
    <w:rsid w:val="00D81832"/>
    <w:rsid w:val="00D81908"/>
    <w:rsid w:val="00D81C31"/>
    <w:rsid w:val="00D81CB1"/>
    <w:rsid w:val="00D81E31"/>
    <w:rsid w:val="00D81E9E"/>
    <w:rsid w:val="00D8238D"/>
    <w:rsid w:val="00D8240F"/>
    <w:rsid w:val="00D8261E"/>
    <w:rsid w:val="00D827C6"/>
    <w:rsid w:val="00D827FC"/>
    <w:rsid w:val="00D828C1"/>
    <w:rsid w:val="00D82B6F"/>
    <w:rsid w:val="00D8319D"/>
    <w:rsid w:val="00D8331E"/>
    <w:rsid w:val="00D833C7"/>
    <w:rsid w:val="00D835F3"/>
    <w:rsid w:val="00D83814"/>
    <w:rsid w:val="00D83B34"/>
    <w:rsid w:val="00D83BA6"/>
    <w:rsid w:val="00D83C50"/>
    <w:rsid w:val="00D83DBF"/>
    <w:rsid w:val="00D842C4"/>
    <w:rsid w:val="00D8434C"/>
    <w:rsid w:val="00D8435A"/>
    <w:rsid w:val="00D8435E"/>
    <w:rsid w:val="00D8440C"/>
    <w:rsid w:val="00D84441"/>
    <w:rsid w:val="00D845C8"/>
    <w:rsid w:val="00D845FE"/>
    <w:rsid w:val="00D84998"/>
    <w:rsid w:val="00D84A88"/>
    <w:rsid w:val="00D84FCE"/>
    <w:rsid w:val="00D85187"/>
    <w:rsid w:val="00D8535E"/>
    <w:rsid w:val="00D853C8"/>
    <w:rsid w:val="00D856A5"/>
    <w:rsid w:val="00D8589C"/>
    <w:rsid w:val="00D859AA"/>
    <w:rsid w:val="00D859E7"/>
    <w:rsid w:val="00D85AD2"/>
    <w:rsid w:val="00D85B09"/>
    <w:rsid w:val="00D8606B"/>
    <w:rsid w:val="00D86171"/>
    <w:rsid w:val="00D863CE"/>
    <w:rsid w:val="00D86409"/>
    <w:rsid w:val="00D86549"/>
    <w:rsid w:val="00D86610"/>
    <w:rsid w:val="00D86648"/>
    <w:rsid w:val="00D867D0"/>
    <w:rsid w:val="00D86809"/>
    <w:rsid w:val="00D86890"/>
    <w:rsid w:val="00D869D0"/>
    <w:rsid w:val="00D871B8"/>
    <w:rsid w:val="00D874D7"/>
    <w:rsid w:val="00D875AB"/>
    <w:rsid w:val="00D876CF"/>
    <w:rsid w:val="00D876F2"/>
    <w:rsid w:val="00D8799F"/>
    <w:rsid w:val="00D87D6D"/>
    <w:rsid w:val="00D87EFC"/>
    <w:rsid w:val="00D87FC4"/>
    <w:rsid w:val="00D900E2"/>
    <w:rsid w:val="00D90381"/>
    <w:rsid w:val="00D90491"/>
    <w:rsid w:val="00D905B8"/>
    <w:rsid w:val="00D90CEE"/>
    <w:rsid w:val="00D90F6D"/>
    <w:rsid w:val="00D91184"/>
    <w:rsid w:val="00D9122D"/>
    <w:rsid w:val="00D912C4"/>
    <w:rsid w:val="00D91308"/>
    <w:rsid w:val="00D917B3"/>
    <w:rsid w:val="00D919E6"/>
    <w:rsid w:val="00D91C17"/>
    <w:rsid w:val="00D91D4B"/>
    <w:rsid w:val="00D91DBB"/>
    <w:rsid w:val="00D922C4"/>
    <w:rsid w:val="00D92959"/>
    <w:rsid w:val="00D92A93"/>
    <w:rsid w:val="00D92BC2"/>
    <w:rsid w:val="00D92FEE"/>
    <w:rsid w:val="00D93753"/>
    <w:rsid w:val="00D93964"/>
    <w:rsid w:val="00D93BC0"/>
    <w:rsid w:val="00D93ECF"/>
    <w:rsid w:val="00D93FF3"/>
    <w:rsid w:val="00D942BF"/>
    <w:rsid w:val="00D9448F"/>
    <w:rsid w:val="00D9468E"/>
    <w:rsid w:val="00D953CE"/>
    <w:rsid w:val="00D955F1"/>
    <w:rsid w:val="00D95610"/>
    <w:rsid w:val="00D95661"/>
    <w:rsid w:val="00D9567B"/>
    <w:rsid w:val="00D95B0C"/>
    <w:rsid w:val="00D966B2"/>
    <w:rsid w:val="00D966BD"/>
    <w:rsid w:val="00D969B0"/>
    <w:rsid w:val="00D96AE5"/>
    <w:rsid w:val="00D97222"/>
    <w:rsid w:val="00D974F1"/>
    <w:rsid w:val="00D975DA"/>
    <w:rsid w:val="00D976A7"/>
    <w:rsid w:val="00D97758"/>
    <w:rsid w:val="00D97954"/>
    <w:rsid w:val="00DA005E"/>
    <w:rsid w:val="00DA01EB"/>
    <w:rsid w:val="00DA0334"/>
    <w:rsid w:val="00DA0443"/>
    <w:rsid w:val="00DA0573"/>
    <w:rsid w:val="00DA0628"/>
    <w:rsid w:val="00DA07B3"/>
    <w:rsid w:val="00DA0AB8"/>
    <w:rsid w:val="00DA0DDE"/>
    <w:rsid w:val="00DA1052"/>
    <w:rsid w:val="00DA12FB"/>
    <w:rsid w:val="00DA1400"/>
    <w:rsid w:val="00DA141F"/>
    <w:rsid w:val="00DA15B4"/>
    <w:rsid w:val="00DA1693"/>
    <w:rsid w:val="00DA1829"/>
    <w:rsid w:val="00DA20CC"/>
    <w:rsid w:val="00DA2212"/>
    <w:rsid w:val="00DA222A"/>
    <w:rsid w:val="00DA254F"/>
    <w:rsid w:val="00DA2782"/>
    <w:rsid w:val="00DA298E"/>
    <w:rsid w:val="00DA2B64"/>
    <w:rsid w:val="00DA2C82"/>
    <w:rsid w:val="00DA2E5C"/>
    <w:rsid w:val="00DA2F82"/>
    <w:rsid w:val="00DA315B"/>
    <w:rsid w:val="00DA3223"/>
    <w:rsid w:val="00DA39E5"/>
    <w:rsid w:val="00DA3B47"/>
    <w:rsid w:val="00DA3C8A"/>
    <w:rsid w:val="00DA3DAC"/>
    <w:rsid w:val="00DA3EDB"/>
    <w:rsid w:val="00DA429A"/>
    <w:rsid w:val="00DA42A9"/>
    <w:rsid w:val="00DA43E0"/>
    <w:rsid w:val="00DA48F4"/>
    <w:rsid w:val="00DA4A50"/>
    <w:rsid w:val="00DA5175"/>
    <w:rsid w:val="00DA530C"/>
    <w:rsid w:val="00DA55EC"/>
    <w:rsid w:val="00DA565C"/>
    <w:rsid w:val="00DA5A1D"/>
    <w:rsid w:val="00DA5AB9"/>
    <w:rsid w:val="00DA5F77"/>
    <w:rsid w:val="00DA6283"/>
    <w:rsid w:val="00DA66B0"/>
    <w:rsid w:val="00DA6918"/>
    <w:rsid w:val="00DA6A39"/>
    <w:rsid w:val="00DA6D80"/>
    <w:rsid w:val="00DA6E94"/>
    <w:rsid w:val="00DA6F1B"/>
    <w:rsid w:val="00DA6F66"/>
    <w:rsid w:val="00DA7019"/>
    <w:rsid w:val="00DA77A5"/>
    <w:rsid w:val="00DA7AAA"/>
    <w:rsid w:val="00DA7B07"/>
    <w:rsid w:val="00DA7DE1"/>
    <w:rsid w:val="00DA7EDD"/>
    <w:rsid w:val="00DB0238"/>
    <w:rsid w:val="00DB0516"/>
    <w:rsid w:val="00DB065D"/>
    <w:rsid w:val="00DB066E"/>
    <w:rsid w:val="00DB080F"/>
    <w:rsid w:val="00DB09F1"/>
    <w:rsid w:val="00DB0CB7"/>
    <w:rsid w:val="00DB0DBD"/>
    <w:rsid w:val="00DB0FAA"/>
    <w:rsid w:val="00DB11CE"/>
    <w:rsid w:val="00DB13E2"/>
    <w:rsid w:val="00DB17D7"/>
    <w:rsid w:val="00DB1835"/>
    <w:rsid w:val="00DB196E"/>
    <w:rsid w:val="00DB1C71"/>
    <w:rsid w:val="00DB1FD6"/>
    <w:rsid w:val="00DB1FE5"/>
    <w:rsid w:val="00DB209D"/>
    <w:rsid w:val="00DB21B3"/>
    <w:rsid w:val="00DB22AD"/>
    <w:rsid w:val="00DB2396"/>
    <w:rsid w:val="00DB2531"/>
    <w:rsid w:val="00DB28D7"/>
    <w:rsid w:val="00DB2C72"/>
    <w:rsid w:val="00DB35B5"/>
    <w:rsid w:val="00DB3679"/>
    <w:rsid w:val="00DB36E9"/>
    <w:rsid w:val="00DB3A66"/>
    <w:rsid w:val="00DB3B1D"/>
    <w:rsid w:val="00DB3BD8"/>
    <w:rsid w:val="00DB3F52"/>
    <w:rsid w:val="00DB409E"/>
    <w:rsid w:val="00DB4154"/>
    <w:rsid w:val="00DB4507"/>
    <w:rsid w:val="00DB4CD6"/>
    <w:rsid w:val="00DB4D86"/>
    <w:rsid w:val="00DB4F72"/>
    <w:rsid w:val="00DB5690"/>
    <w:rsid w:val="00DB58B6"/>
    <w:rsid w:val="00DB5953"/>
    <w:rsid w:val="00DB5A97"/>
    <w:rsid w:val="00DB5F0B"/>
    <w:rsid w:val="00DB5F8D"/>
    <w:rsid w:val="00DB647E"/>
    <w:rsid w:val="00DB6516"/>
    <w:rsid w:val="00DB6539"/>
    <w:rsid w:val="00DB67A0"/>
    <w:rsid w:val="00DB6B56"/>
    <w:rsid w:val="00DB6CF0"/>
    <w:rsid w:val="00DB6D03"/>
    <w:rsid w:val="00DB6EF0"/>
    <w:rsid w:val="00DB7012"/>
    <w:rsid w:val="00DB71CC"/>
    <w:rsid w:val="00DB7286"/>
    <w:rsid w:val="00DB7314"/>
    <w:rsid w:val="00DB7390"/>
    <w:rsid w:val="00DB74E2"/>
    <w:rsid w:val="00DB7604"/>
    <w:rsid w:val="00DB7CA6"/>
    <w:rsid w:val="00DB7DFE"/>
    <w:rsid w:val="00DB7EA3"/>
    <w:rsid w:val="00DB7F93"/>
    <w:rsid w:val="00DC0061"/>
    <w:rsid w:val="00DC01AF"/>
    <w:rsid w:val="00DC0E93"/>
    <w:rsid w:val="00DC1137"/>
    <w:rsid w:val="00DC11D3"/>
    <w:rsid w:val="00DC11E7"/>
    <w:rsid w:val="00DC125B"/>
    <w:rsid w:val="00DC12B7"/>
    <w:rsid w:val="00DC14E1"/>
    <w:rsid w:val="00DC1692"/>
    <w:rsid w:val="00DC1BBC"/>
    <w:rsid w:val="00DC1C5B"/>
    <w:rsid w:val="00DC1CCB"/>
    <w:rsid w:val="00DC21FE"/>
    <w:rsid w:val="00DC24E2"/>
    <w:rsid w:val="00DC29AE"/>
    <w:rsid w:val="00DC2B0C"/>
    <w:rsid w:val="00DC2B88"/>
    <w:rsid w:val="00DC2D11"/>
    <w:rsid w:val="00DC2D8B"/>
    <w:rsid w:val="00DC2DDA"/>
    <w:rsid w:val="00DC2FC2"/>
    <w:rsid w:val="00DC3541"/>
    <w:rsid w:val="00DC355A"/>
    <w:rsid w:val="00DC3562"/>
    <w:rsid w:val="00DC4164"/>
    <w:rsid w:val="00DC41FA"/>
    <w:rsid w:val="00DC45E6"/>
    <w:rsid w:val="00DC47E0"/>
    <w:rsid w:val="00DC4860"/>
    <w:rsid w:val="00DC4AEF"/>
    <w:rsid w:val="00DC4C7C"/>
    <w:rsid w:val="00DC4E9B"/>
    <w:rsid w:val="00DC4FF3"/>
    <w:rsid w:val="00DC51A1"/>
    <w:rsid w:val="00DC5209"/>
    <w:rsid w:val="00DC5314"/>
    <w:rsid w:val="00DC5481"/>
    <w:rsid w:val="00DC5501"/>
    <w:rsid w:val="00DC55DF"/>
    <w:rsid w:val="00DC575A"/>
    <w:rsid w:val="00DC58D4"/>
    <w:rsid w:val="00DC5A2A"/>
    <w:rsid w:val="00DC5DA5"/>
    <w:rsid w:val="00DC5F4A"/>
    <w:rsid w:val="00DC60B8"/>
    <w:rsid w:val="00DC6120"/>
    <w:rsid w:val="00DC6127"/>
    <w:rsid w:val="00DC63E3"/>
    <w:rsid w:val="00DC661A"/>
    <w:rsid w:val="00DC664B"/>
    <w:rsid w:val="00DC685F"/>
    <w:rsid w:val="00DC7278"/>
    <w:rsid w:val="00DC7910"/>
    <w:rsid w:val="00DC7D02"/>
    <w:rsid w:val="00DC7EF0"/>
    <w:rsid w:val="00DC7F76"/>
    <w:rsid w:val="00DD0037"/>
    <w:rsid w:val="00DD02BD"/>
    <w:rsid w:val="00DD031C"/>
    <w:rsid w:val="00DD0BC2"/>
    <w:rsid w:val="00DD0D22"/>
    <w:rsid w:val="00DD0DF8"/>
    <w:rsid w:val="00DD0F5A"/>
    <w:rsid w:val="00DD1033"/>
    <w:rsid w:val="00DD10DC"/>
    <w:rsid w:val="00DD12AD"/>
    <w:rsid w:val="00DD1485"/>
    <w:rsid w:val="00DD165A"/>
    <w:rsid w:val="00DD1D27"/>
    <w:rsid w:val="00DD2846"/>
    <w:rsid w:val="00DD2989"/>
    <w:rsid w:val="00DD2E69"/>
    <w:rsid w:val="00DD2EDC"/>
    <w:rsid w:val="00DD2F75"/>
    <w:rsid w:val="00DD3155"/>
    <w:rsid w:val="00DD318A"/>
    <w:rsid w:val="00DD3344"/>
    <w:rsid w:val="00DD33C0"/>
    <w:rsid w:val="00DD3967"/>
    <w:rsid w:val="00DD3978"/>
    <w:rsid w:val="00DD3C1C"/>
    <w:rsid w:val="00DD3CF3"/>
    <w:rsid w:val="00DD3EE3"/>
    <w:rsid w:val="00DD3F28"/>
    <w:rsid w:val="00DD3F8D"/>
    <w:rsid w:val="00DD4106"/>
    <w:rsid w:val="00DD4283"/>
    <w:rsid w:val="00DD443F"/>
    <w:rsid w:val="00DD4462"/>
    <w:rsid w:val="00DD4537"/>
    <w:rsid w:val="00DD466C"/>
    <w:rsid w:val="00DD49ED"/>
    <w:rsid w:val="00DD4ABB"/>
    <w:rsid w:val="00DD4E15"/>
    <w:rsid w:val="00DD4EE7"/>
    <w:rsid w:val="00DD4EEB"/>
    <w:rsid w:val="00DD5070"/>
    <w:rsid w:val="00DD50D9"/>
    <w:rsid w:val="00DD51D3"/>
    <w:rsid w:val="00DD563B"/>
    <w:rsid w:val="00DD5882"/>
    <w:rsid w:val="00DD58B0"/>
    <w:rsid w:val="00DD5A0A"/>
    <w:rsid w:val="00DD5A34"/>
    <w:rsid w:val="00DD5E72"/>
    <w:rsid w:val="00DD610B"/>
    <w:rsid w:val="00DD6201"/>
    <w:rsid w:val="00DD6454"/>
    <w:rsid w:val="00DD64FF"/>
    <w:rsid w:val="00DD66FE"/>
    <w:rsid w:val="00DD6E95"/>
    <w:rsid w:val="00DD6EA9"/>
    <w:rsid w:val="00DD6FE3"/>
    <w:rsid w:val="00DD74A3"/>
    <w:rsid w:val="00DD74A5"/>
    <w:rsid w:val="00DD7527"/>
    <w:rsid w:val="00DD760E"/>
    <w:rsid w:val="00DD7DB8"/>
    <w:rsid w:val="00DD7F61"/>
    <w:rsid w:val="00DE031D"/>
    <w:rsid w:val="00DE03C6"/>
    <w:rsid w:val="00DE042C"/>
    <w:rsid w:val="00DE070C"/>
    <w:rsid w:val="00DE085A"/>
    <w:rsid w:val="00DE0AF8"/>
    <w:rsid w:val="00DE0D2F"/>
    <w:rsid w:val="00DE1036"/>
    <w:rsid w:val="00DE1037"/>
    <w:rsid w:val="00DE1052"/>
    <w:rsid w:val="00DE1099"/>
    <w:rsid w:val="00DE137F"/>
    <w:rsid w:val="00DE14EB"/>
    <w:rsid w:val="00DE197F"/>
    <w:rsid w:val="00DE1A39"/>
    <w:rsid w:val="00DE1A6B"/>
    <w:rsid w:val="00DE1B2B"/>
    <w:rsid w:val="00DE2237"/>
    <w:rsid w:val="00DE22FB"/>
    <w:rsid w:val="00DE24AB"/>
    <w:rsid w:val="00DE253C"/>
    <w:rsid w:val="00DE283B"/>
    <w:rsid w:val="00DE2AD3"/>
    <w:rsid w:val="00DE2B8E"/>
    <w:rsid w:val="00DE2D1D"/>
    <w:rsid w:val="00DE2E70"/>
    <w:rsid w:val="00DE2FF8"/>
    <w:rsid w:val="00DE30FA"/>
    <w:rsid w:val="00DE34AA"/>
    <w:rsid w:val="00DE3519"/>
    <w:rsid w:val="00DE3E60"/>
    <w:rsid w:val="00DE403B"/>
    <w:rsid w:val="00DE41F4"/>
    <w:rsid w:val="00DE44AE"/>
    <w:rsid w:val="00DE46CD"/>
    <w:rsid w:val="00DE4777"/>
    <w:rsid w:val="00DE47CA"/>
    <w:rsid w:val="00DE4C7F"/>
    <w:rsid w:val="00DE4ECD"/>
    <w:rsid w:val="00DE4FCB"/>
    <w:rsid w:val="00DE5376"/>
    <w:rsid w:val="00DE57E7"/>
    <w:rsid w:val="00DE584D"/>
    <w:rsid w:val="00DE58D2"/>
    <w:rsid w:val="00DE5A67"/>
    <w:rsid w:val="00DE5D29"/>
    <w:rsid w:val="00DE5DAE"/>
    <w:rsid w:val="00DE6007"/>
    <w:rsid w:val="00DE6205"/>
    <w:rsid w:val="00DE62A8"/>
    <w:rsid w:val="00DE65BE"/>
    <w:rsid w:val="00DE666F"/>
    <w:rsid w:val="00DE675C"/>
    <w:rsid w:val="00DE6935"/>
    <w:rsid w:val="00DE6DD2"/>
    <w:rsid w:val="00DE6E68"/>
    <w:rsid w:val="00DE7005"/>
    <w:rsid w:val="00DE72F4"/>
    <w:rsid w:val="00DE731C"/>
    <w:rsid w:val="00DE73A4"/>
    <w:rsid w:val="00DE778D"/>
    <w:rsid w:val="00DE7B68"/>
    <w:rsid w:val="00DE7B94"/>
    <w:rsid w:val="00DE7C07"/>
    <w:rsid w:val="00DE7E0C"/>
    <w:rsid w:val="00DE7ED4"/>
    <w:rsid w:val="00DE7EF0"/>
    <w:rsid w:val="00DF0129"/>
    <w:rsid w:val="00DF0256"/>
    <w:rsid w:val="00DF02C4"/>
    <w:rsid w:val="00DF03BC"/>
    <w:rsid w:val="00DF03CC"/>
    <w:rsid w:val="00DF0512"/>
    <w:rsid w:val="00DF0557"/>
    <w:rsid w:val="00DF0643"/>
    <w:rsid w:val="00DF0C77"/>
    <w:rsid w:val="00DF0CC9"/>
    <w:rsid w:val="00DF0FE2"/>
    <w:rsid w:val="00DF1260"/>
    <w:rsid w:val="00DF13AD"/>
    <w:rsid w:val="00DF18E1"/>
    <w:rsid w:val="00DF1D77"/>
    <w:rsid w:val="00DF1F44"/>
    <w:rsid w:val="00DF2446"/>
    <w:rsid w:val="00DF2505"/>
    <w:rsid w:val="00DF2515"/>
    <w:rsid w:val="00DF255E"/>
    <w:rsid w:val="00DF2B5B"/>
    <w:rsid w:val="00DF3740"/>
    <w:rsid w:val="00DF3765"/>
    <w:rsid w:val="00DF3C65"/>
    <w:rsid w:val="00DF4019"/>
    <w:rsid w:val="00DF40EF"/>
    <w:rsid w:val="00DF412F"/>
    <w:rsid w:val="00DF43E5"/>
    <w:rsid w:val="00DF4585"/>
    <w:rsid w:val="00DF4757"/>
    <w:rsid w:val="00DF4828"/>
    <w:rsid w:val="00DF4AFB"/>
    <w:rsid w:val="00DF4E2D"/>
    <w:rsid w:val="00DF4E47"/>
    <w:rsid w:val="00DF4EA4"/>
    <w:rsid w:val="00DF4ECD"/>
    <w:rsid w:val="00DF50A1"/>
    <w:rsid w:val="00DF511C"/>
    <w:rsid w:val="00DF51D5"/>
    <w:rsid w:val="00DF52D0"/>
    <w:rsid w:val="00DF5481"/>
    <w:rsid w:val="00DF59E4"/>
    <w:rsid w:val="00DF5BCA"/>
    <w:rsid w:val="00DF5D2B"/>
    <w:rsid w:val="00DF6036"/>
    <w:rsid w:val="00DF62FE"/>
    <w:rsid w:val="00DF6326"/>
    <w:rsid w:val="00DF66F1"/>
    <w:rsid w:val="00DF68E4"/>
    <w:rsid w:val="00DF6DFB"/>
    <w:rsid w:val="00DF7116"/>
    <w:rsid w:val="00DF774C"/>
    <w:rsid w:val="00DF77DB"/>
    <w:rsid w:val="00DF7942"/>
    <w:rsid w:val="00DF7B09"/>
    <w:rsid w:val="00DF7B4B"/>
    <w:rsid w:val="00DF7C7C"/>
    <w:rsid w:val="00DF7CB2"/>
    <w:rsid w:val="00E001B1"/>
    <w:rsid w:val="00E00577"/>
    <w:rsid w:val="00E00798"/>
    <w:rsid w:val="00E00E9A"/>
    <w:rsid w:val="00E01176"/>
    <w:rsid w:val="00E01218"/>
    <w:rsid w:val="00E0155D"/>
    <w:rsid w:val="00E017D1"/>
    <w:rsid w:val="00E019EC"/>
    <w:rsid w:val="00E01C3B"/>
    <w:rsid w:val="00E01E5E"/>
    <w:rsid w:val="00E02757"/>
    <w:rsid w:val="00E02911"/>
    <w:rsid w:val="00E02930"/>
    <w:rsid w:val="00E02AB6"/>
    <w:rsid w:val="00E02B5A"/>
    <w:rsid w:val="00E02F40"/>
    <w:rsid w:val="00E037B5"/>
    <w:rsid w:val="00E0386D"/>
    <w:rsid w:val="00E03B6C"/>
    <w:rsid w:val="00E04447"/>
    <w:rsid w:val="00E04507"/>
    <w:rsid w:val="00E04891"/>
    <w:rsid w:val="00E04A8B"/>
    <w:rsid w:val="00E05271"/>
    <w:rsid w:val="00E05C83"/>
    <w:rsid w:val="00E06108"/>
    <w:rsid w:val="00E063A1"/>
    <w:rsid w:val="00E0659B"/>
    <w:rsid w:val="00E0661A"/>
    <w:rsid w:val="00E06732"/>
    <w:rsid w:val="00E068C5"/>
    <w:rsid w:val="00E06962"/>
    <w:rsid w:val="00E06D94"/>
    <w:rsid w:val="00E070CB"/>
    <w:rsid w:val="00E07490"/>
    <w:rsid w:val="00E0767D"/>
    <w:rsid w:val="00E07894"/>
    <w:rsid w:val="00E07A2B"/>
    <w:rsid w:val="00E07C51"/>
    <w:rsid w:val="00E07D73"/>
    <w:rsid w:val="00E07E75"/>
    <w:rsid w:val="00E10121"/>
    <w:rsid w:val="00E10149"/>
    <w:rsid w:val="00E10313"/>
    <w:rsid w:val="00E103B6"/>
    <w:rsid w:val="00E10423"/>
    <w:rsid w:val="00E10599"/>
    <w:rsid w:val="00E10777"/>
    <w:rsid w:val="00E10A8D"/>
    <w:rsid w:val="00E10E0A"/>
    <w:rsid w:val="00E10E67"/>
    <w:rsid w:val="00E10EC8"/>
    <w:rsid w:val="00E112E7"/>
    <w:rsid w:val="00E11324"/>
    <w:rsid w:val="00E11341"/>
    <w:rsid w:val="00E11512"/>
    <w:rsid w:val="00E1158A"/>
    <w:rsid w:val="00E116F2"/>
    <w:rsid w:val="00E11846"/>
    <w:rsid w:val="00E11B52"/>
    <w:rsid w:val="00E11F7B"/>
    <w:rsid w:val="00E11FA5"/>
    <w:rsid w:val="00E120CA"/>
    <w:rsid w:val="00E120E7"/>
    <w:rsid w:val="00E12278"/>
    <w:rsid w:val="00E12456"/>
    <w:rsid w:val="00E1256F"/>
    <w:rsid w:val="00E12A3F"/>
    <w:rsid w:val="00E12C5E"/>
    <w:rsid w:val="00E12FD8"/>
    <w:rsid w:val="00E1361F"/>
    <w:rsid w:val="00E13644"/>
    <w:rsid w:val="00E13934"/>
    <w:rsid w:val="00E139C6"/>
    <w:rsid w:val="00E13B2F"/>
    <w:rsid w:val="00E13E6C"/>
    <w:rsid w:val="00E14283"/>
    <w:rsid w:val="00E1488B"/>
    <w:rsid w:val="00E14AF4"/>
    <w:rsid w:val="00E14B01"/>
    <w:rsid w:val="00E15164"/>
    <w:rsid w:val="00E1523F"/>
    <w:rsid w:val="00E153E4"/>
    <w:rsid w:val="00E15433"/>
    <w:rsid w:val="00E1547B"/>
    <w:rsid w:val="00E155DA"/>
    <w:rsid w:val="00E157DC"/>
    <w:rsid w:val="00E15CF9"/>
    <w:rsid w:val="00E160C3"/>
    <w:rsid w:val="00E16372"/>
    <w:rsid w:val="00E16380"/>
    <w:rsid w:val="00E163DC"/>
    <w:rsid w:val="00E16500"/>
    <w:rsid w:val="00E16772"/>
    <w:rsid w:val="00E169A9"/>
    <w:rsid w:val="00E16E52"/>
    <w:rsid w:val="00E1722B"/>
    <w:rsid w:val="00E172E7"/>
    <w:rsid w:val="00E17368"/>
    <w:rsid w:val="00E177B2"/>
    <w:rsid w:val="00E177FD"/>
    <w:rsid w:val="00E17A2F"/>
    <w:rsid w:val="00E17AA8"/>
    <w:rsid w:val="00E17D37"/>
    <w:rsid w:val="00E17E31"/>
    <w:rsid w:val="00E17EA9"/>
    <w:rsid w:val="00E17F75"/>
    <w:rsid w:val="00E17F8E"/>
    <w:rsid w:val="00E200B0"/>
    <w:rsid w:val="00E2018C"/>
    <w:rsid w:val="00E201EF"/>
    <w:rsid w:val="00E205D6"/>
    <w:rsid w:val="00E206BD"/>
    <w:rsid w:val="00E2080E"/>
    <w:rsid w:val="00E20BE7"/>
    <w:rsid w:val="00E20CB4"/>
    <w:rsid w:val="00E20ED6"/>
    <w:rsid w:val="00E20F7F"/>
    <w:rsid w:val="00E211B8"/>
    <w:rsid w:val="00E21358"/>
    <w:rsid w:val="00E213C5"/>
    <w:rsid w:val="00E21421"/>
    <w:rsid w:val="00E21AF0"/>
    <w:rsid w:val="00E21E2A"/>
    <w:rsid w:val="00E22102"/>
    <w:rsid w:val="00E22139"/>
    <w:rsid w:val="00E2249B"/>
    <w:rsid w:val="00E22642"/>
    <w:rsid w:val="00E2266B"/>
    <w:rsid w:val="00E2283D"/>
    <w:rsid w:val="00E22A0D"/>
    <w:rsid w:val="00E22B45"/>
    <w:rsid w:val="00E22D72"/>
    <w:rsid w:val="00E22EA9"/>
    <w:rsid w:val="00E230D4"/>
    <w:rsid w:val="00E2342E"/>
    <w:rsid w:val="00E235C6"/>
    <w:rsid w:val="00E23CDD"/>
    <w:rsid w:val="00E24218"/>
    <w:rsid w:val="00E24499"/>
    <w:rsid w:val="00E2471A"/>
    <w:rsid w:val="00E24A29"/>
    <w:rsid w:val="00E24C8B"/>
    <w:rsid w:val="00E24D5C"/>
    <w:rsid w:val="00E24D7A"/>
    <w:rsid w:val="00E24F70"/>
    <w:rsid w:val="00E2519C"/>
    <w:rsid w:val="00E25324"/>
    <w:rsid w:val="00E25445"/>
    <w:rsid w:val="00E25AC2"/>
    <w:rsid w:val="00E25E42"/>
    <w:rsid w:val="00E25F49"/>
    <w:rsid w:val="00E25FF8"/>
    <w:rsid w:val="00E2619C"/>
    <w:rsid w:val="00E26298"/>
    <w:rsid w:val="00E26655"/>
    <w:rsid w:val="00E26CA0"/>
    <w:rsid w:val="00E26FBB"/>
    <w:rsid w:val="00E27139"/>
    <w:rsid w:val="00E2771E"/>
    <w:rsid w:val="00E27B29"/>
    <w:rsid w:val="00E27BB0"/>
    <w:rsid w:val="00E27C7E"/>
    <w:rsid w:val="00E30014"/>
    <w:rsid w:val="00E30037"/>
    <w:rsid w:val="00E30181"/>
    <w:rsid w:val="00E303DD"/>
    <w:rsid w:val="00E3041E"/>
    <w:rsid w:val="00E3048F"/>
    <w:rsid w:val="00E30673"/>
    <w:rsid w:val="00E306B7"/>
    <w:rsid w:val="00E3072E"/>
    <w:rsid w:val="00E307E3"/>
    <w:rsid w:val="00E30AB4"/>
    <w:rsid w:val="00E30C18"/>
    <w:rsid w:val="00E30EDA"/>
    <w:rsid w:val="00E30EDC"/>
    <w:rsid w:val="00E30FB2"/>
    <w:rsid w:val="00E30FB8"/>
    <w:rsid w:val="00E316F4"/>
    <w:rsid w:val="00E3187F"/>
    <w:rsid w:val="00E3188A"/>
    <w:rsid w:val="00E31B54"/>
    <w:rsid w:val="00E320DA"/>
    <w:rsid w:val="00E3229B"/>
    <w:rsid w:val="00E32554"/>
    <w:rsid w:val="00E32736"/>
    <w:rsid w:val="00E328A1"/>
    <w:rsid w:val="00E329AC"/>
    <w:rsid w:val="00E32CB4"/>
    <w:rsid w:val="00E32D9D"/>
    <w:rsid w:val="00E32F36"/>
    <w:rsid w:val="00E32F8D"/>
    <w:rsid w:val="00E3321A"/>
    <w:rsid w:val="00E335B7"/>
    <w:rsid w:val="00E33931"/>
    <w:rsid w:val="00E33988"/>
    <w:rsid w:val="00E339EE"/>
    <w:rsid w:val="00E33A73"/>
    <w:rsid w:val="00E33D61"/>
    <w:rsid w:val="00E33E74"/>
    <w:rsid w:val="00E34239"/>
    <w:rsid w:val="00E342A9"/>
    <w:rsid w:val="00E3434A"/>
    <w:rsid w:val="00E3449D"/>
    <w:rsid w:val="00E346AA"/>
    <w:rsid w:val="00E34702"/>
    <w:rsid w:val="00E3474F"/>
    <w:rsid w:val="00E34D25"/>
    <w:rsid w:val="00E35216"/>
    <w:rsid w:val="00E3561B"/>
    <w:rsid w:val="00E3573D"/>
    <w:rsid w:val="00E35782"/>
    <w:rsid w:val="00E357D2"/>
    <w:rsid w:val="00E35B10"/>
    <w:rsid w:val="00E35BB3"/>
    <w:rsid w:val="00E35D0D"/>
    <w:rsid w:val="00E36356"/>
    <w:rsid w:val="00E3658D"/>
    <w:rsid w:val="00E365CD"/>
    <w:rsid w:val="00E3677F"/>
    <w:rsid w:val="00E36BE3"/>
    <w:rsid w:val="00E37569"/>
    <w:rsid w:val="00E378FB"/>
    <w:rsid w:val="00E37B3A"/>
    <w:rsid w:val="00E37BAB"/>
    <w:rsid w:val="00E37D18"/>
    <w:rsid w:val="00E37D91"/>
    <w:rsid w:val="00E40559"/>
    <w:rsid w:val="00E405E6"/>
    <w:rsid w:val="00E40706"/>
    <w:rsid w:val="00E40810"/>
    <w:rsid w:val="00E408AE"/>
    <w:rsid w:val="00E40DE3"/>
    <w:rsid w:val="00E4140C"/>
    <w:rsid w:val="00E419B5"/>
    <w:rsid w:val="00E41C60"/>
    <w:rsid w:val="00E41C7C"/>
    <w:rsid w:val="00E41E30"/>
    <w:rsid w:val="00E41EB5"/>
    <w:rsid w:val="00E420F4"/>
    <w:rsid w:val="00E4237A"/>
    <w:rsid w:val="00E4265C"/>
    <w:rsid w:val="00E42B2A"/>
    <w:rsid w:val="00E42C3F"/>
    <w:rsid w:val="00E42DD7"/>
    <w:rsid w:val="00E42FDA"/>
    <w:rsid w:val="00E432DD"/>
    <w:rsid w:val="00E43442"/>
    <w:rsid w:val="00E434A3"/>
    <w:rsid w:val="00E43658"/>
    <w:rsid w:val="00E43671"/>
    <w:rsid w:val="00E43C7D"/>
    <w:rsid w:val="00E43CCA"/>
    <w:rsid w:val="00E43D70"/>
    <w:rsid w:val="00E43EB3"/>
    <w:rsid w:val="00E44003"/>
    <w:rsid w:val="00E44039"/>
    <w:rsid w:val="00E44261"/>
    <w:rsid w:val="00E444D5"/>
    <w:rsid w:val="00E44A3A"/>
    <w:rsid w:val="00E44BE7"/>
    <w:rsid w:val="00E44C17"/>
    <w:rsid w:val="00E4554C"/>
    <w:rsid w:val="00E455B8"/>
    <w:rsid w:val="00E45707"/>
    <w:rsid w:val="00E45A73"/>
    <w:rsid w:val="00E45C30"/>
    <w:rsid w:val="00E46150"/>
    <w:rsid w:val="00E465F4"/>
    <w:rsid w:val="00E46816"/>
    <w:rsid w:val="00E468FE"/>
    <w:rsid w:val="00E46919"/>
    <w:rsid w:val="00E469E4"/>
    <w:rsid w:val="00E46A45"/>
    <w:rsid w:val="00E471C6"/>
    <w:rsid w:val="00E4747B"/>
    <w:rsid w:val="00E47804"/>
    <w:rsid w:val="00E47AB7"/>
    <w:rsid w:val="00E47B2C"/>
    <w:rsid w:val="00E47F55"/>
    <w:rsid w:val="00E500A0"/>
    <w:rsid w:val="00E501FE"/>
    <w:rsid w:val="00E50222"/>
    <w:rsid w:val="00E50474"/>
    <w:rsid w:val="00E504A8"/>
    <w:rsid w:val="00E5098D"/>
    <w:rsid w:val="00E51099"/>
    <w:rsid w:val="00E513C7"/>
    <w:rsid w:val="00E51560"/>
    <w:rsid w:val="00E517B1"/>
    <w:rsid w:val="00E51C50"/>
    <w:rsid w:val="00E51FF1"/>
    <w:rsid w:val="00E52067"/>
    <w:rsid w:val="00E521DD"/>
    <w:rsid w:val="00E522AC"/>
    <w:rsid w:val="00E523A7"/>
    <w:rsid w:val="00E5241D"/>
    <w:rsid w:val="00E525F5"/>
    <w:rsid w:val="00E52819"/>
    <w:rsid w:val="00E52B5E"/>
    <w:rsid w:val="00E53081"/>
    <w:rsid w:val="00E5332C"/>
    <w:rsid w:val="00E5343A"/>
    <w:rsid w:val="00E537B8"/>
    <w:rsid w:val="00E53A0E"/>
    <w:rsid w:val="00E53AD3"/>
    <w:rsid w:val="00E53DA1"/>
    <w:rsid w:val="00E53E29"/>
    <w:rsid w:val="00E53E83"/>
    <w:rsid w:val="00E53EBD"/>
    <w:rsid w:val="00E54480"/>
    <w:rsid w:val="00E545E1"/>
    <w:rsid w:val="00E5499F"/>
    <w:rsid w:val="00E54BFB"/>
    <w:rsid w:val="00E5508B"/>
    <w:rsid w:val="00E5513F"/>
    <w:rsid w:val="00E55424"/>
    <w:rsid w:val="00E55793"/>
    <w:rsid w:val="00E557C2"/>
    <w:rsid w:val="00E55BB5"/>
    <w:rsid w:val="00E55E9B"/>
    <w:rsid w:val="00E55F81"/>
    <w:rsid w:val="00E5632D"/>
    <w:rsid w:val="00E5634C"/>
    <w:rsid w:val="00E5692A"/>
    <w:rsid w:val="00E56A9E"/>
    <w:rsid w:val="00E56BCA"/>
    <w:rsid w:val="00E5704D"/>
    <w:rsid w:val="00E5760B"/>
    <w:rsid w:val="00E57775"/>
    <w:rsid w:val="00E577C8"/>
    <w:rsid w:val="00E57BF7"/>
    <w:rsid w:val="00E57E70"/>
    <w:rsid w:val="00E57F02"/>
    <w:rsid w:val="00E60126"/>
    <w:rsid w:val="00E6061E"/>
    <w:rsid w:val="00E60702"/>
    <w:rsid w:val="00E608A6"/>
    <w:rsid w:val="00E60ACF"/>
    <w:rsid w:val="00E60F4B"/>
    <w:rsid w:val="00E61239"/>
    <w:rsid w:val="00E6155E"/>
    <w:rsid w:val="00E617A8"/>
    <w:rsid w:val="00E61A7E"/>
    <w:rsid w:val="00E61F93"/>
    <w:rsid w:val="00E624B2"/>
    <w:rsid w:val="00E627A6"/>
    <w:rsid w:val="00E62B98"/>
    <w:rsid w:val="00E62D62"/>
    <w:rsid w:val="00E631F6"/>
    <w:rsid w:val="00E6341F"/>
    <w:rsid w:val="00E635D2"/>
    <w:rsid w:val="00E6376E"/>
    <w:rsid w:val="00E6393D"/>
    <w:rsid w:val="00E63A18"/>
    <w:rsid w:val="00E63B97"/>
    <w:rsid w:val="00E63BA7"/>
    <w:rsid w:val="00E63FEF"/>
    <w:rsid w:val="00E64173"/>
    <w:rsid w:val="00E6435E"/>
    <w:rsid w:val="00E644BB"/>
    <w:rsid w:val="00E64BE3"/>
    <w:rsid w:val="00E64C4B"/>
    <w:rsid w:val="00E64DA0"/>
    <w:rsid w:val="00E64E9B"/>
    <w:rsid w:val="00E6557B"/>
    <w:rsid w:val="00E65604"/>
    <w:rsid w:val="00E6589C"/>
    <w:rsid w:val="00E65B5D"/>
    <w:rsid w:val="00E65DCA"/>
    <w:rsid w:val="00E65E79"/>
    <w:rsid w:val="00E65F67"/>
    <w:rsid w:val="00E6601C"/>
    <w:rsid w:val="00E6615C"/>
    <w:rsid w:val="00E66230"/>
    <w:rsid w:val="00E668BB"/>
    <w:rsid w:val="00E66921"/>
    <w:rsid w:val="00E6707F"/>
    <w:rsid w:val="00E67096"/>
    <w:rsid w:val="00E671B0"/>
    <w:rsid w:val="00E671EE"/>
    <w:rsid w:val="00E67416"/>
    <w:rsid w:val="00E679D1"/>
    <w:rsid w:val="00E67B86"/>
    <w:rsid w:val="00E67CC8"/>
    <w:rsid w:val="00E67CFF"/>
    <w:rsid w:val="00E70487"/>
    <w:rsid w:val="00E706AD"/>
    <w:rsid w:val="00E7091F"/>
    <w:rsid w:val="00E70A19"/>
    <w:rsid w:val="00E70AA8"/>
    <w:rsid w:val="00E70E09"/>
    <w:rsid w:val="00E71309"/>
    <w:rsid w:val="00E718B6"/>
    <w:rsid w:val="00E71C88"/>
    <w:rsid w:val="00E71CB8"/>
    <w:rsid w:val="00E721CD"/>
    <w:rsid w:val="00E723FC"/>
    <w:rsid w:val="00E72585"/>
    <w:rsid w:val="00E72C65"/>
    <w:rsid w:val="00E72F00"/>
    <w:rsid w:val="00E730F0"/>
    <w:rsid w:val="00E732FB"/>
    <w:rsid w:val="00E733D8"/>
    <w:rsid w:val="00E73581"/>
    <w:rsid w:val="00E73727"/>
    <w:rsid w:val="00E73B7A"/>
    <w:rsid w:val="00E73BA4"/>
    <w:rsid w:val="00E73D4E"/>
    <w:rsid w:val="00E73E7F"/>
    <w:rsid w:val="00E745C5"/>
    <w:rsid w:val="00E74600"/>
    <w:rsid w:val="00E746EA"/>
    <w:rsid w:val="00E74962"/>
    <w:rsid w:val="00E74ACA"/>
    <w:rsid w:val="00E74B49"/>
    <w:rsid w:val="00E74BD6"/>
    <w:rsid w:val="00E74E11"/>
    <w:rsid w:val="00E7505F"/>
    <w:rsid w:val="00E751D3"/>
    <w:rsid w:val="00E752A8"/>
    <w:rsid w:val="00E753C9"/>
    <w:rsid w:val="00E75521"/>
    <w:rsid w:val="00E75653"/>
    <w:rsid w:val="00E756BA"/>
    <w:rsid w:val="00E7586C"/>
    <w:rsid w:val="00E75B75"/>
    <w:rsid w:val="00E75F46"/>
    <w:rsid w:val="00E75F5E"/>
    <w:rsid w:val="00E7609C"/>
    <w:rsid w:val="00E76109"/>
    <w:rsid w:val="00E76185"/>
    <w:rsid w:val="00E765BD"/>
    <w:rsid w:val="00E766A3"/>
    <w:rsid w:val="00E76723"/>
    <w:rsid w:val="00E769A9"/>
    <w:rsid w:val="00E76D5C"/>
    <w:rsid w:val="00E771AE"/>
    <w:rsid w:val="00E7759A"/>
    <w:rsid w:val="00E775DC"/>
    <w:rsid w:val="00E77907"/>
    <w:rsid w:val="00E779CB"/>
    <w:rsid w:val="00E77F1C"/>
    <w:rsid w:val="00E80117"/>
    <w:rsid w:val="00E80162"/>
    <w:rsid w:val="00E8089D"/>
    <w:rsid w:val="00E8098F"/>
    <w:rsid w:val="00E80B77"/>
    <w:rsid w:val="00E80F75"/>
    <w:rsid w:val="00E81009"/>
    <w:rsid w:val="00E81145"/>
    <w:rsid w:val="00E81208"/>
    <w:rsid w:val="00E81B87"/>
    <w:rsid w:val="00E81D4C"/>
    <w:rsid w:val="00E81DB7"/>
    <w:rsid w:val="00E81F3A"/>
    <w:rsid w:val="00E827A4"/>
    <w:rsid w:val="00E8294A"/>
    <w:rsid w:val="00E82C65"/>
    <w:rsid w:val="00E82D39"/>
    <w:rsid w:val="00E830AF"/>
    <w:rsid w:val="00E83170"/>
    <w:rsid w:val="00E83357"/>
    <w:rsid w:val="00E8343F"/>
    <w:rsid w:val="00E836D4"/>
    <w:rsid w:val="00E8373B"/>
    <w:rsid w:val="00E8394F"/>
    <w:rsid w:val="00E83955"/>
    <w:rsid w:val="00E83BDF"/>
    <w:rsid w:val="00E83C07"/>
    <w:rsid w:val="00E83CA5"/>
    <w:rsid w:val="00E83D03"/>
    <w:rsid w:val="00E83D60"/>
    <w:rsid w:val="00E83F1C"/>
    <w:rsid w:val="00E84197"/>
    <w:rsid w:val="00E84220"/>
    <w:rsid w:val="00E846E0"/>
    <w:rsid w:val="00E8483B"/>
    <w:rsid w:val="00E84A9B"/>
    <w:rsid w:val="00E84B41"/>
    <w:rsid w:val="00E84F77"/>
    <w:rsid w:val="00E8512A"/>
    <w:rsid w:val="00E856B0"/>
    <w:rsid w:val="00E856BE"/>
    <w:rsid w:val="00E85772"/>
    <w:rsid w:val="00E85C82"/>
    <w:rsid w:val="00E8616A"/>
    <w:rsid w:val="00E86B89"/>
    <w:rsid w:val="00E86CA0"/>
    <w:rsid w:val="00E86EBA"/>
    <w:rsid w:val="00E870B7"/>
    <w:rsid w:val="00E870E3"/>
    <w:rsid w:val="00E8716C"/>
    <w:rsid w:val="00E87210"/>
    <w:rsid w:val="00E8728F"/>
    <w:rsid w:val="00E8739E"/>
    <w:rsid w:val="00E87551"/>
    <w:rsid w:val="00E87566"/>
    <w:rsid w:val="00E877FB"/>
    <w:rsid w:val="00E879C3"/>
    <w:rsid w:val="00E87F39"/>
    <w:rsid w:val="00E87FB7"/>
    <w:rsid w:val="00E9017D"/>
    <w:rsid w:val="00E9025F"/>
    <w:rsid w:val="00E905BC"/>
    <w:rsid w:val="00E9076D"/>
    <w:rsid w:val="00E907EA"/>
    <w:rsid w:val="00E908FF"/>
    <w:rsid w:val="00E90C49"/>
    <w:rsid w:val="00E90EC1"/>
    <w:rsid w:val="00E910E7"/>
    <w:rsid w:val="00E910F8"/>
    <w:rsid w:val="00E91101"/>
    <w:rsid w:val="00E911A3"/>
    <w:rsid w:val="00E9148A"/>
    <w:rsid w:val="00E9157B"/>
    <w:rsid w:val="00E91B3A"/>
    <w:rsid w:val="00E91D02"/>
    <w:rsid w:val="00E91EDD"/>
    <w:rsid w:val="00E91F88"/>
    <w:rsid w:val="00E92030"/>
    <w:rsid w:val="00E925B0"/>
    <w:rsid w:val="00E926D8"/>
    <w:rsid w:val="00E92880"/>
    <w:rsid w:val="00E92A61"/>
    <w:rsid w:val="00E92A8E"/>
    <w:rsid w:val="00E92D18"/>
    <w:rsid w:val="00E92E9E"/>
    <w:rsid w:val="00E930F3"/>
    <w:rsid w:val="00E93100"/>
    <w:rsid w:val="00E9317A"/>
    <w:rsid w:val="00E93479"/>
    <w:rsid w:val="00E93841"/>
    <w:rsid w:val="00E93CBA"/>
    <w:rsid w:val="00E93D11"/>
    <w:rsid w:val="00E93F06"/>
    <w:rsid w:val="00E940F1"/>
    <w:rsid w:val="00E941C2"/>
    <w:rsid w:val="00E94263"/>
    <w:rsid w:val="00E9442D"/>
    <w:rsid w:val="00E94534"/>
    <w:rsid w:val="00E9455A"/>
    <w:rsid w:val="00E946BE"/>
    <w:rsid w:val="00E947CF"/>
    <w:rsid w:val="00E94BD2"/>
    <w:rsid w:val="00E94C61"/>
    <w:rsid w:val="00E94CFB"/>
    <w:rsid w:val="00E94F7C"/>
    <w:rsid w:val="00E94F87"/>
    <w:rsid w:val="00E951E6"/>
    <w:rsid w:val="00E956BE"/>
    <w:rsid w:val="00E95A3A"/>
    <w:rsid w:val="00E95CF0"/>
    <w:rsid w:val="00E95E08"/>
    <w:rsid w:val="00E95ECA"/>
    <w:rsid w:val="00E95F49"/>
    <w:rsid w:val="00E960BE"/>
    <w:rsid w:val="00E961F4"/>
    <w:rsid w:val="00E969F4"/>
    <w:rsid w:val="00E96A05"/>
    <w:rsid w:val="00E96D47"/>
    <w:rsid w:val="00E96DFC"/>
    <w:rsid w:val="00E970A3"/>
    <w:rsid w:val="00E970C4"/>
    <w:rsid w:val="00E971D2"/>
    <w:rsid w:val="00E97471"/>
    <w:rsid w:val="00E97516"/>
    <w:rsid w:val="00E9769F"/>
    <w:rsid w:val="00E97A13"/>
    <w:rsid w:val="00E97C80"/>
    <w:rsid w:val="00EA0030"/>
    <w:rsid w:val="00EA020B"/>
    <w:rsid w:val="00EA04FD"/>
    <w:rsid w:val="00EA07D8"/>
    <w:rsid w:val="00EA083D"/>
    <w:rsid w:val="00EA0A47"/>
    <w:rsid w:val="00EA0A97"/>
    <w:rsid w:val="00EA0E68"/>
    <w:rsid w:val="00EA19A2"/>
    <w:rsid w:val="00EA1B13"/>
    <w:rsid w:val="00EA1C17"/>
    <w:rsid w:val="00EA1CF3"/>
    <w:rsid w:val="00EA1D44"/>
    <w:rsid w:val="00EA2226"/>
    <w:rsid w:val="00EA222C"/>
    <w:rsid w:val="00EA2589"/>
    <w:rsid w:val="00EA283C"/>
    <w:rsid w:val="00EA2A68"/>
    <w:rsid w:val="00EA2B0B"/>
    <w:rsid w:val="00EA2E1E"/>
    <w:rsid w:val="00EA32DF"/>
    <w:rsid w:val="00EA3326"/>
    <w:rsid w:val="00EA3587"/>
    <w:rsid w:val="00EA367F"/>
    <w:rsid w:val="00EA3864"/>
    <w:rsid w:val="00EA3B72"/>
    <w:rsid w:val="00EA3C42"/>
    <w:rsid w:val="00EA4449"/>
    <w:rsid w:val="00EA4A1B"/>
    <w:rsid w:val="00EA4CA3"/>
    <w:rsid w:val="00EA4CAD"/>
    <w:rsid w:val="00EA4E5D"/>
    <w:rsid w:val="00EA4E8A"/>
    <w:rsid w:val="00EA4FA9"/>
    <w:rsid w:val="00EA4FE6"/>
    <w:rsid w:val="00EA50D6"/>
    <w:rsid w:val="00EA51F8"/>
    <w:rsid w:val="00EA5A3F"/>
    <w:rsid w:val="00EA5C22"/>
    <w:rsid w:val="00EA5FA7"/>
    <w:rsid w:val="00EA6084"/>
    <w:rsid w:val="00EA60B4"/>
    <w:rsid w:val="00EA6115"/>
    <w:rsid w:val="00EA6122"/>
    <w:rsid w:val="00EA6715"/>
    <w:rsid w:val="00EA6880"/>
    <w:rsid w:val="00EA694C"/>
    <w:rsid w:val="00EA6E6C"/>
    <w:rsid w:val="00EA71A7"/>
    <w:rsid w:val="00EA72A7"/>
    <w:rsid w:val="00EA7652"/>
    <w:rsid w:val="00EA79EB"/>
    <w:rsid w:val="00EA7D6E"/>
    <w:rsid w:val="00EA7E38"/>
    <w:rsid w:val="00EA7F2C"/>
    <w:rsid w:val="00EB0117"/>
    <w:rsid w:val="00EB0714"/>
    <w:rsid w:val="00EB0892"/>
    <w:rsid w:val="00EB0AA8"/>
    <w:rsid w:val="00EB1022"/>
    <w:rsid w:val="00EB1354"/>
    <w:rsid w:val="00EB15B6"/>
    <w:rsid w:val="00EB160E"/>
    <w:rsid w:val="00EB1710"/>
    <w:rsid w:val="00EB17D2"/>
    <w:rsid w:val="00EB18F5"/>
    <w:rsid w:val="00EB1D1A"/>
    <w:rsid w:val="00EB1DDC"/>
    <w:rsid w:val="00EB1DF0"/>
    <w:rsid w:val="00EB1E31"/>
    <w:rsid w:val="00EB1EA0"/>
    <w:rsid w:val="00EB2233"/>
    <w:rsid w:val="00EB24DC"/>
    <w:rsid w:val="00EB28D6"/>
    <w:rsid w:val="00EB28EF"/>
    <w:rsid w:val="00EB28F6"/>
    <w:rsid w:val="00EB2D4F"/>
    <w:rsid w:val="00EB2E34"/>
    <w:rsid w:val="00EB2EFE"/>
    <w:rsid w:val="00EB304B"/>
    <w:rsid w:val="00EB3186"/>
    <w:rsid w:val="00EB33AC"/>
    <w:rsid w:val="00EB3414"/>
    <w:rsid w:val="00EB35D9"/>
    <w:rsid w:val="00EB37AC"/>
    <w:rsid w:val="00EB3883"/>
    <w:rsid w:val="00EB3AFF"/>
    <w:rsid w:val="00EB3B97"/>
    <w:rsid w:val="00EB3F69"/>
    <w:rsid w:val="00EB41DE"/>
    <w:rsid w:val="00EB4265"/>
    <w:rsid w:val="00EB42AF"/>
    <w:rsid w:val="00EB434D"/>
    <w:rsid w:val="00EB44FA"/>
    <w:rsid w:val="00EB48D2"/>
    <w:rsid w:val="00EB4916"/>
    <w:rsid w:val="00EB4A3E"/>
    <w:rsid w:val="00EB53D5"/>
    <w:rsid w:val="00EB561D"/>
    <w:rsid w:val="00EB5645"/>
    <w:rsid w:val="00EB5821"/>
    <w:rsid w:val="00EB5AEF"/>
    <w:rsid w:val="00EB5E25"/>
    <w:rsid w:val="00EB6018"/>
    <w:rsid w:val="00EB636A"/>
    <w:rsid w:val="00EB668C"/>
    <w:rsid w:val="00EB6864"/>
    <w:rsid w:val="00EB6AD8"/>
    <w:rsid w:val="00EB6B04"/>
    <w:rsid w:val="00EB6CC9"/>
    <w:rsid w:val="00EB79B7"/>
    <w:rsid w:val="00EC00C9"/>
    <w:rsid w:val="00EC0695"/>
    <w:rsid w:val="00EC0810"/>
    <w:rsid w:val="00EC08FB"/>
    <w:rsid w:val="00EC097A"/>
    <w:rsid w:val="00EC0F72"/>
    <w:rsid w:val="00EC0FFA"/>
    <w:rsid w:val="00EC142A"/>
    <w:rsid w:val="00EC1970"/>
    <w:rsid w:val="00EC1983"/>
    <w:rsid w:val="00EC19EF"/>
    <w:rsid w:val="00EC1A94"/>
    <w:rsid w:val="00EC1BE2"/>
    <w:rsid w:val="00EC1C90"/>
    <w:rsid w:val="00EC1D28"/>
    <w:rsid w:val="00EC1EC3"/>
    <w:rsid w:val="00EC206E"/>
    <w:rsid w:val="00EC224C"/>
    <w:rsid w:val="00EC2479"/>
    <w:rsid w:val="00EC259C"/>
    <w:rsid w:val="00EC2812"/>
    <w:rsid w:val="00EC2BBF"/>
    <w:rsid w:val="00EC2CEE"/>
    <w:rsid w:val="00EC2DBD"/>
    <w:rsid w:val="00EC2DF9"/>
    <w:rsid w:val="00EC3008"/>
    <w:rsid w:val="00EC332B"/>
    <w:rsid w:val="00EC37D0"/>
    <w:rsid w:val="00EC3AFF"/>
    <w:rsid w:val="00EC3EC1"/>
    <w:rsid w:val="00EC41BE"/>
    <w:rsid w:val="00EC4236"/>
    <w:rsid w:val="00EC4308"/>
    <w:rsid w:val="00EC4431"/>
    <w:rsid w:val="00EC464A"/>
    <w:rsid w:val="00EC492D"/>
    <w:rsid w:val="00EC495A"/>
    <w:rsid w:val="00EC49AF"/>
    <w:rsid w:val="00EC533E"/>
    <w:rsid w:val="00EC566C"/>
    <w:rsid w:val="00EC586E"/>
    <w:rsid w:val="00EC58BD"/>
    <w:rsid w:val="00EC5A10"/>
    <w:rsid w:val="00EC614C"/>
    <w:rsid w:val="00EC619B"/>
    <w:rsid w:val="00EC6282"/>
    <w:rsid w:val="00EC62C8"/>
    <w:rsid w:val="00EC6473"/>
    <w:rsid w:val="00EC64AC"/>
    <w:rsid w:val="00EC6CD0"/>
    <w:rsid w:val="00EC6D6A"/>
    <w:rsid w:val="00EC6F93"/>
    <w:rsid w:val="00EC6FA1"/>
    <w:rsid w:val="00EC704C"/>
    <w:rsid w:val="00EC74D9"/>
    <w:rsid w:val="00EC7C6A"/>
    <w:rsid w:val="00EC7FF5"/>
    <w:rsid w:val="00ED00A2"/>
    <w:rsid w:val="00ED0187"/>
    <w:rsid w:val="00ED019E"/>
    <w:rsid w:val="00ED05E7"/>
    <w:rsid w:val="00ED0751"/>
    <w:rsid w:val="00ED11BB"/>
    <w:rsid w:val="00ED1201"/>
    <w:rsid w:val="00ED1261"/>
    <w:rsid w:val="00ED1543"/>
    <w:rsid w:val="00ED1669"/>
    <w:rsid w:val="00ED193F"/>
    <w:rsid w:val="00ED19D0"/>
    <w:rsid w:val="00ED1A83"/>
    <w:rsid w:val="00ED26AE"/>
    <w:rsid w:val="00ED282B"/>
    <w:rsid w:val="00ED2938"/>
    <w:rsid w:val="00ED2E1C"/>
    <w:rsid w:val="00ED2E70"/>
    <w:rsid w:val="00ED2F70"/>
    <w:rsid w:val="00ED2FF4"/>
    <w:rsid w:val="00ED3276"/>
    <w:rsid w:val="00ED32D8"/>
    <w:rsid w:val="00ED3855"/>
    <w:rsid w:val="00ED38EF"/>
    <w:rsid w:val="00ED38F0"/>
    <w:rsid w:val="00ED3A21"/>
    <w:rsid w:val="00ED3B0B"/>
    <w:rsid w:val="00ED3DBD"/>
    <w:rsid w:val="00ED3FC7"/>
    <w:rsid w:val="00ED410C"/>
    <w:rsid w:val="00ED439C"/>
    <w:rsid w:val="00ED46F3"/>
    <w:rsid w:val="00ED49CC"/>
    <w:rsid w:val="00ED4BEE"/>
    <w:rsid w:val="00ED5027"/>
    <w:rsid w:val="00ED508A"/>
    <w:rsid w:val="00ED5198"/>
    <w:rsid w:val="00ED51B1"/>
    <w:rsid w:val="00ED549E"/>
    <w:rsid w:val="00ED5725"/>
    <w:rsid w:val="00ED5F4F"/>
    <w:rsid w:val="00ED5FFA"/>
    <w:rsid w:val="00ED6729"/>
    <w:rsid w:val="00ED6884"/>
    <w:rsid w:val="00ED6F0F"/>
    <w:rsid w:val="00ED7433"/>
    <w:rsid w:val="00ED74E1"/>
    <w:rsid w:val="00ED75F7"/>
    <w:rsid w:val="00ED7775"/>
    <w:rsid w:val="00ED7927"/>
    <w:rsid w:val="00ED79C5"/>
    <w:rsid w:val="00ED7DD1"/>
    <w:rsid w:val="00ED7FF7"/>
    <w:rsid w:val="00EE00B2"/>
    <w:rsid w:val="00EE032B"/>
    <w:rsid w:val="00EE03A9"/>
    <w:rsid w:val="00EE03EC"/>
    <w:rsid w:val="00EE0560"/>
    <w:rsid w:val="00EE0594"/>
    <w:rsid w:val="00EE06BA"/>
    <w:rsid w:val="00EE07D3"/>
    <w:rsid w:val="00EE0A76"/>
    <w:rsid w:val="00EE0B7E"/>
    <w:rsid w:val="00EE0BF4"/>
    <w:rsid w:val="00EE0C78"/>
    <w:rsid w:val="00EE104C"/>
    <w:rsid w:val="00EE1464"/>
    <w:rsid w:val="00EE1B5E"/>
    <w:rsid w:val="00EE1BFD"/>
    <w:rsid w:val="00EE1DC3"/>
    <w:rsid w:val="00EE1E07"/>
    <w:rsid w:val="00EE1FF4"/>
    <w:rsid w:val="00EE2164"/>
    <w:rsid w:val="00EE2333"/>
    <w:rsid w:val="00EE24F9"/>
    <w:rsid w:val="00EE2820"/>
    <w:rsid w:val="00EE2ABF"/>
    <w:rsid w:val="00EE2CC4"/>
    <w:rsid w:val="00EE2D66"/>
    <w:rsid w:val="00EE2DA2"/>
    <w:rsid w:val="00EE2E3A"/>
    <w:rsid w:val="00EE2F58"/>
    <w:rsid w:val="00EE3072"/>
    <w:rsid w:val="00EE30CE"/>
    <w:rsid w:val="00EE32D9"/>
    <w:rsid w:val="00EE34F4"/>
    <w:rsid w:val="00EE3598"/>
    <w:rsid w:val="00EE362B"/>
    <w:rsid w:val="00EE38F8"/>
    <w:rsid w:val="00EE3C40"/>
    <w:rsid w:val="00EE3CAA"/>
    <w:rsid w:val="00EE3CAE"/>
    <w:rsid w:val="00EE3EDD"/>
    <w:rsid w:val="00EE43AE"/>
    <w:rsid w:val="00EE4454"/>
    <w:rsid w:val="00EE4827"/>
    <w:rsid w:val="00EE4871"/>
    <w:rsid w:val="00EE4C39"/>
    <w:rsid w:val="00EE4C72"/>
    <w:rsid w:val="00EE4D3F"/>
    <w:rsid w:val="00EE5346"/>
    <w:rsid w:val="00EE5469"/>
    <w:rsid w:val="00EE5995"/>
    <w:rsid w:val="00EE5FFA"/>
    <w:rsid w:val="00EE61E2"/>
    <w:rsid w:val="00EE6500"/>
    <w:rsid w:val="00EE66DC"/>
    <w:rsid w:val="00EE6DBD"/>
    <w:rsid w:val="00EE6DF5"/>
    <w:rsid w:val="00EE7041"/>
    <w:rsid w:val="00EE7148"/>
    <w:rsid w:val="00EE716C"/>
    <w:rsid w:val="00EE72BF"/>
    <w:rsid w:val="00EE74F5"/>
    <w:rsid w:val="00EE77F0"/>
    <w:rsid w:val="00EE79BB"/>
    <w:rsid w:val="00EE7AED"/>
    <w:rsid w:val="00EE7ECD"/>
    <w:rsid w:val="00EF02F3"/>
    <w:rsid w:val="00EF0909"/>
    <w:rsid w:val="00EF0B03"/>
    <w:rsid w:val="00EF0DFE"/>
    <w:rsid w:val="00EF0E38"/>
    <w:rsid w:val="00EF1077"/>
    <w:rsid w:val="00EF1338"/>
    <w:rsid w:val="00EF149D"/>
    <w:rsid w:val="00EF15AE"/>
    <w:rsid w:val="00EF15EA"/>
    <w:rsid w:val="00EF15F4"/>
    <w:rsid w:val="00EF1627"/>
    <w:rsid w:val="00EF1904"/>
    <w:rsid w:val="00EF1A40"/>
    <w:rsid w:val="00EF1A76"/>
    <w:rsid w:val="00EF1E2F"/>
    <w:rsid w:val="00EF1EE1"/>
    <w:rsid w:val="00EF221A"/>
    <w:rsid w:val="00EF23FA"/>
    <w:rsid w:val="00EF2478"/>
    <w:rsid w:val="00EF2571"/>
    <w:rsid w:val="00EF2639"/>
    <w:rsid w:val="00EF2667"/>
    <w:rsid w:val="00EF26A7"/>
    <w:rsid w:val="00EF2711"/>
    <w:rsid w:val="00EF2DF4"/>
    <w:rsid w:val="00EF2EA5"/>
    <w:rsid w:val="00EF2F73"/>
    <w:rsid w:val="00EF323C"/>
    <w:rsid w:val="00EF34FC"/>
    <w:rsid w:val="00EF3504"/>
    <w:rsid w:val="00EF35E2"/>
    <w:rsid w:val="00EF3A07"/>
    <w:rsid w:val="00EF3ABE"/>
    <w:rsid w:val="00EF3AD4"/>
    <w:rsid w:val="00EF3EB2"/>
    <w:rsid w:val="00EF4164"/>
    <w:rsid w:val="00EF41AE"/>
    <w:rsid w:val="00EF48D3"/>
    <w:rsid w:val="00EF4A1B"/>
    <w:rsid w:val="00EF4B70"/>
    <w:rsid w:val="00EF4BC2"/>
    <w:rsid w:val="00EF4D14"/>
    <w:rsid w:val="00EF4DC0"/>
    <w:rsid w:val="00EF4E25"/>
    <w:rsid w:val="00EF4E92"/>
    <w:rsid w:val="00EF52F3"/>
    <w:rsid w:val="00EF5629"/>
    <w:rsid w:val="00EF58D3"/>
    <w:rsid w:val="00EF5901"/>
    <w:rsid w:val="00EF59A6"/>
    <w:rsid w:val="00EF5B80"/>
    <w:rsid w:val="00EF5CC9"/>
    <w:rsid w:val="00EF5D56"/>
    <w:rsid w:val="00EF5E9D"/>
    <w:rsid w:val="00EF63F7"/>
    <w:rsid w:val="00EF64A5"/>
    <w:rsid w:val="00EF6595"/>
    <w:rsid w:val="00EF6BB1"/>
    <w:rsid w:val="00EF6BB9"/>
    <w:rsid w:val="00EF71E2"/>
    <w:rsid w:val="00EF740B"/>
    <w:rsid w:val="00EF783F"/>
    <w:rsid w:val="00F001CD"/>
    <w:rsid w:val="00F0075C"/>
    <w:rsid w:val="00F0082F"/>
    <w:rsid w:val="00F00973"/>
    <w:rsid w:val="00F00976"/>
    <w:rsid w:val="00F00BB2"/>
    <w:rsid w:val="00F00C35"/>
    <w:rsid w:val="00F0119D"/>
    <w:rsid w:val="00F012A4"/>
    <w:rsid w:val="00F0138E"/>
    <w:rsid w:val="00F0154E"/>
    <w:rsid w:val="00F015CA"/>
    <w:rsid w:val="00F01760"/>
    <w:rsid w:val="00F01899"/>
    <w:rsid w:val="00F01E0C"/>
    <w:rsid w:val="00F02011"/>
    <w:rsid w:val="00F0205D"/>
    <w:rsid w:val="00F022F4"/>
    <w:rsid w:val="00F026DE"/>
    <w:rsid w:val="00F02EB2"/>
    <w:rsid w:val="00F034DB"/>
    <w:rsid w:val="00F0356B"/>
    <w:rsid w:val="00F036BE"/>
    <w:rsid w:val="00F03B66"/>
    <w:rsid w:val="00F03E79"/>
    <w:rsid w:val="00F03E7C"/>
    <w:rsid w:val="00F03EDD"/>
    <w:rsid w:val="00F04461"/>
    <w:rsid w:val="00F04577"/>
    <w:rsid w:val="00F0461E"/>
    <w:rsid w:val="00F0477E"/>
    <w:rsid w:val="00F04AAC"/>
    <w:rsid w:val="00F04CFB"/>
    <w:rsid w:val="00F04E14"/>
    <w:rsid w:val="00F04ED4"/>
    <w:rsid w:val="00F05303"/>
    <w:rsid w:val="00F05450"/>
    <w:rsid w:val="00F05525"/>
    <w:rsid w:val="00F0588E"/>
    <w:rsid w:val="00F059E7"/>
    <w:rsid w:val="00F06250"/>
    <w:rsid w:val="00F065D5"/>
    <w:rsid w:val="00F06608"/>
    <w:rsid w:val="00F06648"/>
    <w:rsid w:val="00F066CF"/>
    <w:rsid w:val="00F06728"/>
    <w:rsid w:val="00F067A2"/>
    <w:rsid w:val="00F06848"/>
    <w:rsid w:val="00F07040"/>
    <w:rsid w:val="00F07112"/>
    <w:rsid w:val="00F07155"/>
    <w:rsid w:val="00F071DB"/>
    <w:rsid w:val="00F074A4"/>
    <w:rsid w:val="00F07AF0"/>
    <w:rsid w:val="00F07FDE"/>
    <w:rsid w:val="00F10383"/>
    <w:rsid w:val="00F109D1"/>
    <w:rsid w:val="00F11110"/>
    <w:rsid w:val="00F112D4"/>
    <w:rsid w:val="00F113CC"/>
    <w:rsid w:val="00F11513"/>
    <w:rsid w:val="00F116DD"/>
    <w:rsid w:val="00F1196A"/>
    <w:rsid w:val="00F11BBA"/>
    <w:rsid w:val="00F11EC7"/>
    <w:rsid w:val="00F12363"/>
    <w:rsid w:val="00F12376"/>
    <w:rsid w:val="00F12570"/>
    <w:rsid w:val="00F12A2F"/>
    <w:rsid w:val="00F12BA3"/>
    <w:rsid w:val="00F12C6D"/>
    <w:rsid w:val="00F12D22"/>
    <w:rsid w:val="00F12E45"/>
    <w:rsid w:val="00F12E5D"/>
    <w:rsid w:val="00F13181"/>
    <w:rsid w:val="00F133F4"/>
    <w:rsid w:val="00F134B0"/>
    <w:rsid w:val="00F13564"/>
    <w:rsid w:val="00F136B0"/>
    <w:rsid w:val="00F1390C"/>
    <w:rsid w:val="00F149BC"/>
    <w:rsid w:val="00F149BE"/>
    <w:rsid w:val="00F14B50"/>
    <w:rsid w:val="00F14D35"/>
    <w:rsid w:val="00F152E1"/>
    <w:rsid w:val="00F1535C"/>
    <w:rsid w:val="00F15456"/>
    <w:rsid w:val="00F15644"/>
    <w:rsid w:val="00F1569E"/>
    <w:rsid w:val="00F1592B"/>
    <w:rsid w:val="00F15F2C"/>
    <w:rsid w:val="00F1654D"/>
    <w:rsid w:val="00F16712"/>
    <w:rsid w:val="00F167C2"/>
    <w:rsid w:val="00F16B3E"/>
    <w:rsid w:val="00F16CBF"/>
    <w:rsid w:val="00F16E43"/>
    <w:rsid w:val="00F16E64"/>
    <w:rsid w:val="00F170DF"/>
    <w:rsid w:val="00F173CC"/>
    <w:rsid w:val="00F17567"/>
    <w:rsid w:val="00F175E4"/>
    <w:rsid w:val="00F17D60"/>
    <w:rsid w:val="00F17DF8"/>
    <w:rsid w:val="00F17E6D"/>
    <w:rsid w:val="00F201FE"/>
    <w:rsid w:val="00F204FA"/>
    <w:rsid w:val="00F20595"/>
    <w:rsid w:val="00F20692"/>
    <w:rsid w:val="00F20861"/>
    <w:rsid w:val="00F21025"/>
    <w:rsid w:val="00F2149C"/>
    <w:rsid w:val="00F2162C"/>
    <w:rsid w:val="00F2190B"/>
    <w:rsid w:val="00F21C86"/>
    <w:rsid w:val="00F21D74"/>
    <w:rsid w:val="00F21E03"/>
    <w:rsid w:val="00F224A0"/>
    <w:rsid w:val="00F227F7"/>
    <w:rsid w:val="00F229CB"/>
    <w:rsid w:val="00F22AAD"/>
    <w:rsid w:val="00F22F1B"/>
    <w:rsid w:val="00F22FBC"/>
    <w:rsid w:val="00F235B0"/>
    <w:rsid w:val="00F23AB1"/>
    <w:rsid w:val="00F23B83"/>
    <w:rsid w:val="00F23C9C"/>
    <w:rsid w:val="00F2430D"/>
    <w:rsid w:val="00F2474C"/>
    <w:rsid w:val="00F24837"/>
    <w:rsid w:val="00F24A00"/>
    <w:rsid w:val="00F24C0B"/>
    <w:rsid w:val="00F24C48"/>
    <w:rsid w:val="00F24DBD"/>
    <w:rsid w:val="00F25161"/>
    <w:rsid w:val="00F252F4"/>
    <w:rsid w:val="00F2544E"/>
    <w:rsid w:val="00F2575F"/>
    <w:rsid w:val="00F257AF"/>
    <w:rsid w:val="00F257DA"/>
    <w:rsid w:val="00F25DF1"/>
    <w:rsid w:val="00F25EB1"/>
    <w:rsid w:val="00F26775"/>
    <w:rsid w:val="00F26829"/>
    <w:rsid w:val="00F26BF6"/>
    <w:rsid w:val="00F26E09"/>
    <w:rsid w:val="00F2748B"/>
    <w:rsid w:val="00F274BD"/>
    <w:rsid w:val="00F2779E"/>
    <w:rsid w:val="00F27A51"/>
    <w:rsid w:val="00F27A6C"/>
    <w:rsid w:val="00F27EE2"/>
    <w:rsid w:val="00F303C8"/>
    <w:rsid w:val="00F306B3"/>
    <w:rsid w:val="00F3078A"/>
    <w:rsid w:val="00F30A20"/>
    <w:rsid w:val="00F30BAB"/>
    <w:rsid w:val="00F30D9F"/>
    <w:rsid w:val="00F30F02"/>
    <w:rsid w:val="00F313A3"/>
    <w:rsid w:val="00F3147A"/>
    <w:rsid w:val="00F31835"/>
    <w:rsid w:val="00F318F3"/>
    <w:rsid w:val="00F31B66"/>
    <w:rsid w:val="00F31B6A"/>
    <w:rsid w:val="00F32011"/>
    <w:rsid w:val="00F32367"/>
    <w:rsid w:val="00F3238C"/>
    <w:rsid w:val="00F32814"/>
    <w:rsid w:val="00F32857"/>
    <w:rsid w:val="00F32C0C"/>
    <w:rsid w:val="00F32C2F"/>
    <w:rsid w:val="00F32F24"/>
    <w:rsid w:val="00F335E4"/>
    <w:rsid w:val="00F33757"/>
    <w:rsid w:val="00F339EB"/>
    <w:rsid w:val="00F33D7D"/>
    <w:rsid w:val="00F33DE9"/>
    <w:rsid w:val="00F341AC"/>
    <w:rsid w:val="00F342A7"/>
    <w:rsid w:val="00F345F3"/>
    <w:rsid w:val="00F34AFE"/>
    <w:rsid w:val="00F34BA3"/>
    <w:rsid w:val="00F3585A"/>
    <w:rsid w:val="00F35A29"/>
    <w:rsid w:val="00F35B93"/>
    <w:rsid w:val="00F35DD8"/>
    <w:rsid w:val="00F3619A"/>
    <w:rsid w:val="00F36749"/>
    <w:rsid w:val="00F367A6"/>
    <w:rsid w:val="00F36B45"/>
    <w:rsid w:val="00F36E2F"/>
    <w:rsid w:val="00F36E30"/>
    <w:rsid w:val="00F36EF6"/>
    <w:rsid w:val="00F370D3"/>
    <w:rsid w:val="00F37145"/>
    <w:rsid w:val="00F37247"/>
    <w:rsid w:val="00F37681"/>
    <w:rsid w:val="00F376DF"/>
    <w:rsid w:val="00F37904"/>
    <w:rsid w:val="00F37A33"/>
    <w:rsid w:val="00F37BA2"/>
    <w:rsid w:val="00F37DB5"/>
    <w:rsid w:val="00F404EB"/>
    <w:rsid w:val="00F405DA"/>
    <w:rsid w:val="00F4066A"/>
    <w:rsid w:val="00F406FD"/>
    <w:rsid w:val="00F40785"/>
    <w:rsid w:val="00F40DAA"/>
    <w:rsid w:val="00F40DDF"/>
    <w:rsid w:val="00F40FDE"/>
    <w:rsid w:val="00F411D2"/>
    <w:rsid w:val="00F41972"/>
    <w:rsid w:val="00F41D0F"/>
    <w:rsid w:val="00F423BE"/>
    <w:rsid w:val="00F42421"/>
    <w:rsid w:val="00F425BD"/>
    <w:rsid w:val="00F4263F"/>
    <w:rsid w:val="00F42BC0"/>
    <w:rsid w:val="00F43266"/>
    <w:rsid w:val="00F432A2"/>
    <w:rsid w:val="00F43332"/>
    <w:rsid w:val="00F4349D"/>
    <w:rsid w:val="00F434AA"/>
    <w:rsid w:val="00F434DA"/>
    <w:rsid w:val="00F43AC4"/>
    <w:rsid w:val="00F43BAB"/>
    <w:rsid w:val="00F43D38"/>
    <w:rsid w:val="00F43D6A"/>
    <w:rsid w:val="00F44036"/>
    <w:rsid w:val="00F4415E"/>
    <w:rsid w:val="00F444D1"/>
    <w:rsid w:val="00F4480B"/>
    <w:rsid w:val="00F44F37"/>
    <w:rsid w:val="00F4560C"/>
    <w:rsid w:val="00F45832"/>
    <w:rsid w:val="00F4646E"/>
    <w:rsid w:val="00F4691A"/>
    <w:rsid w:val="00F46B56"/>
    <w:rsid w:val="00F46CB6"/>
    <w:rsid w:val="00F47048"/>
    <w:rsid w:val="00F47528"/>
    <w:rsid w:val="00F47696"/>
    <w:rsid w:val="00F47A1E"/>
    <w:rsid w:val="00F47A48"/>
    <w:rsid w:val="00F47EA8"/>
    <w:rsid w:val="00F47F1C"/>
    <w:rsid w:val="00F50025"/>
    <w:rsid w:val="00F5033F"/>
    <w:rsid w:val="00F50485"/>
    <w:rsid w:val="00F50519"/>
    <w:rsid w:val="00F5065E"/>
    <w:rsid w:val="00F509DA"/>
    <w:rsid w:val="00F50FB4"/>
    <w:rsid w:val="00F51147"/>
    <w:rsid w:val="00F5178F"/>
    <w:rsid w:val="00F517B9"/>
    <w:rsid w:val="00F51907"/>
    <w:rsid w:val="00F51E5E"/>
    <w:rsid w:val="00F521C9"/>
    <w:rsid w:val="00F52565"/>
    <w:rsid w:val="00F52695"/>
    <w:rsid w:val="00F5271D"/>
    <w:rsid w:val="00F528AE"/>
    <w:rsid w:val="00F528B9"/>
    <w:rsid w:val="00F52C9F"/>
    <w:rsid w:val="00F533DC"/>
    <w:rsid w:val="00F5340E"/>
    <w:rsid w:val="00F536DB"/>
    <w:rsid w:val="00F53966"/>
    <w:rsid w:val="00F5397C"/>
    <w:rsid w:val="00F53ADB"/>
    <w:rsid w:val="00F53E55"/>
    <w:rsid w:val="00F54207"/>
    <w:rsid w:val="00F547D1"/>
    <w:rsid w:val="00F54831"/>
    <w:rsid w:val="00F54B1F"/>
    <w:rsid w:val="00F54EC0"/>
    <w:rsid w:val="00F55119"/>
    <w:rsid w:val="00F5516B"/>
    <w:rsid w:val="00F552BC"/>
    <w:rsid w:val="00F553F4"/>
    <w:rsid w:val="00F5545A"/>
    <w:rsid w:val="00F558A8"/>
    <w:rsid w:val="00F55B2B"/>
    <w:rsid w:val="00F55E62"/>
    <w:rsid w:val="00F55E73"/>
    <w:rsid w:val="00F56119"/>
    <w:rsid w:val="00F562FC"/>
    <w:rsid w:val="00F569EA"/>
    <w:rsid w:val="00F56F55"/>
    <w:rsid w:val="00F56F5E"/>
    <w:rsid w:val="00F5706B"/>
    <w:rsid w:val="00F5752E"/>
    <w:rsid w:val="00F579D7"/>
    <w:rsid w:val="00F57BC1"/>
    <w:rsid w:val="00F57EA8"/>
    <w:rsid w:val="00F57F77"/>
    <w:rsid w:val="00F60092"/>
    <w:rsid w:val="00F600E0"/>
    <w:rsid w:val="00F60135"/>
    <w:rsid w:val="00F606D2"/>
    <w:rsid w:val="00F6087C"/>
    <w:rsid w:val="00F609DE"/>
    <w:rsid w:val="00F60B04"/>
    <w:rsid w:val="00F60EDA"/>
    <w:rsid w:val="00F612E7"/>
    <w:rsid w:val="00F613F3"/>
    <w:rsid w:val="00F6160B"/>
    <w:rsid w:val="00F61822"/>
    <w:rsid w:val="00F61DD5"/>
    <w:rsid w:val="00F621A1"/>
    <w:rsid w:val="00F622FA"/>
    <w:rsid w:val="00F624D4"/>
    <w:rsid w:val="00F6272F"/>
    <w:rsid w:val="00F62EB5"/>
    <w:rsid w:val="00F62EDB"/>
    <w:rsid w:val="00F63000"/>
    <w:rsid w:val="00F6322E"/>
    <w:rsid w:val="00F63297"/>
    <w:rsid w:val="00F63500"/>
    <w:rsid w:val="00F6375B"/>
    <w:rsid w:val="00F6383C"/>
    <w:rsid w:val="00F639C6"/>
    <w:rsid w:val="00F63B47"/>
    <w:rsid w:val="00F641F8"/>
    <w:rsid w:val="00F6429C"/>
    <w:rsid w:val="00F642E4"/>
    <w:rsid w:val="00F644E5"/>
    <w:rsid w:val="00F647FA"/>
    <w:rsid w:val="00F64915"/>
    <w:rsid w:val="00F64983"/>
    <w:rsid w:val="00F64E8E"/>
    <w:rsid w:val="00F64F00"/>
    <w:rsid w:val="00F652AF"/>
    <w:rsid w:val="00F654A6"/>
    <w:rsid w:val="00F654B6"/>
    <w:rsid w:val="00F655DE"/>
    <w:rsid w:val="00F656ED"/>
    <w:rsid w:val="00F660CE"/>
    <w:rsid w:val="00F6629B"/>
    <w:rsid w:val="00F665AE"/>
    <w:rsid w:val="00F66632"/>
    <w:rsid w:val="00F6684A"/>
    <w:rsid w:val="00F669FB"/>
    <w:rsid w:val="00F67046"/>
    <w:rsid w:val="00F67A8A"/>
    <w:rsid w:val="00F67B8C"/>
    <w:rsid w:val="00F70017"/>
    <w:rsid w:val="00F70451"/>
    <w:rsid w:val="00F704C4"/>
    <w:rsid w:val="00F709D9"/>
    <w:rsid w:val="00F70CCC"/>
    <w:rsid w:val="00F710F3"/>
    <w:rsid w:val="00F717A5"/>
    <w:rsid w:val="00F7190A"/>
    <w:rsid w:val="00F71AEE"/>
    <w:rsid w:val="00F71BDA"/>
    <w:rsid w:val="00F71CFD"/>
    <w:rsid w:val="00F71DB9"/>
    <w:rsid w:val="00F71E2D"/>
    <w:rsid w:val="00F71E66"/>
    <w:rsid w:val="00F720A5"/>
    <w:rsid w:val="00F7227E"/>
    <w:rsid w:val="00F7232F"/>
    <w:rsid w:val="00F723D2"/>
    <w:rsid w:val="00F7270C"/>
    <w:rsid w:val="00F727D6"/>
    <w:rsid w:val="00F72A58"/>
    <w:rsid w:val="00F72A93"/>
    <w:rsid w:val="00F72CF8"/>
    <w:rsid w:val="00F72DF8"/>
    <w:rsid w:val="00F72E53"/>
    <w:rsid w:val="00F72F1D"/>
    <w:rsid w:val="00F730A3"/>
    <w:rsid w:val="00F7346A"/>
    <w:rsid w:val="00F734CD"/>
    <w:rsid w:val="00F743DA"/>
    <w:rsid w:val="00F74ADD"/>
    <w:rsid w:val="00F74BF5"/>
    <w:rsid w:val="00F74C04"/>
    <w:rsid w:val="00F74D1A"/>
    <w:rsid w:val="00F74D27"/>
    <w:rsid w:val="00F74D7D"/>
    <w:rsid w:val="00F7513B"/>
    <w:rsid w:val="00F75661"/>
    <w:rsid w:val="00F75825"/>
    <w:rsid w:val="00F7593F"/>
    <w:rsid w:val="00F759B0"/>
    <w:rsid w:val="00F75FD3"/>
    <w:rsid w:val="00F75FF9"/>
    <w:rsid w:val="00F761DA"/>
    <w:rsid w:val="00F762C5"/>
    <w:rsid w:val="00F763FC"/>
    <w:rsid w:val="00F76A94"/>
    <w:rsid w:val="00F76C4D"/>
    <w:rsid w:val="00F76C87"/>
    <w:rsid w:val="00F76ED0"/>
    <w:rsid w:val="00F76FBD"/>
    <w:rsid w:val="00F7703E"/>
    <w:rsid w:val="00F77121"/>
    <w:rsid w:val="00F771F1"/>
    <w:rsid w:val="00F773EF"/>
    <w:rsid w:val="00F77492"/>
    <w:rsid w:val="00F774D9"/>
    <w:rsid w:val="00F774F7"/>
    <w:rsid w:val="00F77636"/>
    <w:rsid w:val="00F77674"/>
    <w:rsid w:val="00F776EA"/>
    <w:rsid w:val="00F77866"/>
    <w:rsid w:val="00F778F1"/>
    <w:rsid w:val="00F77B06"/>
    <w:rsid w:val="00F77B6D"/>
    <w:rsid w:val="00F77D4D"/>
    <w:rsid w:val="00F77E92"/>
    <w:rsid w:val="00F80995"/>
    <w:rsid w:val="00F80D94"/>
    <w:rsid w:val="00F80E5D"/>
    <w:rsid w:val="00F811E2"/>
    <w:rsid w:val="00F813F1"/>
    <w:rsid w:val="00F8140D"/>
    <w:rsid w:val="00F814E3"/>
    <w:rsid w:val="00F81565"/>
    <w:rsid w:val="00F81638"/>
    <w:rsid w:val="00F81B33"/>
    <w:rsid w:val="00F8224C"/>
    <w:rsid w:val="00F822B3"/>
    <w:rsid w:val="00F82356"/>
    <w:rsid w:val="00F82561"/>
    <w:rsid w:val="00F828CC"/>
    <w:rsid w:val="00F829F1"/>
    <w:rsid w:val="00F82BEC"/>
    <w:rsid w:val="00F82E53"/>
    <w:rsid w:val="00F830D8"/>
    <w:rsid w:val="00F833F8"/>
    <w:rsid w:val="00F83443"/>
    <w:rsid w:val="00F83670"/>
    <w:rsid w:val="00F83B2C"/>
    <w:rsid w:val="00F83C1E"/>
    <w:rsid w:val="00F83C95"/>
    <w:rsid w:val="00F83D54"/>
    <w:rsid w:val="00F83FAB"/>
    <w:rsid w:val="00F84339"/>
    <w:rsid w:val="00F84380"/>
    <w:rsid w:val="00F844F4"/>
    <w:rsid w:val="00F848A9"/>
    <w:rsid w:val="00F848E2"/>
    <w:rsid w:val="00F8499F"/>
    <w:rsid w:val="00F84B03"/>
    <w:rsid w:val="00F84B49"/>
    <w:rsid w:val="00F84BEE"/>
    <w:rsid w:val="00F84F06"/>
    <w:rsid w:val="00F84F20"/>
    <w:rsid w:val="00F84F8B"/>
    <w:rsid w:val="00F8503D"/>
    <w:rsid w:val="00F851CE"/>
    <w:rsid w:val="00F85581"/>
    <w:rsid w:val="00F855DA"/>
    <w:rsid w:val="00F855F5"/>
    <w:rsid w:val="00F85857"/>
    <w:rsid w:val="00F85BF0"/>
    <w:rsid w:val="00F85D7C"/>
    <w:rsid w:val="00F86318"/>
    <w:rsid w:val="00F866DA"/>
    <w:rsid w:val="00F86927"/>
    <w:rsid w:val="00F86D54"/>
    <w:rsid w:val="00F86D74"/>
    <w:rsid w:val="00F870C0"/>
    <w:rsid w:val="00F87BD2"/>
    <w:rsid w:val="00F87ED6"/>
    <w:rsid w:val="00F87EE7"/>
    <w:rsid w:val="00F87F50"/>
    <w:rsid w:val="00F90395"/>
    <w:rsid w:val="00F90525"/>
    <w:rsid w:val="00F90587"/>
    <w:rsid w:val="00F908BF"/>
    <w:rsid w:val="00F908F0"/>
    <w:rsid w:val="00F90926"/>
    <w:rsid w:val="00F90B6E"/>
    <w:rsid w:val="00F90B94"/>
    <w:rsid w:val="00F91048"/>
    <w:rsid w:val="00F9122A"/>
    <w:rsid w:val="00F9126C"/>
    <w:rsid w:val="00F91767"/>
    <w:rsid w:val="00F92112"/>
    <w:rsid w:val="00F922CB"/>
    <w:rsid w:val="00F923F8"/>
    <w:rsid w:val="00F92A20"/>
    <w:rsid w:val="00F92ADC"/>
    <w:rsid w:val="00F92BA6"/>
    <w:rsid w:val="00F92D43"/>
    <w:rsid w:val="00F932C9"/>
    <w:rsid w:val="00F93324"/>
    <w:rsid w:val="00F933D5"/>
    <w:rsid w:val="00F93526"/>
    <w:rsid w:val="00F9359A"/>
    <w:rsid w:val="00F93C5C"/>
    <w:rsid w:val="00F93C60"/>
    <w:rsid w:val="00F9407E"/>
    <w:rsid w:val="00F940EC"/>
    <w:rsid w:val="00F9410B"/>
    <w:rsid w:val="00F9434C"/>
    <w:rsid w:val="00F9438A"/>
    <w:rsid w:val="00F943D9"/>
    <w:rsid w:val="00F94779"/>
    <w:rsid w:val="00F94A9E"/>
    <w:rsid w:val="00F94BBE"/>
    <w:rsid w:val="00F94CDD"/>
    <w:rsid w:val="00F94DC8"/>
    <w:rsid w:val="00F95301"/>
    <w:rsid w:val="00F95699"/>
    <w:rsid w:val="00F959C0"/>
    <w:rsid w:val="00F959CF"/>
    <w:rsid w:val="00F95C7B"/>
    <w:rsid w:val="00F95DDA"/>
    <w:rsid w:val="00F95EDB"/>
    <w:rsid w:val="00F96017"/>
    <w:rsid w:val="00F9613A"/>
    <w:rsid w:val="00F96C22"/>
    <w:rsid w:val="00F96D3B"/>
    <w:rsid w:val="00F96F0A"/>
    <w:rsid w:val="00F97008"/>
    <w:rsid w:val="00F9719A"/>
    <w:rsid w:val="00F977FC"/>
    <w:rsid w:val="00F97A78"/>
    <w:rsid w:val="00F97BF8"/>
    <w:rsid w:val="00F97D64"/>
    <w:rsid w:val="00F97E15"/>
    <w:rsid w:val="00FA0141"/>
    <w:rsid w:val="00FA03E0"/>
    <w:rsid w:val="00FA070A"/>
    <w:rsid w:val="00FA076A"/>
    <w:rsid w:val="00FA08FC"/>
    <w:rsid w:val="00FA0B47"/>
    <w:rsid w:val="00FA0C5B"/>
    <w:rsid w:val="00FA0C66"/>
    <w:rsid w:val="00FA0ECE"/>
    <w:rsid w:val="00FA12C9"/>
    <w:rsid w:val="00FA1BDD"/>
    <w:rsid w:val="00FA1DDD"/>
    <w:rsid w:val="00FA24E7"/>
    <w:rsid w:val="00FA271E"/>
    <w:rsid w:val="00FA276F"/>
    <w:rsid w:val="00FA27DB"/>
    <w:rsid w:val="00FA28B8"/>
    <w:rsid w:val="00FA2E85"/>
    <w:rsid w:val="00FA2FA2"/>
    <w:rsid w:val="00FA309B"/>
    <w:rsid w:val="00FA3913"/>
    <w:rsid w:val="00FA3AB4"/>
    <w:rsid w:val="00FA4008"/>
    <w:rsid w:val="00FA433D"/>
    <w:rsid w:val="00FA48F1"/>
    <w:rsid w:val="00FA4A42"/>
    <w:rsid w:val="00FA4A43"/>
    <w:rsid w:val="00FA4B3B"/>
    <w:rsid w:val="00FA5067"/>
    <w:rsid w:val="00FA5101"/>
    <w:rsid w:val="00FA51D8"/>
    <w:rsid w:val="00FA5311"/>
    <w:rsid w:val="00FA544D"/>
    <w:rsid w:val="00FA55A8"/>
    <w:rsid w:val="00FA59DF"/>
    <w:rsid w:val="00FA5A54"/>
    <w:rsid w:val="00FA5B13"/>
    <w:rsid w:val="00FA5DE1"/>
    <w:rsid w:val="00FA5E79"/>
    <w:rsid w:val="00FA633D"/>
    <w:rsid w:val="00FA634F"/>
    <w:rsid w:val="00FA64D8"/>
    <w:rsid w:val="00FA679C"/>
    <w:rsid w:val="00FA6914"/>
    <w:rsid w:val="00FA6BF8"/>
    <w:rsid w:val="00FA6D27"/>
    <w:rsid w:val="00FA706B"/>
    <w:rsid w:val="00FA70EA"/>
    <w:rsid w:val="00FA7BB4"/>
    <w:rsid w:val="00FA7FAD"/>
    <w:rsid w:val="00FB010B"/>
    <w:rsid w:val="00FB012F"/>
    <w:rsid w:val="00FB0777"/>
    <w:rsid w:val="00FB07B4"/>
    <w:rsid w:val="00FB0E5E"/>
    <w:rsid w:val="00FB10B8"/>
    <w:rsid w:val="00FB1224"/>
    <w:rsid w:val="00FB12A7"/>
    <w:rsid w:val="00FB12C7"/>
    <w:rsid w:val="00FB1632"/>
    <w:rsid w:val="00FB169F"/>
    <w:rsid w:val="00FB178C"/>
    <w:rsid w:val="00FB1ADD"/>
    <w:rsid w:val="00FB1BFA"/>
    <w:rsid w:val="00FB2222"/>
    <w:rsid w:val="00FB2360"/>
    <w:rsid w:val="00FB23BB"/>
    <w:rsid w:val="00FB2489"/>
    <w:rsid w:val="00FB2569"/>
    <w:rsid w:val="00FB2865"/>
    <w:rsid w:val="00FB28A4"/>
    <w:rsid w:val="00FB28F3"/>
    <w:rsid w:val="00FB2932"/>
    <w:rsid w:val="00FB2ABC"/>
    <w:rsid w:val="00FB2F6F"/>
    <w:rsid w:val="00FB2FCB"/>
    <w:rsid w:val="00FB304D"/>
    <w:rsid w:val="00FB3311"/>
    <w:rsid w:val="00FB37A4"/>
    <w:rsid w:val="00FB3991"/>
    <w:rsid w:val="00FB3AD6"/>
    <w:rsid w:val="00FB3B60"/>
    <w:rsid w:val="00FB3D2B"/>
    <w:rsid w:val="00FB40B7"/>
    <w:rsid w:val="00FB4348"/>
    <w:rsid w:val="00FB4689"/>
    <w:rsid w:val="00FB46A2"/>
    <w:rsid w:val="00FB4EC6"/>
    <w:rsid w:val="00FB533C"/>
    <w:rsid w:val="00FB56A1"/>
    <w:rsid w:val="00FB56BD"/>
    <w:rsid w:val="00FB5736"/>
    <w:rsid w:val="00FB5B55"/>
    <w:rsid w:val="00FB5C7A"/>
    <w:rsid w:val="00FB5D19"/>
    <w:rsid w:val="00FB5E52"/>
    <w:rsid w:val="00FB5EA0"/>
    <w:rsid w:val="00FB60E2"/>
    <w:rsid w:val="00FB6146"/>
    <w:rsid w:val="00FB6296"/>
    <w:rsid w:val="00FB62F8"/>
    <w:rsid w:val="00FB64E2"/>
    <w:rsid w:val="00FB6610"/>
    <w:rsid w:val="00FB66CE"/>
    <w:rsid w:val="00FB67BE"/>
    <w:rsid w:val="00FB6B1B"/>
    <w:rsid w:val="00FB6B92"/>
    <w:rsid w:val="00FB6C12"/>
    <w:rsid w:val="00FB729F"/>
    <w:rsid w:val="00FB750C"/>
    <w:rsid w:val="00FB757E"/>
    <w:rsid w:val="00FB78EB"/>
    <w:rsid w:val="00FB7986"/>
    <w:rsid w:val="00FB7D93"/>
    <w:rsid w:val="00FC0549"/>
    <w:rsid w:val="00FC07AB"/>
    <w:rsid w:val="00FC0949"/>
    <w:rsid w:val="00FC0B75"/>
    <w:rsid w:val="00FC0BBD"/>
    <w:rsid w:val="00FC0BDF"/>
    <w:rsid w:val="00FC0F44"/>
    <w:rsid w:val="00FC1074"/>
    <w:rsid w:val="00FC11D4"/>
    <w:rsid w:val="00FC11F6"/>
    <w:rsid w:val="00FC12B7"/>
    <w:rsid w:val="00FC1338"/>
    <w:rsid w:val="00FC1884"/>
    <w:rsid w:val="00FC1AFF"/>
    <w:rsid w:val="00FC1D11"/>
    <w:rsid w:val="00FC1DA6"/>
    <w:rsid w:val="00FC1E6C"/>
    <w:rsid w:val="00FC1EA2"/>
    <w:rsid w:val="00FC22C7"/>
    <w:rsid w:val="00FC22E5"/>
    <w:rsid w:val="00FC234E"/>
    <w:rsid w:val="00FC2606"/>
    <w:rsid w:val="00FC26C0"/>
    <w:rsid w:val="00FC277F"/>
    <w:rsid w:val="00FC2A60"/>
    <w:rsid w:val="00FC2A61"/>
    <w:rsid w:val="00FC2D67"/>
    <w:rsid w:val="00FC2F29"/>
    <w:rsid w:val="00FC2F39"/>
    <w:rsid w:val="00FC3155"/>
    <w:rsid w:val="00FC32AC"/>
    <w:rsid w:val="00FC34E5"/>
    <w:rsid w:val="00FC3674"/>
    <w:rsid w:val="00FC382F"/>
    <w:rsid w:val="00FC3AAC"/>
    <w:rsid w:val="00FC3AFD"/>
    <w:rsid w:val="00FC3D4B"/>
    <w:rsid w:val="00FC3E7F"/>
    <w:rsid w:val="00FC3EE4"/>
    <w:rsid w:val="00FC3F5A"/>
    <w:rsid w:val="00FC40B5"/>
    <w:rsid w:val="00FC4457"/>
    <w:rsid w:val="00FC47F7"/>
    <w:rsid w:val="00FC4820"/>
    <w:rsid w:val="00FC4950"/>
    <w:rsid w:val="00FC49BC"/>
    <w:rsid w:val="00FC4ECE"/>
    <w:rsid w:val="00FC517D"/>
    <w:rsid w:val="00FC51A1"/>
    <w:rsid w:val="00FC51BC"/>
    <w:rsid w:val="00FC54C6"/>
    <w:rsid w:val="00FC55AD"/>
    <w:rsid w:val="00FC5760"/>
    <w:rsid w:val="00FC59F7"/>
    <w:rsid w:val="00FC5B35"/>
    <w:rsid w:val="00FC5EE8"/>
    <w:rsid w:val="00FC5EF2"/>
    <w:rsid w:val="00FC6092"/>
    <w:rsid w:val="00FC61DD"/>
    <w:rsid w:val="00FC6422"/>
    <w:rsid w:val="00FC681D"/>
    <w:rsid w:val="00FC6AD8"/>
    <w:rsid w:val="00FC6C11"/>
    <w:rsid w:val="00FC6CE7"/>
    <w:rsid w:val="00FC6E91"/>
    <w:rsid w:val="00FC6F48"/>
    <w:rsid w:val="00FC725D"/>
    <w:rsid w:val="00FC7272"/>
    <w:rsid w:val="00FC74A9"/>
    <w:rsid w:val="00FC763E"/>
    <w:rsid w:val="00FC7885"/>
    <w:rsid w:val="00FC7955"/>
    <w:rsid w:val="00FC7B75"/>
    <w:rsid w:val="00FC7B87"/>
    <w:rsid w:val="00FC7C39"/>
    <w:rsid w:val="00FC7E18"/>
    <w:rsid w:val="00FC7E7F"/>
    <w:rsid w:val="00FD00AD"/>
    <w:rsid w:val="00FD033C"/>
    <w:rsid w:val="00FD03FA"/>
    <w:rsid w:val="00FD066B"/>
    <w:rsid w:val="00FD08CC"/>
    <w:rsid w:val="00FD0B66"/>
    <w:rsid w:val="00FD0D9A"/>
    <w:rsid w:val="00FD11BB"/>
    <w:rsid w:val="00FD1331"/>
    <w:rsid w:val="00FD1577"/>
    <w:rsid w:val="00FD175D"/>
    <w:rsid w:val="00FD1F5F"/>
    <w:rsid w:val="00FD2100"/>
    <w:rsid w:val="00FD225D"/>
    <w:rsid w:val="00FD228E"/>
    <w:rsid w:val="00FD2474"/>
    <w:rsid w:val="00FD2498"/>
    <w:rsid w:val="00FD2526"/>
    <w:rsid w:val="00FD255F"/>
    <w:rsid w:val="00FD284A"/>
    <w:rsid w:val="00FD2869"/>
    <w:rsid w:val="00FD2EC8"/>
    <w:rsid w:val="00FD32A6"/>
    <w:rsid w:val="00FD33B7"/>
    <w:rsid w:val="00FD3729"/>
    <w:rsid w:val="00FD374A"/>
    <w:rsid w:val="00FD38BD"/>
    <w:rsid w:val="00FD39E0"/>
    <w:rsid w:val="00FD3B47"/>
    <w:rsid w:val="00FD3BE4"/>
    <w:rsid w:val="00FD3D8F"/>
    <w:rsid w:val="00FD3DF2"/>
    <w:rsid w:val="00FD3F07"/>
    <w:rsid w:val="00FD405C"/>
    <w:rsid w:val="00FD429B"/>
    <w:rsid w:val="00FD446D"/>
    <w:rsid w:val="00FD4CF1"/>
    <w:rsid w:val="00FD5164"/>
    <w:rsid w:val="00FD549A"/>
    <w:rsid w:val="00FD57D5"/>
    <w:rsid w:val="00FD5819"/>
    <w:rsid w:val="00FD5892"/>
    <w:rsid w:val="00FD5A12"/>
    <w:rsid w:val="00FD5AE9"/>
    <w:rsid w:val="00FD5F72"/>
    <w:rsid w:val="00FD5F7F"/>
    <w:rsid w:val="00FD5FE5"/>
    <w:rsid w:val="00FD6790"/>
    <w:rsid w:val="00FD6A18"/>
    <w:rsid w:val="00FD6AF9"/>
    <w:rsid w:val="00FD6D3A"/>
    <w:rsid w:val="00FD6D6D"/>
    <w:rsid w:val="00FD6E17"/>
    <w:rsid w:val="00FD6F6A"/>
    <w:rsid w:val="00FD6FB3"/>
    <w:rsid w:val="00FD72D8"/>
    <w:rsid w:val="00FD7451"/>
    <w:rsid w:val="00FD759A"/>
    <w:rsid w:val="00FD7647"/>
    <w:rsid w:val="00FD77B9"/>
    <w:rsid w:val="00FD793E"/>
    <w:rsid w:val="00FD79A2"/>
    <w:rsid w:val="00FD7EDF"/>
    <w:rsid w:val="00FE01DA"/>
    <w:rsid w:val="00FE04A4"/>
    <w:rsid w:val="00FE1469"/>
    <w:rsid w:val="00FE1473"/>
    <w:rsid w:val="00FE15C3"/>
    <w:rsid w:val="00FE164F"/>
    <w:rsid w:val="00FE1685"/>
    <w:rsid w:val="00FE16A3"/>
    <w:rsid w:val="00FE18D0"/>
    <w:rsid w:val="00FE1B7A"/>
    <w:rsid w:val="00FE1F02"/>
    <w:rsid w:val="00FE21AF"/>
    <w:rsid w:val="00FE2264"/>
    <w:rsid w:val="00FE22C3"/>
    <w:rsid w:val="00FE23A3"/>
    <w:rsid w:val="00FE274C"/>
    <w:rsid w:val="00FE2D32"/>
    <w:rsid w:val="00FE2D7A"/>
    <w:rsid w:val="00FE2FB5"/>
    <w:rsid w:val="00FE34BC"/>
    <w:rsid w:val="00FE3637"/>
    <w:rsid w:val="00FE3B30"/>
    <w:rsid w:val="00FE3B40"/>
    <w:rsid w:val="00FE3ECE"/>
    <w:rsid w:val="00FE3F9F"/>
    <w:rsid w:val="00FE415E"/>
    <w:rsid w:val="00FE4A50"/>
    <w:rsid w:val="00FE4D67"/>
    <w:rsid w:val="00FE5333"/>
    <w:rsid w:val="00FE542A"/>
    <w:rsid w:val="00FE5833"/>
    <w:rsid w:val="00FE5A0F"/>
    <w:rsid w:val="00FE5A22"/>
    <w:rsid w:val="00FE5A90"/>
    <w:rsid w:val="00FE5B4F"/>
    <w:rsid w:val="00FE5BFC"/>
    <w:rsid w:val="00FE60C5"/>
    <w:rsid w:val="00FE60CA"/>
    <w:rsid w:val="00FE6140"/>
    <w:rsid w:val="00FE6259"/>
    <w:rsid w:val="00FE6604"/>
    <w:rsid w:val="00FE681C"/>
    <w:rsid w:val="00FE6C25"/>
    <w:rsid w:val="00FE6C97"/>
    <w:rsid w:val="00FE6CE3"/>
    <w:rsid w:val="00FE7104"/>
    <w:rsid w:val="00FE718A"/>
    <w:rsid w:val="00FE7CBF"/>
    <w:rsid w:val="00FE7F0E"/>
    <w:rsid w:val="00FE7F32"/>
    <w:rsid w:val="00FF003D"/>
    <w:rsid w:val="00FF0096"/>
    <w:rsid w:val="00FF04BD"/>
    <w:rsid w:val="00FF04F0"/>
    <w:rsid w:val="00FF06AF"/>
    <w:rsid w:val="00FF06B1"/>
    <w:rsid w:val="00FF08DF"/>
    <w:rsid w:val="00FF0FBB"/>
    <w:rsid w:val="00FF1180"/>
    <w:rsid w:val="00FF11BD"/>
    <w:rsid w:val="00FF11EC"/>
    <w:rsid w:val="00FF13B3"/>
    <w:rsid w:val="00FF14AF"/>
    <w:rsid w:val="00FF14EB"/>
    <w:rsid w:val="00FF155F"/>
    <w:rsid w:val="00FF18D4"/>
    <w:rsid w:val="00FF1B40"/>
    <w:rsid w:val="00FF2608"/>
    <w:rsid w:val="00FF2653"/>
    <w:rsid w:val="00FF26B8"/>
    <w:rsid w:val="00FF26F0"/>
    <w:rsid w:val="00FF2BE8"/>
    <w:rsid w:val="00FF2E38"/>
    <w:rsid w:val="00FF323F"/>
    <w:rsid w:val="00FF36BB"/>
    <w:rsid w:val="00FF370E"/>
    <w:rsid w:val="00FF382E"/>
    <w:rsid w:val="00FF3886"/>
    <w:rsid w:val="00FF3DCF"/>
    <w:rsid w:val="00FF412B"/>
    <w:rsid w:val="00FF42BB"/>
    <w:rsid w:val="00FF4752"/>
    <w:rsid w:val="00FF4AA5"/>
    <w:rsid w:val="00FF4B93"/>
    <w:rsid w:val="00FF4D06"/>
    <w:rsid w:val="00FF4FD8"/>
    <w:rsid w:val="00FF510D"/>
    <w:rsid w:val="00FF53E6"/>
    <w:rsid w:val="00FF54CA"/>
    <w:rsid w:val="00FF5606"/>
    <w:rsid w:val="00FF572D"/>
    <w:rsid w:val="00FF5AA3"/>
    <w:rsid w:val="00FF5EEC"/>
    <w:rsid w:val="00FF60BB"/>
    <w:rsid w:val="00FF643F"/>
    <w:rsid w:val="00FF6470"/>
    <w:rsid w:val="00FF696F"/>
    <w:rsid w:val="00FF6A01"/>
    <w:rsid w:val="00FF6BF8"/>
    <w:rsid w:val="00FF6C41"/>
    <w:rsid w:val="00FF7422"/>
    <w:rsid w:val="00FF742C"/>
    <w:rsid w:val="00FF750F"/>
    <w:rsid w:val="00FF75A0"/>
    <w:rsid w:val="00FF77E3"/>
    <w:rsid w:val="00FF78C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A147D7"/>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6F5B1B"/>
    <w:pPr>
      <w:keepNext/>
      <w:outlineLvl w:val="3"/>
    </w:pPr>
    <w:rPr>
      <w:b/>
      <w:bCs/>
      <w:smallCaps/>
      <w:szCs w:val="22"/>
    </w:rPr>
  </w:style>
  <w:style w:type="paragraph" w:styleId="Heading5">
    <w:name w:val="heading 5"/>
    <w:basedOn w:val="Normal"/>
    <w:next w:val="Normal"/>
    <w:rsid w:val="00B163D2"/>
    <w:pPr>
      <w:outlineLvl w:val="4"/>
    </w:pPr>
    <w:rPr>
      <w:b/>
      <w:bCs/>
      <w:iCs/>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Table Gridbeth,Summary box,CMA Table Templat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9038AB"/>
    <w:pPr>
      <w:numPr>
        <w:numId w:val="2"/>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rsid w:val="004B0D5B"/>
    <w:rPr>
      <w:rFonts w:ascii="Arial Bold" w:hAnsi="Arial Bold" w:cs="Arial"/>
      <w:b/>
      <w:caps/>
      <w:snapToGrid w:val="0"/>
      <w:sz w:val="22"/>
      <w:lang w:eastAsia="en-US"/>
    </w:rPr>
  </w:style>
  <w:style w:type="character" w:customStyle="1" w:styleId="ListParagraphChar">
    <w:name w:val="List Paragraph Char"/>
    <w:aliases w:val="BulletPoints Char"/>
    <w:basedOn w:val="DefaultParagraphFont"/>
    <w:link w:val="ListParagraph"/>
    <w:uiPriority w:val="34"/>
    <w:locked/>
    <w:rsid w:val="004B0D5B"/>
    <w:rPr>
      <w:rFonts w:ascii="Arial" w:hAnsi="Arial" w:cs="Arial"/>
      <w:snapToGrid w:val="0"/>
      <w:sz w:val="22"/>
      <w:lang w:eastAsia="en-US"/>
    </w:rPr>
  </w:style>
  <w:style w:type="character" w:customStyle="1" w:styleId="TableFooterChar">
    <w:name w:val="Table Footer Char"/>
    <w:link w:val="TableFooter"/>
    <w:uiPriority w:val="4"/>
    <w:rsid w:val="004D52B8"/>
    <w:rPr>
      <w:rFonts w:ascii="Arial Narrow" w:hAnsi="Arial Narrow" w:cs="Arial"/>
      <w:snapToGrid w:val="0"/>
      <w:sz w:val="18"/>
      <w:lang w:eastAsia="en-US"/>
    </w:rPr>
  </w:style>
  <w:style w:type="table" w:customStyle="1" w:styleId="TableGrid3">
    <w:name w:val="Table Grid3"/>
    <w:basedOn w:val="TableNormal"/>
    <w:next w:val="TableGrid"/>
    <w:uiPriority w:val="59"/>
    <w:rsid w:val="00A17AD2"/>
    <w:rPr>
      <w:rFonts w:ascii="Cambria" w:eastAsia="MS Gothic"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ntre">
    <w:name w:val="Table Centre"/>
    <w:basedOn w:val="Normal"/>
    <w:qFormat/>
    <w:rsid w:val="004E7124"/>
    <w:pPr>
      <w:widowControl/>
      <w:tabs>
        <w:tab w:val="left" w:pos="653"/>
      </w:tabs>
      <w:jc w:val="center"/>
    </w:pPr>
    <w:rPr>
      <w:rFonts w:ascii="Times New Roman" w:hAnsi="Times New Roman" w:cs="Times New Roman"/>
      <w:snapToGrid/>
      <w:sz w:val="20"/>
      <w:szCs w:val="22"/>
      <w:lang w:bidi="en-US"/>
    </w:rPr>
  </w:style>
  <w:style w:type="paragraph" w:styleId="FootnoteText">
    <w:name w:val="footnote text"/>
    <w:basedOn w:val="Normal"/>
    <w:link w:val="FootnoteTextChar"/>
    <w:semiHidden/>
    <w:unhideWhenUsed/>
    <w:rsid w:val="00702844"/>
    <w:rPr>
      <w:sz w:val="20"/>
    </w:rPr>
  </w:style>
  <w:style w:type="character" w:customStyle="1" w:styleId="FootnoteTextChar">
    <w:name w:val="Footnote Text Char"/>
    <w:basedOn w:val="DefaultParagraphFont"/>
    <w:link w:val="FootnoteText"/>
    <w:semiHidden/>
    <w:rsid w:val="00702844"/>
    <w:rPr>
      <w:rFonts w:ascii="Arial" w:hAnsi="Arial" w:cs="Arial"/>
      <w:snapToGrid w:val="0"/>
      <w:lang w:eastAsia="en-US"/>
    </w:rPr>
  </w:style>
  <w:style w:type="character" w:styleId="FootnoteReference">
    <w:name w:val="footnote reference"/>
    <w:basedOn w:val="DefaultParagraphFont"/>
    <w:semiHidden/>
    <w:unhideWhenUsed/>
    <w:rsid w:val="00702844"/>
    <w:rPr>
      <w:vertAlign w:val="superscript"/>
    </w:rPr>
  </w:style>
  <w:style w:type="character" w:customStyle="1" w:styleId="SmallBold">
    <w:name w:val="Small Bold"/>
    <w:basedOn w:val="DefaultParagraphFont"/>
    <w:uiPriority w:val="4"/>
    <w:qFormat/>
    <w:rsid w:val="00432A8D"/>
    <w:rPr>
      <w:rFonts w:ascii="Candara" w:hAnsi="Candara"/>
      <w:b/>
      <w:sz w:val="20"/>
      <w:lang w:val="en-AU"/>
    </w:rPr>
  </w:style>
  <w:style w:type="character" w:styleId="FollowedHyperlink">
    <w:name w:val="FollowedHyperlink"/>
    <w:basedOn w:val="DefaultParagraphFont"/>
    <w:semiHidden/>
    <w:unhideWhenUsed/>
    <w:rsid w:val="008C50CC"/>
    <w:rPr>
      <w:color w:val="800080" w:themeColor="followedHyperlink"/>
      <w:u w:val="single"/>
    </w:rPr>
  </w:style>
  <w:style w:type="character" w:styleId="Emphasis">
    <w:name w:val="Emphasis"/>
    <w:basedOn w:val="DefaultParagraphFont"/>
    <w:uiPriority w:val="20"/>
    <w:qFormat/>
    <w:rsid w:val="00125F89"/>
    <w:rPr>
      <w:b/>
      <w:bCs/>
      <w:i w:val="0"/>
      <w:iCs w:val="0"/>
    </w:rPr>
  </w:style>
  <w:style w:type="character" w:customStyle="1" w:styleId="st1">
    <w:name w:val="st1"/>
    <w:basedOn w:val="DefaultParagraphFont"/>
    <w:rsid w:val="00125F89"/>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064580"/>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0C5F96"/>
    <w:pPr>
      <w:ind w:left="720" w:hanging="720"/>
      <w:outlineLvl w:val="0"/>
    </w:pPr>
    <w:rPr>
      <w:rFonts w:ascii="Arial" w:hAnsi="Arial" w:cs="Arial"/>
      <w:b/>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A147D7"/>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6F5B1B"/>
    <w:pPr>
      <w:keepNext/>
      <w:outlineLvl w:val="3"/>
    </w:pPr>
    <w:rPr>
      <w:b/>
      <w:bCs/>
      <w:smallCaps/>
      <w:szCs w:val="22"/>
    </w:rPr>
  </w:style>
  <w:style w:type="paragraph" w:styleId="Heading5">
    <w:name w:val="heading 5"/>
    <w:basedOn w:val="Normal"/>
    <w:next w:val="Normal"/>
    <w:rsid w:val="00B163D2"/>
    <w:pPr>
      <w:outlineLvl w:val="4"/>
    </w:pPr>
    <w:rPr>
      <w:b/>
      <w:bCs/>
      <w:iCs/>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Table Gridbeth,Summary box,CMA Table Templat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9038AB"/>
    <w:pPr>
      <w:numPr>
        <w:numId w:val="2"/>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rsid w:val="004B0D5B"/>
    <w:rPr>
      <w:rFonts w:ascii="Arial Bold" w:hAnsi="Arial Bold" w:cs="Arial"/>
      <w:b/>
      <w:caps/>
      <w:snapToGrid w:val="0"/>
      <w:sz w:val="22"/>
      <w:lang w:eastAsia="en-US"/>
    </w:rPr>
  </w:style>
  <w:style w:type="character" w:customStyle="1" w:styleId="ListParagraphChar">
    <w:name w:val="List Paragraph Char"/>
    <w:aliases w:val="BulletPoints Char"/>
    <w:basedOn w:val="DefaultParagraphFont"/>
    <w:link w:val="ListParagraph"/>
    <w:uiPriority w:val="34"/>
    <w:locked/>
    <w:rsid w:val="004B0D5B"/>
    <w:rPr>
      <w:rFonts w:ascii="Arial" w:hAnsi="Arial" w:cs="Arial"/>
      <w:snapToGrid w:val="0"/>
      <w:sz w:val="22"/>
      <w:lang w:eastAsia="en-US"/>
    </w:rPr>
  </w:style>
  <w:style w:type="character" w:customStyle="1" w:styleId="TableFooterChar">
    <w:name w:val="Table Footer Char"/>
    <w:link w:val="TableFooter"/>
    <w:uiPriority w:val="4"/>
    <w:rsid w:val="004D52B8"/>
    <w:rPr>
      <w:rFonts w:ascii="Arial Narrow" w:hAnsi="Arial Narrow" w:cs="Arial"/>
      <w:snapToGrid w:val="0"/>
      <w:sz w:val="18"/>
      <w:lang w:eastAsia="en-US"/>
    </w:rPr>
  </w:style>
  <w:style w:type="table" w:customStyle="1" w:styleId="TableGrid3">
    <w:name w:val="Table Grid3"/>
    <w:basedOn w:val="TableNormal"/>
    <w:next w:val="TableGrid"/>
    <w:uiPriority w:val="59"/>
    <w:rsid w:val="00A17AD2"/>
    <w:rPr>
      <w:rFonts w:ascii="Cambria" w:eastAsia="MS Gothic"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ntre">
    <w:name w:val="Table Centre"/>
    <w:basedOn w:val="Normal"/>
    <w:qFormat/>
    <w:rsid w:val="004E7124"/>
    <w:pPr>
      <w:widowControl/>
      <w:tabs>
        <w:tab w:val="left" w:pos="653"/>
      </w:tabs>
      <w:jc w:val="center"/>
    </w:pPr>
    <w:rPr>
      <w:rFonts w:ascii="Times New Roman" w:hAnsi="Times New Roman" w:cs="Times New Roman"/>
      <w:snapToGrid/>
      <w:sz w:val="20"/>
      <w:szCs w:val="22"/>
      <w:lang w:bidi="en-US"/>
    </w:rPr>
  </w:style>
  <w:style w:type="paragraph" w:styleId="FootnoteText">
    <w:name w:val="footnote text"/>
    <w:basedOn w:val="Normal"/>
    <w:link w:val="FootnoteTextChar"/>
    <w:semiHidden/>
    <w:unhideWhenUsed/>
    <w:rsid w:val="00702844"/>
    <w:rPr>
      <w:sz w:val="20"/>
    </w:rPr>
  </w:style>
  <w:style w:type="character" w:customStyle="1" w:styleId="FootnoteTextChar">
    <w:name w:val="Footnote Text Char"/>
    <w:basedOn w:val="DefaultParagraphFont"/>
    <w:link w:val="FootnoteText"/>
    <w:semiHidden/>
    <w:rsid w:val="00702844"/>
    <w:rPr>
      <w:rFonts w:ascii="Arial" w:hAnsi="Arial" w:cs="Arial"/>
      <w:snapToGrid w:val="0"/>
      <w:lang w:eastAsia="en-US"/>
    </w:rPr>
  </w:style>
  <w:style w:type="character" w:styleId="FootnoteReference">
    <w:name w:val="footnote reference"/>
    <w:basedOn w:val="DefaultParagraphFont"/>
    <w:semiHidden/>
    <w:unhideWhenUsed/>
    <w:rsid w:val="00702844"/>
    <w:rPr>
      <w:vertAlign w:val="superscript"/>
    </w:rPr>
  </w:style>
  <w:style w:type="character" w:customStyle="1" w:styleId="SmallBold">
    <w:name w:val="Small Bold"/>
    <w:basedOn w:val="DefaultParagraphFont"/>
    <w:uiPriority w:val="4"/>
    <w:qFormat/>
    <w:rsid w:val="00432A8D"/>
    <w:rPr>
      <w:rFonts w:ascii="Candara" w:hAnsi="Candara"/>
      <w:b/>
      <w:sz w:val="20"/>
      <w:lang w:val="en-AU"/>
    </w:rPr>
  </w:style>
  <w:style w:type="character" w:styleId="FollowedHyperlink">
    <w:name w:val="FollowedHyperlink"/>
    <w:basedOn w:val="DefaultParagraphFont"/>
    <w:semiHidden/>
    <w:unhideWhenUsed/>
    <w:rsid w:val="008C50CC"/>
    <w:rPr>
      <w:color w:val="800080" w:themeColor="followedHyperlink"/>
      <w:u w:val="single"/>
    </w:rPr>
  </w:style>
  <w:style w:type="character" w:styleId="Emphasis">
    <w:name w:val="Emphasis"/>
    <w:basedOn w:val="DefaultParagraphFont"/>
    <w:uiPriority w:val="20"/>
    <w:qFormat/>
    <w:rsid w:val="00125F89"/>
    <w:rPr>
      <w:b/>
      <w:bCs/>
      <w:i w:val="0"/>
      <w:iCs w:val="0"/>
    </w:rPr>
  </w:style>
  <w:style w:type="character" w:customStyle="1" w:styleId="st1">
    <w:name w:val="st1"/>
    <w:basedOn w:val="DefaultParagraphFont"/>
    <w:rsid w:val="00125F89"/>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064580"/>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0C5F96"/>
    <w:pPr>
      <w:ind w:left="720" w:hanging="720"/>
      <w:outlineLvl w:val="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2530">
      <w:bodyDiv w:val="1"/>
      <w:marLeft w:val="0"/>
      <w:marRight w:val="0"/>
      <w:marTop w:val="0"/>
      <w:marBottom w:val="0"/>
      <w:divBdr>
        <w:top w:val="none" w:sz="0" w:space="0" w:color="auto"/>
        <w:left w:val="none" w:sz="0" w:space="0" w:color="auto"/>
        <w:bottom w:val="none" w:sz="0" w:space="0" w:color="auto"/>
        <w:right w:val="none" w:sz="0" w:space="0" w:color="auto"/>
      </w:divBdr>
    </w:div>
    <w:div w:id="962922702">
      <w:bodyDiv w:val="1"/>
      <w:marLeft w:val="0"/>
      <w:marRight w:val="0"/>
      <w:marTop w:val="0"/>
      <w:marBottom w:val="0"/>
      <w:divBdr>
        <w:top w:val="none" w:sz="0" w:space="0" w:color="auto"/>
        <w:left w:val="none" w:sz="0" w:space="0" w:color="auto"/>
        <w:bottom w:val="none" w:sz="0" w:space="0" w:color="auto"/>
        <w:right w:val="none" w:sz="0" w:space="0" w:color="auto"/>
      </w:divBdr>
    </w:div>
    <w:div w:id="1002199110">
      <w:bodyDiv w:val="1"/>
      <w:marLeft w:val="0"/>
      <w:marRight w:val="0"/>
      <w:marTop w:val="0"/>
      <w:marBottom w:val="0"/>
      <w:divBdr>
        <w:top w:val="none" w:sz="0" w:space="0" w:color="auto"/>
        <w:left w:val="none" w:sz="0" w:space="0" w:color="auto"/>
        <w:bottom w:val="none" w:sz="0" w:space="0" w:color="auto"/>
        <w:right w:val="none" w:sz="0" w:space="0" w:color="auto"/>
      </w:divBdr>
    </w:div>
    <w:div w:id="1035353551">
      <w:bodyDiv w:val="1"/>
      <w:marLeft w:val="0"/>
      <w:marRight w:val="0"/>
      <w:marTop w:val="0"/>
      <w:marBottom w:val="0"/>
      <w:divBdr>
        <w:top w:val="none" w:sz="0" w:space="0" w:color="auto"/>
        <w:left w:val="none" w:sz="0" w:space="0" w:color="auto"/>
        <w:bottom w:val="none" w:sz="0" w:space="0" w:color="auto"/>
        <w:right w:val="none" w:sz="0" w:space="0" w:color="auto"/>
      </w:divBdr>
    </w:div>
    <w:div w:id="1184442335">
      <w:bodyDiv w:val="1"/>
      <w:marLeft w:val="0"/>
      <w:marRight w:val="0"/>
      <w:marTop w:val="0"/>
      <w:marBottom w:val="0"/>
      <w:divBdr>
        <w:top w:val="none" w:sz="0" w:space="0" w:color="auto"/>
        <w:left w:val="none" w:sz="0" w:space="0" w:color="auto"/>
        <w:bottom w:val="none" w:sz="0" w:space="0" w:color="auto"/>
        <w:right w:val="none" w:sz="0" w:space="0" w:color="auto"/>
      </w:divBdr>
    </w:div>
    <w:div w:id="1624725909">
      <w:bodyDiv w:val="1"/>
      <w:marLeft w:val="0"/>
      <w:marRight w:val="0"/>
      <w:marTop w:val="0"/>
      <w:marBottom w:val="0"/>
      <w:divBdr>
        <w:top w:val="none" w:sz="0" w:space="0" w:color="auto"/>
        <w:left w:val="none" w:sz="0" w:space="0" w:color="auto"/>
        <w:bottom w:val="none" w:sz="0" w:space="0" w:color="auto"/>
        <w:right w:val="none" w:sz="0" w:space="0" w:color="auto"/>
      </w:divBdr>
    </w:div>
    <w:div w:id="21448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Dee15</b:Tag>
    <b:SourceType>Misc</b:SourceType>
    <b:Guid>{1AD4FA42-9463-4C42-B974-25D6EC1F4090}</b:Guid>
    <b:Title>Deed of Agreement for Hepatitis C treatments</b:Title>
    <b:Year>2016</b:Year>
    <b:Month>March</b:Month>
    <b:Author>
      <b:Author>
        <b:Corporate>Deed of Agreement</b:Corporate>
      </b:Author>
    </b:Author>
    <b:PublicationTitle>Gilead Sciences Pty Ltd and Department of Health</b:PublicationTitle>
    <b:RefOrder>54</b:RefOrder>
  </b:Source>
</b:Sources>
</file>

<file path=customXml/itemProps1.xml><?xml version="1.0" encoding="utf-8"?>
<ds:datastoreItem xmlns:ds="http://schemas.openxmlformats.org/officeDocument/2006/customXml" ds:itemID="{2D344FFB-C556-49B0-9463-9A8CE0E88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9527</Words>
  <Characters>54590</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2017-02-08T04:18:00Z</dcterms:created>
  <dcterms:modified xsi:type="dcterms:W3CDTF">2017-02-16T21:46:00Z</dcterms:modified>
</cp:coreProperties>
</file>