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93" w:rsidRPr="00930820" w:rsidRDefault="00720793" w:rsidP="00720793">
      <w:bookmarkStart w:id="0" w:name="_GoBack"/>
      <w:bookmarkEnd w:id="0"/>
    </w:p>
    <w:p w:rsidR="00C850C1" w:rsidRPr="00930820" w:rsidRDefault="00C47369" w:rsidP="00EA6A97">
      <w:pPr>
        <w:pStyle w:val="Title"/>
        <w:spacing w:after="0"/>
        <w:ind w:left="720" w:hanging="720"/>
        <w:contextualSpacing w:val="0"/>
        <w:rPr>
          <w:b w:val="0"/>
          <w:szCs w:val="28"/>
        </w:rPr>
      </w:pPr>
      <w:r w:rsidRPr="00930820">
        <w:rPr>
          <w:szCs w:val="28"/>
        </w:rPr>
        <w:t>6.14</w:t>
      </w:r>
      <w:r w:rsidR="007C0F57" w:rsidRPr="00930820">
        <w:rPr>
          <w:szCs w:val="28"/>
        </w:rPr>
        <w:tab/>
      </w:r>
      <w:r w:rsidRPr="00930820">
        <w:rPr>
          <w:szCs w:val="28"/>
        </w:rPr>
        <w:t>TERIFLUNOMIDE</w:t>
      </w:r>
      <w:r w:rsidR="008A50F1" w:rsidRPr="00930820">
        <w:rPr>
          <w:szCs w:val="28"/>
        </w:rPr>
        <w:br/>
      </w:r>
      <w:r w:rsidRPr="00930820">
        <w:rPr>
          <w:szCs w:val="28"/>
        </w:rPr>
        <w:t>14 mg tablet, 28</w:t>
      </w:r>
      <w:r w:rsidR="008A50F1" w:rsidRPr="00930820">
        <w:rPr>
          <w:szCs w:val="28"/>
        </w:rPr>
        <w:br/>
      </w:r>
      <w:proofErr w:type="spellStart"/>
      <w:r w:rsidRPr="00930820">
        <w:rPr>
          <w:szCs w:val="28"/>
        </w:rPr>
        <w:t>Aubagio</w:t>
      </w:r>
      <w:proofErr w:type="spellEnd"/>
      <w:r w:rsidR="0004240E" w:rsidRPr="00930820">
        <w:rPr>
          <w:rFonts w:hint="eastAsia"/>
          <w:szCs w:val="28"/>
          <w:vertAlign w:val="superscript"/>
        </w:rPr>
        <w:t>®</w:t>
      </w:r>
      <w:proofErr w:type="gramStart"/>
      <w:r w:rsidR="009F6C33">
        <w:rPr>
          <w:szCs w:val="28"/>
        </w:rPr>
        <w:t>,</w:t>
      </w:r>
      <w:proofErr w:type="gramEnd"/>
      <w:r w:rsidR="005813D1">
        <w:rPr>
          <w:szCs w:val="28"/>
        </w:rPr>
        <w:br/>
      </w:r>
      <w:r w:rsidR="00C850C1" w:rsidRPr="00930820">
        <w:rPr>
          <w:szCs w:val="28"/>
        </w:rPr>
        <w:t>Sanofi Aventis Australia Pty Ltd</w:t>
      </w:r>
      <w:r w:rsidR="005813D1">
        <w:rPr>
          <w:szCs w:val="28"/>
        </w:rPr>
        <w:t>.</w:t>
      </w:r>
    </w:p>
    <w:p w:rsidR="00C850C1" w:rsidRPr="00A25BE4" w:rsidRDefault="00C850C1" w:rsidP="00720793">
      <w:pPr>
        <w:rPr>
          <w:rFonts w:ascii="Arial Bold" w:eastAsiaTheme="majorEastAsia" w:hAnsi="Arial Bold" w:cstheme="majorBidi"/>
          <w:b/>
          <w:spacing w:val="5"/>
          <w:kern w:val="28"/>
          <w:szCs w:val="28"/>
        </w:rPr>
      </w:pPr>
    </w:p>
    <w:p w:rsidR="00A25BE4" w:rsidRPr="00A25BE4" w:rsidRDefault="00A25BE4" w:rsidP="00720793">
      <w:pPr>
        <w:rPr>
          <w:rFonts w:ascii="Arial Bold" w:eastAsiaTheme="majorEastAsia" w:hAnsi="Arial Bold" w:cstheme="majorBidi"/>
          <w:b/>
          <w:spacing w:val="5"/>
          <w:kern w:val="28"/>
          <w:szCs w:val="28"/>
        </w:rPr>
      </w:pPr>
    </w:p>
    <w:p w:rsidR="00E15627" w:rsidRPr="00930820" w:rsidRDefault="00CE10C4" w:rsidP="00E15627">
      <w:pPr>
        <w:pStyle w:val="PBACHeading1"/>
      </w:pPr>
      <w:r w:rsidRPr="00930820">
        <w:t xml:space="preserve">Purpose of </w:t>
      </w:r>
      <w:r w:rsidR="0004240E" w:rsidRPr="00930820">
        <w:t>Application</w:t>
      </w:r>
    </w:p>
    <w:p w:rsidR="008A50F1" w:rsidRPr="00930820" w:rsidRDefault="008A50F1" w:rsidP="00E15627"/>
    <w:p w:rsidR="00DA5704" w:rsidRPr="00930820" w:rsidRDefault="00DA5704" w:rsidP="00DA5704">
      <w:pPr>
        <w:pStyle w:val="ListParagraph"/>
        <w:numPr>
          <w:ilvl w:val="1"/>
          <w:numId w:val="5"/>
        </w:numPr>
        <w:rPr>
          <w:szCs w:val="22"/>
        </w:rPr>
      </w:pPr>
      <w:r w:rsidRPr="00930820">
        <w:rPr>
          <w:szCs w:val="22"/>
        </w:rPr>
        <w:t xml:space="preserve">The minor submission sought to amend the current listing of </w:t>
      </w:r>
      <w:proofErr w:type="spellStart"/>
      <w:r w:rsidRPr="00930820">
        <w:rPr>
          <w:szCs w:val="22"/>
        </w:rPr>
        <w:t>teriflunomide</w:t>
      </w:r>
      <w:proofErr w:type="spellEnd"/>
      <w:r w:rsidRPr="00930820">
        <w:rPr>
          <w:szCs w:val="22"/>
        </w:rPr>
        <w:t xml:space="preserve"> from Authority Required to Authority Required (STREAMLINED).</w:t>
      </w:r>
    </w:p>
    <w:p w:rsidR="00EA7FEF" w:rsidRPr="00930820" w:rsidRDefault="00EA7FEF" w:rsidP="004D04D2"/>
    <w:p w:rsidR="00EA7FEF" w:rsidRPr="00930820" w:rsidRDefault="00EA7FEF" w:rsidP="00DA5704">
      <w:pPr>
        <w:pStyle w:val="ListParagraph"/>
        <w:numPr>
          <w:ilvl w:val="1"/>
          <w:numId w:val="5"/>
        </w:numPr>
        <w:rPr>
          <w:szCs w:val="22"/>
        </w:rPr>
      </w:pPr>
      <w:proofErr w:type="spellStart"/>
      <w:r w:rsidRPr="00930820">
        <w:rPr>
          <w:szCs w:val="22"/>
        </w:rPr>
        <w:t>Teriflunomide</w:t>
      </w:r>
      <w:proofErr w:type="spellEnd"/>
      <w:r w:rsidRPr="00930820">
        <w:rPr>
          <w:szCs w:val="22"/>
        </w:rPr>
        <w:t xml:space="preserve"> is one of a range of drugs used in the treatment of relapsing-remitting multiple sclerosis (RRMS).</w:t>
      </w:r>
    </w:p>
    <w:p w:rsidR="00F9629A" w:rsidRPr="00930820" w:rsidRDefault="00F9629A" w:rsidP="00DA5704">
      <w:pPr>
        <w:pStyle w:val="ListParagraph"/>
      </w:pPr>
    </w:p>
    <w:p w:rsidR="00EF44A0" w:rsidRPr="00930820" w:rsidRDefault="00EF44A0" w:rsidP="00C27B58">
      <w:pPr>
        <w:pStyle w:val="NoSpacing"/>
      </w:pPr>
    </w:p>
    <w:p w:rsidR="00962223" w:rsidRPr="00930820" w:rsidRDefault="006A12A5" w:rsidP="008A50F1">
      <w:pPr>
        <w:pStyle w:val="PBACHeading1"/>
      </w:pPr>
      <w:r w:rsidRPr="00930820">
        <w:t>Requested listing</w:t>
      </w:r>
    </w:p>
    <w:p w:rsidR="006A12A5" w:rsidRPr="00930820" w:rsidRDefault="006A12A5" w:rsidP="00882085">
      <w:pPr>
        <w:jc w:val="both"/>
        <w:rPr>
          <w:rFonts w:ascii="Arial" w:hAnsi="Arial"/>
          <w:b/>
          <w:sz w:val="22"/>
          <w:szCs w:val="22"/>
        </w:rPr>
      </w:pPr>
    </w:p>
    <w:p w:rsidR="00826F6D" w:rsidRPr="00930820" w:rsidRDefault="00EF44A0" w:rsidP="008A50F1">
      <w:pPr>
        <w:pStyle w:val="ListParagraph"/>
        <w:numPr>
          <w:ilvl w:val="1"/>
          <w:numId w:val="5"/>
        </w:numPr>
        <w:rPr>
          <w:szCs w:val="22"/>
        </w:rPr>
      </w:pPr>
      <w:r w:rsidRPr="00930820">
        <w:rPr>
          <w:szCs w:val="22"/>
        </w:rPr>
        <w:t xml:space="preserve">The submission </w:t>
      </w:r>
      <w:r w:rsidR="00FF2801" w:rsidRPr="00930820">
        <w:rPr>
          <w:szCs w:val="22"/>
        </w:rPr>
        <w:t>requested</w:t>
      </w:r>
      <w:r w:rsidRPr="00930820">
        <w:rPr>
          <w:szCs w:val="22"/>
        </w:rPr>
        <w:t xml:space="preserve"> </w:t>
      </w:r>
      <w:r w:rsidR="00DA5704" w:rsidRPr="00930820">
        <w:rPr>
          <w:szCs w:val="22"/>
        </w:rPr>
        <w:t xml:space="preserve">a change to the restriction level of </w:t>
      </w:r>
      <w:proofErr w:type="spellStart"/>
      <w:r w:rsidR="00DA5704" w:rsidRPr="00930820">
        <w:rPr>
          <w:szCs w:val="22"/>
        </w:rPr>
        <w:t>teriflunomide</w:t>
      </w:r>
      <w:proofErr w:type="spellEnd"/>
      <w:r w:rsidR="00DA5704" w:rsidRPr="00930820">
        <w:rPr>
          <w:szCs w:val="22"/>
        </w:rPr>
        <w:t xml:space="preserve"> from Authority Required to Authority Required (STREAMLINED). No other changes to existing listings were requested.</w:t>
      </w:r>
      <w:r w:rsidR="004D04D2" w:rsidRPr="00930820">
        <w:rPr>
          <w:szCs w:val="22"/>
        </w:rPr>
        <w:t xml:space="preserve"> As no </w:t>
      </w:r>
      <w:r w:rsidR="00EF3E88" w:rsidRPr="00930820">
        <w:rPr>
          <w:szCs w:val="22"/>
        </w:rPr>
        <w:t>other</w:t>
      </w:r>
      <w:r w:rsidR="004D04D2" w:rsidRPr="00930820">
        <w:rPr>
          <w:szCs w:val="22"/>
        </w:rPr>
        <w:t xml:space="preserve"> changes were requested, the restriction has not been </w:t>
      </w:r>
      <w:r w:rsidR="00654986" w:rsidRPr="00930820">
        <w:rPr>
          <w:szCs w:val="22"/>
        </w:rPr>
        <w:t>reproduced</w:t>
      </w:r>
      <w:r w:rsidR="004D04D2" w:rsidRPr="00930820">
        <w:rPr>
          <w:szCs w:val="22"/>
        </w:rPr>
        <w:t xml:space="preserve"> in full.</w:t>
      </w:r>
    </w:p>
    <w:p w:rsidR="00826F6D" w:rsidRPr="00930820" w:rsidRDefault="00826F6D" w:rsidP="00C27B58">
      <w:pPr>
        <w:pStyle w:val="NoSpacing"/>
      </w:pPr>
    </w:p>
    <w:tbl>
      <w:tblPr>
        <w:tblW w:w="8363" w:type="dxa"/>
        <w:tblInd w:w="817" w:type="dxa"/>
        <w:tblLayout w:type="fixed"/>
        <w:tblLook w:val="0000" w:firstRow="0" w:lastRow="0" w:firstColumn="0" w:lastColumn="0" w:noHBand="0" w:noVBand="0"/>
      </w:tblPr>
      <w:tblGrid>
        <w:gridCol w:w="3119"/>
        <w:gridCol w:w="850"/>
        <w:gridCol w:w="709"/>
        <w:gridCol w:w="1276"/>
        <w:gridCol w:w="992"/>
        <w:gridCol w:w="1417"/>
      </w:tblGrid>
      <w:tr w:rsidR="00826F6D" w:rsidRPr="00930820" w:rsidTr="00C27B58">
        <w:trPr>
          <w:cantSplit/>
          <w:trHeight w:val="471"/>
        </w:trPr>
        <w:tc>
          <w:tcPr>
            <w:tcW w:w="3119" w:type="dxa"/>
            <w:tcBorders>
              <w:bottom w:val="single" w:sz="4" w:space="0" w:color="auto"/>
            </w:tcBorders>
          </w:tcPr>
          <w:p w:rsidR="00826F6D" w:rsidRPr="00930820" w:rsidRDefault="00826F6D" w:rsidP="00C27B58">
            <w:pPr>
              <w:keepNext/>
              <w:ind w:left="-108"/>
              <w:jc w:val="both"/>
              <w:rPr>
                <w:rFonts w:ascii="Arial Narrow" w:hAnsi="Arial Narrow" w:cs="Arial"/>
                <w:b/>
                <w:sz w:val="20"/>
                <w:szCs w:val="20"/>
              </w:rPr>
            </w:pPr>
            <w:r w:rsidRPr="00930820">
              <w:rPr>
                <w:rFonts w:ascii="Arial Narrow" w:hAnsi="Arial Narrow" w:cs="Arial"/>
                <w:b/>
                <w:sz w:val="20"/>
                <w:szCs w:val="20"/>
              </w:rPr>
              <w:t>Name, Restriction,</w:t>
            </w:r>
          </w:p>
          <w:p w:rsidR="00826F6D" w:rsidRPr="00930820" w:rsidRDefault="00826F6D" w:rsidP="00C27B58">
            <w:pPr>
              <w:keepNext/>
              <w:ind w:left="-108"/>
              <w:jc w:val="both"/>
              <w:rPr>
                <w:rFonts w:ascii="Arial Narrow" w:hAnsi="Arial Narrow" w:cs="Arial"/>
                <w:b/>
                <w:sz w:val="20"/>
                <w:szCs w:val="20"/>
              </w:rPr>
            </w:pPr>
            <w:r w:rsidRPr="00930820">
              <w:rPr>
                <w:rFonts w:ascii="Arial Narrow" w:hAnsi="Arial Narrow" w:cs="Arial"/>
                <w:b/>
                <w:sz w:val="20"/>
                <w:szCs w:val="20"/>
              </w:rPr>
              <w:t>Manner of administration and form</w:t>
            </w:r>
          </w:p>
        </w:tc>
        <w:tc>
          <w:tcPr>
            <w:tcW w:w="850" w:type="dxa"/>
            <w:tcBorders>
              <w:bottom w:val="single" w:sz="4" w:space="0" w:color="auto"/>
            </w:tcBorders>
          </w:tcPr>
          <w:p w:rsidR="00826F6D" w:rsidRPr="00930820" w:rsidRDefault="00826F6D" w:rsidP="00C27B58">
            <w:pPr>
              <w:keepNext/>
              <w:ind w:left="-108"/>
              <w:jc w:val="both"/>
              <w:rPr>
                <w:rFonts w:ascii="Arial Narrow" w:hAnsi="Arial Narrow" w:cs="Arial"/>
                <w:b/>
                <w:sz w:val="20"/>
                <w:szCs w:val="20"/>
              </w:rPr>
            </w:pPr>
            <w:r w:rsidRPr="00930820">
              <w:rPr>
                <w:rFonts w:ascii="Arial Narrow" w:hAnsi="Arial Narrow" w:cs="Arial"/>
                <w:b/>
                <w:sz w:val="20"/>
                <w:szCs w:val="20"/>
              </w:rPr>
              <w:t>Max.</w:t>
            </w:r>
          </w:p>
          <w:p w:rsidR="00826F6D" w:rsidRPr="00930820" w:rsidRDefault="00826F6D" w:rsidP="00C27B58">
            <w:pPr>
              <w:keepNext/>
              <w:ind w:left="-108"/>
              <w:jc w:val="both"/>
              <w:rPr>
                <w:rFonts w:ascii="Arial Narrow" w:hAnsi="Arial Narrow" w:cs="Arial"/>
                <w:b/>
                <w:sz w:val="20"/>
                <w:szCs w:val="20"/>
              </w:rPr>
            </w:pPr>
            <w:proofErr w:type="spellStart"/>
            <w:r w:rsidRPr="00930820">
              <w:rPr>
                <w:rFonts w:ascii="Arial Narrow" w:hAnsi="Arial Narrow" w:cs="Arial"/>
                <w:b/>
                <w:sz w:val="20"/>
                <w:szCs w:val="20"/>
              </w:rPr>
              <w:t>Qty</w:t>
            </w:r>
            <w:proofErr w:type="spellEnd"/>
          </w:p>
        </w:tc>
        <w:tc>
          <w:tcPr>
            <w:tcW w:w="709" w:type="dxa"/>
            <w:tcBorders>
              <w:bottom w:val="single" w:sz="4" w:space="0" w:color="auto"/>
            </w:tcBorders>
          </w:tcPr>
          <w:p w:rsidR="00826F6D" w:rsidRPr="00930820" w:rsidRDefault="00826F6D" w:rsidP="00C27B58">
            <w:pPr>
              <w:keepNext/>
              <w:ind w:left="-108"/>
              <w:jc w:val="both"/>
              <w:rPr>
                <w:rFonts w:ascii="Arial Narrow" w:hAnsi="Arial Narrow" w:cs="Arial"/>
                <w:b/>
                <w:sz w:val="20"/>
                <w:szCs w:val="20"/>
              </w:rPr>
            </w:pPr>
            <w:r w:rsidRPr="00930820">
              <w:rPr>
                <w:rFonts w:ascii="Arial Narrow" w:hAnsi="Arial Narrow" w:cs="Arial"/>
                <w:b/>
                <w:sz w:val="20"/>
                <w:szCs w:val="20"/>
              </w:rPr>
              <w:t>№.of</w:t>
            </w:r>
          </w:p>
          <w:p w:rsidR="00826F6D" w:rsidRPr="00930820" w:rsidRDefault="00826F6D" w:rsidP="00C27B58">
            <w:pPr>
              <w:keepNext/>
              <w:ind w:left="-108"/>
              <w:jc w:val="both"/>
              <w:rPr>
                <w:rFonts w:ascii="Arial Narrow" w:hAnsi="Arial Narrow" w:cs="Arial"/>
                <w:b/>
                <w:sz w:val="20"/>
                <w:szCs w:val="20"/>
              </w:rPr>
            </w:pPr>
            <w:proofErr w:type="spellStart"/>
            <w:r w:rsidRPr="00930820">
              <w:rPr>
                <w:rFonts w:ascii="Arial Narrow" w:hAnsi="Arial Narrow" w:cs="Arial"/>
                <w:b/>
                <w:sz w:val="20"/>
                <w:szCs w:val="20"/>
              </w:rPr>
              <w:t>Rpts</w:t>
            </w:r>
            <w:proofErr w:type="spellEnd"/>
          </w:p>
        </w:tc>
        <w:tc>
          <w:tcPr>
            <w:tcW w:w="1276" w:type="dxa"/>
            <w:tcBorders>
              <w:bottom w:val="single" w:sz="4" w:space="0" w:color="auto"/>
            </w:tcBorders>
          </w:tcPr>
          <w:p w:rsidR="00826F6D" w:rsidRPr="00930820" w:rsidRDefault="00826F6D" w:rsidP="00C27B58">
            <w:pPr>
              <w:keepNext/>
              <w:ind w:left="-108"/>
              <w:jc w:val="both"/>
              <w:rPr>
                <w:rFonts w:ascii="Arial Narrow" w:hAnsi="Arial Narrow" w:cs="Arial"/>
                <w:b/>
                <w:sz w:val="20"/>
                <w:szCs w:val="20"/>
              </w:rPr>
            </w:pPr>
            <w:r w:rsidRPr="00930820">
              <w:rPr>
                <w:rFonts w:ascii="Arial Narrow" w:hAnsi="Arial Narrow" w:cs="Arial"/>
                <w:b/>
                <w:sz w:val="20"/>
                <w:szCs w:val="20"/>
              </w:rPr>
              <w:t xml:space="preserve">Dispensed Price for Max. </w:t>
            </w:r>
            <w:proofErr w:type="spellStart"/>
            <w:r w:rsidRPr="00930820">
              <w:rPr>
                <w:rFonts w:ascii="Arial Narrow" w:hAnsi="Arial Narrow" w:cs="Arial"/>
                <w:b/>
                <w:sz w:val="20"/>
                <w:szCs w:val="20"/>
              </w:rPr>
              <w:t>Qty</w:t>
            </w:r>
            <w:proofErr w:type="spellEnd"/>
          </w:p>
        </w:tc>
        <w:tc>
          <w:tcPr>
            <w:tcW w:w="2409" w:type="dxa"/>
            <w:gridSpan w:val="2"/>
            <w:tcBorders>
              <w:bottom w:val="single" w:sz="4" w:space="0" w:color="auto"/>
            </w:tcBorders>
          </w:tcPr>
          <w:p w:rsidR="00826F6D" w:rsidRPr="00930820" w:rsidRDefault="00826F6D" w:rsidP="00C27B58">
            <w:pPr>
              <w:keepNext/>
              <w:jc w:val="both"/>
              <w:rPr>
                <w:rFonts w:ascii="Arial Narrow" w:hAnsi="Arial Narrow" w:cs="Arial"/>
                <w:b/>
                <w:sz w:val="20"/>
                <w:szCs w:val="20"/>
                <w:lang w:val="fr-FR"/>
              </w:rPr>
            </w:pPr>
            <w:r w:rsidRPr="00930820">
              <w:rPr>
                <w:rFonts w:ascii="Arial Narrow" w:hAnsi="Arial Narrow" w:cs="Arial"/>
                <w:b/>
                <w:sz w:val="20"/>
                <w:szCs w:val="20"/>
              </w:rPr>
              <w:t>Proprietary Name and Manufacturer</w:t>
            </w:r>
          </w:p>
        </w:tc>
      </w:tr>
      <w:tr w:rsidR="00826F6D" w:rsidRPr="00930820" w:rsidTr="00DA5704">
        <w:trPr>
          <w:cantSplit/>
          <w:trHeight w:val="577"/>
        </w:trPr>
        <w:tc>
          <w:tcPr>
            <w:tcW w:w="3119" w:type="dxa"/>
          </w:tcPr>
          <w:p w:rsidR="00826F6D" w:rsidRPr="00930820" w:rsidRDefault="00DA5704" w:rsidP="00C27B58">
            <w:pPr>
              <w:keepNext/>
              <w:ind w:left="-108"/>
              <w:jc w:val="both"/>
              <w:rPr>
                <w:rFonts w:ascii="Arial Narrow" w:hAnsi="Arial Narrow" w:cs="Arial"/>
                <w:sz w:val="20"/>
                <w:szCs w:val="20"/>
              </w:rPr>
            </w:pPr>
            <w:r w:rsidRPr="00930820">
              <w:rPr>
                <w:rFonts w:ascii="Arial Narrow" w:hAnsi="Arial Narrow" w:cs="Arial"/>
                <w:smallCaps/>
                <w:sz w:val="20"/>
                <w:szCs w:val="20"/>
              </w:rPr>
              <w:t>TERIFLUNOMIDE</w:t>
            </w:r>
          </w:p>
          <w:p w:rsidR="00826F6D" w:rsidRPr="00930820" w:rsidRDefault="00DA5704" w:rsidP="00C27B58">
            <w:pPr>
              <w:keepNext/>
              <w:ind w:left="-108"/>
              <w:jc w:val="both"/>
              <w:rPr>
                <w:rFonts w:ascii="Arial Narrow" w:hAnsi="Arial Narrow" w:cs="Arial"/>
                <w:sz w:val="20"/>
                <w:szCs w:val="20"/>
              </w:rPr>
            </w:pPr>
            <w:r w:rsidRPr="00930820">
              <w:rPr>
                <w:rFonts w:ascii="Arial Narrow" w:hAnsi="Arial Narrow" w:cs="Arial"/>
                <w:sz w:val="20"/>
                <w:szCs w:val="20"/>
              </w:rPr>
              <w:t>14 mg tablet, 28</w:t>
            </w:r>
          </w:p>
        </w:tc>
        <w:tc>
          <w:tcPr>
            <w:tcW w:w="850" w:type="dxa"/>
          </w:tcPr>
          <w:p w:rsidR="00826F6D" w:rsidRPr="00930820" w:rsidRDefault="00826F6D" w:rsidP="00C27B58">
            <w:pPr>
              <w:keepNext/>
              <w:ind w:left="-108"/>
              <w:jc w:val="both"/>
              <w:rPr>
                <w:rFonts w:ascii="Arial Narrow" w:hAnsi="Arial Narrow" w:cs="Arial"/>
                <w:sz w:val="20"/>
                <w:szCs w:val="20"/>
              </w:rPr>
            </w:pPr>
          </w:p>
          <w:p w:rsidR="00826F6D" w:rsidRPr="00930820" w:rsidRDefault="00DA5704" w:rsidP="00C27B58">
            <w:pPr>
              <w:keepNext/>
              <w:ind w:left="-108"/>
              <w:jc w:val="both"/>
              <w:rPr>
                <w:rFonts w:ascii="Arial Narrow" w:hAnsi="Arial Narrow" w:cs="Arial"/>
                <w:sz w:val="20"/>
                <w:szCs w:val="20"/>
              </w:rPr>
            </w:pPr>
            <w:r w:rsidRPr="00930820">
              <w:rPr>
                <w:rFonts w:ascii="Arial Narrow" w:hAnsi="Arial Narrow" w:cs="Arial"/>
                <w:sz w:val="20"/>
                <w:szCs w:val="20"/>
              </w:rPr>
              <w:t>1</w:t>
            </w:r>
          </w:p>
        </w:tc>
        <w:tc>
          <w:tcPr>
            <w:tcW w:w="709" w:type="dxa"/>
          </w:tcPr>
          <w:p w:rsidR="00826F6D" w:rsidRPr="00930820" w:rsidRDefault="00826F6D" w:rsidP="00C27B58">
            <w:pPr>
              <w:keepNext/>
              <w:ind w:left="-108"/>
              <w:jc w:val="both"/>
              <w:rPr>
                <w:rFonts w:ascii="Arial Narrow" w:hAnsi="Arial Narrow" w:cs="Arial"/>
                <w:sz w:val="20"/>
                <w:szCs w:val="20"/>
              </w:rPr>
            </w:pPr>
          </w:p>
          <w:p w:rsidR="00826F6D" w:rsidRPr="00930820" w:rsidRDefault="00DA5704" w:rsidP="00C27B58">
            <w:pPr>
              <w:keepNext/>
              <w:ind w:left="-108"/>
              <w:jc w:val="both"/>
              <w:rPr>
                <w:rFonts w:ascii="Arial Narrow" w:hAnsi="Arial Narrow" w:cs="Arial"/>
                <w:sz w:val="20"/>
                <w:szCs w:val="20"/>
              </w:rPr>
            </w:pPr>
            <w:r w:rsidRPr="00930820">
              <w:rPr>
                <w:rFonts w:ascii="Arial Narrow" w:hAnsi="Arial Narrow" w:cs="Arial"/>
                <w:sz w:val="20"/>
                <w:szCs w:val="20"/>
              </w:rPr>
              <w:t>5</w:t>
            </w:r>
          </w:p>
        </w:tc>
        <w:tc>
          <w:tcPr>
            <w:tcW w:w="1276" w:type="dxa"/>
          </w:tcPr>
          <w:p w:rsidR="00826F6D" w:rsidRPr="00930820" w:rsidRDefault="00826F6D" w:rsidP="00C27B58">
            <w:pPr>
              <w:keepNext/>
              <w:ind w:left="-108"/>
              <w:jc w:val="both"/>
              <w:rPr>
                <w:rFonts w:ascii="Arial Narrow" w:hAnsi="Arial Narrow" w:cs="Arial"/>
                <w:sz w:val="20"/>
                <w:szCs w:val="20"/>
              </w:rPr>
            </w:pPr>
          </w:p>
          <w:p w:rsidR="00826F6D" w:rsidRPr="00930820" w:rsidRDefault="00826F6D" w:rsidP="00C27B58">
            <w:pPr>
              <w:keepNext/>
              <w:ind w:left="-108"/>
              <w:jc w:val="both"/>
              <w:rPr>
                <w:rFonts w:ascii="Arial Narrow" w:hAnsi="Arial Narrow" w:cs="Arial"/>
                <w:sz w:val="20"/>
                <w:szCs w:val="20"/>
              </w:rPr>
            </w:pPr>
            <w:r w:rsidRPr="00930820">
              <w:rPr>
                <w:rFonts w:ascii="Arial Narrow" w:hAnsi="Arial Narrow" w:cs="Arial"/>
                <w:sz w:val="20"/>
                <w:szCs w:val="20"/>
              </w:rPr>
              <w:t>$</w:t>
            </w:r>
            <w:r w:rsidR="00DA5704" w:rsidRPr="00930820">
              <w:rPr>
                <w:rFonts w:ascii="Arial Narrow" w:hAnsi="Arial Narrow" w:cs="Arial"/>
                <w:sz w:val="20"/>
                <w:szCs w:val="20"/>
              </w:rPr>
              <w:t>1836.73</w:t>
            </w:r>
          </w:p>
        </w:tc>
        <w:tc>
          <w:tcPr>
            <w:tcW w:w="992" w:type="dxa"/>
          </w:tcPr>
          <w:p w:rsidR="00C27B58" w:rsidRPr="00930820" w:rsidRDefault="00C27B58" w:rsidP="00C27B58">
            <w:pPr>
              <w:keepNext/>
              <w:jc w:val="both"/>
              <w:rPr>
                <w:rFonts w:ascii="Arial Narrow" w:hAnsi="Arial Narrow" w:cs="Arial"/>
                <w:sz w:val="20"/>
                <w:szCs w:val="20"/>
              </w:rPr>
            </w:pPr>
          </w:p>
          <w:p w:rsidR="00826F6D" w:rsidRPr="00930820" w:rsidRDefault="00DA5704" w:rsidP="00C27B58">
            <w:pPr>
              <w:keepNext/>
              <w:jc w:val="both"/>
              <w:rPr>
                <w:rFonts w:ascii="Arial Narrow" w:hAnsi="Arial Narrow" w:cs="Arial"/>
                <w:sz w:val="20"/>
                <w:szCs w:val="20"/>
              </w:rPr>
            </w:pPr>
            <w:proofErr w:type="spellStart"/>
            <w:r w:rsidRPr="00930820">
              <w:rPr>
                <w:rFonts w:ascii="Arial Narrow" w:hAnsi="Arial Narrow" w:cs="Arial"/>
                <w:sz w:val="20"/>
                <w:szCs w:val="20"/>
              </w:rPr>
              <w:t>Aubagio</w:t>
            </w:r>
            <w:proofErr w:type="spellEnd"/>
            <w:r w:rsidRPr="00930820">
              <w:rPr>
                <w:rFonts w:ascii="Arial Narrow" w:hAnsi="Arial Narrow" w:cs="Arial"/>
                <w:sz w:val="20"/>
                <w:szCs w:val="20"/>
                <w:vertAlign w:val="superscript"/>
              </w:rPr>
              <w:t>®</w:t>
            </w:r>
          </w:p>
        </w:tc>
        <w:tc>
          <w:tcPr>
            <w:tcW w:w="1417" w:type="dxa"/>
          </w:tcPr>
          <w:p w:rsidR="00C27B58" w:rsidRPr="00930820" w:rsidRDefault="00C27B58" w:rsidP="00C27B58">
            <w:pPr>
              <w:keepNext/>
              <w:jc w:val="both"/>
              <w:rPr>
                <w:rFonts w:ascii="Arial Narrow" w:hAnsi="Arial Narrow" w:cs="Arial"/>
                <w:sz w:val="20"/>
                <w:szCs w:val="20"/>
              </w:rPr>
            </w:pPr>
          </w:p>
          <w:p w:rsidR="00826F6D" w:rsidRPr="00930820" w:rsidRDefault="00DA5704" w:rsidP="00C27B58">
            <w:pPr>
              <w:keepNext/>
              <w:jc w:val="both"/>
              <w:rPr>
                <w:rFonts w:ascii="Arial Narrow" w:hAnsi="Arial Narrow" w:cs="Arial"/>
                <w:sz w:val="20"/>
                <w:szCs w:val="20"/>
              </w:rPr>
            </w:pPr>
            <w:r w:rsidRPr="00930820">
              <w:rPr>
                <w:rFonts w:ascii="Arial Narrow" w:hAnsi="Arial Narrow" w:cs="Arial"/>
                <w:sz w:val="20"/>
                <w:szCs w:val="20"/>
              </w:rPr>
              <w:t>Sanofi-Aventis Australia Pty Ltd</w:t>
            </w:r>
          </w:p>
        </w:tc>
      </w:tr>
      <w:tr w:rsidR="00826F6D" w:rsidRPr="00930820" w:rsidTr="00C27B58">
        <w:trPr>
          <w:cantSplit/>
          <w:trHeight w:val="360"/>
        </w:trPr>
        <w:tc>
          <w:tcPr>
            <w:tcW w:w="8363" w:type="dxa"/>
            <w:gridSpan w:val="6"/>
            <w:tcBorders>
              <w:bottom w:val="single" w:sz="4" w:space="0" w:color="auto"/>
            </w:tcBorders>
          </w:tcPr>
          <w:p w:rsidR="00E870A0" w:rsidRPr="00930820" w:rsidRDefault="00E870A0" w:rsidP="00C27B58">
            <w:pPr>
              <w:jc w:val="both"/>
              <w:rPr>
                <w:rFonts w:ascii="Arial Narrow" w:hAnsi="Arial Narrow" w:cs="Arial"/>
                <w:sz w:val="20"/>
                <w:szCs w:val="20"/>
              </w:rPr>
            </w:pPr>
          </w:p>
          <w:p w:rsidR="00826F6D" w:rsidRPr="00930820" w:rsidRDefault="00DA5704" w:rsidP="00C27B58">
            <w:pPr>
              <w:jc w:val="both"/>
              <w:rPr>
                <w:rFonts w:ascii="Arial Narrow" w:hAnsi="Arial Narrow" w:cs="Arial"/>
                <w:sz w:val="20"/>
                <w:szCs w:val="20"/>
              </w:rPr>
            </w:pPr>
            <w:r w:rsidRPr="00930820">
              <w:rPr>
                <w:rFonts w:ascii="Arial Narrow" w:hAnsi="Arial Narrow" w:cs="Arial"/>
                <w:sz w:val="20"/>
                <w:szCs w:val="20"/>
              </w:rPr>
              <w:t>Authority Required (STREAMLINED)</w:t>
            </w:r>
          </w:p>
        </w:tc>
      </w:tr>
    </w:tbl>
    <w:p w:rsidR="00186420" w:rsidRPr="00930820" w:rsidRDefault="00186420" w:rsidP="002F75FB">
      <w:pPr>
        <w:rPr>
          <w:i/>
          <w:szCs w:val="22"/>
        </w:rPr>
      </w:pPr>
    </w:p>
    <w:p w:rsidR="00720793" w:rsidRPr="00930820" w:rsidRDefault="00720793" w:rsidP="00720793">
      <w:pPr>
        <w:ind w:firstLine="720"/>
        <w:rPr>
          <w:rFonts w:ascii="Arial" w:hAnsi="Arial" w:cs="Arial"/>
          <w:bCs/>
          <w:snapToGrid w:val="0"/>
          <w:sz w:val="22"/>
          <w:szCs w:val="22"/>
        </w:rPr>
      </w:pPr>
    </w:p>
    <w:p w:rsidR="00CE10C4" w:rsidRPr="00930820" w:rsidRDefault="00CE10C4" w:rsidP="008A50F1">
      <w:pPr>
        <w:pStyle w:val="PBACHeading1"/>
      </w:pPr>
      <w:r w:rsidRPr="00930820">
        <w:t>Background</w:t>
      </w:r>
    </w:p>
    <w:p w:rsidR="00C603D4" w:rsidRPr="00930820" w:rsidRDefault="00C603D4" w:rsidP="00C603D4">
      <w:pPr>
        <w:pStyle w:val="ListParagraph"/>
        <w:rPr>
          <w:i/>
          <w:szCs w:val="22"/>
        </w:rPr>
      </w:pPr>
    </w:p>
    <w:p w:rsidR="00BC7DF8" w:rsidRPr="00930820" w:rsidRDefault="00BC7DF8" w:rsidP="008A50F1">
      <w:pPr>
        <w:pStyle w:val="ListParagraph"/>
        <w:numPr>
          <w:ilvl w:val="1"/>
          <w:numId w:val="5"/>
        </w:numPr>
        <w:rPr>
          <w:i/>
          <w:szCs w:val="22"/>
        </w:rPr>
      </w:pPr>
      <w:proofErr w:type="spellStart"/>
      <w:r w:rsidRPr="00930820">
        <w:rPr>
          <w:szCs w:val="22"/>
        </w:rPr>
        <w:t>Teriflunomide</w:t>
      </w:r>
      <w:proofErr w:type="spellEnd"/>
      <w:r w:rsidRPr="00930820">
        <w:rPr>
          <w:szCs w:val="22"/>
        </w:rPr>
        <w:t xml:space="preserve"> was</w:t>
      </w:r>
      <w:r w:rsidR="00476245" w:rsidRPr="00930820">
        <w:rPr>
          <w:szCs w:val="22"/>
        </w:rPr>
        <w:t xml:space="preserve"> TGA registered</w:t>
      </w:r>
      <w:r w:rsidRPr="00930820">
        <w:rPr>
          <w:szCs w:val="22"/>
        </w:rPr>
        <w:t xml:space="preserve"> on 14 November 2012</w:t>
      </w:r>
      <w:r w:rsidR="00476245" w:rsidRPr="00930820">
        <w:rPr>
          <w:szCs w:val="22"/>
        </w:rPr>
        <w:t xml:space="preserve"> for</w:t>
      </w:r>
      <w:r w:rsidRPr="00930820">
        <w:rPr>
          <w:szCs w:val="22"/>
        </w:rPr>
        <w:t xml:space="preserve"> the treatment of patients with relapsing forms of multiple sclerosis.</w:t>
      </w:r>
    </w:p>
    <w:p w:rsidR="006B0D94" w:rsidRPr="00930820" w:rsidRDefault="006B0D94" w:rsidP="00882085">
      <w:pPr>
        <w:pStyle w:val="ListParagraph"/>
        <w:rPr>
          <w:szCs w:val="22"/>
        </w:rPr>
      </w:pPr>
    </w:p>
    <w:p w:rsidR="00326E79" w:rsidRPr="00930820" w:rsidRDefault="00BC7DF8" w:rsidP="008A50F1">
      <w:pPr>
        <w:pStyle w:val="ListParagraph"/>
        <w:numPr>
          <w:ilvl w:val="1"/>
          <w:numId w:val="5"/>
        </w:numPr>
        <w:rPr>
          <w:szCs w:val="22"/>
        </w:rPr>
      </w:pPr>
      <w:r w:rsidRPr="00930820">
        <w:rPr>
          <w:szCs w:val="22"/>
        </w:rPr>
        <w:t xml:space="preserve">The PBAC </w:t>
      </w:r>
      <w:r w:rsidR="00287953" w:rsidRPr="00930820">
        <w:rPr>
          <w:szCs w:val="22"/>
        </w:rPr>
        <w:t xml:space="preserve">rejected a submission for </w:t>
      </w:r>
      <w:proofErr w:type="spellStart"/>
      <w:r w:rsidR="00287953" w:rsidRPr="00930820">
        <w:rPr>
          <w:szCs w:val="22"/>
        </w:rPr>
        <w:t>teriflunomide</w:t>
      </w:r>
      <w:proofErr w:type="spellEnd"/>
      <w:r w:rsidR="00287953" w:rsidRPr="00930820">
        <w:rPr>
          <w:szCs w:val="22"/>
        </w:rPr>
        <w:t xml:space="preserve"> in November 2012 </w:t>
      </w:r>
      <w:r w:rsidR="00692094" w:rsidRPr="00930820">
        <w:rPr>
          <w:szCs w:val="22"/>
        </w:rPr>
        <w:t>on the basis of insufficient evidence to support the clinical claims of non-inferior comparative effectiven</w:t>
      </w:r>
      <w:r w:rsidR="00D3026C" w:rsidRPr="00930820">
        <w:rPr>
          <w:szCs w:val="22"/>
        </w:rPr>
        <w:t>ess and superior safety over</w:t>
      </w:r>
      <w:r w:rsidR="00522596" w:rsidRPr="00930820">
        <w:rPr>
          <w:szCs w:val="22"/>
        </w:rPr>
        <w:t xml:space="preserve"> </w:t>
      </w:r>
      <w:r w:rsidR="00D3026C" w:rsidRPr="00930820">
        <w:rPr>
          <w:szCs w:val="22"/>
        </w:rPr>
        <w:t>interferon β-1a (IFN β-1a) and interferon β</w:t>
      </w:r>
      <w:r w:rsidR="00D3026C" w:rsidRPr="00930820">
        <w:rPr>
          <w:szCs w:val="22"/>
        </w:rPr>
        <w:noBreakHyphen/>
        <w:t>1b (IFN β-1b)</w:t>
      </w:r>
      <w:r w:rsidR="00692094" w:rsidRPr="00930820">
        <w:rPr>
          <w:szCs w:val="22"/>
        </w:rPr>
        <w:t>.</w:t>
      </w:r>
    </w:p>
    <w:p w:rsidR="00692094" w:rsidRPr="00930820" w:rsidRDefault="00692094" w:rsidP="00692094">
      <w:pPr>
        <w:pStyle w:val="ListParagraph"/>
        <w:rPr>
          <w:szCs w:val="22"/>
        </w:rPr>
      </w:pPr>
    </w:p>
    <w:p w:rsidR="00692094" w:rsidRPr="00930820" w:rsidRDefault="00692094" w:rsidP="008A50F1">
      <w:pPr>
        <w:pStyle w:val="ListParagraph"/>
        <w:numPr>
          <w:ilvl w:val="1"/>
          <w:numId w:val="5"/>
        </w:numPr>
        <w:rPr>
          <w:szCs w:val="22"/>
        </w:rPr>
      </w:pPr>
      <w:r w:rsidRPr="00930820">
        <w:rPr>
          <w:szCs w:val="22"/>
        </w:rPr>
        <w:t xml:space="preserve">The PBAC recommended </w:t>
      </w:r>
      <w:proofErr w:type="spellStart"/>
      <w:r w:rsidR="003B58C0" w:rsidRPr="00930820">
        <w:rPr>
          <w:szCs w:val="22"/>
        </w:rPr>
        <w:t>teriflunomide</w:t>
      </w:r>
      <w:proofErr w:type="spellEnd"/>
      <w:r w:rsidR="003B58C0" w:rsidRPr="00930820">
        <w:rPr>
          <w:szCs w:val="22"/>
        </w:rPr>
        <w:t xml:space="preserve"> </w:t>
      </w:r>
      <w:r w:rsidRPr="00930820">
        <w:rPr>
          <w:szCs w:val="22"/>
        </w:rPr>
        <w:t>in July 2013 on a cost minimisation basis with IFN β-1a and IFN β-1b. The PBAC consid</w:t>
      </w:r>
      <w:r w:rsidR="006C01A8" w:rsidRPr="00930820">
        <w:rPr>
          <w:szCs w:val="22"/>
        </w:rPr>
        <w:t xml:space="preserve">ered that </w:t>
      </w:r>
      <w:proofErr w:type="spellStart"/>
      <w:r w:rsidR="006C01A8" w:rsidRPr="00930820">
        <w:rPr>
          <w:szCs w:val="22"/>
        </w:rPr>
        <w:t>teriflunomide</w:t>
      </w:r>
      <w:proofErr w:type="spellEnd"/>
      <w:r w:rsidR="006C01A8" w:rsidRPr="00930820">
        <w:rPr>
          <w:szCs w:val="22"/>
        </w:rPr>
        <w:t xml:space="preserve"> was non</w:t>
      </w:r>
      <w:r w:rsidR="006C01A8" w:rsidRPr="00930820">
        <w:rPr>
          <w:szCs w:val="22"/>
        </w:rPr>
        <w:noBreakHyphen/>
      </w:r>
      <w:r w:rsidRPr="00930820">
        <w:rPr>
          <w:szCs w:val="22"/>
        </w:rPr>
        <w:t>inferior to the beta interferons in ter</w:t>
      </w:r>
      <w:r w:rsidR="003B58C0" w:rsidRPr="00930820">
        <w:rPr>
          <w:szCs w:val="22"/>
        </w:rPr>
        <w:t>ms of comparative effectiveness</w:t>
      </w:r>
      <w:r w:rsidRPr="00930820">
        <w:rPr>
          <w:szCs w:val="22"/>
        </w:rPr>
        <w:t xml:space="preserve"> and</w:t>
      </w:r>
      <w:r w:rsidR="000658C0" w:rsidRPr="00930820">
        <w:rPr>
          <w:szCs w:val="22"/>
        </w:rPr>
        <w:t xml:space="preserve"> had a different, but not worse,</w:t>
      </w:r>
      <w:r w:rsidRPr="00930820">
        <w:rPr>
          <w:szCs w:val="22"/>
        </w:rPr>
        <w:t xml:space="preserve"> safety profile.</w:t>
      </w:r>
    </w:p>
    <w:p w:rsidR="003B58C0" w:rsidRPr="00930820" w:rsidRDefault="003B58C0" w:rsidP="003B58C0">
      <w:pPr>
        <w:pStyle w:val="ListParagraph"/>
        <w:rPr>
          <w:szCs w:val="22"/>
        </w:rPr>
      </w:pPr>
    </w:p>
    <w:p w:rsidR="003B58C0" w:rsidRPr="00930820" w:rsidRDefault="003B58C0" w:rsidP="008A50F1">
      <w:pPr>
        <w:pStyle w:val="ListParagraph"/>
        <w:numPr>
          <w:ilvl w:val="1"/>
          <w:numId w:val="5"/>
        </w:numPr>
        <w:rPr>
          <w:szCs w:val="22"/>
        </w:rPr>
      </w:pPr>
      <w:r w:rsidRPr="00930820">
        <w:rPr>
          <w:szCs w:val="22"/>
        </w:rPr>
        <w:t>In making its recommendation, the PBAC considered the estimated extent of use and financial implications w</w:t>
      </w:r>
      <w:r w:rsidR="00FA39D2" w:rsidRPr="00930820">
        <w:rPr>
          <w:szCs w:val="22"/>
        </w:rPr>
        <w:t>ere</w:t>
      </w:r>
      <w:r w:rsidRPr="00930820">
        <w:rPr>
          <w:szCs w:val="22"/>
        </w:rPr>
        <w:t xml:space="preserve"> uncertain. A Risk Share Arrangement</w:t>
      </w:r>
      <w:r w:rsidR="007E11F2" w:rsidRPr="00930820">
        <w:rPr>
          <w:szCs w:val="22"/>
        </w:rPr>
        <w:t xml:space="preserve"> </w:t>
      </w:r>
      <w:r w:rsidR="006802BC" w:rsidRPr="00930820">
        <w:rPr>
          <w:szCs w:val="22"/>
        </w:rPr>
        <w:t xml:space="preserve">(RSA) </w:t>
      </w:r>
      <w:r w:rsidR="007E11F2" w:rsidRPr="00930820">
        <w:rPr>
          <w:szCs w:val="22"/>
        </w:rPr>
        <w:t xml:space="preserve">with annual </w:t>
      </w:r>
      <w:r w:rsidR="007E11F2" w:rsidRPr="00930820">
        <w:rPr>
          <w:szCs w:val="22"/>
        </w:rPr>
        <w:lastRenderedPageBreak/>
        <w:t>Commonwealth expenditure cap</w:t>
      </w:r>
      <w:r w:rsidR="009F6C33">
        <w:rPr>
          <w:szCs w:val="22"/>
        </w:rPr>
        <w:t xml:space="preserve"> is in place for </w:t>
      </w:r>
      <w:proofErr w:type="spellStart"/>
      <w:r w:rsidR="009F6C33">
        <w:rPr>
          <w:szCs w:val="22"/>
        </w:rPr>
        <w:t>teriflunomide</w:t>
      </w:r>
      <w:proofErr w:type="spellEnd"/>
      <w:r w:rsidR="009F6C33">
        <w:rPr>
          <w:szCs w:val="22"/>
        </w:rPr>
        <w:t>.</w:t>
      </w:r>
    </w:p>
    <w:p w:rsidR="00692094" w:rsidRPr="00930820" w:rsidRDefault="00692094" w:rsidP="00692094">
      <w:pPr>
        <w:pStyle w:val="ListParagraph"/>
        <w:rPr>
          <w:szCs w:val="22"/>
        </w:rPr>
      </w:pPr>
    </w:p>
    <w:p w:rsidR="00692094" w:rsidRPr="00930820" w:rsidRDefault="00692094" w:rsidP="00F4120D">
      <w:pPr>
        <w:pStyle w:val="ListParagraph"/>
        <w:numPr>
          <w:ilvl w:val="1"/>
          <w:numId w:val="5"/>
        </w:numPr>
        <w:rPr>
          <w:szCs w:val="22"/>
        </w:rPr>
      </w:pPr>
      <w:r w:rsidRPr="00930820">
        <w:rPr>
          <w:szCs w:val="22"/>
        </w:rPr>
        <w:t>Other drugs are PBS listed for the treatment of RRMS. These include subcutaneous and intramuscular forms of IFN</w:t>
      </w:r>
      <w:r w:rsidR="00BD5BFD" w:rsidRPr="00930820">
        <w:rPr>
          <w:szCs w:val="22"/>
        </w:rPr>
        <w:t xml:space="preserve"> β-1a, IFN </w:t>
      </w:r>
      <w:r w:rsidR="00F4120D" w:rsidRPr="00930820">
        <w:rPr>
          <w:szCs w:val="22"/>
        </w:rPr>
        <w:t xml:space="preserve">β-1b, </w:t>
      </w:r>
      <w:proofErr w:type="spellStart"/>
      <w:r w:rsidR="00F4120D" w:rsidRPr="00930820">
        <w:rPr>
          <w:szCs w:val="22"/>
        </w:rPr>
        <w:t>glatiramer</w:t>
      </w:r>
      <w:proofErr w:type="spellEnd"/>
      <w:r w:rsidR="00F4120D" w:rsidRPr="00930820">
        <w:rPr>
          <w:szCs w:val="22"/>
        </w:rPr>
        <w:t xml:space="preserve"> acetate</w:t>
      </w:r>
      <w:r w:rsidR="00A9397B" w:rsidRPr="00930820">
        <w:rPr>
          <w:szCs w:val="22"/>
        </w:rPr>
        <w:t xml:space="preserve">, </w:t>
      </w:r>
      <w:proofErr w:type="spellStart"/>
      <w:r w:rsidR="00A9397B" w:rsidRPr="00930820">
        <w:rPr>
          <w:szCs w:val="22"/>
        </w:rPr>
        <w:t>pegylated</w:t>
      </w:r>
      <w:proofErr w:type="spellEnd"/>
      <w:r w:rsidR="00A9397B" w:rsidRPr="00930820">
        <w:rPr>
          <w:szCs w:val="22"/>
        </w:rPr>
        <w:t xml:space="preserve"> IFN β</w:t>
      </w:r>
      <w:r w:rsidR="00A9397B" w:rsidRPr="00930820">
        <w:rPr>
          <w:szCs w:val="22"/>
        </w:rPr>
        <w:noBreakHyphen/>
      </w:r>
      <w:r w:rsidR="00BD5BFD" w:rsidRPr="00930820">
        <w:rPr>
          <w:szCs w:val="22"/>
        </w:rPr>
        <w:t xml:space="preserve">1a (Peg-IFN β-1a), dimethyl </w:t>
      </w:r>
      <w:proofErr w:type="spellStart"/>
      <w:r w:rsidR="00BD5BFD" w:rsidRPr="00930820">
        <w:rPr>
          <w:szCs w:val="22"/>
        </w:rPr>
        <w:t>fumarate</w:t>
      </w:r>
      <w:proofErr w:type="spellEnd"/>
      <w:r w:rsidR="00BD5BFD" w:rsidRPr="00930820">
        <w:rPr>
          <w:szCs w:val="22"/>
        </w:rPr>
        <w:t xml:space="preserve"> (DMF), </w:t>
      </w:r>
      <w:proofErr w:type="spellStart"/>
      <w:r w:rsidR="00BD5BFD" w:rsidRPr="00930820">
        <w:rPr>
          <w:szCs w:val="22"/>
        </w:rPr>
        <w:t>fingolimod</w:t>
      </w:r>
      <w:proofErr w:type="spellEnd"/>
      <w:r w:rsidR="00BD5BFD" w:rsidRPr="00930820">
        <w:rPr>
          <w:szCs w:val="22"/>
        </w:rPr>
        <w:t xml:space="preserve">, </w:t>
      </w:r>
      <w:proofErr w:type="spellStart"/>
      <w:r w:rsidR="00BD5BFD" w:rsidRPr="00930820">
        <w:rPr>
          <w:szCs w:val="22"/>
        </w:rPr>
        <w:t>natalizumab</w:t>
      </w:r>
      <w:proofErr w:type="spellEnd"/>
      <w:r w:rsidR="00BD5BFD" w:rsidRPr="00930820">
        <w:rPr>
          <w:szCs w:val="22"/>
        </w:rPr>
        <w:t xml:space="preserve"> and </w:t>
      </w:r>
      <w:proofErr w:type="spellStart"/>
      <w:r w:rsidR="00BD5BFD" w:rsidRPr="00930820">
        <w:rPr>
          <w:szCs w:val="22"/>
        </w:rPr>
        <w:t>alemtuzumab</w:t>
      </w:r>
      <w:proofErr w:type="spellEnd"/>
      <w:r w:rsidR="00BD5BFD" w:rsidRPr="00930820">
        <w:rPr>
          <w:szCs w:val="22"/>
        </w:rPr>
        <w:t xml:space="preserve">. </w:t>
      </w:r>
      <w:r w:rsidR="00F4120D" w:rsidRPr="00930820">
        <w:rPr>
          <w:szCs w:val="22"/>
        </w:rPr>
        <w:t>Older treatments for RRMS, includin</w:t>
      </w:r>
      <w:r w:rsidR="000658C0" w:rsidRPr="00930820">
        <w:rPr>
          <w:szCs w:val="22"/>
        </w:rPr>
        <w:t>g both forms of IFN β</w:t>
      </w:r>
      <w:r w:rsidR="000658C0" w:rsidRPr="00930820">
        <w:rPr>
          <w:szCs w:val="22"/>
        </w:rPr>
        <w:noBreakHyphen/>
        <w:t>1a, IFN β</w:t>
      </w:r>
      <w:r w:rsidR="000658C0" w:rsidRPr="00930820">
        <w:rPr>
          <w:szCs w:val="22"/>
        </w:rPr>
        <w:noBreakHyphen/>
      </w:r>
      <w:r w:rsidR="00F4120D" w:rsidRPr="00930820">
        <w:rPr>
          <w:szCs w:val="22"/>
        </w:rPr>
        <w:t xml:space="preserve">1b and </w:t>
      </w:r>
      <w:proofErr w:type="spellStart"/>
      <w:r w:rsidR="00F4120D" w:rsidRPr="00930820">
        <w:rPr>
          <w:szCs w:val="22"/>
        </w:rPr>
        <w:t>glatiramer</w:t>
      </w:r>
      <w:proofErr w:type="spellEnd"/>
      <w:r w:rsidR="00F4120D" w:rsidRPr="00930820">
        <w:rPr>
          <w:szCs w:val="22"/>
        </w:rPr>
        <w:t xml:space="preserve"> acetate</w:t>
      </w:r>
      <w:r w:rsidR="00C75931" w:rsidRPr="00930820">
        <w:rPr>
          <w:szCs w:val="22"/>
        </w:rPr>
        <w:t xml:space="preserve"> are often termed ‘ABCR therapies</w:t>
      </w:r>
      <w:r w:rsidR="00F4120D" w:rsidRPr="00930820">
        <w:rPr>
          <w:szCs w:val="22"/>
        </w:rPr>
        <w:t>’, a reference to the trade names of these products (</w:t>
      </w:r>
      <w:proofErr w:type="spellStart"/>
      <w:r w:rsidR="00F4120D" w:rsidRPr="00930820">
        <w:rPr>
          <w:szCs w:val="22"/>
        </w:rPr>
        <w:t>Avonex</w:t>
      </w:r>
      <w:proofErr w:type="spellEnd"/>
      <w:r w:rsidR="00186420" w:rsidRPr="00930820">
        <w:rPr>
          <w:szCs w:val="22"/>
          <w:vertAlign w:val="superscript"/>
        </w:rPr>
        <w:t>®</w:t>
      </w:r>
      <w:r w:rsidR="00F4120D" w:rsidRPr="00930820">
        <w:rPr>
          <w:szCs w:val="22"/>
        </w:rPr>
        <w:t xml:space="preserve">, </w:t>
      </w:r>
      <w:proofErr w:type="spellStart"/>
      <w:r w:rsidR="00F4120D" w:rsidRPr="00930820">
        <w:rPr>
          <w:szCs w:val="22"/>
        </w:rPr>
        <w:t>Betaferon</w:t>
      </w:r>
      <w:proofErr w:type="spellEnd"/>
      <w:r w:rsidR="00186420" w:rsidRPr="00930820">
        <w:rPr>
          <w:szCs w:val="22"/>
          <w:vertAlign w:val="superscript"/>
        </w:rPr>
        <w:t>®</w:t>
      </w:r>
      <w:r w:rsidR="00F4120D" w:rsidRPr="00930820">
        <w:rPr>
          <w:szCs w:val="22"/>
        </w:rPr>
        <w:t xml:space="preserve">, </w:t>
      </w:r>
      <w:proofErr w:type="spellStart"/>
      <w:r w:rsidR="00F4120D" w:rsidRPr="00930820">
        <w:rPr>
          <w:szCs w:val="22"/>
        </w:rPr>
        <w:t>Copaxone</w:t>
      </w:r>
      <w:proofErr w:type="spellEnd"/>
      <w:r w:rsidR="00186420" w:rsidRPr="00930820">
        <w:rPr>
          <w:szCs w:val="22"/>
          <w:vertAlign w:val="superscript"/>
        </w:rPr>
        <w:t>®</w:t>
      </w:r>
      <w:r w:rsidR="00F4120D" w:rsidRPr="00930820">
        <w:rPr>
          <w:szCs w:val="22"/>
        </w:rPr>
        <w:t xml:space="preserve"> and </w:t>
      </w:r>
      <w:proofErr w:type="spellStart"/>
      <w:r w:rsidR="00F4120D" w:rsidRPr="00930820">
        <w:rPr>
          <w:szCs w:val="22"/>
        </w:rPr>
        <w:t>Rebif</w:t>
      </w:r>
      <w:proofErr w:type="spellEnd"/>
      <w:r w:rsidR="00186420" w:rsidRPr="00930820">
        <w:rPr>
          <w:szCs w:val="22"/>
          <w:vertAlign w:val="superscript"/>
        </w:rPr>
        <w:t>®</w:t>
      </w:r>
      <w:r w:rsidR="00F4120D" w:rsidRPr="00930820">
        <w:rPr>
          <w:szCs w:val="22"/>
        </w:rPr>
        <w:t>).</w:t>
      </w:r>
    </w:p>
    <w:p w:rsidR="003B58C0" w:rsidRPr="00930820" w:rsidRDefault="003B58C0" w:rsidP="003B58C0">
      <w:pPr>
        <w:pStyle w:val="ListParagraph"/>
        <w:rPr>
          <w:szCs w:val="22"/>
        </w:rPr>
      </w:pPr>
    </w:p>
    <w:p w:rsidR="003B58C0" w:rsidRPr="00930820" w:rsidRDefault="003B58C0" w:rsidP="008A50F1">
      <w:pPr>
        <w:pStyle w:val="ListParagraph"/>
        <w:numPr>
          <w:ilvl w:val="1"/>
          <w:numId w:val="5"/>
        </w:numPr>
        <w:rPr>
          <w:szCs w:val="22"/>
        </w:rPr>
      </w:pPr>
      <w:r w:rsidRPr="00930820">
        <w:rPr>
          <w:szCs w:val="22"/>
        </w:rPr>
        <w:t xml:space="preserve">All oral treatments for RRMS, including </w:t>
      </w:r>
      <w:proofErr w:type="spellStart"/>
      <w:r w:rsidRPr="00930820">
        <w:rPr>
          <w:szCs w:val="22"/>
        </w:rPr>
        <w:t>teriflunomide</w:t>
      </w:r>
      <w:proofErr w:type="spellEnd"/>
      <w:r w:rsidRPr="00930820">
        <w:rPr>
          <w:szCs w:val="22"/>
        </w:rPr>
        <w:t xml:space="preserve">, DMF and </w:t>
      </w:r>
      <w:proofErr w:type="spellStart"/>
      <w:r w:rsidRPr="00930820">
        <w:rPr>
          <w:szCs w:val="22"/>
        </w:rPr>
        <w:t>fingolimod</w:t>
      </w:r>
      <w:proofErr w:type="spellEnd"/>
      <w:r w:rsidRPr="00930820">
        <w:rPr>
          <w:szCs w:val="22"/>
        </w:rPr>
        <w:t xml:space="preserve"> are currently Authority </w:t>
      </w:r>
      <w:proofErr w:type="gramStart"/>
      <w:r w:rsidRPr="00930820">
        <w:rPr>
          <w:szCs w:val="22"/>
        </w:rPr>
        <w:t>Required</w:t>
      </w:r>
      <w:proofErr w:type="gramEnd"/>
      <w:r w:rsidRPr="00930820">
        <w:rPr>
          <w:szCs w:val="22"/>
        </w:rPr>
        <w:t xml:space="preserve"> listings.</w:t>
      </w:r>
      <w:r w:rsidR="00654986" w:rsidRPr="00930820">
        <w:rPr>
          <w:szCs w:val="22"/>
        </w:rPr>
        <w:t xml:space="preserve"> Injectable and infusible drugs for RRMS are generally A</w:t>
      </w:r>
      <w:r w:rsidR="00C87C6B" w:rsidRPr="00930820">
        <w:rPr>
          <w:szCs w:val="22"/>
        </w:rPr>
        <w:t>uthority Required (STREAMLINED).</w:t>
      </w:r>
    </w:p>
    <w:p w:rsidR="003B58C0" w:rsidRPr="00930820" w:rsidRDefault="003B58C0" w:rsidP="003B58C0">
      <w:pPr>
        <w:pStyle w:val="ListParagraph"/>
        <w:rPr>
          <w:szCs w:val="22"/>
        </w:rPr>
      </w:pPr>
    </w:p>
    <w:p w:rsidR="003B58C0" w:rsidRPr="00930820" w:rsidRDefault="003B58C0" w:rsidP="008A50F1">
      <w:pPr>
        <w:pStyle w:val="ListParagraph"/>
        <w:numPr>
          <w:ilvl w:val="1"/>
          <w:numId w:val="5"/>
        </w:numPr>
        <w:rPr>
          <w:szCs w:val="22"/>
        </w:rPr>
      </w:pPr>
      <w:r w:rsidRPr="00930820">
        <w:rPr>
          <w:szCs w:val="22"/>
        </w:rPr>
        <w:t xml:space="preserve">The Drug Utilisation Sub-Committee (DUSC) reviewed </w:t>
      </w:r>
      <w:r w:rsidR="007E11F2" w:rsidRPr="00930820">
        <w:rPr>
          <w:szCs w:val="22"/>
        </w:rPr>
        <w:t>the utilisation of RRMS drugs</w:t>
      </w:r>
      <w:r w:rsidRPr="00930820">
        <w:rPr>
          <w:szCs w:val="22"/>
        </w:rPr>
        <w:t xml:space="preserve"> in October 2015.</w:t>
      </w:r>
      <w:r w:rsidR="004D04D2" w:rsidRPr="00930820">
        <w:rPr>
          <w:szCs w:val="22"/>
        </w:rPr>
        <w:t xml:space="preserve"> The DUSC considered that </w:t>
      </w:r>
      <w:r w:rsidR="006F40E4" w:rsidRPr="00930820">
        <w:rPr>
          <w:szCs w:val="22"/>
        </w:rPr>
        <w:t xml:space="preserve">the use of </w:t>
      </w:r>
      <w:proofErr w:type="spellStart"/>
      <w:r w:rsidR="006F40E4" w:rsidRPr="00930820">
        <w:rPr>
          <w:szCs w:val="22"/>
        </w:rPr>
        <w:t>teriflunomide</w:t>
      </w:r>
      <w:proofErr w:type="spellEnd"/>
      <w:r w:rsidR="006F40E4" w:rsidRPr="00930820">
        <w:rPr>
          <w:szCs w:val="22"/>
        </w:rPr>
        <w:t xml:space="preserve"> had been overestimated, most likely as </w:t>
      </w:r>
      <w:r w:rsidR="00F4120D" w:rsidRPr="00930820">
        <w:rPr>
          <w:szCs w:val="22"/>
        </w:rPr>
        <w:t xml:space="preserve">a consequence of competing for market share with </w:t>
      </w:r>
      <w:r w:rsidR="006F40E4" w:rsidRPr="00930820">
        <w:rPr>
          <w:szCs w:val="22"/>
        </w:rPr>
        <w:t>DMF</w:t>
      </w:r>
      <w:r w:rsidR="00F4120D" w:rsidRPr="00930820">
        <w:rPr>
          <w:szCs w:val="22"/>
        </w:rPr>
        <w:t xml:space="preserve">, as both were listed </w:t>
      </w:r>
      <w:r w:rsidR="00A9397B" w:rsidRPr="00930820">
        <w:rPr>
          <w:szCs w:val="22"/>
        </w:rPr>
        <w:t>in December 2013</w:t>
      </w:r>
      <w:r w:rsidR="006F40E4" w:rsidRPr="00930820">
        <w:rPr>
          <w:rStyle w:val="FootnoteReference"/>
          <w:szCs w:val="22"/>
        </w:rPr>
        <w:footnoteReference w:id="1"/>
      </w:r>
      <w:r w:rsidR="006F40E4" w:rsidRPr="00930820">
        <w:rPr>
          <w:szCs w:val="22"/>
        </w:rPr>
        <w:t>.</w:t>
      </w:r>
    </w:p>
    <w:p w:rsidR="00863A24" w:rsidRPr="00930820" w:rsidRDefault="00863A24" w:rsidP="00863A24">
      <w:pPr>
        <w:pStyle w:val="ListParagraph"/>
        <w:rPr>
          <w:szCs w:val="22"/>
        </w:rPr>
      </w:pPr>
    </w:p>
    <w:p w:rsidR="00863A24" w:rsidRPr="00930820" w:rsidRDefault="00863A24" w:rsidP="008A50F1">
      <w:pPr>
        <w:pStyle w:val="ListParagraph"/>
        <w:numPr>
          <w:ilvl w:val="1"/>
          <w:numId w:val="5"/>
        </w:numPr>
        <w:rPr>
          <w:szCs w:val="22"/>
        </w:rPr>
      </w:pPr>
      <w:r w:rsidRPr="00930820">
        <w:rPr>
          <w:szCs w:val="22"/>
        </w:rPr>
        <w:t>The PBAC previously considered the authority levels of medicines used to treat RRMS as part of the Post-market Review of Authority Required PBS listings, and recommended in December 2014. At that time, the PBAC recommended reducing the restriction levels of the ABCR therapies to Authority Required (STREAMLINED), and considered that, given the oral therapies were only recently listed, that the market for those treatments had not stabilised.</w:t>
      </w:r>
    </w:p>
    <w:p w:rsidR="00BB7EC3" w:rsidRDefault="00BB7EC3" w:rsidP="00882085">
      <w:pPr>
        <w:pStyle w:val="Header"/>
        <w:tabs>
          <w:tab w:val="clear" w:pos="4153"/>
          <w:tab w:val="clear" w:pos="8306"/>
        </w:tabs>
        <w:jc w:val="both"/>
        <w:rPr>
          <w:rFonts w:ascii="Arial" w:hAnsi="Arial"/>
          <w:sz w:val="22"/>
          <w:szCs w:val="22"/>
        </w:rPr>
      </w:pPr>
    </w:p>
    <w:p w:rsidR="0051239C" w:rsidRDefault="0051239C">
      <w:pPr>
        <w:rPr>
          <w:rFonts w:ascii="Arial" w:hAnsi="Arial"/>
          <w:sz w:val="22"/>
          <w:szCs w:val="22"/>
        </w:rPr>
      </w:pPr>
      <w:r>
        <w:rPr>
          <w:rFonts w:ascii="Arial" w:hAnsi="Arial"/>
          <w:sz w:val="22"/>
          <w:szCs w:val="22"/>
        </w:rPr>
        <w:br w:type="page"/>
      </w:r>
    </w:p>
    <w:p w:rsidR="005A3173" w:rsidRPr="00930820" w:rsidRDefault="005A3173" w:rsidP="008A50F1">
      <w:pPr>
        <w:pStyle w:val="PBACHeading1"/>
      </w:pPr>
      <w:r w:rsidRPr="00930820">
        <w:lastRenderedPageBreak/>
        <w:t>Comparator</w:t>
      </w:r>
    </w:p>
    <w:p w:rsidR="005A3173" w:rsidRPr="00930820" w:rsidRDefault="005A3173" w:rsidP="00882085">
      <w:pPr>
        <w:pStyle w:val="Header"/>
        <w:tabs>
          <w:tab w:val="clear" w:pos="4153"/>
          <w:tab w:val="clear" w:pos="8306"/>
        </w:tabs>
        <w:jc w:val="both"/>
        <w:rPr>
          <w:rFonts w:ascii="Arial" w:hAnsi="Arial"/>
          <w:b/>
          <w:sz w:val="22"/>
          <w:szCs w:val="22"/>
        </w:rPr>
      </w:pPr>
    </w:p>
    <w:p w:rsidR="00476245" w:rsidRPr="00930820" w:rsidRDefault="00FF2801" w:rsidP="00BC7DF8">
      <w:pPr>
        <w:pStyle w:val="ListParagraph"/>
        <w:numPr>
          <w:ilvl w:val="1"/>
          <w:numId w:val="5"/>
        </w:numPr>
        <w:rPr>
          <w:szCs w:val="22"/>
        </w:rPr>
      </w:pPr>
      <w:r w:rsidRPr="00930820">
        <w:rPr>
          <w:szCs w:val="22"/>
        </w:rPr>
        <w:t xml:space="preserve">The </w:t>
      </w:r>
      <w:r w:rsidR="00BC7DF8" w:rsidRPr="00930820">
        <w:rPr>
          <w:szCs w:val="22"/>
        </w:rPr>
        <w:t xml:space="preserve">PBAC has previously accepted IFN β-1a and IFN β-1b </w:t>
      </w:r>
      <w:r w:rsidR="00C850C1" w:rsidRPr="00930820">
        <w:rPr>
          <w:szCs w:val="22"/>
        </w:rPr>
        <w:t>as</w:t>
      </w:r>
      <w:r w:rsidR="00BC7DF8" w:rsidRPr="00930820">
        <w:rPr>
          <w:szCs w:val="22"/>
        </w:rPr>
        <w:t xml:space="preserve"> appropriate comparators.</w:t>
      </w:r>
    </w:p>
    <w:p w:rsidR="00BD5BFD" w:rsidRPr="00930820" w:rsidRDefault="00BD5BFD" w:rsidP="004D04D2"/>
    <w:p w:rsidR="004D04D2" w:rsidRPr="00930820" w:rsidRDefault="00BD5BFD" w:rsidP="00476245">
      <w:pPr>
        <w:pStyle w:val="ListParagraph"/>
        <w:numPr>
          <w:ilvl w:val="1"/>
          <w:numId w:val="5"/>
        </w:numPr>
        <w:rPr>
          <w:szCs w:val="22"/>
        </w:rPr>
      </w:pPr>
      <w:r w:rsidRPr="00930820">
        <w:rPr>
          <w:szCs w:val="22"/>
        </w:rPr>
        <w:t xml:space="preserve">A range of treatments were listed on cost-minimisation bases to other drugs used in the treatment of RRMS. </w:t>
      </w:r>
      <w:proofErr w:type="spellStart"/>
      <w:r w:rsidR="00616C10" w:rsidRPr="00930820">
        <w:rPr>
          <w:szCs w:val="22"/>
        </w:rPr>
        <w:t>Teriflunomide</w:t>
      </w:r>
      <w:proofErr w:type="spellEnd"/>
      <w:r w:rsidR="0073686D" w:rsidRPr="00930820">
        <w:rPr>
          <w:szCs w:val="22"/>
        </w:rPr>
        <w:t xml:space="preserve"> and</w:t>
      </w:r>
      <w:r w:rsidR="00616C10" w:rsidRPr="00930820">
        <w:rPr>
          <w:szCs w:val="22"/>
        </w:rPr>
        <w:t xml:space="preserve"> </w:t>
      </w:r>
      <w:r w:rsidR="000658C0" w:rsidRPr="00930820">
        <w:rPr>
          <w:szCs w:val="22"/>
        </w:rPr>
        <w:t>DMF</w:t>
      </w:r>
      <w:r w:rsidR="00616C10" w:rsidRPr="00930820">
        <w:rPr>
          <w:szCs w:val="22"/>
        </w:rPr>
        <w:t xml:space="preserve"> </w:t>
      </w:r>
      <w:r w:rsidR="000658C0" w:rsidRPr="00930820">
        <w:rPr>
          <w:szCs w:val="22"/>
        </w:rPr>
        <w:t>were both listed on cost minimisation bases with one or more of the individual drugs comprising the ABCR therapies.</w:t>
      </w:r>
    </w:p>
    <w:p w:rsidR="00AB36D6" w:rsidRPr="00930820" w:rsidRDefault="00AB36D6" w:rsidP="00BB627C"/>
    <w:p w:rsidR="00720793" w:rsidRPr="00930820" w:rsidRDefault="00720793" w:rsidP="00720793">
      <w:pPr>
        <w:ind w:firstLine="720"/>
        <w:rPr>
          <w:rFonts w:ascii="Arial" w:hAnsi="Arial" w:cs="Arial"/>
          <w:bCs/>
          <w:snapToGrid w:val="0"/>
          <w:sz w:val="22"/>
          <w:szCs w:val="22"/>
        </w:rPr>
      </w:pPr>
      <w:r w:rsidRPr="00930820">
        <w:rPr>
          <w:rFonts w:ascii="Arial" w:hAnsi="Arial" w:cs="Arial"/>
          <w:bCs/>
          <w:i/>
          <w:snapToGrid w:val="0"/>
          <w:sz w:val="22"/>
          <w:szCs w:val="22"/>
        </w:rPr>
        <w:t>For more detail on PBAC’s view, see section 6 “PBAC outcome”</w:t>
      </w:r>
      <w:r w:rsidR="0075112D">
        <w:rPr>
          <w:rFonts w:ascii="Arial" w:hAnsi="Arial" w:cs="Arial"/>
          <w:bCs/>
          <w:i/>
          <w:snapToGrid w:val="0"/>
          <w:sz w:val="22"/>
          <w:szCs w:val="22"/>
        </w:rPr>
        <w:t>.</w:t>
      </w:r>
    </w:p>
    <w:p w:rsidR="00720793" w:rsidRPr="00930820" w:rsidRDefault="00720793" w:rsidP="00BB627C"/>
    <w:p w:rsidR="00C850C1" w:rsidRPr="00930820" w:rsidRDefault="00C850C1" w:rsidP="00BB627C"/>
    <w:p w:rsidR="000B558D" w:rsidRPr="00930820" w:rsidRDefault="008D7A41" w:rsidP="008A50F1">
      <w:pPr>
        <w:pStyle w:val="PBACHeading1"/>
      </w:pPr>
      <w:r w:rsidRPr="00930820">
        <w:t>C</w:t>
      </w:r>
      <w:r w:rsidR="00D84934" w:rsidRPr="00930820">
        <w:t>onsideration of the evidence</w:t>
      </w:r>
    </w:p>
    <w:p w:rsidR="00A55FEE" w:rsidRPr="00930820" w:rsidRDefault="00A55FEE" w:rsidP="005638A8">
      <w:pPr>
        <w:jc w:val="both"/>
        <w:rPr>
          <w:rFonts w:ascii="Arial" w:hAnsi="Arial"/>
          <w:b/>
          <w:i/>
          <w:sz w:val="22"/>
          <w:szCs w:val="22"/>
        </w:rPr>
      </w:pPr>
    </w:p>
    <w:p w:rsidR="00720793" w:rsidRPr="00930820" w:rsidRDefault="00720793" w:rsidP="00720793">
      <w:pPr>
        <w:outlineLvl w:val="1"/>
        <w:rPr>
          <w:rFonts w:ascii="Arial" w:hAnsi="Arial" w:cs="Arial"/>
          <w:b/>
          <w:bCs/>
          <w:snapToGrid w:val="0"/>
          <w:sz w:val="22"/>
          <w:szCs w:val="22"/>
        </w:rPr>
      </w:pPr>
      <w:r w:rsidRPr="00930820">
        <w:rPr>
          <w:rFonts w:ascii="Arial" w:hAnsi="Arial" w:cs="Arial"/>
          <w:b/>
          <w:bCs/>
          <w:snapToGrid w:val="0"/>
          <w:sz w:val="22"/>
          <w:szCs w:val="22"/>
        </w:rPr>
        <w:t>Sponsor hearing</w:t>
      </w:r>
    </w:p>
    <w:p w:rsidR="00720793" w:rsidRPr="00930820" w:rsidRDefault="00720793" w:rsidP="00720793">
      <w:pPr>
        <w:rPr>
          <w:rFonts w:ascii="Arial" w:hAnsi="Arial" w:cs="Arial"/>
          <w:bCs/>
          <w:snapToGrid w:val="0"/>
          <w:sz w:val="22"/>
          <w:szCs w:val="22"/>
        </w:rPr>
      </w:pPr>
    </w:p>
    <w:p w:rsidR="00720793" w:rsidRPr="00930820" w:rsidRDefault="00720793" w:rsidP="00720793">
      <w:pPr>
        <w:numPr>
          <w:ilvl w:val="1"/>
          <w:numId w:val="5"/>
        </w:numPr>
        <w:rPr>
          <w:rFonts w:ascii="Arial" w:hAnsi="Arial" w:cs="Arial"/>
          <w:bCs/>
          <w:snapToGrid w:val="0"/>
          <w:sz w:val="22"/>
          <w:szCs w:val="22"/>
        </w:rPr>
      </w:pPr>
      <w:r w:rsidRPr="00930820">
        <w:rPr>
          <w:rFonts w:ascii="Arial" w:hAnsi="Arial" w:cs="Arial"/>
          <w:bCs/>
          <w:snapToGrid w:val="0"/>
          <w:sz w:val="22"/>
          <w:szCs w:val="22"/>
        </w:rPr>
        <w:t>There was no hearing for this item as it was a minor submission.</w:t>
      </w:r>
    </w:p>
    <w:p w:rsidR="00720793" w:rsidRPr="00930820" w:rsidRDefault="00720793" w:rsidP="00720793">
      <w:pPr>
        <w:rPr>
          <w:rFonts w:ascii="Arial" w:hAnsi="Arial" w:cs="Arial"/>
          <w:bCs/>
          <w:snapToGrid w:val="0"/>
          <w:sz w:val="22"/>
          <w:szCs w:val="22"/>
        </w:rPr>
      </w:pPr>
    </w:p>
    <w:p w:rsidR="00720793" w:rsidRPr="00930820" w:rsidRDefault="00720793" w:rsidP="00720793">
      <w:pPr>
        <w:outlineLvl w:val="1"/>
        <w:rPr>
          <w:rFonts w:ascii="Arial" w:hAnsi="Arial" w:cs="Arial"/>
          <w:b/>
          <w:bCs/>
          <w:snapToGrid w:val="0"/>
          <w:sz w:val="22"/>
          <w:szCs w:val="22"/>
        </w:rPr>
      </w:pPr>
      <w:r w:rsidRPr="00930820">
        <w:rPr>
          <w:rFonts w:ascii="Arial" w:hAnsi="Arial" w:cs="Arial"/>
          <w:b/>
          <w:bCs/>
          <w:snapToGrid w:val="0"/>
          <w:sz w:val="22"/>
          <w:szCs w:val="22"/>
        </w:rPr>
        <w:t>Consumer comments</w:t>
      </w:r>
    </w:p>
    <w:p w:rsidR="00720793" w:rsidRPr="00930820" w:rsidRDefault="00720793" w:rsidP="00720793">
      <w:pPr>
        <w:rPr>
          <w:rFonts w:ascii="Arial" w:hAnsi="Arial" w:cs="Arial"/>
          <w:bCs/>
          <w:snapToGrid w:val="0"/>
          <w:sz w:val="22"/>
          <w:szCs w:val="22"/>
        </w:rPr>
      </w:pPr>
    </w:p>
    <w:p w:rsidR="00720793" w:rsidRPr="00930820" w:rsidRDefault="00720793" w:rsidP="00720793">
      <w:pPr>
        <w:numPr>
          <w:ilvl w:val="1"/>
          <w:numId w:val="5"/>
        </w:numPr>
        <w:rPr>
          <w:rFonts w:ascii="Arial" w:hAnsi="Arial" w:cs="Arial"/>
          <w:bCs/>
          <w:snapToGrid w:val="0"/>
          <w:sz w:val="22"/>
          <w:szCs w:val="22"/>
        </w:rPr>
      </w:pPr>
      <w:r w:rsidRPr="00930820">
        <w:rPr>
          <w:rFonts w:ascii="Arial" w:hAnsi="Arial" w:cs="Arial"/>
          <w:bCs/>
          <w:snapToGrid w:val="0"/>
          <w:sz w:val="22"/>
          <w:szCs w:val="22"/>
        </w:rPr>
        <w:t>The PBAC noted that no consumer comments were received for this item.</w:t>
      </w:r>
    </w:p>
    <w:p w:rsidR="00720793" w:rsidRPr="00930820" w:rsidRDefault="00720793" w:rsidP="005638A8">
      <w:pPr>
        <w:jc w:val="both"/>
        <w:rPr>
          <w:rFonts w:ascii="Arial" w:hAnsi="Arial"/>
          <w:b/>
          <w:i/>
          <w:sz w:val="22"/>
          <w:szCs w:val="22"/>
        </w:rPr>
      </w:pPr>
    </w:p>
    <w:p w:rsidR="005A3173" w:rsidRPr="00930820" w:rsidRDefault="005A3173" w:rsidP="00B1059E">
      <w:pPr>
        <w:pStyle w:val="Heading2"/>
      </w:pPr>
      <w:r w:rsidRPr="00930820">
        <w:t>Estimated PBS usage &amp; financial implications</w:t>
      </w:r>
    </w:p>
    <w:p w:rsidR="005A3173" w:rsidRPr="00930820" w:rsidRDefault="005A3173" w:rsidP="00882085">
      <w:pPr>
        <w:ind w:left="720" w:hanging="720"/>
        <w:jc w:val="both"/>
        <w:rPr>
          <w:rFonts w:ascii="Arial" w:hAnsi="Arial"/>
          <w:b/>
          <w:i/>
          <w:sz w:val="22"/>
          <w:szCs w:val="22"/>
        </w:rPr>
      </w:pPr>
    </w:p>
    <w:p w:rsidR="006802BC" w:rsidRPr="00930820" w:rsidRDefault="007E11F2" w:rsidP="006802BC">
      <w:pPr>
        <w:pStyle w:val="ListParagraph"/>
        <w:numPr>
          <w:ilvl w:val="1"/>
          <w:numId w:val="5"/>
        </w:numPr>
        <w:rPr>
          <w:szCs w:val="22"/>
        </w:rPr>
      </w:pPr>
      <w:r w:rsidRPr="00930820">
        <w:rPr>
          <w:szCs w:val="22"/>
        </w:rPr>
        <w:t xml:space="preserve">The submission argued that the utilisation of </w:t>
      </w:r>
      <w:proofErr w:type="spellStart"/>
      <w:r w:rsidRPr="00930820">
        <w:rPr>
          <w:szCs w:val="22"/>
        </w:rPr>
        <w:t>teriflunomide</w:t>
      </w:r>
      <w:proofErr w:type="spellEnd"/>
      <w:r w:rsidRPr="00930820">
        <w:rPr>
          <w:szCs w:val="22"/>
        </w:rPr>
        <w:t xml:space="preserve"> has </w:t>
      </w:r>
      <w:r w:rsidR="006802BC" w:rsidRPr="00930820">
        <w:rPr>
          <w:szCs w:val="22"/>
        </w:rPr>
        <w:t xml:space="preserve">been consistent with the estimates provided in the July 2013 submission, as Commonwealth expenditure </w:t>
      </w:r>
      <w:r w:rsidR="00557512" w:rsidRPr="00930820">
        <w:rPr>
          <w:szCs w:val="22"/>
        </w:rPr>
        <w:t>did not exceed the</w:t>
      </w:r>
      <w:r w:rsidR="006802BC" w:rsidRPr="00930820">
        <w:rPr>
          <w:szCs w:val="22"/>
        </w:rPr>
        <w:t xml:space="preserve"> caps in the existing RSA.</w:t>
      </w:r>
    </w:p>
    <w:p w:rsidR="008F697F" w:rsidRPr="00930820" w:rsidRDefault="008F697F" w:rsidP="004D04D2"/>
    <w:p w:rsidR="006802BC" w:rsidRPr="00930820" w:rsidRDefault="006802BC" w:rsidP="006802BC">
      <w:pPr>
        <w:pStyle w:val="ListParagraph"/>
        <w:numPr>
          <w:ilvl w:val="1"/>
          <w:numId w:val="5"/>
        </w:numPr>
        <w:rPr>
          <w:szCs w:val="22"/>
        </w:rPr>
      </w:pPr>
      <w:r w:rsidRPr="00930820">
        <w:rPr>
          <w:szCs w:val="22"/>
        </w:rPr>
        <w:t>Details of the RSA subsidisation cap and Commonwealth expenditure for the first two years and seven months since listing are presented in Table 1.</w:t>
      </w:r>
    </w:p>
    <w:p w:rsidR="006802BC" w:rsidRPr="00930820" w:rsidRDefault="006802BC" w:rsidP="004D04D2"/>
    <w:p w:rsidR="000B59C1" w:rsidRPr="00930820" w:rsidRDefault="000B59C1" w:rsidP="000B59C1">
      <w:pPr>
        <w:ind w:left="720"/>
        <w:rPr>
          <w:rFonts w:ascii="Arial Narrow" w:hAnsi="Arial Narrow"/>
          <w:b/>
          <w:sz w:val="20"/>
          <w:szCs w:val="20"/>
        </w:rPr>
      </w:pPr>
      <w:r w:rsidRPr="00930820">
        <w:rPr>
          <w:rFonts w:ascii="Arial Narrow" w:hAnsi="Arial Narrow"/>
          <w:b/>
          <w:sz w:val="20"/>
          <w:szCs w:val="20"/>
        </w:rPr>
        <w:t>Table 1: RSA subsidy caps and Commonwealth expenditure</w:t>
      </w:r>
      <w:r w:rsidR="00F52795" w:rsidRPr="00930820">
        <w:rPr>
          <w:rFonts w:ascii="Arial Narrow" w:hAnsi="Arial Narrow"/>
          <w:b/>
          <w:sz w:val="20"/>
          <w:szCs w:val="20"/>
        </w:rPr>
        <w:t xml:space="preserve"> over 2 years, 7 months since PBS listing</w:t>
      </w:r>
    </w:p>
    <w:tbl>
      <w:tblPr>
        <w:tblStyle w:val="TableGrid"/>
        <w:tblW w:w="0" w:type="auto"/>
        <w:tblInd w:w="817" w:type="dxa"/>
        <w:tblLook w:val="04A0" w:firstRow="1" w:lastRow="0" w:firstColumn="1" w:lastColumn="0" w:noHBand="0" w:noVBand="1"/>
        <w:tblCaption w:val="Summary of RSA caps and actual expenditure"/>
        <w:tblDescription w:val="Summary of subsidisation caps for teriflunomide Risk Share Agreement and actual PBS expenditure 2014-2016"/>
      </w:tblPr>
      <w:tblGrid>
        <w:gridCol w:w="2699"/>
        <w:gridCol w:w="2688"/>
        <w:gridCol w:w="2976"/>
      </w:tblGrid>
      <w:tr w:rsidR="006802BC" w:rsidRPr="00930820" w:rsidTr="00DE4B7F">
        <w:trPr>
          <w:tblHeader/>
        </w:trPr>
        <w:tc>
          <w:tcPr>
            <w:tcW w:w="2699" w:type="dxa"/>
          </w:tcPr>
          <w:p w:rsidR="006802BC" w:rsidRPr="00930820" w:rsidRDefault="006802BC" w:rsidP="006802BC">
            <w:pPr>
              <w:pStyle w:val="PBACHeading1"/>
              <w:numPr>
                <w:ilvl w:val="0"/>
                <w:numId w:val="0"/>
              </w:numPr>
              <w:jc w:val="center"/>
              <w:rPr>
                <w:rFonts w:ascii="Arial Narrow" w:hAnsi="Arial Narrow"/>
                <w:sz w:val="20"/>
                <w:szCs w:val="20"/>
              </w:rPr>
            </w:pPr>
            <w:r w:rsidRPr="00930820">
              <w:rPr>
                <w:rFonts w:ascii="Arial Narrow" w:hAnsi="Arial Narrow"/>
                <w:sz w:val="20"/>
                <w:szCs w:val="20"/>
              </w:rPr>
              <w:t>Time period</w:t>
            </w:r>
          </w:p>
        </w:tc>
        <w:tc>
          <w:tcPr>
            <w:tcW w:w="2688" w:type="dxa"/>
          </w:tcPr>
          <w:p w:rsidR="006802BC" w:rsidRPr="00930820" w:rsidRDefault="006E1675" w:rsidP="006802BC">
            <w:pPr>
              <w:pStyle w:val="PBACHeading1"/>
              <w:numPr>
                <w:ilvl w:val="0"/>
                <w:numId w:val="0"/>
              </w:numPr>
              <w:jc w:val="center"/>
              <w:rPr>
                <w:rFonts w:ascii="Arial Narrow" w:hAnsi="Arial Narrow"/>
                <w:sz w:val="20"/>
                <w:szCs w:val="20"/>
              </w:rPr>
            </w:pPr>
            <w:r w:rsidRPr="00930820">
              <w:rPr>
                <w:rFonts w:ascii="Arial Narrow" w:hAnsi="Arial Narrow"/>
                <w:sz w:val="20"/>
                <w:szCs w:val="20"/>
              </w:rPr>
              <w:t>Subsidisation</w:t>
            </w:r>
            <w:r w:rsidR="0051239C">
              <w:rPr>
                <w:rFonts w:ascii="Arial Narrow" w:hAnsi="Arial Narrow"/>
                <w:sz w:val="20"/>
                <w:szCs w:val="20"/>
              </w:rPr>
              <w:t xml:space="preserve"> c</w:t>
            </w:r>
            <w:r w:rsidR="006802BC" w:rsidRPr="00930820">
              <w:rPr>
                <w:rFonts w:ascii="Arial Narrow" w:hAnsi="Arial Narrow"/>
                <w:sz w:val="20"/>
                <w:szCs w:val="20"/>
              </w:rPr>
              <w:t>ap</w:t>
            </w:r>
          </w:p>
        </w:tc>
        <w:tc>
          <w:tcPr>
            <w:tcW w:w="2976" w:type="dxa"/>
          </w:tcPr>
          <w:p w:rsidR="006802BC" w:rsidRPr="00930820" w:rsidRDefault="0051239C" w:rsidP="006802BC">
            <w:pPr>
              <w:pStyle w:val="PBACHeading1"/>
              <w:numPr>
                <w:ilvl w:val="0"/>
                <w:numId w:val="0"/>
              </w:numPr>
              <w:jc w:val="center"/>
              <w:rPr>
                <w:rFonts w:ascii="Arial Narrow" w:hAnsi="Arial Narrow"/>
                <w:sz w:val="20"/>
                <w:szCs w:val="20"/>
              </w:rPr>
            </w:pPr>
            <w:r>
              <w:rPr>
                <w:rFonts w:ascii="Arial Narrow" w:hAnsi="Arial Narrow"/>
                <w:sz w:val="20"/>
                <w:szCs w:val="20"/>
              </w:rPr>
              <w:t>Commonwealth e</w:t>
            </w:r>
            <w:r w:rsidR="006802BC" w:rsidRPr="00930820">
              <w:rPr>
                <w:rFonts w:ascii="Arial Narrow" w:hAnsi="Arial Narrow"/>
                <w:sz w:val="20"/>
                <w:szCs w:val="20"/>
              </w:rPr>
              <w:t>xpenditure</w:t>
            </w:r>
          </w:p>
        </w:tc>
      </w:tr>
      <w:tr w:rsidR="006802BC" w:rsidRPr="00930820" w:rsidTr="0051239C">
        <w:tc>
          <w:tcPr>
            <w:tcW w:w="2699" w:type="dxa"/>
          </w:tcPr>
          <w:p w:rsidR="006802BC" w:rsidRPr="00930820" w:rsidRDefault="006802BC" w:rsidP="006802BC">
            <w:pPr>
              <w:pStyle w:val="PBACHeading1"/>
              <w:numPr>
                <w:ilvl w:val="0"/>
                <w:numId w:val="0"/>
              </w:numPr>
              <w:jc w:val="center"/>
              <w:rPr>
                <w:rFonts w:ascii="Arial Narrow" w:hAnsi="Arial Narrow"/>
                <w:b w:val="0"/>
                <w:sz w:val="20"/>
                <w:szCs w:val="20"/>
              </w:rPr>
            </w:pPr>
            <w:r w:rsidRPr="00930820">
              <w:rPr>
                <w:rFonts w:ascii="Arial Narrow" w:hAnsi="Arial Narrow"/>
                <w:b w:val="0"/>
                <w:sz w:val="20"/>
                <w:szCs w:val="20"/>
              </w:rPr>
              <w:t>Dec 13 – Nov 14</w:t>
            </w:r>
          </w:p>
        </w:tc>
        <w:tc>
          <w:tcPr>
            <w:tcW w:w="2688" w:type="dxa"/>
          </w:tcPr>
          <w:p w:rsidR="006802BC" w:rsidRPr="00930820" w:rsidRDefault="006802BC" w:rsidP="006802BC">
            <w:pPr>
              <w:pStyle w:val="PBACHeading1"/>
              <w:numPr>
                <w:ilvl w:val="0"/>
                <w:numId w:val="0"/>
              </w:numPr>
              <w:jc w:val="center"/>
              <w:rPr>
                <w:rFonts w:ascii="Arial Narrow" w:hAnsi="Arial Narrow"/>
                <w:b w:val="0"/>
                <w:sz w:val="20"/>
                <w:szCs w:val="20"/>
              </w:rPr>
            </w:pPr>
            <w:r w:rsidRPr="00930820">
              <w:rPr>
                <w:rFonts w:ascii="Arial Narrow" w:hAnsi="Arial Narrow"/>
                <w:b w:val="0"/>
                <w:sz w:val="20"/>
                <w:szCs w:val="20"/>
              </w:rPr>
              <w:t>$</w:t>
            </w:r>
            <w:r w:rsidR="006B4FFC">
              <w:rPr>
                <w:rFonts w:ascii="Arial Narrow" w:hAnsi="Arial Narrow"/>
                <w:b w:val="0"/>
                <w:noProof/>
                <w:color w:val="000000"/>
                <w:sz w:val="20"/>
                <w:szCs w:val="20"/>
                <w:highlight w:val="black"/>
              </w:rPr>
              <w:t>'''''''''''''''''''''''''''</w:t>
            </w:r>
          </w:p>
        </w:tc>
        <w:tc>
          <w:tcPr>
            <w:tcW w:w="2976" w:type="dxa"/>
          </w:tcPr>
          <w:p w:rsidR="006802BC" w:rsidRPr="00930820" w:rsidRDefault="00FA2A5E" w:rsidP="006802BC">
            <w:pPr>
              <w:pStyle w:val="PBACHeading1"/>
              <w:numPr>
                <w:ilvl w:val="0"/>
                <w:numId w:val="0"/>
              </w:numPr>
              <w:jc w:val="center"/>
              <w:rPr>
                <w:rFonts w:ascii="Arial Narrow" w:hAnsi="Arial Narrow"/>
                <w:b w:val="0"/>
                <w:sz w:val="20"/>
                <w:szCs w:val="20"/>
              </w:rPr>
            </w:pPr>
            <w:r w:rsidRPr="00930820">
              <w:rPr>
                <w:rFonts w:ascii="Arial Narrow" w:hAnsi="Arial Narrow"/>
                <w:b w:val="0"/>
                <w:sz w:val="20"/>
                <w:szCs w:val="20"/>
              </w:rPr>
              <w:t>$</w:t>
            </w:r>
            <w:r w:rsidR="006B4FFC">
              <w:rPr>
                <w:rFonts w:ascii="Arial Narrow" w:hAnsi="Arial Narrow"/>
                <w:b w:val="0"/>
                <w:noProof/>
                <w:color w:val="000000"/>
                <w:sz w:val="20"/>
                <w:szCs w:val="20"/>
                <w:highlight w:val="black"/>
              </w:rPr>
              <w:t>''''''''''''''''''''''</w:t>
            </w:r>
          </w:p>
        </w:tc>
      </w:tr>
      <w:tr w:rsidR="006802BC" w:rsidRPr="00930820" w:rsidTr="0051239C">
        <w:trPr>
          <w:trHeight w:val="80"/>
        </w:trPr>
        <w:tc>
          <w:tcPr>
            <w:tcW w:w="2699" w:type="dxa"/>
          </w:tcPr>
          <w:p w:rsidR="006802BC" w:rsidRPr="00930820" w:rsidRDefault="006802BC" w:rsidP="006802BC">
            <w:pPr>
              <w:pStyle w:val="PBACHeading1"/>
              <w:numPr>
                <w:ilvl w:val="0"/>
                <w:numId w:val="0"/>
              </w:numPr>
              <w:jc w:val="center"/>
              <w:rPr>
                <w:rFonts w:ascii="Arial Narrow" w:hAnsi="Arial Narrow"/>
                <w:b w:val="0"/>
                <w:sz w:val="20"/>
                <w:szCs w:val="20"/>
              </w:rPr>
            </w:pPr>
            <w:r w:rsidRPr="00930820">
              <w:rPr>
                <w:rFonts w:ascii="Arial Narrow" w:hAnsi="Arial Narrow"/>
                <w:b w:val="0"/>
                <w:sz w:val="20"/>
                <w:szCs w:val="20"/>
              </w:rPr>
              <w:t>Dec 14 – Nov 15</w:t>
            </w:r>
          </w:p>
        </w:tc>
        <w:tc>
          <w:tcPr>
            <w:tcW w:w="2688" w:type="dxa"/>
          </w:tcPr>
          <w:p w:rsidR="006802BC" w:rsidRPr="00930820" w:rsidRDefault="006802BC" w:rsidP="006802BC">
            <w:pPr>
              <w:pStyle w:val="PBACHeading1"/>
              <w:numPr>
                <w:ilvl w:val="0"/>
                <w:numId w:val="0"/>
              </w:numPr>
              <w:jc w:val="center"/>
              <w:rPr>
                <w:rFonts w:ascii="Arial Narrow" w:hAnsi="Arial Narrow"/>
                <w:b w:val="0"/>
                <w:sz w:val="20"/>
                <w:szCs w:val="20"/>
              </w:rPr>
            </w:pPr>
            <w:r w:rsidRPr="00930820">
              <w:rPr>
                <w:rFonts w:ascii="Arial Narrow" w:hAnsi="Arial Narrow"/>
                <w:b w:val="0"/>
                <w:sz w:val="20"/>
                <w:szCs w:val="20"/>
              </w:rPr>
              <w:t>$</w:t>
            </w:r>
            <w:r w:rsidR="006B4FFC">
              <w:rPr>
                <w:rFonts w:ascii="Arial Narrow" w:hAnsi="Arial Narrow"/>
                <w:b w:val="0"/>
                <w:noProof/>
                <w:color w:val="000000"/>
                <w:sz w:val="20"/>
                <w:szCs w:val="20"/>
                <w:highlight w:val="black"/>
              </w:rPr>
              <w:t>''''''''''''''''''''''''''''</w:t>
            </w:r>
          </w:p>
        </w:tc>
        <w:tc>
          <w:tcPr>
            <w:tcW w:w="2976" w:type="dxa"/>
          </w:tcPr>
          <w:p w:rsidR="006802BC" w:rsidRPr="00930820" w:rsidRDefault="00FA2A5E" w:rsidP="006802BC">
            <w:pPr>
              <w:pStyle w:val="PBACHeading1"/>
              <w:numPr>
                <w:ilvl w:val="0"/>
                <w:numId w:val="0"/>
              </w:numPr>
              <w:jc w:val="center"/>
              <w:rPr>
                <w:rFonts w:ascii="Arial Narrow" w:hAnsi="Arial Narrow"/>
                <w:b w:val="0"/>
                <w:sz w:val="20"/>
                <w:szCs w:val="20"/>
              </w:rPr>
            </w:pPr>
            <w:r w:rsidRPr="00930820">
              <w:rPr>
                <w:rFonts w:ascii="Arial Narrow" w:hAnsi="Arial Narrow"/>
                <w:b w:val="0"/>
                <w:sz w:val="20"/>
                <w:szCs w:val="20"/>
              </w:rPr>
              <w:t>$</w:t>
            </w:r>
            <w:r w:rsidR="006B4FFC">
              <w:rPr>
                <w:rFonts w:ascii="Arial Narrow" w:hAnsi="Arial Narrow"/>
                <w:b w:val="0"/>
                <w:noProof/>
                <w:color w:val="000000"/>
                <w:sz w:val="20"/>
                <w:szCs w:val="20"/>
                <w:highlight w:val="black"/>
              </w:rPr>
              <w:t>''''''''''''''''''''''''''''</w:t>
            </w:r>
          </w:p>
        </w:tc>
      </w:tr>
      <w:tr w:rsidR="006802BC" w:rsidRPr="00930820" w:rsidTr="0051239C">
        <w:tc>
          <w:tcPr>
            <w:tcW w:w="2699" w:type="dxa"/>
          </w:tcPr>
          <w:p w:rsidR="006802BC" w:rsidRPr="00930820" w:rsidRDefault="006802BC" w:rsidP="006802BC">
            <w:pPr>
              <w:pStyle w:val="PBACHeading1"/>
              <w:numPr>
                <w:ilvl w:val="0"/>
                <w:numId w:val="0"/>
              </w:numPr>
              <w:jc w:val="center"/>
              <w:rPr>
                <w:rFonts w:ascii="Arial Narrow" w:hAnsi="Arial Narrow"/>
                <w:b w:val="0"/>
                <w:sz w:val="20"/>
                <w:szCs w:val="20"/>
              </w:rPr>
            </w:pPr>
            <w:r w:rsidRPr="00930820">
              <w:rPr>
                <w:rFonts w:ascii="Arial Narrow" w:hAnsi="Arial Narrow"/>
                <w:b w:val="0"/>
                <w:sz w:val="20"/>
                <w:szCs w:val="20"/>
              </w:rPr>
              <w:t>Dec 15 – Jun 16</w:t>
            </w:r>
          </w:p>
        </w:tc>
        <w:tc>
          <w:tcPr>
            <w:tcW w:w="2688" w:type="dxa"/>
          </w:tcPr>
          <w:p w:rsidR="006802BC" w:rsidRPr="00930820" w:rsidRDefault="006802BC" w:rsidP="006802BC">
            <w:pPr>
              <w:pStyle w:val="PBACHeading1"/>
              <w:numPr>
                <w:ilvl w:val="0"/>
                <w:numId w:val="0"/>
              </w:numPr>
              <w:jc w:val="center"/>
              <w:rPr>
                <w:rFonts w:ascii="Arial Narrow" w:hAnsi="Arial Narrow"/>
                <w:b w:val="0"/>
                <w:sz w:val="20"/>
                <w:szCs w:val="20"/>
                <w:vertAlign w:val="superscript"/>
              </w:rPr>
            </w:pPr>
            <w:r w:rsidRPr="00930820">
              <w:rPr>
                <w:rFonts w:ascii="Arial Narrow" w:hAnsi="Arial Narrow"/>
                <w:b w:val="0"/>
                <w:sz w:val="20"/>
                <w:szCs w:val="20"/>
              </w:rPr>
              <w:t>$</w:t>
            </w:r>
            <w:r w:rsidR="006B4FFC">
              <w:rPr>
                <w:rFonts w:ascii="Arial Narrow" w:hAnsi="Arial Narrow"/>
                <w:b w:val="0"/>
                <w:noProof/>
                <w:color w:val="000000"/>
                <w:sz w:val="20"/>
                <w:szCs w:val="20"/>
                <w:highlight w:val="black"/>
              </w:rPr>
              <w:t>'''''''''''''''''''''''</w:t>
            </w:r>
            <w:r w:rsidRPr="00930820">
              <w:rPr>
                <w:rFonts w:ascii="Arial Narrow" w:hAnsi="Arial Narrow"/>
                <w:b w:val="0"/>
                <w:sz w:val="20"/>
                <w:szCs w:val="20"/>
                <w:vertAlign w:val="superscript"/>
              </w:rPr>
              <w:t>a</w:t>
            </w:r>
          </w:p>
        </w:tc>
        <w:tc>
          <w:tcPr>
            <w:tcW w:w="2976" w:type="dxa"/>
          </w:tcPr>
          <w:p w:rsidR="006802BC" w:rsidRPr="00930820" w:rsidRDefault="00FA2A5E" w:rsidP="006802BC">
            <w:pPr>
              <w:pStyle w:val="PBACHeading1"/>
              <w:numPr>
                <w:ilvl w:val="0"/>
                <w:numId w:val="0"/>
              </w:numPr>
              <w:jc w:val="center"/>
              <w:rPr>
                <w:rFonts w:ascii="Arial Narrow" w:hAnsi="Arial Narrow"/>
                <w:b w:val="0"/>
                <w:sz w:val="20"/>
                <w:szCs w:val="20"/>
              </w:rPr>
            </w:pPr>
            <w:r w:rsidRPr="00930820">
              <w:rPr>
                <w:rFonts w:ascii="Arial Narrow" w:hAnsi="Arial Narrow"/>
                <w:b w:val="0"/>
                <w:sz w:val="20"/>
                <w:szCs w:val="20"/>
              </w:rPr>
              <w:t>$</w:t>
            </w:r>
            <w:r w:rsidR="006B4FFC">
              <w:rPr>
                <w:rFonts w:ascii="Arial Narrow" w:hAnsi="Arial Narrow"/>
                <w:b w:val="0"/>
                <w:noProof/>
                <w:color w:val="000000"/>
                <w:sz w:val="20"/>
                <w:szCs w:val="20"/>
                <w:highlight w:val="black"/>
              </w:rPr>
              <w:t>'''''''''''''''''''''''''''</w:t>
            </w:r>
          </w:p>
        </w:tc>
      </w:tr>
    </w:tbl>
    <w:p w:rsidR="006802BC" w:rsidRPr="00930820" w:rsidRDefault="006802BC" w:rsidP="004D04D2">
      <w:pPr>
        <w:rPr>
          <w:rFonts w:ascii="Arial Narrow" w:hAnsi="Arial Narrow"/>
          <w:sz w:val="18"/>
          <w:szCs w:val="18"/>
        </w:rPr>
      </w:pPr>
      <w:r w:rsidRPr="00930820">
        <w:tab/>
      </w:r>
      <w:r w:rsidRPr="00930820">
        <w:rPr>
          <w:rFonts w:ascii="Arial Narrow" w:hAnsi="Arial Narrow"/>
          <w:sz w:val="18"/>
          <w:szCs w:val="18"/>
        </w:rPr>
        <w:t>Source: Table 3, p 6 of the submission.</w:t>
      </w:r>
      <w:r w:rsidR="00720793" w:rsidRPr="00930820">
        <w:rPr>
          <w:rFonts w:ascii="Arial Narrow" w:hAnsi="Arial Narrow"/>
          <w:sz w:val="18"/>
          <w:szCs w:val="18"/>
        </w:rPr>
        <w:t xml:space="preserve"> </w:t>
      </w:r>
      <w:r w:rsidRPr="00930820">
        <w:rPr>
          <w:rFonts w:ascii="Arial Narrow" w:hAnsi="Arial Narrow"/>
          <w:sz w:val="18"/>
          <w:szCs w:val="18"/>
          <w:vertAlign w:val="superscript"/>
        </w:rPr>
        <w:t>a</w:t>
      </w:r>
      <w:r w:rsidRPr="00930820">
        <w:rPr>
          <w:rFonts w:ascii="Arial Narrow" w:hAnsi="Arial Narrow"/>
          <w:sz w:val="18"/>
          <w:szCs w:val="18"/>
        </w:rPr>
        <w:t xml:space="preserve"> – subsidisation </w:t>
      </w:r>
      <w:r w:rsidR="00FA2A5E" w:rsidRPr="00930820">
        <w:rPr>
          <w:rFonts w:ascii="Arial Narrow" w:hAnsi="Arial Narrow"/>
          <w:sz w:val="18"/>
          <w:szCs w:val="18"/>
        </w:rPr>
        <w:t>cap adjusted to reflect 7 months’ expenditure</w:t>
      </w:r>
    </w:p>
    <w:p w:rsidR="006802BC" w:rsidRDefault="006802BC" w:rsidP="004D04D2"/>
    <w:p w:rsidR="005813D1" w:rsidRDefault="005813D1" w:rsidP="005813D1">
      <w:pPr>
        <w:ind w:left="720"/>
        <w:jc w:val="both"/>
        <w:rPr>
          <w:rFonts w:ascii="Arial" w:hAnsi="Arial" w:cs="Arial"/>
          <w:snapToGrid w:val="0"/>
          <w:sz w:val="22"/>
          <w:szCs w:val="22"/>
          <w:lang w:eastAsia="en-US"/>
        </w:rPr>
      </w:pPr>
      <w:r w:rsidRPr="005813D1">
        <w:rPr>
          <w:rFonts w:ascii="Arial" w:hAnsi="Arial" w:cs="Arial"/>
          <w:snapToGrid w:val="0"/>
          <w:sz w:val="22"/>
          <w:szCs w:val="22"/>
          <w:lang w:eastAsia="en-US"/>
        </w:rPr>
        <w:t xml:space="preserve">The redacted table above shows that subsidisation caps and </w:t>
      </w:r>
      <w:r>
        <w:rPr>
          <w:rFonts w:ascii="Arial" w:hAnsi="Arial" w:cs="Arial"/>
          <w:snapToGrid w:val="0"/>
          <w:sz w:val="22"/>
          <w:szCs w:val="22"/>
          <w:lang w:eastAsia="en-US"/>
        </w:rPr>
        <w:t>C</w:t>
      </w:r>
      <w:r w:rsidRPr="005813D1">
        <w:rPr>
          <w:rFonts w:ascii="Arial" w:hAnsi="Arial" w:cs="Arial"/>
          <w:snapToGrid w:val="0"/>
          <w:sz w:val="22"/>
          <w:szCs w:val="22"/>
          <w:lang w:eastAsia="en-US"/>
        </w:rPr>
        <w:t>ommonwealth expenditure for the above time periods were in the range of $10-$20 million.</w:t>
      </w:r>
    </w:p>
    <w:p w:rsidR="005813D1" w:rsidRPr="00930820" w:rsidRDefault="005813D1" w:rsidP="005813D1">
      <w:pPr>
        <w:ind w:left="720"/>
        <w:jc w:val="both"/>
      </w:pPr>
    </w:p>
    <w:p w:rsidR="00616C10" w:rsidRPr="00930820" w:rsidRDefault="006802BC" w:rsidP="00811735">
      <w:pPr>
        <w:pStyle w:val="ListParagraph"/>
        <w:numPr>
          <w:ilvl w:val="1"/>
          <w:numId w:val="5"/>
        </w:numPr>
        <w:rPr>
          <w:szCs w:val="22"/>
        </w:rPr>
      </w:pPr>
      <w:r w:rsidRPr="00930820">
        <w:rPr>
          <w:szCs w:val="22"/>
        </w:rPr>
        <w:t>The submission</w:t>
      </w:r>
      <w:r w:rsidR="00FA2A5E" w:rsidRPr="00930820">
        <w:rPr>
          <w:szCs w:val="22"/>
        </w:rPr>
        <w:t xml:space="preserve"> further </w:t>
      </w:r>
      <w:r w:rsidR="008F697F" w:rsidRPr="00930820">
        <w:rPr>
          <w:szCs w:val="22"/>
        </w:rPr>
        <w:t>stated</w:t>
      </w:r>
      <w:r w:rsidR="00FA2A5E" w:rsidRPr="00930820">
        <w:rPr>
          <w:szCs w:val="22"/>
        </w:rPr>
        <w:t xml:space="preserve"> that the </w:t>
      </w:r>
      <w:r w:rsidR="008F697F" w:rsidRPr="00930820">
        <w:rPr>
          <w:szCs w:val="22"/>
        </w:rPr>
        <w:t xml:space="preserve">rapid uptake and high utilisation observed following the listing of </w:t>
      </w:r>
      <w:proofErr w:type="spellStart"/>
      <w:r w:rsidR="008F697F" w:rsidRPr="00930820">
        <w:rPr>
          <w:szCs w:val="22"/>
        </w:rPr>
        <w:t>fingolimod</w:t>
      </w:r>
      <w:proofErr w:type="spellEnd"/>
      <w:r w:rsidR="008F697F" w:rsidRPr="00930820">
        <w:rPr>
          <w:szCs w:val="22"/>
        </w:rPr>
        <w:t xml:space="preserve"> was not observed in </w:t>
      </w:r>
      <w:proofErr w:type="spellStart"/>
      <w:r w:rsidR="008F697F" w:rsidRPr="00930820">
        <w:rPr>
          <w:szCs w:val="22"/>
        </w:rPr>
        <w:t>teriflunomide</w:t>
      </w:r>
      <w:proofErr w:type="spellEnd"/>
      <w:r w:rsidR="008F697F" w:rsidRPr="00930820">
        <w:rPr>
          <w:szCs w:val="22"/>
        </w:rPr>
        <w:t xml:space="preserve">, and that utilisation has been more comparable to ABCR therapies. The submission presented monthly prescribing </w:t>
      </w:r>
      <w:r w:rsidR="00E239BC" w:rsidRPr="00930820">
        <w:rPr>
          <w:szCs w:val="22"/>
        </w:rPr>
        <w:t>statistics</w:t>
      </w:r>
      <w:r w:rsidR="008F697F" w:rsidRPr="00930820">
        <w:rPr>
          <w:szCs w:val="22"/>
        </w:rPr>
        <w:t xml:space="preserve"> </w:t>
      </w:r>
      <w:r w:rsidR="00057DE8" w:rsidRPr="00930820">
        <w:rPr>
          <w:szCs w:val="22"/>
        </w:rPr>
        <w:t>data to support that</w:t>
      </w:r>
      <w:r w:rsidR="008F697F" w:rsidRPr="00930820">
        <w:rPr>
          <w:szCs w:val="22"/>
        </w:rPr>
        <w:t xml:space="preserve"> position.</w:t>
      </w:r>
    </w:p>
    <w:p w:rsidR="008A38B1" w:rsidRPr="00930820" w:rsidRDefault="008A38B1" w:rsidP="006820DA">
      <w:pPr>
        <w:rPr>
          <w:szCs w:val="22"/>
        </w:rPr>
      </w:pPr>
    </w:p>
    <w:p w:rsidR="006820DA" w:rsidRPr="00930820" w:rsidRDefault="006820DA" w:rsidP="006820DA">
      <w:pPr>
        <w:pStyle w:val="ListParagraph"/>
        <w:numPr>
          <w:ilvl w:val="1"/>
          <w:numId w:val="5"/>
        </w:numPr>
        <w:rPr>
          <w:szCs w:val="22"/>
        </w:rPr>
      </w:pPr>
      <w:r w:rsidRPr="00930820">
        <w:rPr>
          <w:szCs w:val="22"/>
        </w:rPr>
        <w:t xml:space="preserve">An analysis on the utilisation of RRMS therapy was undertaken by the Drug Utilisation Sub-Committee (DUSC) Secretariat. The use of </w:t>
      </w:r>
      <w:proofErr w:type="spellStart"/>
      <w:r w:rsidRPr="00930820">
        <w:rPr>
          <w:szCs w:val="22"/>
        </w:rPr>
        <w:t>teriflunomide</w:t>
      </w:r>
      <w:proofErr w:type="spellEnd"/>
      <w:r w:rsidRPr="00930820">
        <w:rPr>
          <w:szCs w:val="22"/>
        </w:rPr>
        <w:t xml:space="preserve"> relative to other RRMS therapies has been low and stable (Figure 1). Between December 2013 </w:t>
      </w:r>
      <w:r w:rsidRPr="00930820">
        <w:rPr>
          <w:szCs w:val="22"/>
        </w:rPr>
        <w:lastRenderedPageBreak/>
        <w:t xml:space="preserve">and June 2016 there were few identified cases of potential co-administration of </w:t>
      </w:r>
      <w:proofErr w:type="spellStart"/>
      <w:r w:rsidRPr="00930820">
        <w:rPr>
          <w:szCs w:val="22"/>
        </w:rPr>
        <w:t>teriflunomide</w:t>
      </w:r>
      <w:proofErr w:type="spellEnd"/>
      <w:r w:rsidRPr="00930820">
        <w:rPr>
          <w:szCs w:val="22"/>
        </w:rPr>
        <w:t xml:space="preserve"> with other RRMS agents (1.7%).</w:t>
      </w:r>
    </w:p>
    <w:p w:rsidR="00720793" w:rsidRPr="00930820" w:rsidRDefault="00720793">
      <w:pPr>
        <w:rPr>
          <w:rFonts w:ascii="Arial Narrow" w:hAnsi="Arial Narrow"/>
          <w:b/>
          <w:bCs/>
          <w:color w:val="000000" w:themeColor="text1"/>
          <w:sz w:val="20"/>
          <w:szCs w:val="20"/>
        </w:rPr>
      </w:pPr>
    </w:p>
    <w:p w:rsidR="008A38B1" w:rsidRPr="00930820" w:rsidRDefault="008A38B1" w:rsidP="0051239C">
      <w:pPr>
        <w:pStyle w:val="StyleCaptionJustified"/>
        <w:spacing w:after="0"/>
        <w:ind w:firstLine="720"/>
        <w:rPr>
          <w:sz w:val="20"/>
        </w:rPr>
      </w:pPr>
      <w:r w:rsidRPr="00930820">
        <w:rPr>
          <w:sz w:val="20"/>
        </w:rPr>
        <w:t xml:space="preserve">Figure </w:t>
      </w:r>
      <w:r w:rsidRPr="00930820">
        <w:rPr>
          <w:noProof/>
          <w:sz w:val="20"/>
        </w:rPr>
        <w:t>1</w:t>
      </w:r>
      <w:r w:rsidRPr="00930820">
        <w:rPr>
          <w:sz w:val="20"/>
        </w:rPr>
        <w:t>: Number of prevalent patients by RRMS therapy</w:t>
      </w:r>
    </w:p>
    <w:p w:rsidR="008A38B1" w:rsidRPr="00930820" w:rsidRDefault="008A38B1" w:rsidP="008A38B1">
      <w:pPr>
        <w:pStyle w:val="ListParagraph"/>
        <w:rPr>
          <w:szCs w:val="22"/>
        </w:rPr>
      </w:pPr>
      <w:r w:rsidRPr="00C4187C">
        <w:rPr>
          <w:noProof/>
          <w:szCs w:val="22"/>
          <w:lang w:eastAsia="en-AU"/>
        </w:rPr>
        <w:drawing>
          <wp:inline distT="0" distB="0" distL="0" distR="0" wp14:anchorId="7669A7F8" wp14:editId="4E5DC75C">
            <wp:extent cx="5285379" cy="3806456"/>
            <wp:effectExtent l="19050" t="19050" r="10795" b="22860"/>
            <wp:docPr id="3" name="Picture 3" title="Number of prevalent PBS patients by RRMS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750" cy="3811765"/>
                    </a:xfrm>
                    <a:prstGeom prst="rect">
                      <a:avLst/>
                    </a:prstGeom>
                    <a:noFill/>
                    <a:ln>
                      <a:solidFill>
                        <a:schemeClr val="tx1"/>
                      </a:solidFill>
                    </a:ln>
                  </pic:spPr>
                </pic:pic>
              </a:graphicData>
            </a:graphic>
          </wp:inline>
        </w:drawing>
      </w:r>
    </w:p>
    <w:p w:rsidR="008A38B1" w:rsidRPr="00930820" w:rsidRDefault="008A38B1" w:rsidP="008A38B1">
      <w:pPr>
        <w:pStyle w:val="ListParagraph"/>
        <w:rPr>
          <w:rFonts w:ascii="Arial Narrow" w:hAnsi="Arial Narrow"/>
          <w:sz w:val="18"/>
          <w:szCs w:val="18"/>
        </w:rPr>
      </w:pPr>
      <w:r w:rsidRPr="00930820">
        <w:rPr>
          <w:rFonts w:ascii="Arial Narrow" w:hAnsi="Arial Narrow"/>
          <w:sz w:val="18"/>
          <w:szCs w:val="18"/>
        </w:rPr>
        <w:t>Source: DHS Pharmacy Claims database</w:t>
      </w:r>
    </w:p>
    <w:p w:rsidR="008A38B1" w:rsidRPr="00930820" w:rsidRDefault="008A38B1" w:rsidP="008A38B1">
      <w:pPr>
        <w:pStyle w:val="ListParagraph"/>
        <w:rPr>
          <w:rFonts w:ascii="Arial Narrow" w:hAnsi="Arial Narrow"/>
          <w:sz w:val="18"/>
          <w:szCs w:val="18"/>
        </w:rPr>
      </w:pPr>
      <w:r w:rsidRPr="00930820">
        <w:rPr>
          <w:rFonts w:ascii="Arial Narrow" w:hAnsi="Arial Narrow"/>
          <w:sz w:val="18"/>
          <w:szCs w:val="18"/>
        </w:rPr>
        <w:t>*Interferon beta-1a data includes both subcutaneous and intramuscular forms</w:t>
      </w:r>
    </w:p>
    <w:p w:rsidR="000D5FC2" w:rsidRPr="00930820" w:rsidRDefault="000D5FC2" w:rsidP="000D5FC2">
      <w:pPr>
        <w:pStyle w:val="ListParagraph"/>
        <w:rPr>
          <w:szCs w:val="22"/>
        </w:rPr>
      </w:pPr>
    </w:p>
    <w:p w:rsidR="000D5FC2" w:rsidRPr="00930820" w:rsidRDefault="000D5FC2" w:rsidP="00811735">
      <w:pPr>
        <w:pStyle w:val="ListParagraph"/>
        <w:numPr>
          <w:ilvl w:val="1"/>
          <w:numId w:val="5"/>
        </w:numPr>
        <w:rPr>
          <w:szCs w:val="22"/>
        </w:rPr>
      </w:pPr>
      <w:r w:rsidRPr="00930820">
        <w:rPr>
          <w:szCs w:val="22"/>
        </w:rPr>
        <w:t xml:space="preserve">Additional input from </w:t>
      </w:r>
      <w:r w:rsidR="002238DD" w:rsidRPr="00930820">
        <w:rPr>
          <w:szCs w:val="22"/>
        </w:rPr>
        <w:t xml:space="preserve">DHS provided data on authority approval applications and rejections from September 2015 to August 2016. In that period, DHS approved 2,276 applications for </w:t>
      </w:r>
      <w:proofErr w:type="spellStart"/>
      <w:r w:rsidR="002238DD" w:rsidRPr="00930820">
        <w:rPr>
          <w:szCs w:val="22"/>
        </w:rPr>
        <w:t>teriflunomide</w:t>
      </w:r>
      <w:proofErr w:type="spellEnd"/>
      <w:r w:rsidR="002238DD" w:rsidRPr="00930820">
        <w:rPr>
          <w:szCs w:val="22"/>
        </w:rPr>
        <w:t>, and rejected 72. Of th</w:t>
      </w:r>
      <w:r w:rsidR="003E3D25" w:rsidRPr="00930820">
        <w:rPr>
          <w:szCs w:val="22"/>
        </w:rPr>
        <w:t>ose rejections</w:t>
      </w:r>
      <w:r w:rsidR="002238DD" w:rsidRPr="00930820">
        <w:rPr>
          <w:szCs w:val="22"/>
        </w:rPr>
        <w:t xml:space="preserve">, nearly all were rejected because the patient still had 2 </w:t>
      </w:r>
      <w:r w:rsidR="009F6C33">
        <w:rPr>
          <w:szCs w:val="22"/>
        </w:rPr>
        <w:t>or more months’ supply on hand.</w:t>
      </w:r>
    </w:p>
    <w:p w:rsidR="008A38B1" w:rsidRPr="00930820" w:rsidRDefault="008A38B1" w:rsidP="008A38B1">
      <w:pPr>
        <w:pStyle w:val="ListParagraph"/>
        <w:rPr>
          <w:szCs w:val="22"/>
        </w:rPr>
      </w:pPr>
    </w:p>
    <w:p w:rsidR="00CA18A0" w:rsidRPr="00930820" w:rsidRDefault="00CA18A0" w:rsidP="00CA18A0">
      <w:pPr>
        <w:pStyle w:val="ListParagraph"/>
        <w:numPr>
          <w:ilvl w:val="1"/>
          <w:numId w:val="5"/>
        </w:numPr>
        <w:rPr>
          <w:szCs w:val="22"/>
        </w:rPr>
      </w:pPr>
      <w:r w:rsidRPr="00930820">
        <w:rPr>
          <w:szCs w:val="22"/>
        </w:rPr>
        <w:t xml:space="preserve">The submission stated that the requested change to a streamlined authority would not significantly affect the utilisation or financial implications of </w:t>
      </w:r>
      <w:proofErr w:type="spellStart"/>
      <w:r w:rsidRPr="00930820">
        <w:rPr>
          <w:szCs w:val="22"/>
        </w:rPr>
        <w:t>t</w:t>
      </w:r>
      <w:r w:rsidR="009F6C33">
        <w:rPr>
          <w:szCs w:val="22"/>
        </w:rPr>
        <w:t>eriflunomide</w:t>
      </w:r>
      <w:proofErr w:type="spellEnd"/>
      <w:r w:rsidR="009F6C33">
        <w:rPr>
          <w:szCs w:val="22"/>
        </w:rPr>
        <w:t xml:space="preserve"> on the PBS.</w:t>
      </w:r>
    </w:p>
    <w:p w:rsidR="00F64CC1" w:rsidRPr="00930820" w:rsidRDefault="00F64CC1" w:rsidP="00720793">
      <w:pPr>
        <w:rPr>
          <w:rFonts w:ascii="Arial" w:hAnsi="Arial"/>
          <w:sz w:val="22"/>
          <w:szCs w:val="22"/>
        </w:rPr>
      </w:pPr>
    </w:p>
    <w:p w:rsidR="00720793" w:rsidRPr="00930820" w:rsidRDefault="00720793" w:rsidP="00720793">
      <w:pPr>
        <w:ind w:firstLine="720"/>
        <w:rPr>
          <w:rFonts w:ascii="Arial" w:hAnsi="Arial" w:cs="Arial"/>
          <w:bCs/>
          <w:i/>
          <w:snapToGrid w:val="0"/>
          <w:sz w:val="22"/>
          <w:szCs w:val="22"/>
        </w:rPr>
      </w:pPr>
      <w:r w:rsidRPr="00930820">
        <w:rPr>
          <w:rFonts w:ascii="Arial" w:hAnsi="Arial" w:cs="Arial"/>
          <w:bCs/>
          <w:i/>
          <w:snapToGrid w:val="0"/>
          <w:sz w:val="22"/>
          <w:szCs w:val="22"/>
        </w:rPr>
        <w:t>For more detail on PBAC’s view, see section 6 “PBAC outcome”</w:t>
      </w:r>
      <w:r w:rsidR="0075112D">
        <w:rPr>
          <w:rFonts w:ascii="Arial" w:hAnsi="Arial" w:cs="Arial"/>
          <w:bCs/>
          <w:i/>
          <w:snapToGrid w:val="0"/>
          <w:sz w:val="22"/>
          <w:szCs w:val="22"/>
        </w:rPr>
        <w:t>.</w:t>
      </w:r>
    </w:p>
    <w:p w:rsidR="00720793" w:rsidRPr="00930820" w:rsidRDefault="00720793" w:rsidP="00DA718C">
      <w:pPr>
        <w:rPr>
          <w:rFonts w:ascii="Arial" w:hAnsi="Arial" w:cs="Arial"/>
          <w:bCs/>
          <w:i/>
          <w:snapToGrid w:val="0"/>
          <w:sz w:val="22"/>
          <w:szCs w:val="22"/>
        </w:rPr>
      </w:pPr>
    </w:p>
    <w:p w:rsidR="002F75FB" w:rsidRPr="00930820" w:rsidRDefault="002F75FB" w:rsidP="00720793">
      <w:pPr>
        <w:ind w:firstLine="720"/>
        <w:rPr>
          <w:rFonts w:ascii="Arial" w:hAnsi="Arial" w:cs="Arial"/>
          <w:bCs/>
          <w:i/>
          <w:snapToGrid w:val="0"/>
          <w:sz w:val="22"/>
          <w:szCs w:val="22"/>
        </w:rPr>
      </w:pPr>
    </w:p>
    <w:p w:rsidR="00720793" w:rsidRPr="00930820" w:rsidRDefault="00720793" w:rsidP="00930820">
      <w:pPr>
        <w:widowControl w:val="0"/>
        <w:numPr>
          <w:ilvl w:val="0"/>
          <w:numId w:val="5"/>
        </w:numPr>
        <w:jc w:val="both"/>
        <w:outlineLvl w:val="0"/>
        <w:rPr>
          <w:rFonts w:ascii="Arial" w:hAnsi="Arial" w:cs="Arial"/>
          <w:b/>
          <w:bCs/>
          <w:snapToGrid w:val="0"/>
          <w:sz w:val="22"/>
          <w:szCs w:val="20"/>
        </w:rPr>
      </w:pPr>
      <w:r w:rsidRPr="00930820">
        <w:rPr>
          <w:rFonts w:ascii="Arial" w:hAnsi="Arial" w:cs="Arial"/>
          <w:b/>
          <w:bCs/>
          <w:snapToGrid w:val="0"/>
          <w:sz w:val="22"/>
          <w:szCs w:val="20"/>
        </w:rPr>
        <w:t>PBAC Outcome</w:t>
      </w:r>
    </w:p>
    <w:p w:rsidR="00720793" w:rsidRPr="00930820" w:rsidRDefault="00720793" w:rsidP="00720793">
      <w:pPr>
        <w:widowControl w:val="0"/>
        <w:jc w:val="both"/>
        <w:rPr>
          <w:rFonts w:ascii="Arial" w:hAnsi="Arial" w:cs="Arial"/>
          <w:b/>
          <w:bCs/>
          <w:snapToGrid w:val="0"/>
          <w:sz w:val="22"/>
          <w:szCs w:val="20"/>
          <w:lang w:val="en-GB"/>
        </w:rPr>
      </w:pPr>
    </w:p>
    <w:p w:rsidR="00720793" w:rsidRPr="00930820" w:rsidRDefault="002F75FB" w:rsidP="00720793">
      <w:pPr>
        <w:widowControl w:val="0"/>
        <w:numPr>
          <w:ilvl w:val="1"/>
          <w:numId w:val="5"/>
        </w:numPr>
        <w:jc w:val="both"/>
        <w:rPr>
          <w:rFonts w:ascii="Arial" w:hAnsi="Arial" w:cs="Arial"/>
          <w:bCs/>
          <w:snapToGrid w:val="0"/>
          <w:sz w:val="22"/>
          <w:szCs w:val="20"/>
          <w:lang w:val="en-GB"/>
        </w:rPr>
      </w:pPr>
      <w:r w:rsidRPr="00930820">
        <w:rPr>
          <w:rFonts w:ascii="Arial" w:hAnsi="Arial" w:cs="Arial"/>
          <w:bCs/>
          <w:snapToGrid w:val="0"/>
          <w:sz w:val="22"/>
          <w:szCs w:val="20"/>
          <w:lang w:val="en-GB"/>
        </w:rPr>
        <w:t xml:space="preserve">The PBAC </w:t>
      </w:r>
      <w:r w:rsidR="00E073E2" w:rsidRPr="00930820">
        <w:rPr>
          <w:rFonts w:ascii="Arial" w:hAnsi="Arial" w:cs="Arial"/>
          <w:bCs/>
          <w:snapToGrid w:val="0"/>
          <w:sz w:val="22"/>
          <w:szCs w:val="20"/>
          <w:lang w:val="en-GB"/>
        </w:rPr>
        <w:t xml:space="preserve">decided not to recommend amending the listing of </w:t>
      </w:r>
      <w:proofErr w:type="spellStart"/>
      <w:r w:rsidR="00E073E2" w:rsidRPr="00930820">
        <w:rPr>
          <w:rFonts w:ascii="Arial" w:hAnsi="Arial" w:cs="Arial"/>
          <w:bCs/>
          <w:snapToGrid w:val="0"/>
          <w:sz w:val="22"/>
          <w:szCs w:val="20"/>
          <w:lang w:val="en-GB"/>
        </w:rPr>
        <w:t>teriflunomide</w:t>
      </w:r>
      <w:proofErr w:type="spellEnd"/>
      <w:r w:rsidR="00E073E2" w:rsidRPr="00930820">
        <w:rPr>
          <w:rFonts w:ascii="Arial" w:hAnsi="Arial" w:cs="Arial"/>
          <w:bCs/>
          <w:snapToGrid w:val="0"/>
          <w:sz w:val="22"/>
          <w:szCs w:val="20"/>
          <w:lang w:val="en-GB"/>
        </w:rPr>
        <w:t xml:space="preserve"> to Authority Required (STREAMLINED), </w:t>
      </w:r>
      <w:r w:rsidR="00CE778E">
        <w:rPr>
          <w:rFonts w:ascii="Arial" w:hAnsi="Arial" w:cs="Arial"/>
          <w:bCs/>
          <w:snapToGrid w:val="0"/>
          <w:sz w:val="22"/>
          <w:szCs w:val="20"/>
          <w:lang w:val="en-GB"/>
        </w:rPr>
        <w:t>as it considered that the market for oral therapies for RRMS had not yet stabilised.</w:t>
      </w:r>
    </w:p>
    <w:p w:rsidR="00CE778E" w:rsidRPr="00930820" w:rsidRDefault="00CE778E" w:rsidP="00720793">
      <w:pPr>
        <w:widowControl w:val="0"/>
        <w:jc w:val="both"/>
        <w:rPr>
          <w:rFonts w:ascii="Arial" w:hAnsi="Arial" w:cs="Arial"/>
          <w:bCs/>
          <w:snapToGrid w:val="0"/>
          <w:sz w:val="22"/>
          <w:szCs w:val="20"/>
          <w:lang w:val="en-GB"/>
        </w:rPr>
      </w:pPr>
    </w:p>
    <w:p w:rsidR="00720793" w:rsidRPr="00930820" w:rsidRDefault="00E073E2" w:rsidP="00720793">
      <w:pPr>
        <w:widowControl w:val="0"/>
        <w:numPr>
          <w:ilvl w:val="1"/>
          <w:numId w:val="5"/>
        </w:numPr>
        <w:jc w:val="both"/>
        <w:rPr>
          <w:rFonts w:ascii="Arial" w:hAnsi="Arial" w:cs="Arial"/>
          <w:bCs/>
          <w:snapToGrid w:val="0"/>
          <w:sz w:val="22"/>
          <w:szCs w:val="20"/>
          <w:lang w:val="en-GB"/>
        </w:rPr>
      </w:pPr>
      <w:r w:rsidRPr="00930820">
        <w:rPr>
          <w:rFonts w:ascii="Arial" w:hAnsi="Arial" w:cs="Arial"/>
          <w:bCs/>
          <w:snapToGrid w:val="0"/>
          <w:sz w:val="22"/>
          <w:szCs w:val="20"/>
          <w:lang w:val="en-GB"/>
        </w:rPr>
        <w:t xml:space="preserve">The PBAC noted the input from the DUSC secretariat with regards to the utilisation of all RRMS therapies, and noted that the utilisation </w:t>
      </w:r>
      <w:r w:rsidR="00322F0E" w:rsidRPr="00930820">
        <w:rPr>
          <w:rFonts w:ascii="Arial" w:hAnsi="Arial" w:cs="Arial"/>
          <w:bCs/>
          <w:snapToGrid w:val="0"/>
          <w:sz w:val="22"/>
          <w:szCs w:val="20"/>
          <w:lang w:val="en-GB"/>
        </w:rPr>
        <w:t xml:space="preserve">of the other oral therapies, </w:t>
      </w:r>
      <w:proofErr w:type="spellStart"/>
      <w:r w:rsidR="00322F0E" w:rsidRPr="00930820">
        <w:rPr>
          <w:rFonts w:ascii="Arial" w:hAnsi="Arial" w:cs="Arial"/>
          <w:bCs/>
          <w:snapToGrid w:val="0"/>
          <w:sz w:val="22"/>
          <w:szCs w:val="20"/>
          <w:lang w:val="en-GB"/>
        </w:rPr>
        <w:lastRenderedPageBreak/>
        <w:t>fingolimod</w:t>
      </w:r>
      <w:proofErr w:type="spellEnd"/>
      <w:r w:rsidR="00322F0E" w:rsidRPr="00930820">
        <w:rPr>
          <w:rFonts w:ascii="Arial" w:hAnsi="Arial" w:cs="Arial"/>
          <w:bCs/>
          <w:snapToGrid w:val="0"/>
          <w:sz w:val="22"/>
          <w:szCs w:val="20"/>
          <w:lang w:val="en-GB"/>
        </w:rPr>
        <w:t xml:space="preserve"> and DMF, was high</w:t>
      </w:r>
      <w:r w:rsidR="00815C6E">
        <w:rPr>
          <w:rFonts w:ascii="Arial" w:hAnsi="Arial" w:cs="Arial"/>
          <w:bCs/>
          <w:snapToGrid w:val="0"/>
          <w:sz w:val="22"/>
          <w:szCs w:val="20"/>
          <w:lang w:val="en-GB"/>
        </w:rPr>
        <w:t xml:space="preserve">er than </w:t>
      </w:r>
      <w:proofErr w:type="spellStart"/>
      <w:r w:rsidR="00815C6E">
        <w:rPr>
          <w:rFonts w:ascii="Arial" w:hAnsi="Arial" w:cs="Arial"/>
          <w:bCs/>
          <w:snapToGrid w:val="0"/>
          <w:sz w:val="22"/>
          <w:szCs w:val="20"/>
          <w:lang w:val="en-GB"/>
        </w:rPr>
        <w:t>teriflunomide</w:t>
      </w:r>
      <w:proofErr w:type="spellEnd"/>
      <w:r w:rsidR="00322F0E" w:rsidRPr="00930820">
        <w:rPr>
          <w:rFonts w:ascii="Arial" w:hAnsi="Arial" w:cs="Arial"/>
          <w:bCs/>
          <w:snapToGrid w:val="0"/>
          <w:sz w:val="22"/>
          <w:szCs w:val="20"/>
          <w:lang w:val="en-GB"/>
        </w:rPr>
        <w:t xml:space="preserve"> and the market for </w:t>
      </w:r>
      <w:r w:rsidR="00815C6E">
        <w:rPr>
          <w:rFonts w:ascii="Arial" w:hAnsi="Arial" w:cs="Arial"/>
          <w:bCs/>
          <w:snapToGrid w:val="0"/>
          <w:sz w:val="22"/>
          <w:szCs w:val="20"/>
          <w:lang w:val="en-GB"/>
        </w:rPr>
        <w:t xml:space="preserve">oral </w:t>
      </w:r>
      <w:r w:rsidR="00322F0E" w:rsidRPr="00930820">
        <w:rPr>
          <w:rFonts w:ascii="Arial" w:hAnsi="Arial" w:cs="Arial"/>
          <w:bCs/>
          <w:snapToGrid w:val="0"/>
          <w:sz w:val="22"/>
          <w:szCs w:val="20"/>
          <w:lang w:val="en-GB"/>
        </w:rPr>
        <w:t>treatments</w:t>
      </w:r>
      <w:r w:rsidR="00CE778E">
        <w:rPr>
          <w:rFonts w:ascii="Arial" w:hAnsi="Arial" w:cs="Arial"/>
          <w:bCs/>
          <w:snapToGrid w:val="0"/>
          <w:sz w:val="22"/>
          <w:szCs w:val="20"/>
          <w:lang w:val="en-GB"/>
        </w:rPr>
        <w:t xml:space="preserve"> was still growing.</w:t>
      </w:r>
    </w:p>
    <w:p w:rsidR="008C0D26" w:rsidRDefault="008C0D26" w:rsidP="008C0D26">
      <w:pPr>
        <w:pStyle w:val="ListParagraph"/>
        <w:rPr>
          <w:bCs/>
          <w:lang w:val="en-GB"/>
        </w:rPr>
      </w:pPr>
    </w:p>
    <w:p w:rsidR="00720793" w:rsidRPr="00DA718C" w:rsidRDefault="008C0D26" w:rsidP="00720793">
      <w:pPr>
        <w:widowControl w:val="0"/>
        <w:numPr>
          <w:ilvl w:val="1"/>
          <w:numId w:val="5"/>
        </w:numPr>
        <w:jc w:val="both"/>
        <w:rPr>
          <w:rFonts w:ascii="Arial" w:hAnsi="Arial" w:cs="Arial"/>
          <w:bCs/>
          <w:snapToGrid w:val="0"/>
          <w:sz w:val="22"/>
          <w:szCs w:val="20"/>
          <w:lang w:val="en-GB"/>
        </w:rPr>
      </w:pPr>
      <w:r>
        <w:rPr>
          <w:rFonts w:ascii="Arial" w:hAnsi="Arial" w:cs="Arial"/>
          <w:bCs/>
          <w:snapToGrid w:val="0"/>
          <w:sz w:val="22"/>
          <w:szCs w:val="20"/>
          <w:lang w:val="en-GB"/>
        </w:rPr>
        <w:t xml:space="preserve">The Committee also noted that while the utilisation of </w:t>
      </w:r>
      <w:proofErr w:type="spellStart"/>
      <w:r>
        <w:rPr>
          <w:rFonts w:ascii="Arial" w:hAnsi="Arial" w:cs="Arial"/>
          <w:bCs/>
          <w:snapToGrid w:val="0"/>
          <w:sz w:val="22"/>
          <w:szCs w:val="20"/>
          <w:lang w:val="en-GB"/>
        </w:rPr>
        <w:t>teriflunomide</w:t>
      </w:r>
      <w:proofErr w:type="spellEnd"/>
      <w:r>
        <w:rPr>
          <w:rFonts w:ascii="Arial" w:hAnsi="Arial" w:cs="Arial"/>
          <w:bCs/>
          <w:snapToGrid w:val="0"/>
          <w:sz w:val="22"/>
          <w:szCs w:val="20"/>
          <w:lang w:val="en-GB"/>
        </w:rPr>
        <w:t xml:space="preserve"> has been low</w:t>
      </w:r>
      <w:r w:rsidR="00CE778E">
        <w:rPr>
          <w:rFonts w:ascii="Arial" w:hAnsi="Arial" w:cs="Arial"/>
          <w:bCs/>
          <w:snapToGrid w:val="0"/>
          <w:sz w:val="22"/>
          <w:szCs w:val="20"/>
          <w:lang w:val="en-GB"/>
        </w:rPr>
        <w:t>er than expected</w:t>
      </w:r>
      <w:r>
        <w:rPr>
          <w:rFonts w:ascii="Arial" w:hAnsi="Arial" w:cs="Arial"/>
          <w:bCs/>
          <w:snapToGrid w:val="0"/>
          <w:sz w:val="22"/>
          <w:szCs w:val="20"/>
          <w:lang w:val="en-GB"/>
        </w:rPr>
        <w:t>, the simultaneous listing of DMF in December 2013 resulted</w:t>
      </w:r>
      <w:r w:rsidR="00CE778E">
        <w:rPr>
          <w:rFonts w:ascii="Arial" w:hAnsi="Arial" w:cs="Arial"/>
          <w:bCs/>
          <w:snapToGrid w:val="0"/>
          <w:sz w:val="22"/>
          <w:szCs w:val="20"/>
          <w:lang w:val="en-GB"/>
        </w:rPr>
        <w:t xml:space="preserve"> in</w:t>
      </w:r>
      <w:r>
        <w:rPr>
          <w:rFonts w:ascii="Arial" w:hAnsi="Arial" w:cs="Arial"/>
          <w:bCs/>
          <w:snapToGrid w:val="0"/>
          <w:sz w:val="22"/>
          <w:szCs w:val="20"/>
          <w:lang w:val="en-GB"/>
        </w:rPr>
        <w:t xml:space="preserve"> these two therapies competing for market share and was likely a contributing factor to the lower than expected utilisation of </w:t>
      </w:r>
      <w:proofErr w:type="spellStart"/>
      <w:r>
        <w:rPr>
          <w:rFonts w:ascii="Arial" w:hAnsi="Arial" w:cs="Arial"/>
          <w:bCs/>
          <w:snapToGrid w:val="0"/>
          <w:sz w:val="22"/>
          <w:szCs w:val="20"/>
          <w:lang w:val="en-GB"/>
        </w:rPr>
        <w:t>teriflunomide</w:t>
      </w:r>
      <w:proofErr w:type="spellEnd"/>
      <w:r>
        <w:rPr>
          <w:rFonts w:ascii="Arial" w:hAnsi="Arial" w:cs="Arial"/>
          <w:bCs/>
          <w:snapToGrid w:val="0"/>
          <w:sz w:val="22"/>
          <w:szCs w:val="20"/>
          <w:lang w:val="en-GB"/>
        </w:rPr>
        <w:t>.</w:t>
      </w:r>
    </w:p>
    <w:p w:rsidR="00720793" w:rsidRPr="00930820" w:rsidRDefault="00720793" w:rsidP="00720793">
      <w:pPr>
        <w:widowControl w:val="0"/>
        <w:jc w:val="both"/>
        <w:rPr>
          <w:rFonts w:ascii="Arial" w:hAnsi="Arial" w:cs="Arial"/>
          <w:bCs/>
          <w:snapToGrid w:val="0"/>
          <w:sz w:val="22"/>
          <w:szCs w:val="20"/>
          <w:lang w:val="en-GB"/>
        </w:rPr>
      </w:pPr>
    </w:p>
    <w:p w:rsidR="00930820" w:rsidRPr="00930820" w:rsidRDefault="00720793" w:rsidP="00930820">
      <w:pPr>
        <w:pStyle w:val="ListParagraph"/>
        <w:numPr>
          <w:ilvl w:val="1"/>
          <w:numId w:val="5"/>
        </w:numPr>
        <w:rPr>
          <w:bCs/>
          <w:lang w:val="en-GB" w:eastAsia="en-AU"/>
        </w:rPr>
      </w:pPr>
      <w:r w:rsidRPr="00930820">
        <w:rPr>
          <w:bCs/>
          <w:lang w:val="en-GB"/>
        </w:rPr>
        <w:t xml:space="preserve">The PBAC noted that this submission is not eligible for an Independent Review </w:t>
      </w:r>
      <w:r w:rsidR="00930820" w:rsidRPr="00930820">
        <w:rPr>
          <w:bCs/>
          <w:lang w:val="en-GB" w:eastAsia="en-AU"/>
        </w:rPr>
        <w:t>as an Independent Review is not available in response to a request to modify or extend and existing listing.</w:t>
      </w:r>
    </w:p>
    <w:p w:rsidR="00720793" w:rsidRPr="00930820" w:rsidRDefault="00720793" w:rsidP="00720793">
      <w:pPr>
        <w:widowControl w:val="0"/>
        <w:jc w:val="both"/>
        <w:rPr>
          <w:rFonts w:ascii="Arial" w:hAnsi="Arial" w:cs="Arial"/>
          <w:b/>
          <w:bCs/>
          <w:snapToGrid w:val="0"/>
          <w:sz w:val="22"/>
          <w:szCs w:val="20"/>
          <w:lang w:val="en-GB"/>
        </w:rPr>
      </w:pPr>
    </w:p>
    <w:p w:rsidR="00720793" w:rsidRPr="00930820" w:rsidRDefault="00720793" w:rsidP="00720793">
      <w:pPr>
        <w:widowControl w:val="0"/>
        <w:jc w:val="both"/>
        <w:rPr>
          <w:rFonts w:ascii="Arial" w:hAnsi="Arial" w:cs="Arial"/>
          <w:b/>
          <w:bCs/>
          <w:snapToGrid w:val="0"/>
          <w:sz w:val="22"/>
          <w:szCs w:val="20"/>
          <w:lang w:val="en-GB"/>
        </w:rPr>
      </w:pPr>
    </w:p>
    <w:p w:rsidR="00720793" w:rsidRPr="003A032D" w:rsidRDefault="00720793" w:rsidP="003A032D">
      <w:pPr>
        <w:widowControl w:val="0"/>
        <w:jc w:val="both"/>
        <w:outlineLvl w:val="1"/>
        <w:rPr>
          <w:rFonts w:ascii="Arial" w:hAnsi="Arial" w:cs="Arial"/>
          <w:b/>
          <w:bCs/>
          <w:snapToGrid w:val="0"/>
          <w:sz w:val="22"/>
          <w:szCs w:val="20"/>
          <w:lang w:val="en-GB"/>
        </w:rPr>
      </w:pPr>
      <w:r w:rsidRPr="00930820">
        <w:rPr>
          <w:rFonts w:ascii="Arial" w:hAnsi="Arial" w:cs="Arial"/>
          <w:b/>
          <w:bCs/>
          <w:snapToGrid w:val="0"/>
          <w:sz w:val="22"/>
          <w:szCs w:val="20"/>
          <w:lang w:val="en-GB"/>
        </w:rPr>
        <w:t>Outcome</w:t>
      </w:r>
      <w:r w:rsidR="003A032D">
        <w:rPr>
          <w:rFonts w:ascii="Arial" w:hAnsi="Arial" w:cs="Arial"/>
          <w:b/>
          <w:bCs/>
          <w:snapToGrid w:val="0"/>
          <w:sz w:val="22"/>
          <w:szCs w:val="20"/>
          <w:lang w:val="en-GB"/>
        </w:rPr>
        <w:t xml:space="preserve">: </w:t>
      </w:r>
      <w:r w:rsidR="003A032D">
        <w:rPr>
          <w:rFonts w:ascii="Arial" w:hAnsi="Arial" w:cs="Arial"/>
          <w:b/>
          <w:bCs/>
          <w:snapToGrid w:val="0"/>
          <w:sz w:val="22"/>
          <w:szCs w:val="20"/>
          <w:lang w:val="en-GB"/>
        </w:rPr>
        <w:br/>
      </w:r>
      <w:r w:rsidRPr="00930820">
        <w:rPr>
          <w:rFonts w:ascii="Arial" w:hAnsi="Arial" w:cs="Arial"/>
          <w:bCs/>
          <w:snapToGrid w:val="0"/>
          <w:sz w:val="22"/>
          <w:szCs w:val="20"/>
          <w:lang w:val="en-GB"/>
        </w:rPr>
        <w:t>Rejected</w:t>
      </w:r>
    </w:p>
    <w:p w:rsidR="002238DD" w:rsidRDefault="002238DD" w:rsidP="00F64CC1">
      <w:pPr>
        <w:jc w:val="both"/>
        <w:rPr>
          <w:rFonts w:ascii="Arial" w:hAnsi="Arial"/>
          <w:b/>
          <w:sz w:val="22"/>
          <w:szCs w:val="22"/>
        </w:rPr>
      </w:pPr>
    </w:p>
    <w:p w:rsidR="005813D1" w:rsidRPr="007A6B40" w:rsidRDefault="005813D1" w:rsidP="005813D1">
      <w:pPr>
        <w:pStyle w:val="Heading1"/>
        <w:keepNext/>
        <w:widowControl/>
        <w:numPr>
          <w:ilvl w:val="0"/>
          <w:numId w:val="5"/>
        </w:numPr>
        <w:spacing w:before="240" w:after="60"/>
        <w:ind w:right="-663"/>
        <w:contextualSpacing w:val="0"/>
        <w:jc w:val="left"/>
      </w:pPr>
      <w:r w:rsidRPr="007A6B40">
        <w:t>Context for Decision</w:t>
      </w:r>
    </w:p>
    <w:p w:rsidR="005813D1" w:rsidRPr="003432FE" w:rsidRDefault="005813D1" w:rsidP="005813D1">
      <w:pPr>
        <w:spacing w:line="276" w:lineRule="auto"/>
        <w:ind w:left="426"/>
        <w:jc w:val="both"/>
        <w:rPr>
          <w:rFonts w:ascii="Arial" w:eastAsiaTheme="minorHAnsi" w:hAnsi="Arial" w:cs="Arial"/>
          <w:sz w:val="22"/>
          <w:szCs w:val="22"/>
          <w:lang w:eastAsia="en-US"/>
        </w:rPr>
      </w:pPr>
    </w:p>
    <w:p w:rsidR="005813D1" w:rsidRPr="003432FE" w:rsidRDefault="005813D1" w:rsidP="005813D1">
      <w:pPr>
        <w:ind w:left="720"/>
        <w:jc w:val="both"/>
        <w:rPr>
          <w:rFonts w:ascii="Arial" w:eastAsiaTheme="minorHAnsi" w:hAnsi="Arial" w:cs="Arial"/>
          <w:sz w:val="22"/>
          <w:szCs w:val="22"/>
          <w:lang w:eastAsia="en-US"/>
        </w:rPr>
      </w:pPr>
      <w:r w:rsidRPr="003432FE">
        <w:rPr>
          <w:rFonts w:ascii="Arial" w:eastAsiaTheme="minorHAnsi" w:hAnsi="Arial" w:cs="Arial"/>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813D1" w:rsidRPr="003432FE" w:rsidRDefault="005813D1" w:rsidP="005813D1">
      <w:pPr>
        <w:spacing w:after="200" w:line="276" w:lineRule="auto"/>
        <w:ind w:left="426"/>
        <w:jc w:val="both"/>
        <w:rPr>
          <w:rFonts w:ascii="Arial" w:eastAsiaTheme="minorHAnsi" w:hAnsi="Arial" w:cs="Arial"/>
          <w:sz w:val="22"/>
          <w:szCs w:val="22"/>
          <w:lang w:eastAsia="en-US"/>
        </w:rPr>
      </w:pPr>
    </w:p>
    <w:p w:rsidR="005813D1" w:rsidRPr="007A6B40" w:rsidRDefault="005813D1" w:rsidP="005813D1">
      <w:pPr>
        <w:pStyle w:val="Heading1"/>
        <w:keepNext/>
        <w:widowControl/>
        <w:numPr>
          <w:ilvl w:val="0"/>
          <w:numId w:val="5"/>
        </w:numPr>
        <w:spacing w:before="240" w:after="60"/>
        <w:ind w:right="-663"/>
        <w:contextualSpacing w:val="0"/>
        <w:jc w:val="left"/>
      </w:pPr>
      <w:r w:rsidRPr="007A6B40">
        <w:t>Sponsor’s Comment</w:t>
      </w:r>
    </w:p>
    <w:p w:rsidR="005813D1" w:rsidRPr="003432FE" w:rsidRDefault="005813D1" w:rsidP="005813D1">
      <w:pPr>
        <w:spacing w:line="276" w:lineRule="auto"/>
        <w:ind w:left="426"/>
        <w:jc w:val="both"/>
        <w:rPr>
          <w:rFonts w:ascii="Arial" w:eastAsiaTheme="minorHAnsi" w:hAnsi="Arial" w:cs="Arial"/>
          <w:bCs/>
          <w:sz w:val="22"/>
          <w:szCs w:val="22"/>
          <w:highlight w:val="yellow"/>
          <w:lang w:val="en-GB" w:eastAsia="en-US"/>
        </w:rPr>
      </w:pPr>
    </w:p>
    <w:p w:rsidR="005813D1" w:rsidRPr="003432FE" w:rsidRDefault="005813D1" w:rsidP="005813D1">
      <w:pPr>
        <w:spacing w:after="120"/>
        <w:ind w:left="426" w:firstLine="294"/>
        <w:jc w:val="both"/>
        <w:rPr>
          <w:rFonts w:ascii="Arial" w:eastAsiaTheme="minorHAnsi" w:hAnsi="Arial" w:cs="Arial"/>
          <w:bCs/>
          <w:sz w:val="22"/>
          <w:szCs w:val="22"/>
          <w:lang w:eastAsia="en-US"/>
        </w:rPr>
      </w:pPr>
      <w:r w:rsidRPr="003432FE">
        <w:rPr>
          <w:rFonts w:ascii="Arial" w:eastAsiaTheme="minorHAnsi" w:hAnsi="Arial" w:cs="Arial"/>
          <w:bCs/>
          <w:sz w:val="22"/>
          <w:szCs w:val="22"/>
          <w:lang w:eastAsia="en-US"/>
        </w:rPr>
        <w:t>The sponsor had no comment.</w:t>
      </w:r>
    </w:p>
    <w:p w:rsidR="00175817" w:rsidRPr="002238DD" w:rsidRDefault="00175817" w:rsidP="00F64CC1">
      <w:pPr>
        <w:jc w:val="both"/>
        <w:rPr>
          <w:rFonts w:ascii="Arial" w:hAnsi="Arial"/>
          <w:b/>
          <w:sz w:val="22"/>
          <w:szCs w:val="22"/>
        </w:rPr>
      </w:pPr>
    </w:p>
    <w:sectPr w:rsidR="00175817" w:rsidRPr="002238DD"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FC" w:rsidRDefault="006B4FFC">
      <w:r>
        <w:separator/>
      </w:r>
    </w:p>
    <w:p w:rsidR="006B4FFC" w:rsidRDefault="006B4FFC"/>
  </w:endnote>
  <w:endnote w:type="continuationSeparator" w:id="0">
    <w:p w:rsidR="006B4FFC" w:rsidRDefault="006B4FFC">
      <w:r>
        <w:continuationSeparator/>
      </w:r>
    </w:p>
    <w:p w:rsidR="006B4FFC" w:rsidRDefault="006B4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47369" w:rsidTr="005A3173">
      <w:trPr>
        <w:trHeight w:val="151"/>
      </w:trPr>
      <w:tc>
        <w:tcPr>
          <w:tcW w:w="2250" w:type="pct"/>
          <w:tcBorders>
            <w:top w:val="nil"/>
            <w:left w:val="nil"/>
            <w:bottom w:val="single" w:sz="4" w:space="0" w:color="4F81BD"/>
            <w:right w:val="nil"/>
          </w:tcBorders>
        </w:tcPr>
        <w:p w:rsidR="00C47369" w:rsidRPr="005A3173" w:rsidRDefault="00C4736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47369" w:rsidRPr="005A3173" w:rsidRDefault="00C473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47369" w:rsidRPr="005A3173" w:rsidRDefault="00C47369" w:rsidP="005A3173">
          <w:pPr>
            <w:pStyle w:val="Header"/>
            <w:spacing w:line="276" w:lineRule="auto"/>
            <w:rPr>
              <w:rFonts w:ascii="Calibri" w:eastAsia="MS Gothic" w:hAnsi="Calibri"/>
              <w:b/>
              <w:bCs/>
              <w:color w:val="4F81BD"/>
            </w:rPr>
          </w:pPr>
        </w:p>
      </w:tc>
    </w:tr>
    <w:tr w:rsidR="00C47369" w:rsidTr="005A3173">
      <w:trPr>
        <w:trHeight w:val="150"/>
      </w:trPr>
      <w:tc>
        <w:tcPr>
          <w:tcW w:w="2250" w:type="pct"/>
          <w:tcBorders>
            <w:top w:val="single" w:sz="4" w:space="0" w:color="4F81BD"/>
            <w:left w:val="nil"/>
            <w:bottom w:val="nil"/>
            <w:right w:val="nil"/>
          </w:tcBorders>
        </w:tcPr>
        <w:p w:rsidR="00C47369" w:rsidRPr="005A3173" w:rsidRDefault="00C47369" w:rsidP="005A3173">
          <w:pPr>
            <w:pStyle w:val="Header"/>
            <w:spacing w:line="276" w:lineRule="auto"/>
            <w:rPr>
              <w:rFonts w:ascii="Calibri" w:eastAsia="MS Gothic" w:hAnsi="Calibri"/>
              <w:b/>
              <w:bCs/>
              <w:color w:val="4F81BD"/>
            </w:rPr>
          </w:pPr>
        </w:p>
      </w:tc>
      <w:tc>
        <w:tcPr>
          <w:tcW w:w="0" w:type="auto"/>
          <w:vMerge/>
          <w:vAlign w:val="center"/>
          <w:hideMark/>
        </w:tcPr>
        <w:p w:rsidR="00C47369" w:rsidRPr="005A3173" w:rsidRDefault="00C47369" w:rsidP="005A3173">
          <w:pPr>
            <w:rPr>
              <w:rFonts w:ascii="Calibri" w:hAnsi="Calibri"/>
              <w:color w:val="365F91"/>
              <w:sz w:val="22"/>
              <w:szCs w:val="22"/>
            </w:rPr>
          </w:pPr>
        </w:p>
      </w:tc>
      <w:tc>
        <w:tcPr>
          <w:tcW w:w="2250" w:type="pct"/>
          <w:tcBorders>
            <w:top w:val="single" w:sz="4" w:space="0" w:color="4F81BD"/>
            <w:left w:val="nil"/>
            <w:bottom w:val="nil"/>
            <w:right w:val="nil"/>
          </w:tcBorders>
        </w:tcPr>
        <w:p w:rsidR="00C47369" w:rsidRPr="005A3173" w:rsidRDefault="00C47369" w:rsidP="005A3173">
          <w:pPr>
            <w:pStyle w:val="Header"/>
            <w:spacing w:line="276" w:lineRule="auto"/>
            <w:rPr>
              <w:rFonts w:ascii="Calibri" w:eastAsia="MS Gothic" w:hAnsi="Calibri"/>
              <w:b/>
              <w:bCs/>
              <w:color w:val="4F81BD"/>
            </w:rPr>
          </w:pPr>
        </w:p>
      </w:tc>
    </w:tr>
  </w:tbl>
  <w:p w:rsidR="00C47369" w:rsidRDefault="00C4736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7369" w:rsidRDefault="00C47369">
    <w:pPr>
      <w:pStyle w:val="Footer"/>
    </w:pPr>
  </w:p>
  <w:p w:rsidR="00C47369" w:rsidRDefault="00C473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846524"/>
      <w:docPartObj>
        <w:docPartGallery w:val="Page Numbers (Bottom of Page)"/>
        <w:docPartUnique/>
      </w:docPartObj>
    </w:sdtPr>
    <w:sdtEndPr>
      <w:rPr>
        <w:rFonts w:ascii="Arial" w:hAnsi="Arial" w:cs="Arial"/>
        <w:noProof/>
        <w:sz w:val="22"/>
        <w:szCs w:val="22"/>
      </w:rPr>
    </w:sdtEndPr>
    <w:sdtContent>
      <w:p w:rsidR="002F75FB" w:rsidRDefault="002F75FB">
        <w:pPr>
          <w:pStyle w:val="Footer"/>
          <w:jc w:val="center"/>
        </w:pPr>
      </w:p>
      <w:p w:rsidR="00C47369" w:rsidRPr="00175817" w:rsidRDefault="00720793" w:rsidP="00175817">
        <w:pPr>
          <w:pStyle w:val="Footer"/>
          <w:jc w:val="center"/>
          <w:rPr>
            <w:rFonts w:ascii="Arial" w:hAnsi="Arial" w:cs="Arial"/>
            <w:sz w:val="22"/>
            <w:szCs w:val="22"/>
          </w:rPr>
        </w:pPr>
        <w:r w:rsidRPr="00720793">
          <w:rPr>
            <w:rFonts w:ascii="Arial" w:hAnsi="Arial" w:cs="Arial"/>
            <w:sz w:val="22"/>
            <w:szCs w:val="22"/>
          </w:rPr>
          <w:fldChar w:fldCharType="begin"/>
        </w:r>
        <w:r w:rsidRPr="00720793">
          <w:rPr>
            <w:rFonts w:ascii="Arial" w:hAnsi="Arial" w:cs="Arial"/>
            <w:sz w:val="22"/>
            <w:szCs w:val="22"/>
          </w:rPr>
          <w:instrText xml:space="preserve"> PAGE   \* MERGEFORMAT </w:instrText>
        </w:r>
        <w:r w:rsidRPr="00720793">
          <w:rPr>
            <w:rFonts w:ascii="Arial" w:hAnsi="Arial" w:cs="Arial"/>
            <w:sz w:val="22"/>
            <w:szCs w:val="22"/>
          </w:rPr>
          <w:fldChar w:fldCharType="separate"/>
        </w:r>
        <w:r w:rsidR="00590F70">
          <w:rPr>
            <w:rFonts w:ascii="Arial" w:hAnsi="Arial" w:cs="Arial"/>
            <w:noProof/>
            <w:sz w:val="22"/>
            <w:szCs w:val="22"/>
          </w:rPr>
          <w:t>1</w:t>
        </w:r>
        <w:r w:rsidRPr="00720793">
          <w:rPr>
            <w:rFonts w:ascii="Arial" w:hAnsi="Arial" w:cs="Arial"/>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47369" w:rsidTr="005A3173">
      <w:trPr>
        <w:trHeight w:val="151"/>
      </w:trPr>
      <w:tc>
        <w:tcPr>
          <w:tcW w:w="2250" w:type="pct"/>
          <w:tcBorders>
            <w:top w:val="nil"/>
            <w:left w:val="nil"/>
            <w:bottom w:val="single" w:sz="4" w:space="0" w:color="4F81BD"/>
            <w:right w:val="nil"/>
          </w:tcBorders>
        </w:tcPr>
        <w:p w:rsidR="00C47369" w:rsidRPr="005A3173" w:rsidRDefault="00C4736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47369" w:rsidRPr="005A3173" w:rsidRDefault="00C473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47369" w:rsidRPr="005A3173" w:rsidRDefault="00C47369" w:rsidP="005A3173">
          <w:pPr>
            <w:pStyle w:val="Header"/>
            <w:spacing w:line="276" w:lineRule="auto"/>
            <w:rPr>
              <w:rFonts w:ascii="Calibri" w:eastAsia="MS Gothic" w:hAnsi="Calibri"/>
              <w:b/>
              <w:bCs/>
              <w:color w:val="4F81BD"/>
            </w:rPr>
          </w:pPr>
        </w:p>
      </w:tc>
    </w:tr>
    <w:tr w:rsidR="00C47369" w:rsidTr="005A3173">
      <w:trPr>
        <w:trHeight w:val="150"/>
      </w:trPr>
      <w:tc>
        <w:tcPr>
          <w:tcW w:w="2250" w:type="pct"/>
          <w:tcBorders>
            <w:top w:val="single" w:sz="4" w:space="0" w:color="4F81BD"/>
            <w:left w:val="nil"/>
            <w:bottom w:val="nil"/>
            <w:right w:val="nil"/>
          </w:tcBorders>
        </w:tcPr>
        <w:p w:rsidR="00C47369" w:rsidRPr="005A3173" w:rsidRDefault="00C47369" w:rsidP="005A3173">
          <w:pPr>
            <w:pStyle w:val="Header"/>
            <w:spacing w:line="276" w:lineRule="auto"/>
            <w:rPr>
              <w:rFonts w:ascii="Calibri" w:eastAsia="MS Gothic" w:hAnsi="Calibri"/>
              <w:b/>
              <w:bCs/>
              <w:color w:val="4F81BD"/>
            </w:rPr>
          </w:pPr>
        </w:p>
      </w:tc>
      <w:tc>
        <w:tcPr>
          <w:tcW w:w="0" w:type="auto"/>
          <w:vMerge/>
          <w:vAlign w:val="center"/>
          <w:hideMark/>
        </w:tcPr>
        <w:p w:rsidR="00C47369" w:rsidRPr="005A3173" w:rsidRDefault="00C47369" w:rsidP="005A3173">
          <w:pPr>
            <w:rPr>
              <w:rFonts w:ascii="Calibri" w:hAnsi="Calibri"/>
              <w:color w:val="365F91"/>
              <w:sz w:val="22"/>
              <w:szCs w:val="22"/>
            </w:rPr>
          </w:pPr>
        </w:p>
      </w:tc>
      <w:tc>
        <w:tcPr>
          <w:tcW w:w="2250" w:type="pct"/>
          <w:tcBorders>
            <w:top w:val="single" w:sz="4" w:space="0" w:color="4F81BD"/>
            <w:left w:val="nil"/>
            <w:bottom w:val="nil"/>
            <w:right w:val="nil"/>
          </w:tcBorders>
        </w:tcPr>
        <w:p w:rsidR="00C47369" w:rsidRPr="005A3173" w:rsidRDefault="00C4736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47369" w:rsidTr="005A3173">
      <w:trPr>
        <w:trHeight w:val="151"/>
      </w:trPr>
      <w:tc>
        <w:tcPr>
          <w:tcW w:w="2250" w:type="pct"/>
          <w:tcBorders>
            <w:top w:val="nil"/>
            <w:left w:val="nil"/>
            <w:bottom w:val="single" w:sz="4" w:space="0" w:color="4F81BD"/>
            <w:right w:val="nil"/>
          </w:tcBorders>
        </w:tcPr>
        <w:p w:rsidR="00C47369" w:rsidRPr="005A3173" w:rsidRDefault="00C4736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47369" w:rsidRPr="005A3173" w:rsidRDefault="00C473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47369" w:rsidRPr="005A3173" w:rsidRDefault="00C47369" w:rsidP="005A3173">
          <w:pPr>
            <w:pStyle w:val="Header"/>
            <w:spacing w:line="276" w:lineRule="auto"/>
            <w:rPr>
              <w:rFonts w:ascii="Calibri" w:eastAsia="MS Gothic" w:hAnsi="Calibri"/>
              <w:b/>
              <w:bCs/>
              <w:color w:val="4F81BD"/>
            </w:rPr>
          </w:pPr>
        </w:p>
      </w:tc>
    </w:tr>
    <w:tr w:rsidR="00C47369" w:rsidTr="005A3173">
      <w:trPr>
        <w:trHeight w:val="150"/>
      </w:trPr>
      <w:tc>
        <w:tcPr>
          <w:tcW w:w="2250" w:type="pct"/>
          <w:tcBorders>
            <w:top w:val="single" w:sz="4" w:space="0" w:color="4F81BD"/>
            <w:left w:val="nil"/>
            <w:bottom w:val="nil"/>
            <w:right w:val="nil"/>
          </w:tcBorders>
        </w:tcPr>
        <w:p w:rsidR="00C47369" w:rsidRPr="005A3173" w:rsidRDefault="00C47369" w:rsidP="005A3173">
          <w:pPr>
            <w:pStyle w:val="Header"/>
            <w:spacing w:line="276" w:lineRule="auto"/>
            <w:rPr>
              <w:rFonts w:ascii="Calibri" w:eastAsia="MS Gothic" w:hAnsi="Calibri"/>
              <w:b/>
              <w:bCs/>
              <w:color w:val="4F81BD"/>
            </w:rPr>
          </w:pPr>
        </w:p>
      </w:tc>
      <w:tc>
        <w:tcPr>
          <w:tcW w:w="0" w:type="auto"/>
          <w:vMerge/>
          <w:vAlign w:val="center"/>
          <w:hideMark/>
        </w:tcPr>
        <w:p w:rsidR="00C47369" w:rsidRPr="005A3173" w:rsidRDefault="00C47369" w:rsidP="005A3173">
          <w:pPr>
            <w:rPr>
              <w:rFonts w:ascii="Calibri" w:hAnsi="Calibri"/>
              <w:color w:val="365F91"/>
              <w:sz w:val="22"/>
              <w:szCs w:val="22"/>
            </w:rPr>
          </w:pPr>
        </w:p>
      </w:tc>
      <w:tc>
        <w:tcPr>
          <w:tcW w:w="2250" w:type="pct"/>
          <w:tcBorders>
            <w:top w:val="single" w:sz="4" w:space="0" w:color="4F81BD"/>
            <w:left w:val="nil"/>
            <w:bottom w:val="nil"/>
            <w:right w:val="nil"/>
          </w:tcBorders>
        </w:tcPr>
        <w:p w:rsidR="00C47369" w:rsidRPr="005A3173" w:rsidRDefault="00C47369" w:rsidP="005A3173">
          <w:pPr>
            <w:pStyle w:val="Header"/>
            <w:spacing w:line="276" w:lineRule="auto"/>
            <w:rPr>
              <w:rFonts w:ascii="Calibri" w:eastAsia="MS Gothic" w:hAnsi="Calibri"/>
              <w:b/>
              <w:bCs/>
              <w:color w:val="4F81BD"/>
            </w:rPr>
          </w:pPr>
        </w:p>
      </w:tc>
    </w:tr>
  </w:tbl>
  <w:p w:rsidR="00C47369" w:rsidRPr="007C0F57" w:rsidRDefault="00C4736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47369" w:rsidRPr="007C0F57" w:rsidRDefault="00C47369" w:rsidP="007C0F57">
    <w:pPr>
      <w:pStyle w:val="Footer"/>
      <w:jc w:val="center"/>
      <w:rPr>
        <w:b/>
        <w:i/>
        <w:sz w:val="20"/>
        <w:szCs w:val="20"/>
      </w:rPr>
    </w:pPr>
    <w:r w:rsidRPr="007C0F57">
      <w:rPr>
        <w:b/>
        <w:i/>
        <w:sz w:val="20"/>
        <w:szCs w:val="20"/>
      </w:rPr>
      <w:t>Commercial-in-Confidence</w:t>
    </w:r>
  </w:p>
  <w:p w:rsidR="00C47369" w:rsidRDefault="00C473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FC" w:rsidRDefault="006B4FFC">
      <w:r>
        <w:separator/>
      </w:r>
    </w:p>
    <w:p w:rsidR="006B4FFC" w:rsidRDefault="006B4FFC"/>
  </w:footnote>
  <w:footnote w:type="continuationSeparator" w:id="0">
    <w:p w:rsidR="006B4FFC" w:rsidRDefault="006B4FFC">
      <w:r>
        <w:continuationSeparator/>
      </w:r>
    </w:p>
    <w:p w:rsidR="006B4FFC" w:rsidRDefault="006B4FFC"/>
  </w:footnote>
  <w:footnote w:id="1">
    <w:p w:rsidR="006F40E4" w:rsidRPr="006F40E4" w:rsidRDefault="006F40E4" w:rsidP="005813D1">
      <w:pPr>
        <w:pStyle w:val="FootnoteText"/>
        <w:jc w:val="both"/>
        <w:rPr>
          <w:rFonts w:ascii="Arial" w:hAnsi="Arial" w:cs="Arial"/>
          <w:sz w:val="18"/>
          <w:szCs w:val="18"/>
        </w:rPr>
      </w:pPr>
      <w:r>
        <w:rPr>
          <w:rStyle w:val="FootnoteReference"/>
        </w:rPr>
        <w:footnoteRef/>
      </w:r>
      <w:r>
        <w:t xml:space="preserve"> </w:t>
      </w:r>
      <w:proofErr w:type="gramStart"/>
      <w:r>
        <w:rPr>
          <w:rFonts w:ascii="Arial" w:hAnsi="Arial" w:cs="Arial"/>
          <w:sz w:val="18"/>
          <w:szCs w:val="18"/>
        </w:rPr>
        <w:t>PBAC Drug Utilisation Sub-Committee (2015).</w:t>
      </w:r>
      <w:proofErr w:type="gramEnd"/>
      <w:r>
        <w:rPr>
          <w:rFonts w:ascii="Arial" w:hAnsi="Arial" w:cs="Arial"/>
          <w:sz w:val="18"/>
          <w:szCs w:val="18"/>
        </w:rPr>
        <w:t xml:space="preserve"> </w:t>
      </w:r>
      <w:r>
        <w:rPr>
          <w:rFonts w:ascii="Arial" w:hAnsi="Arial" w:cs="Arial"/>
          <w:i/>
          <w:sz w:val="18"/>
          <w:szCs w:val="18"/>
        </w:rPr>
        <w:t>Multiple Sclerosis, predicted versus actual analysis, Public Release Document</w:t>
      </w:r>
      <w:r>
        <w:rPr>
          <w:rFonts w:ascii="Arial" w:hAnsi="Arial" w:cs="Arial"/>
          <w:sz w:val="18"/>
          <w:szCs w:val="18"/>
        </w:rPr>
        <w:t xml:space="preserve">, p 21. </w:t>
      </w:r>
      <w:r w:rsidRPr="006F40E4">
        <w:rPr>
          <w:rFonts w:ascii="Arial" w:hAnsi="Arial" w:cs="Arial"/>
          <w:sz w:val="18"/>
          <w:szCs w:val="18"/>
        </w:rPr>
        <w:t xml:space="preserve">Canberra: Department of Health. </w:t>
      </w:r>
      <w:proofErr w:type="gramStart"/>
      <w:r w:rsidRPr="006F40E4">
        <w:rPr>
          <w:rFonts w:ascii="Arial" w:hAnsi="Arial" w:cs="Arial"/>
          <w:sz w:val="18"/>
          <w:szCs w:val="18"/>
        </w:rPr>
        <w:t>Full report available from</w:t>
      </w:r>
      <w:r>
        <w:rPr>
          <w:rFonts w:ascii="Arial" w:hAnsi="Arial" w:cs="Arial"/>
          <w:sz w:val="18"/>
          <w:szCs w:val="18"/>
        </w:rPr>
        <w:t xml:space="preserve"> </w:t>
      </w:r>
      <w:r w:rsidRPr="00DD2765">
        <w:rPr>
          <w:rFonts w:ascii="Arial" w:hAnsi="Arial" w:cs="Arial"/>
          <w:sz w:val="18"/>
          <w:szCs w:val="18"/>
        </w:rPr>
        <w:t>http://www.pbs.gov.au/info/industry/listing/participants/public-release-docs/dusc-public-release-documents-by-condition</w:t>
      </w:r>
      <w:r w:rsidR="00DD2765">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Accessed 9 September 2016.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47369" w:rsidRPr="008E0D90" w:rsidTr="00A06225">
      <w:trPr>
        <w:trHeight w:val="151"/>
      </w:trPr>
      <w:tc>
        <w:tcPr>
          <w:tcW w:w="2389" w:type="pct"/>
          <w:tcBorders>
            <w:top w:val="nil"/>
            <w:left w:val="nil"/>
            <w:bottom w:val="single" w:sz="4" w:space="0" w:color="4F81BD"/>
            <w:right w:val="nil"/>
          </w:tcBorders>
        </w:tcPr>
        <w:p w:rsidR="00C47369" w:rsidRPr="00A06225" w:rsidRDefault="00C47369">
          <w:pPr>
            <w:pStyle w:val="Header"/>
            <w:spacing w:line="276" w:lineRule="auto"/>
            <w:rPr>
              <w:rFonts w:ascii="Cambria" w:eastAsia="MS Gothic" w:hAnsi="Cambria"/>
              <w:b/>
              <w:bCs/>
              <w:color w:val="4F81BD"/>
            </w:rPr>
          </w:pPr>
        </w:p>
      </w:tc>
      <w:tc>
        <w:tcPr>
          <w:tcW w:w="333" w:type="pct"/>
          <w:vMerge w:val="restart"/>
          <w:noWrap/>
          <w:vAlign w:val="center"/>
          <w:hideMark/>
        </w:tcPr>
        <w:p w:rsidR="00C47369" w:rsidRPr="00A06225" w:rsidRDefault="00C4736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47369" w:rsidRPr="00A06225" w:rsidRDefault="00C47369">
          <w:pPr>
            <w:pStyle w:val="Header"/>
            <w:spacing w:line="276" w:lineRule="auto"/>
            <w:rPr>
              <w:rFonts w:ascii="Cambria" w:eastAsia="MS Gothic" w:hAnsi="Cambria"/>
              <w:b/>
              <w:bCs/>
              <w:color w:val="4F81BD"/>
            </w:rPr>
          </w:pPr>
        </w:p>
      </w:tc>
    </w:tr>
    <w:tr w:rsidR="00C47369" w:rsidRPr="008E0D90" w:rsidTr="00A06225">
      <w:trPr>
        <w:trHeight w:val="150"/>
      </w:trPr>
      <w:tc>
        <w:tcPr>
          <w:tcW w:w="2389" w:type="pct"/>
          <w:tcBorders>
            <w:top w:val="single" w:sz="4" w:space="0" w:color="4F81BD"/>
            <w:left w:val="nil"/>
            <w:bottom w:val="nil"/>
            <w:right w:val="nil"/>
          </w:tcBorders>
        </w:tcPr>
        <w:p w:rsidR="00C47369" w:rsidRPr="00A06225" w:rsidRDefault="00C47369">
          <w:pPr>
            <w:pStyle w:val="Header"/>
            <w:spacing w:line="276" w:lineRule="auto"/>
            <w:rPr>
              <w:rFonts w:ascii="Cambria" w:eastAsia="MS Gothic" w:hAnsi="Cambria"/>
              <w:b/>
              <w:bCs/>
              <w:color w:val="4F81BD"/>
            </w:rPr>
          </w:pPr>
        </w:p>
      </w:tc>
      <w:tc>
        <w:tcPr>
          <w:tcW w:w="0" w:type="auto"/>
          <w:vMerge/>
          <w:vAlign w:val="center"/>
          <w:hideMark/>
        </w:tcPr>
        <w:p w:rsidR="00C47369" w:rsidRPr="00A06225" w:rsidRDefault="00C47369">
          <w:pPr>
            <w:rPr>
              <w:rFonts w:ascii="Cambria" w:hAnsi="Cambria"/>
              <w:color w:val="4F81BD"/>
              <w:sz w:val="22"/>
              <w:szCs w:val="22"/>
            </w:rPr>
          </w:pPr>
        </w:p>
      </w:tc>
      <w:tc>
        <w:tcPr>
          <w:tcW w:w="2278" w:type="pct"/>
          <w:tcBorders>
            <w:top w:val="single" w:sz="4" w:space="0" w:color="4F81BD"/>
            <w:left w:val="nil"/>
            <w:bottom w:val="nil"/>
            <w:right w:val="nil"/>
          </w:tcBorders>
        </w:tcPr>
        <w:p w:rsidR="00C47369" w:rsidRPr="00A06225" w:rsidRDefault="00C47369">
          <w:pPr>
            <w:pStyle w:val="Header"/>
            <w:spacing w:line="276" w:lineRule="auto"/>
            <w:rPr>
              <w:rFonts w:ascii="Cambria" w:eastAsia="MS Gothic" w:hAnsi="Cambria"/>
              <w:b/>
              <w:bCs/>
              <w:color w:val="4F81BD"/>
            </w:rPr>
          </w:pPr>
        </w:p>
      </w:tc>
    </w:tr>
  </w:tbl>
  <w:p w:rsidR="00C47369" w:rsidRDefault="00C47369">
    <w:pPr>
      <w:pStyle w:val="Header"/>
    </w:pPr>
  </w:p>
  <w:p w:rsidR="00C47369" w:rsidRDefault="00C473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93" w:rsidRPr="00DF217D" w:rsidRDefault="005813D1" w:rsidP="00720793">
    <w:pPr>
      <w:pStyle w:val="Header"/>
      <w:ind w:left="360"/>
      <w:jc w:val="center"/>
      <w:rPr>
        <w:rFonts w:ascii="Arial" w:hAnsi="Arial" w:cs="Arial"/>
        <w:i/>
        <w:color w:val="808080"/>
        <w:sz w:val="22"/>
      </w:rPr>
    </w:pPr>
    <w:r>
      <w:rPr>
        <w:rFonts w:ascii="Arial" w:hAnsi="Arial" w:cs="Arial"/>
        <w:i/>
        <w:color w:val="808080"/>
        <w:sz w:val="22"/>
      </w:rPr>
      <w:t>Public Summary Document</w:t>
    </w:r>
    <w:r w:rsidR="00720793">
      <w:rPr>
        <w:rFonts w:ascii="Arial" w:hAnsi="Arial" w:cs="Arial"/>
        <w:i/>
        <w:color w:val="808080"/>
        <w:sz w:val="22"/>
      </w:rPr>
      <w:t xml:space="preserve"> </w:t>
    </w:r>
    <w:r w:rsidR="00720793" w:rsidRPr="00DF217D">
      <w:rPr>
        <w:rFonts w:ascii="Arial" w:hAnsi="Arial" w:cs="Arial"/>
        <w:i/>
        <w:color w:val="808080"/>
        <w:sz w:val="22"/>
      </w:rPr>
      <w:t xml:space="preserve">– </w:t>
    </w:r>
    <w:r w:rsidR="00720793">
      <w:rPr>
        <w:rFonts w:ascii="Arial" w:hAnsi="Arial" w:cs="Arial"/>
        <w:i/>
        <w:color w:val="808080"/>
        <w:sz w:val="22"/>
      </w:rPr>
      <w:t xml:space="preserve">November 2016 </w:t>
    </w:r>
    <w:r w:rsidR="00720793" w:rsidRPr="00DF217D">
      <w:rPr>
        <w:rFonts w:ascii="Arial" w:hAnsi="Arial" w:cs="Arial"/>
        <w:i/>
        <w:color w:val="808080"/>
        <w:sz w:val="22"/>
      </w:rPr>
      <w:t>PBAC</w:t>
    </w:r>
    <w:r w:rsidR="00720793">
      <w:rPr>
        <w:rFonts w:ascii="Arial" w:hAnsi="Arial" w:cs="Arial"/>
        <w:i/>
        <w:color w:val="808080"/>
        <w:sz w:val="22"/>
      </w:rPr>
      <w:t xml:space="preserve"> </w:t>
    </w:r>
    <w:r w:rsidR="00720793" w:rsidRPr="00DF217D">
      <w:rPr>
        <w:rFonts w:ascii="Arial" w:hAnsi="Arial" w:cs="Arial"/>
        <w:i/>
        <w:color w:val="808080"/>
        <w:sz w:val="22"/>
      </w:rPr>
      <w:t>Meeting</w:t>
    </w:r>
  </w:p>
  <w:p w:rsidR="00720793" w:rsidRPr="00720793" w:rsidRDefault="00720793" w:rsidP="00720793">
    <w:pPr>
      <w:pStyle w:val="Header"/>
      <w:ind w:left="360"/>
      <w:jc w:val="center"/>
      <w:rPr>
        <w:rFonts w:ascii="Arial" w:hAnsi="Arial" w:cs="Arial"/>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FC" w:rsidRDefault="006B4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FD088F"/>
    <w:multiLevelType w:val="hybridMultilevel"/>
    <w:tmpl w:val="23B2E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4D033C"/>
    <w:multiLevelType w:val="multilevel"/>
    <w:tmpl w:val="27AAEEF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7"/>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7"/>
  </w:num>
  <w:num w:numId="15">
    <w:abstractNumId w:val="16"/>
  </w:num>
  <w:num w:numId="16">
    <w:abstractNumId w:val="15"/>
  </w:num>
  <w:num w:numId="17">
    <w:abstractNumId w:val="5"/>
  </w:num>
  <w:num w:numId="18">
    <w:abstractNumId w:val="2"/>
  </w:num>
  <w:num w:numId="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370C"/>
    <w:rsid w:val="0002464A"/>
    <w:rsid w:val="0003106B"/>
    <w:rsid w:val="000421A1"/>
    <w:rsid w:val="0004240E"/>
    <w:rsid w:val="00045E26"/>
    <w:rsid w:val="000514B5"/>
    <w:rsid w:val="00057DE8"/>
    <w:rsid w:val="00060E64"/>
    <w:rsid w:val="000658C0"/>
    <w:rsid w:val="00066755"/>
    <w:rsid w:val="00077143"/>
    <w:rsid w:val="000969AD"/>
    <w:rsid w:val="000B558D"/>
    <w:rsid w:val="000B59C1"/>
    <w:rsid w:val="000C6996"/>
    <w:rsid w:val="000C7041"/>
    <w:rsid w:val="000D23BA"/>
    <w:rsid w:val="000D5FC2"/>
    <w:rsid w:val="000E4911"/>
    <w:rsid w:val="000E681E"/>
    <w:rsid w:val="000F4E6A"/>
    <w:rsid w:val="001107BF"/>
    <w:rsid w:val="0012417C"/>
    <w:rsid w:val="00142395"/>
    <w:rsid w:val="00142714"/>
    <w:rsid w:val="001452ED"/>
    <w:rsid w:val="001730C0"/>
    <w:rsid w:val="00175817"/>
    <w:rsid w:val="001830CE"/>
    <w:rsid w:val="00186420"/>
    <w:rsid w:val="0018643B"/>
    <w:rsid w:val="00196307"/>
    <w:rsid w:val="001A2013"/>
    <w:rsid w:val="001B017F"/>
    <w:rsid w:val="001B5129"/>
    <w:rsid w:val="001C1195"/>
    <w:rsid w:val="00213CFB"/>
    <w:rsid w:val="002238DD"/>
    <w:rsid w:val="00266C72"/>
    <w:rsid w:val="00271BA1"/>
    <w:rsid w:val="00277505"/>
    <w:rsid w:val="00287953"/>
    <w:rsid w:val="0029458F"/>
    <w:rsid w:val="002A104C"/>
    <w:rsid w:val="002A4960"/>
    <w:rsid w:val="002B1AE6"/>
    <w:rsid w:val="002B30F8"/>
    <w:rsid w:val="002C212F"/>
    <w:rsid w:val="002E3153"/>
    <w:rsid w:val="002E72CA"/>
    <w:rsid w:val="002F75FB"/>
    <w:rsid w:val="00300AD6"/>
    <w:rsid w:val="00312E62"/>
    <w:rsid w:val="00322F0E"/>
    <w:rsid w:val="00326E79"/>
    <w:rsid w:val="003367EF"/>
    <w:rsid w:val="00341AE4"/>
    <w:rsid w:val="00377E36"/>
    <w:rsid w:val="003872CF"/>
    <w:rsid w:val="0039782C"/>
    <w:rsid w:val="003A032D"/>
    <w:rsid w:val="003A5B4A"/>
    <w:rsid w:val="003B23C5"/>
    <w:rsid w:val="003B2A75"/>
    <w:rsid w:val="003B58C0"/>
    <w:rsid w:val="003D4AC4"/>
    <w:rsid w:val="003D63B7"/>
    <w:rsid w:val="003E3D25"/>
    <w:rsid w:val="003E468B"/>
    <w:rsid w:val="003F5C8C"/>
    <w:rsid w:val="004442A0"/>
    <w:rsid w:val="004465BD"/>
    <w:rsid w:val="00466ADA"/>
    <w:rsid w:val="00476245"/>
    <w:rsid w:val="00485940"/>
    <w:rsid w:val="004A2484"/>
    <w:rsid w:val="004A342D"/>
    <w:rsid w:val="004A5A85"/>
    <w:rsid w:val="004B5640"/>
    <w:rsid w:val="004C1BD7"/>
    <w:rsid w:val="004C691D"/>
    <w:rsid w:val="004D04D2"/>
    <w:rsid w:val="004E692D"/>
    <w:rsid w:val="00501554"/>
    <w:rsid w:val="005046A7"/>
    <w:rsid w:val="0051239C"/>
    <w:rsid w:val="00514CD7"/>
    <w:rsid w:val="00522596"/>
    <w:rsid w:val="00526DA6"/>
    <w:rsid w:val="0053154C"/>
    <w:rsid w:val="005319B2"/>
    <w:rsid w:val="00532C74"/>
    <w:rsid w:val="00534E2E"/>
    <w:rsid w:val="00544552"/>
    <w:rsid w:val="00557512"/>
    <w:rsid w:val="005638A8"/>
    <w:rsid w:val="005813D1"/>
    <w:rsid w:val="00581932"/>
    <w:rsid w:val="00590F70"/>
    <w:rsid w:val="005963BB"/>
    <w:rsid w:val="005A3173"/>
    <w:rsid w:val="005A3223"/>
    <w:rsid w:val="005A3716"/>
    <w:rsid w:val="005A3DA3"/>
    <w:rsid w:val="005A52C4"/>
    <w:rsid w:val="005D03AB"/>
    <w:rsid w:val="005D0894"/>
    <w:rsid w:val="005D3105"/>
    <w:rsid w:val="005D5017"/>
    <w:rsid w:val="00601A91"/>
    <w:rsid w:val="00602BA3"/>
    <w:rsid w:val="00614159"/>
    <w:rsid w:val="00616C10"/>
    <w:rsid w:val="00617C00"/>
    <w:rsid w:val="006263BF"/>
    <w:rsid w:val="0062748A"/>
    <w:rsid w:val="00630A2C"/>
    <w:rsid w:val="00651169"/>
    <w:rsid w:val="00653D69"/>
    <w:rsid w:val="00654986"/>
    <w:rsid w:val="006665BA"/>
    <w:rsid w:val="00670A76"/>
    <w:rsid w:val="006711AA"/>
    <w:rsid w:val="00672B57"/>
    <w:rsid w:val="00675622"/>
    <w:rsid w:val="006802BC"/>
    <w:rsid w:val="006820DA"/>
    <w:rsid w:val="006906DB"/>
    <w:rsid w:val="00692094"/>
    <w:rsid w:val="00696CC3"/>
    <w:rsid w:val="006A12A5"/>
    <w:rsid w:val="006B0D94"/>
    <w:rsid w:val="006B485D"/>
    <w:rsid w:val="006B4FFC"/>
    <w:rsid w:val="006C01A8"/>
    <w:rsid w:val="006C708E"/>
    <w:rsid w:val="006D6EC7"/>
    <w:rsid w:val="006E1675"/>
    <w:rsid w:val="006F0DF4"/>
    <w:rsid w:val="006F40E4"/>
    <w:rsid w:val="006F4535"/>
    <w:rsid w:val="006F5125"/>
    <w:rsid w:val="007101F5"/>
    <w:rsid w:val="00715C2D"/>
    <w:rsid w:val="007174BB"/>
    <w:rsid w:val="00720793"/>
    <w:rsid w:val="0073686D"/>
    <w:rsid w:val="0075112D"/>
    <w:rsid w:val="0076420C"/>
    <w:rsid w:val="007753C2"/>
    <w:rsid w:val="007838B8"/>
    <w:rsid w:val="007C0F57"/>
    <w:rsid w:val="007C40B6"/>
    <w:rsid w:val="007C729F"/>
    <w:rsid w:val="007E11F2"/>
    <w:rsid w:val="007E1D28"/>
    <w:rsid w:val="007F2641"/>
    <w:rsid w:val="007F7C36"/>
    <w:rsid w:val="00806796"/>
    <w:rsid w:val="00811735"/>
    <w:rsid w:val="008151D6"/>
    <w:rsid w:val="00815C6E"/>
    <w:rsid w:val="00826F6D"/>
    <w:rsid w:val="00831712"/>
    <w:rsid w:val="00855F1F"/>
    <w:rsid w:val="00856DDD"/>
    <w:rsid w:val="00863A24"/>
    <w:rsid w:val="00863E68"/>
    <w:rsid w:val="00882085"/>
    <w:rsid w:val="00883188"/>
    <w:rsid w:val="008914E0"/>
    <w:rsid w:val="00897D58"/>
    <w:rsid w:val="008A1956"/>
    <w:rsid w:val="008A38B1"/>
    <w:rsid w:val="008A4937"/>
    <w:rsid w:val="008A50F1"/>
    <w:rsid w:val="008C0D26"/>
    <w:rsid w:val="008D1B5C"/>
    <w:rsid w:val="008D1F39"/>
    <w:rsid w:val="008D3C82"/>
    <w:rsid w:val="008D447E"/>
    <w:rsid w:val="008D7A41"/>
    <w:rsid w:val="008E3680"/>
    <w:rsid w:val="008E5870"/>
    <w:rsid w:val="008E704E"/>
    <w:rsid w:val="008F1434"/>
    <w:rsid w:val="008F697F"/>
    <w:rsid w:val="008F7355"/>
    <w:rsid w:val="009067B7"/>
    <w:rsid w:val="00930820"/>
    <w:rsid w:val="00930937"/>
    <w:rsid w:val="00933E6C"/>
    <w:rsid w:val="00942160"/>
    <w:rsid w:val="00943A4C"/>
    <w:rsid w:val="0095146F"/>
    <w:rsid w:val="009602C5"/>
    <w:rsid w:val="00960BF2"/>
    <w:rsid w:val="0096155A"/>
    <w:rsid w:val="00961DFA"/>
    <w:rsid w:val="00962223"/>
    <w:rsid w:val="00974C21"/>
    <w:rsid w:val="0098104C"/>
    <w:rsid w:val="009A637A"/>
    <w:rsid w:val="009A6CDC"/>
    <w:rsid w:val="009B0F67"/>
    <w:rsid w:val="009C703C"/>
    <w:rsid w:val="009D3CAA"/>
    <w:rsid w:val="009E2B4F"/>
    <w:rsid w:val="009E552C"/>
    <w:rsid w:val="009E5BDE"/>
    <w:rsid w:val="009F4E46"/>
    <w:rsid w:val="009F5B65"/>
    <w:rsid w:val="009F5F2E"/>
    <w:rsid w:val="009F5FDB"/>
    <w:rsid w:val="009F6C33"/>
    <w:rsid w:val="00A06225"/>
    <w:rsid w:val="00A128E6"/>
    <w:rsid w:val="00A25BE4"/>
    <w:rsid w:val="00A376CE"/>
    <w:rsid w:val="00A37C8D"/>
    <w:rsid w:val="00A5273B"/>
    <w:rsid w:val="00A53A9D"/>
    <w:rsid w:val="00A55FEE"/>
    <w:rsid w:val="00A62C1A"/>
    <w:rsid w:val="00A6426D"/>
    <w:rsid w:val="00A70622"/>
    <w:rsid w:val="00A70977"/>
    <w:rsid w:val="00A77613"/>
    <w:rsid w:val="00A8390C"/>
    <w:rsid w:val="00A928BD"/>
    <w:rsid w:val="00A9397B"/>
    <w:rsid w:val="00AA4D1C"/>
    <w:rsid w:val="00AB36D6"/>
    <w:rsid w:val="00AC193C"/>
    <w:rsid w:val="00AC5206"/>
    <w:rsid w:val="00AD79DE"/>
    <w:rsid w:val="00AE11A5"/>
    <w:rsid w:val="00AE13E2"/>
    <w:rsid w:val="00AF68CC"/>
    <w:rsid w:val="00B103F8"/>
    <w:rsid w:val="00B1059E"/>
    <w:rsid w:val="00B205AA"/>
    <w:rsid w:val="00B22E84"/>
    <w:rsid w:val="00B25F75"/>
    <w:rsid w:val="00B43E90"/>
    <w:rsid w:val="00B467DC"/>
    <w:rsid w:val="00B56118"/>
    <w:rsid w:val="00B6773F"/>
    <w:rsid w:val="00B801BA"/>
    <w:rsid w:val="00B83A87"/>
    <w:rsid w:val="00BA7911"/>
    <w:rsid w:val="00BB627C"/>
    <w:rsid w:val="00BB69F5"/>
    <w:rsid w:val="00BB7EC3"/>
    <w:rsid w:val="00BC4B9A"/>
    <w:rsid w:val="00BC7DF8"/>
    <w:rsid w:val="00BD5BFD"/>
    <w:rsid w:val="00BD6172"/>
    <w:rsid w:val="00BD784C"/>
    <w:rsid w:val="00BF4CB6"/>
    <w:rsid w:val="00C00DA7"/>
    <w:rsid w:val="00C12768"/>
    <w:rsid w:val="00C227E1"/>
    <w:rsid w:val="00C27B58"/>
    <w:rsid w:val="00C35996"/>
    <w:rsid w:val="00C4187C"/>
    <w:rsid w:val="00C47369"/>
    <w:rsid w:val="00C5342C"/>
    <w:rsid w:val="00C603D4"/>
    <w:rsid w:val="00C6256A"/>
    <w:rsid w:val="00C75931"/>
    <w:rsid w:val="00C850C1"/>
    <w:rsid w:val="00C87C6B"/>
    <w:rsid w:val="00C91449"/>
    <w:rsid w:val="00C92D10"/>
    <w:rsid w:val="00CA18A0"/>
    <w:rsid w:val="00CE10C4"/>
    <w:rsid w:val="00CE27B5"/>
    <w:rsid w:val="00CE778E"/>
    <w:rsid w:val="00D0321E"/>
    <w:rsid w:val="00D1455A"/>
    <w:rsid w:val="00D3026C"/>
    <w:rsid w:val="00D3138B"/>
    <w:rsid w:val="00D3280C"/>
    <w:rsid w:val="00D3406A"/>
    <w:rsid w:val="00D417D7"/>
    <w:rsid w:val="00D469B2"/>
    <w:rsid w:val="00D469EA"/>
    <w:rsid w:val="00D741EB"/>
    <w:rsid w:val="00D84934"/>
    <w:rsid w:val="00D91271"/>
    <w:rsid w:val="00DA2CB5"/>
    <w:rsid w:val="00DA4BAC"/>
    <w:rsid w:val="00DA5704"/>
    <w:rsid w:val="00DA718C"/>
    <w:rsid w:val="00DC2E9D"/>
    <w:rsid w:val="00DD2765"/>
    <w:rsid w:val="00DE4B7F"/>
    <w:rsid w:val="00DE6D27"/>
    <w:rsid w:val="00DF217D"/>
    <w:rsid w:val="00DF26A7"/>
    <w:rsid w:val="00E063DF"/>
    <w:rsid w:val="00E073E2"/>
    <w:rsid w:val="00E15627"/>
    <w:rsid w:val="00E164B3"/>
    <w:rsid w:val="00E16910"/>
    <w:rsid w:val="00E239BC"/>
    <w:rsid w:val="00E601F7"/>
    <w:rsid w:val="00E65E54"/>
    <w:rsid w:val="00E80155"/>
    <w:rsid w:val="00E80B2C"/>
    <w:rsid w:val="00E848C0"/>
    <w:rsid w:val="00E870A0"/>
    <w:rsid w:val="00E91B96"/>
    <w:rsid w:val="00E941A1"/>
    <w:rsid w:val="00E95CE3"/>
    <w:rsid w:val="00EA2825"/>
    <w:rsid w:val="00EA6882"/>
    <w:rsid w:val="00EA6A97"/>
    <w:rsid w:val="00EA7FEF"/>
    <w:rsid w:val="00EB5088"/>
    <w:rsid w:val="00ED1644"/>
    <w:rsid w:val="00ED2593"/>
    <w:rsid w:val="00EE68D4"/>
    <w:rsid w:val="00EF3E88"/>
    <w:rsid w:val="00EF44A0"/>
    <w:rsid w:val="00EF4FED"/>
    <w:rsid w:val="00F050BD"/>
    <w:rsid w:val="00F05657"/>
    <w:rsid w:val="00F17EAA"/>
    <w:rsid w:val="00F25578"/>
    <w:rsid w:val="00F258E5"/>
    <w:rsid w:val="00F300BC"/>
    <w:rsid w:val="00F32610"/>
    <w:rsid w:val="00F3334E"/>
    <w:rsid w:val="00F4120D"/>
    <w:rsid w:val="00F41B4D"/>
    <w:rsid w:val="00F50EC4"/>
    <w:rsid w:val="00F52795"/>
    <w:rsid w:val="00F57A6D"/>
    <w:rsid w:val="00F638CC"/>
    <w:rsid w:val="00F64CC1"/>
    <w:rsid w:val="00F8247A"/>
    <w:rsid w:val="00F9629A"/>
    <w:rsid w:val="00FA2A5E"/>
    <w:rsid w:val="00FA39D2"/>
    <w:rsid w:val="00FA5883"/>
    <w:rsid w:val="00FA6055"/>
    <w:rsid w:val="00FB07B6"/>
    <w:rsid w:val="00FB322F"/>
    <w:rsid w:val="00FB442F"/>
    <w:rsid w:val="00FC1929"/>
    <w:rsid w:val="00FC5B46"/>
    <w:rsid w:val="00FE0E94"/>
    <w:rsid w:val="00FE531C"/>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FootnoteText">
    <w:name w:val="footnote text"/>
    <w:basedOn w:val="Normal"/>
    <w:link w:val="FootnoteTextChar"/>
    <w:rsid w:val="006F40E4"/>
    <w:rPr>
      <w:sz w:val="20"/>
      <w:szCs w:val="20"/>
    </w:rPr>
  </w:style>
  <w:style w:type="character" w:customStyle="1" w:styleId="FootnoteTextChar">
    <w:name w:val="Footnote Text Char"/>
    <w:basedOn w:val="DefaultParagraphFont"/>
    <w:link w:val="FootnoteText"/>
    <w:rsid w:val="006F40E4"/>
  </w:style>
  <w:style w:type="character" w:styleId="FootnoteReference">
    <w:name w:val="footnote reference"/>
    <w:basedOn w:val="DefaultParagraphFont"/>
    <w:rsid w:val="006F40E4"/>
    <w:rPr>
      <w:vertAlign w:val="superscript"/>
    </w:rPr>
  </w:style>
  <w:style w:type="paragraph" w:styleId="Caption">
    <w:name w:val="caption"/>
    <w:basedOn w:val="Normal"/>
    <w:next w:val="Normal"/>
    <w:semiHidden/>
    <w:unhideWhenUsed/>
    <w:qFormat/>
    <w:rsid w:val="008A38B1"/>
    <w:pPr>
      <w:spacing w:after="200"/>
    </w:pPr>
    <w:rPr>
      <w:b/>
      <w:bCs/>
      <w:color w:val="4F81BD" w:themeColor="accent1"/>
      <w:sz w:val="18"/>
      <w:szCs w:val="18"/>
    </w:rPr>
  </w:style>
  <w:style w:type="paragraph" w:customStyle="1" w:styleId="StyleCaptionJustified">
    <w:name w:val="Style Caption + Justified"/>
    <w:basedOn w:val="Caption"/>
    <w:rsid w:val="008A38B1"/>
    <w:pPr>
      <w:jc w:val="both"/>
    </w:pPr>
    <w:rPr>
      <w:rFonts w:ascii="Arial Narrow" w:hAnsi="Arial Narrow"/>
      <w:color w:val="000000" w:themeColor="text1"/>
      <w:szCs w:val="20"/>
    </w:rPr>
  </w:style>
  <w:style w:type="character" w:styleId="IntenseReference">
    <w:name w:val="Intense Reference"/>
    <w:basedOn w:val="DefaultParagraphFont"/>
    <w:uiPriority w:val="32"/>
    <w:rsid w:val="00720793"/>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FootnoteText">
    <w:name w:val="footnote text"/>
    <w:basedOn w:val="Normal"/>
    <w:link w:val="FootnoteTextChar"/>
    <w:rsid w:val="006F40E4"/>
    <w:rPr>
      <w:sz w:val="20"/>
      <w:szCs w:val="20"/>
    </w:rPr>
  </w:style>
  <w:style w:type="character" w:customStyle="1" w:styleId="FootnoteTextChar">
    <w:name w:val="Footnote Text Char"/>
    <w:basedOn w:val="DefaultParagraphFont"/>
    <w:link w:val="FootnoteText"/>
    <w:rsid w:val="006F40E4"/>
  </w:style>
  <w:style w:type="character" w:styleId="FootnoteReference">
    <w:name w:val="footnote reference"/>
    <w:basedOn w:val="DefaultParagraphFont"/>
    <w:rsid w:val="006F40E4"/>
    <w:rPr>
      <w:vertAlign w:val="superscript"/>
    </w:rPr>
  </w:style>
  <w:style w:type="paragraph" w:styleId="Caption">
    <w:name w:val="caption"/>
    <w:basedOn w:val="Normal"/>
    <w:next w:val="Normal"/>
    <w:semiHidden/>
    <w:unhideWhenUsed/>
    <w:qFormat/>
    <w:rsid w:val="008A38B1"/>
    <w:pPr>
      <w:spacing w:after="200"/>
    </w:pPr>
    <w:rPr>
      <w:b/>
      <w:bCs/>
      <w:color w:val="4F81BD" w:themeColor="accent1"/>
      <w:sz w:val="18"/>
      <w:szCs w:val="18"/>
    </w:rPr>
  </w:style>
  <w:style w:type="paragraph" w:customStyle="1" w:styleId="StyleCaptionJustified">
    <w:name w:val="Style Caption + Justified"/>
    <w:basedOn w:val="Caption"/>
    <w:rsid w:val="008A38B1"/>
    <w:pPr>
      <w:jc w:val="both"/>
    </w:pPr>
    <w:rPr>
      <w:rFonts w:ascii="Arial Narrow" w:hAnsi="Arial Narrow"/>
      <w:color w:val="000000" w:themeColor="text1"/>
      <w:szCs w:val="20"/>
    </w:rPr>
  </w:style>
  <w:style w:type="character" w:styleId="IntenseReference">
    <w:name w:val="Intense Reference"/>
    <w:basedOn w:val="DefaultParagraphFont"/>
    <w:uiPriority w:val="32"/>
    <w:rsid w:val="00720793"/>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7211929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50A1-685B-4458-A4B0-9123E5B6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2017-02-06T21:43:00Z</dcterms:created>
  <dcterms:modified xsi:type="dcterms:W3CDTF">2017-02-17T00:52:00Z</dcterms:modified>
</cp:coreProperties>
</file>