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BD48F6" w:rsidRDefault="00F413B1" w:rsidP="003E3D65">
      <w:pPr>
        <w:pStyle w:val="Heading1"/>
        <w:jc w:val="left"/>
        <w:rPr>
          <w:sz w:val="30"/>
        </w:rPr>
      </w:pPr>
      <w:bookmarkStart w:id="0" w:name="_Toc472349910"/>
      <w:bookmarkStart w:id="1" w:name="_GoBack"/>
      <w:bookmarkEnd w:id="1"/>
      <w:r>
        <w:rPr>
          <w:sz w:val="28"/>
        </w:rPr>
        <w:t>6</w:t>
      </w:r>
      <w:r w:rsidR="00433044">
        <w:rPr>
          <w:sz w:val="28"/>
        </w:rPr>
        <w:t>.</w:t>
      </w:r>
      <w:r>
        <w:rPr>
          <w:sz w:val="28"/>
        </w:rPr>
        <w:t>01</w:t>
      </w:r>
      <w:r w:rsidR="00B60939" w:rsidRPr="00207D00">
        <w:rPr>
          <w:sz w:val="28"/>
        </w:rPr>
        <w:tab/>
      </w:r>
      <w:r w:rsidR="003E3D65">
        <w:rPr>
          <w:sz w:val="28"/>
        </w:rPr>
        <w:t xml:space="preserve">ADALIMUMAB, </w:t>
      </w:r>
      <w:r w:rsidR="003E3D65">
        <w:rPr>
          <w:sz w:val="28"/>
        </w:rPr>
        <w:br/>
      </w:r>
      <w:r w:rsidR="009862AB" w:rsidRPr="00BD48F6">
        <w:rPr>
          <w:caps w:val="0"/>
          <w:sz w:val="28"/>
        </w:rPr>
        <w:t>Injection 40 mg in 0.8 mL Pre-Filled Syringe; Injection</w:t>
      </w:r>
      <w:r w:rsidR="009862AB" w:rsidRPr="00BD48F6">
        <w:rPr>
          <w:sz w:val="28"/>
        </w:rPr>
        <w:t xml:space="preserve"> </w:t>
      </w:r>
      <w:r w:rsidR="009862AB" w:rsidRPr="00BD48F6">
        <w:rPr>
          <w:caps w:val="0"/>
          <w:sz w:val="28"/>
        </w:rPr>
        <w:t>40 mg in 0.8</w:t>
      </w:r>
      <w:r w:rsidR="00BD48F6" w:rsidRPr="00BD48F6">
        <w:rPr>
          <w:caps w:val="0"/>
          <w:sz w:val="28"/>
        </w:rPr>
        <w:t> </w:t>
      </w:r>
      <w:r w:rsidR="009862AB" w:rsidRPr="00BD48F6">
        <w:rPr>
          <w:caps w:val="0"/>
          <w:sz w:val="28"/>
        </w:rPr>
        <w:t xml:space="preserve">mL Pre-Filled Pen, </w:t>
      </w:r>
      <w:r w:rsidR="003E3D65">
        <w:rPr>
          <w:caps w:val="0"/>
          <w:sz w:val="28"/>
        </w:rPr>
        <w:br/>
      </w:r>
      <w:r w:rsidR="009862AB" w:rsidRPr="00BD48F6">
        <w:rPr>
          <w:caps w:val="0"/>
          <w:sz w:val="28"/>
        </w:rPr>
        <w:t>Humira, Abbvie Pty Ltd.</w:t>
      </w:r>
      <w:bookmarkEnd w:id="0"/>
    </w:p>
    <w:p w:rsidR="00433044" w:rsidRDefault="00433044" w:rsidP="00281014">
      <w:pPr>
        <w:pStyle w:val="BodyText"/>
      </w:pPr>
    </w:p>
    <w:p w:rsidR="00A37C7C" w:rsidRDefault="00A37C7C" w:rsidP="00207D00"/>
    <w:p w:rsidR="00B50DB8" w:rsidRPr="0036391F" w:rsidRDefault="00B50DB8" w:rsidP="00BD6CF3">
      <w:pPr>
        <w:pStyle w:val="PBACHeading1"/>
      </w:pPr>
      <w:bookmarkStart w:id="2" w:name="_Toc472349912"/>
      <w:r w:rsidRPr="0036391F">
        <w:t>Purpose of Application</w:t>
      </w:r>
      <w:bookmarkEnd w:id="2"/>
    </w:p>
    <w:p w:rsidR="00B60939" w:rsidRPr="0036391F" w:rsidRDefault="00B60939" w:rsidP="00B60939">
      <w:pPr>
        <w:rPr>
          <w:szCs w:val="22"/>
        </w:rPr>
      </w:pPr>
    </w:p>
    <w:p w:rsidR="00B60939" w:rsidRPr="0036391F" w:rsidRDefault="006321EB" w:rsidP="00556640">
      <w:pPr>
        <w:pStyle w:val="ListParagraph"/>
        <w:widowControl/>
        <w:numPr>
          <w:ilvl w:val="1"/>
          <w:numId w:val="3"/>
        </w:numPr>
        <w:rPr>
          <w:szCs w:val="22"/>
        </w:rPr>
      </w:pPr>
      <w:r w:rsidRPr="0036391F">
        <w:t xml:space="preserve">The submission requested an Authority Required PBS listing for </w:t>
      </w:r>
      <w:r w:rsidR="005A236F" w:rsidRPr="0036391F">
        <w:t>adalimumab</w:t>
      </w:r>
      <w:r w:rsidRPr="0036391F">
        <w:t xml:space="preserve"> for the treatment of non-infectious intermediate, posterior or </w:t>
      </w:r>
      <w:proofErr w:type="spellStart"/>
      <w:r w:rsidRPr="0036391F">
        <w:t>panuveitis</w:t>
      </w:r>
      <w:proofErr w:type="spellEnd"/>
      <w:r w:rsidRPr="0036391F">
        <w:t>.</w:t>
      </w:r>
    </w:p>
    <w:p w:rsidR="004E43B2" w:rsidRPr="0036391F" w:rsidRDefault="004E43B2" w:rsidP="004B1CB4"/>
    <w:p w:rsidR="00B06A53" w:rsidRPr="0036391F" w:rsidRDefault="00B06A53" w:rsidP="004B1CB4"/>
    <w:p w:rsidR="00356DBA" w:rsidRPr="0036391F" w:rsidRDefault="00356DBA" w:rsidP="00356DBA">
      <w:pPr>
        <w:pStyle w:val="PBACHeading1"/>
        <w:ind w:left="709" w:hanging="709"/>
      </w:pPr>
      <w:bookmarkStart w:id="3" w:name="_Toc472349913"/>
      <w:bookmarkStart w:id="4" w:name="_Toc461543767"/>
      <w:r w:rsidRPr="0036391F">
        <w:t>Requested listing</w:t>
      </w:r>
      <w:bookmarkEnd w:id="3"/>
    </w:p>
    <w:bookmarkEnd w:id="4"/>
    <w:p w:rsidR="0098755A" w:rsidRPr="0036391F" w:rsidRDefault="0098755A" w:rsidP="005A236F">
      <w:pPr>
        <w:widowControl/>
        <w:rPr>
          <w:szCs w:val="22"/>
        </w:rPr>
      </w:pPr>
    </w:p>
    <w:p w:rsidR="00B60E19" w:rsidRPr="0036391F" w:rsidRDefault="00B60E19" w:rsidP="00FD32FA">
      <w:pPr>
        <w:pStyle w:val="ListParagraph"/>
        <w:widowControl/>
        <w:numPr>
          <w:ilvl w:val="1"/>
          <w:numId w:val="3"/>
        </w:numPr>
        <w:rPr>
          <w:rFonts w:eastAsia="SimSun"/>
          <w:iCs/>
          <w:color w:val="000000"/>
          <w:szCs w:val="22"/>
        </w:rPr>
      </w:pPr>
      <w:r w:rsidRPr="0036391F">
        <w:rPr>
          <w:szCs w:val="22"/>
        </w:rPr>
        <w:t>Suggestions</w:t>
      </w:r>
      <w:r w:rsidRPr="0036391F">
        <w:rPr>
          <w:rFonts w:eastAsia="SimSun"/>
          <w:iCs/>
          <w:color w:val="000000"/>
          <w:szCs w:val="22"/>
        </w:rPr>
        <w:t xml:space="preserve"> and additions proposed by the Secretariat to the requested listing are added in italics and suggested deletions are crossed out with strikethrough.</w:t>
      </w:r>
    </w:p>
    <w:p w:rsidR="00B60E19" w:rsidRDefault="00B60E19" w:rsidP="00B60E19">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B60E19" w:rsidRPr="00260CE3" w:rsidTr="00FD34C8">
        <w:trPr>
          <w:trHeight w:val="471"/>
        </w:trPr>
        <w:tc>
          <w:tcPr>
            <w:tcW w:w="3261" w:type="dxa"/>
            <w:gridSpan w:val="2"/>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Name, Restriction,</w:t>
            </w:r>
          </w:p>
          <w:p w:rsidR="00B60E19" w:rsidRPr="00260CE3" w:rsidRDefault="00B60E19" w:rsidP="00472D89">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Max.</w:t>
            </w:r>
          </w:p>
          <w:p w:rsidR="00B60E19" w:rsidRPr="00260CE3" w:rsidRDefault="00B60E19" w:rsidP="00472D89">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№.of</w:t>
            </w:r>
          </w:p>
          <w:p w:rsidR="00B60E19" w:rsidRPr="00260CE3" w:rsidRDefault="00B60E19" w:rsidP="00472D89">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Dispensed Price for Max. Qty</w:t>
            </w:r>
            <w:r w:rsidR="00537729">
              <w:rPr>
                <w:rFonts w:ascii="Arial Narrow" w:hAnsi="Arial Narrow"/>
                <w:sz w:val="20"/>
              </w:rPr>
              <w:t xml:space="preserve"> (effective)</w:t>
            </w:r>
          </w:p>
        </w:tc>
        <w:tc>
          <w:tcPr>
            <w:tcW w:w="2835" w:type="dxa"/>
            <w:gridSpan w:val="2"/>
            <w:tcBorders>
              <w:bottom w:val="single" w:sz="4" w:space="0" w:color="auto"/>
            </w:tcBorders>
          </w:tcPr>
          <w:p w:rsidR="00B60E19" w:rsidRPr="00260CE3" w:rsidRDefault="00B60E19" w:rsidP="00472D89">
            <w:pPr>
              <w:keepNext/>
              <w:rPr>
                <w:rFonts w:ascii="Arial Narrow" w:hAnsi="Arial Narrow"/>
                <w:sz w:val="20"/>
                <w:lang w:val="fr-FR"/>
              </w:rPr>
            </w:pPr>
            <w:r w:rsidRPr="00260CE3">
              <w:rPr>
                <w:rFonts w:ascii="Arial Narrow" w:hAnsi="Arial Narrow"/>
                <w:sz w:val="20"/>
              </w:rPr>
              <w:t>Proprietary Name and Manufacturer</w:t>
            </w:r>
          </w:p>
        </w:tc>
      </w:tr>
      <w:tr w:rsidR="00B60E19" w:rsidRPr="00FD34C8" w:rsidTr="00FD34C8">
        <w:trPr>
          <w:trHeight w:val="632"/>
        </w:trPr>
        <w:tc>
          <w:tcPr>
            <w:tcW w:w="3261" w:type="dxa"/>
            <w:gridSpan w:val="2"/>
            <w:tcBorders>
              <w:top w:val="single" w:sz="4" w:space="0" w:color="auto"/>
            </w:tcBorders>
            <w:vAlign w:val="center"/>
          </w:tcPr>
          <w:p w:rsidR="00B60E19" w:rsidRPr="00FD34C8" w:rsidRDefault="00B60E19" w:rsidP="00472D89">
            <w:pPr>
              <w:keepNext/>
              <w:rPr>
                <w:rFonts w:ascii="Arial Narrow" w:hAnsi="Arial Narrow"/>
                <w:sz w:val="20"/>
              </w:rPr>
            </w:pPr>
            <w:r w:rsidRPr="00FD34C8">
              <w:rPr>
                <w:rFonts w:ascii="Arial Narrow" w:hAnsi="Arial Narrow"/>
                <w:smallCaps/>
                <w:sz w:val="20"/>
              </w:rPr>
              <w:t>Adalimumab</w:t>
            </w:r>
          </w:p>
          <w:p w:rsidR="00B60E19" w:rsidRPr="00FD34C8" w:rsidRDefault="00B60E19" w:rsidP="00472D89">
            <w:pPr>
              <w:keepNext/>
              <w:rPr>
                <w:rFonts w:ascii="Arial Narrow" w:hAnsi="Arial Narrow"/>
                <w:sz w:val="20"/>
              </w:rPr>
            </w:pPr>
            <w:r w:rsidRPr="00FD34C8">
              <w:rPr>
                <w:rFonts w:ascii="Arial Narrow" w:hAnsi="Arial Narrow"/>
                <w:sz w:val="20"/>
              </w:rPr>
              <w:t>Injection, 40mg in 0.8mL pre-filled syringe, 2</w:t>
            </w:r>
          </w:p>
        </w:tc>
        <w:tc>
          <w:tcPr>
            <w:tcW w:w="567" w:type="dxa"/>
            <w:tcBorders>
              <w:top w:val="single" w:sz="4" w:space="0" w:color="auto"/>
            </w:tcBorders>
            <w:vAlign w:val="center"/>
          </w:tcPr>
          <w:p w:rsidR="00B60E19" w:rsidRPr="00FD34C8" w:rsidRDefault="00B60E19" w:rsidP="00472D89">
            <w:pPr>
              <w:keepNext/>
              <w:jc w:val="center"/>
              <w:rPr>
                <w:rFonts w:ascii="Arial Narrow" w:hAnsi="Arial Narrow"/>
                <w:sz w:val="20"/>
              </w:rPr>
            </w:pPr>
          </w:p>
          <w:p w:rsidR="00B60E19" w:rsidRPr="00FD34C8" w:rsidRDefault="00B60E19" w:rsidP="00472D89">
            <w:pPr>
              <w:keepNext/>
              <w:jc w:val="center"/>
              <w:rPr>
                <w:rFonts w:ascii="Arial Narrow" w:hAnsi="Arial Narrow"/>
                <w:sz w:val="20"/>
              </w:rPr>
            </w:pPr>
            <w:r w:rsidRPr="00FD34C8">
              <w:rPr>
                <w:rFonts w:ascii="Arial Narrow" w:hAnsi="Arial Narrow"/>
                <w:sz w:val="20"/>
              </w:rPr>
              <w:t>1</w:t>
            </w:r>
          </w:p>
          <w:p w:rsidR="00B60E19" w:rsidRPr="00FD34C8" w:rsidRDefault="00B60E19" w:rsidP="00472D89">
            <w:pPr>
              <w:keepNext/>
              <w:jc w:val="center"/>
              <w:rPr>
                <w:rFonts w:ascii="Arial Narrow" w:hAnsi="Arial Narrow"/>
                <w:sz w:val="20"/>
              </w:rPr>
            </w:pPr>
          </w:p>
        </w:tc>
        <w:tc>
          <w:tcPr>
            <w:tcW w:w="850" w:type="dxa"/>
            <w:tcBorders>
              <w:top w:val="single" w:sz="4" w:space="0" w:color="auto"/>
            </w:tcBorders>
            <w:vAlign w:val="center"/>
          </w:tcPr>
          <w:p w:rsidR="00B60E19" w:rsidRPr="00FD34C8" w:rsidRDefault="00B60E19" w:rsidP="00472D89">
            <w:pPr>
              <w:keepNext/>
              <w:jc w:val="center"/>
              <w:rPr>
                <w:rFonts w:ascii="Arial Narrow" w:hAnsi="Arial Narrow"/>
                <w:sz w:val="20"/>
              </w:rPr>
            </w:pPr>
          </w:p>
          <w:p w:rsidR="00B60E19" w:rsidRPr="00FD34C8" w:rsidRDefault="00B60E19" w:rsidP="00472D89">
            <w:pPr>
              <w:keepNext/>
              <w:jc w:val="center"/>
              <w:rPr>
                <w:rFonts w:ascii="Arial Narrow" w:hAnsi="Arial Narrow"/>
                <w:sz w:val="20"/>
              </w:rPr>
            </w:pPr>
            <w:r w:rsidRPr="00FD34C8">
              <w:rPr>
                <w:rFonts w:ascii="Arial Narrow" w:hAnsi="Arial Narrow"/>
                <w:sz w:val="20"/>
              </w:rPr>
              <w:t>6</w:t>
            </w:r>
          </w:p>
          <w:p w:rsidR="00B60E19" w:rsidRPr="00FD34C8" w:rsidRDefault="00B60E19" w:rsidP="00472D89">
            <w:pPr>
              <w:keepNext/>
              <w:jc w:val="center"/>
              <w:rPr>
                <w:rFonts w:ascii="Arial Narrow" w:hAnsi="Arial Narrow"/>
                <w:sz w:val="20"/>
              </w:rPr>
            </w:pPr>
          </w:p>
        </w:tc>
        <w:tc>
          <w:tcPr>
            <w:tcW w:w="1701" w:type="dxa"/>
            <w:tcBorders>
              <w:top w:val="single" w:sz="4" w:space="0" w:color="auto"/>
            </w:tcBorders>
            <w:vAlign w:val="center"/>
          </w:tcPr>
          <w:p w:rsidR="00B60E19" w:rsidRPr="00FD34C8" w:rsidRDefault="00B60E19" w:rsidP="00472D89">
            <w:pPr>
              <w:keepNext/>
              <w:jc w:val="center"/>
              <w:rPr>
                <w:rFonts w:ascii="Arial Narrow" w:hAnsi="Arial Narrow"/>
                <w:sz w:val="20"/>
              </w:rPr>
            </w:pPr>
          </w:p>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p>
          <w:p w:rsidR="00B60E19" w:rsidRPr="00FD34C8" w:rsidRDefault="00B60E19" w:rsidP="0053772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r w:rsidRPr="00FD34C8">
              <w:rPr>
                <w:rFonts w:ascii="Arial Narrow" w:hAnsi="Arial Narrow"/>
                <w:sz w:val="20"/>
              </w:rPr>
              <w:t>)</w:t>
            </w:r>
            <w:r w:rsidR="00537729" w:rsidRPr="00FD34C8">
              <w:rPr>
                <w:rFonts w:ascii="Arial Narrow" w:hAnsi="Arial Narrow"/>
                <w:sz w:val="20"/>
              </w:rPr>
              <w:t xml:space="preserve"> </w:t>
            </w:r>
          </w:p>
        </w:tc>
        <w:tc>
          <w:tcPr>
            <w:tcW w:w="1559" w:type="dxa"/>
            <w:vMerge w:val="restart"/>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Humira®</w:t>
            </w:r>
          </w:p>
        </w:tc>
        <w:tc>
          <w:tcPr>
            <w:tcW w:w="1276" w:type="dxa"/>
            <w:vMerge w:val="restart"/>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AbbVie</w:t>
            </w:r>
          </w:p>
        </w:tc>
      </w:tr>
      <w:tr w:rsidR="00B60E19" w:rsidRPr="00FD34C8" w:rsidTr="00FD34C8">
        <w:trPr>
          <w:trHeight w:val="500"/>
        </w:trPr>
        <w:tc>
          <w:tcPr>
            <w:tcW w:w="3261" w:type="dxa"/>
            <w:gridSpan w:val="2"/>
            <w:vAlign w:val="center"/>
          </w:tcPr>
          <w:p w:rsidR="00B60E19" w:rsidRPr="00FD34C8" w:rsidRDefault="00B60E19" w:rsidP="00472D89">
            <w:pPr>
              <w:keepNext/>
              <w:rPr>
                <w:rFonts w:ascii="Arial Narrow" w:hAnsi="Arial Narrow"/>
                <w:sz w:val="20"/>
              </w:rPr>
            </w:pPr>
            <w:r w:rsidRPr="00FD34C8">
              <w:rPr>
                <w:rFonts w:ascii="Arial Narrow" w:hAnsi="Arial Narrow"/>
                <w:smallCaps/>
                <w:sz w:val="20"/>
              </w:rPr>
              <w:t>Adalimumab</w:t>
            </w:r>
          </w:p>
          <w:p w:rsidR="00B60E19" w:rsidRPr="00FD34C8" w:rsidRDefault="00B60E19" w:rsidP="00472D89">
            <w:pPr>
              <w:keepNext/>
              <w:rPr>
                <w:rFonts w:ascii="Arial Narrow" w:hAnsi="Arial Narrow"/>
                <w:smallCaps/>
                <w:sz w:val="20"/>
              </w:rPr>
            </w:pPr>
            <w:r w:rsidRPr="00FD34C8">
              <w:rPr>
                <w:rFonts w:ascii="Arial Narrow" w:hAnsi="Arial Narrow"/>
                <w:sz w:val="20"/>
              </w:rPr>
              <w:t>Injection, 40mg in 0.8mL pre-filled pen, 2</w:t>
            </w:r>
          </w:p>
        </w:tc>
        <w:tc>
          <w:tcPr>
            <w:tcW w:w="567" w:type="dxa"/>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1</w:t>
            </w:r>
          </w:p>
        </w:tc>
        <w:tc>
          <w:tcPr>
            <w:tcW w:w="850" w:type="dxa"/>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6</w:t>
            </w:r>
          </w:p>
        </w:tc>
        <w:tc>
          <w:tcPr>
            <w:tcW w:w="1701" w:type="dxa"/>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p>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r w:rsidRPr="00FD34C8">
              <w:rPr>
                <w:rFonts w:ascii="Arial Narrow" w:hAnsi="Arial Narrow"/>
                <w:sz w:val="20"/>
              </w:rPr>
              <w:t>)</w:t>
            </w:r>
          </w:p>
        </w:tc>
        <w:tc>
          <w:tcPr>
            <w:tcW w:w="1559" w:type="dxa"/>
            <w:vMerge/>
            <w:vAlign w:val="center"/>
          </w:tcPr>
          <w:p w:rsidR="00B60E19" w:rsidRPr="00FD34C8" w:rsidRDefault="00B60E19" w:rsidP="00472D89">
            <w:pPr>
              <w:keepNext/>
              <w:jc w:val="center"/>
              <w:rPr>
                <w:rFonts w:ascii="Arial Narrow" w:hAnsi="Arial Narrow"/>
                <w:sz w:val="20"/>
              </w:rPr>
            </w:pPr>
          </w:p>
        </w:tc>
        <w:tc>
          <w:tcPr>
            <w:tcW w:w="1276" w:type="dxa"/>
            <w:vMerge/>
            <w:vAlign w:val="center"/>
          </w:tcPr>
          <w:p w:rsidR="00B60E19" w:rsidRPr="00FD34C8" w:rsidRDefault="00B60E19" w:rsidP="00472D89">
            <w:pPr>
              <w:keepNext/>
              <w:jc w:val="center"/>
              <w:rPr>
                <w:rFonts w:ascii="Arial Narrow" w:hAnsi="Arial Narrow"/>
                <w:sz w:val="20"/>
              </w:rPr>
            </w:pPr>
          </w:p>
        </w:tc>
      </w:tr>
      <w:tr w:rsidR="00B60E19" w:rsidRPr="00260CE3" w:rsidTr="00FD34C8">
        <w:trPr>
          <w:trHeight w:val="195"/>
        </w:trPr>
        <w:tc>
          <w:tcPr>
            <w:tcW w:w="9214" w:type="dxa"/>
            <w:gridSpan w:val="7"/>
            <w:tcBorders>
              <w:bottom w:val="single" w:sz="4" w:space="0" w:color="auto"/>
            </w:tcBorders>
          </w:tcPr>
          <w:p w:rsidR="00537729" w:rsidRPr="00260CE3" w:rsidRDefault="00537729" w:rsidP="00472D89">
            <w:pPr>
              <w:rPr>
                <w:rFonts w:ascii="Arial Narrow" w:hAnsi="Arial Narrow"/>
                <w:sz w:val="20"/>
              </w:rPr>
            </w:pP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sz w:val="20"/>
              </w:rPr>
              <w:t>GENERAL – General Schedule (Code GE)</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B60E19" w:rsidRPr="00260CE3" w:rsidRDefault="00B60E19" w:rsidP="00472D89">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sz w:val="20"/>
              </w:rPr>
            </w:pPr>
            <w:r w:rsidRPr="009F4F8B">
              <w:rPr>
                <w:rFonts w:ascii="Arial Narrow" w:hAnsi="Arial Narrow"/>
                <w:strike/>
                <w:sz w:val="20"/>
              </w:rPr>
              <w:t xml:space="preserve">Ocular inflammation of a severity that is </w:t>
            </w:r>
            <w:proofErr w:type="spellStart"/>
            <w:r w:rsidRPr="009F4F8B">
              <w:rPr>
                <w:rFonts w:ascii="Arial Narrow" w:hAnsi="Arial Narrow"/>
                <w:i/>
                <w:strike/>
                <w:sz w:val="20"/>
              </w:rPr>
              <w:t>v</w:t>
            </w:r>
            <w:r>
              <w:rPr>
                <w:rFonts w:ascii="Arial Narrow" w:hAnsi="Arial Narrow"/>
                <w:i/>
                <w:sz w:val="20"/>
              </w:rPr>
              <w:t>V</w:t>
            </w:r>
            <w:r w:rsidRPr="009F4F8B">
              <w:rPr>
                <w:rFonts w:ascii="Arial Narrow" w:hAnsi="Arial Narrow"/>
                <w:i/>
                <w:sz w:val="20"/>
              </w:rPr>
              <w:t>ision</w:t>
            </w:r>
            <w:proofErr w:type="spellEnd"/>
            <w:r w:rsidRPr="00053ECA">
              <w:rPr>
                <w:rFonts w:ascii="Arial Narrow" w:hAnsi="Arial Narrow"/>
                <w:sz w:val="20"/>
              </w:rPr>
              <w:t xml:space="preserve"> threatening</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sz w:val="20"/>
              </w:rPr>
            </w:pPr>
            <w:r w:rsidRPr="00053ECA">
              <w:rPr>
                <w:rFonts w:ascii="Arial Narrow" w:hAnsi="Arial Narrow"/>
                <w:sz w:val="20"/>
              </w:rPr>
              <w:t xml:space="preserve">Non-infectious, intermediate, posterior or </w:t>
            </w:r>
            <w:proofErr w:type="spellStart"/>
            <w:r w:rsidRPr="00053ECA">
              <w:rPr>
                <w:rFonts w:ascii="Arial Narrow" w:hAnsi="Arial Narrow"/>
                <w:sz w:val="20"/>
              </w:rPr>
              <w:t>panuveitis</w:t>
            </w:r>
            <w:proofErr w:type="spellEnd"/>
            <w:r w:rsidRPr="00053ECA">
              <w:rPr>
                <w:rFonts w:ascii="Arial Narrow" w:hAnsi="Arial Narrow"/>
                <w:sz w:val="20"/>
              </w:rPr>
              <w:t xml:space="preserve"> </w:t>
            </w:r>
            <w:r w:rsidRPr="009F4F8B">
              <w:rPr>
                <w:rFonts w:ascii="Arial Narrow" w:hAnsi="Arial Narrow"/>
                <w:strike/>
                <w:sz w:val="20"/>
              </w:rPr>
              <w:t>vision threatening uveitis</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sz w:val="20"/>
              </w:rPr>
            </w:pPr>
            <w:r w:rsidRPr="00053ECA">
              <w:rPr>
                <w:rFonts w:ascii="Arial Narrow" w:hAnsi="Arial Narrow"/>
                <w:sz w:val="20"/>
              </w:rPr>
              <w:t xml:space="preserve">Non-infectious, intermediate, posterior or </w:t>
            </w:r>
            <w:proofErr w:type="spellStart"/>
            <w:r w:rsidRPr="00053ECA">
              <w:rPr>
                <w:rFonts w:ascii="Arial Narrow" w:hAnsi="Arial Narrow"/>
                <w:sz w:val="20"/>
              </w:rPr>
              <w:t>panuveitis</w:t>
            </w:r>
            <w:proofErr w:type="spellEnd"/>
            <w:r w:rsidRPr="00053ECA">
              <w:rPr>
                <w:rFonts w:ascii="Arial Narrow" w:hAnsi="Arial Narrow"/>
                <w:sz w:val="20"/>
              </w:rPr>
              <w:t xml:space="preserve"> vision threatening uveitis</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i/>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FD34C8" w:rsidP="00FD34C8">
            <w:pPr>
              <w:rPr>
                <w:rFonts w:ascii="Arial Narrow" w:hAnsi="Arial Narrow"/>
                <w:sz w:val="20"/>
              </w:rPr>
            </w:pPr>
            <w:r>
              <w:rPr>
                <w:rFonts w:ascii="Arial Narrow" w:hAnsi="Arial Narrow"/>
                <w:sz w:val="20"/>
              </w:rPr>
              <w:t>Initial treatment</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972359" w:rsidRDefault="00B60E19" w:rsidP="00472D89">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60E19" w:rsidRPr="00CD28F3" w:rsidRDefault="00B60E19" w:rsidP="00472D8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60E19" w:rsidRPr="00106BCF" w:rsidRDefault="00B60E19" w:rsidP="00472D89">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B60E19" w:rsidRPr="00106BCF" w:rsidRDefault="00B60E19" w:rsidP="00472D89">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B60E19" w:rsidRPr="00106BCF" w:rsidRDefault="00B60E19" w:rsidP="00472D89">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B60E19" w:rsidRPr="00106BCF" w:rsidRDefault="00B60E19" w:rsidP="00472D89">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w:t>
            </w:r>
            <w:r w:rsidR="0038786B">
              <w:rPr>
                <w:rFonts w:ascii="Arial Narrow" w:hAnsi="Arial Narrow"/>
                <w:sz w:val="20"/>
              </w:rPr>
              <w:t xml:space="preserve"> </w:t>
            </w:r>
            <w:r w:rsidR="0038786B" w:rsidRPr="00106BCF">
              <w:rPr>
                <w:rFonts w:ascii="Arial Narrow" w:hAnsi="Arial Narrow"/>
                <w:sz w:val="20"/>
              </w:rPr>
              <w:t xml:space="preserve">- </w:t>
            </w:r>
            <w:r w:rsidRPr="00106BCF">
              <w:rPr>
                <w:rFonts w:ascii="Arial Narrow" w:hAnsi="Arial Narrow"/>
                <w:sz w:val="20"/>
              </w:rPr>
              <w:t>Emergency</w:t>
            </w:r>
            <w:r>
              <w:rPr>
                <w:rFonts w:ascii="Arial Narrow" w:hAnsi="Arial Narrow"/>
                <w:sz w:val="20"/>
              </w:rPr>
              <w:t xml:space="preserve"> (for severe vision threatening ocular inflammation)</w:t>
            </w:r>
          </w:p>
          <w:p w:rsidR="00B60E19" w:rsidRPr="00106BCF" w:rsidRDefault="00B60E19" w:rsidP="00472D89">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B60E19" w:rsidRPr="00260CE3" w:rsidRDefault="00B60E19" w:rsidP="00472D89">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b/>
                <w:sz w:val="20"/>
              </w:rPr>
              <w:t>Treatment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7250EF">
              <w:rPr>
                <w:rFonts w:ascii="Arial Narrow" w:hAnsi="Arial Narrow"/>
                <w:sz w:val="20"/>
              </w:rPr>
              <w:t>Must be treated by</w:t>
            </w:r>
            <w:r>
              <w:rPr>
                <w:rFonts w:ascii="Arial Narrow" w:hAnsi="Arial Narrow"/>
                <w:sz w:val="20"/>
              </w:rPr>
              <w:t xml:space="preserve"> </w:t>
            </w:r>
            <w:r w:rsidRPr="005E3349">
              <w:rPr>
                <w:rFonts w:ascii="Arial Narrow" w:hAnsi="Arial Narrow"/>
                <w:i/>
                <w:sz w:val="20"/>
              </w:rPr>
              <w:t>an ophthalmologist</w:t>
            </w:r>
            <w:r>
              <w:rPr>
                <w:rFonts w:ascii="Arial Narrow" w:hAnsi="Arial Narrow"/>
                <w:i/>
                <w:sz w:val="20"/>
              </w:rPr>
              <w:t xml:space="preserve"> or in consultation with</w:t>
            </w:r>
            <w:r w:rsidRPr="007250EF">
              <w:rPr>
                <w:rFonts w:ascii="Arial Narrow" w:hAnsi="Arial Narrow"/>
                <w:sz w:val="20"/>
              </w:rPr>
              <w:t xml:space="preserve"> an ophthalmologist with expertise in uveitis</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b/>
                <w:sz w:val="20"/>
              </w:rPr>
              <w:t>Clinical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7250EF" w:rsidRDefault="00B60E19" w:rsidP="00472D89">
            <w:pPr>
              <w:rPr>
                <w:rFonts w:ascii="Arial Narrow" w:hAnsi="Arial Narrow"/>
                <w:sz w:val="20"/>
              </w:rPr>
            </w:pPr>
            <w:r w:rsidRPr="007250EF">
              <w:rPr>
                <w:rFonts w:ascii="Arial Narrow" w:hAnsi="Arial Narrow"/>
                <w:sz w:val="20"/>
              </w:rPr>
              <w:t xml:space="preserve">Patient must have non-infectious, intermediate, posterior or </w:t>
            </w:r>
            <w:proofErr w:type="spellStart"/>
            <w:r w:rsidRPr="007250EF">
              <w:rPr>
                <w:rFonts w:ascii="Arial Narrow" w:hAnsi="Arial Narrow"/>
                <w:sz w:val="20"/>
              </w:rPr>
              <w:t>panuveitis</w:t>
            </w:r>
            <w:proofErr w:type="spellEnd"/>
            <w:r w:rsidRPr="007250EF">
              <w:rPr>
                <w:rFonts w:ascii="Arial Narrow" w:hAnsi="Arial Narrow"/>
                <w:sz w:val="20"/>
              </w:rPr>
              <w:t>, that is vision threatening with the diagnosis confirmed by an ophthalmologist;</w:t>
            </w:r>
          </w:p>
          <w:p w:rsidR="00B60E19" w:rsidRPr="007250EF" w:rsidRDefault="00B60E19" w:rsidP="00472D89">
            <w:pPr>
              <w:rPr>
                <w:rFonts w:ascii="Arial Narrow" w:hAnsi="Arial Narrow"/>
                <w:sz w:val="20"/>
              </w:rPr>
            </w:pPr>
          </w:p>
          <w:p w:rsidR="00B60E19" w:rsidRPr="007250EF" w:rsidRDefault="00B60E19" w:rsidP="00472D89">
            <w:pPr>
              <w:rPr>
                <w:rFonts w:ascii="Arial Narrow" w:hAnsi="Arial Narrow"/>
                <w:sz w:val="20"/>
              </w:rPr>
            </w:pPr>
            <w:r w:rsidRPr="007250EF">
              <w:rPr>
                <w:rFonts w:ascii="Arial Narrow" w:hAnsi="Arial Narrow"/>
                <w:sz w:val="20"/>
              </w:rPr>
              <w:t>AND</w:t>
            </w:r>
          </w:p>
          <w:p w:rsidR="00B60E19" w:rsidRPr="007250EF" w:rsidRDefault="00B60E19" w:rsidP="00472D89">
            <w:pPr>
              <w:rPr>
                <w:rFonts w:ascii="Arial Narrow" w:hAnsi="Arial Narrow"/>
                <w:sz w:val="20"/>
              </w:rPr>
            </w:pPr>
          </w:p>
          <w:p w:rsidR="00B60E19" w:rsidRPr="007250EF" w:rsidRDefault="00B60E19" w:rsidP="00472D89">
            <w:pPr>
              <w:rPr>
                <w:rFonts w:ascii="Arial Narrow" w:hAnsi="Arial Narrow"/>
                <w:sz w:val="20"/>
              </w:rPr>
            </w:pPr>
            <w:r w:rsidRPr="007250EF">
              <w:rPr>
                <w:rFonts w:ascii="Arial Narrow" w:hAnsi="Arial Narrow"/>
                <w:sz w:val="20"/>
              </w:rPr>
              <w:t xml:space="preserve">Patient must have failed to achieve an adequate response to corticosteroid therapy in combination with at least </w:t>
            </w:r>
            <w:r w:rsidRPr="009B0B8C">
              <w:rPr>
                <w:rFonts w:ascii="Arial Narrow" w:hAnsi="Arial Narrow"/>
                <w:sz w:val="20"/>
              </w:rPr>
              <w:t>1</w:t>
            </w:r>
            <w:r w:rsidRPr="007250EF">
              <w:rPr>
                <w:rFonts w:ascii="Arial Narrow" w:hAnsi="Arial Narrow"/>
                <w:sz w:val="20"/>
              </w:rPr>
              <w:t xml:space="preserve"> immuno-suppressive agent or flared when corticosteroid therapy was tapered to a dose of ≤7.5mg/day while on immunomodulatory therapy; OR</w:t>
            </w:r>
          </w:p>
          <w:p w:rsidR="00B60E19" w:rsidRPr="007250EF" w:rsidRDefault="00B60E19" w:rsidP="00472D89">
            <w:pPr>
              <w:rPr>
                <w:rFonts w:ascii="Arial Narrow" w:hAnsi="Arial Narrow"/>
                <w:sz w:val="20"/>
              </w:rPr>
            </w:pPr>
          </w:p>
          <w:p w:rsidR="00B60E19" w:rsidRPr="007250EF" w:rsidRDefault="00B60E19" w:rsidP="00472D89">
            <w:pPr>
              <w:rPr>
                <w:rFonts w:ascii="Arial Narrow" w:hAnsi="Arial Narrow"/>
                <w:sz w:val="20"/>
              </w:rPr>
            </w:pPr>
            <w:r w:rsidRPr="007250EF">
              <w:rPr>
                <w:rFonts w:ascii="Arial Narrow" w:hAnsi="Arial Narrow"/>
                <w:sz w:val="20"/>
              </w:rPr>
              <w:t>Patient has severe, vision-threatening ocular inflammation requiring rapid control; OR</w:t>
            </w:r>
          </w:p>
          <w:p w:rsidR="00B60E19" w:rsidRPr="007250EF" w:rsidRDefault="00B60E19" w:rsidP="00472D89">
            <w:pPr>
              <w:rPr>
                <w:rFonts w:ascii="Arial Narrow" w:hAnsi="Arial Narrow"/>
                <w:sz w:val="20"/>
              </w:rPr>
            </w:pPr>
          </w:p>
          <w:p w:rsidR="00B60E19" w:rsidRDefault="00B60E19" w:rsidP="00472D89">
            <w:pPr>
              <w:rPr>
                <w:rFonts w:ascii="Arial Narrow" w:hAnsi="Arial Narrow"/>
                <w:sz w:val="20"/>
              </w:rPr>
            </w:pPr>
            <w:r w:rsidRPr="007250EF">
              <w:rPr>
                <w:rFonts w:ascii="Arial Narrow" w:hAnsi="Arial Narrow"/>
                <w:sz w:val="20"/>
              </w:rPr>
              <w:t>Patient must have a documented intolerance of a severity necessitating permanent treatme</w:t>
            </w:r>
            <w:r>
              <w:rPr>
                <w:rFonts w:ascii="Arial Narrow" w:hAnsi="Arial Narrow"/>
                <w:sz w:val="20"/>
              </w:rPr>
              <w:t>nt withdrawal or a contra</w:t>
            </w:r>
            <w:r w:rsidRPr="007250EF">
              <w:rPr>
                <w:rFonts w:ascii="Arial Narrow" w:hAnsi="Arial Narrow"/>
                <w:sz w:val="20"/>
              </w:rPr>
              <w:t>indication to corticosteroid and/or immunomodulatory therapy</w:t>
            </w:r>
          </w:p>
          <w:p w:rsidR="00B60E19" w:rsidRDefault="00B60E19" w:rsidP="00472D89">
            <w:pPr>
              <w:rPr>
                <w:rFonts w:ascii="Arial Narrow" w:hAnsi="Arial Narrow"/>
                <w:sz w:val="20"/>
              </w:rPr>
            </w:pPr>
          </w:p>
          <w:p w:rsidR="00B60E19" w:rsidRDefault="00B60E19" w:rsidP="00472D89">
            <w:pPr>
              <w:rPr>
                <w:rFonts w:ascii="Arial Narrow" w:hAnsi="Arial Narrow"/>
                <w:i/>
                <w:sz w:val="20"/>
              </w:rPr>
            </w:pPr>
            <w:r>
              <w:rPr>
                <w:rFonts w:ascii="Arial Narrow" w:hAnsi="Arial Narrow"/>
                <w:i/>
                <w:sz w:val="20"/>
              </w:rPr>
              <w:t>AND</w:t>
            </w:r>
          </w:p>
          <w:p w:rsidR="00B60E19" w:rsidRDefault="00B60E19" w:rsidP="00472D89">
            <w:pPr>
              <w:rPr>
                <w:rFonts w:ascii="Arial Narrow" w:hAnsi="Arial Narrow"/>
                <w:i/>
                <w:sz w:val="20"/>
              </w:rPr>
            </w:pPr>
          </w:p>
          <w:p w:rsidR="00B60E19" w:rsidRPr="007D170A" w:rsidRDefault="00B60E19" w:rsidP="00472D89">
            <w:pPr>
              <w:rPr>
                <w:rFonts w:ascii="Arial Narrow" w:hAnsi="Arial Narrow"/>
                <w:i/>
                <w:sz w:val="20"/>
              </w:rPr>
            </w:pPr>
            <w:r>
              <w:rPr>
                <w:rFonts w:ascii="Arial Narrow" w:hAnsi="Arial Narrow"/>
                <w:i/>
                <w:sz w:val="20"/>
              </w:rPr>
              <w:t>Treatment must not exceed 24 weeks under this restriction</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b/>
                <w:sz w:val="20"/>
              </w:rPr>
              <w:lastRenderedPageBreak/>
              <w:t>Population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7250EF" w:rsidRDefault="00B60E19" w:rsidP="00472D89">
            <w:pPr>
              <w:rPr>
                <w:rFonts w:ascii="Arial Narrow" w:hAnsi="Arial Narrow"/>
                <w:sz w:val="20"/>
              </w:rPr>
            </w:pPr>
            <w:r w:rsidRPr="007250EF">
              <w:rPr>
                <w:rFonts w:ascii="Arial Narrow" w:hAnsi="Arial Narrow"/>
                <w:sz w:val="20"/>
              </w:rPr>
              <w:t xml:space="preserve">Vision threatening disease is defined as </w:t>
            </w:r>
            <w:r w:rsidRPr="004949C7">
              <w:rPr>
                <w:rFonts w:ascii="Arial Narrow" w:hAnsi="Arial Narrow"/>
                <w:strike/>
                <w:sz w:val="20"/>
              </w:rPr>
              <w:t xml:space="preserve">any </w:t>
            </w:r>
            <w:proofErr w:type="spellStart"/>
            <w:r w:rsidRPr="004949C7">
              <w:rPr>
                <w:rFonts w:ascii="Arial Narrow" w:hAnsi="Arial Narrow"/>
                <w:strike/>
                <w:sz w:val="20"/>
              </w:rPr>
              <w:t>of</w:t>
            </w:r>
            <w:r w:rsidRPr="004949C7">
              <w:rPr>
                <w:rFonts w:ascii="Arial Narrow" w:hAnsi="Arial Narrow"/>
                <w:i/>
                <w:sz w:val="20"/>
              </w:rPr>
              <w:t>at</w:t>
            </w:r>
            <w:proofErr w:type="spellEnd"/>
            <w:r w:rsidRPr="004949C7">
              <w:rPr>
                <w:rFonts w:ascii="Arial Narrow" w:hAnsi="Arial Narrow"/>
                <w:i/>
                <w:sz w:val="20"/>
              </w:rPr>
              <w:t xml:space="preserve">  least 1 of the following</w:t>
            </w:r>
            <w:r w:rsidRPr="007250EF">
              <w:rPr>
                <w:rFonts w:ascii="Arial Narrow" w:hAnsi="Arial Narrow"/>
                <w:sz w:val="20"/>
              </w:rPr>
              <w:t>:</w:t>
            </w:r>
          </w:p>
          <w:p w:rsidR="00B60E19" w:rsidRPr="007250EF" w:rsidRDefault="00B60E19" w:rsidP="00472D89">
            <w:pPr>
              <w:rPr>
                <w:rFonts w:ascii="Arial Narrow" w:hAnsi="Arial Narrow"/>
                <w:sz w:val="20"/>
              </w:rPr>
            </w:pPr>
            <w:r w:rsidRPr="007250EF">
              <w:rPr>
                <w:rFonts w:ascii="Arial Narrow" w:hAnsi="Arial Narrow"/>
                <w:sz w:val="20"/>
              </w:rPr>
              <w:t>a)</w:t>
            </w:r>
            <w:r w:rsidRPr="007250EF">
              <w:rPr>
                <w:rFonts w:ascii="Arial Narrow" w:hAnsi="Arial Narrow"/>
                <w:sz w:val="20"/>
              </w:rPr>
              <w:tab/>
              <w:t>A decrease in visual acuity of at least 15 letters using an early treatment diabetic retinopathy study (ETDRS) chart or equivalent;</w:t>
            </w:r>
          </w:p>
          <w:p w:rsidR="00B60E19" w:rsidRPr="007250EF" w:rsidRDefault="00B60E19" w:rsidP="00472D89">
            <w:pPr>
              <w:rPr>
                <w:rFonts w:ascii="Arial Narrow" w:hAnsi="Arial Narrow"/>
                <w:sz w:val="20"/>
              </w:rPr>
            </w:pPr>
            <w:r w:rsidRPr="007250EF">
              <w:rPr>
                <w:rFonts w:ascii="Arial Narrow" w:hAnsi="Arial Narrow"/>
                <w:sz w:val="20"/>
              </w:rPr>
              <w:t>b)</w:t>
            </w:r>
            <w:r w:rsidRPr="007250EF">
              <w:rPr>
                <w:rFonts w:ascii="Arial Narrow" w:hAnsi="Arial Narrow"/>
                <w:sz w:val="20"/>
              </w:rPr>
              <w:tab/>
              <w:t>A two-step increase in anterior chamber cells or vitreous haze</w:t>
            </w:r>
          </w:p>
          <w:p w:rsidR="00B60E19" w:rsidRPr="007250EF" w:rsidRDefault="00B60E19" w:rsidP="00472D89">
            <w:pPr>
              <w:rPr>
                <w:rFonts w:ascii="Arial Narrow" w:hAnsi="Arial Narrow"/>
                <w:sz w:val="20"/>
              </w:rPr>
            </w:pPr>
            <w:r w:rsidRPr="007250EF">
              <w:rPr>
                <w:rFonts w:ascii="Arial Narrow" w:hAnsi="Arial Narrow"/>
                <w:sz w:val="20"/>
              </w:rPr>
              <w:t>c)</w:t>
            </w:r>
            <w:r w:rsidRPr="007250EF">
              <w:rPr>
                <w:rFonts w:ascii="Arial Narrow" w:hAnsi="Arial Narrow"/>
                <w:sz w:val="20"/>
              </w:rPr>
              <w:tab/>
              <w:t>New retinal vasculitis;</w:t>
            </w:r>
          </w:p>
          <w:p w:rsidR="00B60E19" w:rsidRPr="007250EF" w:rsidRDefault="00B60E19" w:rsidP="00472D89">
            <w:pPr>
              <w:rPr>
                <w:rFonts w:ascii="Arial Narrow" w:hAnsi="Arial Narrow"/>
                <w:sz w:val="20"/>
              </w:rPr>
            </w:pPr>
            <w:r w:rsidRPr="007250EF">
              <w:rPr>
                <w:rFonts w:ascii="Arial Narrow" w:hAnsi="Arial Narrow"/>
                <w:sz w:val="20"/>
              </w:rPr>
              <w:t>d)</w:t>
            </w:r>
            <w:r w:rsidRPr="007250EF">
              <w:rPr>
                <w:rFonts w:ascii="Arial Narrow" w:hAnsi="Arial Narrow"/>
                <w:sz w:val="20"/>
              </w:rPr>
              <w:tab/>
              <w:t>New retinal or choroidal lesions;</w:t>
            </w:r>
          </w:p>
          <w:p w:rsidR="00B60E19" w:rsidRPr="007250EF" w:rsidRDefault="00B60E19" w:rsidP="00472D89">
            <w:pPr>
              <w:rPr>
                <w:rFonts w:ascii="Arial Narrow" w:hAnsi="Arial Narrow"/>
                <w:sz w:val="20"/>
              </w:rPr>
            </w:pPr>
            <w:r w:rsidRPr="007250EF">
              <w:rPr>
                <w:rFonts w:ascii="Arial Narrow" w:hAnsi="Arial Narrow"/>
                <w:sz w:val="20"/>
              </w:rPr>
              <w:t>e)</w:t>
            </w:r>
            <w:r w:rsidRPr="007250EF">
              <w:rPr>
                <w:rFonts w:ascii="Arial Narrow" w:hAnsi="Arial Narrow"/>
                <w:sz w:val="20"/>
              </w:rPr>
              <w:tab/>
              <w:t xml:space="preserve">Other signs of disease progression including visual field changes or </w:t>
            </w:r>
            <w:proofErr w:type="spellStart"/>
            <w:r w:rsidRPr="007250EF">
              <w:rPr>
                <w:rFonts w:ascii="Arial Narrow" w:hAnsi="Arial Narrow"/>
                <w:sz w:val="20"/>
              </w:rPr>
              <w:t>electroretinogram</w:t>
            </w:r>
            <w:proofErr w:type="spellEnd"/>
            <w:r w:rsidRPr="007250EF">
              <w:rPr>
                <w:rFonts w:ascii="Arial Narrow" w:hAnsi="Arial Narrow"/>
                <w:sz w:val="20"/>
              </w:rPr>
              <w:t xml:space="preserve"> changes</w:t>
            </w:r>
          </w:p>
          <w:p w:rsidR="00B60E19" w:rsidRDefault="00B60E19" w:rsidP="00472D89">
            <w:pPr>
              <w:rPr>
                <w:rFonts w:ascii="Arial Narrow" w:hAnsi="Arial Narrow"/>
                <w:sz w:val="20"/>
              </w:rPr>
            </w:pPr>
          </w:p>
          <w:p w:rsidR="00B60E19" w:rsidRPr="007250EF" w:rsidRDefault="00B60E19" w:rsidP="00472D89">
            <w:pPr>
              <w:rPr>
                <w:rFonts w:ascii="Arial Narrow" w:hAnsi="Arial Narrow"/>
                <w:sz w:val="20"/>
              </w:rPr>
            </w:pPr>
            <w:r w:rsidRPr="007250EF">
              <w:rPr>
                <w:rFonts w:ascii="Arial Narrow" w:hAnsi="Arial Narrow"/>
                <w:sz w:val="20"/>
              </w:rPr>
              <w:t xml:space="preserve">Severe vision threatening ocular inflammation is defined as </w:t>
            </w:r>
            <w:r w:rsidRPr="004949C7">
              <w:rPr>
                <w:rFonts w:ascii="Arial Narrow" w:hAnsi="Arial Narrow"/>
                <w:strike/>
                <w:sz w:val="20"/>
              </w:rPr>
              <w:t xml:space="preserve">any </w:t>
            </w:r>
            <w:proofErr w:type="spellStart"/>
            <w:r w:rsidRPr="004949C7">
              <w:rPr>
                <w:rFonts w:ascii="Arial Narrow" w:hAnsi="Arial Narrow"/>
                <w:strike/>
                <w:sz w:val="20"/>
              </w:rPr>
              <w:t>of</w:t>
            </w:r>
            <w:r w:rsidRPr="004949C7">
              <w:rPr>
                <w:rFonts w:ascii="Arial Narrow" w:hAnsi="Arial Narrow"/>
                <w:i/>
                <w:sz w:val="20"/>
              </w:rPr>
              <w:t>at</w:t>
            </w:r>
            <w:proofErr w:type="spellEnd"/>
            <w:r w:rsidRPr="004949C7">
              <w:rPr>
                <w:rFonts w:ascii="Arial Narrow" w:hAnsi="Arial Narrow"/>
                <w:i/>
                <w:sz w:val="20"/>
              </w:rPr>
              <w:t xml:space="preserve"> least 1 of the following</w:t>
            </w:r>
            <w:r w:rsidRPr="007250EF">
              <w:rPr>
                <w:rFonts w:ascii="Arial Narrow" w:hAnsi="Arial Narrow"/>
                <w:sz w:val="20"/>
              </w:rPr>
              <w:t>:</w:t>
            </w:r>
          </w:p>
          <w:p w:rsidR="00B60E19" w:rsidRPr="007250EF" w:rsidRDefault="00B60E19" w:rsidP="00472D89">
            <w:pPr>
              <w:rPr>
                <w:rFonts w:ascii="Arial Narrow" w:hAnsi="Arial Narrow"/>
                <w:sz w:val="20"/>
              </w:rPr>
            </w:pPr>
            <w:r w:rsidRPr="007250EF">
              <w:rPr>
                <w:rFonts w:ascii="Arial Narrow" w:hAnsi="Arial Narrow"/>
                <w:sz w:val="20"/>
              </w:rPr>
              <w:t>a)</w:t>
            </w:r>
            <w:r w:rsidRPr="007250EF">
              <w:rPr>
                <w:rFonts w:ascii="Arial Narrow" w:hAnsi="Arial Narrow"/>
                <w:sz w:val="20"/>
              </w:rPr>
              <w:tab/>
              <w:t>Widespread vascular occlusion;</w:t>
            </w:r>
          </w:p>
          <w:p w:rsidR="00B60E19" w:rsidRPr="007250EF" w:rsidRDefault="00B60E19" w:rsidP="00472D89">
            <w:pPr>
              <w:rPr>
                <w:rFonts w:ascii="Arial Narrow" w:hAnsi="Arial Narrow"/>
                <w:sz w:val="20"/>
              </w:rPr>
            </w:pPr>
            <w:r w:rsidRPr="007250EF">
              <w:rPr>
                <w:rFonts w:ascii="Arial Narrow" w:hAnsi="Arial Narrow"/>
                <w:sz w:val="20"/>
              </w:rPr>
              <w:t>b)</w:t>
            </w:r>
            <w:r w:rsidRPr="007250EF">
              <w:rPr>
                <w:rFonts w:ascii="Arial Narrow" w:hAnsi="Arial Narrow"/>
                <w:sz w:val="20"/>
              </w:rPr>
              <w:tab/>
              <w:t>Macular threatening retinitis;</w:t>
            </w:r>
          </w:p>
          <w:p w:rsidR="00B60E19" w:rsidRPr="00260CE3" w:rsidRDefault="00B60E19" w:rsidP="00472D89">
            <w:pPr>
              <w:rPr>
                <w:rFonts w:ascii="Arial Narrow" w:hAnsi="Arial Narrow"/>
                <w:sz w:val="20"/>
              </w:rPr>
            </w:pPr>
            <w:r w:rsidRPr="007250EF">
              <w:rPr>
                <w:rFonts w:ascii="Arial Narrow" w:hAnsi="Arial Narrow"/>
                <w:sz w:val="20"/>
              </w:rPr>
              <w:t>c)</w:t>
            </w:r>
            <w:r w:rsidRPr="007250EF">
              <w:rPr>
                <w:rFonts w:ascii="Arial Narrow" w:hAnsi="Arial Narrow"/>
                <w:sz w:val="20"/>
              </w:rPr>
              <w:tab/>
              <w:t>Disease progression on high dose corticosteroids (increasing lesion size and/or new lesions, lack of response according to Standardisation of Uveitis Nomenclature (SUN) criteria for anterior chamber cell and vitreous haze grade as well as visual acuity or further loss of vision despite treatment with corticosteroids at a dose of &gt;40mg/day).</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b/>
                <w:sz w:val="20"/>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B60E19" w:rsidRDefault="00B60E19" w:rsidP="00472D89">
            <w:pPr>
              <w:rPr>
                <w:rFonts w:ascii="Arial Narrow" w:hAnsi="Arial Narrow"/>
                <w:strike/>
                <w:sz w:val="20"/>
              </w:rPr>
            </w:pPr>
            <w:r w:rsidRPr="008014AC">
              <w:rPr>
                <w:rFonts w:ascii="Arial Narrow" w:hAnsi="Arial Narrow"/>
                <w:strike/>
                <w:sz w:val="20"/>
              </w:rPr>
              <w:t>A maximum of 24 weeks treatment will be authorised under this criterion.</w:t>
            </w:r>
          </w:p>
          <w:p w:rsidR="00B60E19" w:rsidRDefault="00B60E19" w:rsidP="00472D89">
            <w:pPr>
              <w:pStyle w:val="NormalWeb"/>
              <w:rPr>
                <w:rFonts w:ascii="Arial Narrow" w:hAnsi="Arial Narrow" w:cs="Arial"/>
                <w:i/>
                <w:sz w:val="20"/>
              </w:rPr>
            </w:pPr>
            <w:r w:rsidRPr="008014AC">
              <w:rPr>
                <w:rFonts w:ascii="Arial Narrow" w:hAnsi="Arial Narrow" w:cs="Arial"/>
                <w:i/>
                <w:sz w:val="20"/>
              </w:rPr>
              <w:t>No increase in the maximum number of repeats may be authorised.</w:t>
            </w:r>
          </w:p>
          <w:p w:rsidR="00B60E19" w:rsidRPr="008014AC" w:rsidRDefault="00B60E19" w:rsidP="00472D89">
            <w:pPr>
              <w:rPr>
                <w:rFonts w:ascii="Arial Narrow" w:hAnsi="Arial Narrow"/>
                <w:strike/>
                <w:sz w:val="20"/>
              </w:rPr>
            </w:pPr>
            <w:r w:rsidRPr="008014AC">
              <w:rPr>
                <w:rFonts w:ascii="Arial Narrow" w:hAnsi="Arial Narrow"/>
                <w:i/>
                <w:sz w:val="20"/>
              </w:rPr>
              <w:t>No increase in the maximum quantity or number of units may be authorised.</w:t>
            </w:r>
          </w:p>
        </w:tc>
      </w:tr>
    </w:tbl>
    <w:p w:rsidR="00B60E19" w:rsidRDefault="00B60E19" w:rsidP="00B60E19">
      <w:pPr>
        <w:rPr>
          <w:szCs w:val="22"/>
        </w:rPr>
      </w:pPr>
    </w:p>
    <w:p w:rsidR="00B60E19" w:rsidRDefault="00B60E19" w:rsidP="00B60E19">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B60E19" w:rsidRPr="00260CE3" w:rsidTr="00472D89">
        <w:trPr>
          <w:cantSplit/>
          <w:trHeight w:val="471"/>
        </w:trPr>
        <w:tc>
          <w:tcPr>
            <w:tcW w:w="3261" w:type="dxa"/>
            <w:gridSpan w:val="2"/>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Name, Restriction,</w:t>
            </w:r>
          </w:p>
          <w:p w:rsidR="00B60E19" w:rsidRPr="00260CE3" w:rsidRDefault="00B60E19" w:rsidP="00472D89">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Max.</w:t>
            </w:r>
          </w:p>
          <w:p w:rsidR="00B60E19" w:rsidRPr="00260CE3" w:rsidRDefault="00B60E19" w:rsidP="00472D89">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№.of</w:t>
            </w:r>
          </w:p>
          <w:p w:rsidR="00B60E19" w:rsidRPr="00260CE3" w:rsidRDefault="00B60E19" w:rsidP="00472D89">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B60E19" w:rsidRPr="00260CE3" w:rsidRDefault="00B60E19" w:rsidP="00472D89">
            <w:pPr>
              <w:keepNext/>
              <w:rPr>
                <w:rFonts w:ascii="Arial Narrow" w:hAnsi="Arial Narrow"/>
                <w:sz w:val="20"/>
                <w:lang w:val="fr-FR"/>
              </w:rPr>
            </w:pPr>
            <w:r w:rsidRPr="00260CE3">
              <w:rPr>
                <w:rFonts w:ascii="Arial Narrow" w:hAnsi="Arial Narrow"/>
                <w:sz w:val="20"/>
              </w:rPr>
              <w:t>Proprietary Name and Manufacturer</w:t>
            </w:r>
          </w:p>
        </w:tc>
      </w:tr>
      <w:tr w:rsidR="00B60E19" w:rsidRPr="00FD34C8" w:rsidTr="00472D89">
        <w:trPr>
          <w:cantSplit/>
          <w:trHeight w:val="632"/>
        </w:trPr>
        <w:tc>
          <w:tcPr>
            <w:tcW w:w="3261" w:type="dxa"/>
            <w:gridSpan w:val="2"/>
            <w:tcBorders>
              <w:top w:val="single" w:sz="4" w:space="0" w:color="auto"/>
            </w:tcBorders>
            <w:vAlign w:val="center"/>
          </w:tcPr>
          <w:p w:rsidR="00B60E19" w:rsidRPr="00FD34C8" w:rsidRDefault="00B60E19" w:rsidP="00472D89">
            <w:pPr>
              <w:keepNext/>
              <w:rPr>
                <w:rFonts w:ascii="Arial Narrow" w:hAnsi="Arial Narrow"/>
                <w:sz w:val="20"/>
              </w:rPr>
            </w:pPr>
            <w:r w:rsidRPr="00FD34C8">
              <w:rPr>
                <w:rFonts w:ascii="Arial Narrow" w:hAnsi="Arial Narrow"/>
                <w:smallCaps/>
                <w:sz w:val="20"/>
              </w:rPr>
              <w:t>Adalimumab</w:t>
            </w:r>
          </w:p>
          <w:p w:rsidR="00B60E19" w:rsidRPr="00FD34C8" w:rsidRDefault="00B60E19" w:rsidP="00472D89">
            <w:pPr>
              <w:keepNext/>
              <w:rPr>
                <w:rFonts w:ascii="Arial Narrow" w:hAnsi="Arial Narrow"/>
                <w:sz w:val="20"/>
              </w:rPr>
            </w:pPr>
            <w:r w:rsidRPr="00FD34C8">
              <w:rPr>
                <w:rFonts w:ascii="Arial Narrow" w:hAnsi="Arial Narrow"/>
                <w:sz w:val="20"/>
              </w:rPr>
              <w:t>Injection, 40mg in 0.8mL pre-filled syringe, 2</w:t>
            </w:r>
          </w:p>
        </w:tc>
        <w:tc>
          <w:tcPr>
            <w:tcW w:w="567" w:type="dxa"/>
            <w:tcBorders>
              <w:top w:val="single" w:sz="4" w:space="0" w:color="auto"/>
            </w:tcBorders>
            <w:vAlign w:val="center"/>
          </w:tcPr>
          <w:p w:rsidR="00B60E19" w:rsidRPr="00FD34C8" w:rsidRDefault="00B60E19" w:rsidP="00472D89">
            <w:pPr>
              <w:keepNext/>
              <w:jc w:val="center"/>
              <w:rPr>
                <w:rFonts w:ascii="Arial Narrow" w:hAnsi="Arial Narrow"/>
                <w:sz w:val="20"/>
              </w:rPr>
            </w:pPr>
          </w:p>
          <w:p w:rsidR="00B60E19" w:rsidRPr="00FD34C8" w:rsidRDefault="00B60E19" w:rsidP="00472D89">
            <w:pPr>
              <w:keepNext/>
              <w:jc w:val="center"/>
              <w:rPr>
                <w:rFonts w:ascii="Arial Narrow" w:hAnsi="Arial Narrow"/>
                <w:sz w:val="20"/>
              </w:rPr>
            </w:pPr>
            <w:r w:rsidRPr="00FD34C8">
              <w:rPr>
                <w:rFonts w:ascii="Arial Narrow" w:hAnsi="Arial Narrow"/>
                <w:sz w:val="20"/>
              </w:rPr>
              <w:t>1</w:t>
            </w:r>
          </w:p>
          <w:p w:rsidR="00B60E19" w:rsidRPr="00FD34C8" w:rsidRDefault="00B60E19" w:rsidP="00472D89">
            <w:pPr>
              <w:keepNext/>
              <w:jc w:val="center"/>
              <w:rPr>
                <w:rFonts w:ascii="Arial Narrow" w:hAnsi="Arial Narrow"/>
                <w:sz w:val="20"/>
              </w:rPr>
            </w:pPr>
          </w:p>
        </w:tc>
        <w:tc>
          <w:tcPr>
            <w:tcW w:w="850" w:type="dxa"/>
            <w:tcBorders>
              <w:top w:val="single" w:sz="4" w:space="0" w:color="auto"/>
            </w:tcBorders>
            <w:vAlign w:val="center"/>
          </w:tcPr>
          <w:p w:rsidR="00B60E19" w:rsidRPr="00FD34C8" w:rsidRDefault="00B60E19" w:rsidP="00472D89">
            <w:pPr>
              <w:keepNext/>
              <w:jc w:val="center"/>
              <w:rPr>
                <w:rFonts w:ascii="Arial Narrow" w:hAnsi="Arial Narrow"/>
                <w:sz w:val="20"/>
              </w:rPr>
            </w:pPr>
          </w:p>
          <w:p w:rsidR="00B60E19" w:rsidRPr="00FD34C8" w:rsidRDefault="00B60E19" w:rsidP="00472D89">
            <w:pPr>
              <w:keepNext/>
              <w:jc w:val="center"/>
              <w:rPr>
                <w:rFonts w:ascii="Arial Narrow" w:hAnsi="Arial Narrow"/>
                <w:sz w:val="20"/>
              </w:rPr>
            </w:pPr>
            <w:r w:rsidRPr="00FD34C8">
              <w:rPr>
                <w:rFonts w:ascii="Arial Narrow" w:hAnsi="Arial Narrow"/>
                <w:sz w:val="20"/>
              </w:rPr>
              <w:t>5</w:t>
            </w:r>
          </w:p>
          <w:p w:rsidR="00B60E19" w:rsidRPr="00FD34C8" w:rsidRDefault="00B60E19" w:rsidP="00472D89">
            <w:pPr>
              <w:keepNext/>
              <w:jc w:val="center"/>
              <w:rPr>
                <w:rFonts w:ascii="Arial Narrow" w:hAnsi="Arial Narrow"/>
                <w:sz w:val="20"/>
              </w:rPr>
            </w:pPr>
          </w:p>
        </w:tc>
        <w:tc>
          <w:tcPr>
            <w:tcW w:w="1701" w:type="dxa"/>
            <w:tcBorders>
              <w:top w:val="single" w:sz="4" w:space="0" w:color="auto"/>
            </w:tcBorders>
            <w:vAlign w:val="center"/>
          </w:tcPr>
          <w:p w:rsidR="00B60E19" w:rsidRPr="00FD34C8" w:rsidRDefault="00B60E19" w:rsidP="00472D89">
            <w:pPr>
              <w:keepNext/>
              <w:jc w:val="center"/>
              <w:rPr>
                <w:rFonts w:ascii="Arial Narrow" w:hAnsi="Arial Narrow"/>
                <w:sz w:val="20"/>
              </w:rPr>
            </w:pPr>
          </w:p>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p>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r w:rsidRPr="00FD34C8">
              <w:rPr>
                <w:rFonts w:ascii="Arial Narrow" w:hAnsi="Arial Narrow"/>
                <w:sz w:val="20"/>
              </w:rPr>
              <w:t>)</w:t>
            </w:r>
          </w:p>
          <w:p w:rsidR="00B60E19" w:rsidRPr="00FD34C8" w:rsidRDefault="00B60E19" w:rsidP="00472D89">
            <w:pPr>
              <w:keepNext/>
              <w:jc w:val="center"/>
              <w:rPr>
                <w:rFonts w:ascii="Arial Narrow" w:hAnsi="Arial Narrow"/>
                <w:sz w:val="20"/>
              </w:rPr>
            </w:pPr>
          </w:p>
        </w:tc>
        <w:tc>
          <w:tcPr>
            <w:tcW w:w="1559" w:type="dxa"/>
            <w:vMerge w:val="restart"/>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Humira®</w:t>
            </w:r>
          </w:p>
        </w:tc>
        <w:tc>
          <w:tcPr>
            <w:tcW w:w="1276" w:type="dxa"/>
            <w:vMerge w:val="restart"/>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AbbVie</w:t>
            </w:r>
          </w:p>
        </w:tc>
      </w:tr>
      <w:tr w:rsidR="00B60E19" w:rsidRPr="00FD34C8" w:rsidTr="00472D89">
        <w:trPr>
          <w:cantSplit/>
          <w:trHeight w:val="500"/>
        </w:trPr>
        <w:tc>
          <w:tcPr>
            <w:tcW w:w="3261" w:type="dxa"/>
            <w:gridSpan w:val="2"/>
            <w:vAlign w:val="center"/>
          </w:tcPr>
          <w:p w:rsidR="00B60E19" w:rsidRPr="00FD34C8" w:rsidRDefault="00B60E19" w:rsidP="00472D89">
            <w:pPr>
              <w:keepNext/>
              <w:rPr>
                <w:rFonts w:ascii="Arial Narrow" w:hAnsi="Arial Narrow"/>
                <w:sz w:val="20"/>
              </w:rPr>
            </w:pPr>
            <w:r w:rsidRPr="00FD34C8">
              <w:rPr>
                <w:rFonts w:ascii="Arial Narrow" w:hAnsi="Arial Narrow"/>
                <w:smallCaps/>
                <w:sz w:val="20"/>
              </w:rPr>
              <w:t>Adalimumab</w:t>
            </w:r>
          </w:p>
          <w:p w:rsidR="00B60E19" w:rsidRPr="00FD34C8" w:rsidRDefault="00B60E19" w:rsidP="00472D89">
            <w:pPr>
              <w:keepNext/>
              <w:rPr>
                <w:rFonts w:ascii="Arial Narrow" w:hAnsi="Arial Narrow"/>
                <w:smallCaps/>
                <w:sz w:val="20"/>
              </w:rPr>
            </w:pPr>
            <w:r w:rsidRPr="00FD34C8">
              <w:rPr>
                <w:rFonts w:ascii="Arial Narrow" w:hAnsi="Arial Narrow"/>
                <w:sz w:val="20"/>
              </w:rPr>
              <w:t>Injection, 40mg in 0.8mL pre-filled pen, 2</w:t>
            </w:r>
          </w:p>
        </w:tc>
        <w:tc>
          <w:tcPr>
            <w:tcW w:w="567" w:type="dxa"/>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1</w:t>
            </w:r>
          </w:p>
        </w:tc>
        <w:tc>
          <w:tcPr>
            <w:tcW w:w="850" w:type="dxa"/>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5</w:t>
            </w:r>
          </w:p>
        </w:tc>
        <w:tc>
          <w:tcPr>
            <w:tcW w:w="1701" w:type="dxa"/>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p>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r w:rsidRPr="00FD34C8">
              <w:rPr>
                <w:rFonts w:ascii="Arial Narrow" w:hAnsi="Arial Narrow"/>
                <w:sz w:val="20"/>
              </w:rPr>
              <w:t>)</w:t>
            </w:r>
          </w:p>
        </w:tc>
        <w:tc>
          <w:tcPr>
            <w:tcW w:w="1559" w:type="dxa"/>
            <w:vMerge/>
            <w:vAlign w:val="center"/>
          </w:tcPr>
          <w:p w:rsidR="00B60E19" w:rsidRPr="00FD34C8" w:rsidRDefault="00B60E19" w:rsidP="00472D89">
            <w:pPr>
              <w:keepNext/>
              <w:jc w:val="center"/>
              <w:rPr>
                <w:rFonts w:ascii="Arial Narrow" w:hAnsi="Arial Narrow"/>
                <w:sz w:val="20"/>
              </w:rPr>
            </w:pPr>
          </w:p>
        </w:tc>
        <w:tc>
          <w:tcPr>
            <w:tcW w:w="1276" w:type="dxa"/>
            <w:vMerge/>
            <w:vAlign w:val="center"/>
          </w:tcPr>
          <w:p w:rsidR="00B60E19" w:rsidRPr="00FD34C8" w:rsidRDefault="00B60E19" w:rsidP="00472D89">
            <w:pPr>
              <w:keepNext/>
              <w:jc w:val="center"/>
              <w:rPr>
                <w:rFonts w:ascii="Arial Narrow" w:hAnsi="Arial Narrow"/>
                <w:sz w:val="20"/>
              </w:rPr>
            </w:pPr>
          </w:p>
        </w:tc>
      </w:tr>
      <w:tr w:rsidR="00B60E19" w:rsidRPr="00260CE3" w:rsidTr="00FD34C8">
        <w:trPr>
          <w:cantSplit/>
          <w:trHeight w:val="113"/>
        </w:trPr>
        <w:tc>
          <w:tcPr>
            <w:tcW w:w="9214" w:type="dxa"/>
            <w:gridSpan w:val="7"/>
            <w:tcBorders>
              <w:bottom w:val="single" w:sz="4" w:space="0" w:color="auto"/>
            </w:tcBorders>
          </w:tcPr>
          <w:p w:rsidR="00B60E19" w:rsidRPr="00260CE3" w:rsidRDefault="00B60E19" w:rsidP="00472D89">
            <w:pPr>
              <w:rPr>
                <w:rFonts w:ascii="Arial Narrow" w:hAnsi="Arial Narrow"/>
                <w:sz w:val="20"/>
              </w:rPr>
            </w:pPr>
          </w:p>
        </w:tc>
      </w:tr>
      <w:tr w:rsidR="00B60E19" w:rsidRPr="00260CE3" w:rsidTr="00472D8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260CE3" w:rsidRDefault="00B60E19" w:rsidP="00FD34C8">
            <w:pPr>
              <w:rPr>
                <w:rFonts w:ascii="Arial Narrow" w:hAnsi="Arial Narrow"/>
                <w:sz w:val="20"/>
              </w:rPr>
            </w:pPr>
            <w:r w:rsidRPr="00260CE3">
              <w:rPr>
                <w:rFonts w:ascii="Arial Narrow" w:hAnsi="Arial Narrow"/>
                <w:sz w:val="20"/>
              </w:rPr>
              <w:t>GENERAL – General Schedule (Code GE)</w:t>
            </w:r>
          </w:p>
        </w:tc>
      </w:tr>
      <w:tr w:rsidR="00B60E19" w:rsidRPr="00260CE3" w:rsidTr="00472D8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B60E19" w:rsidRPr="00260CE3" w:rsidRDefault="00B60E19" w:rsidP="00472D89">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60E19" w:rsidRPr="00260CE3" w:rsidTr="00472D8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sz w:val="20"/>
              </w:rPr>
            </w:pPr>
            <w:r w:rsidRPr="009F4F8B">
              <w:rPr>
                <w:rFonts w:ascii="Arial Narrow" w:hAnsi="Arial Narrow"/>
                <w:strike/>
                <w:sz w:val="20"/>
              </w:rPr>
              <w:t xml:space="preserve">Ocular inflammation of a severity that is </w:t>
            </w:r>
            <w:proofErr w:type="spellStart"/>
            <w:r w:rsidRPr="009F4F8B">
              <w:rPr>
                <w:rFonts w:ascii="Arial Narrow" w:hAnsi="Arial Narrow"/>
                <w:i/>
                <w:strike/>
                <w:sz w:val="20"/>
              </w:rPr>
              <w:t>v</w:t>
            </w:r>
            <w:r>
              <w:rPr>
                <w:rFonts w:ascii="Arial Narrow" w:hAnsi="Arial Narrow"/>
                <w:i/>
                <w:sz w:val="20"/>
              </w:rPr>
              <w:t>V</w:t>
            </w:r>
            <w:r w:rsidRPr="009F4F8B">
              <w:rPr>
                <w:rFonts w:ascii="Arial Narrow" w:hAnsi="Arial Narrow"/>
                <w:i/>
                <w:sz w:val="20"/>
              </w:rPr>
              <w:t>ision</w:t>
            </w:r>
            <w:proofErr w:type="spellEnd"/>
            <w:r w:rsidRPr="00053ECA">
              <w:rPr>
                <w:rFonts w:ascii="Arial Narrow" w:hAnsi="Arial Narrow"/>
                <w:sz w:val="20"/>
              </w:rPr>
              <w:t xml:space="preserve"> threatening</w:t>
            </w:r>
          </w:p>
        </w:tc>
      </w:tr>
      <w:tr w:rsidR="00B60E19" w:rsidRPr="00260CE3" w:rsidTr="00472D8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sz w:val="20"/>
              </w:rPr>
            </w:pPr>
            <w:r w:rsidRPr="00053ECA">
              <w:rPr>
                <w:rFonts w:ascii="Arial Narrow" w:hAnsi="Arial Narrow"/>
                <w:sz w:val="20"/>
              </w:rPr>
              <w:t xml:space="preserve">Non-infectious, intermediate, posterior or </w:t>
            </w:r>
            <w:proofErr w:type="spellStart"/>
            <w:r w:rsidRPr="00053ECA">
              <w:rPr>
                <w:rFonts w:ascii="Arial Narrow" w:hAnsi="Arial Narrow"/>
                <w:sz w:val="20"/>
              </w:rPr>
              <w:t>panuveitis</w:t>
            </w:r>
            <w:proofErr w:type="spellEnd"/>
            <w:r w:rsidRPr="00053ECA">
              <w:rPr>
                <w:rFonts w:ascii="Arial Narrow" w:hAnsi="Arial Narrow"/>
                <w:sz w:val="20"/>
              </w:rPr>
              <w:t xml:space="preserve"> </w:t>
            </w:r>
            <w:r w:rsidRPr="009F4F8B">
              <w:rPr>
                <w:rFonts w:ascii="Arial Narrow" w:hAnsi="Arial Narrow"/>
                <w:strike/>
                <w:sz w:val="20"/>
              </w:rPr>
              <w:t>vision threatening uveitis</w:t>
            </w:r>
          </w:p>
        </w:tc>
      </w:tr>
      <w:tr w:rsidR="00B60E19" w:rsidRPr="00260CE3" w:rsidTr="00472D8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sz w:val="20"/>
              </w:rPr>
            </w:pPr>
            <w:r w:rsidRPr="00053ECA">
              <w:rPr>
                <w:rFonts w:ascii="Arial Narrow" w:hAnsi="Arial Narrow"/>
                <w:sz w:val="20"/>
              </w:rPr>
              <w:t xml:space="preserve">Non-infectious, intermediate, posterior or </w:t>
            </w:r>
            <w:proofErr w:type="spellStart"/>
            <w:r w:rsidRPr="00053ECA">
              <w:rPr>
                <w:rFonts w:ascii="Arial Narrow" w:hAnsi="Arial Narrow"/>
                <w:sz w:val="20"/>
              </w:rPr>
              <w:t>panuveitis</w:t>
            </w:r>
            <w:proofErr w:type="spellEnd"/>
            <w:r w:rsidRPr="00053ECA">
              <w:rPr>
                <w:rFonts w:ascii="Arial Narrow" w:hAnsi="Arial Narrow"/>
                <w:sz w:val="20"/>
              </w:rPr>
              <w:t xml:space="preserve"> vision threatening uveitis</w:t>
            </w:r>
          </w:p>
        </w:tc>
      </w:tr>
      <w:tr w:rsidR="00B60E19" w:rsidRPr="00260CE3" w:rsidTr="00472D8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FD34C8">
            <w:pPr>
              <w:rPr>
                <w:rFonts w:ascii="Arial Narrow" w:hAnsi="Arial Narrow"/>
                <w:i/>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sz w:val="20"/>
              </w:rPr>
            </w:pPr>
            <w:r w:rsidRPr="00F630F2">
              <w:rPr>
                <w:rFonts w:ascii="Arial Narrow" w:hAnsi="Arial Narrow"/>
                <w:color w:val="000000"/>
                <w:sz w:val="20"/>
                <w:lang w:bidi="en-US"/>
              </w:rPr>
              <w:t>Continuing treatment</w:t>
            </w:r>
          </w:p>
        </w:tc>
      </w:tr>
      <w:tr w:rsidR="00B60E19" w:rsidRPr="00260CE3" w:rsidTr="00472D8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0E19" w:rsidRDefault="00B60E19" w:rsidP="00472D89">
            <w:pPr>
              <w:rPr>
                <w:rFonts w:ascii="Arial Narrow" w:hAnsi="Arial Narrow"/>
                <w:i/>
                <w:sz w:val="20"/>
              </w:rPr>
            </w:pPr>
            <w:r w:rsidRPr="00260CE3">
              <w:rPr>
                <w:rFonts w:ascii="Arial Narrow" w:hAnsi="Arial Narrow"/>
                <w:b/>
                <w:sz w:val="20"/>
              </w:rPr>
              <w:lastRenderedPageBreak/>
              <w:t>Restriction</w:t>
            </w:r>
            <w:r>
              <w:rPr>
                <w:rFonts w:ascii="Arial Narrow" w:hAnsi="Arial Narrow"/>
                <w:b/>
                <w:sz w:val="20"/>
              </w:rPr>
              <w:t xml:space="preserve"> Level / Method</w:t>
            </w:r>
            <w:r w:rsidRPr="00260CE3">
              <w:rPr>
                <w:rFonts w:ascii="Arial Narrow" w:hAnsi="Arial Narrow"/>
                <w:b/>
                <w:sz w:val="20"/>
              </w:rPr>
              <w:t>:</w:t>
            </w:r>
          </w:p>
          <w:p w:rsidR="00B60E19" w:rsidRDefault="00B60E19" w:rsidP="00472D89">
            <w:pPr>
              <w:rPr>
                <w:rFonts w:ascii="Arial Narrow" w:hAnsi="Arial Narrow"/>
                <w:i/>
                <w:sz w:val="20"/>
              </w:rPr>
            </w:pPr>
          </w:p>
          <w:p w:rsidR="00B60E19" w:rsidRPr="00CD28F3" w:rsidRDefault="00B60E19" w:rsidP="00472D8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60E19" w:rsidRPr="00106BCF" w:rsidRDefault="00B60E19" w:rsidP="00472D89">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B60E19" w:rsidRPr="00106BCF" w:rsidRDefault="00B60E19" w:rsidP="00472D89">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B60E19" w:rsidRPr="00106BCF" w:rsidRDefault="00B60E19" w:rsidP="00472D89">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B60E19" w:rsidRPr="00106BCF" w:rsidRDefault="00B60E19" w:rsidP="00472D89">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Pr>
                <w:rFonts w:ascii="Arial Narrow" w:hAnsi="Arial Narrow"/>
                <w:sz w:val="20"/>
              </w:rPr>
              <w:t>–</w:t>
            </w:r>
            <w:r w:rsidRPr="00106BCF">
              <w:rPr>
                <w:rFonts w:ascii="Arial Narrow" w:hAnsi="Arial Narrow"/>
                <w:sz w:val="20"/>
              </w:rPr>
              <w:t xml:space="preserve"> Emergency</w:t>
            </w:r>
          </w:p>
          <w:p w:rsidR="00B60E19" w:rsidRPr="00106BCF" w:rsidRDefault="00B60E19" w:rsidP="00472D89">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B60E19" w:rsidRPr="00260CE3" w:rsidRDefault="00B60E19" w:rsidP="00472D89">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B60E19" w:rsidRPr="00260CE3" w:rsidTr="00472D8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b/>
                <w:sz w:val="20"/>
              </w:rPr>
              <w:t>Treatment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260CE3" w:rsidRDefault="00B60E19" w:rsidP="000922BB">
            <w:pPr>
              <w:rPr>
                <w:rFonts w:ascii="Arial Narrow" w:hAnsi="Arial Narrow"/>
                <w:sz w:val="20"/>
              </w:rPr>
            </w:pPr>
            <w:r w:rsidRPr="007250EF">
              <w:rPr>
                <w:rFonts w:ascii="Arial Narrow" w:hAnsi="Arial Narrow"/>
                <w:sz w:val="20"/>
              </w:rPr>
              <w:t>Must be treated by</w:t>
            </w:r>
            <w:r>
              <w:rPr>
                <w:rFonts w:ascii="Arial Narrow" w:hAnsi="Arial Narrow"/>
                <w:sz w:val="20"/>
              </w:rPr>
              <w:t xml:space="preserve"> </w:t>
            </w:r>
            <w:r w:rsidRPr="005E3349">
              <w:rPr>
                <w:rFonts w:ascii="Arial Narrow" w:hAnsi="Arial Narrow"/>
                <w:i/>
                <w:sz w:val="20"/>
              </w:rPr>
              <w:t>an ophthalmologist</w:t>
            </w:r>
            <w:r>
              <w:rPr>
                <w:rFonts w:ascii="Arial Narrow" w:hAnsi="Arial Narrow"/>
                <w:i/>
                <w:sz w:val="20"/>
              </w:rPr>
              <w:t xml:space="preserve"> or in consultation with</w:t>
            </w:r>
            <w:r w:rsidRPr="007250EF">
              <w:rPr>
                <w:rFonts w:ascii="Arial Narrow" w:hAnsi="Arial Narrow"/>
                <w:sz w:val="20"/>
              </w:rPr>
              <w:t xml:space="preserve">  an ophthalmologist</w:t>
            </w:r>
            <w:r>
              <w:rPr>
                <w:rFonts w:ascii="Arial Narrow" w:hAnsi="Arial Narrow"/>
                <w:sz w:val="20"/>
              </w:rPr>
              <w:t xml:space="preserve"> </w:t>
            </w:r>
            <w:r w:rsidRPr="007250EF">
              <w:rPr>
                <w:rFonts w:ascii="Arial Narrow" w:hAnsi="Arial Narrow"/>
                <w:sz w:val="20"/>
              </w:rPr>
              <w:t>with expertise in uveitis</w:t>
            </w:r>
          </w:p>
        </w:tc>
      </w:tr>
      <w:tr w:rsidR="00B60E19" w:rsidRPr="00260CE3" w:rsidTr="00472D8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b/>
                <w:sz w:val="20"/>
              </w:rPr>
              <w:t>Clinical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F630F2" w:rsidRDefault="00B60E19" w:rsidP="00472D89">
            <w:pPr>
              <w:rPr>
                <w:rFonts w:ascii="Arial Narrow" w:hAnsi="Arial Narrow"/>
                <w:iCs/>
                <w:color w:val="000000"/>
                <w:sz w:val="20"/>
                <w:lang w:val="en-US" w:bidi="en-US"/>
              </w:rPr>
            </w:pPr>
            <w:r w:rsidRPr="00F630F2">
              <w:rPr>
                <w:rFonts w:ascii="Arial Narrow" w:hAnsi="Arial Narrow"/>
                <w:iCs/>
                <w:color w:val="000000"/>
                <w:sz w:val="20"/>
                <w:lang w:val="en-US" w:bidi="en-US"/>
              </w:rPr>
              <w:t xml:space="preserve">Patient must have a documented history of non-infectious, intermediate, posterior or </w:t>
            </w:r>
            <w:proofErr w:type="spellStart"/>
            <w:r w:rsidRPr="00F630F2">
              <w:rPr>
                <w:rFonts w:ascii="Arial Narrow" w:hAnsi="Arial Narrow"/>
                <w:iCs/>
                <w:color w:val="000000"/>
                <w:sz w:val="20"/>
                <w:lang w:val="en-US" w:bidi="en-US"/>
              </w:rPr>
              <w:t>panuveitis</w:t>
            </w:r>
            <w:proofErr w:type="spellEnd"/>
            <w:r w:rsidRPr="00F630F2">
              <w:rPr>
                <w:rFonts w:ascii="Arial Narrow" w:hAnsi="Arial Narrow"/>
                <w:iCs/>
                <w:color w:val="000000"/>
                <w:sz w:val="20"/>
                <w:lang w:val="en-US" w:bidi="en-US"/>
              </w:rPr>
              <w:t xml:space="preserve"> that is vision threatening;</w:t>
            </w:r>
          </w:p>
          <w:p w:rsidR="00B60E19" w:rsidRPr="00F630F2" w:rsidRDefault="00B60E19" w:rsidP="00472D89">
            <w:pPr>
              <w:rPr>
                <w:rFonts w:ascii="Arial Narrow" w:hAnsi="Arial Narrow"/>
                <w:i/>
                <w:color w:val="000000"/>
                <w:sz w:val="20"/>
                <w:lang w:val="en-US" w:bidi="en-US"/>
              </w:rPr>
            </w:pPr>
          </w:p>
          <w:p w:rsidR="00B60E19" w:rsidRPr="00F630F2" w:rsidRDefault="00B60E19" w:rsidP="00472D89">
            <w:pPr>
              <w:rPr>
                <w:rFonts w:ascii="Arial Narrow" w:hAnsi="Arial Narrow"/>
                <w:color w:val="000000"/>
                <w:sz w:val="20"/>
                <w:lang w:val="en-US" w:bidi="en-US"/>
              </w:rPr>
            </w:pPr>
            <w:r w:rsidRPr="00F630F2">
              <w:rPr>
                <w:rFonts w:ascii="Arial Narrow" w:hAnsi="Arial Narrow"/>
                <w:color w:val="000000"/>
                <w:sz w:val="20"/>
                <w:lang w:val="en-US" w:bidi="en-US"/>
              </w:rPr>
              <w:t>AND</w:t>
            </w:r>
          </w:p>
          <w:p w:rsidR="00B60E19" w:rsidRPr="00F630F2" w:rsidRDefault="00B60E19" w:rsidP="00472D89">
            <w:pPr>
              <w:rPr>
                <w:rFonts w:ascii="Arial Narrow" w:hAnsi="Arial Narrow"/>
                <w:i/>
                <w:color w:val="000000"/>
                <w:sz w:val="20"/>
                <w:lang w:val="en-US" w:bidi="en-US"/>
              </w:rPr>
            </w:pPr>
          </w:p>
          <w:p w:rsidR="00B60E19" w:rsidRPr="00F630F2" w:rsidRDefault="00B60E19" w:rsidP="00472D89">
            <w:pPr>
              <w:rPr>
                <w:rFonts w:ascii="Arial Narrow" w:hAnsi="Arial Narrow"/>
                <w:color w:val="000000"/>
                <w:sz w:val="20"/>
                <w:lang w:val="en-US" w:bidi="en-US"/>
              </w:rPr>
            </w:pPr>
            <w:r w:rsidRPr="00F630F2">
              <w:rPr>
                <w:rFonts w:ascii="Arial Narrow" w:hAnsi="Arial Narrow"/>
                <w:color w:val="000000"/>
                <w:sz w:val="20"/>
                <w:lang w:val="en-US" w:bidi="en-US"/>
              </w:rPr>
              <w:t>Patient must have previously been issued with a prescription for this drug for this condition;</w:t>
            </w:r>
          </w:p>
          <w:p w:rsidR="00B60E19" w:rsidRPr="00F630F2" w:rsidRDefault="00B60E19" w:rsidP="00472D89">
            <w:pPr>
              <w:rPr>
                <w:rFonts w:ascii="Arial Narrow" w:hAnsi="Arial Narrow"/>
                <w:i/>
                <w:color w:val="000000"/>
                <w:sz w:val="20"/>
                <w:lang w:val="en-US" w:bidi="en-US"/>
              </w:rPr>
            </w:pPr>
          </w:p>
          <w:p w:rsidR="00B60E19" w:rsidRPr="00F630F2" w:rsidRDefault="00B60E19" w:rsidP="00472D89">
            <w:pPr>
              <w:rPr>
                <w:rFonts w:ascii="Arial Narrow" w:hAnsi="Arial Narrow"/>
                <w:color w:val="000000"/>
                <w:sz w:val="20"/>
                <w:lang w:val="en-US" w:bidi="en-US"/>
              </w:rPr>
            </w:pPr>
            <w:r w:rsidRPr="00F630F2">
              <w:rPr>
                <w:rFonts w:ascii="Arial Narrow" w:hAnsi="Arial Narrow"/>
                <w:color w:val="000000"/>
                <w:sz w:val="20"/>
                <w:lang w:val="en-US" w:bidi="en-US"/>
              </w:rPr>
              <w:t>AND</w:t>
            </w:r>
          </w:p>
          <w:p w:rsidR="00B60E19" w:rsidRPr="00F630F2" w:rsidRDefault="00B60E19" w:rsidP="00472D89">
            <w:pPr>
              <w:rPr>
                <w:rFonts w:ascii="Arial Narrow" w:hAnsi="Arial Narrow"/>
                <w:color w:val="000000"/>
                <w:sz w:val="20"/>
                <w:lang w:val="en-US" w:bidi="en-US"/>
              </w:rPr>
            </w:pPr>
          </w:p>
          <w:p w:rsidR="00B60E19" w:rsidRPr="00F630F2" w:rsidRDefault="00B60E19" w:rsidP="00472D89">
            <w:pPr>
              <w:rPr>
                <w:rFonts w:ascii="Arial Narrow" w:hAnsi="Arial Narrow"/>
                <w:iCs/>
                <w:color w:val="000000"/>
                <w:sz w:val="20"/>
                <w:lang w:val="en-US" w:bidi="en-US"/>
              </w:rPr>
            </w:pPr>
            <w:r w:rsidRPr="00F630F2">
              <w:rPr>
                <w:rFonts w:ascii="Arial Narrow" w:hAnsi="Arial Narrow"/>
                <w:iCs/>
                <w:color w:val="000000"/>
                <w:sz w:val="20"/>
                <w:lang w:val="en-US" w:bidi="en-US"/>
              </w:rPr>
              <w:t>Patient has demonstrated a clinical response as defined by</w:t>
            </w:r>
            <w:r>
              <w:rPr>
                <w:rFonts w:ascii="Arial Narrow" w:hAnsi="Arial Narrow"/>
                <w:iCs/>
                <w:color w:val="000000"/>
                <w:sz w:val="20"/>
                <w:lang w:val="en-US" w:bidi="en-US"/>
              </w:rPr>
              <w:t xml:space="preserve"> </w:t>
            </w:r>
            <w:r w:rsidRPr="004949C7">
              <w:rPr>
                <w:rFonts w:ascii="Arial Narrow" w:hAnsi="Arial Narrow"/>
                <w:i/>
                <w:iCs/>
                <w:color w:val="000000"/>
                <w:sz w:val="20"/>
                <w:lang w:val="en-US" w:bidi="en-US"/>
              </w:rPr>
              <w:t>at least 1 of the following</w:t>
            </w:r>
            <w:r w:rsidRPr="00F630F2">
              <w:rPr>
                <w:rFonts w:ascii="Arial Narrow" w:hAnsi="Arial Narrow"/>
                <w:iCs/>
                <w:color w:val="000000"/>
                <w:sz w:val="20"/>
                <w:lang w:val="en-US" w:bidi="en-US"/>
              </w:rPr>
              <w:t>:</w:t>
            </w:r>
          </w:p>
          <w:p w:rsidR="00B60E19" w:rsidRPr="00F630F2" w:rsidRDefault="00B60E19" w:rsidP="00B60E19">
            <w:pPr>
              <w:widowControl/>
              <w:numPr>
                <w:ilvl w:val="0"/>
                <w:numId w:val="6"/>
              </w:numPr>
              <w:rPr>
                <w:rFonts w:ascii="Arial Narrow" w:hAnsi="Arial Narrow"/>
                <w:iCs/>
                <w:color w:val="000000"/>
                <w:sz w:val="20"/>
                <w:lang w:bidi="en-US"/>
              </w:rPr>
            </w:pPr>
            <w:r w:rsidRPr="00F630F2">
              <w:rPr>
                <w:rFonts w:ascii="Arial Narrow" w:hAnsi="Arial Narrow"/>
                <w:iCs/>
                <w:color w:val="000000"/>
                <w:sz w:val="20"/>
                <w:lang w:bidi="en-US"/>
              </w:rPr>
              <w:t>Sustained reduction in inflammation defined as a 2 step decrease from baseline in Standardisation of Uveitis Nomenclature (SUN) criteria for anterior chamber or vitreous haze; or</w:t>
            </w:r>
          </w:p>
          <w:p w:rsidR="00B60E19" w:rsidRPr="00F630F2" w:rsidRDefault="00B60E19" w:rsidP="00B60E19">
            <w:pPr>
              <w:widowControl/>
              <w:numPr>
                <w:ilvl w:val="0"/>
                <w:numId w:val="6"/>
              </w:numPr>
              <w:rPr>
                <w:rFonts w:ascii="Arial Narrow" w:hAnsi="Arial Narrow"/>
                <w:iCs/>
                <w:color w:val="000000"/>
                <w:sz w:val="20"/>
                <w:lang w:bidi="en-US"/>
              </w:rPr>
            </w:pPr>
            <w:r w:rsidRPr="00F630F2">
              <w:rPr>
                <w:rFonts w:ascii="Arial Narrow" w:hAnsi="Arial Narrow"/>
                <w:iCs/>
                <w:color w:val="000000"/>
                <w:sz w:val="20"/>
                <w:lang w:bidi="en-US"/>
              </w:rPr>
              <w:t>Sustained quiescence of inflammation defined as Standardisation of Uveitis Nomenclature (SUN) criteria ≤0.5+ anterior chamber or vitreous haze, absence of active vitreous or retinal lesions or vitreous cells; or</w:t>
            </w:r>
          </w:p>
          <w:p w:rsidR="00B60E19" w:rsidRPr="00F630F2" w:rsidRDefault="00B60E19" w:rsidP="00B60E19">
            <w:pPr>
              <w:widowControl/>
              <w:numPr>
                <w:ilvl w:val="0"/>
                <w:numId w:val="6"/>
              </w:numPr>
              <w:rPr>
                <w:rFonts w:ascii="Arial Narrow" w:hAnsi="Arial Narrow"/>
                <w:iCs/>
                <w:color w:val="000000"/>
                <w:sz w:val="20"/>
                <w:lang w:bidi="en-US"/>
              </w:rPr>
            </w:pPr>
            <w:r w:rsidRPr="00F630F2">
              <w:rPr>
                <w:rFonts w:ascii="Arial Narrow" w:hAnsi="Arial Narrow"/>
                <w:iCs/>
                <w:color w:val="000000"/>
                <w:sz w:val="20"/>
                <w:lang w:bidi="en-US"/>
              </w:rPr>
              <w:t>Significant reduction from baseline of uveitis cystoid macular oedema by central macular thickness (CMT) on optical coherence tomography (OCT) defined as a 20% reduction in baseline CMT or a reduction of CMT to ≤350μm; or</w:t>
            </w:r>
          </w:p>
          <w:p w:rsidR="00B60E19" w:rsidRDefault="00B60E19" w:rsidP="00B60E19">
            <w:pPr>
              <w:widowControl/>
              <w:numPr>
                <w:ilvl w:val="0"/>
                <w:numId w:val="6"/>
              </w:numPr>
              <w:rPr>
                <w:rFonts w:ascii="Arial Narrow" w:hAnsi="Arial Narrow"/>
                <w:iCs/>
                <w:color w:val="000000"/>
                <w:sz w:val="20"/>
                <w:lang w:bidi="en-US"/>
              </w:rPr>
            </w:pPr>
            <w:r w:rsidRPr="00F630F2">
              <w:rPr>
                <w:rFonts w:ascii="Arial Narrow" w:hAnsi="Arial Narrow"/>
                <w:iCs/>
                <w:color w:val="000000"/>
                <w:sz w:val="20"/>
                <w:lang w:bidi="en-US"/>
              </w:rPr>
              <w:t>Sustained steroid sparing effect, allowing reduction in prednisone to &lt;7.5mg daily; or</w:t>
            </w:r>
          </w:p>
          <w:p w:rsidR="00B60E19" w:rsidRDefault="00B60E19" w:rsidP="00B60E19">
            <w:pPr>
              <w:widowControl/>
              <w:numPr>
                <w:ilvl w:val="0"/>
                <w:numId w:val="6"/>
              </w:numPr>
              <w:rPr>
                <w:rFonts w:ascii="Arial Narrow" w:hAnsi="Arial Narrow"/>
                <w:iCs/>
                <w:color w:val="000000"/>
                <w:sz w:val="20"/>
                <w:lang w:bidi="en-US"/>
              </w:rPr>
            </w:pPr>
            <w:r w:rsidRPr="00F630F2">
              <w:rPr>
                <w:rFonts w:ascii="Arial Narrow" w:hAnsi="Arial Narrow"/>
                <w:iCs/>
                <w:color w:val="000000"/>
                <w:sz w:val="20"/>
                <w:lang w:bidi="en-US"/>
              </w:rPr>
              <w:t xml:space="preserve">Reduction in frequency of ocular attacks to ≤1/year (patients with </w:t>
            </w:r>
            <w:proofErr w:type="spellStart"/>
            <w:r w:rsidRPr="00F630F2">
              <w:rPr>
                <w:rFonts w:ascii="Arial Narrow" w:hAnsi="Arial Narrow"/>
                <w:iCs/>
                <w:color w:val="000000"/>
                <w:sz w:val="20"/>
                <w:lang w:bidi="en-US"/>
              </w:rPr>
              <w:t>Behcet’s</w:t>
            </w:r>
            <w:proofErr w:type="spellEnd"/>
            <w:r w:rsidRPr="00F630F2">
              <w:rPr>
                <w:rFonts w:ascii="Arial Narrow" w:hAnsi="Arial Narrow"/>
                <w:iCs/>
                <w:color w:val="000000"/>
                <w:sz w:val="20"/>
                <w:lang w:bidi="en-US"/>
              </w:rPr>
              <w:t xml:space="preserve"> disease only)</w:t>
            </w:r>
          </w:p>
          <w:p w:rsidR="00B60E19" w:rsidRDefault="00B60E19" w:rsidP="00472D89">
            <w:pPr>
              <w:rPr>
                <w:rFonts w:ascii="Arial Narrow" w:hAnsi="Arial Narrow"/>
                <w:sz w:val="20"/>
              </w:rPr>
            </w:pPr>
          </w:p>
          <w:p w:rsidR="00B60E19" w:rsidRDefault="00B60E19" w:rsidP="00472D89">
            <w:pPr>
              <w:rPr>
                <w:rFonts w:ascii="Arial Narrow" w:hAnsi="Arial Narrow"/>
                <w:i/>
                <w:sz w:val="20"/>
              </w:rPr>
            </w:pPr>
            <w:r>
              <w:rPr>
                <w:rFonts w:ascii="Arial Narrow" w:hAnsi="Arial Narrow"/>
                <w:i/>
                <w:sz w:val="20"/>
              </w:rPr>
              <w:t>AND</w:t>
            </w:r>
          </w:p>
          <w:p w:rsidR="00B60E19" w:rsidRDefault="00B60E19" w:rsidP="00472D89">
            <w:pPr>
              <w:rPr>
                <w:rFonts w:ascii="Arial Narrow" w:hAnsi="Arial Narrow"/>
                <w:i/>
                <w:sz w:val="20"/>
              </w:rPr>
            </w:pPr>
          </w:p>
          <w:p w:rsidR="00B60E19" w:rsidRPr="00F630F2" w:rsidRDefault="00B60E19" w:rsidP="00472D89">
            <w:pPr>
              <w:rPr>
                <w:rFonts w:ascii="Arial Narrow" w:hAnsi="Arial Narrow"/>
                <w:iCs/>
                <w:color w:val="000000"/>
                <w:sz w:val="20"/>
                <w:lang w:bidi="en-US"/>
              </w:rPr>
            </w:pPr>
            <w:r>
              <w:rPr>
                <w:rFonts w:ascii="Arial Narrow" w:hAnsi="Arial Narrow"/>
                <w:i/>
                <w:sz w:val="20"/>
              </w:rPr>
              <w:t>Treatment must not exceed 24 weeks under this restriction</w:t>
            </w:r>
          </w:p>
        </w:tc>
      </w:tr>
      <w:tr w:rsidR="00B60E19" w:rsidRPr="00260CE3" w:rsidTr="00472D8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0E19" w:rsidRPr="00F630F2" w:rsidRDefault="00B60E19" w:rsidP="00472D89">
            <w:pPr>
              <w:rPr>
                <w:rFonts w:ascii="Arial Narrow" w:hAnsi="Arial Narrow"/>
                <w:b/>
                <w:sz w:val="20"/>
              </w:rPr>
            </w:pPr>
            <w:r w:rsidRPr="00260CE3">
              <w:rPr>
                <w:rFonts w:ascii="Arial Narrow" w:hAnsi="Arial Narrow"/>
                <w:b/>
                <w:sz w:val="20"/>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F630F2" w:rsidRDefault="00B60E19" w:rsidP="00472D89">
            <w:pPr>
              <w:rPr>
                <w:rFonts w:ascii="Arial Narrow" w:hAnsi="Arial Narrow"/>
                <w:iCs/>
                <w:color w:val="000000"/>
                <w:sz w:val="20"/>
                <w:lang w:bidi="en-US"/>
              </w:rPr>
            </w:pPr>
            <w:r w:rsidRPr="00F630F2">
              <w:rPr>
                <w:rFonts w:ascii="Arial Narrow" w:hAnsi="Arial Narrow"/>
                <w:iCs/>
                <w:color w:val="000000"/>
                <w:sz w:val="20"/>
                <w:lang w:bidi="en-US"/>
              </w:rP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p>
          <w:p w:rsidR="00B60E19" w:rsidRPr="00F630F2" w:rsidRDefault="00B60E19" w:rsidP="00472D89">
            <w:pPr>
              <w:rPr>
                <w:rFonts w:ascii="Arial Narrow" w:hAnsi="Arial Narrow"/>
                <w:iCs/>
                <w:color w:val="000000"/>
                <w:sz w:val="20"/>
                <w:lang w:bidi="en-US"/>
              </w:rPr>
            </w:pPr>
          </w:p>
          <w:p w:rsidR="00B60E19" w:rsidRPr="00F630F2" w:rsidRDefault="00B60E19" w:rsidP="00472D89">
            <w:pPr>
              <w:rPr>
                <w:rFonts w:ascii="Arial Narrow" w:hAnsi="Arial Narrow"/>
                <w:iCs/>
                <w:color w:val="000000"/>
                <w:sz w:val="20"/>
                <w:lang w:bidi="en-US"/>
              </w:rPr>
            </w:pPr>
            <w:r w:rsidRPr="00F630F2">
              <w:rPr>
                <w:rFonts w:ascii="Arial Narrow" w:hAnsi="Arial Narrow"/>
                <w:iCs/>
                <w:color w:val="000000"/>
                <w:sz w:val="20"/>
                <w:lang w:bidi="en-US"/>
              </w:rPr>
              <w:t>Patients are eligible to receive an additional 24 weeks of treatment with this drug providing they demonstrate a response as described above.</w:t>
            </w:r>
          </w:p>
          <w:p w:rsidR="00B60E19" w:rsidRPr="00F630F2" w:rsidRDefault="00B60E19" w:rsidP="00472D89">
            <w:pPr>
              <w:rPr>
                <w:rFonts w:ascii="Arial Narrow" w:hAnsi="Arial Narrow"/>
                <w:iCs/>
                <w:color w:val="000000"/>
                <w:sz w:val="20"/>
                <w:lang w:bidi="en-US"/>
              </w:rPr>
            </w:pPr>
          </w:p>
          <w:p w:rsidR="00B60E19" w:rsidRDefault="00B60E19" w:rsidP="00472D89">
            <w:pPr>
              <w:rPr>
                <w:rFonts w:ascii="Arial Narrow" w:hAnsi="Arial Narrow"/>
                <w:iCs/>
                <w:strike/>
                <w:color w:val="000000"/>
                <w:sz w:val="20"/>
                <w:lang w:bidi="en-US"/>
              </w:rPr>
            </w:pPr>
            <w:r w:rsidRPr="006C4379">
              <w:rPr>
                <w:rFonts w:ascii="Arial Narrow" w:hAnsi="Arial Narrow"/>
                <w:iCs/>
                <w:strike/>
                <w:color w:val="000000"/>
                <w:sz w:val="20"/>
                <w:lang w:bidi="en-US"/>
              </w:rPr>
              <w:t>A maximum of 24 weeks treatment will be authorised under this criterion, noting that the patient does not need to fill all repeats.</w:t>
            </w:r>
          </w:p>
          <w:p w:rsidR="00B60E19" w:rsidRDefault="00B60E19" w:rsidP="00472D89">
            <w:pPr>
              <w:pStyle w:val="NormalWeb"/>
              <w:rPr>
                <w:rFonts w:ascii="Arial Narrow" w:hAnsi="Arial Narrow" w:cs="Arial"/>
                <w:i/>
                <w:sz w:val="20"/>
              </w:rPr>
            </w:pPr>
            <w:r w:rsidRPr="008014AC">
              <w:rPr>
                <w:rFonts w:ascii="Arial Narrow" w:hAnsi="Arial Narrow" w:cs="Arial"/>
                <w:i/>
                <w:sz w:val="20"/>
              </w:rPr>
              <w:t>No increase in the maximum number of repeats may be authorised.</w:t>
            </w:r>
          </w:p>
          <w:p w:rsidR="00B60E19" w:rsidRPr="006C4379" w:rsidRDefault="00B60E19" w:rsidP="00472D89">
            <w:pPr>
              <w:rPr>
                <w:rFonts w:ascii="Arial Narrow" w:hAnsi="Arial Narrow"/>
                <w:strike/>
                <w:sz w:val="20"/>
              </w:rPr>
            </w:pPr>
            <w:r w:rsidRPr="008014AC">
              <w:rPr>
                <w:rFonts w:ascii="Arial Narrow" w:hAnsi="Arial Narrow"/>
                <w:i/>
                <w:sz w:val="20"/>
              </w:rPr>
              <w:t>No increase in the maximum quantity or number of units may be authorised.</w:t>
            </w:r>
          </w:p>
        </w:tc>
      </w:tr>
    </w:tbl>
    <w:p w:rsidR="00B60E19" w:rsidRDefault="00B60E19" w:rsidP="00B60E19">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B60E19" w:rsidRPr="00260CE3" w:rsidTr="00FD34C8">
        <w:trPr>
          <w:trHeight w:val="471"/>
        </w:trPr>
        <w:tc>
          <w:tcPr>
            <w:tcW w:w="3261" w:type="dxa"/>
            <w:gridSpan w:val="2"/>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lastRenderedPageBreak/>
              <w:t>Name, Restriction,</w:t>
            </w:r>
          </w:p>
          <w:p w:rsidR="00B60E19" w:rsidRPr="00260CE3" w:rsidRDefault="00B60E19" w:rsidP="00472D89">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Max.</w:t>
            </w:r>
          </w:p>
          <w:p w:rsidR="00B60E19" w:rsidRPr="00260CE3" w:rsidRDefault="00B60E19" w:rsidP="00472D89">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№.of</w:t>
            </w:r>
          </w:p>
          <w:p w:rsidR="00B60E19" w:rsidRPr="00260CE3" w:rsidRDefault="00B60E19" w:rsidP="00472D89">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B60E19" w:rsidRPr="00260CE3" w:rsidRDefault="00B60E19" w:rsidP="00472D89">
            <w:pPr>
              <w:keepNext/>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B60E19" w:rsidRPr="00260CE3" w:rsidRDefault="00B60E19" w:rsidP="00472D89">
            <w:pPr>
              <w:keepNext/>
              <w:rPr>
                <w:rFonts w:ascii="Arial Narrow" w:hAnsi="Arial Narrow"/>
                <w:sz w:val="20"/>
                <w:lang w:val="fr-FR"/>
              </w:rPr>
            </w:pPr>
            <w:r w:rsidRPr="00260CE3">
              <w:rPr>
                <w:rFonts w:ascii="Arial Narrow" w:hAnsi="Arial Narrow"/>
                <w:sz w:val="20"/>
              </w:rPr>
              <w:t>Proprietary Name and Manufacturer</w:t>
            </w:r>
          </w:p>
        </w:tc>
      </w:tr>
      <w:tr w:rsidR="00B60E19" w:rsidRPr="00FD34C8" w:rsidTr="00FD34C8">
        <w:trPr>
          <w:trHeight w:val="632"/>
        </w:trPr>
        <w:tc>
          <w:tcPr>
            <w:tcW w:w="3261" w:type="dxa"/>
            <w:gridSpan w:val="2"/>
            <w:tcBorders>
              <w:top w:val="single" w:sz="4" w:space="0" w:color="auto"/>
            </w:tcBorders>
            <w:vAlign w:val="center"/>
          </w:tcPr>
          <w:p w:rsidR="00B60E19" w:rsidRPr="00FD34C8" w:rsidRDefault="00B60E19" w:rsidP="00472D89">
            <w:pPr>
              <w:keepNext/>
              <w:rPr>
                <w:rFonts w:ascii="Arial Narrow" w:hAnsi="Arial Narrow"/>
                <w:sz w:val="20"/>
              </w:rPr>
            </w:pPr>
            <w:r w:rsidRPr="00FD34C8">
              <w:rPr>
                <w:rFonts w:ascii="Arial Narrow" w:hAnsi="Arial Narrow"/>
                <w:smallCaps/>
                <w:sz w:val="20"/>
              </w:rPr>
              <w:t>Adalimumab</w:t>
            </w:r>
          </w:p>
          <w:p w:rsidR="00B60E19" w:rsidRPr="00FD34C8" w:rsidRDefault="00B60E19" w:rsidP="00472D89">
            <w:pPr>
              <w:keepNext/>
              <w:rPr>
                <w:rFonts w:ascii="Arial Narrow" w:hAnsi="Arial Narrow"/>
                <w:sz w:val="20"/>
              </w:rPr>
            </w:pPr>
            <w:r w:rsidRPr="00FD34C8">
              <w:rPr>
                <w:rFonts w:ascii="Arial Narrow" w:hAnsi="Arial Narrow"/>
                <w:sz w:val="20"/>
              </w:rPr>
              <w:t>Injection, 40mg in 0.8mL pre-filled syringe, 2</w:t>
            </w:r>
          </w:p>
        </w:tc>
        <w:tc>
          <w:tcPr>
            <w:tcW w:w="567" w:type="dxa"/>
            <w:tcBorders>
              <w:top w:val="single" w:sz="4" w:space="0" w:color="auto"/>
            </w:tcBorders>
            <w:vAlign w:val="center"/>
          </w:tcPr>
          <w:p w:rsidR="00B60E19" w:rsidRPr="00FD34C8" w:rsidRDefault="00B60E19" w:rsidP="00472D89">
            <w:pPr>
              <w:keepNext/>
              <w:jc w:val="center"/>
              <w:rPr>
                <w:rFonts w:ascii="Arial Narrow" w:hAnsi="Arial Narrow"/>
                <w:sz w:val="20"/>
              </w:rPr>
            </w:pPr>
          </w:p>
          <w:p w:rsidR="00B60E19" w:rsidRPr="00FD34C8" w:rsidRDefault="00B60E19" w:rsidP="00472D89">
            <w:pPr>
              <w:keepNext/>
              <w:jc w:val="center"/>
              <w:rPr>
                <w:rFonts w:ascii="Arial Narrow" w:hAnsi="Arial Narrow"/>
                <w:sz w:val="20"/>
              </w:rPr>
            </w:pPr>
            <w:r w:rsidRPr="00FD34C8">
              <w:rPr>
                <w:rFonts w:ascii="Arial Narrow" w:hAnsi="Arial Narrow"/>
                <w:sz w:val="20"/>
              </w:rPr>
              <w:t>1</w:t>
            </w:r>
          </w:p>
          <w:p w:rsidR="00B60E19" w:rsidRPr="00FD34C8" w:rsidRDefault="00B60E19" w:rsidP="00472D89">
            <w:pPr>
              <w:keepNext/>
              <w:jc w:val="center"/>
              <w:rPr>
                <w:rFonts w:ascii="Arial Narrow" w:hAnsi="Arial Narrow"/>
                <w:sz w:val="20"/>
              </w:rPr>
            </w:pPr>
          </w:p>
        </w:tc>
        <w:tc>
          <w:tcPr>
            <w:tcW w:w="850" w:type="dxa"/>
            <w:tcBorders>
              <w:top w:val="single" w:sz="4" w:space="0" w:color="auto"/>
            </w:tcBorders>
            <w:vAlign w:val="center"/>
          </w:tcPr>
          <w:p w:rsidR="00B60E19" w:rsidRPr="00FD34C8" w:rsidRDefault="00B60E19" w:rsidP="00472D89">
            <w:pPr>
              <w:keepNext/>
              <w:jc w:val="center"/>
              <w:rPr>
                <w:rFonts w:ascii="Arial Narrow" w:hAnsi="Arial Narrow"/>
                <w:sz w:val="20"/>
              </w:rPr>
            </w:pPr>
          </w:p>
          <w:p w:rsidR="00B60E19" w:rsidRPr="00FD34C8" w:rsidRDefault="00B60E19" w:rsidP="00472D89">
            <w:pPr>
              <w:keepNext/>
              <w:jc w:val="center"/>
              <w:rPr>
                <w:rFonts w:ascii="Arial Narrow" w:hAnsi="Arial Narrow"/>
                <w:strike/>
                <w:sz w:val="20"/>
              </w:rPr>
            </w:pPr>
            <w:r w:rsidRPr="00FD34C8">
              <w:rPr>
                <w:rFonts w:ascii="Arial Narrow" w:hAnsi="Arial Narrow"/>
                <w:i/>
                <w:sz w:val="20"/>
              </w:rPr>
              <w:t>5</w:t>
            </w:r>
            <w:r w:rsidRPr="00FD34C8">
              <w:rPr>
                <w:rFonts w:ascii="Arial Narrow" w:hAnsi="Arial Narrow"/>
                <w:strike/>
                <w:sz w:val="20"/>
              </w:rPr>
              <w:t>6</w:t>
            </w:r>
          </w:p>
          <w:p w:rsidR="00B60E19" w:rsidRPr="00FD34C8" w:rsidRDefault="00B60E19" w:rsidP="00472D89">
            <w:pPr>
              <w:keepNext/>
              <w:jc w:val="center"/>
              <w:rPr>
                <w:rFonts w:ascii="Arial Narrow" w:hAnsi="Arial Narrow"/>
                <w:sz w:val="20"/>
              </w:rPr>
            </w:pPr>
          </w:p>
        </w:tc>
        <w:tc>
          <w:tcPr>
            <w:tcW w:w="1701" w:type="dxa"/>
            <w:tcBorders>
              <w:top w:val="single" w:sz="4" w:space="0" w:color="auto"/>
            </w:tcBorders>
            <w:vAlign w:val="center"/>
          </w:tcPr>
          <w:p w:rsidR="00B60E19" w:rsidRPr="00FD34C8" w:rsidRDefault="00B60E19" w:rsidP="00472D89">
            <w:pPr>
              <w:keepNext/>
              <w:jc w:val="center"/>
              <w:rPr>
                <w:rFonts w:ascii="Arial Narrow" w:hAnsi="Arial Narrow"/>
                <w:sz w:val="20"/>
              </w:rPr>
            </w:pPr>
          </w:p>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p>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r w:rsidRPr="00FD34C8">
              <w:rPr>
                <w:rFonts w:ascii="Arial Narrow" w:hAnsi="Arial Narrow"/>
                <w:sz w:val="20"/>
              </w:rPr>
              <w:t>)</w:t>
            </w:r>
          </w:p>
          <w:p w:rsidR="00B60E19" w:rsidRPr="00FD34C8" w:rsidRDefault="00B60E19" w:rsidP="00472D89">
            <w:pPr>
              <w:keepNext/>
              <w:jc w:val="center"/>
              <w:rPr>
                <w:rFonts w:ascii="Arial Narrow" w:hAnsi="Arial Narrow"/>
                <w:sz w:val="20"/>
              </w:rPr>
            </w:pPr>
          </w:p>
        </w:tc>
        <w:tc>
          <w:tcPr>
            <w:tcW w:w="1559" w:type="dxa"/>
            <w:vMerge w:val="restart"/>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Humira®</w:t>
            </w:r>
          </w:p>
        </w:tc>
        <w:tc>
          <w:tcPr>
            <w:tcW w:w="1276" w:type="dxa"/>
            <w:vMerge w:val="restart"/>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AbbVie</w:t>
            </w:r>
          </w:p>
        </w:tc>
      </w:tr>
      <w:tr w:rsidR="00B60E19" w:rsidRPr="00FD34C8" w:rsidTr="00FD34C8">
        <w:trPr>
          <w:trHeight w:val="500"/>
        </w:trPr>
        <w:tc>
          <w:tcPr>
            <w:tcW w:w="3261" w:type="dxa"/>
            <w:gridSpan w:val="2"/>
            <w:vAlign w:val="center"/>
          </w:tcPr>
          <w:p w:rsidR="00B60E19" w:rsidRPr="00FD34C8" w:rsidRDefault="00B60E19" w:rsidP="00472D89">
            <w:pPr>
              <w:keepNext/>
              <w:rPr>
                <w:rFonts w:ascii="Arial Narrow" w:hAnsi="Arial Narrow"/>
                <w:sz w:val="20"/>
              </w:rPr>
            </w:pPr>
            <w:r w:rsidRPr="00FD34C8">
              <w:rPr>
                <w:rFonts w:ascii="Arial Narrow" w:hAnsi="Arial Narrow"/>
                <w:smallCaps/>
                <w:sz w:val="20"/>
              </w:rPr>
              <w:t>Adalimumab</w:t>
            </w:r>
          </w:p>
          <w:p w:rsidR="00B60E19" w:rsidRPr="00FD34C8" w:rsidRDefault="00B60E19" w:rsidP="00472D89">
            <w:pPr>
              <w:keepNext/>
              <w:rPr>
                <w:rFonts w:ascii="Arial Narrow" w:hAnsi="Arial Narrow"/>
                <w:smallCaps/>
                <w:sz w:val="20"/>
              </w:rPr>
            </w:pPr>
            <w:r w:rsidRPr="00FD34C8">
              <w:rPr>
                <w:rFonts w:ascii="Arial Narrow" w:hAnsi="Arial Narrow"/>
                <w:sz w:val="20"/>
              </w:rPr>
              <w:t>Injection, 40mg in 0.8mL pre-filled pen, 2</w:t>
            </w:r>
          </w:p>
        </w:tc>
        <w:tc>
          <w:tcPr>
            <w:tcW w:w="567" w:type="dxa"/>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1</w:t>
            </w:r>
          </w:p>
        </w:tc>
        <w:tc>
          <w:tcPr>
            <w:tcW w:w="850" w:type="dxa"/>
            <w:vAlign w:val="center"/>
          </w:tcPr>
          <w:p w:rsidR="00B60E19" w:rsidRPr="00FD34C8" w:rsidRDefault="00B60E19" w:rsidP="00472D89">
            <w:pPr>
              <w:keepNext/>
              <w:jc w:val="center"/>
              <w:rPr>
                <w:rFonts w:ascii="Arial Narrow" w:hAnsi="Arial Narrow"/>
                <w:strike/>
                <w:sz w:val="20"/>
              </w:rPr>
            </w:pPr>
            <w:r w:rsidRPr="00FD34C8">
              <w:rPr>
                <w:rFonts w:ascii="Arial Narrow" w:hAnsi="Arial Narrow"/>
                <w:i/>
                <w:sz w:val="20"/>
              </w:rPr>
              <w:t>5</w:t>
            </w:r>
            <w:r w:rsidRPr="00FD34C8">
              <w:rPr>
                <w:rFonts w:ascii="Arial Narrow" w:hAnsi="Arial Narrow"/>
                <w:strike/>
                <w:sz w:val="20"/>
              </w:rPr>
              <w:t>6</w:t>
            </w:r>
          </w:p>
          <w:p w:rsidR="00B60E19" w:rsidRPr="00FD34C8" w:rsidRDefault="00B60E19" w:rsidP="00472D89">
            <w:pPr>
              <w:keepNext/>
              <w:jc w:val="center"/>
              <w:rPr>
                <w:rFonts w:ascii="Arial Narrow" w:hAnsi="Arial Narrow"/>
                <w:sz w:val="20"/>
              </w:rPr>
            </w:pPr>
          </w:p>
        </w:tc>
        <w:tc>
          <w:tcPr>
            <w:tcW w:w="1701" w:type="dxa"/>
            <w:vAlign w:val="center"/>
          </w:tcPr>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p>
          <w:p w:rsidR="00B60E19" w:rsidRPr="00FD34C8" w:rsidRDefault="00B60E19" w:rsidP="00472D89">
            <w:pPr>
              <w:keepNext/>
              <w:jc w:val="center"/>
              <w:rPr>
                <w:rFonts w:ascii="Arial Narrow" w:hAnsi="Arial Narrow"/>
                <w:sz w:val="20"/>
              </w:rPr>
            </w:pPr>
            <w:r w:rsidRPr="00FD34C8">
              <w:rPr>
                <w:rFonts w:ascii="Arial Narrow" w:hAnsi="Arial Narrow"/>
                <w:sz w:val="20"/>
              </w:rPr>
              <w:t>($</w:t>
            </w:r>
            <w:r w:rsidR="000E36E2">
              <w:rPr>
                <w:rFonts w:ascii="Arial Narrow" w:hAnsi="Arial Narrow"/>
                <w:noProof/>
                <w:color w:val="000000"/>
                <w:sz w:val="20"/>
                <w:highlight w:val="black"/>
              </w:rPr>
              <w:t>'''''''''''''''''</w:t>
            </w:r>
            <w:r w:rsidRPr="00FD34C8">
              <w:rPr>
                <w:rFonts w:ascii="Arial Narrow" w:hAnsi="Arial Narrow"/>
                <w:sz w:val="20"/>
              </w:rPr>
              <w:t>)</w:t>
            </w:r>
          </w:p>
        </w:tc>
        <w:tc>
          <w:tcPr>
            <w:tcW w:w="1559" w:type="dxa"/>
            <w:vMerge/>
            <w:vAlign w:val="center"/>
          </w:tcPr>
          <w:p w:rsidR="00B60E19" w:rsidRPr="00FD34C8" w:rsidRDefault="00B60E19" w:rsidP="00472D89">
            <w:pPr>
              <w:keepNext/>
              <w:jc w:val="center"/>
              <w:rPr>
                <w:rFonts w:ascii="Arial Narrow" w:hAnsi="Arial Narrow"/>
                <w:sz w:val="20"/>
              </w:rPr>
            </w:pPr>
          </w:p>
        </w:tc>
        <w:tc>
          <w:tcPr>
            <w:tcW w:w="1276" w:type="dxa"/>
            <w:vMerge/>
            <w:vAlign w:val="center"/>
          </w:tcPr>
          <w:p w:rsidR="00B60E19" w:rsidRPr="00FD34C8" w:rsidRDefault="00B60E19" w:rsidP="00472D89">
            <w:pPr>
              <w:keepNext/>
              <w:jc w:val="center"/>
              <w:rPr>
                <w:rFonts w:ascii="Arial Narrow" w:hAnsi="Arial Narrow"/>
                <w:sz w:val="20"/>
              </w:rPr>
            </w:pPr>
          </w:p>
        </w:tc>
      </w:tr>
      <w:tr w:rsidR="00B60E19" w:rsidRPr="00260CE3" w:rsidTr="00FD34C8">
        <w:trPr>
          <w:trHeight w:val="147"/>
        </w:trPr>
        <w:tc>
          <w:tcPr>
            <w:tcW w:w="9214" w:type="dxa"/>
            <w:gridSpan w:val="7"/>
            <w:tcBorders>
              <w:bottom w:val="single" w:sz="4" w:space="0" w:color="auto"/>
            </w:tcBorders>
          </w:tcPr>
          <w:p w:rsidR="00B60E19" w:rsidRPr="00260CE3" w:rsidRDefault="00B60E19" w:rsidP="00472D89">
            <w:pPr>
              <w:rPr>
                <w:rFonts w:ascii="Arial Narrow" w:hAnsi="Arial Narrow"/>
                <w:sz w:val="20"/>
              </w:rPr>
            </w:pP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sz w:val="20"/>
              </w:rPr>
              <w:t>GENERAL – General Schedule (Code GE)</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B60E19" w:rsidRPr="00260CE3" w:rsidRDefault="00B60E19" w:rsidP="00472D89">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sz w:val="20"/>
              </w:rPr>
            </w:pPr>
            <w:r w:rsidRPr="009F4F8B">
              <w:rPr>
                <w:rFonts w:ascii="Arial Narrow" w:hAnsi="Arial Narrow"/>
                <w:strike/>
                <w:sz w:val="20"/>
              </w:rPr>
              <w:t xml:space="preserve">Ocular inflammation of a severity that is </w:t>
            </w:r>
            <w:proofErr w:type="spellStart"/>
            <w:r w:rsidRPr="009F4F8B">
              <w:rPr>
                <w:rFonts w:ascii="Arial Narrow" w:hAnsi="Arial Narrow"/>
                <w:i/>
                <w:strike/>
                <w:sz w:val="20"/>
              </w:rPr>
              <w:t>v</w:t>
            </w:r>
            <w:r>
              <w:rPr>
                <w:rFonts w:ascii="Arial Narrow" w:hAnsi="Arial Narrow"/>
                <w:i/>
                <w:strike/>
                <w:sz w:val="20"/>
              </w:rPr>
              <w:t>V</w:t>
            </w:r>
            <w:r w:rsidRPr="009F4F8B">
              <w:rPr>
                <w:rFonts w:ascii="Arial Narrow" w:hAnsi="Arial Narrow"/>
                <w:i/>
                <w:sz w:val="20"/>
              </w:rPr>
              <w:t>ision</w:t>
            </w:r>
            <w:proofErr w:type="spellEnd"/>
            <w:r w:rsidRPr="00053ECA">
              <w:rPr>
                <w:rFonts w:ascii="Arial Narrow" w:hAnsi="Arial Narrow"/>
                <w:sz w:val="20"/>
              </w:rPr>
              <w:t xml:space="preserve"> threatening</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sz w:val="20"/>
              </w:rPr>
            </w:pPr>
            <w:r w:rsidRPr="00053ECA">
              <w:rPr>
                <w:rFonts w:ascii="Arial Narrow" w:hAnsi="Arial Narrow"/>
                <w:sz w:val="20"/>
              </w:rPr>
              <w:t xml:space="preserve">Non-infectious, intermediate, posterior or </w:t>
            </w:r>
            <w:proofErr w:type="spellStart"/>
            <w:r w:rsidRPr="00053ECA">
              <w:rPr>
                <w:rFonts w:ascii="Arial Narrow" w:hAnsi="Arial Narrow"/>
                <w:sz w:val="20"/>
              </w:rPr>
              <w:t>panuveitis</w:t>
            </w:r>
            <w:proofErr w:type="spellEnd"/>
            <w:r w:rsidRPr="00053ECA">
              <w:rPr>
                <w:rFonts w:ascii="Arial Narrow" w:hAnsi="Arial Narrow"/>
                <w:sz w:val="20"/>
              </w:rPr>
              <w:t xml:space="preserve"> </w:t>
            </w:r>
            <w:r w:rsidRPr="009F4F8B">
              <w:rPr>
                <w:rFonts w:ascii="Arial Narrow" w:hAnsi="Arial Narrow"/>
                <w:strike/>
                <w:sz w:val="20"/>
              </w:rPr>
              <w:t>vision threatening uveitis</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472D89">
            <w:pPr>
              <w:rPr>
                <w:rFonts w:ascii="Arial Narrow" w:hAnsi="Arial Narrow"/>
                <w:sz w:val="20"/>
              </w:rPr>
            </w:pPr>
            <w:r w:rsidRPr="00053ECA">
              <w:rPr>
                <w:rFonts w:ascii="Arial Narrow" w:hAnsi="Arial Narrow"/>
                <w:sz w:val="20"/>
              </w:rPr>
              <w:t xml:space="preserve">Non-infectious, intermediate, posterior or </w:t>
            </w:r>
            <w:proofErr w:type="spellStart"/>
            <w:r w:rsidRPr="00053ECA">
              <w:rPr>
                <w:rFonts w:ascii="Arial Narrow" w:hAnsi="Arial Narrow"/>
                <w:sz w:val="20"/>
              </w:rPr>
              <w:t>panuveitis</w:t>
            </w:r>
            <w:proofErr w:type="spellEnd"/>
            <w:r w:rsidRPr="00053ECA">
              <w:rPr>
                <w:rFonts w:ascii="Arial Narrow" w:hAnsi="Arial Narrow"/>
                <w:sz w:val="20"/>
              </w:rPr>
              <w:t xml:space="preserve"> vision threatening uveitis</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260CE3" w:rsidRDefault="00B60E19" w:rsidP="00472D89">
            <w:pPr>
              <w:rPr>
                <w:rFonts w:ascii="Arial Narrow" w:hAnsi="Arial Narrow"/>
                <w:i/>
                <w:sz w:val="20"/>
              </w:rPr>
            </w:pPr>
            <w:r w:rsidRPr="00260CE3">
              <w:rPr>
                <w:rFonts w:ascii="Arial Narrow" w:hAnsi="Arial Narrow"/>
                <w:b/>
                <w:sz w:val="20"/>
              </w:rPr>
              <w:t>Treatment phase:</w:t>
            </w:r>
          </w:p>
          <w:p w:rsidR="00B60E19" w:rsidRPr="00260CE3" w:rsidRDefault="00B60E19" w:rsidP="00472D8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60E19" w:rsidRPr="00053ECA" w:rsidRDefault="00B60E19" w:rsidP="000922BB">
            <w:pPr>
              <w:rPr>
                <w:rFonts w:ascii="Arial Narrow" w:hAnsi="Arial Narrow"/>
                <w:sz w:val="20"/>
              </w:rPr>
            </w:pPr>
            <w:r>
              <w:rPr>
                <w:rFonts w:ascii="Arial Narrow" w:hAnsi="Arial Narrow"/>
                <w:sz w:val="20"/>
              </w:rPr>
              <w:t>Initial PBS-subsidised treatment in a patient who has previously received non-PBS subsidised therapy with this drug (grandfather)</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462A2A" w:rsidRDefault="00B60E19" w:rsidP="00472D89">
            <w:pPr>
              <w:rPr>
                <w:rFonts w:ascii="Arial Narrow" w:hAnsi="Arial Narrow"/>
                <w:b/>
                <w:sz w:val="20"/>
              </w:rPr>
            </w:pPr>
            <w:r w:rsidRPr="00462A2A">
              <w:rPr>
                <w:rFonts w:ascii="Arial Narrow" w:hAnsi="Arial Narrow"/>
                <w:b/>
                <w:sz w:val="20"/>
              </w:rPr>
              <w:t>Restriction Level / Method:</w:t>
            </w:r>
          </w:p>
          <w:p w:rsidR="00B60E19" w:rsidRPr="00462A2A" w:rsidRDefault="00B60E19" w:rsidP="00472D89">
            <w:pPr>
              <w:rPr>
                <w:rFonts w:ascii="Arial Narrow" w:hAnsi="Arial Narrow"/>
                <w:i/>
                <w:sz w:val="20"/>
              </w:rPr>
            </w:pPr>
          </w:p>
          <w:p w:rsidR="00B60E19" w:rsidRPr="00462A2A" w:rsidRDefault="00B60E19" w:rsidP="00472D8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60E19" w:rsidRPr="00462A2A" w:rsidRDefault="00B60E19" w:rsidP="00472D89">
            <w:pPr>
              <w:rPr>
                <w:rFonts w:ascii="Arial Narrow" w:hAnsi="Arial Narrow"/>
                <w:sz w:val="20"/>
              </w:rPr>
            </w:pPr>
            <w:r w:rsidRPr="00462A2A">
              <w:rPr>
                <w:rFonts w:ascii="Arial Narrow" w:hAnsi="Arial Narrow"/>
                <w:sz w:val="20"/>
              </w:rPr>
              <w:fldChar w:fldCharType="begin">
                <w:ffData>
                  <w:name w:val="Check1"/>
                  <w:enabled/>
                  <w:calcOnExit w:val="0"/>
                  <w:checkBox>
                    <w:sizeAuto/>
                    <w:default w:val="0"/>
                  </w:checkBox>
                </w:ffData>
              </w:fldChar>
            </w:r>
            <w:r w:rsidRPr="00462A2A">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462A2A">
              <w:rPr>
                <w:rFonts w:ascii="Arial Narrow" w:hAnsi="Arial Narrow"/>
                <w:sz w:val="20"/>
              </w:rPr>
              <w:fldChar w:fldCharType="end"/>
            </w:r>
            <w:r w:rsidRPr="00462A2A">
              <w:rPr>
                <w:rFonts w:ascii="Arial Narrow" w:hAnsi="Arial Narrow"/>
                <w:sz w:val="20"/>
              </w:rPr>
              <w:t>Restricted benefit</w:t>
            </w:r>
          </w:p>
          <w:p w:rsidR="00B60E19" w:rsidRPr="00462A2A" w:rsidRDefault="00B60E19" w:rsidP="00472D89">
            <w:pPr>
              <w:rPr>
                <w:rFonts w:ascii="Arial Narrow" w:hAnsi="Arial Narrow"/>
                <w:sz w:val="20"/>
              </w:rPr>
            </w:pPr>
            <w:r w:rsidRPr="00462A2A">
              <w:rPr>
                <w:rFonts w:ascii="Arial Narrow" w:hAnsi="Arial Narrow"/>
                <w:sz w:val="20"/>
              </w:rPr>
              <w:fldChar w:fldCharType="begin">
                <w:ffData>
                  <w:name w:val=""/>
                  <w:enabled/>
                  <w:calcOnExit w:val="0"/>
                  <w:checkBox>
                    <w:sizeAuto/>
                    <w:default w:val="1"/>
                  </w:checkBox>
                </w:ffData>
              </w:fldChar>
            </w:r>
            <w:r w:rsidRPr="00462A2A">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462A2A">
              <w:rPr>
                <w:rFonts w:ascii="Arial Narrow" w:hAnsi="Arial Narrow"/>
                <w:sz w:val="20"/>
              </w:rPr>
              <w:fldChar w:fldCharType="end"/>
            </w:r>
            <w:r w:rsidRPr="00462A2A">
              <w:rPr>
                <w:rFonts w:ascii="Arial Narrow" w:hAnsi="Arial Narrow"/>
                <w:sz w:val="20"/>
              </w:rPr>
              <w:t>Authority Required - In Writing</w:t>
            </w:r>
          </w:p>
          <w:p w:rsidR="00B60E19" w:rsidRPr="00462A2A" w:rsidRDefault="00B60E19" w:rsidP="00472D89">
            <w:pPr>
              <w:rPr>
                <w:rFonts w:ascii="Arial Narrow" w:hAnsi="Arial Narrow"/>
                <w:sz w:val="20"/>
              </w:rPr>
            </w:pPr>
            <w:r w:rsidRPr="00462A2A">
              <w:rPr>
                <w:rFonts w:ascii="Arial Narrow" w:hAnsi="Arial Narrow"/>
                <w:sz w:val="20"/>
              </w:rPr>
              <w:fldChar w:fldCharType="begin">
                <w:ffData>
                  <w:name w:val="Check3"/>
                  <w:enabled/>
                  <w:calcOnExit w:val="0"/>
                  <w:checkBox>
                    <w:sizeAuto/>
                    <w:default w:val="0"/>
                  </w:checkBox>
                </w:ffData>
              </w:fldChar>
            </w:r>
            <w:r w:rsidRPr="00462A2A">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462A2A">
              <w:rPr>
                <w:rFonts w:ascii="Arial Narrow" w:hAnsi="Arial Narrow"/>
                <w:sz w:val="20"/>
              </w:rPr>
              <w:fldChar w:fldCharType="end"/>
            </w:r>
            <w:r w:rsidRPr="00462A2A">
              <w:rPr>
                <w:rFonts w:ascii="Arial Narrow" w:hAnsi="Arial Narrow"/>
                <w:sz w:val="20"/>
              </w:rPr>
              <w:t>Authority Required - Telephone</w:t>
            </w:r>
          </w:p>
          <w:p w:rsidR="00B60E19" w:rsidRPr="00462A2A" w:rsidRDefault="00B60E19" w:rsidP="00472D89">
            <w:pPr>
              <w:rPr>
                <w:rFonts w:ascii="Arial Narrow" w:hAnsi="Arial Narrow"/>
                <w:sz w:val="20"/>
              </w:rPr>
            </w:pPr>
            <w:r w:rsidRPr="00462A2A">
              <w:rPr>
                <w:rFonts w:ascii="Arial Narrow" w:hAnsi="Arial Narrow"/>
                <w:sz w:val="20"/>
              </w:rPr>
              <w:fldChar w:fldCharType="begin">
                <w:ffData>
                  <w:name w:val=""/>
                  <w:enabled/>
                  <w:calcOnExit w:val="0"/>
                  <w:checkBox>
                    <w:sizeAuto/>
                    <w:default w:val="0"/>
                  </w:checkBox>
                </w:ffData>
              </w:fldChar>
            </w:r>
            <w:r w:rsidRPr="00462A2A">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462A2A">
              <w:rPr>
                <w:rFonts w:ascii="Arial Narrow" w:hAnsi="Arial Narrow"/>
                <w:sz w:val="20"/>
              </w:rPr>
              <w:fldChar w:fldCharType="end"/>
            </w:r>
            <w:r w:rsidRPr="00462A2A">
              <w:rPr>
                <w:rFonts w:ascii="Arial Narrow" w:hAnsi="Arial Narrow"/>
                <w:sz w:val="20"/>
              </w:rPr>
              <w:t>Authority Required – Emergency</w:t>
            </w:r>
          </w:p>
          <w:p w:rsidR="00B60E19" w:rsidRPr="00462A2A" w:rsidRDefault="00B60E19" w:rsidP="00472D89">
            <w:pPr>
              <w:rPr>
                <w:rFonts w:ascii="Arial Narrow" w:hAnsi="Arial Narrow"/>
                <w:sz w:val="20"/>
              </w:rPr>
            </w:pPr>
            <w:r w:rsidRPr="00462A2A">
              <w:rPr>
                <w:rFonts w:ascii="Arial Narrow" w:hAnsi="Arial Narrow"/>
                <w:sz w:val="20"/>
              </w:rPr>
              <w:fldChar w:fldCharType="begin">
                <w:ffData>
                  <w:name w:val="Check5"/>
                  <w:enabled/>
                  <w:calcOnExit w:val="0"/>
                  <w:checkBox>
                    <w:sizeAuto/>
                    <w:default w:val="0"/>
                  </w:checkBox>
                </w:ffData>
              </w:fldChar>
            </w:r>
            <w:r w:rsidRPr="00462A2A">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462A2A">
              <w:rPr>
                <w:rFonts w:ascii="Arial Narrow" w:hAnsi="Arial Narrow"/>
                <w:sz w:val="20"/>
              </w:rPr>
              <w:fldChar w:fldCharType="end"/>
            </w:r>
            <w:r w:rsidRPr="00462A2A">
              <w:rPr>
                <w:rFonts w:ascii="Arial Narrow" w:hAnsi="Arial Narrow"/>
                <w:sz w:val="20"/>
              </w:rPr>
              <w:t>Authority Required - Electronic</w:t>
            </w:r>
          </w:p>
          <w:p w:rsidR="00B60E19" w:rsidRPr="00462A2A" w:rsidRDefault="00B60E19" w:rsidP="00472D89">
            <w:pPr>
              <w:rPr>
                <w:rFonts w:ascii="Arial Narrow" w:hAnsi="Arial Narrow"/>
                <w:sz w:val="20"/>
              </w:rPr>
            </w:pPr>
            <w:r w:rsidRPr="00462A2A">
              <w:rPr>
                <w:rFonts w:ascii="Arial Narrow" w:hAnsi="Arial Narrow"/>
                <w:sz w:val="20"/>
              </w:rPr>
              <w:fldChar w:fldCharType="begin">
                <w:ffData>
                  <w:name w:val="Check5"/>
                  <w:enabled/>
                  <w:calcOnExit w:val="0"/>
                  <w:checkBox>
                    <w:sizeAuto/>
                    <w:default w:val="0"/>
                  </w:checkBox>
                </w:ffData>
              </w:fldChar>
            </w:r>
            <w:r w:rsidRPr="00462A2A">
              <w:rPr>
                <w:rFonts w:ascii="Arial Narrow" w:hAnsi="Arial Narrow"/>
                <w:sz w:val="20"/>
              </w:rPr>
              <w:instrText xml:space="preserve"> FORMCHECKBOX </w:instrText>
            </w:r>
            <w:r w:rsidR="008A76EE">
              <w:rPr>
                <w:rFonts w:ascii="Arial Narrow" w:hAnsi="Arial Narrow"/>
                <w:sz w:val="20"/>
              </w:rPr>
            </w:r>
            <w:r w:rsidR="008A76EE">
              <w:rPr>
                <w:rFonts w:ascii="Arial Narrow" w:hAnsi="Arial Narrow"/>
                <w:sz w:val="20"/>
              </w:rPr>
              <w:fldChar w:fldCharType="separate"/>
            </w:r>
            <w:r w:rsidRPr="00462A2A">
              <w:rPr>
                <w:rFonts w:ascii="Arial Narrow" w:hAnsi="Arial Narrow"/>
                <w:sz w:val="20"/>
              </w:rPr>
              <w:fldChar w:fldCharType="end"/>
            </w:r>
            <w:r w:rsidRPr="00462A2A">
              <w:rPr>
                <w:rFonts w:ascii="Arial Narrow" w:hAnsi="Arial Narrow"/>
                <w:sz w:val="20"/>
              </w:rPr>
              <w:t>Streamlined</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462A2A" w:rsidRDefault="00B60E19" w:rsidP="00472D89">
            <w:pPr>
              <w:rPr>
                <w:rFonts w:ascii="Arial Narrow" w:hAnsi="Arial Narrow"/>
                <w:sz w:val="20"/>
              </w:rPr>
            </w:pPr>
            <w:r w:rsidRPr="00462A2A">
              <w:rPr>
                <w:rFonts w:ascii="Arial Narrow" w:hAnsi="Arial Narrow"/>
                <w:b/>
                <w:sz w:val="20"/>
              </w:rPr>
              <w:t>Treatment criteria:</w:t>
            </w:r>
            <w:r w:rsidRPr="00462A2A">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462A2A" w:rsidRDefault="00B60E19" w:rsidP="000922BB">
            <w:pPr>
              <w:rPr>
                <w:rFonts w:ascii="Arial Narrow" w:hAnsi="Arial Narrow"/>
                <w:sz w:val="20"/>
              </w:rPr>
            </w:pPr>
            <w:r w:rsidRPr="00462A2A">
              <w:rPr>
                <w:rFonts w:ascii="Arial Narrow" w:hAnsi="Arial Narrow"/>
                <w:sz w:val="20"/>
              </w:rPr>
              <w:t>Must be treated by</w:t>
            </w:r>
            <w:r>
              <w:rPr>
                <w:rFonts w:ascii="Arial Narrow" w:hAnsi="Arial Narrow"/>
                <w:sz w:val="20"/>
              </w:rPr>
              <w:t xml:space="preserve"> </w:t>
            </w:r>
            <w:r w:rsidRPr="005E3349">
              <w:rPr>
                <w:rFonts w:ascii="Arial Narrow" w:hAnsi="Arial Narrow"/>
                <w:i/>
                <w:sz w:val="20"/>
              </w:rPr>
              <w:t>an ophthalmologist</w:t>
            </w:r>
            <w:r>
              <w:rPr>
                <w:rFonts w:ascii="Arial Narrow" w:hAnsi="Arial Narrow"/>
                <w:i/>
                <w:sz w:val="20"/>
              </w:rPr>
              <w:t xml:space="preserve"> or in consultation with</w:t>
            </w:r>
            <w:r w:rsidRPr="007250EF">
              <w:rPr>
                <w:rFonts w:ascii="Arial Narrow" w:hAnsi="Arial Narrow"/>
                <w:sz w:val="20"/>
              </w:rPr>
              <w:t xml:space="preserve"> </w:t>
            </w:r>
            <w:r w:rsidRPr="00462A2A">
              <w:rPr>
                <w:rFonts w:ascii="Arial Narrow" w:hAnsi="Arial Narrow"/>
                <w:sz w:val="20"/>
              </w:rPr>
              <w:t xml:space="preserve"> an ophthalmologist with expertise in uveitis</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462A2A" w:rsidRDefault="00B60E19" w:rsidP="00472D89">
            <w:pPr>
              <w:rPr>
                <w:rFonts w:ascii="Arial Narrow" w:hAnsi="Arial Narrow"/>
                <w:sz w:val="20"/>
              </w:rPr>
            </w:pPr>
            <w:r w:rsidRPr="00462A2A">
              <w:rPr>
                <w:rFonts w:ascii="Arial Narrow" w:hAnsi="Arial Narrow"/>
                <w:b/>
                <w:sz w:val="20"/>
              </w:rPr>
              <w:t>Clinical criteria:</w:t>
            </w:r>
            <w:r w:rsidRPr="00462A2A">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462A2A" w:rsidRDefault="00B60E19" w:rsidP="00472D89">
            <w:pPr>
              <w:rPr>
                <w:rFonts w:ascii="Arial Narrow" w:hAnsi="Arial Narrow"/>
                <w:iCs/>
                <w:sz w:val="20"/>
                <w:lang w:val="en-US"/>
              </w:rPr>
            </w:pPr>
            <w:r w:rsidRPr="00462A2A">
              <w:rPr>
                <w:rFonts w:ascii="Arial Narrow" w:hAnsi="Arial Narrow"/>
                <w:iCs/>
                <w:sz w:val="20"/>
                <w:lang w:val="en-US"/>
              </w:rPr>
              <w:t>Patient must have</w:t>
            </w:r>
            <w:r>
              <w:rPr>
                <w:rFonts w:ascii="Arial Narrow" w:hAnsi="Arial Narrow"/>
                <w:iCs/>
                <w:sz w:val="20"/>
                <w:lang w:val="en-US"/>
              </w:rPr>
              <w:t xml:space="preserve"> </w:t>
            </w:r>
            <w:r w:rsidRPr="00615025">
              <w:rPr>
                <w:rFonts w:ascii="Arial Narrow" w:hAnsi="Arial Narrow"/>
                <w:i/>
                <w:iCs/>
                <w:sz w:val="20"/>
                <w:lang w:val="en-US"/>
              </w:rPr>
              <w:t>previously received non-PBS subsidized treatment</w:t>
            </w:r>
            <w:r>
              <w:rPr>
                <w:rFonts w:ascii="Arial Narrow" w:hAnsi="Arial Narrow"/>
                <w:iCs/>
                <w:sz w:val="20"/>
                <w:lang w:val="en-US"/>
              </w:rPr>
              <w:t xml:space="preserve"> </w:t>
            </w:r>
            <w:r w:rsidRPr="00615025">
              <w:rPr>
                <w:rFonts w:ascii="Arial Narrow" w:hAnsi="Arial Narrow"/>
                <w:iCs/>
                <w:strike/>
                <w:sz w:val="20"/>
                <w:lang w:val="en-US"/>
              </w:rPr>
              <w:t xml:space="preserve"> been receiving treatment </w:t>
            </w:r>
            <w:r w:rsidRPr="00462A2A">
              <w:rPr>
                <w:rFonts w:ascii="Arial Narrow" w:hAnsi="Arial Narrow"/>
                <w:iCs/>
                <w:sz w:val="20"/>
                <w:lang w:val="en-US"/>
              </w:rPr>
              <w:t xml:space="preserve">with this drug </w:t>
            </w:r>
            <w:r w:rsidRPr="00615025">
              <w:rPr>
                <w:rFonts w:ascii="Arial Narrow" w:hAnsi="Arial Narrow"/>
                <w:i/>
                <w:iCs/>
                <w:sz w:val="20"/>
                <w:lang w:val="en-US"/>
              </w:rPr>
              <w:t>for this condition</w:t>
            </w:r>
            <w:r>
              <w:rPr>
                <w:rFonts w:ascii="Arial Narrow" w:hAnsi="Arial Narrow"/>
                <w:iCs/>
                <w:sz w:val="20"/>
                <w:lang w:val="en-US"/>
              </w:rPr>
              <w:t xml:space="preserve"> </w:t>
            </w:r>
            <w:r w:rsidRPr="00462A2A">
              <w:rPr>
                <w:rFonts w:ascii="Arial Narrow" w:hAnsi="Arial Narrow"/>
                <w:iCs/>
                <w:sz w:val="20"/>
                <w:lang w:val="en-US"/>
              </w:rPr>
              <w:t xml:space="preserve">prior to 1 </w:t>
            </w:r>
            <w:r w:rsidRPr="004949C7">
              <w:rPr>
                <w:rFonts w:ascii="Arial Narrow" w:hAnsi="Arial Narrow"/>
                <w:i/>
                <w:iCs/>
                <w:sz w:val="20"/>
                <w:lang w:val="en-US"/>
              </w:rPr>
              <w:t>[month and year]</w:t>
            </w:r>
            <w:r w:rsidRPr="00462A2A">
              <w:rPr>
                <w:rFonts w:ascii="Arial Narrow" w:hAnsi="Arial Narrow"/>
                <w:iCs/>
                <w:sz w:val="20"/>
                <w:lang w:val="en-US"/>
              </w:rPr>
              <w:t>;</w:t>
            </w:r>
          </w:p>
          <w:p w:rsidR="00B60E19" w:rsidRDefault="00B60E19" w:rsidP="00472D89">
            <w:pPr>
              <w:rPr>
                <w:rFonts w:ascii="Arial Narrow" w:hAnsi="Arial Narrow"/>
                <w:iCs/>
                <w:sz w:val="20"/>
                <w:lang w:val="en-US"/>
              </w:rPr>
            </w:pPr>
          </w:p>
          <w:p w:rsidR="00B60E19" w:rsidRPr="00615025" w:rsidRDefault="00B60E19" w:rsidP="00472D89">
            <w:pPr>
              <w:rPr>
                <w:rFonts w:ascii="Arial Narrow" w:hAnsi="Arial Narrow"/>
                <w:i/>
                <w:iCs/>
                <w:sz w:val="20"/>
                <w:lang w:val="en-US"/>
              </w:rPr>
            </w:pPr>
            <w:r w:rsidRPr="00615025">
              <w:rPr>
                <w:rFonts w:ascii="Arial Narrow" w:hAnsi="Arial Narrow"/>
                <w:i/>
                <w:iCs/>
                <w:sz w:val="20"/>
                <w:lang w:val="en-US"/>
              </w:rPr>
              <w:t>AND</w:t>
            </w:r>
          </w:p>
          <w:p w:rsidR="00B60E19" w:rsidRDefault="00B60E19" w:rsidP="00472D89">
            <w:pPr>
              <w:rPr>
                <w:rFonts w:ascii="Arial Narrow" w:hAnsi="Arial Narrow"/>
                <w:iCs/>
                <w:sz w:val="20"/>
                <w:lang w:val="en-US"/>
              </w:rPr>
            </w:pPr>
          </w:p>
          <w:p w:rsidR="00B60E19" w:rsidRPr="00615025" w:rsidRDefault="00B60E19" w:rsidP="00472D89">
            <w:pPr>
              <w:rPr>
                <w:rFonts w:ascii="Arial Narrow" w:hAnsi="Arial Narrow"/>
                <w:i/>
                <w:iCs/>
                <w:sz w:val="20"/>
                <w:lang w:val="en-US"/>
              </w:rPr>
            </w:pPr>
            <w:r w:rsidRPr="008502CD">
              <w:rPr>
                <w:rFonts w:ascii="Arial Narrow" w:hAnsi="Arial Narrow"/>
                <w:i/>
                <w:iCs/>
                <w:sz w:val="20"/>
                <w:lang w:val="en-US"/>
              </w:rPr>
              <w:t>Patient must be receiving treatment with this drug for this condition at the time of application</w:t>
            </w:r>
          </w:p>
          <w:p w:rsidR="00B60E19" w:rsidRPr="00462A2A" w:rsidRDefault="00B60E19" w:rsidP="00472D89">
            <w:pPr>
              <w:rPr>
                <w:rFonts w:ascii="Arial Narrow" w:hAnsi="Arial Narrow"/>
                <w:iCs/>
                <w:sz w:val="20"/>
                <w:lang w:val="en-US"/>
              </w:rPr>
            </w:pPr>
          </w:p>
          <w:p w:rsidR="00B60E19" w:rsidRPr="00462A2A" w:rsidRDefault="00B60E19" w:rsidP="00472D89">
            <w:pPr>
              <w:rPr>
                <w:rFonts w:ascii="Arial Narrow" w:hAnsi="Arial Narrow"/>
                <w:iCs/>
                <w:sz w:val="20"/>
                <w:lang w:val="en-US"/>
              </w:rPr>
            </w:pPr>
            <w:r w:rsidRPr="00462A2A">
              <w:rPr>
                <w:rFonts w:ascii="Arial Narrow" w:hAnsi="Arial Narrow"/>
                <w:iCs/>
                <w:sz w:val="20"/>
                <w:lang w:val="en-US"/>
              </w:rPr>
              <w:t>AND</w:t>
            </w:r>
          </w:p>
          <w:p w:rsidR="00B60E19" w:rsidRPr="00462A2A" w:rsidRDefault="00B60E19" w:rsidP="00472D89">
            <w:pPr>
              <w:rPr>
                <w:rFonts w:ascii="Arial Narrow" w:hAnsi="Arial Narrow"/>
                <w:iCs/>
                <w:sz w:val="20"/>
                <w:lang w:val="en-US"/>
              </w:rPr>
            </w:pPr>
          </w:p>
          <w:p w:rsidR="00B60E19" w:rsidRPr="00462A2A" w:rsidRDefault="00B60E19" w:rsidP="00472D89">
            <w:pPr>
              <w:rPr>
                <w:rFonts w:ascii="Arial Narrow" w:hAnsi="Arial Narrow"/>
                <w:iCs/>
                <w:sz w:val="20"/>
                <w:lang w:val="en-US"/>
              </w:rPr>
            </w:pPr>
            <w:r w:rsidRPr="00462A2A">
              <w:rPr>
                <w:rFonts w:ascii="Arial Narrow" w:hAnsi="Arial Narrow"/>
                <w:iCs/>
                <w:sz w:val="20"/>
                <w:lang w:val="en-US"/>
              </w:rPr>
              <w:t xml:space="preserve">Patient must have had a documented history of non-infectious, intermediate, posterior or </w:t>
            </w:r>
            <w:proofErr w:type="spellStart"/>
            <w:r w:rsidRPr="00462A2A">
              <w:rPr>
                <w:rFonts w:ascii="Arial Narrow" w:hAnsi="Arial Narrow"/>
                <w:iCs/>
                <w:sz w:val="20"/>
                <w:lang w:val="en-US"/>
              </w:rPr>
              <w:t>panuveitis</w:t>
            </w:r>
            <w:proofErr w:type="spellEnd"/>
            <w:r w:rsidRPr="00462A2A">
              <w:rPr>
                <w:rFonts w:ascii="Arial Narrow" w:hAnsi="Arial Narrow"/>
                <w:iCs/>
                <w:sz w:val="20"/>
                <w:lang w:val="en-US"/>
              </w:rPr>
              <w:t xml:space="preserve"> that was considered vision threatening;</w:t>
            </w:r>
          </w:p>
          <w:p w:rsidR="00B60E19" w:rsidRPr="00462A2A" w:rsidRDefault="00B60E19" w:rsidP="00472D89">
            <w:pPr>
              <w:rPr>
                <w:rFonts w:ascii="Arial Narrow" w:hAnsi="Arial Narrow"/>
                <w:iCs/>
                <w:sz w:val="20"/>
                <w:lang w:val="en-US"/>
              </w:rPr>
            </w:pPr>
          </w:p>
          <w:p w:rsidR="00B60E19" w:rsidRPr="00462A2A" w:rsidRDefault="00B60E19" w:rsidP="00472D89">
            <w:pPr>
              <w:rPr>
                <w:rFonts w:ascii="Arial Narrow" w:hAnsi="Arial Narrow"/>
                <w:sz w:val="20"/>
                <w:lang w:val="en-US"/>
              </w:rPr>
            </w:pPr>
            <w:r w:rsidRPr="00462A2A">
              <w:rPr>
                <w:rFonts w:ascii="Arial Narrow" w:hAnsi="Arial Narrow"/>
                <w:sz w:val="20"/>
                <w:lang w:val="en-US"/>
              </w:rPr>
              <w:t>AND</w:t>
            </w:r>
          </w:p>
          <w:p w:rsidR="00B60E19" w:rsidRPr="00462A2A" w:rsidRDefault="00B60E19" w:rsidP="00472D89">
            <w:pPr>
              <w:rPr>
                <w:rFonts w:ascii="Arial Narrow" w:hAnsi="Arial Narrow"/>
                <w:sz w:val="20"/>
                <w:lang w:val="en-US"/>
              </w:rPr>
            </w:pPr>
          </w:p>
          <w:p w:rsidR="00B60E19" w:rsidRPr="00462A2A" w:rsidRDefault="00B60E19" w:rsidP="00472D89">
            <w:pPr>
              <w:rPr>
                <w:rFonts w:ascii="Arial Narrow" w:hAnsi="Arial Narrow"/>
                <w:iCs/>
                <w:sz w:val="20"/>
                <w:lang w:val="en-US"/>
              </w:rPr>
            </w:pPr>
            <w:r w:rsidRPr="00462A2A">
              <w:rPr>
                <w:rFonts w:ascii="Arial Narrow" w:hAnsi="Arial Narrow"/>
                <w:iCs/>
                <w:sz w:val="20"/>
                <w:lang w:val="en-US"/>
              </w:rPr>
              <w:t>Patient must have demonstrated a clinical response as defined by</w:t>
            </w:r>
            <w:r>
              <w:rPr>
                <w:rFonts w:ascii="Arial Narrow" w:hAnsi="Arial Narrow"/>
                <w:iCs/>
                <w:sz w:val="20"/>
                <w:lang w:val="en-US"/>
              </w:rPr>
              <w:t xml:space="preserve"> </w:t>
            </w:r>
            <w:r w:rsidRPr="004949C7">
              <w:rPr>
                <w:rFonts w:ascii="Arial Narrow" w:hAnsi="Arial Narrow"/>
                <w:i/>
                <w:iCs/>
                <w:color w:val="000000"/>
                <w:sz w:val="20"/>
                <w:lang w:val="en-US" w:bidi="en-US"/>
              </w:rPr>
              <w:t>at least 1 of the following</w:t>
            </w:r>
            <w:r w:rsidRPr="00462A2A">
              <w:rPr>
                <w:rFonts w:ascii="Arial Narrow" w:hAnsi="Arial Narrow"/>
                <w:iCs/>
                <w:sz w:val="20"/>
                <w:lang w:val="en-US"/>
              </w:rPr>
              <w:t>:</w:t>
            </w:r>
          </w:p>
          <w:p w:rsidR="00B60E19" w:rsidRPr="00462A2A" w:rsidRDefault="00B60E19" w:rsidP="00B60E19">
            <w:pPr>
              <w:pStyle w:val="ListParagraph"/>
              <w:widowControl/>
              <w:numPr>
                <w:ilvl w:val="0"/>
                <w:numId w:val="26"/>
              </w:numPr>
              <w:rPr>
                <w:rFonts w:ascii="Arial Narrow" w:hAnsi="Arial Narrow"/>
                <w:iCs/>
                <w:sz w:val="20"/>
              </w:rPr>
            </w:pPr>
            <w:r w:rsidRPr="00462A2A">
              <w:rPr>
                <w:rFonts w:ascii="Arial Narrow" w:hAnsi="Arial Narrow"/>
                <w:iCs/>
                <w:sz w:val="20"/>
              </w:rPr>
              <w:t>Sustained reduction in inflammation defined as a 2 step decrease from baseline in Standardisation of Uveitis Nomenclature (SUN) criteria for anterior chamber or vitreous haze; or</w:t>
            </w:r>
          </w:p>
          <w:p w:rsidR="00B60E19" w:rsidRPr="00462A2A" w:rsidRDefault="00B60E19" w:rsidP="00B60E19">
            <w:pPr>
              <w:pStyle w:val="ListParagraph"/>
              <w:widowControl/>
              <w:numPr>
                <w:ilvl w:val="0"/>
                <w:numId w:val="26"/>
              </w:numPr>
              <w:rPr>
                <w:rFonts w:ascii="Arial Narrow" w:hAnsi="Arial Narrow"/>
                <w:iCs/>
                <w:sz w:val="20"/>
              </w:rPr>
            </w:pPr>
            <w:r w:rsidRPr="00462A2A">
              <w:rPr>
                <w:rFonts w:ascii="Arial Narrow" w:hAnsi="Arial Narrow"/>
                <w:iCs/>
                <w:sz w:val="20"/>
              </w:rPr>
              <w:t>Sustained quiescence of inflammation defined as Standardisation of Uveitis Nomenclature (SUN) criteria ≤0.5+ anterior chamber or vitreous haze, absence of active vitreous or retinal lesions or vitreous cells; or</w:t>
            </w:r>
          </w:p>
          <w:p w:rsidR="00B60E19" w:rsidRPr="00462A2A" w:rsidRDefault="00B60E19" w:rsidP="00B60E19">
            <w:pPr>
              <w:pStyle w:val="ListParagraph"/>
              <w:widowControl/>
              <w:numPr>
                <w:ilvl w:val="0"/>
                <w:numId w:val="26"/>
              </w:numPr>
              <w:rPr>
                <w:rFonts w:ascii="Arial Narrow" w:hAnsi="Arial Narrow"/>
                <w:iCs/>
                <w:sz w:val="20"/>
              </w:rPr>
            </w:pPr>
            <w:r w:rsidRPr="00462A2A">
              <w:rPr>
                <w:rFonts w:ascii="Arial Narrow" w:hAnsi="Arial Narrow"/>
                <w:iCs/>
                <w:sz w:val="20"/>
              </w:rPr>
              <w:t>Significant reduction from baseline of uveitis cystoid macular oedema by CMT on OCT; or</w:t>
            </w:r>
          </w:p>
          <w:p w:rsidR="00B60E19" w:rsidRPr="00462A2A" w:rsidRDefault="00B60E19" w:rsidP="00B60E19">
            <w:pPr>
              <w:pStyle w:val="ListParagraph"/>
              <w:widowControl/>
              <w:numPr>
                <w:ilvl w:val="0"/>
                <w:numId w:val="26"/>
              </w:numPr>
              <w:rPr>
                <w:rFonts w:ascii="Arial Narrow" w:hAnsi="Arial Narrow"/>
                <w:sz w:val="20"/>
              </w:rPr>
            </w:pPr>
            <w:r w:rsidRPr="00462A2A">
              <w:rPr>
                <w:rFonts w:ascii="Arial Narrow" w:hAnsi="Arial Narrow"/>
                <w:iCs/>
                <w:sz w:val="20"/>
              </w:rPr>
              <w:t xml:space="preserve">Sustained steroid sparing effect, allowing reduction in prednisone to &lt;7.5mg daily; or </w:t>
            </w:r>
          </w:p>
          <w:p w:rsidR="00B60E19" w:rsidRPr="006C4379" w:rsidRDefault="00B60E19" w:rsidP="00B60E19">
            <w:pPr>
              <w:pStyle w:val="ListParagraph"/>
              <w:widowControl/>
              <w:numPr>
                <w:ilvl w:val="0"/>
                <w:numId w:val="26"/>
              </w:numPr>
              <w:rPr>
                <w:rFonts w:ascii="Arial Narrow" w:hAnsi="Arial Narrow"/>
                <w:sz w:val="20"/>
              </w:rPr>
            </w:pPr>
            <w:r w:rsidRPr="00462A2A">
              <w:rPr>
                <w:rFonts w:ascii="Arial Narrow" w:hAnsi="Arial Narrow"/>
                <w:iCs/>
                <w:sz w:val="20"/>
              </w:rPr>
              <w:t xml:space="preserve">Reduction in frequency of ocular attacks to ≤1/year (patients with </w:t>
            </w:r>
            <w:proofErr w:type="spellStart"/>
            <w:r w:rsidRPr="00462A2A">
              <w:rPr>
                <w:rFonts w:ascii="Arial Narrow" w:hAnsi="Arial Narrow"/>
                <w:iCs/>
                <w:sz w:val="20"/>
              </w:rPr>
              <w:lastRenderedPageBreak/>
              <w:t>Behcet’s</w:t>
            </w:r>
            <w:proofErr w:type="spellEnd"/>
            <w:r w:rsidRPr="00462A2A">
              <w:rPr>
                <w:rFonts w:ascii="Arial Narrow" w:hAnsi="Arial Narrow"/>
                <w:iCs/>
                <w:sz w:val="20"/>
              </w:rPr>
              <w:t xml:space="preserve"> disease only)</w:t>
            </w:r>
          </w:p>
          <w:p w:rsidR="00B60E19" w:rsidRDefault="00B60E19" w:rsidP="00472D89">
            <w:pPr>
              <w:rPr>
                <w:rFonts w:ascii="Arial Narrow" w:hAnsi="Arial Narrow"/>
                <w:sz w:val="20"/>
              </w:rPr>
            </w:pPr>
          </w:p>
          <w:p w:rsidR="00B60E19" w:rsidRDefault="00B60E19" w:rsidP="00472D89">
            <w:pPr>
              <w:rPr>
                <w:rFonts w:ascii="Arial Narrow" w:hAnsi="Arial Narrow"/>
                <w:i/>
                <w:sz w:val="20"/>
              </w:rPr>
            </w:pPr>
            <w:r>
              <w:rPr>
                <w:rFonts w:ascii="Arial Narrow" w:hAnsi="Arial Narrow"/>
                <w:i/>
                <w:sz w:val="20"/>
              </w:rPr>
              <w:t>AND</w:t>
            </w:r>
          </w:p>
          <w:p w:rsidR="00B60E19" w:rsidRDefault="00B60E19" w:rsidP="00472D89">
            <w:pPr>
              <w:rPr>
                <w:rFonts w:ascii="Arial Narrow" w:hAnsi="Arial Narrow"/>
                <w:i/>
                <w:sz w:val="20"/>
              </w:rPr>
            </w:pPr>
          </w:p>
          <w:p w:rsidR="00B60E19" w:rsidRPr="00462A2A" w:rsidRDefault="00B60E19" w:rsidP="00472D89">
            <w:pPr>
              <w:pStyle w:val="ListParagraph"/>
              <w:ind w:left="0"/>
              <w:rPr>
                <w:rFonts w:ascii="Arial Narrow" w:hAnsi="Arial Narrow"/>
                <w:sz w:val="20"/>
              </w:rPr>
            </w:pPr>
            <w:r>
              <w:rPr>
                <w:rFonts w:ascii="Arial Narrow" w:hAnsi="Arial Narrow"/>
                <w:i/>
                <w:sz w:val="20"/>
              </w:rPr>
              <w:t>Treatment must not exceed 24 weeks under this restriction</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4949C7" w:rsidRDefault="00B60E19" w:rsidP="00472D89">
            <w:pPr>
              <w:rPr>
                <w:rFonts w:ascii="Arial Narrow" w:hAnsi="Arial Narrow"/>
                <w:sz w:val="20"/>
              </w:rPr>
            </w:pPr>
            <w:r w:rsidRPr="004949C7">
              <w:rPr>
                <w:rFonts w:ascii="Arial Narrow" w:hAnsi="Arial Narrow"/>
                <w:b/>
                <w:sz w:val="20"/>
              </w:rPr>
              <w:lastRenderedPageBreak/>
              <w:t>Population criteria:</w:t>
            </w:r>
            <w:r w:rsidRPr="004949C7">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4949C7" w:rsidRDefault="00B60E19" w:rsidP="00472D89">
            <w:pPr>
              <w:rPr>
                <w:rFonts w:ascii="Arial Narrow" w:hAnsi="Arial Narrow"/>
                <w:sz w:val="20"/>
              </w:rPr>
            </w:pPr>
            <w:r w:rsidRPr="004949C7">
              <w:rPr>
                <w:rFonts w:ascii="Arial Narrow" w:hAnsi="Arial Narrow"/>
                <w:sz w:val="20"/>
              </w:rPr>
              <w:t xml:space="preserve">Vision threatening disease is defined as </w:t>
            </w:r>
            <w:r w:rsidRPr="004949C7">
              <w:rPr>
                <w:rFonts w:ascii="Arial Narrow" w:hAnsi="Arial Narrow"/>
                <w:strike/>
                <w:sz w:val="20"/>
              </w:rPr>
              <w:t>any of</w:t>
            </w:r>
            <w:r w:rsidRPr="004949C7">
              <w:rPr>
                <w:rFonts w:ascii="Arial Narrow" w:hAnsi="Arial Narrow"/>
                <w:i/>
                <w:iCs/>
                <w:color w:val="000000"/>
                <w:sz w:val="20"/>
                <w:lang w:val="en-US" w:bidi="en-US"/>
              </w:rPr>
              <w:t xml:space="preserve"> at least 1 of the following</w:t>
            </w:r>
            <w:r w:rsidRPr="004949C7">
              <w:rPr>
                <w:rFonts w:ascii="Arial Narrow" w:hAnsi="Arial Narrow"/>
                <w:sz w:val="20"/>
              </w:rPr>
              <w:t>:</w:t>
            </w:r>
          </w:p>
          <w:p w:rsidR="00B60E19" w:rsidRPr="004949C7" w:rsidRDefault="00B60E19" w:rsidP="00472D89">
            <w:pPr>
              <w:rPr>
                <w:rFonts w:ascii="Arial Narrow" w:hAnsi="Arial Narrow"/>
                <w:sz w:val="20"/>
              </w:rPr>
            </w:pPr>
            <w:r w:rsidRPr="004949C7">
              <w:rPr>
                <w:rFonts w:ascii="Arial Narrow" w:hAnsi="Arial Narrow"/>
                <w:sz w:val="20"/>
              </w:rPr>
              <w:t>a)</w:t>
            </w:r>
            <w:r w:rsidRPr="004949C7">
              <w:rPr>
                <w:rFonts w:ascii="Arial Narrow" w:hAnsi="Arial Narrow"/>
                <w:sz w:val="20"/>
              </w:rPr>
              <w:tab/>
              <w:t>A decrease in visual acuity of at least 15 letters using an early treatment diabetic retinopathy study (ETDRS) chart or equivalent;</w:t>
            </w:r>
          </w:p>
          <w:p w:rsidR="00B60E19" w:rsidRPr="004949C7" w:rsidRDefault="00B60E19" w:rsidP="00472D89">
            <w:pPr>
              <w:rPr>
                <w:rFonts w:ascii="Arial Narrow" w:hAnsi="Arial Narrow"/>
                <w:sz w:val="20"/>
              </w:rPr>
            </w:pPr>
            <w:r w:rsidRPr="004949C7">
              <w:rPr>
                <w:rFonts w:ascii="Arial Narrow" w:hAnsi="Arial Narrow"/>
                <w:sz w:val="20"/>
              </w:rPr>
              <w:t>b)</w:t>
            </w:r>
            <w:r w:rsidRPr="004949C7">
              <w:rPr>
                <w:rFonts w:ascii="Arial Narrow" w:hAnsi="Arial Narrow"/>
                <w:sz w:val="20"/>
              </w:rPr>
              <w:tab/>
              <w:t>A two-step increase in anterior chamber cells or vitreous haze</w:t>
            </w:r>
          </w:p>
          <w:p w:rsidR="00B60E19" w:rsidRPr="004949C7" w:rsidRDefault="00B60E19" w:rsidP="00472D89">
            <w:pPr>
              <w:rPr>
                <w:rFonts w:ascii="Arial Narrow" w:hAnsi="Arial Narrow"/>
                <w:sz w:val="20"/>
              </w:rPr>
            </w:pPr>
            <w:r w:rsidRPr="004949C7">
              <w:rPr>
                <w:rFonts w:ascii="Arial Narrow" w:hAnsi="Arial Narrow"/>
                <w:sz w:val="20"/>
              </w:rPr>
              <w:t>c)</w:t>
            </w:r>
            <w:r w:rsidRPr="004949C7">
              <w:rPr>
                <w:rFonts w:ascii="Arial Narrow" w:hAnsi="Arial Narrow"/>
                <w:sz w:val="20"/>
              </w:rPr>
              <w:tab/>
              <w:t>New retinal vasculitis;</w:t>
            </w:r>
          </w:p>
          <w:p w:rsidR="00B60E19" w:rsidRPr="004949C7" w:rsidRDefault="00B60E19" w:rsidP="00472D89">
            <w:pPr>
              <w:rPr>
                <w:rFonts w:ascii="Arial Narrow" w:hAnsi="Arial Narrow"/>
                <w:sz w:val="20"/>
              </w:rPr>
            </w:pPr>
            <w:r w:rsidRPr="004949C7">
              <w:rPr>
                <w:rFonts w:ascii="Arial Narrow" w:hAnsi="Arial Narrow"/>
                <w:sz w:val="20"/>
              </w:rPr>
              <w:t>d)</w:t>
            </w:r>
            <w:r w:rsidRPr="004949C7">
              <w:rPr>
                <w:rFonts w:ascii="Arial Narrow" w:hAnsi="Arial Narrow"/>
                <w:sz w:val="20"/>
              </w:rPr>
              <w:tab/>
              <w:t>New retinal or choroidal lesions;</w:t>
            </w:r>
          </w:p>
          <w:p w:rsidR="00B60E19" w:rsidRPr="004949C7" w:rsidRDefault="00B60E19" w:rsidP="00472D89">
            <w:pPr>
              <w:rPr>
                <w:rFonts w:ascii="Arial Narrow" w:hAnsi="Arial Narrow"/>
                <w:sz w:val="20"/>
              </w:rPr>
            </w:pPr>
            <w:r w:rsidRPr="004949C7">
              <w:rPr>
                <w:rFonts w:ascii="Arial Narrow" w:hAnsi="Arial Narrow"/>
                <w:sz w:val="20"/>
              </w:rPr>
              <w:t>e)</w:t>
            </w:r>
            <w:r w:rsidRPr="004949C7">
              <w:rPr>
                <w:rFonts w:ascii="Arial Narrow" w:hAnsi="Arial Narrow"/>
                <w:sz w:val="20"/>
              </w:rPr>
              <w:tab/>
              <w:t xml:space="preserve">Other signs of disease progression including visual field changes or </w:t>
            </w:r>
            <w:proofErr w:type="spellStart"/>
            <w:r w:rsidRPr="004949C7">
              <w:rPr>
                <w:rFonts w:ascii="Arial Narrow" w:hAnsi="Arial Narrow"/>
                <w:sz w:val="20"/>
              </w:rPr>
              <w:t>electroretinogram</w:t>
            </w:r>
            <w:proofErr w:type="spellEnd"/>
            <w:r w:rsidRPr="004949C7">
              <w:rPr>
                <w:rFonts w:ascii="Arial Narrow" w:hAnsi="Arial Narrow"/>
                <w:sz w:val="20"/>
              </w:rPr>
              <w:t xml:space="preserve"> changes</w:t>
            </w:r>
          </w:p>
          <w:p w:rsidR="00B60E19" w:rsidRDefault="00B60E19" w:rsidP="00472D89">
            <w:pPr>
              <w:rPr>
                <w:rFonts w:ascii="Arial Narrow" w:hAnsi="Arial Narrow"/>
                <w:sz w:val="20"/>
              </w:rPr>
            </w:pPr>
          </w:p>
          <w:p w:rsidR="00B60E19" w:rsidRPr="004949C7" w:rsidRDefault="00B60E19" w:rsidP="00472D89">
            <w:pPr>
              <w:rPr>
                <w:rFonts w:ascii="Arial Narrow" w:hAnsi="Arial Narrow"/>
                <w:sz w:val="20"/>
              </w:rPr>
            </w:pPr>
            <w:r w:rsidRPr="004949C7">
              <w:rPr>
                <w:rFonts w:ascii="Arial Narrow" w:hAnsi="Arial Narrow"/>
                <w:sz w:val="20"/>
              </w:rPr>
              <w:t xml:space="preserve">Severe vision threatening ocular inflammation is defined as </w:t>
            </w:r>
            <w:r w:rsidRPr="004949C7">
              <w:rPr>
                <w:rFonts w:ascii="Arial Narrow" w:hAnsi="Arial Narrow"/>
                <w:strike/>
                <w:sz w:val="20"/>
              </w:rPr>
              <w:t>any of</w:t>
            </w:r>
            <w:r w:rsidRPr="004949C7">
              <w:rPr>
                <w:rFonts w:ascii="Arial Narrow" w:hAnsi="Arial Narrow"/>
                <w:i/>
                <w:iCs/>
                <w:color w:val="000000"/>
                <w:sz w:val="20"/>
                <w:lang w:val="en-US" w:bidi="en-US"/>
              </w:rPr>
              <w:t xml:space="preserve"> at least 1 of the following</w:t>
            </w:r>
            <w:r w:rsidRPr="004949C7">
              <w:rPr>
                <w:rFonts w:ascii="Arial Narrow" w:hAnsi="Arial Narrow"/>
                <w:sz w:val="20"/>
              </w:rPr>
              <w:t>:</w:t>
            </w:r>
          </w:p>
          <w:p w:rsidR="00B60E19" w:rsidRPr="004949C7" w:rsidRDefault="00B60E19" w:rsidP="00472D89">
            <w:pPr>
              <w:rPr>
                <w:rFonts w:ascii="Arial Narrow" w:hAnsi="Arial Narrow"/>
                <w:sz w:val="20"/>
              </w:rPr>
            </w:pPr>
            <w:r w:rsidRPr="004949C7">
              <w:rPr>
                <w:rFonts w:ascii="Arial Narrow" w:hAnsi="Arial Narrow"/>
                <w:sz w:val="20"/>
              </w:rPr>
              <w:t>a)</w:t>
            </w:r>
            <w:r w:rsidRPr="004949C7">
              <w:rPr>
                <w:rFonts w:ascii="Arial Narrow" w:hAnsi="Arial Narrow"/>
                <w:sz w:val="20"/>
              </w:rPr>
              <w:tab/>
              <w:t>Widespread vascular occlusion;</w:t>
            </w:r>
          </w:p>
          <w:p w:rsidR="00B60E19" w:rsidRPr="004949C7" w:rsidRDefault="00B60E19" w:rsidP="00472D89">
            <w:pPr>
              <w:rPr>
                <w:rFonts w:ascii="Arial Narrow" w:hAnsi="Arial Narrow"/>
                <w:sz w:val="20"/>
              </w:rPr>
            </w:pPr>
            <w:r w:rsidRPr="004949C7">
              <w:rPr>
                <w:rFonts w:ascii="Arial Narrow" w:hAnsi="Arial Narrow"/>
                <w:sz w:val="20"/>
              </w:rPr>
              <w:t>b)</w:t>
            </w:r>
            <w:r w:rsidRPr="004949C7">
              <w:rPr>
                <w:rFonts w:ascii="Arial Narrow" w:hAnsi="Arial Narrow"/>
                <w:sz w:val="20"/>
              </w:rPr>
              <w:tab/>
              <w:t>Macular threatening retinitis;</w:t>
            </w:r>
          </w:p>
          <w:p w:rsidR="00B60E19" w:rsidRPr="004949C7" w:rsidRDefault="00B60E19" w:rsidP="000922BB">
            <w:pPr>
              <w:rPr>
                <w:rFonts w:ascii="Arial Narrow" w:hAnsi="Arial Narrow"/>
                <w:sz w:val="20"/>
              </w:rPr>
            </w:pPr>
            <w:r w:rsidRPr="004949C7">
              <w:rPr>
                <w:rFonts w:ascii="Arial Narrow" w:hAnsi="Arial Narrow"/>
                <w:sz w:val="20"/>
              </w:rPr>
              <w:t>c)</w:t>
            </w:r>
            <w:r w:rsidRPr="004949C7">
              <w:rPr>
                <w:rFonts w:ascii="Arial Narrow" w:hAnsi="Arial Narrow"/>
                <w:sz w:val="20"/>
              </w:rPr>
              <w:tab/>
              <w:t>Disease progression on high dose corticosteroids (increasing lesion size and/or new lesions, lack of response according to Standardisation of Uveitis Nomenclature (SUN) criteria for anterior chamber cell and vitreous haze grade as well as visual acuity or further loss of vision despite treatment with corticosteroids at a dose of &gt;40mg/day).</w:t>
            </w:r>
          </w:p>
        </w:tc>
      </w:tr>
      <w:tr w:rsidR="00B60E19" w:rsidRPr="00260CE3" w:rsidTr="00FD34C8">
        <w:trPr>
          <w:trHeight w:val="360"/>
        </w:trPr>
        <w:tc>
          <w:tcPr>
            <w:tcW w:w="2835" w:type="dxa"/>
            <w:tcBorders>
              <w:top w:val="single" w:sz="4" w:space="0" w:color="auto"/>
              <w:left w:val="single" w:sz="4" w:space="0" w:color="auto"/>
              <w:bottom w:val="single" w:sz="4" w:space="0" w:color="auto"/>
              <w:right w:val="single" w:sz="4" w:space="0" w:color="auto"/>
            </w:tcBorders>
          </w:tcPr>
          <w:p w:rsidR="00B60E19" w:rsidRPr="00462A2A" w:rsidRDefault="00B60E19" w:rsidP="00472D89">
            <w:pPr>
              <w:rPr>
                <w:rFonts w:ascii="Arial Narrow" w:hAnsi="Arial Narrow"/>
                <w:sz w:val="20"/>
              </w:rPr>
            </w:pPr>
            <w:r w:rsidRPr="00462A2A">
              <w:rPr>
                <w:rFonts w:ascii="Arial Narrow" w:hAnsi="Arial Narrow"/>
                <w:b/>
                <w:sz w:val="20"/>
              </w:rPr>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B60E19" w:rsidRPr="00462A2A" w:rsidRDefault="00B60E19" w:rsidP="00472D89">
            <w:pPr>
              <w:rPr>
                <w:rFonts w:ascii="Arial Narrow" w:hAnsi="Arial Narrow"/>
                <w:sz w:val="20"/>
              </w:rPr>
            </w:pPr>
            <w:r w:rsidRPr="00462A2A">
              <w:rPr>
                <w:rFonts w:ascii="Arial Narrow" w:hAnsi="Arial Narrow"/>
                <w:sz w:val="20"/>
              </w:rP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p>
          <w:p w:rsidR="00B60E19" w:rsidRPr="00462A2A" w:rsidRDefault="00B60E19" w:rsidP="00472D89">
            <w:pPr>
              <w:rPr>
                <w:rFonts w:ascii="Arial Narrow" w:hAnsi="Arial Narrow"/>
                <w:sz w:val="20"/>
              </w:rPr>
            </w:pPr>
          </w:p>
          <w:p w:rsidR="00B60E19" w:rsidRPr="00462A2A" w:rsidRDefault="00B60E19" w:rsidP="00472D89">
            <w:pPr>
              <w:rPr>
                <w:rFonts w:ascii="Arial Narrow" w:hAnsi="Arial Narrow"/>
                <w:sz w:val="20"/>
              </w:rPr>
            </w:pPr>
            <w:r w:rsidRPr="00462A2A">
              <w:rPr>
                <w:rFonts w:ascii="Arial Narrow" w:hAnsi="Arial Narrow"/>
                <w:sz w:val="20"/>
              </w:rPr>
              <w:t>Patients are eligible to receive an additional 24 weeks of treatment with this drug providing they demonstrate a response as described above.</w:t>
            </w:r>
          </w:p>
          <w:p w:rsidR="00B60E19" w:rsidRPr="00462A2A" w:rsidRDefault="00B60E19" w:rsidP="00472D89">
            <w:pPr>
              <w:rPr>
                <w:rFonts w:ascii="Arial Narrow" w:hAnsi="Arial Narrow"/>
                <w:sz w:val="20"/>
              </w:rPr>
            </w:pPr>
          </w:p>
          <w:p w:rsidR="00B60E19" w:rsidRDefault="00B60E19" w:rsidP="00472D89">
            <w:pPr>
              <w:rPr>
                <w:rFonts w:ascii="Arial Narrow" w:hAnsi="Arial Narrow"/>
                <w:strike/>
                <w:sz w:val="20"/>
              </w:rPr>
            </w:pPr>
            <w:r w:rsidRPr="006C4379">
              <w:rPr>
                <w:rFonts w:ascii="Arial Narrow" w:hAnsi="Arial Narrow"/>
                <w:strike/>
                <w:sz w:val="20"/>
              </w:rPr>
              <w:t>A maximum of 24 weeks treatment will be authorised under this criterion.</w:t>
            </w:r>
          </w:p>
          <w:p w:rsidR="00B60E19" w:rsidRDefault="00B60E19" w:rsidP="00472D89">
            <w:pPr>
              <w:pStyle w:val="NormalWeb"/>
              <w:rPr>
                <w:rFonts w:ascii="Arial Narrow" w:hAnsi="Arial Narrow" w:cs="Arial"/>
                <w:i/>
                <w:sz w:val="20"/>
              </w:rPr>
            </w:pPr>
            <w:r w:rsidRPr="008014AC">
              <w:rPr>
                <w:rFonts w:ascii="Arial Narrow" w:hAnsi="Arial Narrow" w:cs="Arial"/>
                <w:i/>
                <w:sz w:val="20"/>
              </w:rPr>
              <w:t>No increase in the maximum number of repeats may be authorised.</w:t>
            </w:r>
          </w:p>
          <w:p w:rsidR="00B60E19" w:rsidRPr="006C4379" w:rsidRDefault="00B60E19" w:rsidP="00472D89">
            <w:pPr>
              <w:rPr>
                <w:rFonts w:ascii="Arial Narrow" w:hAnsi="Arial Narrow"/>
                <w:strike/>
                <w:sz w:val="20"/>
              </w:rPr>
            </w:pPr>
            <w:r w:rsidRPr="008014AC">
              <w:rPr>
                <w:rFonts w:ascii="Arial Narrow" w:hAnsi="Arial Narrow"/>
                <w:i/>
                <w:sz w:val="20"/>
              </w:rPr>
              <w:t>No increase in the maximum quantity or number of units may be authorised.</w:t>
            </w:r>
          </w:p>
        </w:tc>
      </w:tr>
    </w:tbl>
    <w:p w:rsidR="00B60E19" w:rsidRDefault="00B60E19" w:rsidP="004B1CB4"/>
    <w:p w:rsidR="00A60F26" w:rsidRPr="0036391F" w:rsidRDefault="00A60F26" w:rsidP="00A60F26">
      <w:pPr>
        <w:pStyle w:val="ListParagraph"/>
        <w:widowControl/>
        <w:numPr>
          <w:ilvl w:val="1"/>
          <w:numId w:val="3"/>
        </w:numPr>
        <w:rPr>
          <w:szCs w:val="22"/>
        </w:rPr>
      </w:pPr>
      <w:r w:rsidRPr="0036391F">
        <w:rPr>
          <w:szCs w:val="22"/>
        </w:rPr>
        <w:t>The listing was requested on a cost-effectiveness basis compared to placebo.</w:t>
      </w:r>
    </w:p>
    <w:p w:rsidR="00A60F26" w:rsidRPr="0036391F" w:rsidRDefault="00A60F26" w:rsidP="00A60F26">
      <w:pPr>
        <w:widowControl/>
        <w:rPr>
          <w:szCs w:val="22"/>
        </w:rPr>
      </w:pPr>
    </w:p>
    <w:p w:rsidR="00A60F26" w:rsidRPr="0036391F" w:rsidRDefault="00A60F26" w:rsidP="00A60F26">
      <w:pPr>
        <w:pStyle w:val="ListParagraph"/>
        <w:widowControl/>
        <w:numPr>
          <w:ilvl w:val="1"/>
          <w:numId w:val="3"/>
        </w:numPr>
        <w:rPr>
          <w:szCs w:val="22"/>
        </w:rPr>
      </w:pPr>
      <w:r w:rsidRPr="0036391F">
        <w:t>Optical coherence tomography (OCT) was included in the restriction response criteria to measure uveitis cystoid macular oedema by central macular thickness. In March 2016 (66</w:t>
      </w:r>
      <w:r w:rsidRPr="0036391F">
        <w:rPr>
          <w:vertAlign w:val="superscript"/>
        </w:rPr>
        <w:t xml:space="preserve">th </w:t>
      </w:r>
      <w:r w:rsidRPr="0036391F">
        <w:t xml:space="preserve">meeting) MSAC advised that the evidence provided for multiple applications to list OCT on the MBS was supportive for the use of OCT for diagnosis but not for monitoring. Given this advice from MSAC, the following options were proposed for the sponsor to consider: </w:t>
      </w:r>
    </w:p>
    <w:p w:rsidR="00A60F26" w:rsidRPr="0036391F" w:rsidRDefault="00A60F26" w:rsidP="00A60F26">
      <w:pPr>
        <w:pStyle w:val="ListParagraph"/>
        <w:widowControl/>
        <w:numPr>
          <w:ilvl w:val="0"/>
          <w:numId w:val="28"/>
        </w:numPr>
        <w:ind w:left="993" w:hanging="283"/>
      </w:pPr>
      <w:r w:rsidRPr="0036391F">
        <w:t>Explore whether there is strong enough evidence for new technologies for OCT to support an MSAC application requesting OCT be used to monitor treatment with adalimumab in uveitis, according to the proposed PBS listing;</w:t>
      </w:r>
    </w:p>
    <w:p w:rsidR="00A60F26" w:rsidRPr="0036391F" w:rsidRDefault="00A60F26" w:rsidP="00A60F26">
      <w:pPr>
        <w:pStyle w:val="ListParagraph"/>
        <w:widowControl/>
        <w:numPr>
          <w:ilvl w:val="0"/>
          <w:numId w:val="28"/>
        </w:numPr>
        <w:ind w:left="993" w:hanging="283"/>
      </w:pPr>
      <w:r w:rsidRPr="0036391F">
        <w:t xml:space="preserve"> Alter the PBS restriction so that OCT is not part of the restriction response criteria and provide alternative ways to monitor response.</w:t>
      </w:r>
    </w:p>
    <w:p w:rsidR="00A60F26" w:rsidRPr="0036391F" w:rsidRDefault="00A60F26" w:rsidP="00A60F26">
      <w:pPr>
        <w:ind w:left="710"/>
      </w:pPr>
      <w:r w:rsidRPr="0036391F">
        <w:t xml:space="preserve">The </w:t>
      </w:r>
      <w:r w:rsidR="00006196" w:rsidRPr="0036391F">
        <w:t>Pre-</w:t>
      </w:r>
      <w:r w:rsidR="001C6254" w:rsidRPr="0036391F">
        <w:t>Sub-Committee Response (</w:t>
      </w:r>
      <w:r w:rsidRPr="0036391F">
        <w:t>PSCR</w:t>
      </w:r>
      <w:r w:rsidR="001C6254" w:rsidRPr="0036391F">
        <w:t>)</w:t>
      </w:r>
      <w:r w:rsidRPr="0036391F">
        <w:t xml:space="preserve"> (p3) acknowledges that despite OCT being the gold standard for objective assessment of cystic macular oedema associated with uveitis, it is one of five possible criteria for demonstrating response, and therefore the sponsor propose</w:t>
      </w:r>
      <w:r w:rsidR="00E63B1A">
        <w:t>d</w:t>
      </w:r>
      <w:r w:rsidRPr="0036391F">
        <w:t xml:space="preserve"> removing it from the restriction if an MSAC </w:t>
      </w:r>
      <w:r w:rsidRPr="0036391F">
        <w:lastRenderedPageBreak/>
        <w:t>application is considered necessary.</w:t>
      </w:r>
      <w:r w:rsidR="009D1ABB">
        <w:t xml:space="preserve"> The PBAC considered that given there were other clinical criteria to measure response to adalimumab, OCT could be removed from the restriction</w:t>
      </w:r>
      <w:r w:rsidR="00F83727">
        <w:t>.</w:t>
      </w:r>
    </w:p>
    <w:p w:rsidR="00A60F26" w:rsidRPr="0036391F" w:rsidRDefault="00A60F26" w:rsidP="00A60F26">
      <w:pPr>
        <w:pStyle w:val="ListParagraph"/>
        <w:widowControl/>
        <w:rPr>
          <w:szCs w:val="22"/>
        </w:rPr>
      </w:pPr>
    </w:p>
    <w:p w:rsidR="00FA435F" w:rsidRDefault="00CF64E7" w:rsidP="00E35E6B">
      <w:pPr>
        <w:pStyle w:val="ListParagraph"/>
        <w:widowControl/>
        <w:numPr>
          <w:ilvl w:val="1"/>
          <w:numId w:val="3"/>
        </w:numPr>
        <w:rPr>
          <w:szCs w:val="22"/>
        </w:rPr>
      </w:pPr>
      <w:r w:rsidRPr="0036391F">
        <w:rPr>
          <w:szCs w:val="22"/>
        </w:rPr>
        <w:t xml:space="preserve">Uveitis is known to be associated with other systemic </w:t>
      </w:r>
      <w:r w:rsidR="000252B1" w:rsidRPr="0036391F">
        <w:rPr>
          <w:szCs w:val="22"/>
        </w:rPr>
        <w:t xml:space="preserve">immune </w:t>
      </w:r>
      <w:r w:rsidRPr="0036391F">
        <w:rPr>
          <w:szCs w:val="22"/>
        </w:rPr>
        <w:t xml:space="preserve">diseases such as rheumatoid arthritis, ulcerative colitis and psoriasis. </w:t>
      </w:r>
      <w:r w:rsidR="00373BBF" w:rsidRPr="0036391F">
        <w:rPr>
          <w:szCs w:val="22"/>
        </w:rPr>
        <w:t xml:space="preserve">The proposed restriction </w:t>
      </w:r>
      <w:r w:rsidR="000252B1" w:rsidRPr="0036391F">
        <w:rPr>
          <w:szCs w:val="22"/>
        </w:rPr>
        <w:t xml:space="preserve">for uveitis </w:t>
      </w:r>
      <w:r w:rsidR="00373BBF" w:rsidRPr="0036391F">
        <w:rPr>
          <w:szCs w:val="22"/>
        </w:rPr>
        <w:t>does not exclude patients with other systemic diseases</w:t>
      </w:r>
      <w:r w:rsidR="005B088B" w:rsidRPr="0036391F">
        <w:rPr>
          <w:szCs w:val="22"/>
        </w:rPr>
        <w:t xml:space="preserve"> that are treated with bDMARDs</w:t>
      </w:r>
      <w:r w:rsidR="000252B1" w:rsidRPr="0036391F">
        <w:rPr>
          <w:b/>
          <w:szCs w:val="22"/>
        </w:rPr>
        <w:t xml:space="preserve"> </w:t>
      </w:r>
      <w:r w:rsidR="000252B1" w:rsidRPr="0036391F">
        <w:rPr>
          <w:szCs w:val="22"/>
        </w:rPr>
        <w:t>and</w:t>
      </w:r>
      <w:r w:rsidR="00CE7BC6" w:rsidRPr="0036391F">
        <w:rPr>
          <w:szCs w:val="22"/>
        </w:rPr>
        <w:t xml:space="preserve"> may allow less restrictive access to adalimumab than current restriction</w:t>
      </w:r>
      <w:r w:rsidR="00FA435F" w:rsidRPr="0036391F">
        <w:rPr>
          <w:szCs w:val="22"/>
        </w:rPr>
        <w:t>s</w:t>
      </w:r>
      <w:r w:rsidR="00CE7BC6" w:rsidRPr="0036391F">
        <w:rPr>
          <w:szCs w:val="22"/>
        </w:rPr>
        <w:t xml:space="preserve"> for systemic diseases</w:t>
      </w:r>
      <w:r w:rsidRPr="0036391F">
        <w:rPr>
          <w:szCs w:val="22"/>
        </w:rPr>
        <w:t xml:space="preserve"> (e</w:t>
      </w:r>
      <w:r w:rsidR="00496CAA" w:rsidRPr="0036391F">
        <w:rPr>
          <w:szCs w:val="22"/>
        </w:rPr>
        <w:t>.</w:t>
      </w:r>
      <w:r w:rsidRPr="0036391F">
        <w:rPr>
          <w:szCs w:val="22"/>
        </w:rPr>
        <w:t>g</w:t>
      </w:r>
      <w:r w:rsidR="00496CAA" w:rsidRPr="0036391F">
        <w:rPr>
          <w:szCs w:val="22"/>
        </w:rPr>
        <w:t>.</w:t>
      </w:r>
      <w:r w:rsidRPr="0036391F">
        <w:rPr>
          <w:szCs w:val="22"/>
        </w:rPr>
        <w:t xml:space="preserve"> the restriction for rheumatoid arthritis includes failure of at least two DMARDs).</w:t>
      </w:r>
      <w:r w:rsidR="00CE7BC6" w:rsidRPr="0036391F">
        <w:rPr>
          <w:szCs w:val="22"/>
        </w:rPr>
        <w:t xml:space="preserve"> </w:t>
      </w:r>
      <w:r w:rsidR="00A94CB8" w:rsidRPr="0036391F">
        <w:rPr>
          <w:szCs w:val="22"/>
        </w:rPr>
        <w:t>The use in patients with uveitis and systemic disease is clinically appropriate but may represent an avenue for leakage around existing restrictions.</w:t>
      </w:r>
      <w:r w:rsidR="00423D28">
        <w:rPr>
          <w:szCs w:val="22"/>
        </w:rPr>
        <w:t xml:space="preserve"> </w:t>
      </w:r>
      <w:r w:rsidR="00510711">
        <w:rPr>
          <w:szCs w:val="22"/>
        </w:rPr>
        <w:t xml:space="preserve">The pre-PBAC response (p2) proposed a risk share agreement with subsidisation caps to manage uncertainties to ensure access to the appropriate patients. </w:t>
      </w:r>
    </w:p>
    <w:p w:rsidR="00007AF7" w:rsidRDefault="00007AF7" w:rsidP="00007AF7">
      <w:pPr>
        <w:pStyle w:val="ListParagraph"/>
        <w:widowControl/>
        <w:rPr>
          <w:szCs w:val="22"/>
        </w:rPr>
      </w:pPr>
    </w:p>
    <w:p w:rsidR="00007AF7" w:rsidRDefault="00007AF7" w:rsidP="00E35E6B">
      <w:pPr>
        <w:pStyle w:val="ListParagraph"/>
        <w:widowControl/>
        <w:numPr>
          <w:ilvl w:val="1"/>
          <w:numId w:val="3"/>
        </w:numPr>
        <w:rPr>
          <w:szCs w:val="22"/>
        </w:rPr>
      </w:pPr>
      <w:r>
        <w:rPr>
          <w:szCs w:val="22"/>
        </w:rPr>
        <w:t xml:space="preserve">The PBAC </w:t>
      </w:r>
      <w:r w:rsidR="00437E54">
        <w:rPr>
          <w:szCs w:val="22"/>
        </w:rPr>
        <w:t xml:space="preserve">discussed that </w:t>
      </w:r>
      <w:r w:rsidR="00DA540D">
        <w:rPr>
          <w:szCs w:val="22"/>
        </w:rPr>
        <w:t xml:space="preserve">the request for emergency provision arrangements for this listing was </w:t>
      </w:r>
      <w:r w:rsidR="005E6F60">
        <w:rPr>
          <w:szCs w:val="22"/>
        </w:rPr>
        <w:t xml:space="preserve">based on a </w:t>
      </w:r>
      <w:r w:rsidR="00EF142B">
        <w:rPr>
          <w:szCs w:val="22"/>
        </w:rPr>
        <w:t>mis</w:t>
      </w:r>
      <w:r w:rsidR="005E6F60">
        <w:rPr>
          <w:szCs w:val="22"/>
        </w:rPr>
        <w:t>interpretation of the Authority required arrangements</w:t>
      </w:r>
      <w:r w:rsidR="00DA540D">
        <w:rPr>
          <w:szCs w:val="22"/>
        </w:rPr>
        <w:t>.</w:t>
      </w:r>
      <w:r w:rsidR="00853D96">
        <w:rPr>
          <w:szCs w:val="22"/>
        </w:rPr>
        <w:t xml:space="preserve"> The provision to request Authority approval for emergency arrangements </w:t>
      </w:r>
      <w:r w:rsidR="0077261F">
        <w:rPr>
          <w:szCs w:val="22"/>
        </w:rPr>
        <w:t xml:space="preserve">is a mechanism </w:t>
      </w:r>
      <w:r w:rsidR="00853D96">
        <w:rPr>
          <w:szCs w:val="22"/>
        </w:rPr>
        <w:t xml:space="preserve">to allow prescribers to obtain Authority approval when the Department of Human Services PBS Authority approvals enquiry lines are unable to take calls </w:t>
      </w:r>
      <w:r w:rsidR="00454842">
        <w:rPr>
          <w:szCs w:val="22"/>
        </w:rPr>
        <w:t>because of system issues</w:t>
      </w:r>
      <w:r w:rsidR="00853D96">
        <w:rPr>
          <w:szCs w:val="22"/>
        </w:rPr>
        <w:t xml:space="preserve">. </w:t>
      </w:r>
      <w:r w:rsidR="003B360D">
        <w:rPr>
          <w:szCs w:val="22"/>
        </w:rPr>
        <w:t xml:space="preserve">Patients </w:t>
      </w:r>
      <w:r w:rsidR="0086761C">
        <w:rPr>
          <w:szCs w:val="22"/>
        </w:rPr>
        <w:t xml:space="preserve">requiring emergency treatment </w:t>
      </w:r>
      <w:r w:rsidR="004A385B">
        <w:rPr>
          <w:szCs w:val="22"/>
        </w:rPr>
        <w:t>should</w:t>
      </w:r>
      <w:r w:rsidR="0016792E">
        <w:rPr>
          <w:szCs w:val="22"/>
        </w:rPr>
        <w:t xml:space="preserve"> </w:t>
      </w:r>
      <w:r w:rsidR="0086761C">
        <w:rPr>
          <w:szCs w:val="22"/>
        </w:rPr>
        <w:t xml:space="preserve">present to </w:t>
      </w:r>
      <w:r w:rsidR="003B360D">
        <w:rPr>
          <w:szCs w:val="22"/>
        </w:rPr>
        <w:t>emergency department</w:t>
      </w:r>
      <w:r w:rsidR="0086761C">
        <w:rPr>
          <w:szCs w:val="22"/>
        </w:rPr>
        <w:t>s</w:t>
      </w:r>
      <w:r w:rsidR="003B360D">
        <w:rPr>
          <w:szCs w:val="22"/>
        </w:rPr>
        <w:t xml:space="preserve"> of </w:t>
      </w:r>
      <w:r w:rsidR="0016792E">
        <w:rPr>
          <w:szCs w:val="22"/>
        </w:rPr>
        <w:t xml:space="preserve">hospitals. Therefore emergency medication is likely to be supplied by hospitals rather than </w:t>
      </w:r>
      <w:r w:rsidR="003B360D">
        <w:rPr>
          <w:szCs w:val="22"/>
        </w:rPr>
        <w:t xml:space="preserve">under the PBS. </w:t>
      </w:r>
      <w:r w:rsidR="001326B3">
        <w:rPr>
          <w:szCs w:val="22"/>
        </w:rPr>
        <w:t xml:space="preserve">The pre-PBAC response (p2) proposed </w:t>
      </w:r>
      <w:r w:rsidR="001326B3" w:rsidRPr="006E1C7E">
        <w:t>remov</w:t>
      </w:r>
      <w:r w:rsidR="001326B3">
        <w:t>ing</w:t>
      </w:r>
      <w:r w:rsidR="001326B3" w:rsidRPr="006E1C7E">
        <w:t xml:space="preserve"> </w:t>
      </w:r>
      <w:r w:rsidR="001326B3">
        <w:t xml:space="preserve">the emergency pathway for </w:t>
      </w:r>
      <w:r w:rsidR="001326B3" w:rsidRPr="006E1C7E">
        <w:t>this patient subpopulation from the PBS restriction wording</w:t>
      </w:r>
      <w:r w:rsidR="001326B3">
        <w:t xml:space="preserve">. </w:t>
      </w:r>
    </w:p>
    <w:p w:rsidR="000B3091" w:rsidRDefault="000B3091" w:rsidP="000B3091">
      <w:pPr>
        <w:pStyle w:val="ListParagraph"/>
        <w:widowControl/>
        <w:rPr>
          <w:szCs w:val="22"/>
        </w:rPr>
      </w:pPr>
    </w:p>
    <w:p w:rsidR="000B3091" w:rsidRPr="00423D28" w:rsidRDefault="000B3091" w:rsidP="000B3091">
      <w:pPr>
        <w:ind w:firstLine="720"/>
        <w:rPr>
          <w:bCs/>
          <w:szCs w:val="22"/>
        </w:rPr>
      </w:pPr>
      <w:r w:rsidRPr="00423D28">
        <w:rPr>
          <w:bCs/>
          <w:i/>
          <w:szCs w:val="22"/>
        </w:rPr>
        <w:t>For more detail on PBAC’s view, see section 7 “PBAC outcome”</w:t>
      </w:r>
    </w:p>
    <w:p w:rsidR="005D0892" w:rsidRDefault="005D0892" w:rsidP="00FA435F">
      <w:pPr>
        <w:pStyle w:val="ListParagraph"/>
        <w:widowControl/>
        <w:rPr>
          <w:szCs w:val="22"/>
        </w:rPr>
      </w:pPr>
    </w:p>
    <w:p w:rsidR="00B60E19" w:rsidRPr="00423D28" w:rsidRDefault="00B60E19" w:rsidP="00FA435F">
      <w:pPr>
        <w:pStyle w:val="ListParagraph"/>
        <w:widowControl/>
      </w:pPr>
    </w:p>
    <w:p w:rsidR="00B50DB8" w:rsidRPr="00423D28" w:rsidRDefault="00B50DB8" w:rsidP="00BD6CF3">
      <w:pPr>
        <w:pStyle w:val="PBACHeading1"/>
      </w:pPr>
      <w:bookmarkStart w:id="5" w:name="_Toc472349914"/>
      <w:r w:rsidRPr="00423D28">
        <w:t>Background</w:t>
      </w:r>
      <w:bookmarkEnd w:id="5"/>
    </w:p>
    <w:p w:rsidR="00B60939" w:rsidRPr="00423D28" w:rsidRDefault="00B60939" w:rsidP="00B60939">
      <w:pPr>
        <w:rPr>
          <w:szCs w:val="22"/>
        </w:rPr>
      </w:pPr>
    </w:p>
    <w:p w:rsidR="00B60939" w:rsidRPr="00423D28" w:rsidRDefault="001A51B6" w:rsidP="00556640">
      <w:pPr>
        <w:pStyle w:val="ListParagraph"/>
        <w:widowControl/>
        <w:numPr>
          <w:ilvl w:val="1"/>
          <w:numId w:val="3"/>
        </w:numPr>
      </w:pPr>
      <w:r w:rsidRPr="00423D28">
        <w:rPr>
          <w:b/>
          <w:bCs/>
          <w:szCs w:val="22"/>
        </w:rPr>
        <w:t>TGA status</w:t>
      </w:r>
      <w:r w:rsidR="0064714F" w:rsidRPr="00423D28">
        <w:rPr>
          <w:b/>
          <w:bCs/>
          <w:szCs w:val="22"/>
        </w:rPr>
        <w:t xml:space="preserve"> </w:t>
      </w:r>
      <w:r w:rsidR="0064714F" w:rsidRPr="00423D28">
        <w:rPr>
          <w:b/>
        </w:rPr>
        <w:t>at time of PBAC consideration</w:t>
      </w:r>
      <w:r w:rsidRPr="00423D28">
        <w:rPr>
          <w:b/>
          <w:bCs/>
          <w:szCs w:val="22"/>
        </w:rPr>
        <w:t>:</w:t>
      </w:r>
      <w:r w:rsidRPr="00423D28">
        <w:rPr>
          <w:bCs/>
          <w:szCs w:val="22"/>
        </w:rPr>
        <w:t xml:space="preserve"> </w:t>
      </w:r>
      <w:r w:rsidR="004419BE" w:rsidRPr="00423D28">
        <w:rPr>
          <w:szCs w:val="22"/>
        </w:rPr>
        <w:t>Adalimumab</w:t>
      </w:r>
      <w:r w:rsidR="004419BE" w:rsidRPr="0036391F">
        <w:rPr>
          <w:szCs w:val="22"/>
        </w:rPr>
        <w:t xml:space="preserve"> was registered on the ARTG on 26 October 2016 for</w:t>
      </w:r>
      <w:r w:rsidR="005B020D" w:rsidRPr="0036391F">
        <w:rPr>
          <w:szCs w:val="22"/>
        </w:rPr>
        <w:t xml:space="preserve"> the treatment of non-infectious intermediate, posterior and </w:t>
      </w:r>
      <w:proofErr w:type="spellStart"/>
      <w:r w:rsidR="005B020D" w:rsidRPr="0036391F">
        <w:rPr>
          <w:szCs w:val="22"/>
        </w:rPr>
        <w:t>panuveitis</w:t>
      </w:r>
      <w:proofErr w:type="spellEnd"/>
      <w:r w:rsidR="005B020D" w:rsidRPr="0036391F">
        <w:rPr>
          <w:szCs w:val="22"/>
        </w:rPr>
        <w:t xml:space="preserve"> in adult patients who have had an inadequate response to corticosteroids, in patients in need of corticosteroid sparing, or in whom corticosteroid </w:t>
      </w:r>
      <w:r w:rsidR="005B020D" w:rsidRPr="00423D28">
        <w:rPr>
          <w:szCs w:val="22"/>
        </w:rPr>
        <w:t>treatment is inappropriate</w:t>
      </w:r>
      <w:r w:rsidR="00B60939" w:rsidRPr="00423D28">
        <w:t>.</w:t>
      </w:r>
    </w:p>
    <w:p w:rsidR="00B60939" w:rsidRPr="00423D28" w:rsidRDefault="00B60939" w:rsidP="00B60939">
      <w:pPr>
        <w:pStyle w:val="ListParagraph"/>
        <w:rPr>
          <w:szCs w:val="22"/>
        </w:rPr>
      </w:pPr>
    </w:p>
    <w:p w:rsidR="002C2775" w:rsidRPr="00423D28" w:rsidRDefault="007B000C" w:rsidP="00556640">
      <w:pPr>
        <w:pStyle w:val="ListParagraph"/>
        <w:widowControl/>
        <w:numPr>
          <w:ilvl w:val="1"/>
          <w:numId w:val="3"/>
        </w:numPr>
        <w:rPr>
          <w:szCs w:val="22"/>
        </w:rPr>
      </w:pPr>
      <w:r w:rsidRPr="00423D28">
        <w:rPr>
          <w:szCs w:val="22"/>
        </w:rPr>
        <w:t>Adalimumab ha</w:t>
      </w:r>
      <w:r w:rsidR="004A385B">
        <w:rPr>
          <w:szCs w:val="22"/>
        </w:rPr>
        <w:t>d</w:t>
      </w:r>
      <w:r w:rsidRPr="00423D28">
        <w:rPr>
          <w:szCs w:val="22"/>
        </w:rPr>
        <w:t xml:space="preserve"> not previously been considered by the PBAC for this </w:t>
      </w:r>
      <w:r w:rsidR="003A5B2C" w:rsidRPr="00423D28">
        <w:rPr>
          <w:szCs w:val="22"/>
        </w:rPr>
        <w:t>indication.</w:t>
      </w:r>
    </w:p>
    <w:p w:rsidR="000B3091" w:rsidRPr="00423D28" w:rsidRDefault="000B3091" w:rsidP="000B3091">
      <w:pPr>
        <w:pStyle w:val="ListParagraph"/>
        <w:rPr>
          <w:szCs w:val="22"/>
        </w:rPr>
      </w:pPr>
    </w:p>
    <w:p w:rsidR="000B3091" w:rsidRPr="00423D28" w:rsidRDefault="000B3091" w:rsidP="000B3091">
      <w:pPr>
        <w:ind w:firstLine="720"/>
        <w:rPr>
          <w:bCs/>
          <w:szCs w:val="22"/>
        </w:rPr>
      </w:pPr>
      <w:r w:rsidRPr="00423D28">
        <w:rPr>
          <w:bCs/>
          <w:i/>
          <w:szCs w:val="22"/>
        </w:rPr>
        <w:t>For more detail on PBAC’s view, see section 7 “PBAC outcome”</w:t>
      </w:r>
    </w:p>
    <w:p w:rsidR="001A51B6" w:rsidRDefault="001A51B6" w:rsidP="004B1CB4"/>
    <w:p w:rsidR="005D0892" w:rsidRPr="00423D28" w:rsidRDefault="005D0892" w:rsidP="004B1CB4"/>
    <w:p w:rsidR="00B50DB8" w:rsidRPr="00423D28" w:rsidRDefault="00B50DB8" w:rsidP="00BD6CF3">
      <w:pPr>
        <w:pStyle w:val="PBACHeading1"/>
      </w:pPr>
      <w:bookmarkStart w:id="6" w:name="_Toc472349915"/>
      <w:r w:rsidRPr="00423D28">
        <w:t>Clinical place for the proposed therapy</w:t>
      </w:r>
      <w:bookmarkEnd w:id="6"/>
    </w:p>
    <w:p w:rsidR="00B60939" w:rsidRPr="0036391F" w:rsidRDefault="00B60939" w:rsidP="00B60939">
      <w:pPr>
        <w:rPr>
          <w:szCs w:val="22"/>
        </w:rPr>
      </w:pPr>
    </w:p>
    <w:p w:rsidR="00B60939" w:rsidRPr="0036391F" w:rsidRDefault="007B000C" w:rsidP="00556640">
      <w:pPr>
        <w:pStyle w:val="ListParagraph"/>
        <w:widowControl/>
        <w:numPr>
          <w:ilvl w:val="1"/>
          <w:numId w:val="3"/>
        </w:numPr>
        <w:rPr>
          <w:szCs w:val="22"/>
        </w:rPr>
      </w:pPr>
      <w:r w:rsidRPr="0036391F">
        <w:t xml:space="preserve">Non-infectious intermediate, posterior and </w:t>
      </w:r>
      <w:proofErr w:type="spellStart"/>
      <w:r w:rsidRPr="0036391F">
        <w:t>panuveitis</w:t>
      </w:r>
      <w:proofErr w:type="spellEnd"/>
      <w:r w:rsidRPr="0036391F">
        <w:t xml:space="preserve"> </w:t>
      </w:r>
      <w:r w:rsidR="003A5B2C" w:rsidRPr="0036391F">
        <w:t>are a group of vision-threatening diseases that are characterised by intraocular inflammation. Current treatment includes oral corticosteroids and immunomodulatory therapy.</w:t>
      </w:r>
    </w:p>
    <w:p w:rsidR="00894489" w:rsidRPr="0036391F" w:rsidRDefault="00894489" w:rsidP="00894489">
      <w:pPr>
        <w:widowControl/>
        <w:rPr>
          <w:szCs w:val="22"/>
        </w:rPr>
      </w:pPr>
    </w:p>
    <w:p w:rsidR="00B60939" w:rsidRDefault="003A5B2C" w:rsidP="00556640">
      <w:pPr>
        <w:pStyle w:val="ListParagraph"/>
        <w:widowControl/>
        <w:numPr>
          <w:ilvl w:val="1"/>
          <w:numId w:val="3"/>
        </w:numPr>
        <w:rPr>
          <w:szCs w:val="22"/>
        </w:rPr>
      </w:pPr>
      <w:r w:rsidRPr="0036391F">
        <w:rPr>
          <w:szCs w:val="22"/>
        </w:rPr>
        <w:t xml:space="preserve">The submission positioned adalimumab as an alternative treatment for non-infectious intermediate, posterior and </w:t>
      </w:r>
      <w:proofErr w:type="spellStart"/>
      <w:r w:rsidRPr="0036391F">
        <w:rPr>
          <w:szCs w:val="22"/>
        </w:rPr>
        <w:t>panuveitis</w:t>
      </w:r>
      <w:proofErr w:type="spellEnd"/>
      <w:r w:rsidRPr="0036391F">
        <w:rPr>
          <w:szCs w:val="22"/>
        </w:rPr>
        <w:t xml:space="preserve"> in patients who have failed treatment with a corticosteroid and an immunomodulatory therapy, who require emergency treatment </w:t>
      </w:r>
      <w:r w:rsidRPr="0036391F">
        <w:rPr>
          <w:szCs w:val="22"/>
        </w:rPr>
        <w:lastRenderedPageBreak/>
        <w:t>for severe vision threatening disease, or who are intolerant or contraindicated to corticosteroids and/or immunomodulatory therapy.</w:t>
      </w:r>
    </w:p>
    <w:p w:rsidR="00423D28" w:rsidRPr="00423D28" w:rsidRDefault="00423D28" w:rsidP="00423D28">
      <w:pPr>
        <w:pStyle w:val="ListParagraph"/>
        <w:rPr>
          <w:szCs w:val="22"/>
        </w:rPr>
      </w:pPr>
    </w:p>
    <w:p w:rsidR="00423D28" w:rsidRDefault="00423D28" w:rsidP="00556640">
      <w:pPr>
        <w:pStyle w:val="ListParagraph"/>
        <w:widowControl/>
        <w:numPr>
          <w:ilvl w:val="1"/>
          <w:numId w:val="3"/>
        </w:numPr>
        <w:rPr>
          <w:szCs w:val="22"/>
        </w:rPr>
      </w:pPr>
      <w:r>
        <w:rPr>
          <w:szCs w:val="22"/>
        </w:rPr>
        <w:t xml:space="preserve">The PBAC considered there </w:t>
      </w:r>
      <w:r w:rsidR="007C2881">
        <w:rPr>
          <w:szCs w:val="22"/>
        </w:rPr>
        <w:t xml:space="preserve">is a clinical need for patients with </w:t>
      </w:r>
      <w:r w:rsidR="007C2881">
        <w:t>n</w:t>
      </w:r>
      <w:r w:rsidR="007C2881" w:rsidRPr="0036391F">
        <w:t xml:space="preserve">on-infectious intermediate, posterior and </w:t>
      </w:r>
      <w:proofErr w:type="spellStart"/>
      <w:r w:rsidR="007C2881" w:rsidRPr="0036391F">
        <w:t>panuveitis</w:t>
      </w:r>
      <w:proofErr w:type="spellEnd"/>
      <w:r w:rsidR="007C2881">
        <w:t>.</w:t>
      </w:r>
    </w:p>
    <w:p w:rsidR="000B3091" w:rsidRPr="000B3091" w:rsidRDefault="000B3091" w:rsidP="000B3091">
      <w:pPr>
        <w:pStyle w:val="ListParagraph"/>
        <w:rPr>
          <w:szCs w:val="22"/>
        </w:rPr>
      </w:pPr>
    </w:p>
    <w:p w:rsidR="000B3091" w:rsidRPr="0005234D" w:rsidRDefault="000B3091" w:rsidP="000B3091">
      <w:pPr>
        <w:ind w:firstLine="720"/>
        <w:rPr>
          <w:bCs/>
          <w:szCs w:val="22"/>
        </w:rPr>
      </w:pPr>
      <w:r w:rsidRPr="00423D28">
        <w:rPr>
          <w:bCs/>
          <w:i/>
          <w:szCs w:val="22"/>
        </w:rPr>
        <w:t>For more detail on PBAC’s view, see section 7 “PBAC outcome”</w:t>
      </w:r>
    </w:p>
    <w:p w:rsidR="001A51B6" w:rsidRDefault="001A51B6" w:rsidP="00B60939">
      <w:pPr>
        <w:pStyle w:val="Header"/>
        <w:rPr>
          <w:szCs w:val="22"/>
        </w:rPr>
      </w:pPr>
    </w:p>
    <w:p w:rsidR="005D0892" w:rsidRPr="0036391F" w:rsidRDefault="005D0892" w:rsidP="00B60939">
      <w:pPr>
        <w:pStyle w:val="Header"/>
        <w:rPr>
          <w:szCs w:val="22"/>
        </w:rPr>
      </w:pPr>
    </w:p>
    <w:p w:rsidR="00B50DB8" w:rsidRPr="0036391F" w:rsidRDefault="00B50DB8" w:rsidP="009862AB">
      <w:pPr>
        <w:pStyle w:val="PBACHeading1"/>
      </w:pPr>
      <w:bookmarkStart w:id="7" w:name="_Toc472349916"/>
      <w:r w:rsidRPr="0036391F">
        <w:t>Comparator</w:t>
      </w:r>
      <w:bookmarkEnd w:id="7"/>
    </w:p>
    <w:p w:rsidR="00B60939" w:rsidRPr="0036391F" w:rsidRDefault="00B60939" w:rsidP="004B1CB4"/>
    <w:p w:rsidR="00B60939" w:rsidRPr="00F60FCF" w:rsidRDefault="007D4081" w:rsidP="008056E0">
      <w:pPr>
        <w:pStyle w:val="ListParagraph"/>
        <w:widowControl/>
        <w:numPr>
          <w:ilvl w:val="1"/>
          <w:numId w:val="3"/>
        </w:numPr>
        <w:rPr>
          <w:szCs w:val="22"/>
        </w:rPr>
      </w:pPr>
      <w:r w:rsidRPr="0036391F">
        <w:t>The submission nominated current standard of care (</w:t>
      </w:r>
      <w:r w:rsidR="008056E0" w:rsidRPr="0036391F">
        <w:t>consisting of high dose oral corticosteroids (&gt;7.5mg/day) with or without an immunomodulatory agent</w:t>
      </w:r>
      <w:r w:rsidRPr="0036391F">
        <w:t>) as the main comparator</w:t>
      </w:r>
      <w:r w:rsidR="002D61C7">
        <w:t xml:space="preserve">. </w:t>
      </w:r>
      <w:r w:rsidR="00B13CA8" w:rsidRPr="0036391F">
        <w:t>The ESC agreed t</w:t>
      </w:r>
      <w:r w:rsidR="00F067A2" w:rsidRPr="0036391F">
        <w:t xml:space="preserve">his </w:t>
      </w:r>
      <w:r w:rsidR="00B13CA8" w:rsidRPr="0036391F">
        <w:t>wa</w:t>
      </w:r>
      <w:r w:rsidR="00F067A2" w:rsidRPr="0036391F">
        <w:t>s the appropriate comparator.</w:t>
      </w:r>
    </w:p>
    <w:p w:rsidR="00F60FCF" w:rsidRPr="00F60FCF" w:rsidRDefault="00F60FCF" w:rsidP="00F60FCF">
      <w:pPr>
        <w:pStyle w:val="ListParagraph"/>
        <w:widowControl/>
        <w:rPr>
          <w:szCs w:val="22"/>
        </w:rPr>
      </w:pPr>
    </w:p>
    <w:p w:rsidR="000B3091" w:rsidRDefault="00F60FCF" w:rsidP="000B3091">
      <w:pPr>
        <w:pStyle w:val="ListParagraph"/>
        <w:widowControl/>
        <w:numPr>
          <w:ilvl w:val="1"/>
          <w:numId w:val="3"/>
        </w:numPr>
      </w:pPr>
      <w:r>
        <w:t xml:space="preserve">The </w:t>
      </w:r>
      <w:r w:rsidR="003E1F78">
        <w:t xml:space="preserve">PBAC </w:t>
      </w:r>
      <w:r w:rsidR="00BA5CF3">
        <w:t xml:space="preserve">accepted this was the appropriate comparator but </w:t>
      </w:r>
      <w:r w:rsidR="003E1F78">
        <w:t xml:space="preserve">noted that the </w:t>
      </w:r>
      <w:r w:rsidR="00BA5CF3">
        <w:t xml:space="preserve">clinical </w:t>
      </w:r>
      <w:r w:rsidR="003E1F78">
        <w:t xml:space="preserve">evidence presented did not directly show the effects of adalimumab when corticosteroids were being </w:t>
      </w:r>
      <w:proofErr w:type="gramStart"/>
      <w:r w:rsidR="003E1F78">
        <w:t>used</w:t>
      </w:r>
      <w:r w:rsidR="00CB2F9D">
        <w:t>,</w:t>
      </w:r>
      <w:proofErr w:type="gramEnd"/>
      <w:r w:rsidR="00CB2F9D">
        <w:t xml:space="preserve"> or the incremental benefit over other immunomodulatory agents</w:t>
      </w:r>
      <w:r w:rsidR="004F71D5">
        <w:t>.</w:t>
      </w:r>
      <w:r w:rsidR="003E1F78">
        <w:t xml:space="preserve"> </w:t>
      </w:r>
      <w:r w:rsidR="004F71D5">
        <w:t>Mandatory taper schedules for</w:t>
      </w:r>
      <w:r w:rsidR="003E1F78">
        <w:t xml:space="preserve"> corticosteroid doses </w:t>
      </w:r>
      <w:r w:rsidR="004F71D5">
        <w:t>were followed in both trials; all prednisone use was discontinue by week 15 in VISUAL I and between weeks 13–19 in VISUAL II</w:t>
      </w:r>
      <w:r w:rsidR="00320ACA">
        <w:t>.</w:t>
      </w:r>
      <w:r w:rsidR="00C03518">
        <w:t xml:space="preserve"> </w:t>
      </w:r>
    </w:p>
    <w:p w:rsidR="00BA5CF3" w:rsidRDefault="00BA5CF3" w:rsidP="00BA5CF3">
      <w:pPr>
        <w:pStyle w:val="ListParagraph"/>
        <w:widowControl/>
      </w:pPr>
    </w:p>
    <w:p w:rsidR="000B3091" w:rsidRPr="0005234D" w:rsidRDefault="000B3091" w:rsidP="000B3091">
      <w:pPr>
        <w:ind w:firstLine="720"/>
        <w:rPr>
          <w:bCs/>
          <w:szCs w:val="22"/>
        </w:rPr>
      </w:pPr>
      <w:r w:rsidRPr="00423D28">
        <w:rPr>
          <w:bCs/>
          <w:i/>
          <w:szCs w:val="22"/>
        </w:rPr>
        <w:t>For more detail on PBAC’s view, see section 7 “PBAC outcome”</w:t>
      </w:r>
    </w:p>
    <w:p w:rsidR="001A51B6" w:rsidRDefault="001A51B6" w:rsidP="007D4081">
      <w:pPr>
        <w:pStyle w:val="ListParagraph"/>
        <w:widowControl/>
        <w:rPr>
          <w:szCs w:val="22"/>
        </w:rPr>
      </w:pPr>
    </w:p>
    <w:p w:rsidR="005D0892" w:rsidRPr="0036391F" w:rsidRDefault="005D0892" w:rsidP="007D4081">
      <w:pPr>
        <w:pStyle w:val="ListParagraph"/>
        <w:widowControl/>
        <w:rPr>
          <w:szCs w:val="22"/>
        </w:rPr>
      </w:pPr>
    </w:p>
    <w:p w:rsidR="00B50DB8" w:rsidRDefault="00BD6CF3" w:rsidP="00BD6CF3">
      <w:pPr>
        <w:pStyle w:val="PBACHeading1"/>
      </w:pPr>
      <w:bookmarkStart w:id="8" w:name="_Toc472349917"/>
      <w:r w:rsidRPr="0036391F">
        <w:t>C</w:t>
      </w:r>
      <w:r w:rsidR="00B50DB8" w:rsidRPr="0036391F">
        <w:t>onsideration of the evidence</w:t>
      </w:r>
      <w:bookmarkEnd w:id="8"/>
    </w:p>
    <w:p w:rsidR="000B3091" w:rsidRPr="005D0892" w:rsidRDefault="000B3091" w:rsidP="000B3091">
      <w:pPr>
        <w:rPr>
          <w:b/>
          <w:bCs/>
          <w:i/>
          <w:szCs w:val="22"/>
          <w:highlight w:val="yellow"/>
        </w:rPr>
      </w:pPr>
    </w:p>
    <w:p w:rsidR="000B3091" w:rsidRPr="00FD34C8" w:rsidRDefault="000B3091" w:rsidP="00FD34C8">
      <w:pPr>
        <w:pStyle w:val="Heading2"/>
        <w:rPr>
          <w:i/>
        </w:rPr>
      </w:pPr>
      <w:r w:rsidRPr="00FD34C8">
        <w:rPr>
          <w:i/>
        </w:rPr>
        <w:t>Sponsor hearing</w:t>
      </w:r>
    </w:p>
    <w:p w:rsidR="000B3091" w:rsidRPr="00C16DD1" w:rsidRDefault="000B3091" w:rsidP="000B3091">
      <w:pPr>
        <w:rPr>
          <w:b/>
          <w:bCs/>
          <w:szCs w:val="22"/>
        </w:rPr>
      </w:pPr>
    </w:p>
    <w:p w:rsidR="003E00E3" w:rsidRPr="00FD52DB" w:rsidRDefault="005F69EF" w:rsidP="00E63B1A">
      <w:pPr>
        <w:widowControl/>
        <w:numPr>
          <w:ilvl w:val="1"/>
          <w:numId w:val="3"/>
        </w:numPr>
        <w:rPr>
          <w:bCs/>
          <w:szCs w:val="22"/>
        </w:rPr>
      </w:pPr>
      <w:r w:rsidRPr="00423D28">
        <w:rPr>
          <w:bCs/>
          <w:szCs w:val="22"/>
        </w:rPr>
        <w:t xml:space="preserve">The sponsor requested a hearing for this item. </w:t>
      </w:r>
      <w:r w:rsidR="000615D0" w:rsidRPr="00423D28">
        <w:rPr>
          <w:bCs/>
          <w:szCs w:val="22"/>
        </w:rPr>
        <w:t xml:space="preserve">The clinician reiterated that uveitis was </w:t>
      </w:r>
      <w:r w:rsidR="000615D0" w:rsidRPr="00FD52DB">
        <w:rPr>
          <w:bCs/>
          <w:szCs w:val="22"/>
        </w:rPr>
        <w:t xml:space="preserve">the third leading cause of preventable blindness. Although </w:t>
      </w:r>
      <w:r w:rsidR="000C677D" w:rsidRPr="00FD52DB">
        <w:t xml:space="preserve">non-infectious intermediate, posterior or </w:t>
      </w:r>
      <w:proofErr w:type="spellStart"/>
      <w:r w:rsidR="000C677D" w:rsidRPr="00FD52DB">
        <w:t>panuveitis</w:t>
      </w:r>
      <w:proofErr w:type="spellEnd"/>
      <w:r w:rsidR="000C677D" w:rsidRPr="00FD52DB">
        <w:rPr>
          <w:bCs/>
          <w:szCs w:val="22"/>
        </w:rPr>
        <w:t xml:space="preserve"> </w:t>
      </w:r>
      <w:r w:rsidR="000615D0" w:rsidRPr="00FD52DB">
        <w:rPr>
          <w:bCs/>
          <w:szCs w:val="22"/>
        </w:rPr>
        <w:t xml:space="preserve">was less common, it caused a disproportionate level of disability, particularly in those of working age. The </w:t>
      </w:r>
      <w:r w:rsidR="00A128F3" w:rsidRPr="00FD52DB">
        <w:rPr>
          <w:bCs/>
          <w:szCs w:val="22"/>
        </w:rPr>
        <w:t>clinician</w:t>
      </w:r>
      <w:r w:rsidR="000615D0" w:rsidRPr="00FD52DB">
        <w:rPr>
          <w:bCs/>
          <w:szCs w:val="22"/>
        </w:rPr>
        <w:t xml:space="preserve"> presented a case study</w:t>
      </w:r>
      <w:r w:rsidR="003E00E3" w:rsidRPr="00FD52DB">
        <w:rPr>
          <w:bCs/>
          <w:szCs w:val="22"/>
        </w:rPr>
        <w:t xml:space="preserve"> which highlighted the benefits of adalimumab</w:t>
      </w:r>
      <w:r w:rsidR="00A128F3" w:rsidRPr="00FD52DB">
        <w:rPr>
          <w:bCs/>
          <w:szCs w:val="22"/>
        </w:rPr>
        <w:t xml:space="preserve"> including </w:t>
      </w:r>
      <w:r w:rsidR="000C677D" w:rsidRPr="00FD52DB">
        <w:rPr>
          <w:bCs/>
          <w:szCs w:val="22"/>
        </w:rPr>
        <w:t>the reduc</w:t>
      </w:r>
      <w:r w:rsidR="009E0138" w:rsidRPr="00FD52DB">
        <w:rPr>
          <w:bCs/>
          <w:szCs w:val="22"/>
        </w:rPr>
        <w:t xml:space="preserve">tion in </w:t>
      </w:r>
      <w:r w:rsidR="000C677D" w:rsidRPr="00FD52DB">
        <w:rPr>
          <w:bCs/>
          <w:szCs w:val="22"/>
        </w:rPr>
        <w:t>corticosteroid</w:t>
      </w:r>
      <w:r w:rsidR="009E0138" w:rsidRPr="00FD52DB">
        <w:rPr>
          <w:bCs/>
          <w:szCs w:val="22"/>
        </w:rPr>
        <w:t xml:space="preserve"> needed</w:t>
      </w:r>
      <w:r w:rsidR="000C677D" w:rsidRPr="00FD52DB">
        <w:rPr>
          <w:bCs/>
          <w:szCs w:val="22"/>
        </w:rPr>
        <w:t xml:space="preserve"> and </w:t>
      </w:r>
      <w:r w:rsidR="00AB5221" w:rsidRPr="00FD52DB">
        <w:rPr>
          <w:bCs/>
          <w:szCs w:val="22"/>
        </w:rPr>
        <w:t xml:space="preserve">the patient’s </w:t>
      </w:r>
      <w:r w:rsidR="000C677D" w:rsidRPr="00FD52DB">
        <w:rPr>
          <w:bCs/>
          <w:szCs w:val="22"/>
        </w:rPr>
        <w:t>improved quality of life</w:t>
      </w:r>
      <w:r w:rsidR="000615D0" w:rsidRPr="00FD52DB">
        <w:rPr>
          <w:bCs/>
          <w:szCs w:val="22"/>
        </w:rPr>
        <w:t>.</w:t>
      </w:r>
      <w:r w:rsidR="003E00E3" w:rsidRPr="00FD52DB">
        <w:rPr>
          <w:bCs/>
          <w:szCs w:val="22"/>
        </w:rPr>
        <w:t xml:space="preserve"> </w:t>
      </w:r>
    </w:p>
    <w:p w:rsidR="00C16DD1" w:rsidRPr="00FD52DB" w:rsidRDefault="00C16DD1" w:rsidP="00C16DD1">
      <w:pPr>
        <w:widowControl/>
        <w:jc w:val="left"/>
        <w:rPr>
          <w:bCs/>
          <w:szCs w:val="22"/>
        </w:rPr>
      </w:pPr>
    </w:p>
    <w:p w:rsidR="00EC6AA6" w:rsidRPr="00FD52DB" w:rsidRDefault="003E00E3" w:rsidP="00E63B1A">
      <w:pPr>
        <w:widowControl/>
        <w:numPr>
          <w:ilvl w:val="1"/>
          <w:numId w:val="3"/>
        </w:numPr>
        <w:rPr>
          <w:bCs/>
          <w:szCs w:val="22"/>
        </w:rPr>
      </w:pPr>
      <w:r w:rsidRPr="00FD52DB">
        <w:rPr>
          <w:bCs/>
          <w:szCs w:val="22"/>
        </w:rPr>
        <w:t>The clinician addressed other matters in response to the PBAC’s questions</w:t>
      </w:r>
      <w:r w:rsidR="00305A67" w:rsidRPr="00FD52DB">
        <w:rPr>
          <w:bCs/>
          <w:szCs w:val="22"/>
        </w:rPr>
        <w:t>.</w:t>
      </w:r>
      <w:r w:rsidRPr="00FD52DB">
        <w:rPr>
          <w:bCs/>
          <w:szCs w:val="22"/>
        </w:rPr>
        <w:t xml:space="preserve"> </w:t>
      </w:r>
      <w:r w:rsidR="009E520D" w:rsidRPr="00FD52DB">
        <w:rPr>
          <w:bCs/>
          <w:szCs w:val="22"/>
        </w:rPr>
        <w:t xml:space="preserve">The </w:t>
      </w:r>
      <w:r w:rsidRPr="00FD52DB">
        <w:rPr>
          <w:bCs/>
          <w:szCs w:val="22"/>
        </w:rPr>
        <w:t xml:space="preserve">most </w:t>
      </w:r>
      <w:r w:rsidR="00A81A80" w:rsidRPr="00FD52DB">
        <w:rPr>
          <w:bCs/>
          <w:szCs w:val="22"/>
        </w:rPr>
        <w:t xml:space="preserve">severe </w:t>
      </w:r>
      <w:r w:rsidRPr="00FD52DB">
        <w:rPr>
          <w:bCs/>
          <w:szCs w:val="22"/>
        </w:rPr>
        <w:t xml:space="preserve">cases require two to three courses of corticosteroids </w:t>
      </w:r>
      <w:r w:rsidR="00A81A80" w:rsidRPr="00FD52DB">
        <w:rPr>
          <w:bCs/>
          <w:szCs w:val="22"/>
        </w:rPr>
        <w:t>per year</w:t>
      </w:r>
      <w:r w:rsidRPr="00FD52DB">
        <w:rPr>
          <w:bCs/>
          <w:szCs w:val="22"/>
        </w:rPr>
        <w:t xml:space="preserve">. </w:t>
      </w:r>
      <w:r w:rsidR="008D0F47" w:rsidRPr="00FD52DB">
        <w:rPr>
          <w:bCs/>
          <w:szCs w:val="22"/>
        </w:rPr>
        <w:t>O</w:t>
      </w:r>
      <w:r w:rsidRPr="00FD52DB">
        <w:rPr>
          <w:bCs/>
          <w:szCs w:val="22"/>
        </w:rPr>
        <w:t>n average</w:t>
      </w:r>
      <w:r w:rsidR="00001C59" w:rsidRPr="00FD52DB">
        <w:rPr>
          <w:bCs/>
          <w:szCs w:val="22"/>
        </w:rPr>
        <w:t>,</w:t>
      </w:r>
      <w:r w:rsidRPr="00FD52DB">
        <w:rPr>
          <w:bCs/>
          <w:szCs w:val="22"/>
        </w:rPr>
        <w:t xml:space="preserve"> </w:t>
      </w:r>
      <w:r w:rsidR="006C7D90" w:rsidRPr="00FD52DB">
        <w:rPr>
          <w:bCs/>
          <w:szCs w:val="22"/>
        </w:rPr>
        <w:t>uveitis</w:t>
      </w:r>
      <w:r w:rsidRPr="00FD52DB">
        <w:rPr>
          <w:bCs/>
          <w:szCs w:val="22"/>
        </w:rPr>
        <w:t xml:space="preserve"> stabilise</w:t>
      </w:r>
      <w:r w:rsidR="009E520D" w:rsidRPr="00FD52DB">
        <w:rPr>
          <w:bCs/>
          <w:szCs w:val="22"/>
        </w:rPr>
        <w:t>s</w:t>
      </w:r>
      <w:r w:rsidRPr="00FD52DB">
        <w:rPr>
          <w:bCs/>
          <w:szCs w:val="22"/>
        </w:rPr>
        <w:t xml:space="preserve"> after two years, </w:t>
      </w:r>
      <w:r w:rsidR="00001C59" w:rsidRPr="00FD52DB">
        <w:rPr>
          <w:bCs/>
          <w:szCs w:val="22"/>
        </w:rPr>
        <w:t xml:space="preserve">and treatment </w:t>
      </w:r>
      <w:r w:rsidR="00537729" w:rsidRPr="00FD52DB">
        <w:rPr>
          <w:bCs/>
          <w:szCs w:val="22"/>
        </w:rPr>
        <w:t xml:space="preserve">with adalimumab </w:t>
      </w:r>
      <w:r w:rsidR="00001C59" w:rsidRPr="00FD52DB">
        <w:rPr>
          <w:bCs/>
          <w:szCs w:val="22"/>
        </w:rPr>
        <w:t xml:space="preserve">would be tapered at that point; </w:t>
      </w:r>
      <w:r w:rsidR="009E520D" w:rsidRPr="00FD52DB">
        <w:rPr>
          <w:bCs/>
          <w:szCs w:val="22"/>
        </w:rPr>
        <w:t xml:space="preserve">with </w:t>
      </w:r>
      <w:r w:rsidR="00001C59" w:rsidRPr="00FD52DB">
        <w:rPr>
          <w:bCs/>
          <w:szCs w:val="22"/>
        </w:rPr>
        <w:t xml:space="preserve">most ocular complication </w:t>
      </w:r>
      <w:r w:rsidR="009E520D" w:rsidRPr="00FD52DB">
        <w:rPr>
          <w:bCs/>
          <w:szCs w:val="22"/>
        </w:rPr>
        <w:t>having</w:t>
      </w:r>
      <w:r w:rsidR="00001C59" w:rsidRPr="00FD52DB">
        <w:rPr>
          <w:bCs/>
          <w:szCs w:val="22"/>
        </w:rPr>
        <w:t xml:space="preserve"> occurred within </w:t>
      </w:r>
      <w:r w:rsidR="009E520D" w:rsidRPr="00FD52DB">
        <w:rPr>
          <w:bCs/>
          <w:szCs w:val="22"/>
        </w:rPr>
        <w:t>this period</w:t>
      </w:r>
      <w:r w:rsidRPr="00FD52DB">
        <w:rPr>
          <w:bCs/>
          <w:szCs w:val="22"/>
        </w:rPr>
        <w:t xml:space="preserve">. </w:t>
      </w:r>
      <w:r w:rsidR="0001721B" w:rsidRPr="00FD52DB">
        <w:rPr>
          <w:bCs/>
          <w:szCs w:val="22"/>
        </w:rPr>
        <w:t xml:space="preserve">Corticosteroid doses are slowly tapered to reduce the adverse effects of long term corticosteroid use. </w:t>
      </w:r>
      <w:r w:rsidRPr="00FD52DB">
        <w:rPr>
          <w:bCs/>
          <w:szCs w:val="22"/>
        </w:rPr>
        <w:t>Currently, there is a small number</w:t>
      </w:r>
      <w:r w:rsidR="00E63B1A" w:rsidRPr="00FD52DB">
        <w:rPr>
          <w:bCs/>
          <w:szCs w:val="22"/>
        </w:rPr>
        <w:t xml:space="preserve"> of patients</w:t>
      </w:r>
      <w:r w:rsidRPr="00FD52DB">
        <w:rPr>
          <w:bCs/>
          <w:szCs w:val="22"/>
        </w:rPr>
        <w:t xml:space="preserve"> in Australia,</w:t>
      </w:r>
      <w:r w:rsidR="0053632F" w:rsidRPr="00FD52DB">
        <w:rPr>
          <w:bCs/>
          <w:szCs w:val="22"/>
        </w:rPr>
        <w:t xml:space="preserve"> with around 1-2 patients accessing adalimumab each month. </w:t>
      </w:r>
      <w:r w:rsidR="00FD52DB" w:rsidRPr="00FD52DB">
        <w:rPr>
          <w:bCs/>
          <w:szCs w:val="22"/>
        </w:rPr>
        <w:t>A</w:t>
      </w:r>
      <w:proofErr w:type="spellStart"/>
      <w:r w:rsidR="00FD52DB" w:rsidRPr="00FD52DB">
        <w:rPr>
          <w:bCs/>
          <w:lang w:val="en-GB"/>
        </w:rPr>
        <w:t>lthough</w:t>
      </w:r>
      <w:proofErr w:type="spellEnd"/>
      <w:r w:rsidR="00FD52DB" w:rsidRPr="00FD52DB">
        <w:rPr>
          <w:bCs/>
          <w:lang w:val="en-GB"/>
        </w:rPr>
        <w:t xml:space="preserve"> almost all patients will experience flare, </w:t>
      </w:r>
      <w:r w:rsidR="00FD52DB" w:rsidRPr="00FD52DB">
        <w:rPr>
          <w:bCs/>
          <w:szCs w:val="22"/>
        </w:rPr>
        <w:t>b</w:t>
      </w:r>
      <w:r w:rsidR="00EC6AA6" w:rsidRPr="00FD52DB">
        <w:rPr>
          <w:bCs/>
          <w:szCs w:val="22"/>
        </w:rPr>
        <w:t xml:space="preserve">ased on </w:t>
      </w:r>
      <w:r w:rsidR="00FD52DB" w:rsidRPr="00FD52DB">
        <w:rPr>
          <w:bCs/>
          <w:szCs w:val="22"/>
        </w:rPr>
        <w:t xml:space="preserve">a </w:t>
      </w:r>
      <w:r w:rsidR="00EC6AA6" w:rsidRPr="00FD52DB">
        <w:rPr>
          <w:bCs/>
          <w:szCs w:val="22"/>
        </w:rPr>
        <w:t xml:space="preserve">retrospective </w:t>
      </w:r>
      <w:r w:rsidR="00537729" w:rsidRPr="00FD52DB">
        <w:rPr>
          <w:bCs/>
          <w:szCs w:val="22"/>
        </w:rPr>
        <w:t xml:space="preserve">cohort </w:t>
      </w:r>
      <w:r w:rsidR="00FD52DB" w:rsidRPr="00FD52DB">
        <w:rPr>
          <w:bCs/>
          <w:szCs w:val="22"/>
        </w:rPr>
        <w:t>study</w:t>
      </w:r>
      <w:r w:rsidR="00EC6AA6" w:rsidRPr="00FD52DB">
        <w:rPr>
          <w:bCs/>
          <w:szCs w:val="22"/>
        </w:rPr>
        <w:t xml:space="preserve"> (Dick et al 2016) patients with non-infectious intermediate, posterior and pan-uveitis had a 57.8% risk of developing any ocular complications compared with 16.7% in matched controls (p&lt;0.0001).</w:t>
      </w:r>
    </w:p>
    <w:p w:rsidR="00EC6AA6" w:rsidRPr="00FD52DB" w:rsidRDefault="00EC6AA6" w:rsidP="00EC6AA6">
      <w:pPr>
        <w:widowControl/>
        <w:ind w:left="720"/>
        <w:jc w:val="left"/>
        <w:rPr>
          <w:bCs/>
          <w:szCs w:val="22"/>
        </w:rPr>
      </w:pPr>
    </w:p>
    <w:p w:rsidR="000B3091" w:rsidRPr="00FD52DB" w:rsidRDefault="0053632F" w:rsidP="00E63B1A">
      <w:pPr>
        <w:widowControl/>
        <w:numPr>
          <w:ilvl w:val="1"/>
          <w:numId w:val="3"/>
        </w:numPr>
        <w:rPr>
          <w:bCs/>
          <w:szCs w:val="22"/>
        </w:rPr>
      </w:pPr>
      <w:r w:rsidRPr="00FD52DB">
        <w:rPr>
          <w:bCs/>
          <w:szCs w:val="22"/>
        </w:rPr>
        <w:t>The PBAC considered that the hearing was informative as it provided a clinical perspective on treating this uncommon disease.</w:t>
      </w:r>
    </w:p>
    <w:p w:rsidR="000B3091" w:rsidRPr="00FD34C8" w:rsidRDefault="000B3091" w:rsidP="003D4866">
      <w:pPr>
        <w:pStyle w:val="Heading2"/>
        <w:keepNext/>
        <w:rPr>
          <w:i/>
        </w:rPr>
      </w:pPr>
      <w:r w:rsidRPr="00FD34C8">
        <w:rPr>
          <w:i/>
        </w:rPr>
        <w:lastRenderedPageBreak/>
        <w:t>Consumer comments</w:t>
      </w:r>
    </w:p>
    <w:p w:rsidR="000B3091" w:rsidRPr="00983322" w:rsidRDefault="000B3091" w:rsidP="000B3091">
      <w:pPr>
        <w:rPr>
          <w:b/>
          <w:bCs/>
          <w:szCs w:val="22"/>
        </w:rPr>
      </w:pPr>
    </w:p>
    <w:p w:rsidR="000B3091" w:rsidRPr="00423D28" w:rsidRDefault="000B3091" w:rsidP="00DE2F9A">
      <w:pPr>
        <w:widowControl/>
        <w:numPr>
          <w:ilvl w:val="1"/>
          <w:numId w:val="3"/>
        </w:numPr>
        <w:rPr>
          <w:bCs/>
          <w:szCs w:val="22"/>
        </w:rPr>
      </w:pPr>
      <w:r w:rsidRPr="00423D28">
        <w:rPr>
          <w:bCs/>
          <w:szCs w:val="22"/>
        </w:rPr>
        <w:t>The PBAC noted and welcomed the input from health care profes</w:t>
      </w:r>
      <w:r w:rsidR="008A7BDE">
        <w:rPr>
          <w:bCs/>
          <w:szCs w:val="22"/>
        </w:rPr>
        <w:t>sionals (</w:t>
      </w:r>
      <w:r w:rsidR="00341B89">
        <w:rPr>
          <w:bCs/>
          <w:szCs w:val="22"/>
        </w:rPr>
        <w:t>2</w:t>
      </w:r>
      <w:r w:rsidR="008A7BDE">
        <w:rPr>
          <w:bCs/>
          <w:szCs w:val="22"/>
        </w:rPr>
        <w:t>) and organisations (</w:t>
      </w:r>
      <w:r w:rsidR="00341B89">
        <w:rPr>
          <w:bCs/>
          <w:szCs w:val="22"/>
        </w:rPr>
        <w:t>2</w:t>
      </w:r>
      <w:r w:rsidRPr="00423D28">
        <w:rPr>
          <w:bCs/>
          <w:szCs w:val="22"/>
        </w:rPr>
        <w:t xml:space="preserve">) via the Consumer Comments facility on the PBS website. The comments described a range of benefits of treatment with </w:t>
      </w:r>
      <w:r w:rsidR="00D96532" w:rsidRPr="00423D28">
        <w:rPr>
          <w:bCs/>
          <w:szCs w:val="22"/>
        </w:rPr>
        <w:t xml:space="preserve">adalimumab </w:t>
      </w:r>
      <w:r w:rsidRPr="00423D28">
        <w:rPr>
          <w:bCs/>
          <w:szCs w:val="22"/>
        </w:rPr>
        <w:t>including</w:t>
      </w:r>
      <w:r w:rsidR="00BB763A" w:rsidRPr="00423D28">
        <w:rPr>
          <w:bCs/>
          <w:szCs w:val="22"/>
        </w:rPr>
        <w:t xml:space="preserve"> reducing the use of corticosteroids which in turn could reduce the side effects associated with these drugs</w:t>
      </w:r>
      <w:r w:rsidR="00DE2F9A">
        <w:rPr>
          <w:bCs/>
          <w:szCs w:val="22"/>
        </w:rPr>
        <w:t>,</w:t>
      </w:r>
      <w:r w:rsidR="00BB763A" w:rsidRPr="00423D28">
        <w:rPr>
          <w:bCs/>
          <w:szCs w:val="22"/>
        </w:rPr>
        <w:t xml:space="preserve"> </w:t>
      </w:r>
      <w:r w:rsidR="003D3506">
        <w:rPr>
          <w:bCs/>
          <w:szCs w:val="22"/>
        </w:rPr>
        <w:t>and reducing vision impairment.</w:t>
      </w:r>
    </w:p>
    <w:p w:rsidR="000B3091" w:rsidRPr="00423D28" w:rsidRDefault="000B3091" w:rsidP="00DE2F9A">
      <w:pPr>
        <w:rPr>
          <w:bCs/>
          <w:szCs w:val="22"/>
        </w:rPr>
      </w:pPr>
    </w:p>
    <w:p w:rsidR="00E14A39" w:rsidRPr="00423D28" w:rsidRDefault="00E14A39" w:rsidP="00DE2F9A">
      <w:pPr>
        <w:widowControl/>
        <w:numPr>
          <w:ilvl w:val="1"/>
          <w:numId w:val="3"/>
        </w:numPr>
        <w:rPr>
          <w:bCs/>
          <w:szCs w:val="22"/>
        </w:rPr>
      </w:pPr>
      <w:r w:rsidRPr="00423D28">
        <w:rPr>
          <w:bCs/>
          <w:szCs w:val="22"/>
        </w:rPr>
        <w:t>The PBAC noted the advice received from the Royal Children’s Hospital</w:t>
      </w:r>
      <w:r w:rsidR="006C146D">
        <w:rPr>
          <w:bCs/>
          <w:szCs w:val="22"/>
        </w:rPr>
        <w:t xml:space="preserve"> Melbourne</w:t>
      </w:r>
      <w:r w:rsidRPr="00423D28">
        <w:rPr>
          <w:bCs/>
          <w:szCs w:val="22"/>
        </w:rPr>
        <w:t xml:space="preserve"> </w:t>
      </w:r>
      <w:r>
        <w:rPr>
          <w:bCs/>
          <w:szCs w:val="22"/>
        </w:rPr>
        <w:t xml:space="preserve">outlining </w:t>
      </w:r>
      <w:r w:rsidRPr="00423D28">
        <w:rPr>
          <w:bCs/>
          <w:szCs w:val="22"/>
        </w:rPr>
        <w:t xml:space="preserve">the likely use of adalimumab in the paediatric population in clinical practice. The PBAC noted the different dose for the paediatric population and that patients can be weaned off adalimumab after 6 months of stabilising the uveitis. The Royal Victorian Eye and Ear Hospital and the Royal Australian and New Zealand College of Ophthalmologists were also supportive of adalimumab being made available on the PBS for non-infectious vision threatening intermediate, posterior or </w:t>
      </w:r>
      <w:proofErr w:type="spellStart"/>
      <w:r w:rsidRPr="00423D28">
        <w:rPr>
          <w:bCs/>
          <w:szCs w:val="22"/>
        </w:rPr>
        <w:t>panuveitis</w:t>
      </w:r>
      <w:proofErr w:type="spellEnd"/>
      <w:r w:rsidRPr="00423D28">
        <w:rPr>
          <w:bCs/>
          <w:szCs w:val="22"/>
        </w:rPr>
        <w:t xml:space="preserve">. Both organisations noted this is the first TGA approved medication specifically for this disease indication. </w:t>
      </w:r>
    </w:p>
    <w:p w:rsidR="00B60939" w:rsidRPr="00C3674F" w:rsidRDefault="00B60939" w:rsidP="004B1CB4"/>
    <w:p w:rsidR="00B60939" w:rsidRPr="00C3674F" w:rsidRDefault="00B60939" w:rsidP="002C2775">
      <w:pPr>
        <w:pStyle w:val="Heading2"/>
        <w:rPr>
          <w:i/>
        </w:rPr>
      </w:pPr>
      <w:bookmarkStart w:id="9" w:name="_Toc472349918"/>
      <w:r w:rsidRPr="00C3674F">
        <w:rPr>
          <w:i/>
        </w:rPr>
        <w:t>Clinical trials</w:t>
      </w:r>
      <w:bookmarkEnd w:id="9"/>
    </w:p>
    <w:p w:rsidR="00B60939" w:rsidRPr="00C3674F" w:rsidRDefault="00B60939" w:rsidP="00B60939">
      <w:pPr>
        <w:rPr>
          <w:szCs w:val="22"/>
        </w:rPr>
      </w:pPr>
    </w:p>
    <w:p w:rsidR="007F1017" w:rsidRPr="0036391F" w:rsidRDefault="007D4081" w:rsidP="003C3B16">
      <w:pPr>
        <w:pStyle w:val="ListParagraph"/>
        <w:widowControl/>
        <w:numPr>
          <w:ilvl w:val="1"/>
          <w:numId w:val="3"/>
        </w:numPr>
        <w:rPr>
          <w:szCs w:val="22"/>
        </w:rPr>
      </w:pPr>
      <w:r w:rsidRPr="0036391F">
        <w:t>The submission was based on two</w:t>
      </w:r>
      <w:r w:rsidR="00862502" w:rsidRPr="0036391F">
        <w:t xml:space="preserve"> head-to-head trial</w:t>
      </w:r>
      <w:r w:rsidRPr="0036391F">
        <w:t>s</w:t>
      </w:r>
      <w:r w:rsidR="00862502" w:rsidRPr="0036391F">
        <w:t xml:space="preserve"> comparing </w:t>
      </w:r>
      <w:r w:rsidRPr="0036391F">
        <w:t>adalimumab</w:t>
      </w:r>
      <w:r w:rsidR="00862502" w:rsidRPr="0036391F">
        <w:t xml:space="preserve"> to </w:t>
      </w:r>
      <w:r w:rsidRPr="0036391F">
        <w:t>placebo</w:t>
      </w:r>
      <w:r w:rsidR="003C3B16" w:rsidRPr="0036391F">
        <w:t>,</w:t>
      </w:r>
      <w:r w:rsidRPr="0036391F">
        <w:t xml:space="preserve"> </w:t>
      </w:r>
      <w:r w:rsidR="003C3B16" w:rsidRPr="0036391F">
        <w:t xml:space="preserve">with standard of care used in both arms (oral corticosteroid with or without immunomodulatory therapy), </w:t>
      </w:r>
      <w:r w:rsidRPr="0036391F">
        <w:t>in patients with non-infectious intermediate</w:t>
      </w:r>
      <w:r w:rsidR="00B13CA8" w:rsidRPr="0036391F">
        <w:t xml:space="preserve"> uveitis</w:t>
      </w:r>
      <w:r w:rsidRPr="0036391F">
        <w:t xml:space="preserve">, posterior </w:t>
      </w:r>
      <w:r w:rsidR="00B13CA8" w:rsidRPr="0036391F">
        <w:t xml:space="preserve">uveitis </w:t>
      </w:r>
      <w:r w:rsidRPr="0036391F">
        <w:t xml:space="preserve">and </w:t>
      </w:r>
      <w:proofErr w:type="spellStart"/>
      <w:r w:rsidRPr="0036391F">
        <w:t>panuveitis</w:t>
      </w:r>
      <w:proofErr w:type="spellEnd"/>
      <w:r w:rsidRPr="0036391F">
        <w:t xml:space="preserve"> (VISUAL I and VISUAL II), with additional long term data provided from an open label extension study (VISUAL III)</w:t>
      </w:r>
      <w:r w:rsidR="00862502" w:rsidRPr="0036391F">
        <w:t>.</w:t>
      </w:r>
    </w:p>
    <w:p w:rsidR="00862502" w:rsidRPr="0036391F" w:rsidRDefault="00862502" w:rsidP="00862502">
      <w:pPr>
        <w:widowControl/>
        <w:rPr>
          <w:szCs w:val="22"/>
        </w:rPr>
      </w:pPr>
    </w:p>
    <w:p w:rsidR="00862502" w:rsidRPr="00D86E5E" w:rsidRDefault="00862502" w:rsidP="00862502">
      <w:pPr>
        <w:pStyle w:val="ListParagraph"/>
        <w:widowControl/>
        <w:numPr>
          <w:ilvl w:val="1"/>
          <w:numId w:val="3"/>
        </w:numPr>
        <w:rPr>
          <w:szCs w:val="22"/>
        </w:rPr>
      </w:pPr>
      <w:r w:rsidRPr="00D86E5E">
        <w:rPr>
          <w:szCs w:val="22"/>
        </w:rPr>
        <w:t>Details of the trials presented in the submission</w:t>
      </w:r>
      <w:r w:rsidR="00AF2DAC" w:rsidRPr="00D86E5E">
        <w:rPr>
          <w:szCs w:val="22"/>
        </w:rPr>
        <w:t xml:space="preserve"> and the supportive longer term comparison</w:t>
      </w:r>
      <w:r w:rsidRPr="00D86E5E">
        <w:rPr>
          <w:szCs w:val="22"/>
        </w:rPr>
        <w:t xml:space="preserve"> are provided in the table below.</w:t>
      </w:r>
    </w:p>
    <w:p w:rsidR="00EB3683" w:rsidRPr="0036391F" w:rsidRDefault="00EB3683">
      <w:pPr>
        <w:widowControl/>
        <w:jc w:val="left"/>
        <w:rPr>
          <w:rStyle w:val="CommentReference"/>
        </w:rPr>
      </w:pPr>
    </w:p>
    <w:p w:rsidR="003D4866" w:rsidRDefault="003D4866">
      <w:pPr>
        <w:widowControl/>
        <w:jc w:val="left"/>
        <w:rPr>
          <w:rStyle w:val="CommentReference"/>
        </w:rPr>
      </w:pPr>
      <w:r>
        <w:rPr>
          <w:rStyle w:val="CommentReference"/>
        </w:rPr>
        <w:br w:type="page"/>
      </w:r>
    </w:p>
    <w:p w:rsidR="007D4081" w:rsidRPr="0036391F" w:rsidRDefault="007D4081" w:rsidP="007D4081">
      <w:pPr>
        <w:ind w:left="709" w:firstLine="11"/>
        <w:rPr>
          <w:rStyle w:val="CommentReference"/>
        </w:rPr>
      </w:pPr>
      <w:r w:rsidRPr="0036391F">
        <w:rPr>
          <w:rStyle w:val="CommentReference"/>
        </w:rPr>
        <w:lastRenderedPageBreak/>
        <w:t>Table 1: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6"/>
        <w:gridCol w:w="5241"/>
        <w:gridCol w:w="2108"/>
      </w:tblGrid>
      <w:tr w:rsidR="007D4081" w:rsidRPr="0036391F" w:rsidTr="003D4866">
        <w:tc>
          <w:tcPr>
            <w:tcW w:w="597" w:type="pct"/>
          </w:tcPr>
          <w:p w:rsidR="007D4081" w:rsidRPr="0036391F" w:rsidRDefault="007D4081" w:rsidP="00AF2DAC">
            <w:pPr>
              <w:jc w:val="left"/>
              <w:rPr>
                <w:rFonts w:ascii="Arial Narrow" w:hAnsi="Arial Narrow"/>
                <w:b/>
                <w:sz w:val="20"/>
              </w:rPr>
            </w:pPr>
            <w:r w:rsidRPr="0036391F">
              <w:rPr>
                <w:rFonts w:ascii="Arial Narrow" w:hAnsi="Arial Narrow"/>
                <w:b/>
                <w:sz w:val="20"/>
              </w:rPr>
              <w:t>Trial ID</w:t>
            </w:r>
          </w:p>
        </w:tc>
        <w:tc>
          <w:tcPr>
            <w:tcW w:w="3140" w:type="pct"/>
          </w:tcPr>
          <w:p w:rsidR="007D4081" w:rsidRPr="0036391F" w:rsidRDefault="007D4081" w:rsidP="00AF2DAC">
            <w:pPr>
              <w:jc w:val="center"/>
              <w:rPr>
                <w:rFonts w:ascii="Arial Narrow" w:hAnsi="Arial Narrow"/>
                <w:b/>
                <w:sz w:val="20"/>
              </w:rPr>
            </w:pPr>
            <w:r w:rsidRPr="0036391F">
              <w:rPr>
                <w:rFonts w:ascii="Arial Narrow" w:hAnsi="Arial Narrow"/>
                <w:b/>
                <w:sz w:val="20"/>
              </w:rPr>
              <w:t>Protocol title/ Publication title</w:t>
            </w:r>
          </w:p>
        </w:tc>
        <w:tc>
          <w:tcPr>
            <w:tcW w:w="1263" w:type="pct"/>
          </w:tcPr>
          <w:p w:rsidR="007D4081" w:rsidRPr="0036391F" w:rsidRDefault="007D4081" w:rsidP="00AF2DAC">
            <w:pPr>
              <w:jc w:val="center"/>
              <w:rPr>
                <w:rFonts w:ascii="Arial Narrow" w:hAnsi="Arial Narrow"/>
                <w:b/>
                <w:sz w:val="20"/>
              </w:rPr>
            </w:pPr>
            <w:r w:rsidRPr="0036391F">
              <w:rPr>
                <w:rFonts w:ascii="Arial Narrow" w:hAnsi="Arial Narrow"/>
                <w:b/>
                <w:sz w:val="20"/>
              </w:rPr>
              <w:t>Publication citation</w:t>
            </w:r>
          </w:p>
        </w:tc>
      </w:tr>
      <w:tr w:rsidR="007D4081" w:rsidRPr="0036391F" w:rsidTr="007D4081">
        <w:tc>
          <w:tcPr>
            <w:tcW w:w="5000" w:type="pct"/>
            <w:gridSpan w:val="3"/>
          </w:tcPr>
          <w:p w:rsidR="007D4081" w:rsidRPr="0036391F" w:rsidRDefault="007D4081" w:rsidP="00AF2DAC">
            <w:pPr>
              <w:jc w:val="left"/>
              <w:rPr>
                <w:rFonts w:ascii="Arial Narrow" w:hAnsi="Arial Narrow"/>
                <w:b/>
                <w:sz w:val="20"/>
              </w:rPr>
            </w:pPr>
            <w:r w:rsidRPr="0036391F">
              <w:rPr>
                <w:rFonts w:ascii="Arial Narrow" w:hAnsi="Arial Narrow"/>
                <w:b/>
                <w:sz w:val="20"/>
              </w:rPr>
              <w:t>Direct randomised trial(s)</w:t>
            </w:r>
          </w:p>
        </w:tc>
      </w:tr>
      <w:tr w:rsidR="007D4081" w:rsidRPr="0036391F" w:rsidTr="002C44DE">
        <w:tc>
          <w:tcPr>
            <w:tcW w:w="597" w:type="pct"/>
            <w:tcBorders>
              <w:bottom w:val="nil"/>
              <w:right w:val="single" w:sz="4" w:space="0" w:color="auto"/>
            </w:tcBorders>
          </w:tcPr>
          <w:p w:rsidR="007D4081" w:rsidRPr="0036391F" w:rsidRDefault="007D4081" w:rsidP="00AF2DAC">
            <w:pPr>
              <w:jc w:val="left"/>
              <w:rPr>
                <w:rFonts w:ascii="Arial Narrow" w:hAnsi="Arial Narrow"/>
                <w:sz w:val="20"/>
              </w:rPr>
            </w:pPr>
            <w:r w:rsidRPr="0036391F">
              <w:rPr>
                <w:rFonts w:ascii="Arial Narrow" w:hAnsi="Arial Narrow"/>
                <w:sz w:val="20"/>
              </w:rPr>
              <w:t>M10-877</w:t>
            </w:r>
          </w:p>
          <w:p w:rsidR="007D4081" w:rsidRPr="0036391F" w:rsidRDefault="007D4081" w:rsidP="00AF2DAC">
            <w:pPr>
              <w:jc w:val="left"/>
              <w:rPr>
                <w:rFonts w:ascii="Arial Narrow" w:hAnsi="Arial Narrow"/>
                <w:sz w:val="20"/>
              </w:rPr>
            </w:pPr>
            <w:r w:rsidRPr="0036391F">
              <w:rPr>
                <w:rFonts w:ascii="Arial Narrow" w:hAnsi="Arial Narrow"/>
                <w:sz w:val="20"/>
              </w:rPr>
              <w:t>(VISUAL I)</w:t>
            </w:r>
          </w:p>
        </w:tc>
        <w:tc>
          <w:tcPr>
            <w:tcW w:w="3140" w:type="pct"/>
            <w:tcBorders>
              <w:left w:val="single" w:sz="4" w:space="0" w:color="auto"/>
              <w:bottom w:val="nil"/>
            </w:tcBorders>
          </w:tcPr>
          <w:p w:rsidR="007D4081" w:rsidRDefault="007D4081" w:rsidP="002C44DE">
            <w:pPr>
              <w:jc w:val="left"/>
              <w:rPr>
                <w:rFonts w:ascii="Arial Narrow" w:hAnsi="Arial Narrow"/>
                <w:sz w:val="20"/>
              </w:rPr>
            </w:pPr>
            <w:r w:rsidRPr="0036391F">
              <w:rPr>
                <w:rFonts w:ascii="Arial Narrow" w:hAnsi="Arial Narrow"/>
                <w:sz w:val="20"/>
              </w:rPr>
              <w:t xml:space="preserve">A Multicenter Study of the Efficacy and Safety of the Human Anti-TNF Monoclonal Antibody Adalimumab as Maintenance Therapy in Subjects Requiring High Dose Corticosteroids for Active Non-infectious Intermediate Uveitis, Posterior Uveitis, or </w:t>
            </w:r>
            <w:proofErr w:type="spellStart"/>
            <w:r w:rsidRPr="0036391F">
              <w:rPr>
                <w:rFonts w:ascii="Arial Narrow" w:hAnsi="Arial Narrow"/>
                <w:sz w:val="20"/>
              </w:rPr>
              <w:t>Panuveitis</w:t>
            </w:r>
            <w:proofErr w:type="spellEnd"/>
            <w:r w:rsidRPr="0036391F">
              <w:rPr>
                <w:rFonts w:ascii="Arial Narrow" w:hAnsi="Arial Narrow"/>
                <w:sz w:val="20"/>
              </w:rPr>
              <w:t xml:space="preserve"> – Including a </w:t>
            </w:r>
            <w:r w:rsidR="002C44DE">
              <w:rPr>
                <w:rFonts w:ascii="Arial Narrow" w:hAnsi="Arial Narrow"/>
                <w:sz w:val="20"/>
              </w:rPr>
              <w:t>Sub-study in Japanese Patients.</w:t>
            </w:r>
          </w:p>
          <w:p w:rsidR="002C44DE" w:rsidRPr="0036391F" w:rsidRDefault="002C44DE" w:rsidP="002C44DE">
            <w:pPr>
              <w:jc w:val="left"/>
              <w:rPr>
                <w:rFonts w:ascii="Arial Narrow" w:hAnsi="Arial Narrow"/>
                <w:sz w:val="20"/>
              </w:rPr>
            </w:pPr>
          </w:p>
        </w:tc>
        <w:tc>
          <w:tcPr>
            <w:tcW w:w="1263" w:type="pct"/>
            <w:tcBorders>
              <w:bottom w:val="nil"/>
            </w:tcBorders>
          </w:tcPr>
          <w:p w:rsidR="007D4081" w:rsidRPr="0036391F" w:rsidRDefault="007D4081" w:rsidP="00AF2DAC">
            <w:pPr>
              <w:jc w:val="left"/>
              <w:rPr>
                <w:rFonts w:ascii="Arial Narrow" w:hAnsi="Arial Narrow"/>
                <w:sz w:val="20"/>
              </w:rPr>
            </w:pPr>
            <w:r w:rsidRPr="0036391F">
              <w:rPr>
                <w:rFonts w:ascii="Arial Narrow" w:hAnsi="Arial Narrow"/>
                <w:sz w:val="20"/>
              </w:rPr>
              <w:t>23 July 2015</w:t>
            </w:r>
          </w:p>
          <w:p w:rsidR="007D4081" w:rsidRPr="0036391F" w:rsidRDefault="007D4081" w:rsidP="00AF2DAC">
            <w:pPr>
              <w:jc w:val="left"/>
              <w:rPr>
                <w:rFonts w:ascii="Arial Narrow" w:hAnsi="Arial Narrow"/>
                <w:sz w:val="20"/>
              </w:rPr>
            </w:pPr>
          </w:p>
          <w:p w:rsidR="002C44DE" w:rsidRDefault="002C44DE" w:rsidP="00AF2DAC">
            <w:pPr>
              <w:jc w:val="left"/>
              <w:rPr>
                <w:rFonts w:ascii="Arial Narrow" w:hAnsi="Arial Narrow"/>
                <w:sz w:val="20"/>
              </w:rPr>
            </w:pPr>
          </w:p>
          <w:p w:rsidR="007D4081" w:rsidRPr="0036391F" w:rsidRDefault="007D4081" w:rsidP="00AF2DAC">
            <w:pPr>
              <w:jc w:val="left"/>
              <w:rPr>
                <w:rFonts w:ascii="Arial Narrow" w:hAnsi="Arial Narrow"/>
                <w:sz w:val="20"/>
              </w:rPr>
            </w:pPr>
          </w:p>
        </w:tc>
      </w:tr>
      <w:tr w:rsidR="002C44DE" w:rsidRPr="0036391F" w:rsidTr="002C44DE">
        <w:tc>
          <w:tcPr>
            <w:tcW w:w="597" w:type="pct"/>
            <w:tcBorders>
              <w:top w:val="nil"/>
              <w:bottom w:val="single" w:sz="4" w:space="0" w:color="auto"/>
              <w:right w:val="single" w:sz="4" w:space="0" w:color="auto"/>
            </w:tcBorders>
          </w:tcPr>
          <w:p w:rsidR="002C44DE" w:rsidRPr="0036391F" w:rsidRDefault="002C44DE" w:rsidP="00AF2DAC">
            <w:pPr>
              <w:jc w:val="left"/>
              <w:rPr>
                <w:rFonts w:ascii="Arial Narrow" w:hAnsi="Arial Narrow"/>
                <w:sz w:val="20"/>
              </w:rPr>
            </w:pPr>
          </w:p>
        </w:tc>
        <w:tc>
          <w:tcPr>
            <w:tcW w:w="3140" w:type="pct"/>
            <w:tcBorders>
              <w:top w:val="nil"/>
              <w:left w:val="single" w:sz="4" w:space="0" w:color="auto"/>
              <w:bottom w:val="single" w:sz="4" w:space="0" w:color="auto"/>
            </w:tcBorders>
          </w:tcPr>
          <w:p w:rsidR="002C44DE" w:rsidRPr="0036391F" w:rsidRDefault="002C44DE" w:rsidP="00AF2DAC">
            <w:pPr>
              <w:jc w:val="left"/>
              <w:rPr>
                <w:rFonts w:ascii="Arial Narrow" w:hAnsi="Arial Narrow"/>
                <w:sz w:val="20"/>
              </w:rPr>
            </w:pPr>
            <w:r w:rsidRPr="0036391F">
              <w:rPr>
                <w:rFonts w:ascii="Arial Narrow" w:hAnsi="Arial Narrow"/>
                <w:sz w:val="20"/>
              </w:rPr>
              <w:t xml:space="preserve">Jaffe GJ, Dick AD, </w:t>
            </w:r>
            <w:proofErr w:type="spellStart"/>
            <w:r w:rsidRPr="0036391F">
              <w:rPr>
                <w:rFonts w:ascii="Arial Narrow" w:hAnsi="Arial Narrow"/>
                <w:sz w:val="20"/>
              </w:rPr>
              <w:t>Brézin</w:t>
            </w:r>
            <w:proofErr w:type="spellEnd"/>
            <w:r w:rsidRPr="0036391F">
              <w:rPr>
                <w:rFonts w:ascii="Arial Narrow" w:hAnsi="Arial Narrow"/>
                <w:sz w:val="20"/>
              </w:rPr>
              <w:t xml:space="preserve"> AP, Nguyen QD, Thorne JE, </w:t>
            </w:r>
            <w:proofErr w:type="spellStart"/>
            <w:r w:rsidRPr="0036391F">
              <w:rPr>
                <w:rFonts w:ascii="Arial Narrow" w:hAnsi="Arial Narrow"/>
                <w:sz w:val="20"/>
              </w:rPr>
              <w:t>Kestelyn</w:t>
            </w:r>
            <w:proofErr w:type="spellEnd"/>
            <w:r w:rsidRPr="0036391F">
              <w:rPr>
                <w:rFonts w:ascii="Arial Narrow" w:hAnsi="Arial Narrow"/>
                <w:sz w:val="20"/>
              </w:rPr>
              <w:t xml:space="preserve"> P, </w:t>
            </w:r>
            <w:proofErr w:type="spellStart"/>
            <w:r w:rsidRPr="0036391F">
              <w:rPr>
                <w:rFonts w:ascii="Arial Narrow" w:hAnsi="Arial Narrow"/>
                <w:sz w:val="20"/>
              </w:rPr>
              <w:t>Barisani-Asenbauer</w:t>
            </w:r>
            <w:proofErr w:type="spellEnd"/>
            <w:r w:rsidRPr="0036391F">
              <w:rPr>
                <w:rFonts w:ascii="Arial Narrow" w:hAnsi="Arial Narrow"/>
                <w:sz w:val="20"/>
              </w:rPr>
              <w:t xml:space="preserve"> T, Franco P, </w:t>
            </w:r>
            <w:proofErr w:type="spellStart"/>
            <w:r w:rsidRPr="0036391F">
              <w:rPr>
                <w:rFonts w:ascii="Arial Narrow" w:hAnsi="Arial Narrow"/>
                <w:sz w:val="20"/>
              </w:rPr>
              <w:t>Heiligenhaus</w:t>
            </w:r>
            <w:proofErr w:type="spellEnd"/>
            <w:r w:rsidRPr="0036391F">
              <w:rPr>
                <w:rFonts w:ascii="Arial Narrow" w:hAnsi="Arial Narrow"/>
                <w:sz w:val="20"/>
              </w:rPr>
              <w:t xml:space="preserve"> A, Scales D and Chu DS. Adalimumab in Patients with Active </w:t>
            </w:r>
            <w:proofErr w:type="spellStart"/>
            <w:r w:rsidRPr="0036391F">
              <w:rPr>
                <w:rFonts w:ascii="Arial Narrow" w:hAnsi="Arial Narrow"/>
                <w:sz w:val="20"/>
              </w:rPr>
              <w:t>Noninfectious</w:t>
            </w:r>
            <w:proofErr w:type="spellEnd"/>
            <w:r w:rsidRPr="0036391F">
              <w:rPr>
                <w:rFonts w:ascii="Arial Narrow" w:hAnsi="Arial Narrow"/>
                <w:sz w:val="20"/>
              </w:rPr>
              <w:t xml:space="preserve"> Uveitis.</w:t>
            </w:r>
          </w:p>
        </w:tc>
        <w:tc>
          <w:tcPr>
            <w:tcW w:w="1263" w:type="pct"/>
            <w:tcBorders>
              <w:top w:val="nil"/>
              <w:bottom w:val="single" w:sz="4" w:space="0" w:color="auto"/>
            </w:tcBorders>
          </w:tcPr>
          <w:p w:rsidR="002C44DE" w:rsidRPr="0036391F" w:rsidRDefault="002C44DE" w:rsidP="00AF2DAC">
            <w:pPr>
              <w:jc w:val="left"/>
              <w:rPr>
                <w:rFonts w:ascii="Arial Narrow" w:hAnsi="Arial Narrow"/>
                <w:sz w:val="20"/>
              </w:rPr>
            </w:pPr>
            <w:r w:rsidRPr="0036391F">
              <w:rPr>
                <w:rFonts w:ascii="Arial Narrow" w:hAnsi="Arial Narrow"/>
                <w:sz w:val="20"/>
              </w:rPr>
              <w:t>New England Journal of Medicine 2016; 375(10): 932-943</w:t>
            </w:r>
          </w:p>
        </w:tc>
      </w:tr>
      <w:tr w:rsidR="007D4081" w:rsidRPr="0036391F" w:rsidTr="002C44DE">
        <w:tc>
          <w:tcPr>
            <w:tcW w:w="597" w:type="pct"/>
            <w:tcBorders>
              <w:bottom w:val="nil"/>
            </w:tcBorders>
          </w:tcPr>
          <w:p w:rsidR="007D4081" w:rsidRPr="0036391F" w:rsidRDefault="007D4081" w:rsidP="00AF2DAC">
            <w:pPr>
              <w:jc w:val="left"/>
              <w:rPr>
                <w:rFonts w:ascii="Arial Narrow" w:hAnsi="Arial Narrow"/>
                <w:sz w:val="20"/>
              </w:rPr>
            </w:pPr>
            <w:r w:rsidRPr="0036391F">
              <w:rPr>
                <w:rFonts w:ascii="Arial Narrow" w:hAnsi="Arial Narrow"/>
                <w:sz w:val="20"/>
              </w:rPr>
              <w:t>M10-880</w:t>
            </w:r>
          </w:p>
          <w:p w:rsidR="007D4081" w:rsidRPr="0036391F" w:rsidRDefault="007D4081" w:rsidP="00AF2DAC">
            <w:pPr>
              <w:jc w:val="left"/>
              <w:rPr>
                <w:rFonts w:ascii="Arial Narrow" w:hAnsi="Arial Narrow"/>
                <w:sz w:val="20"/>
              </w:rPr>
            </w:pPr>
            <w:r w:rsidRPr="0036391F">
              <w:rPr>
                <w:rFonts w:ascii="Arial Narrow" w:hAnsi="Arial Narrow"/>
                <w:sz w:val="20"/>
              </w:rPr>
              <w:t>(VISUAL II)</w:t>
            </w:r>
          </w:p>
        </w:tc>
        <w:tc>
          <w:tcPr>
            <w:tcW w:w="3140" w:type="pct"/>
            <w:tcBorders>
              <w:bottom w:val="nil"/>
            </w:tcBorders>
          </w:tcPr>
          <w:p w:rsidR="007D4081" w:rsidRPr="0036391F" w:rsidRDefault="007D4081" w:rsidP="00AF2DAC">
            <w:pPr>
              <w:jc w:val="left"/>
              <w:rPr>
                <w:rFonts w:ascii="Arial Narrow" w:hAnsi="Arial Narrow"/>
                <w:sz w:val="20"/>
              </w:rPr>
            </w:pPr>
            <w:r w:rsidRPr="0036391F">
              <w:rPr>
                <w:rFonts w:ascii="Arial Narrow" w:hAnsi="Arial Narrow"/>
                <w:sz w:val="20"/>
              </w:rPr>
              <w:t xml:space="preserve">A Multicenter Study of the Efficacy and Safety of the Human Anti-TNF Monoclonal Antibody Adalimumab in Subjects with Controlled Non-infectious Intermediate Uveitis, Posterior Uveitis, or </w:t>
            </w:r>
            <w:proofErr w:type="spellStart"/>
            <w:r w:rsidRPr="0036391F">
              <w:rPr>
                <w:rFonts w:ascii="Arial Narrow" w:hAnsi="Arial Narrow"/>
                <w:sz w:val="20"/>
              </w:rPr>
              <w:t>Panuveitis</w:t>
            </w:r>
            <w:proofErr w:type="spellEnd"/>
            <w:r w:rsidRPr="0036391F">
              <w:rPr>
                <w:rFonts w:ascii="Arial Narrow" w:hAnsi="Arial Narrow"/>
                <w:sz w:val="20"/>
              </w:rPr>
              <w:t xml:space="preserve"> – Including a Sub-study in Japanese Patients. </w:t>
            </w:r>
          </w:p>
          <w:p w:rsidR="007D4081" w:rsidRPr="0036391F" w:rsidRDefault="007D4081" w:rsidP="00AF2DAC">
            <w:pPr>
              <w:jc w:val="left"/>
              <w:rPr>
                <w:rFonts w:ascii="Arial Narrow" w:hAnsi="Arial Narrow"/>
                <w:sz w:val="20"/>
              </w:rPr>
            </w:pPr>
          </w:p>
        </w:tc>
        <w:tc>
          <w:tcPr>
            <w:tcW w:w="1263" w:type="pct"/>
            <w:tcBorders>
              <w:bottom w:val="nil"/>
            </w:tcBorders>
          </w:tcPr>
          <w:p w:rsidR="007D4081" w:rsidRPr="0036391F" w:rsidRDefault="007D4081" w:rsidP="002C44DE">
            <w:pPr>
              <w:jc w:val="left"/>
              <w:rPr>
                <w:rFonts w:ascii="Arial Narrow" w:hAnsi="Arial Narrow"/>
                <w:b/>
                <w:sz w:val="20"/>
              </w:rPr>
            </w:pPr>
            <w:r w:rsidRPr="0036391F">
              <w:rPr>
                <w:rFonts w:ascii="Arial Narrow" w:hAnsi="Arial Narrow"/>
                <w:sz w:val="20"/>
              </w:rPr>
              <w:t>3 August 2015</w:t>
            </w:r>
          </w:p>
        </w:tc>
      </w:tr>
      <w:tr w:rsidR="002C44DE" w:rsidRPr="0036391F" w:rsidTr="002C44DE">
        <w:tc>
          <w:tcPr>
            <w:tcW w:w="597" w:type="pct"/>
            <w:tcBorders>
              <w:top w:val="nil"/>
            </w:tcBorders>
          </w:tcPr>
          <w:p w:rsidR="002C44DE" w:rsidRPr="0036391F" w:rsidRDefault="002C44DE" w:rsidP="00AF2DAC">
            <w:pPr>
              <w:jc w:val="left"/>
              <w:rPr>
                <w:rFonts w:ascii="Arial Narrow" w:hAnsi="Arial Narrow"/>
                <w:sz w:val="20"/>
              </w:rPr>
            </w:pPr>
          </w:p>
        </w:tc>
        <w:tc>
          <w:tcPr>
            <w:tcW w:w="3140" w:type="pct"/>
            <w:tcBorders>
              <w:top w:val="nil"/>
            </w:tcBorders>
          </w:tcPr>
          <w:p w:rsidR="002C44DE" w:rsidRPr="0036391F" w:rsidRDefault="002C44DE" w:rsidP="00AF2DAC">
            <w:pPr>
              <w:jc w:val="left"/>
              <w:rPr>
                <w:rFonts w:ascii="Arial Narrow" w:hAnsi="Arial Narrow"/>
                <w:sz w:val="20"/>
              </w:rPr>
            </w:pPr>
            <w:r w:rsidRPr="0036391F">
              <w:rPr>
                <w:rFonts w:ascii="Arial Narrow" w:hAnsi="Arial Narrow"/>
                <w:sz w:val="20"/>
              </w:rPr>
              <w:t xml:space="preserve">Nguyen QD, Merrill PT, Jaffe GJ, Dick AD, </w:t>
            </w:r>
            <w:proofErr w:type="spellStart"/>
            <w:r w:rsidRPr="0036391F">
              <w:rPr>
                <w:rFonts w:ascii="Arial Narrow" w:hAnsi="Arial Narrow"/>
                <w:sz w:val="20"/>
              </w:rPr>
              <w:t>Kurup</w:t>
            </w:r>
            <w:proofErr w:type="spellEnd"/>
            <w:r w:rsidRPr="0036391F">
              <w:rPr>
                <w:rFonts w:ascii="Arial Narrow" w:hAnsi="Arial Narrow"/>
                <w:sz w:val="20"/>
              </w:rPr>
              <w:t xml:space="preserve"> SK, Sheppard J, </w:t>
            </w:r>
            <w:proofErr w:type="spellStart"/>
            <w:r w:rsidRPr="0036391F">
              <w:rPr>
                <w:rFonts w:ascii="Arial Narrow" w:hAnsi="Arial Narrow"/>
                <w:sz w:val="20"/>
              </w:rPr>
              <w:t>Schlaen</w:t>
            </w:r>
            <w:proofErr w:type="spellEnd"/>
            <w:r w:rsidRPr="0036391F">
              <w:rPr>
                <w:rFonts w:ascii="Arial Narrow" w:hAnsi="Arial Narrow"/>
                <w:sz w:val="20"/>
              </w:rPr>
              <w:t xml:space="preserve"> A et al. Adalimumab for prevention of </w:t>
            </w:r>
            <w:proofErr w:type="spellStart"/>
            <w:r w:rsidRPr="0036391F">
              <w:rPr>
                <w:rFonts w:ascii="Arial Narrow" w:hAnsi="Arial Narrow"/>
                <w:sz w:val="20"/>
              </w:rPr>
              <w:t>uveitic</w:t>
            </w:r>
            <w:proofErr w:type="spellEnd"/>
            <w:r w:rsidRPr="0036391F">
              <w:rPr>
                <w:rFonts w:ascii="Arial Narrow" w:hAnsi="Arial Narrow"/>
                <w:sz w:val="20"/>
              </w:rPr>
              <w:t xml:space="preserve"> flare in patients with controlled non-infectious uveitis controlled by corticosteroids (VISUAL II): a multicentre, double-masked, randomised, placebo-controlled phase 3 trial.</w:t>
            </w:r>
          </w:p>
        </w:tc>
        <w:tc>
          <w:tcPr>
            <w:tcW w:w="1263" w:type="pct"/>
            <w:tcBorders>
              <w:top w:val="nil"/>
            </w:tcBorders>
          </w:tcPr>
          <w:p w:rsidR="002C44DE" w:rsidRPr="0036391F" w:rsidRDefault="002C44DE" w:rsidP="002C44DE">
            <w:pPr>
              <w:jc w:val="left"/>
              <w:rPr>
                <w:rFonts w:ascii="Arial Narrow" w:hAnsi="Arial Narrow"/>
                <w:sz w:val="20"/>
              </w:rPr>
            </w:pPr>
            <w:r w:rsidRPr="0036391F">
              <w:rPr>
                <w:rFonts w:ascii="Arial Narrow" w:hAnsi="Arial Narrow"/>
                <w:sz w:val="20"/>
              </w:rPr>
              <w:t>The Lancet 2016; 388(10050): 1183-1192</w:t>
            </w:r>
          </w:p>
          <w:p w:rsidR="002C44DE" w:rsidRPr="0036391F" w:rsidRDefault="002C44DE" w:rsidP="00AF2DAC">
            <w:pPr>
              <w:jc w:val="left"/>
              <w:rPr>
                <w:rFonts w:ascii="Arial Narrow" w:hAnsi="Arial Narrow"/>
                <w:sz w:val="20"/>
              </w:rPr>
            </w:pPr>
          </w:p>
        </w:tc>
      </w:tr>
      <w:tr w:rsidR="007D4081" w:rsidRPr="0036391F" w:rsidTr="002C44DE">
        <w:tc>
          <w:tcPr>
            <w:tcW w:w="597" w:type="pct"/>
          </w:tcPr>
          <w:p w:rsidR="007D4081" w:rsidRPr="0036391F" w:rsidRDefault="007D4081" w:rsidP="00AF2DAC">
            <w:pPr>
              <w:jc w:val="left"/>
              <w:rPr>
                <w:rFonts w:ascii="Arial Narrow" w:hAnsi="Arial Narrow"/>
                <w:sz w:val="20"/>
              </w:rPr>
            </w:pPr>
            <w:r w:rsidRPr="0036391F">
              <w:rPr>
                <w:rFonts w:ascii="Arial Narrow" w:hAnsi="Arial Narrow"/>
                <w:sz w:val="20"/>
              </w:rPr>
              <w:t>M11-327 (VISUAL II</w:t>
            </w:r>
            <w:r w:rsidRPr="002C44DE">
              <w:rPr>
                <w:rFonts w:ascii="Arial Narrow" w:hAnsi="Arial Narrow"/>
                <w:sz w:val="20"/>
              </w:rPr>
              <w:t>I)</w:t>
            </w:r>
          </w:p>
        </w:tc>
        <w:tc>
          <w:tcPr>
            <w:tcW w:w="3140" w:type="pct"/>
          </w:tcPr>
          <w:p w:rsidR="007D4081" w:rsidRPr="0036391F" w:rsidRDefault="007D4081" w:rsidP="007D4081">
            <w:pPr>
              <w:jc w:val="left"/>
              <w:rPr>
                <w:rFonts w:ascii="Arial Narrow" w:hAnsi="Arial Narrow"/>
                <w:sz w:val="20"/>
              </w:rPr>
            </w:pPr>
            <w:r w:rsidRPr="0036391F">
              <w:rPr>
                <w:rFonts w:ascii="Arial Narrow" w:hAnsi="Arial Narrow"/>
                <w:sz w:val="20"/>
              </w:rPr>
              <w:t>Interim analyses of OLE M11-327</w:t>
            </w:r>
          </w:p>
          <w:p w:rsidR="007D4081" w:rsidRPr="0036391F" w:rsidRDefault="007D4081" w:rsidP="00AF2DAC">
            <w:pPr>
              <w:jc w:val="left"/>
              <w:rPr>
                <w:rFonts w:ascii="Arial Narrow" w:hAnsi="Arial Narrow"/>
                <w:sz w:val="20"/>
              </w:rPr>
            </w:pPr>
          </w:p>
        </w:tc>
        <w:tc>
          <w:tcPr>
            <w:tcW w:w="1263" w:type="pct"/>
          </w:tcPr>
          <w:p w:rsidR="007D4081" w:rsidRPr="0036391F" w:rsidRDefault="00AF2DAC" w:rsidP="00AF2DAC">
            <w:pPr>
              <w:jc w:val="left"/>
              <w:rPr>
                <w:rFonts w:ascii="Arial Narrow" w:hAnsi="Arial Narrow"/>
                <w:sz w:val="20"/>
              </w:rPr>
            </w:pPr>
            <w:r w:rsidRPr="0036391F">
              <w:rPr>
                <w:rFonts w:ascii="Arial Narrow" w:hAnsi="Arial Narrow"/>
                <w:sz w:val="20"/>
              </w:rPr>
              <w:t xml:space="preserve">Conference presentation </w:t>
            </w:r>
          </w:p>
        </w:tc>
      </w:tr>
    </w:tbl>
    <w:p w:rsidR="007D4081" w:rsidRPr="0036391F" w:rsidRDefault="007D4081" w:rsidP="007D4081">
      <w:pPr>
        <w:pStyle w:val="TableFooter"/>
        <w:ind w:firstLine="720"/>
      </w:pPr>
      <w:r w:rsidRPr="0036391F">
        <w:t>Source: Table B.2-2, p.58 of the submission</w:t>
      </w:r>
    </w:p>
    <w:p w:rsidR="00862502" w:rsidRPr="0036391F" w:rsidRDefault="00862502" w:rsidP="008F120A">
      <w:pPr>
        <w:widowControl/>
        <w:rPr>
          <w:szCs w:val="22"/>
        </w:rPr>
      </w:pPr>
    </w:p>
    <w:p w:rsidR="007F1017" w:rsidRPr="0036391F" w:rsidRDefault="008F120A" w:rsidP="00556640">
      <w:pPr>
        <w:pStyle w:val="ListParagraph"/>
        <w:widowControl/>
        <w:numPr>
          <w:ilvl w:val="1"/>
          <w:numId w:val="3"/>
        </w:numPr>
        <w:rPr>
          <w:szCs w:val="22"/>
        </w:rPr>
      </w:pPr>
      <w:r w:rsidRPr="0036391F">
        <w:rPr>
          <w:szCs w:val="22"/>
        </w:rPr>
        <w:t xml:space="preserve">The key features of the </w:t>
      </w:r>
      <w:r w:rsidR="00AF2DAC" w:rsidRPr="0036391F">
        <w:rPr>
          <w:szCs w:val="22"/>
        </w:rPr>
        <w:t>included studies</w:t>
      </w:r>
      <w:r w:rsidRPr="0036391F">
        <w:rPr>
          <w:szCs w:val="22"/>
        </w:rPr>
        <w:t xml:space="preserve"> are summarised in the table below.</w:t>
      </w:r>
    </w:p>
    <w:p w:rsidR="00AF2DAC" w:rsidRPr="0036391F" w:rsidRDefault="00AF2DAC" w:rsidP="00AF2DAC">
      <w:pPr>
        <w:pStyle w:val="ListParagraph"/>
        <w:widowControl/>
        <w:rPr>
          <w:szCs w:val="22"/>
        </w:rPr>
      </w:pPr>
    </w:p>
    <w:p w:rsidR="00AF2DAC" w:rsidRPr="0036391F" w:rsidRDefault="00AF2DAC" w:rsidP="00AF2DAC">
      <w:pPr>
        <w:ind w:firstLine="720"/>
        <w:rPr>
          <w:rFonts w:ascii="Arial Narrow" w:hAnsi="Arial Narrow"/>
          <w:b/>
          <w:sz w:val="20"/>
          <w:szCs w:val="16"/>
        </w:rPr>
      </w:pPr>
      <w:r w:rsidRPr="0036391F">
        <w:rPr>
          <w:rFonts w:ascii="Arial Narrow" w:hAnsi="Arial Narrow"/>
          <w:b/>
          <w:sz w:val="20"/>
          <w:szCs w:val="16"/>
        </w:rPr>
        <w:t>Table 2: Key features of the included evidence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4"/>
        <w:gridCol w:w="330"/>
        <w:gridCol w:w="1418"/>
        <w:gridCol w:w="992"/>
        <w:gridCol w:w="2551"/>
        <w:gridCol w:w="1134"/>
        <w:gridCol w:w="1116"/>
      </w:tblGrid>
      <w:tr w:rsidR="00AF2DAC" w:rsidRPr="0036391F" w:rsidTr="00F73699">
        <w:tc>
          <w:tcPr>
            <w:tcW w:w="804" w:type="dxa"/>
            <w:shd w:val="clear" w:color="auto" w:fill="auto"/>
            <w:vAlign w:val="center"/>
          </w:tcPr>
          <w:p w:rsidR="00AF2DAC" w:rsidRPr="0036391F" w:rsidRDefault="00AF2DAC" w:rsidP="00AF2DAC">
            <w:pPr>
              <w:jc w:val="left"/>
              <w:rPr>
                <w:rFonts w:ascii="Arial Narrow" w:hAnsi="Arial Narrow"/>
                <w:b/>
                <w:sz w:val="20"/>
                <w:lang w:val="en-US"/>
              </w:rPr>
            </w:pPr>
            <w:r w:rsidRPr="0036391F">
              <w:rPr>
                <w:rFonts w:ascii="Arial Narrow" w:hAnsi="Arial Narrow"/>
                <w:b/>
                <w:sz w:val="20"/>
                <w:lang w:val="en-US"/>
              </w:rPr>
              <w:t>Trial</w:t>
            </w:r>
          </w:p>
        </w:tc>
        <w:tc>
          <w:tcPr>
            <w:tcW w:w="330" w:type="dxa"/>
            <w:shd w:val="clear" w:color="auto" w:fill="auto"/>
            <w:vAlign w:val="center"/>
          </w:tcPr>
          <w:p w:rsidR="00AF2DAC" w:rsidRPr="0036391F" w:rsidRDefault="00AF2DAC" w:rsidP="00AF2DAC">
            <w:pPr>
              <w:jc w:val="center"/>
              <w:rPr>
                <w:rFonts w:ascii="Arial Narrow" w:hAnsi="Arial Narrow"/>
                <w:b/>
                <w:sz w:val="20"/>
                <w:lang w:val="en-US"/>
              </w:rPr>
            </w:pPr>
            <w:r w:rsidRPr="0036391F">
              <w:rPr>
                <w:rFonts w:ascii="Arial Narrow" w:hAnsi="Arial Narrow"/>
                <w:b/>
                <w:sz w:val="20"/>
                <w:lang w:val="en-US"/>
              </w:rPr>
              <w:t>N</w:t>
            </w:r>
          </w:p>
        </w:tc>
        <w:tc>
          <w:tcPr>
            <w:tcW w:w="1418" w:type="dxa"/>
            <w:shd w:val="clear" w:color="auto" w:fill="auto"/>
            <w:vAlign w:val="center"/>
          </w:tcPr>
          <w:p w:rsidR="00AF2DAC" w:rsidRPr="0036391F" w:rsidRDefault="00AF2DAC" w:rsidP="00AF2DAC">
            <w:pPr>
              <w:jc w:val="center"/>
              <w:rPr>
                <w:rFonts w:ascii="Arial Narrow" w:hAnsi="Arial Narrow"/>
                <w:b/>
                <w:sz w:val="20"/>
                <w:lang w:val="en-US"/>
              </w:rPr>
            </w:pPr>
            <w:r w:rsidRPr="0036391F">
              <w:rPr>
                <w:rFonts w:ascii="Arial Narrow" w:hAnsi="Arial Narrow"/>
                <w:b/>
                <w:sz w:val="20"/>
                <w:lang w:val="en-US"/>
              </w:rPr>
              <w:t>Design/ duration</w:t>
            </w:r>
          </w:p>
        </w:tc>
        <w:tc>
          <w:tcPr>
            <w:tcW w:w="992" w:type="dxa"/>
            <w:shd w:val="clear" w:color="auto" w:fill="auto"/>
            <w:vAlign w:val="center"/>
          </w:tcPr>
          <w:p w:rsidR="00AF2DAC" w:rsidRPr="0036391F" w:rsidRDefault="00AF2DAC" w:rsidP="00AF2DAC">
            <w:pPr>
              <w:jc w:val="center"/>
              <w:rPr>
                <w:rFonts w:ascii="Arial Narrow" w:hAnsi="Arial Narrow"/>
                <w:b/>
                <w:sz w:val="20"/>
                <w:lang w:val="en-US"/>
              </w:rPr>
            </w:pPr>
            <w:r w:rsidRPr="0036391F">
              <w:rPr>
                <w:rFonts w:ascii="Arial Narrow" w:hAnsi="Arial Narrow"/>
                <w:b/>
                <w:sz w:val="20"/>
                <w:lang w:val="en-US"/>
              </w:rPr>
              <w:t>Risk of bias</w:t>
            </w:r>
          </w:p>
        </w:tc>
        <w:tc>
          <w:tcPr>
            <w:tcW w:w="2551" w:type="dxa"/>
            <w:shd w:val="clear" w:color="auto" w:fill="auto"/>
            <w:vAlign w:val="center"/>
          </w:tcPr>
          <w:p w:rsidR="00AF2DAC" w:rsidRPr="0036391F" w:rsidRDefault="00AF2DAC" w:rsidP="00AF2DAC">
            <w:pPr>
              <w:jc w:val="center"/>
              <w:rPr>
                <w:rFonts w:ascii="Arial Narrow" w:hAnsi="Arial Narrow"/>
                <w:b/>
                <w:sz w:val="20"/>
                <w:lang w:val="en-US"/>
              </w:rPr>
            </w:pPr>
            <w:r w:rsidRPr="0036391F">
              <w:rPr>
                <w:rFonts w:ascii="Arial Narrow" w:hAnsi="Arial Narrow"/>
                <w:b/>
                <w:sz w:val="20"/>
                <w:lang w:val="en-US"/>
              </w:rPr>
              <w:t>Patient population</w:t>
            </w:r>
          </w:p>
        </w:tc>
        <w:tc>
          <w:tcPr>
            <w:tcW w:w="1134" w:type="dxa"/>
            <w:shd w:val="clear" w:color="auto" w:fill="auto"/>
            <w:vAlign w:val="center"/>
          </w:tcPr>
          <w:p w:rsidR="00AF2DAC" w:rsidRPr="0036391F" w:rsidRDefault="00AF2DAC" w:rsidP="00AF2DAC">
            <w:pPr>
              <w:jc w:val="center"/>
              <w:rPr>
                <w:rFonts w:ascii="Arial Narrow" w:hAnsi="Arial Narrow"/>
                <w:b/>
                <w:sz w:val="20"/>
                <w:lang w:val="en-US"/>
              </w:rPr>
            </w:pPr>
            <w:r w:rsidRPr="0036391F">
              <w:rPr>
                <w:rFonts w:ascii="Arial Narrow" w:hAnsi="Arial Narrow"/>
                <w:b/>
                <w:sz w:val="20"/>
                <w:lang w:val="en-US"/>
              </w:rPr>
              <w:t>Outcome</w:t>
            </w:r>
          </w:p>
        </w:tc>
        <w:tc>
          <w:tcPr>
            <w:tcW w:w="1116" w:type="dxa"/>
            <w:shd w:val="clear" w:color="auto" w:fill="auto"/>
            <w:vAlign w:val="center"/>
          </w:tcPr>
          <w:p w:rsidR="00AF2DAC" w:rsidRPr="0036391F" w:rsidRDefault="00AF2DAC" w:rsidP="00AF2DAC">
            <w:pPr>
              <w:jc w:val="center"/>
              <w:rPr>
                <w:rFonts w:ascii="Arial Narrow" w:hAnsi="Arial Narrow"/>
                <w:b/>
                <w:sz w:val="20"/>
                <w:lang w:val="en-US"/>
              </w:rPr>
            </w:pPr>
            <w:r w:rsidRPr="0036391F">
              <w:rPr>
                <w:rFonts w:ascii="Arial Narrow" w:hAnsi="Arial Narrow"/>
                <w:b/>
                <w:sz w:val="20"/>
                <w:lang w:val="en-US"/>
              </w:rPr>
              <w:t>Use in modelled evaluation</w:t>
            </w:r>
          </w:p>
        </w:tc>
      </w:tr>
      <w:tr w:rsidR="00AF2DAC" w:rsidRPr="0036391F" w:rsidTr="00F73699">
        <w:tc>
          <w:tcPr>
            <w:tcW w:w="0" w:type="auto"/>
            <w:gridSpan w:val="7"/>
            <w:shd w:val="clear" w:color="auto" w:fill="auto"/>
            <w:vAlign w:val="center"/>
          </w:tcPr>
          <w:p w:rsidR="00AF2DAC" w:rsidRPr="0036391F" w:rsidRDefault="00AF2DAC" w:rsidP="00AF2DAC">
            <w:pPr>
              <w:jc w:val="left"/>
              <w:rPr>
                <w:rFonts w:ascii="Arial Narrow" w:hAnsi="Arial Narrow"/>
                <w:b/>
                <w:sz w:val="20"/>
                <w:lang w:val="en-US"/>
              </w:rPr>
            </w:pPr>
            <w:proofErr w:type="spellStart"/>
            <w:r w:rsidRPr="0036391F">
              <w:rPr>
                <w:rFonts w:ascii="Arial Narrow" w:hAnsi="Arial Narrow"/>
                <w:b/>
                <w:sz w:val="20"/>
                <w:lang w:val="en-US"/>
              </w:rPr>
              <w:t>Adalimumab</w:t>
            </w:r>
            <w:proofErr w:type="spellEnd"/>
            <w:r w:rsidRPr="0036391F">
              <w:rPr>
                <w:rFonts w:ascii="Arial Narrow" w:hAnsi="Arial Narrow"/>
                <w:b/>
                <w:sz w:val="20"/>
                <w:lang w:val="en-US"/>
              </w:rPr>
              <w:t xml:space="preserve"> versus placebo</w:t>
            </w:r>
          </w:p>
        </w:tc>
      </w:tr>
      <w:tr w:rsidR="00AF2DAC" w:rsidRPr="0036391F" w:rsidTr="00F73699">
        <w:tc>
          <w:tcPr>
            <w:tcW w:w="804" w:type="dxa"/>
            <w:tcBorders>
              <w:bottom w:val="single" w:sz="4" w:space="0" w:color="auto"/>
            </w:tcBorders>
            <w:shd w:val="clear" w:color="auto" w:fill="auto"/>
            <w:vAlign w:val="center"/>
          </w:tcPr>
          <w:p w:rsidR="00AF2DAC" w:rsidRPr="0036391F" w:rsidRDefault="00AF2DAC" w:rsidP="00AF2DAC">
            <w:pPr>
              <w:jc w:val="left"/>
              <w:rPr>
                <w:rFonts w:ascii="Arial Narrow" w:hAnsi="Arial Narrow"/>
                <w:sz w:val="20"/>
                <w:lang w:val="en-US"/>
              </w:rPr>
            </w:pPr>
            <w:r w:rsidRPr="0036391F">
              <w:rPr>
                <w:rFonts w:ascii="Arial Narrow" w:hAnsi="Arial Narrow"/>
                <w:sz w:val="20"/>
                <w:lang w:val="en-US"/>
              </w:rPr>
              <w:t>VISUAL I</w:t>
            </w:r>
          </w:p>
        </w:tc>
        <w:tc>
          <w:tcPr>
            <w:tcW w:w="330" w:type="dxa"/>
            <w:tcBorders>
              <w:bottom w:val="single" w:sz="4" w:space="0" w:color="auto"/>
            </w:tcBorders>
            <w:shd w:val="clear" w:color="auto" w:fill="auto"/>
            <w:vAlign w:val="center"/>
          </w:tcPr>
          <w:p w:rsidR="00AF2DAC" w:rsidRPr="0036391F" w:rsidRDefault="00AF2DAC" w:rsidP="00AF2DAC">
            <w:pPr>
              <w:jc w:val="center"/>
              <w:rPr>
                <w:rFonts w:ascii="Arial Narrow" w:hAnsi="Arial Narrow"/>
                <w:sz w:val="20"/>
                <w:lang w:val="en-US"/>
              </w:rPr>
            </w:pPr>
            <w:r w:rsidRPr="0036391F">
              <w:rPr>
                <w:rFonts w:ascii="Arial Narrow" w:hAnsi="Arial Narrow"/>
                <w:sz w:val="20"/>
                <w:lang w:val="en-US"/>
              </w:rPr>
              <w:t>117</w:t>
            </w:r>
          </w:p>
        </w:tc>
        <w:tc>
          <w:tcPr>
            <w:tcW w:w="1418" w:type="dxa"/>
            <w:tcBorders>
              <w:bottom w:val="single" w:sz="4" w:space="0" w:color="auto"/>
            </w:tcBorders>
            <w:shd w:val="clear" w:color="auto" w:fill="auto"/>
            <w:vAlign w:val="center"/>
          </w:tcPr>
          <w:p w:rsidR="00AF2DAC" w:rsidRPr="0036391F" w:rsidRDefault="00AF2DAC" w:rsidP="00AF2DAC">
            <w:pPr>
              <w:jc w:val="center"/>
              <w:rPr>
                <w:rFonts w:ascii="Arial Narrow" w:hAnsi="Arial Narrow"/>
                <w:sz w:val="20"/>
                <w:lang w:val="en-US"/>
              </w:rPr>
            </w:pPr>
            <w:r w:rsidRPr="0036391F">
              <w:rPr>
                <w:rFonts w:ascii="Arial Narrow" w:hAnsi="Arial Narrow"/>
                <w:sz w:val="20"/>
                <w:lang w:val="en-US"/>
              </w:rPr>
              <w:t>MC, R, DB, PC</w:t>
            </w:r>
          </w:p>
          <w:p w:rsidR="00AF2DAC" w:rsidRPr="0036391F" w:rsidRDefault="008E7678" w:rsidP="00AF2DAC">
            <w:pPr>
              <w:jc w:val="center"/>
              <w:rPr>
                <w:rFonts w:ascii="Arial Narrow" w:hAnsi="Arial Narrow"/>
                <w:sz w:val="20"/>
                <w:lang w:val="en-US"/>
              </w:rPr>
            </w:pPr>
            <w:r w:rsidRPr="0036391F">
              <w:rPr>
                <w:rFonts w:ascii="Arial Narrow" w:hAnsi="Arial Narrow"/>
                <w:sz w:val="20"/>
                <w:lang w:val="en-US"/>
              </w:rPr>
              <w:t>2</w:t>
            </w:r>
            <w:r w:rsidR="00AF2DAC" w:rsidRPr="0036391F">
              <w:rPr>
                <w:rFonts w:ascii="Arial Narrow" w:hAnsi="Arial Narrow"/>
                <w:sz w:val="20"/>
                <w:lang w:val="en-US"/>
              </w:rPr>
              <w:t xml:space="preserve"> treatment arms</w:t>
            </w:r>
          </w:p>
          <w:p w:rsidR="00AF2DAC" w:rsidRPr="0036391F" w:rsidRDefault="008E7678" w:rsidP="00AF2DAC">
            <w:pPr>
              <w:jc w:val="center"/>
              <w:rPr>
                <w:rFonts w:ascii="Arial Narrow" w:hAnsi="Arial Narrow"/>
                <w:sz w:val="20"/>
                <w:lang w:val="en-US"/>
              </w:rPr>
            </w:pPr>
            <w:r w:rsidRPr="0036391F">
              <w:rPr>
                <w:rFonts w:ascii="Arial Narrow" w:hAnsi="Arial Narrow"/>
                <w:sz w:val="20"/>
                <w:lang w:val="en-US"/>
              </w:rPr>
              <w:t>Up to 80</w:t>
            </w:r>
            <w:r w:rsidR="00AF2DAC" w:rsidRPr="0036391F">
              <w:rPr>
                <w:rFonts w:ascii="Arial Narrow" w:hAnsi="Arial Narrow"/>
                <w:sz w:val="20"/>
                <w:lang w:val="en-US"/>
              </w:rPr>
              <w:t xml:space="preserve"> weeks</w:t>
            </w:r>
          </w:p>
        </w:tc>
        <w:tc>
          <w:tcPr>
            <w:tcW w:w="992" w:type="dxa"/>
            <w:tcBorders>
              <w:bottom w:val="single" w:sz="4" w:space="0" w:color="auto"/>
            </w:tcBorders>
            <w:shd w:val="clear" w:color="auto" w:fill="auto"/>
            <w:vAlign w:val="center"/>
          </w:tcPr>
          <w:p w:rsidR="00AF2DAC" w:rsidRPr="0036391F" w:rsidRDefault="00AF2DAC" w:rsidP="00AF2DAC">
            <w:pPr>
              <w:jc w:val="center"/>
              <w:rPr>
                <w:rFonts w:ascii="Arial Narrow" w:hAnsi="Arial Narrow"/>
                <w:sz w:val="20"/>
                <w:lang w:val="en-US"/>
              </w:rPr>
            </w:pPr>
            <w:r w:rsidRPr="0036391F">
              <w:rPr>
                <w:rFonts w:ascii="Arial Narrow" w:hAnsi="Arial Narrow"/>
                <w:sz w:val="20"/>
                <w:lang w:val="en-US"/>
              </w:rPr>
              <w:t>Low</w:t>
            </w:r>
          </w:p>
        </w:tc>
        <w:tc>
          <w:tcPr>
            <w:tcW w:w="2551" w:type="dxa"/>
            <w:tcBorders>
              <w:bottom w:val="single" w:sz="4" w:space="0" w:color="auto"/>
            </w:tcBorders>
            <w:shd w:val="clear" w:color="auto" w:fill="auto"/>
            <w:vAlign w:val="center"/>
          </w:tcPr>
          <w:p w:rsidR="00AF2DAC" w:rsidRPr="0036391F" w:rsidRDefault="00DB0A5F" w:rsidP="00AF2DAC">
            <w:pPr>
              <w:jc w:val="center"/>
              <w:rPr>
                <w:rFonts w:ascii="Arial Narrow" w:hAnsi="Arial Narrow"/>
                <w:sz w:val="20"/>
                <w:lang w:val="en-US"/>
              </w:rPr>
            </w:pPr>
            <w:r w:rsidRPr="0036391F">
              <w:rPr>
                <w:rFonts w:ascii="Arial Narrow" w:hAnsi="Arial Narrow"/>
                <w:sz w:val="20"/>
                <w:lang w:val="en-US"/>
              </w:rPr>
              <w:t xml:space="preserve">Non-infectious intermediate, posterior or </w:t>
            </w:r>
            <w:proofErr w:type="spellStart"/>
            <w:r w:rsidRPr="0036391F">
              <w:rPr>
                <w:rFonts w:ascii="Arial Narrow" w:hAnsi="Arial Narrow"/>
                <w:sz w:val="20"/>
                <w:lang w:val="en-US"/>
              </w:rPr>
              <w:t>panuveitis</w:t>
            </w:r>
            <w:proofErr w:type="spellEnd"/>
            <w:r w:rsidRPr="0036391F">
              <w:rPr>
                <w:rFonts w:ascii="Arial Narrow" w:hAnsi="Arial Narrow"/>
                <w:sz w:val="20"/>
                <w:lang w:val="en-US"/>
              </w:rPr>
              <w:t xml:space="preserve"> with active (flaring) disease</w:t>
            </w:r>
          </w:p>
        </w:tc>
        <w:tc>
          <w:tcPr>
            <w:tcW w:w="1134" w:type="dxa"/>
            <w:tcBorders>
              <w:bottom w:val="single" w:sz="4" w:space="0" w:color="auto"/>
            </w:tcBorders>
            <w:shd w:val="clear" w:color="auto" w:fill="auto"/>
            <w:vAlign w:val="center"/>
          </w:tcPr>
          <w:p w:rsidR="00AF2DAC" w:rsidRPr="0036391F" w:rsidRDefault="00F73699" w:rsidP="00AF2DAC">
            <w:pPr>
              <w:jc w:val="center"/>
              <w:rPr>
                <w:rFonts w:ascii="Arial Narrow" w:hAnsi="Arial Narrow"/>
                <w:sz w:val="20"/>
                <w:lang w:val="en-US"/>
              </w:rPr>
            </w:pPr>
            <w:r w:rsidRPr="0036391F">
              <w:rPr>
                <w:rFonts w:ascii="Arial Narrow" w:hAnsi="Arial Narrow"/>
                <w:sz w:val="20"/>
                <w:lang w:val="en-US"/>
              </w:rPr>
              <w:t>Time to treatment failure (flare)</w:t>
            </w:r>
          </w:p>
        </w:tc>
        <w:tc>
          <w:tcPr>
            <w:tcW w:w="1116" w:type="dxa"/>
            <w:tcBorders>
              <w:bottom w:val="single" w:sz="4" w:space="0" w:color="auto"/>
            </w:tcBorders>
            <w:shd w:val="clear" w:color="auto" w:fill="auto"/>
            <w:vAlign w:val="center"/>
          </w:tcPr>
          <w:p w:rsidR="00AF2DAC" w:rsidRPr="0036391F" w:rsidRDefault="00F73699" w:rsidP="00AF2DAC">
            <w:pPr>
              <w:jc w:val="center"/>
              <w:rPr>
                <w:rFonts w:ascii="Arial Narrow" w:hAnsi="Arial Narrow"/>
                <w:sz w:val="20"/>
                <w:lang w:val="en-US"/>
              </w:rPr>
            </w:pPr>
            <w:r w:rsidRPr="0036391F">
              <w:rPr>
                <w:rFonts w:ascii="Arial Narrow" w:hAnsi="Arial Narrow"/>
                <w:sz w:val="20"/>
                <w:lang w:val="en-US"/>
              </w:rPr>
              <w:t>Hazard ratio</w:t>
            </w:r>
          </w:p>
        </w:tc>
      </w:tr>
      <w:tr w:rsidR="00AF2DAC" w:rsidRPr="0036391F" w:rsidTr="00F73699">
        <w:tc>
          <w:tcPr>
            <w:tcW w:w="804" w:type="dxa"/>
            <w:tcBorders>
              <w:bottom w:val="single" w:sz="4" w:space="0" w:color="auto"/>
            </w:tcBorders>
            <w:shd w:val="clear" w:color="auto" w:fill="auto"/>
            <w:vAlign w:val="center"/>
          </w:tcPr>
          <w:p w:rsidR="00AF2DAC" w:rsidRPr="0036391F" w:rsidRDefault="008E7678" w:rsidP="00AF2DAC">
            <w:pPr>
              <w:jc w:val="left"/>
              <w:rPr>
                <w:rFonts w:ascii="Arial Narrow" w:hAnsi="Arial Narrow"/>
                <w:sz w:val="20"/>
                <w:lang w:val="en-US"/>
              </w:rPr>
            </w:pPr>
            <w:r w:rsidRPr="0036391F">
              <w:rPr>
                <w:rFonts w:ascii="Arial Narrow" w:hAnsi="Arial Narrow"/>
                <w:sz w:val="20"/>
                <w:lang w:val="en-US"/>
              </w:rPr>
              <w:t>VISUAL II</w:t>
            </w:r>
          </w:p>
        </w:tc>
        <w:tc>
          <w:tcPr>
            <w:tcW w:w="330" w:type="dxa"/>
            <w:tcBorders>
              <w:bottom w:val="single" w:sz="4" w:space="0" w:color="auto"/>
            </w:tcBorders>
            <w:shd w:val="clear" w:color="auto" w:fill="auto"/>
            <w:vAlign w:val="center"/>
          </w:tcPr>
          <w:p w:rsidR="00AF2DAC" w:rsidRPr="0036391F" w:rsidRDefault="008E7678" w:rsidP="00AF2DAC">
            <w:pPr>
              <w:jc w:val="center"/>
              <w:rPr>
                <w:rFonts w:ascii="Arial Narrow" w:hAnsi="Arial Narrow"/>
                <w:sz w:val="20"/>
                <w:lang w:val="en-US"/>
              </w:rPr>
            </w:pPr>
            <w:r w:rsidRPr="0036391F">
              <w:rPr>
                <w:rFonts w:ascii="Arial Narrow" w:hAnsi="Arial Narrow"/>
                <w:sz w:val="20"/>
                <w:lang w:val="en-US"/>
              </w:rPr>
              <w:t>226</w:t>
            </w:r>
          </w:p>
        </w:tc>
        <w:tc>
          <w:tcPr>
            <w:tcW w:w="1418" w:type="dxa"/>
            <w:tcBorders>
              <w:bottom w:val="single" w:sz="4" w:space="0" w:color="auto"/>
            </w:tcBorders>
            <w:shd w:val="clear" w:color="auto" w:fill="auto"/>
            <w:vAlign w:val="center"/>
          </w:tcPr>
          <w:p w:rsidR="00AF2DAC" w:rsidRPr="0036391F" w:rsidRDefault="00AF2DAC" w:rsidP="00AF2DAC">
            <w:pPr>
              <w:jc w:val="center"/>
              <w:rPr>
                <w:rFonts w:ascii="Arial Narrow" w:hAnsi="Arial Narrow"/>
                <w:sz w:val="20"/>
                <w:lang w:val="en-US"/>
              </w:rPr>
            </w:pPr>
            <w:r w:rsidRPr="0036391F">
              <w:rPr>
                <w:rFonts w:ascii="Arial Narrow" w:hAnsi="Arial Narrow"/>
                <w:sz w:val="20"/>
                <w:lang w:val="en-US"/>
              </w:rPr>
              <w:t>MC, R, DB, PC</w:t>
            </w:r>
          </w:p>
          <w:p w:rsidR="00AF2DAC" w:rsidRPr="0036391F" w:rsidRDefault="008E7678" w:rsidP="00AF2DAC">
            <w:pPr>
              <w:jc w:val="center"/>
              <w:rPr>
                <w:rFonts w:ascii="Arial Narrow" w:hAnsi="Arial Narrow"/>
                <w:sz w:val="20"/>
                <w:lang w:val="en-US"/>
              </w:rPr>
            </w:pPr>
            <w:r w:rsidRPr="0036391F">
              <w:rPr>
                <w:rFonts w:ascii="Arial Narrow" w:hAnsi="Arial Narrow"/>
                <w:sz w:val="20"/>
                <w:lang w:val="en-US"/>
              </w:rPr>
              <w:t>2</w:t>
            </w:r>
            <w:r w:rsidR="00AF2DAC" w:rsidRPr="0036391F">
              <w:rPr>
                <w:rFonts w:ascii="Arial Narrow" w:hAnsi="Arial Narrow"/>
                <w:sz w:val="20"/>
                <w:lang w:val="en-US"/>
              </w:rPr>
              <w:t xml:space="preserve"> treatment arms</w:t>
            </w:r>
          </w:p>
          <w:p w:rsidR="00AF2DAC" w:rsidRPr="0036391F" w:rsidRDefault="008E7678" w:rsidP="00AF2DAC">
            <w:pPr>
              <w:jc w:val="center"/>
              <w:rPr>
                <w:rFonts w:ascii="Arial Narrow" w:hAnsi="Arial Narrow"/>
                <w:sz w:val="20"/>
                <w:lang w:val="en-US"/>
              </w:rPr>
            </w:pPr>
            <w:r w:rsidRPr="0036391F">
              <w:rPr>
                <w:rFonts w:ascii="Arial Narrow" w:hAnsi="Arial Narrow"/>
                <w:sz w:val="20"/>
                <w:lang w:val="en-US"/>
              </w:rPr>
              <w:t>Up to 80</w:t>
            </w:r>
            <w:r w:rsidR="00AF2DAC" w:rsidRPr="0036391F">
              <w:rPr>
                <w:rFonts w:ascii="Arial Narrow" w:hAnsi="Arial Narrow"/>
                <w:sz w:val="20"/>
                <w:lang w:val="en-US"/>
              </w:rPr>
              <w:t xml:space="preserve"> weeks</w:t>
            </w:r>
          </w:p>
        </w:tc>
        <w:tc>
          <w:tcPr>
            <w:tcW w:w="992" w:type="dxa"/>
            <w:tcBorders>
              <w:bottom w:val="single" w:sz="4" w:space="0" w:color="auto"/>
            </w:tcBorders>
            <w:shd w:val="clear" w:color="auto" w:fill="auto"/>
            <w:vAlign w:val="center"/>
          </w:tcPr>
          <w:p w:rsidR="00AF2DAC" w:rsidRPr="0036391F" w:rsidRDefault="00AF2DAC" w:rsidP="00AF2DAC">
            <w:pPr>
              <w:jc w:val="center"/>
              <w:rPr>
                <w:rFonts w:ascii="Arial Narrow" w:hAnsi="Arial Narrow"/>
                <w:sz w:val="20"/>
                <w:lang w:val="en-US"/>
              </w:rPr>
            </w:pPr>
            <w:r w:rsidRPr="0036391F">
              <w:rPr>
                <w:rFonts w:ascii="Arial Narrow" w:hAnsi="Arial Narrow"/>
                <w:sz w:val="20"/>
                <w:lang w:val="en-US"/>
              </w:rPr>
              <w:t>Low</w:t>
            </w:r>
          </w:p>
        </w:tc>
        <w:tc>
          <w:tcPr>
            <w:tcW w:w="2551" w:type="dxa"/>
            <w:tcBorders>
              <w:bottom w:val="single" w:sz="4" w:space="0" w:color="auto"/>
            </w:tcBorders>
            <w:shd w:val="clear" w:color="auto" w:fill="auto"/>
            <w:vAlign w:val="center"/>
          </w:tcPr>
          <w:p w:rsidR="00AF2DAC" w:rsidRPr="0036391F" w:rsidRDefault="00DB0A5F" w:rsidP="00AF2DAC">
            <w:pPr>
              <w:jc w:val="center"/>
              <w:rPr>
                <w:rFonts w:ascii="Arial Narrow" w:hAnsi="Arial Narrow"/>
                <w:sz w:val="20"/>
                <w:lang w:val="en-US"/>
              </w:rPr>
            </w:pPr>
            <w:r w:rsidRPr="0036391F">
              <w:rPr>
                <w:rFonts w:ascii="Arial Narrow" w:hAnsi="Arial Narrow"/>
                <w:sz w:val="20"/>
                <w:lang w:val="en-US"/>
              </w:rPr>
              <w:t xml:space="preserve">Non-infectious intermediate, posterior or </w:t>
            </w:r>
            <w:proofErr w:type="spellStart"/>
            <w:r w:rsidRPr="0036391F">
              <w:rPr>
                <w:rFonts w:ascii="Arial Narrow" w:hAnsi="Arial Narrow"/>
                <w:sz w:val="20"/>
                <w:lang w:val="en-US"/>
              </w:rPr>
              <w:t>panuveitis</w:t>
            </w:r>
            <w:proofErr w:type="spellEnd"/>
            <w:r w:rsidRPr="0036391F">
              <w:rPr>
                <w:rFonts w:ascii="Arial Narrow" w:hAnsi="Arial Narrow"/>
                <w:sz w:val="20"/>
                <w:lang w:val="en-US"/>
              </w:rPr>
              <w:t xml:space="preserve"> with </w:t>
            </w:r>
            <w:r w:rsidR="00F73699" w:rsidRPr="0036391F">
              <w:rPr>
                <w:rFonts w:ascii="Arial Narrow" w:hAnsi="Arial Narrow"/>
                <w:sz w:val="20"/>
                <w:lang w:val="en-US"/>
              </w:rPr>
              <w:t>controlled disease on high doses (10-35mg/day) oral corticosteroids</w:t>
            </w:r>
          </w:p>
        </w:tc>
        <w:tc>
          <w:tcPr>
            <w:tcW w:w="1134" w:type="dxa"/>
            <w:tcBorders>
              <w:bottom w:val="single" w:sz="4" w:space="0" w:color="auto"/>
            </w:tcBorders>
            <w:shd w:val="clear" w:color="auto" w:fill="auto"/>
            <w:vAlign w:val="center"/>
          </w:tcPr>
          <w:p w:rsidR="00AF2DAC" w:rsidRPr="0036391F" w:rsidRDefault="00F73699" w:rsidP="00AF2DAC">
            <w:pPr>
              <w:jc w:val="center"/>
              <w:rPr>
                <w:rFonts w:ascii="Arial Narrow" w:hAnsi="Arial Narrow"/>
                <w:sz w:val="20"/>
                <w:lang w:val="en-US"/>
              </w:rPr>
            </w:pPr>
            <w:r w:rsidRPr="0036391F">
              <w:rPr>
                <w:rFonts w:ascii="Arial Narrow" w:hAnsi="Arial Narrow"/>
                <w:sz w:val="20"/>
                <w:lang w:val="en-US"/>
              </w:rPr>
              <w:t>Time to treatment failure (flare)</w:t>
            </w:r>
          </w:p>
        </w:tc>
        <w:tc>
          <w:tcPr>
            <w:tcW w:w="1116" w:type="dxa"/>
            <w:tcBorders>
              <w:bottom w:val="single" w:sz="4" w:space="0" w:color="auto"/>
            </w:tcBorders>
            <w:shd w:val="clear" w:color="auto" w:fill="auto"/>
            <w:vAlign w:val="center"/>
          </w:tcPr>
          <w:p w:rsidR="00AF2DAC" w:rsidRPr="0036391F" w:rsidRDefault="00F73699" w:rsidP="00AF2DAC">
            <w:pPr>
              <w:jc w:val="center"/>
              <w:rPr>
                <w:rFonts w:ascii="Arial Narrow" w:hAnsi="Arial Narrow"/>
                <w:sz w:val="20"/>
                <w:lang w:val="en-US"/>
              </w:rPr>
            </w:pPr>
            <w:r w:rsidRPr="0036391F">
              <w:rPr>
                <w:rFonts w:ascii="Arial Narrow" w:hAnsi="Arial Narrow"/>
                <w:sz w:val="20"/>
                <w:lang w:val="en-US"/>
              </w:rPr>
              <w:t>Not used</w:t>
            </w:r>
          </w:p>
        </w:tc>
      </w:tr>
    </w:tbl>
    <w:p w:rsidR="007F1017" w:rsidRPr="0036391F" w:rsidRDefault="00F73699" w:rsidP="00E22A0D">
      <w:pPr>
        <w:pStyle w:val="TableFooter"/>
        <w:ind w:firstLine="720"/>
      </w:pPr>
      <w:proofErr w:type="gramStart"/>
      <w:r w:rsidRPr="0036391F">
        <w:t xml:space="preserve">DB, </w:t>
      </w:r>
      <w:r w:rsidR="007F1017" w:rsidRPr="0036391F">
        <w:t>double blind;</w:t>
      </w:r>
      <w:r w:rsidRPr="0036391F">
        <w:t xml:space="preserve"> MC, </w:t>
      </w:r>
      <w:r w:rsidR="00AF2DAC" w:rsidRPr="0036391F">
        <w:t xml:space="preserve">multi-centre; </w:t>
      </w:r>
      <w:r w:rsidRPr="0036391F">
        <w:t xml:space="preserve">PC, placebo controlled; R, </w:t>
      </w:r>
      <w:r w:rsidR="007F1017" w:rsidRPr="0036391F">
        <w:t>randomised.</w:t>
      </w:r>
      <w:proofErr w:type="gramEnd"/>
    </w:p>
    <w:p w:rsidR="007F1017" w:rsidRPr="0036391F" w:rsidRDefault="00F73699" w:rsidP="00E22A0D">
      <w:pPr>
        <w:pStyle w:val="TableFooter"/>
        <w:ind w:firstLine="720"/>
      </w:pPr>
      <w:r w:rsidRPr="0036391F">
        <w:t>Source: C</w:t>
      </w:r>
      <w:r w:rsidR="007F1017" w:rsidRPr="0036391F">
        <w:t>ompiled during the evaluation</w:t>
      </w:r>
    </w:p>
    <w:p w:rsidR="00E25434" w:rsidRPr="0036391F" w:rsidRDefault="00E25434" w:rsidP="00E25434">
      <w:pPr>
        <w:pStyle w:val="ListParagraph"/>
        <w:widowControl/>
        <w:rPr>
          <w:szCs w:val="22"/>
        </w:rPr>
      </w:pPr>
    </w:p>
    <w:p w:rsidR="00E25434" w:rsidRPr="0036391F" w:rsidRDefault="00E25434" w:rsidP="00556640">
      <w:pPr>
        <w:pStyle w:val="ListParagraph"/>
        <w:widowControl/>
        <w:numPr>
          <w:ilvl w:val="1"/>
          <w:numId w:val="3"/>
        </w:numPr>
      </w:pPr>
      <w:r w:rsidRPr="0036391F">
        <w:rPr>
          <w:szCs w:val="22"/>
        </w:rPr>
        <w:t xml:space="preserve">The </w:t>
      </w:r>
      <w:r w:rsidR="00F73699" w:rsidRPr="0036391F">
        <w:t xml:space="preserve">primary efficacy outcome was the time to treatment failure (flare). This was a composite outcome </w:t>
      </w:r>
      <w:r w:rsidRPr="0036391F">
        <w:t>consisting of four component endpoints:</w:t>
      </w:r>
    </w:p>
    <w:p w:rsidR="00E25434" w:rsidRPr="0036391F" w:rsidRDefault="00E25434" w:rsidP="00556640">
      <w:pPr>
        <w:pStyle w:val="ListParagraph"/>
        <w:widowControl/>
        <w:numPr>
          <w:ilvl w:val="0"/>
          <w:numId w:val="12"/>
        </w:numPr>
      </w:pPr>
      <w:r w:rsidRPr="0036391F">
        <w:t xml:space="preserve">New inflammatory, </w:t>
      </w:r>
      <w:proofErr w:type="spellStart"/>
      <w:r w:rsidRPr="0036391F">
        <w:t>chorioretinal</w:t>
      </w:r>
      <w:proofErr w:type="spellEnd"/>
      <w:r w:rsidRPr="0036391F">
        <w:t xml:space="preserve"> and/or inflammatory retinal vascular lesions relative to baseline</w:t>
      </w:r>
    </w:p>
    <w:p w:rsidR="00E25434" w:rsidRPr="0036391F" w:rsidRDefault="00E25434" w:rsidP="00556640">
      <w:pPr>
        <w:pStyle w:val="ListParagraph"/>
        <w:widowControl/>
        <w:numPr>
          <w:ilvl w:val="0"/>
          <w:numId w:val="12"/>
        </w:numPr>
      </w:pPr>
      <w:r w:rsidRPr="0036391F">
        <w:t>Two-step increase in anterior chamber cell grade relative to best state achieved (Standardisation of Uveitis Nomenclature; Jabs et al. 2005)</w:t>
      </w:r>
    </w:p>
    <w:p w:rsidR="00E25434" w:rsidRPr="0036391F" w:rsidRDefault="00E25434" w:rsidP="00556640">
      <w:pPr>
        <w:pStyle w:val="ListParagraph"/>
        <w:widowControl/>
        <w:numPr>
          <w:ilvl w:val="0"/>
          <w:numId w:val="12"/>
        </w:numPr>
      </w:pPr>
      <w:r w:rsidRPr="0036391F">
        <w:t>Two-step increase in vitreous haze grade relative to best state achieved (Standardisation of Uveitis Nomenclature; Jabs et al. 2005)</w:t>
      </w:r>
    </w:p>
    <w:p w:rsidR="00E25434" w:rsidRPr="0036391F" w:rsidRDefault="00E25434" w:rsidP="00556640">
      <w:pPr>
        <w:pStyle w:val="ListParagraph"/>
        <w:widowControl/>
        <w:numPr>
          <w:ilvl w:val="0"/>
          <w:numId w:val="12"/>
        </w:numPr>
      </w:pPr>
      <w:r w:rsidRPr="0036391F">
        <w:t xml:space="preserve">Worsening of best corrected visual acuity </w:t>
      </w:r>
      <w:r w:rsidR="00C320C5" w:rsidRPr="0036391F">
        <w:t>by ≥15 letters relative to baseline (Early Treatment Diabetic Retinopathy Study chart)</w:t>
      </w:r>
      <w:r w:rsidR="006D48DE" w:rsidRPr="0036391F">
        <w:t>.</w:t>
      </w:r>
    </w:p>
    <w:p w:rsidR="006D48DE" w:rsidRPr="0036391F" w:rsidRDefault="006D48DE" w:rsidP="006D48DE">
      <w:pPr>
        <w:widowControl/>
      </w:pPr>
    </w:p>
    <w:p w:rsidR="00D03D84" w:rsidRDefault="00D03D84" w:rsidP="00D03D84">
      <w:pPr>
        <w:pStyle w:val="ListParagraph"/>
        <w:widowControl/>
        <w:numPr>
          <w:ilvl w:val="1"/>
          <w:numId w:val="3"/>
        </w:numPr>
      </w:pPr>
      <w:r w:rsidRPr="00112B41">
        <w:rPr>
          <w:szCs w:val="22"/>
        </w:rPr>
        <w:lastRenderedPageBreak/>
        <w:t xml:space="preserve">The </w:t>
      </w:r>
      <w:r w:rsidR="00112B41" w:rsidRPr="00112B41">
        <w:rPr>
          <w:szCs w:val="22"/>
        </w:rPr>
        <w:t xml:space="preserve">long-term </w:t>
      </w:r>
      <w:r w:rsidRPr="00112B41">
        <w:rPr>
          <w:szCs w:val="22"/>
        </w:rPr>
        <w:t>clinical relevance of this outcome is unknown. Whilst these measures are used in clinical practice to assess ocular inflammation,</w:t>
      </w:r>
      <w:r w:rsidR="00C320C5" w:rsidRPr="00112B41">
        <w:rPr>
          <w:szCs w:val="22"/>
        </w:rPr>
        <w:t xml:space="preserve"> </w:t>
      </w:r>
      <w:r w:rsidRPr="00112B41">
        <w:rPr>
          <w:szCs w:val="22"/>
        </w:rPr>
        <w:t xml:space="preserve">the link between the four outcomes used to define flare, and rate of downstream ocular complications such as cataract, visual disturbance, glaucoma or blindness is uncertain. </w:t>
      </w:r>
      <w:r w:rsidR="00FD6982" w:rsidRPr="00112B41">
        <w:rPr>
          <w:szCs w:val="22"/>
        </w:rPr>
        <w:t>The ESC discussed that o</w:t>
      </w:r>
      <w:r w:rsidR="00FD6982" w:rsidRPr="0036391F">
        <w:t xml:space="preserve">cular complications are thought to be associated with duration, severity and location of uveitis. </w:t>
      </w:r>
      <w:r w:rsidR="0025515F" w:rsidRPr="0036391F">
        <w:t>Given that there was no evidence in relation to the severity of inflammation</w:t>
      </w:r>
      <w:r w:rsidR="0041568E" w:rsidRPr="0036391F">
        <w:t xml:space="preserve"> and only the time to flare was considered in the submission</w:t>
      </w:r>
      <w:r w:rsidR="0025515F" w:rsidRPr="0036391F">
        <w:t>, the</w:t>
      </w:r>
      <w:r w:rsidR="00F539EE" w:rsidRPr="0036391F">
        <w:t>re are potential</w:t>
      </w:r>
      <w:r w:rsidR="0025515F" w:rsidRPr="0036391F">
        <w:t xml:space="preserve"> </w:t>
      </w:r>
      <w:r w:rsidR="00F539EE" w:rsidRPr="00531AB6">
        <w:t xml:space="preserve">unknown </w:t>
      </w:r>
      <w:r w:rsidR="0025515F" w:rsidRPr="00531AB6">
        <w:t>impact</w:t>
      </w:r>
      <w:r w:rsidR="00F539EE" w:rsidRPr="00531AB6">
        <w:t>s</w:t>
      </w:r>
      <w:r w:rsidR="0025515F" w:rsidRPr="00531AB6">
        <w:t xml:space="preserve"> on </w:t>
      </w:r>
      <w:r w:rsidR="00B13CA8" w:rsidRPr="00531AB6">
        <w:t>long-term ocular complications,</w:t>
      </w:r>
      <w:r w:rsidR="00EA637A" w:rsidRPr="00531AB6">
        <w:t xml:space="preserve"> which flow through to</w:t>
      </w:r>
      <w:r w:rsidR="00B13CA8" w:rsidRPr="00531AB6">
        <w:t xml:space="preserve"> </w:t>
      </w:r>
      <w:r w:rsidR="0025515F" w:rsidRPr="00531AB6">
        <w:t xml:space="preserve">the </w:t>
      </w:r>
      <w:r w:rsidR="008B0A56" w:rsidRPr="00531AB6">
        <w:t xml:space="preserve">economic </w:t>
      </w:r>
      <w:r w:rsidR="0025515F" w:rsidRPr="00531AB6">
        <w:t xml:space="preserve">model. </w:t>
      </w:r>
      <w:r w:rsidR="00C26DB7" w:rsidRPr="00531AB6">
        <w:t xml:space="preserve">The pre-PBAC response (p1) argued that </w:t>
      </w:r>
      <w:r w:rsidR="007A1779" w:rsidRPr="00531AB6">
        <w:t>chronic</w:t>
      </w:r>
      <w:r w:rsidR="00C26DB7" w:rsidRPr="00531AB6">
        <w:t xml:space="preserve"> non-infectious intermediate, posterior and </w:t>
      </w:r>
      <w:proofErr w:type="spellStart"/>
      <w:r w:rsidR="00C26DB7" w:rsidRPr="00531AB6">
        <w:t>panuveitis</w:t>
      </w:r>
      <w:proofErr w:type="spellEnd"/>
      <w:r w:rsidR="00C26DB7" w:rsidRPr="00531AB6">
        <w:t xml:space="preserve"> causes cumulative damage to the eye(s) which results from repeated inflammatory </w:t>
      </w:r>
      <w:r w:rsidR="000E6380" w:rsidRPr="00531AB6">
        <w:t>attacks</w:t>
      </w:r>
      <w:r w:rsidR="00C26DB7" w:rsidRPr="00531AB6">
        <w:t xml:space="preserve"> on ocular tissues and may be greater than the sum of the individual inflammatory episodes and lead to irreversible consequences. </w:t>
      </w:r>
      <w:r w:rsidR="00D32403" w:rsidRPr="00531AB6">
        <w:t xml:space="preserve">The PBAC </w:t>
      </w:r>
      <w:r w:rsidR="00DF3DAA" w:rsidRPr="00531AB6">
        <w:t xml:space="preserve">noted </w:t>
      </w:r>
      <w:r w:rsidR="006A29D2" w:rsidRPr="00531AB6">
        <w:t xml:space="preserve">uncertainties </w:t>
      </w:r>
      <w:r w:rsidR="003623DB">
        <w:t>remain</w:t>
      </w:r>
      <w:r w:rsidR="003623DB" w:rsidRPr="00531AB6">
        <w:t xml:space="preserve"> </w:t>
      </w:r>
      <w:r w:rsidR="006A29D2" w:rsidRPr="00531AB6">
        <w:t xml:space="preserve">around the extrapolation of the efficacy </w:t>
      </w:r>
      <w:r w:rsidR="00BA5CF3">
        <w:t xml:space="preserve">of the </w:t>
      </w:r>
      <w:r w:rsidR="006A29D2" w:rsidRPr="00531AB6">
        <w:t>surrogate</w:t>
      </w:r>
      <w:r w:rsidR="00BA5CF3">
        <w:t xml:space="preserve"> (flares)</w:t>
      </w:r>
      <w:r w:rsidR="006A29D2" w:rsidRPr="00531AB6">
        <w:t xml:space="preserve"> to </w:t>
      </w:r>
      <w:r w:rsidR="00BA5CF3">
        <w:t xml:space="preserve">the </w:t>
      </w:r>
      <w:r w:rsidR="006A29D2" w:rsidRPr="00531AB6">
        <w:t>efficacy</w:t>
      </w:r>
      <w:r w:rsidR="006A29D2">
        <w:t xml:space="preserve"> against complications</w:t>
      </w:r>
      <w:r w:rsidR="00BA5CF3">
        <w:t>.</w:t>
      </w:r>
      <w:r w:rsidR="006A29D2">
        <w:t xml:space="preserve"> </w:t>
      </w:r>
    </w:p>
    <w:p w:rsidR="00112B41" w:rsidRPr="0036391F" w:rsidRDefault="00112B41" w:rsidP="00112B41">
      <w:pPr>
        <w:pStyle w:val="ListParagraph"/>
        <w:widowControl/>
      </w:pPr>
    </w:p>
    <w:p w:rsidR="00C320C5" w:rsidRPr="0036391F" w:rsidRDefault="00C320C5" w:rsidP="00556640">
      <w:pPr>
        <w:pStyle w:val="ListParagraph"/>
        <w:widowControl/>
        <w:numPr>
          <w:ilvl w:val="1"/>
          <w:numId w:val="3"/>
        </w:numPr>
      </w:pPr>
      <w:r w:rsidRPr="0036391F">
        <w:rPr>
          <w:szCs w:val="22"/>
        </w:rPr>
        <w:t xml:space="preserve">In the included studies: </w:t>
      </w:r>
    </w:p>
    <w:p w:rsidR="00920CB6" w:rsidRPr="0036391F" w:rsidRDefault="00C320C5" w:rsidP="00556640">
      <w:pPr>
        <w:pStyle w:val="ListParagraph"/>
        <w:widowControl/>
        <w:numPr>
          <w:ilvl w:val="0"/>
          <w:numId w:val="14"/>
        </w:numPr>
      </w:pPr>
      <w:r w:rsidRPr="0036391F">
        <w:rPr>
          <w:szCs w:val="22"/>
        </w:rPr>
        <w:t>Patients underwent forced rapid tapering of oral corticosteroids regardless of clinical response</w:t>
      </w:r>
      <w:r w:rsidR="00920CB6" w:rsidRPr="0036391F">
        <w:rPr>
          <w:szCs w:val="22"/>
        </w:rPr>
        <w:t>, which is not representative of clinical practice</w:t>
      </w:r>
      <w:r w:rsidRPr="0036391F">
        <w:rPr>
          <w:szCs w:val="22"/>
        </w:rPr>
        <w:t>.</w:t>
      </w:r>
    </w:p>
    <w:p w:rsidR="00C320C5" w:rsidRPr="0036391F" w:rsidRDefault="00920CB6" w:rsidP="003A5E48">
      <w:pPr>
        <w:pStyle w:val="ListParagraph"/>
        <w:widowControl/>
        <w:numPr>
          <w:ilvl w:val="0"/>
          <w:numId w:val="14"/>
        </w:numPr>
      </w:pPr>
      <w:r w:rsidRPr="0036391F">
        <w:rPr>
          <w:szCs w:val="22"/>
        </w:rPr>
        <w:t>Only a proportion of patients</w:t>
      </w:r>
      <w:r w:rsidR="00C320C5" w:rsidRPr="0036391F">
        <w:rPr>
          <w:szCs w:val="22"/>
        </w:rPr>
        <w:t xml:space="preserve"> </w:t>
      </w:r>
      <w:r w:rsidRPr="0036391F">
        <w:rPr>
          <w:szCs w:val="22"/>
        </w:rPr>
        <w:t>(approximately 31% in VISUAL I and 47% in VISUAL II) were taking immunomodulatory therapy at baseline.</w:t>
      </w:r>
    </w:p>
    <w:p w:rsidR="00ED0867" w:rsidRDefault="00ED0867" w:rsidP="00F977FA">
      <w:pPr>
        <w:pStyle w:val="ListParagraph"/>
        <w:widowControl/>
        <w:rPr>
          <w:szCs w:val="22"/>
        </w:rPr>
      </w:pPr>
    </w:p>
    <w:p w:rsidR="00B60939" w:rsidRPr="0036391F" w:rsidRDefault="00920CB6" w:rsidP="00ED0867">
      <w:pPr>
        <w:pStyle w:val="ListParagraph"/>
        <w:widowControl/>
        <w:numPr>
          <w:ilvl w:val="1"/>
          <w:numId w:val="3"/>
        </w:numPr>
      </w:pPr>
      <w:r w:rsidRPr="0036391F">
        <w:rPr>
          <w:szCs w:val="22"/>
        </w:rPr>
        <w:t xml:space="preserve">The trial ITT populations were therefore not representative of the eligible population under the requested listing. </w:t>
      </w:r>
    </w:p>
    <w:p w:rsidR="008332F8" w:rsidRPr="00C3674F" w:rsidRDefault="008332F8" w:rsidP="00B60939">
      <w:pPr>
        <w:rPr>
          <w:szCs w:val="22"/>
        </w:rPr>
      </w:pPr>
    </w:p>
    <w:p w:rsidR="00B60939" w:rsidRPr="00C3674F" w:rsidRDefault="00B60939" w:rsidP="002C2775">
      <w:pPr>
        <w:pStyle w:val="Heading2"/>
        <w:rPr>
          <w:i/>
        </w:rPr>
      </w:pPr>
      <w:bookmarkStart w:id="10" w:name="_Toc472349919"/>
      <w:r w:rsidRPr="00C3674F">
        <w:rPr>
          <w:i/>
        </w:rPr>
        <w:t>Comparative effectiveness</w:t>
      </w:r>
      <w:bookmarkEnd w:id="10"/>
    </w:p>
    <w:p w:rsidR="00B60939" w:rsidRPr="00C3674F" w:rsidRDefault="00B60939" w:rsidP="00B60939">
      <w:pPr>
        <w:rPr>
          <w:szCs w:val="22"/>
        </w:rPr>
      </w:pPr>
    </w:p>
    <w:p w:rsidR="00893AA1" w:rsidRPr="0036391F" w:rsidRDefault="00894790" w:rsidP="006E2090">
      <w:pPr>
        <w:pStyle w:val="ListParagraph"/>
        <w:widowControl/>
        <w:numPr>
          <w:ilvl w:val="1"/>
          <w:numId w:val="3"/>
        </w:numPr>
        <w:rPr>
          <w:szCs w:val="22"/>
        </w:rPr>
      </w:pPr>
      <w:r w:rsidRPr="0036391F">
        <w:rPr>
          <w:szCs w:val="22"/>
        </w:rPr>
        <w:t>Time to treatment failure (primary outcome) with adalimumab and placebo</w:t>
      </w:r>
      <w:r w:rsidR="00893AA1" w:rsidRPr="0036391F">
        <w:rPr>
          <w:szCs w:val="22"/>
        </w:rPr>
        <w:t xml:space="preserve"> from VISUAL I</w:t>
      </w:r>
      <w:r w:rsidRPr="0036391F">
        <w:rPr>
          <w:szCs w:val="22"/>
        </w:rPr>
        <w:t xml:space="preserve"> is summarised in Figure 1 below</w:t>
      </w:r>
      <w:r w:rsidR="007F1017" w:rsidRPr="0036391F">
        <w:rPr>
          <w:szCs w:val="22"/>
        </w:rPr>
        <w:t>.</w:t>
      </w:r>
    </w:p>
    <w:p w:rsidR="00662B27" w:rsidRPr="0036391F" w:rsidRDefault="00662B27" w:rsidP="00662B27"/>
    <w:p w:rsidR="003872A6" w:rsidRPr="0036391F" w:rsidRDefault="003872A6" w:rsidP="005D0892">
      <w:pPr>
        <w:pStyle w:val="ListParagraph"/>
        <w:keepNext/>
        <w:keepLines/>
        <w:widowControl/>
        <w:rPr>
          <w:szCs w:val="22"/>
        </w:rPr>
      </w:pPr>
      <w:r w:rsidRPr="0036391F">
        <w:rPr>
          <w:rFonts w:ascii="Arial Narrow" w:hAnsi="Arial Narrow"/>
          <w:b/>
          <w:sz w:val="20"/>
        </w:rPr>
        <w:t>Figure 1: Kaplan-Meier curves of time to treatment failure (</w:t>
      </w:r>
      <w:r w:rsidR="00893AA1" w:rsidRPr="0036391F">
        <w:rPr>
          <w:rFonts w:ascii="Arial Narrow" w:hAnsi="Arial Narrow"/>
          <w:b/>
          <w:sz w:val="20"/>
        </w:rPr>
        <w:t xml:space="preserve">ITT population; </w:t>
      </w:r>
      <w:r w:rsidRPr="0036391F">
        <w:rPr>
          <w:rFonts w:ascii="Arial Narrow" w:hAnsi="Arial Narrow"/>
          <w:b/>
          <w:sz w:val="20"/>
        </w:rPr>
        <w:t>VISUAL I)</w:t>
      </w:r>
    </w:p>
    <w:p w:rsidR="003872A6" w:rsidRPr="0036391F" w:rsidRDefault="003872A6" w:rsidP="005D0892">
      <w:pPr>
        <w:pStyle w:val="ListParagraph"/>
        <w:keepNext/>
        <w:keepLines/>
        <w:widowControl/>
        <w:rPr>
          <w:szCs w:val="22"/>
        </w:rPr>
      </w:pPr>
      <w:r w:rsidRPr="0036391F">
        <w:rPr>
          <w:noProof/>
          <w:snapToGrid/>
          <w:lang w:eastAsia="en-AU"/>
        </w:rPr>
        <w:drawing>
          <wp:inline distT="0" distB="0" distL="0" distR="0" wp14:anchorId="11965F79" wp14:editId="4BCBF838">
            <wp:extent cx="5220088" cy="2687541"/>
            <wp:effectExtent l="0" t="0" r="0" b="0"/>
            <wp:docPr id="5" name="Picture 5" title="Figure 1: Kaplan-Meier curves of time to treatment failure (ITT population; VISUAL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674" cy="2690932"/>
                    </a:xfrm>
                    <a:prstGeom prst="rect">
                      <a:avLst/>
                    </a:prstGeom>
                    <a:noFill/>
                    <a:ln>
                      <a:noFill/>
                    </a:ln>
                  </pic:spPr>
                </pic:pic>
              </a:graphicData>
            </a:graphic>
          </wp:inline>
        </w:drawing>
      </w:r>
    </w:p>
    <w:p w:rsidR="00893AA1" w:rsidRPr="0036391F" w:rsidRDefault="00893AA1" w:rsidP="005D0892">
      <w:pPr>
        <w:pStyle w:val="ListParagraph"/>
        <w:keepNext/>
        <w:keepLines/>
        <w:widowControl/>
        <w:rPr>
          <w:rFonts w:ascii="Arial Narrow" w:hAnsi="Arial Narrow"/>
          <w:sz w:val="18"/>
          <w:szCs w:val="18"/>
        </w:rPr>
      </w:pPr>
      <w:r w:rsidRPr="0036391F">
        <w:rPr>
          <w:rFonts w:ascii="Arial Narrow" w:hAnsi="Arial Narrow"/>
          <w:sz w:val="18"/>
          <w:szCs w:val="18"/>
        </w:rPr>
        <w:t>Source: Figure 1, p.938 Jaffe et al. (2016)</w:t>
      </w:r>
    </w:p>
    <w:p w:rsidR="00893AA1" w:rsidRPr="0036391F" w:rsidRDefault="00893AA1" w:rsidP="00893AA1">
      <w:pPr>
        <w:pStyle w:val="ListParagraph"/>
        <w:widowControl/>
        <w:rPr>
          <w:szCs w:val="22"/>
        </w:rPr>
      </w:pPr>
    </w:p>
    <w:p w:rsidR="00893AA1" w:rsidRPr="0036391F" w:rsidRDefault="008845FF" w:rsidP="003D3506">
      <w:pPr>
        <w:pStyle w:val="ListParagraph"/>
        <w:widowControl/>
        <w:numPr>
          <w:ilvl w:val="1"/>
          <w:numId w:val="3"/>
        </w:numPr>
        <w:tabs>
          <w:tab w:val="left" w:pos="2835"/>
        </w:tabs>
        <w:rPr>
          <w:szCs w:val="22"/>
        </w:rPr>
      </w:pPr>
      <w:r w:rsidRPr="0036391F">
        <w:rPr>
          <w:szCs w:val="22"/>
        </w:rPr>
        <w:lastRenderedPageBreak/>
        <w:t xml:space="preserve">Treatment with </w:t>
      </w:r>
      <w:r w:rsidR="007C2E13" w:rsidRPr="0036391F">
        <w:rPr>
          <w:szCs w:val="22"/>
        </w:rPr>
        <w:t>adalimumab</w:t>
      </w:r>
      <w:r w:rsidRPr="0036391F">
        <w:rPr>
          <w:szCs w:val="22"/>
        </w:rPr>
        <w:t xml:space="preserve"> was associated wit</w:t>
      </w:r>
      <w:r w:rsidR="007C2E13" w:rsidRPr="0036391F">
        <w:rPr>
          <w:szCs w:val="22"/>
        </w:rPr>
        <w:t>h a statistically significant in</w:t>
      </w:r>
      <w:r w:rsidRPr="0036391F">
        <w:rPr>
          <w:szCs w:val="22"/>
        </w:rPr>
        <w:t xml:space="preserve">crease in </w:t>
      </w:r>
      <w:r w:rsidR="007C2E13" w:rsidRPr="0036391F">
        <w:rPr>
          <w:szCs w:val="22"/>
        </w:rPr>
        <w:t>time to treatment failure</w:t>
      </w:r>
      <w:r w:rsidRPr="0036391F">
        <w:rPr>
          <w:szCs w:val="22"/>
        </w:rPr>
        <w:t xml:space="preserve"> compared with placebo (median </w:t>
      </w:r>
      <w:r w:rsidR="007C2E13" w:rsidRPr="0036391F">
        <w:rPr>
          <w:szCs w:val="22"/>
        </w:rPr>
        <w:t>t</w:t>
      </w:r>
      <w:r w:rsidR="00704BAF" w:rsidRPr="0036391F">
        <w:rPr>
          <w:szCs w:val="22"/>
        </w:rPr>
        <w:t>ime to</w:t>
      </w:r>
      <w:r w:rsidR="007C2E13" w:rsidRPr="0036391F">
        <w:rPr>
          <w:szCs w:val="22"/>
        </w:rPr>
        <w:t xml:space="preserve"> treatment failure 5.6 months</w:t>
      </w:r>
      <w:r w:rsidRPr="0036391F">
        <w:rPr>
          <w:szCs w:val="22"/>
        </w:rPr>
        <w:t xml:space="preserve"> vs. </w:t>
      </w:r>
      <w:r w:rsidR="007C2E13" w:rsidRPr="0036391F">
        <w:rPr>
          <w:szCs w:val="22"/>
        </w:rPr>
        <w:t>3 months</w:t>
      </w:r>
      <w:r w:rsidRPr="0036391F">
        <w:rPr>
          <w:szCs w:val="22"/>
        </w:rPr>
        <w:t xml:space="preserve"> with placebo; HR 0.</w:t>
      </w:r>
      <w:r w:rsidR="007C2E13" w:rsidRPr="0036391F">
        <w:rPr>
          <w:szCs w:val="22"/>
        </w:rPr>
        <w:t>50</w:t>
      </w:r>
      <w:r w:rsidRPr="0036391F">
        <w:rPr>
          <w:szCs w:val="22"/>
        </w:rPr>
        <w:t>, 95% CI</w:t>
      </w:r>
      <w:r w:rsidR="007C2E13" w:rsidRPr="0036391F">
        <w:rPr>
          <w:szCs w:val="22"/>
        </w:rPr>
        <w:t>:</w:t>
      </w:r>
      <w:r w:rsidRPr="0036391F">
        <w:rPr>
          <w:szCs w:val="22"/>
        </w:rPr>
        <w:t xml:space="preserve"> 0.3</w:t>
      </w:r>
      <w:r w:rsidR="007C2E13" w:rsidRPr="0036391F">
        <w:rPr>
          <w:szCs w:val="22"/>
        </w:rPr>
        <w:t>6</w:t>
      </w:r>
      <w:r w:rsidRPr="0036391F">
        <w:rPr>
          <w:szCs w:val="22"/>
        </w:rPr>
        <w:t>, 0.7</w:t>
      </w:r>
      <w:r w:rsidR="007C2E13" w:rsidRPr="0036391F">
        <w:rPr>
          <w:szCs w:val="22"/>
        </w:rPr>
        <w:t>0</w:t>
      </w:r>
      <w:r w:rsidRPr="0036391F">
        <w:rPr>
          <w:szCs w:val="22"/>
        </w:rPr>
        <w:t>)</w:t>
      </w:r>
      <w:r w:rsidR="007C2E13" w:rsidRPr="0036391F">
        <w:rPr>
          <w:szCs w:val="22"/>
        </w:rPr>
        <w:t>.</w:t>
      </w:r>
      <w:r w:rsidR="00EA637A" w:rsidRPr="0036391F">
        <w:rPr>
          <w:szCs w:val="22"/>
        </w:rPr>
        <w:t xml:space="preserve"> </w:t>
      </w:r>
      <w:r w:rsidR="003623DB">
        <w:rPr>
          <w:szCs w:val="22"/>
        </w:rPr>
        <w:t xml:space="preserve">The </w:t>
      </w:r>
      <w:r w:rsidR="00EA637A" w:rsidRPr="0036391F">
        <w:rPr>
          <w:szCs w:val="22"/>
        </w:rPr>
        <w:t xml:space="preserve">ESC noted that participants in VISUAL 1 were undergoing an active flare at baseline, so ‘treatment failure’ represents worsening of that flare or a new flare. </w:t>
      </w:r>
      <w:r w:rsidR="00A52D1F" w:rsidRPr="0036391F">
        <w:rPr>
          <w:szCs w:val="22"/>
        </w:rPr>
        <w:t>Tapering of corticosteroids also coincides with a difference in flares</w:t>
      </w:r>
      <w:r w:rsidR="00373BBF" w:rsidRPr="0036391F">
        <w:rPr>
          <w:szCs w:val="22"/>
        </w:rPr>
        <w:t xml:space="preserve"> between adalimumab and placebo.</w:t>
      </w:r>
    </w:p>
    <w:p w:rsidR="00893AA1" w:rsidRPr="0036391F" w:rsidRDefault="00893AA1" w:rsidP="003D3506">
      <w:pPr>
        <w:pStyle w:val="ListParagraph"/>
        <w:widowControl/>
        <w:tabs>
          <w:tab w:val="left" w:pos="2835"/>
        </w:tabs>
        <w:rPr>
          <w:szCs w:val="22"/>
        </w:rPr>
      </w:pPr>
    </w:p>
    <w:p w:rsidR="00893AA1" w:rsidRPr="0036391F" w:rsidRDefault="00893AA1" w:rsidP="00556640">
      <w:pPr>
        <w:pStyle w:val="ListParagraph"/>
        <w:widowControl/>
        <w:numPr>
          <w:ilvl w:val="1"/>
          <w:numId w:val="3"/>
        </w:numPr>
        <w:rPr>
          <w:szCs w:val="22"/>
        </w:rPr>
      </w:pPr>
      <w:r w:rsidRPr="0036391F">
        <w:rPr>
          <w:szCs w:val="22"/>
        </w:rPr>
        <w:t>Time to treatment failure (primary outcome) with adalimumab and placebo from VISUAL II is summarised in Figure 2 below.</w:t>
      </w:r>
    </w:p>
    <w:p w:rsidR="007F1017" w:rsidRPr="0036391F" w:rsidRDefault="007F1017" w:rsidP="007F1017">
      <w:pPr>
        <w:widowControl/>
        <w:rPr>
          <w:szCs w:val="22"/>
        </w:rPr>
      </w:pPr>
    </w:p>
    <w:p w:rsidR="00893AA1" w:rsidRPr="0036391F" w:rsidRDefault="00893AA1" w:rsidP="009137E7">
      <w:pPr>
        <w:pStyle w:val="ListParagraph"/>
        <w:keepNext/>
        <w:widowControl/>
        <w:rPr>
          <w:szCs w:val="22"/>
        </w:rPr>
      </w:pPr>
      <w:r w:rsidRPr="0036391F">
        <w:rPr>
          <w:rFonts w:ascii="Arial Narrow" w:hAnsi="Arial Narrow"/>
          <w:b/>
          <w:sz w:val="20"/>
        </w:rPr>
        <w:t>Figure 2: Kaplan-Meier curves of time to treatment failure (ITT population; VISUAL II)</w:t>
      </w:r>
    </w:p>
    <w:p w:rsidR="00893AA1" w:rsidRPr="0036391F" w:rsidRDefault="00893AA1" w:rsidP="00893AA1">
      <w:pPr>
        <w:widowControl/>
        <w:ind w:left="709"/>
        <w:rPr>
          <w:szCs w:val="22"/>
        </w:rPr>
      </w:pPr>
      <w:r w:rsidRPr="0036391F">
        <w:rPr>
          <w:noProof/>
          <w:snapToGrid/>
          <w:szCs w:val="22"/>
          <w:lang w:eastAsia="en-AU"/>
        </w:rPr>
        <w:drawing>
          <wp:inline distT="0" distB="0" distL="0" distR="0" wp14:anchorId="67E56B35" wp14:editId="397F6348">
            <wp:extent cx="5176299" cy="2835637"/>
            <wp:effectExtent l="0" t="0" r="5715" b="3175"/>
            <wp:docPr id="7" name="Picture 7" title="Figure 2: Kaplan-Meier curves of time to treatment failure (ITT population; VISUAL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7825" cy="2836473"/>
                    </a:xfrm>
                    <a:prstGeom prst="rect">
                      <a:avLst/>
                    </a:prstGeom>
                    <a:noFill/>
                  </pic:spPr>
                </pic:pic>
              </a:graphicData>
            </a:graphic>
          </wp:inline>
        </w:drawing>
      </w:r>
    </w:p>
    <w:p w:rsidR="00893AA1" w:rsidRPr="0036391F" w:rsidRDefault="00893AA1" w:rsidP="00893AA1">
      <w:pPr>
        <w:ind w:firstLine="709"/>
        <w:rPr>
          <w:rFonts w:ascii="Arial Narrow" w:hAnsi="Arial Narrow"/>
          <w:sz w:val="18"/>
          <w:szCs w:val="18"/>
        </w:rPr>
      </w:pPr>
      <w:r w:rsidRPr="0036391F">
        <w:rPr>
          <w:rFonts w:ascii="Arial Narrow" w:hAnsi="Arial Narrow"/>
          <w:sz w:val="18"/>
          <w:szCs w:val="18"/>
        </w:rPr>
        <w:t>Source: Figure 2, p.1188 of Nguyen et al. (2016)</w:t>
      </w:r>
    </w:p>
    <w:p w:rsidR="00893AA1" w:rsidRPr="0036391F" w:rsidRDefault="00893AA1" w:rsidP="007F1017">
      <w:pPr>
        <w:widowControl/>
        <w:rPr>
          <w:szCs w:val="22"/>
        </w:rPr>
      </w:pPr>
    </w:p>
    <w:p w:rsidR="00704BAF" w:rsidRPr="0036391F" w:rsidRDefault="00704BAF" w:rsidP="00EA637A">
      <w:pPr>
        <w:pStyle w:val="ListParagraph"/>
        <w:numPr>
          <w:ilvl w:val="1"/>
          <w:numId w:val="3"/>
        </w:numPr>
        <w:rPr>
          <w:szCs w:val="22"/>
        </w:rPr>
      </w:pPr>
      <w:r w:rsidRPr="0036391F">
        <w:rPr>
          <w:szCs w:val="22"/>
        </w:rPr>
        <w:t>Treatment with adalimumab was associated with a statistically significant increase in time to treatment failure compared with placebo (median time to treatment failure not reached vs. 8.3 months with placebo; HR 0.57, 95% CI: 0.39, 0.84).</w:t>
      </w:r>
      <w:r w:rsidR="00EA637A" w:rsidRPr="0036391F">
        <w:rPr>
          <w:szCs w:val="22"/>
        </w:rPr>
        <w:t xml:space="preserve"> </w:t>
      </w:r>
      <w:r w:rsidR="005170ED" w:rsidRPr="0036391F">
        <w:rPr>
          <w:szCs w:val="22"/>
        </w:rPr>
        <w:t xml:space="preserve">The </w:t>
      </w:r>
      <w:r w:rsidR="00EA637A" w:rsidRPr="0036391F">
        <w:rPr>
          <w:szCs w:val="22"/>
        </w:rPr>
        <w:t>ESC noted that participants in VISUAL II did not have an ‘active flare’ at baseline but were dependent on high dose steroids. Therefore, ‘treatment failure’ represents a new flare or recurrence of the original one.</w:t>
      </w:r>
    </w:p>
    <w:p w:rsidR="00704BAF" w:rsidRPr="0036391F" w:rsidRDefault="00704BAF" w:rsidP="00704BAF">
      <w:pPr>
        <w:pStyle w:val="ListParagraph"/>
        <w:rPr>
          <w:szCs w:val="22"/>
        </w:rPr>
      </w:pPr>
    </w:p>
    <w:p w:rsidR="008845FF" w:rsidRPr="00ED5B95" w:rsidRDefault="00D03D84" w:rsidP="000E259E">
      <w:pPr>
        <w:pStyle w:val="ListParagraph"/>
        <w:widowControl/>
        <w:numPr>
          <w:ilvl w:val="1"/>
          <w:numId w:val="3"/>
        </w:numPr>
        <w:rPr>
          <w:szCs w:val="22"/>
        </w:rPr>
      </w:pPr>
      <w:r w:rsidRPr="0036391F">
        <w:rPr>
          <w:szCs w:val="22"/>
        </w:rPr>
        <w:t xml:space="preserve">In both studies, there was a statistically significant benefit in favour of adalimumab for time to treatment failure. However, both studies included a forced taper schedule for concomitant oral corticosteroids, currently the mainstay of treatment for ocular inflammation, </w:t>
      </w:r>
      <w:r w:rsidR="009C7702" w:rsidRPr="0036391F">
        <w:rPr>
          <w:szCs w:val="22"/>
        </w:rPr>
        <w:t xml:space="preserve">in both treatment groups </w:t>
      </w:r>
      <w:r w:rsidRPr="0036391F">
        <w:rPr>
          <w:szCs w:val="22"/>
        </w:rPr>
        <w:t xml:space="preserve">regardless of levels of disease activity. In clinical practice assessment </w:t>
      </w:r>
      <w:r w:rsidR="005A236F" w:rsidRPr="0036391F">
        <w:rPr>
          <w:szCs w:val="22"/>
        </w:rPr>
        <w:t xml:space="preserve">of ocular inflammation is </w:t>
      </w:r>
      <w:r w:rsidRPr="0036391F">
        <w:rPr>
          <w:szCs w:val="22"/>
        </w:rPr>
        <w:t>performed at each dose reduction. The forced corticosteroid taper schedules used in VISUAL I and VISUAL II may have overestimated the treatment effect of adalimumab</w:t>
      </w:r>
      <w:r w:rsidR="008845FF" w:rsidRPr="0036391F">
        <w:rPr>
          <w:szCs w:val="22"/>
        </w:rPr>
        <w:t>.</w:t>
      </w:r>
      <w:r w:rsidR="000E259E" w:rsidRPr="0036391F">
        <w:rPr>
          <w:szCs w:val="22"/>
        </w:rPr>
        <w:t xml:space="preserve"> The ESC noted </w:t>
      </w:r>
      <w:r w:rsidR="000E259E" w:rsidRPr="0036391F">
        <w:t xml:space="preserve">there is no long term use of steroids in the trial so there is no direct data to inform the model of the relative efficacy or safety of adalimumab versus chronic steroids. Overall, the ESC deemed that there was an issue in terms of the applicability of the trial evidence, particularly as the forced tapering may have led to increased flares (more likely to be observed in the placebo arm). </w:t>
      </w:r>
      <w:r w:rsidR="00665D38">
        <w:t xml:space="preserve">The PBAC agreed with the ESC and noted </w:t>
      </w:r>
      <w:r w:rsidR="0028170E">
        <w:lastRenderedPageBreak/>
        <w:t>there is no</w:t>
      </w:r>
      <w:r w:rsidR="00665D38">
        <w:t xml:space="preserve"> </w:t>
      </w:r>
      <w:r w:rsidR="00910319">
        <w:t xml:space="preserve">direct evidence of adalimumab compared to corticosteroid or other immunomodulatory treatment to determine the effectiveness and safety </w:t>
      </w:r>
      <w:r w:rsidR="0028170E">
        <w:t xml:space="preserve">of </w:t>
      </w:r>
      <w:r w:rsidR="00910319" w:rsidRPr="00ED5B95">
        <w:t>adalimumab</w:t>
      </w:r>
      <w:r w:rsidR="009029AB" w:rsidRPr="00ED5B95">
        <w:t xml:space="preserve"> </w:t>
      </w:r>
      <w:r w:rsidR="0028170E" w:rsidRPr="00ED5B95">
        <w:t xml:space="preserve">compared to standard care </w:t>
      </w:r>
      <w:r w:rsidR="009029AB" w:rsidRPr="00ED5B95">
        <w:t>in uveitis.</w:t>
      </w:r>
    </w:p>
    <w:p w:rsidR="00B60939" w:rsidRPr="00ED5B95" w:rsidRDefault="00B60939" w:rsidP="00B60939">
      <w:pPr>
        <w:rPr>
          <w:szCs w:val="22"/>
        </w:rPr>
      </w:pPr>
    </w:p>
    <w:p w:rsidR="008B3439" w:rsidRPr="0036391F" w:rsidRDefault="00EA637A" w:rsidP="007949E2">
      <w:pPr>
        <w:pStyle w:val="ListParagraph"/>
        <w:widowControl/>
        <w:numPr>
          <w:ilvl w:val="1"/>
          <w:numId w:val="3"/>
        </w:numPr>
      </w:pPr>
      <w:r w:rsidRPr="00ED5B95">
        <w:rPr>
          <w:szCs w:val="22"/>
        </w:rPr>
        <w:t xml:space="preserve">The </w:t>
      </w:r>
      <w:r w:rsidRPr="00ED5B95">
        <w:t>ESC</w:t>
      </w:r>
      <w:r w:rsidRPr="00ED5B95">
        <w:rPr>
          <w:szCs w:val="22"/>
        </w:rPr>
        <w:t xml:space="preserve"> also noted </w:t>
      </w:r>
      <w:r w:rsidR="008B3439" w:rsidRPr="00ED5B95">
        <w:rPr>
          <w:szCs w:val="22"/>
        </w:rPr>
        <w:t>some</w:t>
      </w:r>
      <w:r w:rsidRPr="00ED5B95">
        <w:rPr>
          <w:szCs w:val="22"/>
        </w:rPr>
        <w:t xml:space="preserve"> </w:t>
      </w:r>
      <w:r w:rsidR="008B3439" w:rsidRPr="00ED5B95">
        <w:rPr>
          <w:szCs w:val="22"/>
        </w:rPr>
        <w:t xml:space="preserve">inconsistency across the trials in the </w:t>
      </w:r>
      <w:r w:rsidRPr="00ED5B95">
        <w:rPr>
          <w:szCs w:val="22"/>
        </w:rPr>
        <w:t xml:space="preserve">quality of life </w:t>
      </w:r>
      <w:r w:rsidR="008B3439" w:rsidRPr="00ED5B95">
        <w:rPr>
          <w:szCs w:val="22"/>
        </w:rPr>
        <w:t>reported</w:t>
      </w:r>
      <w:r w:rsidRPr="00ED5B95">
        <w:rPr>
          <w:szCs w:val="22"/>
        </w:rPr>
        <w:t xml:space="preserve"> using the Visual Function Questionnaire (VFQ-25). </w:t>
      </w:r>
      <w:r w:rsidR="008B3439" w:rsidRPr="00ED5B95">
        <w:rPr>
          <w:szCs w:val="22"/>
        </w:rPr>
        <w:t xml:space="preserve">In VISUAL I </w:t>
      </w:r>
      <w:r w:rsidR="008B3439" w:rsidRPr="00ED5B95">
        <w:t xml:space="preserve">both treatment groups reported worse vision-related functioning from week 6 to the final study visit (see Table </w:t>
      </w:r>
      <w:r w:rsidR="001D55FD" w:rsidRPr="00ED5B95">
        <w:t>3</w:t>
      </w:r>
      <w:r w:rsidR="008B3439" w:rsidRPr="00ED5B95">
        <w:t xml:space="preserve">), whereas in VISUAL II, patients in both treatment groups reported an improvement in vision-related functioning from baseline to the final study visit (see Table </w:t>
      </w:r>
      <w:r w:rsidR="001D55FD" w:rsidRPr="00ED5B95">
        <w:t>4</w:t>
      </w:r>
      <w:r w:rsidR="008B3439" w:rsidRPr="00ED5B95">
        <w:t xml:space="preserve">). </w:t>
      </w:r>
      <w:r w:rsidR="00CF1AA3" w:rsidRPr="00ED5B95">
        <w:t>Another inconsistency in</w:t>
      </w:r>
      <w:r w:rsidR="008B3439" w:rsidRPr="00ED5B95">
        <w:t xml:space="preserve"> </w:t>
      </w:r>
      <w:r w:rsidR="00CF1AA3" w:rsidRPr="00ED5B95">
        <w:t xml:space="preserve">the </w:t>
      </w:r>
      <w:r w:rsidR="008B3439" w:rsidRPr="00ED5B95">
        <w:t xml:space="preserve">VISUAL I </w:t>
      </w:r>
      <w:r w:rsidR="00CF1AA3" w:rsidRPr="00ED5B95">
        <w:t>trial was</w:t>
      </w:r>
      <w:r w:rsidR="008B3439" w:rsidRPr="00ED5B95">
        <w:t xml:space="preserve"> </w:t>
      </w:r>
      <w:r w:rsidR="00CF1AA3" w:rsidRPr="00ED5B95">
        <w:t>the</w:t>
      </w:r>
      <w:r w:rsidR="007949E2" w:rsidRPr="00ED5B95">
        <w:t xml:space="preserve"> </w:t>
      </w:r>
      <w:r w:rsidR="00CF1AA3" w:rsidRPr="00ED5B95">
        <w:rPr>
          <w:szCs w:val="22"/>
        </w:rPr>
        <w:t>relative improvement on</w:t>
      </w:r>
      <w:r w:rsidR="00CF1AA3" w:rsidRPr="0036391F">
        <w:rPr>
          <w:szCs w:val="22"/>
        </w:rPr>
        <w:t xml:space="preserve"> the ocular pain </w:t>
      </w:r>
      <w:proofErr w:type="spellStart"/>
      <w:r w:rsidR="00CF1AA3" w:rsidRPr="0036391F">
        <w:rPr>
          <w:szCs w:val="22"/>
        </w:rPr>
        <w:t>subscore</w:t>
      </w:r>
      <w:proofErr w:type="spellEnd"/>
      <w:r w:rsidR="00CF1AA3" w:rsidRPr="0036391F">
        <w:rPr>
          <w:szCs w:val="22"/>
        </w:rPr>
        <w:t xml:space="preserve"> compared with reported adverse events</w:t>
      </w:r>
      <w:r w:rsidR="008B3439" w:rsidRPr="0036391F">
        <w:t xml:space="preserve"> </w:t>
      </w:r>
      <w:r w:rsidR="00CF1AA3" w:rsidRPr="0036391F">
        <w:t>which show</w:t>
      </w:r>
      <w:r w:rsidR="007949E2" w:rsidRPr="0036391F">
        <w:t xml:space="preserve"> adalimumab having a </w:t>
      </w:r>
      <w:r w:rsidR="00CF1AA3" w:rsidRPr="0036391F">
        <w:t>statistically</w:t>
      </w:r>
      <w:r w:rsidR="007949E2" w:rsidRPr="0036391F">
        <w:t xml:space="preserve"> significantly higher proportion of patients </w:t>
      </w:r>
      <w:r w:rsidR="00CF1AA3" w:rsidRPr="0036391F">
        <w:t>reporting eye pain</w:t>
      </w:r>
      <w:r w:rsidR="007949E2" w:rsidRPr="0036391F">
        <w:t>.</w:t>
      </w:r>
      <w:r w:rsidR="008B3439" w:rsidRPr="0036391F">
        <w:t xml:space="preserve"> </w:t>
      </w:r>
    </w:p>
    <w:p w:rsidR="00EA637A" w:rsidRPr="0036391F" w:rsidRDefault="00EA637A" w:rsidP="007949E2">
      <w:pPr>
        <w:pStyle w:val="ListParagraph"/>
        <w:widowControl/>
        <w:rPr>
          <w:szCs w:val="22"/>
        </w:rPr>
      </w:pPr>
    </w:p>
    <w:p w:rsidR="007949E2" w:rsidRPr="0036391F" w:rsidRDefault="007949E2" w:rsidP="00382881">
      <w:pPr>
        <w:ind w:left="720"/>
        <w:rPr>
          <w:rFonts w:ascii="Arial Narrow" w:hAnsi="Arial Narrow"/>
          <w:b/>
          <w:sz w:val="20"/>
        </w:rPr>
      </w:pPr>
      <w:r w:rsidRPr="0036391F">
        <w:rPr>
          <w:rFonts w:ascii="Arial Narrow" w:hAnsi="Arial Narrow"/>
          <w:b/>
          <w:sz w:val="20"/>
        </w:rPr>
        <w:t xml:space="preserve">Table </w:t>
      </w:r>
      <w:r w:rsidR="001D55FD" w:rsidRPr="0036391F">
        <w:rPr>
          <w:rFonts w:ascii="Arial Narrow" w:hAnsi="Arial Narrow"/>
          <w:b/>
          <w:sz w:val="20"/>
        </w:rPr>
        <w:t>3</w:t>
      </w:r>
      <w:r w:rsidRPr="0036391F">
        <w:rPr>
          <w:rFonts w:ascii="Arial Narrow" w:hAnsi="Arial Narrow"/>
          <w:b/>
          <w:sz w:val="20"/>
        </w:rPr>
        <w:t xml:space="preserve">: Change in Visual Function Questionnaire (VFQ-25) composite and </w:t>
      </w:r>
      <w:proofErr w:type="spellStart"/>
      <w:r w:rsidRPr="0036391F">
        <w:rPr>
          <w:rFonts w:ascii="Arial Narrow" w:hAnsi="Arial Narrow"/>
          <w:b/>
          <w:sz w:val="20"/>
        </w:rPr>
        <w:t>subscores</w:t>
      </w:r>
      <w:proofErr w:type="spellEnd"/>
      <w:r w:rsidRPr="0036391F">
        <w:rPr>
          <w:rFonts w:ascii="Arial Narrow" w:hAnsi="Arial Narrow"/>
          <w:b/>
          <w:sz w:val="20"/>
        </w:rPr>
        <w:t xml:space="preserve"> from best state achieved prior to week 6 to final visit (VISUAL I)</w:t>
      </w:r>
    </w:p>
    <w:tbl>
      <w:tblPr>
        <w:tblStyle w:val="TableGrid"/>
        <w:tblW w:w="8374" w:type="dxa"/>
        <w:tblInd w:w="817" w:type="dxa"/>
        <w:tblLook w:val="04A0" w:firstRow="1" w:lastRow="0" w:firstColumn="1" w:lastColumn="0" w:noHBand="0" w:noVBand="1"/>
        <w:tblCaption w:val="Table 3: Change in Visual Function Questionnaire (VFQ-25) composite and subscores from best state achieved prior to week 6 to final visit (VISUAL I)"/>
      </w:tblPr>
      <w:tblGrid>
        <w:gridCol w:w="2093"/>
        <w:gridCol w:w="2093"/>
        <w:gridCol w:w="2094"/>
        <w:gridCol w:w="2094"/>
      </w:tblGrid>
      <w:tr w:rsidR="007949E2" w:rsidRPr="0036391F" w:rsidTr="0032400C">
        <w:trPr>
          <w:trHeight w:val="257"/>
          <w:tblHeader/>
        </w:trPr>
        <w:tc>
          <w:tcPr>
            <w:tcW w:w="2093" w:type="dxa"/>
            <w:vMerge w:val="restart"/>
          </w:tcPr>
          <w:p w:rsidR="007949E2" w:rsidRPr="0036391F" w:rsidRDefault="007949E2" w:rsidP="00B3612A">
            <w:pPr>
              <w:rPr>
                <w:rFonts w:ascii="Arial Narrow" w:hAnsi="Arial Narrow"/>
                <w:b/>
                <w:sz w:val="20"/>
              </w:rPr>
            </w:pPr>
          </w:p>
        </w:tc>
        <w:tc>
          <w:tcPr>
            <w:tcW w:w="4186" w:type="dxa"/>
            <w:gridSpan w:val="2"/>
          </w:tcPr>
          <w:p w:rsidR="007949E2" w:rsidRPr="0036391F" w:rsidRDefault="007949E2" w:rsidP="00B3612A">
            <w:pPr>
              <w:jc w:val="center"/>
              <w:rPr>
                <w:rFonts w:ascii="Arial Narrow" w:hAnsi="Arial Narrow"/>
                <w:b/>
                <w:sz w:val="20"/>
              </w:rPr>
            </w:pPr>
            <w:r w:rsidRPr="0036391F">
              <w:rPr>
                <w:rFonts w:ascii="Arial Narrow" w:hAnsi="Arial Narrow"/>
                <w:b/>
                <w:sz w:val="20"/>
              </w:rPr>
              <w:t>Mean difference from week 6 score (SE)</w:t>
            </w:r>
          </w:p>
        </w:tc>
        <w:tc>
          <w:tcPr>
            <w:tcW w:w="2094" w:type="dxa"/>
            <w:vMerge w:val="restart"/>
          </w:tcPr>
          <w:p w:rsidR="007949E2" w:rsidRPr="0036391F" w:rsidRDefault="007949E2" w:rsidP="00B3612A">
            <w:pPr>
              <w:jc w:val="center"/>
              <w:rPr>
                <w:rFonts w:ascii="Arial Narrow" w:hAnsi="Arial Narrow"/>
                <w:b/>
                <w:sz w:val="20"/>
              </w:rPr>
            </w:pPr>
            <w:r w:rsidRPr="0036391F">
              <w:rPr>
                <w:rFonts w:ascii="Arial Narrow" w:hAnsi="Arial Narrow"/>
                <w:b/>
                <w:sz w:val="20"/>
              </w:rPr>
              <w:t>Mean difference between treatments (95% CI)</w:t>
            </w:r>
          </w:p>
        </w:tc>
      </w:tr>
      <w:tr w:rsidR="007949E2" w:rsidRPr="0036391F" w:rsidTr="0032400C">
        <w:trPr>
          <w:trHeight w:val="160"/>
          <w:tblHeader/>
        </w:trPr>
        <w:tc>
          <w:tcPr>
            <w:tcW w:w="2093" w:type="dxa"/>
            <w:vMerge/>
          </w:tcPr>
          <w:p w:rsidR="007949E2" w:rsidRPr="0036391F" w:rsidRDefault="007949E2" w:rsidP="00B3612A">
            <w:pPr>
              <w:rPr>
                <w:rFonts w:ascii="Arial Narrow" w:hAnsi="Arial Narrow"/>
                <w:b/>
                <w:sz w:val="20"/>
              </w:rPr>
            </w:pPr>
          </w:p>
        </w:tc>
        <w:tc>
          <w:tcPr>
            <w:tcW w:w="2093" w:type="dxa"/>
          </w:tcPr>
          <w:p w:rsidR="007949E2" w:rsidRPr="0036391F" w:rsidRDefault="007949E2" w:rsidP="00B3612A">
            <w:pPr>
              <w:jc w:val="center"/>
              <w:rPr>
                <w:rFonts w:ascii="Arial Narrow" w:hAnsi="Arial Narrow"/>
                <w:b/>
                <w:sz w:val="20"/>
              </w:rPr>
            </w:pPr>
            <w:r w:rsidRPr="0036391F">
              <w:rPr>
                <w:rFonts w:ascii="Arial Narrow" w:hAnsi="Arial Narrow"/>
                <w:b/>
                <w:sz w:val="20"/>
              </w:rPr>
              <w:t>Adalimumab (N=101)</w:t>
            </w:r>
          </w:p>
        </w:tc>
        <w:tc>
          <w:tcPr>
            <w:tcW w:w="2094" w:type="dxa"/>
          </w:tcPr>
          <w:p w:rsidR="007949E2" w:rsidRPr="0036391F" w:rsidRDefault="007949E2" w:rsidP="00B3612A">
            <w:pPr>
              <w:jc w:val="center"/>
              <w:rPr>
                <w:rFonts w:ascii="Arial Narrow" w:hAnsi="Arial Narrow"/>
                <w:b/>
                <w:sz w:val="20"/>
              </w:rPr>
            </w:pPr>
            <w:r w:rsidRPr="0036391F">
              <w:rPr>
                <w:rFonts w:ascii="Arial Narrow" w:hAnsi="Arial Narrow"/>
                <w:b/>
                <w:sz w:val="20"/>
              </w:rPr>
              <w:t>Placebo (N=102)</w:t>
            </w:r>
          </w:p>
        </w:tc>
        <w:tc>
          <w:tcPr>
            <w:tcW w:w="2094" w:type="dxa"/>
            <w:vMerge/>
          </w:tcPr>
          <w:p w:rsidR="007949E2" w:rsidRPr="0036391F" w:rsidRDefault="007949E2" w:rsidP="00B3612A">
            <w:pPr>
              <w:jc w:val="center"/>
              <w:rPr>
                <w:rFonts w:ascii="Arial Narrow" w:hAnsi="Arial Narrow"/>
                <w:b/>
                <w:sz w:val="20"/>
              </w:rPr>
            </w:pPr>
          </w:p>
        </w:tc>
      </w:tr>
      <w:tr w:rsidR="007949E2" w:rsidRPr="0036391F" w:rsidTr="00382881">
        <w:trPr>
          <w:trHeight w:val="257"/>
        </w:trPr>
        <w:tc>
          <w:tcPr>
            <w:tcW w:w="2093" w:type="dxa"/>
          </w:tcPr>
          <w:p w:rsidR="007949E2" w:rsidRPr="0036391F" w:rsidRDefault="007949E2" w:rsidP="00B3612A">
            <w:pPr>
              <w:rPr>
                <w:rFonts w:ascii="Arial Narrow" w:hAnsi="Arial Narrow"/>
                <w:sz w:val="20"/>
              </w:rPr>
            </w:pPr>
            <w:r w:rsidRPr="0036391F">
              <w:rPr>
                <w:rFonts w:ascii="Arial Narrow" w:hAnsi="Arial Narrow"/>
                <w:sz w:val="20"/>
              </w:rPr>
              <w:t>Total score</w:t>
            </w:r>
          </w:p>
        </w:tc>
        <w:tc>
          <w:tcPr>
            <w:tcW w:w="2093" w:type="dxa"/>
          </w:tcPr>
          <w:p w:rsidR="007949E2" w:rsidRPr="0036391F" w:rsidRDefault="007949E2" w:rsidP="00B3612A">
            <w:pPr>
              <w:jc w:val="center"/>
              <w:rPr>
                <w:rFonts w:ascii="Arial Narrow" w:hAnsi="Arial Narrow"/>
                <w:sz w:val="20"/>
              </w:rPr>
            </w:pPr>
            <w:r w:rsidRPr="0036391F">
              <w:rPr>
                <w:rFonts w:ascii="Arial Narrow" w:hAnsi="Arial Narrow"/>
                <w:sz w:val="20"/>
              </w:rPr>
              <w:t>-1.30 (1.1)</w:t>
            </w:r>
          </w:p>
        </w:tc>
        <w:tc>
          <w:tcPr>
            <w:tcW w:w="2094" w:type="dxa"/>
          </w:tcPr>
          <w:p w:rsidR="007949E2" w:rsidRPr="0036391F" w:rsidRDefault="007949E2" w:rsidP="00B3612A">
            <w:pPr>
              <w:jc w:val="center"/>
              <w:rPr>
                <w:rFonts w:ascii="Arial Narrow" w:hAnsi="Arial Narrow"/>
                <w:sz w:val="20"/>
              </w:rPr>
            </w:pPr>
            <w:r w:rsidRPr="0036391F">
              <w:rPr>
                <w:rFonts w:ascii="Arial Narrow" w:hAnsi="Arial Narrow"/>
                <w:sz w:val="20"/>
              </w:rPr>
              <w:t>-5.50 (1.2)</w:t>
            </w:r>
          </w:p>
        </w:tc>
        <w:tc>
          <w:tcPr>
            <w:tcW w:w="2094" w:type="dxa"/>
          </w:tcPr>
          <w:p w:rsidR="007949E2" w:rsidRPr="0036391F" w:rsidRDefault="007949E2" w:rsidP="00B3612A">
            <w:pPr>
              <w:jc w:val="center"/>
              <w:rPr>
                <w:rFonts w:ascii="Arial Narrow" w:hAnsi="Arial Narrow"/>
                <w:b/>
                <w:sz w:val="20"/>
              </w:rPr>
            </w:pPr>
            <w:r w:rsidRPr="0036391F">
              <w:rPr>
                <w:rFonts w:ascii="Arial Narrow" w:hAnsi="Arial Narrow"/>
                <w:sz w:val="20"/>
              </w:rPr>
              <w:t>4.20 (1.02, 7.38)</w:t>
            </w:r>
          </w:p>
        </w:tc>
      </w:tr>
      <w:tr w:rsidR="007949E2" w:rsidRPr="0036391F" w:rsidTr="00382881">
        <w:trPr>
          <w:trHeight w:val="257"/>
        </w:trPr>
        <w:tc>
          <w:tcPr>
            <w:tcW w:w="2093" w:type="dxa"/>
          </w:tcPr>
          <w:p w:rsidR="007949E2" w:rsidRPr="0036391F" w:rsidRDefault="007949E2" w:rsidP="00B3612A">
            <w:pPr>
              <w:rPr>
                <w:rFonts w:ascii="Arial Narrow" w:hAnsi="Arial Narrow"/>
                <w:sz w:val="20"/>
              </w:rPr>
            </w:pPr>
            <w:proofErr w:type="spellStart"/>
            <w:r w:rsidRPr="0036391F">
              <w:rPr>
                <w:rFonts w:ascii="Arial Narrow" w:hAnsi="Arial Narrow"/>
                <w:sz w:val="20"/>
              </w:rPr>
              <w:t>Subscore</w:t>
            </w:r>
            <w:proofErr w:type="spellEnd"/>
            <w:r w:rsidRPr="0036391F">
              <w:rPr>
                <w:rFonts w:ascii="Arial Narrow" w:hAnsi="Arial Narrow"/>
                <w:sz w:val="20"/>
              </w:rPr>
              <w:t xml:space="preserve"> distance vision</w:t>
            </w:r>
          </w:p>
        </w:tc>
        <w:tc>
          <w:tcPr>
            <w:tcW w:w="2093" w:type="dxa"/>
          </w:tcPr>
          <w:p w:rsidR="007949E2" w:rsidRPr="0036391F" w:rsidRDefault="000E36E2" w:rsidP="00B3612A">
            <w:pPr>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94" w:type="dxa"/>
          </w:tcPr>
          <w:p w:rsidR="007949E2" w:rsidRPr="0036391F" w:rsidRDefault="000E36E2" w:rsidP="00B3612A">
            <w:pPr>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94" w:type="dxa"/>
          </w:tcPr>
          <w:p w:rsidR="007949E2" w:rsidRPr="0036391F" w:rsidRDefault="007949E2" w:rsidP="00B3612A">
            <w:pPr>
              <w:jc w:val="center"/>
              <w:rPr>
                <w:rFonts w:ascii="Arial Narrow" w:hAnsi="Arial Narrow"/>
                <w:b/>
                <w:sz w:val="20"/>
              </w:rPr>
            </w:pPr>
            <w:r w:rsidRPr="0036391F">
              <w:rPr>
                <w:rFonts w:ascii="Arial Narrow" w:hAnsi="Arial Narrow"/>
                <w:sz w:val="20"/>
              </w:rPr>
              <w:t>1.86 (–2.03, 5.75)</w:t>
            </w:r>
          </w:p>
        </w:tc>
      </w:tr>
      <w:tr w:rsidR="007949E2" w:rsidRPr="0036391F" w:rsidTr="00382881">
        <w:trPr>
          <w:trHeight w:val="241"/>
        </w:trPr>
        <w:tc>
          <w:tcPr>
            <w:tcW w:w="2093" w:type="dxa"/>
          </w:tcPr>
          <w:p w:rsidR="007949E2" w:rsidRPr="0036391F" w:rsidRDefault="007949E2" w:rsidP="00B3612A">
            <w:pPr>
              <w:rPr>
                <w:rFonts w:ascii="Arial Narrow" w:hAnsi="Arial Narrow"/>
                <w:sz w:val="20"/>
              </w:rPr>
            </w:pPr>
            <w:proofErr w:type="spellStart"/>
            <w:r w:rsidRPr="0036391F">
              <w:rPr>
                <w:rFonts w:ascii="Arial Narrow" w:hAnsi="Arial Narrow"/>
                <w:sz w:val="20"/>
              </w:rPr>
              <w:t>Subscore</w:t>
            </w:r>
            <w:proofErr w:type="spellEnd"/>
            <w:r w:rsidRPr="0036391F">
              <w:rPr>
                <w:rFonts w:ascii="Arial Narrow" w:hAnsi="Arial Narrow"/>
                <w:sz w:val="20"/>
              </w:rPr>
              <w:t xml:space="preserve"> near vision</w:t>
            </w:r>
          </w:p>
        </w:tc>
        <w:tc>
          <w:tcPr>
            <w:tcW w:w="2093" w:type="dxa"/>
          </w:tcPr>
          <w:p w:rsidR="007949E2" w:rsidRPr="0036391F" w:rsidRDefault="000E36E2" w:rsidP="00B3612A">
            <w:pPr>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94" w:type="dxa"/>
          </w:tcPr>
          <w:p w:rsidR="007949E2" w:rsidRPr="0036391F" w:rsidRDefault="007949E2" w:rsidP="00B3612A">
            <w:pPr>
              <w:tabs>
                <w:tab w:val="center" w:pos="1047"/>
                <w:tab w:val="right" w:pos="2095"/>
              </w:tabs>
              <w:jc w:val="left"/>
              <w:rPr>
                <w:rFonts w:ascii="Arial Narrow" w:hAnsi="Arial Narrow"/>
                <w:sz w:val="20"/>
              </w:rPr>
            </w:pPr>
            <w:r w:rsidRPr="0036391F">
              <w:rPr>
                <w:rFonts w:ascii="Arial Narrow" w:hAnsi="Arial Narrow"/>
                <w:sz w:val="20"/>
              </w:rPr>
              <w:tab/>
            </w:r>
            <w:r w:rsidR="000E36E2">
              <w:rPr>
                <w:rFonts w:ascii="Arial Narrow" w:hAnsi="Arial Narrow"/>
                <w:noProof/>
                <w:color w:val="000000"/>
                <w:sz w:val="20"/>
                <w:highlight w:val="black"/>
              </w:rPr>
              <w:t>'''''''''''</w:t>
            </w:r>
            <w:r w:rsidRPr="0036391F">
              <w:rPr>
                <w:rFonts w:ascii="Arial Narrow" w:hAnsi="Arial Narrow"/>
                <w:sz w:val="20"/>
              </w:rPr>
              <w:t xml:space="preserve"> (</w:t>
            </w:r>
            <w:r w:rsidR="000E36E2">
              <w:rPr>
                <w:rFonts w:ascii="Arial Narrow" w:hAnsi="Arial Narrow"/>
                <w:noProof/>
                <w:color w:val="000000"/>
                <w:sz w:val="20"/>
                <w:highlight w:val="black"/>
              </w:rPr>
              <w:t>'''''''</w:t>
            </w:r>
            <w:r w:rsidRPr="0036391F">
              <w:rPr>
                <w:rFonts w:ascii="Arial Narrow" w:hAnsi="Arial Narrow"/>
                <w:sz w:val="20"/>
              </w:rPr>
              <w:t>)</w:t>
            </w:r>
            <w:r w:rsidRPr="0036391F">
              <w:rPr>
                <w:rFonts w:ascii="Arial Narrow" w:hAnsi="Arial Narrow"/>
                <w:sz w:val="20"/>
              </w:rPr>
              <w:tab/>
            </w:r>
          </w:p>
        </w:tc>
        <w:tc>
          <w:tcPr>
            <w:tcW w:w="2094" w:type="dxa"/>
          </w:tcPr>
          <w:p w:rsidR="007949E2" w:rsidRPr="0036391F" w:rsidRDefault="007949E2" w:rsidP="00B3612A">
            <w:pPr>
              <w:jc w:val="center"/>
              <w:rPr>
                <w:rFonts w:ascii="Arial Narrow" w:hAnsi="Arial Narrow"/>
                <w:b/>
                <w:sz w:val="20"/>
              </w:rPr>
            </w:pPr>
            <w:r w:rsidRPr="0036391F">
              <w:rPr>
                <w:rFonts w:ascii="Arial Narrow" w:hAnsi="Arial Narrow"/>
                <w:sz w:val="20"/>
              </w:rPr>
              <w:t>5.12 (0.34, 9.90)</w:t>
            </w:r>
          </w:p>
        </w:tc>
      </w:tr>
      <w:tr w:rsidR="007949E2" w:rsidRPr="0036391F" w:rsidTr="00382881">
        <w:trPr>
          <w:trHeight w:val="272"/>
        </w:trPr>
        <w:tc>
          <w:tcPr>
            <w:tcW w:w="2093" w:type="dxa"/>
          </w:tcPr>
          <w:p w:rsidR="007949E2" w:rsidRPr="0036391F" w:rsidRDefault="007949E2" w:rsidP="00B3612A">
            <w:pPr>
              <w:rPr>
                <w:rFonts w:ascii="Arial Narrow" w:hAnsi="Arial Narrow"/>
                <w:sz w:val="20"/>
              </w:rPr>
            </w:pPr>
            <w:proofErr w:type="spellStart"/>
            <w:r w:rsidRPr="0036391F">
              <w:rPr>
                <w:rFonts w:ascii="Arial Narrow" w:hAnsi="Arial Narrow"/>
                <w:sz w:val="20"/>
              </w:rPr>
              <w:t>Subscore</w:t>
            </w:r>
            <w:proofErr w:type="spellEnd"/>
            <w:r w:rsidRPr="0036391F">
              <w:rPr>
                <w:rFonts w:ascii="Arial Narrow" w:hAnsi="Arial Narrow"/>
                <w:sz w:val="20"/>
              </w:rPr>
              <w:t xml:space="preserve"> ocular pain</w:t>
            </w:r>
          </w:p>
        </w:tc>
        <w:tc>
          <w:tcPr>
            <w:tcW w:w="2093" w:type="dxa"/>
          </w:tcPr>
          <w:p w:rsidR="007949E2" w:rsidRPr="0036391F" w:rsidRDefault="000E36E2" w:rsidP="00B3612A">
            <w:pPr>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94" w:type="dxa"/>
          </w:tcPr>
          <w:p w:rsidR="007949E2" w:rsidRPr="0036391F" w:rsidRDefault="000E36E2" w:rsidP="00B3612A">
            <w:pPr>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94" w:type="dxa"/>
          </w:tcPr>
          <w:p w:rsidR="007949E2" w:rsidRPr="0036391F" w:rsidRDefault="007949E2" w:rsidP="00B3612A">
            <w:pPr>
              <w:jc w:val="center"/>
              <w:rPr>
                <w:rFonts w:ascii="Arial Narrow" w:hAnsi="Arial Narrow"/>
                <w:b/>
                <w:sz w:val="20"/>
              </w:rPr>
            </w:pPr>
            <w:r w:rsidRPr="0036391F">
              <w:rPr>
                <w:rFonts w:ascii="Arial Narrow" w:hAnsi="Arial Narrow"/>
                <w:sz w:val="20"/>
              </w:rPr>
              <w:t>10.02 (4.86, 15.19)</w:t>
            </w:r>
          </w:p>
        </w:tc>
      </w:tr>
    </w:tbl>
    <w:p w:rsidR="007949E2" w:rsidRPr="0036391F" w:rsidRDefault="007949E2" w:rsidP="00382881">
      <w:pPr>
        <w:ind w:firstLine="720"/>
        <w:rPr>
          <w:rFonts w:ascii="Arial Narrow" w:hAnsi="Arial Narrow"/>
          <w:sz w:val="18"/>
          <w:szCs w:val="18"/>
        </w:rPr>
      </w:pPr>
      <w:r w:rsidRPr="0036391F">
        <w:rPr>
          <w:rFonts w:ascii="Arial Narrow" w:hAnsi="Arial Narrow"/>
          <w:sz w:val="18"/>
          <w:szCs w:val="18"/>
        </w:rPr>
        <w:t>Source: Table B.6-9, p.99 of the submission</w:t>
      </w:r>
    </w:p>
    <w:p w:rsidR="007949E2" w:rsidRPr="0036391F" w:rsidRDefault="007949E2" w:rsidP="00382881">
      <w:pPr>
        <w:ind w:left="720"/>
        <w:rPr>
          <w:rFonts w:ascii="Arial Narrow" w:hAnsi="Arial Narrow"/>
          <w:sz w:val="18"/>
          <w:szCs w:val="18"/>
        </w:rPr>
      </w:pPr>
      <w:r w:rsidRPr="0036391F">
        <w:rPr>
          <w:rFonts w:ascii="Arial Narrow" w:hAnsi="Arial Narrow"/>
          <w:sz w:val="18"/>
          <w:szCs w:val="18"/>
        </w:rPr>
        <w:t>Notes: The subscale scores of the VFQ-25 are calculated by summing the relevant items and transforming the raw scores into a 0 to 100 scale where higher scores indicate better functioning or well-being. The total score of the NEI VFQ-25 is an average of 11 subscale scores, excluding the single-item general health subscale. Higher scores or increases in score indicate better vision-related functioning.</w:t>
      </w:r>
    </w:p>
    <w:p w:rsidR="007949E2" w:rsidRPr="0036391F" w:rsidRDefault="007949E2" w:rsidP="007949E2">
      <w:pPr>
        <w:rPr>
          <w:rFonts w:ascii="Arial Narrow" w:hAnsi="Arial Narrow"/>
          <w:sz w:val="18"/>
          <w:szCs w:val="18"/>
        </w:rPr>
      </w:pPr>
    </w:p>
    <w:p w:rsidR="007949E2" w:rsidRPr="0036391F" w:rsidRDefault="007949E2" w:rsidP="005D0892">
      <w:pPr>
        <w:keepNext/>
        <w:keepLines/>
        <w:ind w:left="720"/>
        <w:rPr>
          <w:rFonts w:ascii="Arial Narrow" w:hAnsi="Arial Narrow"/>
          <w:b/>
          <w:sz w:val="20"/>
        </w:rPr>
      </w:pPr>
      <w:r w:rsidRPr="0036391F">
        <w:rPr>
          <w:rFonts w:ascii="Arial Narrow" w:hAnsi="Arial Narrow"/>
          <w:b/>
          <w:sz w:val="20"/>
        </w:rPr>
        <w:t xml:space="preserve">Table </w:t>
      </w:r>
      <w:r w:rsidR="001D55FD" w:rsidRPr="0036391F">
        <w:rPr>
          <w:rFonts w:ascii="Arial Narrow" w:hAnsi="Arial Narrow"/>
          <w:b/>
          <w:sz w:val="20"/>
        </w:rPr>
        <w:t>4</w:t>
      </w:r>
      <w:r w:rsidRPr="0036391F">
        <w:rPr>
          <w:rFonts w:ascii="Arial Narrow" w:hAnsi="Arial Narrow"/>
          <w:b/>
          <w:sz w:val="20"/>
        </w:rPr>
        <w:t xml:space="preserve">: Change in Visual Function Questionnaire (VFQ-25) composite and </w:t>
      </w:r>
      <w:proofErr w:type="spellStart"/>
      <w:r w:rsidRPr="0036391F">
        <w:rPr>
          <w:rFonts w:ascii="Arial Narrow" w:hAnsi="Arial Narrow"/>
          <w:b/>
          <w:sz w:val="20"/>
        </w:rPr>
        <w:t>subscores</w:t>
      </w:r>
      <w:proofErr w:type="spellEnd"/>
      <w:r w:rsidRPr="0036391F">
        <w:rPr>
          <w:rFonts w:ascii="Arial Narrow" w:hAnsi="Arial Narrow"/>
          <w:b/>
          <w:sz w:val="20"/>
        </w:rPr>
        <w:t xml:space="preserve"> from baseline to final visit (VISUAL II)</w:t>
      </w:r>
    </w:p>
    <w:tbl>
      <w:tblPr>
        <w:tblStyle w:val="TableGrid"/>
        <w:tblW w:w="8331" w:type="dxa"/>
        <w:tblInd w:w="817" w:type="dxa"/>
        <w:tblLook w:val="04A0" w:firstRow="1" w:lastRow="0" w:firstColumn="1" w:lastColumn="0" w:noHBand="0" w:noVBand="1"/>
        <w:tblCaption w:val="Table 4: Change in Visual Function Questionnaire (VFQ-25) composite and subscores from baseline to final visit (VISUAL II)"/>
      </w:tblPr>
      <w:tblGrid>
        <w:gridCol w:w="2082"/>
        <w:gridCol w:w="2082"/>
        <w:gridCol w:w="2084"/>
        <w:gridCol w:w="2083"/>
      </w:tblGrid>
      <w:tr w:rsidR="007949E2" w:rsidRPr="0036391F" w:rsidTr="0032400C">
        <w:trPr>
          <w:trHeight w:val="244"/>
          <w:tblHeader/>
        </w:trPr>
        <w:tc>
          <w:tcPr>
            <w:tcW w:w="2082" w:type="dxa"/>
            <w:vMerge w:val="restart"/>
          </w:tcPr>
          <w:p w:rsidR="007949E2" w:rsidRPr="0036391F" w:rsidRDefault="007949E2" w:rsidP="005D0892">
            <w:pPr>
              <w:keepNext/>
              <w:keepLines/>
              <w:rPr>
                <w:rFonts w:ascii="Arial Narrow" w:hAnsi="Arial Narrow"/>
                <w:b/>
                <w:sz w:val="20"/>
              </w:rPr>
            </w:pPr>
          </w:p>
        </w:tc>
        <w:tc>
          <w:tcPr>
            <w:tcW w:w="4166" w:type="dxa"/>
            <w:gridSpan w:val="2"/>
          </w:tcPr>
          <w:p w:rsidR="007949E2" w:rsidRPr="0036391F" w:rsidRDefault="007949E2" w:rsidP="005D0892">
            <w:pPr>
              <w:keepNext/>
              <w:keepLines/>
              <w:jc w:val="center"/>
              <w:rPr>
                <w:rFonts w:ascii="Arial Narrow" w:hAnsi="Arial Narrow"/>
                <w:b/>
                <w:sz w:val="20"/>
              </w:rPr>
            </w:pPr>
            <w:r w:rsidRPr="0036391F">
              <w:rPr>
                <w:rFonts w:ascii="Arial Narrow" w:hAnsi="Arial Narrow"/>
                <w:b/>
                <w:sz w:val="20"/>
              </w:rPr>
              <w:t>Mean difference from baseline score (SE)</w:t>
            </w:r>
          </w:p>
        </w:tc>
        <w:tc>
          <w:tcPr>
            <w:tcW w:w="2083" w:type="dxa"/>
            <w:vMerge w:val="restart"/>
          </w:tcPr>
          <w:p w:rsidR="007949E2" w:rsidRPr="0036391F" w:rsidRDefault="007949E2" w:rsidP="005D0892">
            <w:pPr>
              <w:keepNext/>
              <w:keepLines/>
              <w:jc w:val="center"/>
              <w:rPr>
                <w:rFonts w:ascii="Arial Narrow" w:hAnsi="Arial Narrow"/>
                <w:b/>
                <w:sz w:val="20"/>
              </w:rPr>
            </w:pPr>
            <w:r w:rsidRPr="0036391F">
              <w:rPr>
                <w:rFonts w:ascii="Arial Narrow" w:hAnsi="Arial Narrow"/>
                <w:b/>
                <w:sz w:val="20"/>
              </w:rPr>
              <w:t>Mean difference between treatments (95% CI)</w:t>
            </w:r>
          </w:p>
        </w:tc>
      </w:tr>
      <w:tr w:rsidR="007949E2" w:rsidRPr="0036391F" w:rsidTr="0032400C">
        <w:trPr>
          <w:trHeight w:val="162"/>
          <w:tblHeader/>
        </w:trPr>
        <w:tc>
          <w:tcPr>
            <w:tcW w:w="2082" w:type="dxa"/>
            <w:vMerge/>
          </w:tcPr>
          <w:p w:rsidR="007949E2" w:rsidRPr="0036391F" w:rsidRDefault="007949E2" w:rsidP="005D0892">
            <w:pPr>
              <w:keepNext/>
              <w:keepLines/>
              <w:rPr>
                <w:rFonts w:ascii="Arial Narrow" w:hAnsi="Arial Narrow"/>
                <w:b/>
                <w:sz w:val="20"/>
              </w:rPr>
            </w:pPr>
          </w:p>
        </w:tc>
        <w:tc>
          <w:tcPr>
            <w:tcW w:w="2082" w:type="dxa"/>
          </w:tcPr>
          <w:p w:rsidR="007949E2" w:rsidRPr="0036391F" w:rsidRDefault="007949E2" w:rsidP="005D0892">
            <w:pPr>
              <w:keepNext/>
              <w:keepLines/>
              <w:jc w:val="center"/>
              <w:rPr>
                <w:rFonts w:ascii="Arial Narrow" w:hAnsi="Arial Narrow"/>
                <w:b/>
                <w:sz w:val="20"/>
              </w:rPr>
            </w:pPr>
            <w:r w:rsidRPr="0036391F">
              <w:rPr>
                <w:rFonts w:ascii="Arial Narrow" w:hAnsi="Arial Narrow"/>
                <w:b/>
                <w:sz w:val="20"/>
              </w:rPr>
              <w:t>Adalimumab (N=115)</w:t>
            </w:r>
          </w:p>
        </w:tc>
        <w:tc>
          <w:tcPr>
            <w:tcW w:w="2083" w:type="dxa"/>
          </w:tcPr>
          <w:p w:rsidR="007949E2" w:rsidRPr="0036391F" w:rsidRDefault="007949E2" w:rsidP="005D0892">
            <w:pPr>
              <w:keepNext/>
              <w:keepLines/>
              <w:jc w:val="center"/>
              <w:rPr>
                <w:rFonts w:ascii="Arial Narrow" w:hAnsi="Arial Narrow"/>
                <w:b/>
                <w:sz w:val="20"/>
              </w:rPr>
            </w:pPr>
            <w:r w:rsidRPr="0036391F">
              <w:rPr>
                <w:rFonts w:ascii="Arial Narrow" w:hAnsi="Arial Narrow"/>
                <w:b/>
                <w:sz w:val="20"/>
              </w:rPr>
              <w:t>Placebo (N=109)</w:t>
            </w:r>
          </w:p>
        </w:tc>
        <w:tc>
          <w:tcPr>
            <w:tcW w:w="2083" w:type="dxa"/>
            <w:vMerge/>
          </w:tcPr>
          <w:p w:rsidR="007949E2" w:rsidRPr="0036391F" w:rsidRDefault="007949E2" w:rsidP="005D0892">
            <w:pPr>
              <w:keepNext/>
              <w:keepLines/>
              <w:jc w:val="center"/>
              <w:rPr>
                <w:rFonts w:ascii="Arial Narrow" w:hAnsi="Arial Narrow"/>
                <w:b/>
                <w:sz w:val="20"/>
              </w:rPr>
            </w:pPr>
          </w:p>
        </w:tc>
      </w:tr>
      <w:tr w:rsidR="007949E2" w:rsidRPr="0036391F" w:rsidTr="00382881">
        <w:trPr>
          <w:trHeight w:val="259"/>
        </w:trPr>
        <w:tc>
          <w:tcPr>
            <w:tcW w:w="2082" w:type="dxa"/>
          </w:tcPr>
          <w:p w:rsidR="007949E2" w:rsidRPr="0036391F" w:rsidRDefault="007949E2" w:rsidP="005D0892">
            <w:pPr>
              <w:keepNext/>
              <w:keepLines/>
              <w:rPr>
                <w:rFonts w:ascii="Arial Narrow" w:hAnsi="Arial Narrow"/>
                <w:sz w:val="20"/>
              </w:rPr>
            </w:pPr>
            <w:r w:rsidRPr="0036391F">
              <w:rPr>
                <w:rFonts w:ascii="Arial Narrow" w:hAnsi="Arial Narrow"/>
                <w:sz w:val="20"/>
              </w:rPr>
              <w:t>Total score</w:t>
            </w:r>
          </w:p>
        </w:tc>
        <w:tc>
          <w:tcPr>
            <w:tcW w:w="2082" w:type="dxa"/>
          </w:tcPr>
          <w:p w:rsidR="007949E2" w:rsidRPr="0036391F" w:rsidRDefault="007949E2" w:rsidP="005D0892">
            <w:pPr>
              <w:keepNext/>
              <w:keepLines/>
              <w:jc w:val="center"/>
              <w:rPr>
                <w:rFonts w:ascii="Arial Narrow" w:hAnsi="Arial Narrow"/>
                <w:sz w:val="20"/>
              </w:rPr>
            </w:pPr>
            <w:r w:rsidRPr="0036391F">
              <w:rPr>
                <w:rFonts w:ascii="Arial Narrow" w:hAnsi="Arial Narrow"/>
                <w:sz w:val="20"/>
              </w:rPr>
              <w:t>3.36 (1.1)</w:t>
            </w:r>
          </w:p>
        </w:tc>
        <w:tc>
          <w:tcPr>
            <w:tcW w:w="2083" w:type="dxa"/>
          </w:tcPr>
          <w:p w:rsidR="007949E2" w:rsidRPr="0036391F" w:rsidRDefault="007949E2" w:rsidP="005D0892">
            <w:pPr>
              <w:keepNext/>
              <w:keepLines/>
              <w:jc w:val="center"/>
              <w:rPr>
                <w:rFonts w:ascii="Arial Narrow" w:hAnsi="Arial Narrow"/>
                <w:sz w:val="20"/>
              </w:rPr>
            </w:pPr>
            <w:r w:rsidRPr="0036391F">
              <w:rPr>
                <w:rFonts w:ascii="Arial Narrow" w:hAnsi="Arial Narrow"/>
                <w:sz w:val="20"/>
              </w:rPr>
              <w:t>1.24 (1.0)</w:t>
            </w:r>
          </w:p>
        </w:tc>
        <w:tc>
          <w:tcPr>
            <w:tcW w:w="2083" w:type="dxa"/>
          </w:tcPr>
          <w:p w:rsidR="007949E2" w:rsidRPr="0036391F" w:rsidRDefault="007949E2" w:rsidP="005D0892">
            <w:pPr>
              <w:keepNext/>
              <w:keepLines/>
              <w:jc w:val="center"/>
              <w:rPr>
                <w:rFonts w:ascii="Arial Narrow" w:hAnsi="Arial Narrow"/>
                <w:b/>
                <w:sz w:val="20"/>
              </w:rPr>
            </w:pPr>
            <w:r w:rsidRPr="0036391F">
              <w:rPr>
                <w:rFonts w:ascii="Arial Narrow" w:hAnsi="Arial Narrow"/>
                <w:sz w:val="20"/>
              </w:rPr>
              <w:t>2.12 (–0.84, 5.08)</w:t>
            </w:r>
          </w:p>
        </w:tc>
      </w:tr>
      <w:tr w:rsidR="007949E2" w:rsidRPr="0036391F" w:rsidTr="00382881">
        <w:trPr>
          <w:trHeight w:val="244"/>
        </w:trPr>
        <w:tc>
          <w:tcPr>
            <w:tcW w:w="2082" w:type="dxa"/>
          </w:tcPr>
          <w:p w:rsidR="007949E2" w:rsidRPr="0036391F" w:rsidRDefault="007949E2" w:rsidP="005D0892">
            <w:pPr>
              <w:keepNext/>
              <w:keepLines/>
              <w:rPr>
                <w:rFonts w:ascii="Arial Narrow" w:hAnsi="Arial Narrow"/>
                <w:sz w:val="20"/>
              </w:rPr>
            </w:pPr>
            <w:proofErr w:type="spellStart"/>
            <w:r w:rsidRPr="0036391F">
              <w:rPr>
                <w:rFonts w:ascii="Arial Narrow" w:hAnsi="Arial Narrow"/>
                <w:sz w:val="20"/>
              </w:rPr>
              <w:t>Subscore</w:t>
            </w:r>
            <w:proofErr w:type="spellEnd"/>
            <w:r w:rsidRPr="0036391F">
              <w:rPr>
                <w:rFonts w:ascii="Arial Narrow" w:hAnsi="Arial Narrow"/>
                <w:sz w:val="20"/>
              </w:rPr>
              <w:t xml:space="preserve"> distance vision</w:t>
            </w:r>
          </w:p>
        </w:tc>
        <w:tc>
          <w:tcPr>
            <w:tcW w:w="2082" w:type="dxa"/>
          </w:tcPr>
          <w:p w:rsidR="007949E2" w:rsidRPr="0036391F" w:rsidRDefault="000E36E2" w:rsidP="005D0892">
            <w:pPr>
              <w:keepNext/>
              <w:keepLines/>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83" w:type="dxa"/>
          </w:tcPr>
          <w:p w:rsidR="007949E2" w:rsidRPr="0036391F" w:rsidRDefault="000E36E2" w:rsidP="005D0892">
            <w:pPr>
              <w:keepNext/>
              <w:keepLines/>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83" w:type="dxa"/>
          </w:tcPr>
          <w:p w:rsidR="007949E2" w:rsidRPr="0036391F" w:rsidRDefault="007949E2" w:rsidP="005D0892">
            <w:pPr>
              <w:keepNext/>
              <w:keepLines/>
              <w:jc w:val="center"/>
              <w:rPr>
                <w:rFonts w:ascii="Arial Narrow" w:hAnsi="Arial Narrow"/>
                <w:b/>
                <w:sz w:val="20"/>
              </w:rPr>
            </w:pPr>
            <w:r w:rsidRPr="0036391F">
              <w:rPr>
                <w:rFonts w:ascii="Arial Narrow" w:hAnsi="Arial Narrow"/>
                <w:sz w:val="20"/>
              </w:rPr>
              <w:t>1.88 (–2.53, 6.29)</w:t>
            </w:r>
          </w:p>
        </w:tc>
      </w:tr>
      <w:tr w:rsidR="007949E2" w:rsidRPr="0036391F" w:rsidTr="00382881">
        <w:trPr>
          <w:trHeight w:val="259"/>
        </w:trPr>
        <w:tc>
          <w:tcPr>
            <w:tcW w:w="2082" w:type="dxa"/>
          </w:tcPr>
          <w:p w:rsidR="007949E2" w:rsidRPr="0036391F" w:rsidRDefault="007949E2" w:rsidP="005D0892">
            <w:pPr>
              <w:keepNext/>
              <w:keepLines/>
              <w:rPr>
                <w:rFonts w:ascii="Arial Narrow" w:hAnsi="Arial Narrow"/>
                <w:sz w:val="20"/>
              </w:rPr>
            </w:pPr>
            <w:proofErr w:type="spellStart"/>
            <w:r w:rsidRPr="0036391F">
              <w:rPr>
                <w:rFonts w:ascii="Arial Narrow" w:hAnsi="Arial Narrow"/>
                <w:sz w:val="20"/>
              </w:rPr>
              <w:t>Subscore</w:t>
            </w:r>
            <w:proofErr w:type="spellEnd"/>
            <w:r w:rsidRPr="0036391F">
              <w:rPr>
                <w:rFonts w:ascii="Arial Narrow" w:hAnsi="Arial Narrow"/>
                <w:sz w:val="20"/>
              </w:rPr>
              <w:t xml:space="preserve"> near vision</w:t>
            </w:r>
          </w:p>
        </w:tc>
        <w:tc>
          <w:tcPr>
            <w:tcW w:w="2082" w:type="dxa"/>
          </w:tcPr>
          <w:p w:rsidR="007949E2" w:rsidRPr="0036391F" w:rsidRDefault="000E36E2" w:rsidP="005D0892">
            <w:pPr>
              <w:keepNext/>
              <w:keepLines/>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83" w:type="dxa"/>
          </w:tcPr>
          <w:p w:rsidR="007949E2" w:rsidRPr="0036391F" w:rsidRDefault="000E36E2" w:rsidP="005D0892">
            <w:pPr>
              <w:keepNext/>
              <w:keepLines/>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83" w:type="dxa"/>
          </w:tcPr>
          <w:p w:rsidR="007949E2" w:rsidRPr="0036391F" w:rsidRDefault="007949E2" w:rsidP="005D0892">
            <w:pPr>
              <w:keepNext/>
              <w:keepLines/>
              <w:jc w:val="center"/>
              <w:rPr>
                <w:rFonts w:ascii="Arial Narrow" w:hAnsi="Arial Narrow"/>
                <w:b/>
                <w:sz w:val="20"/>
              </w:rPr>
            </w:pPr>
            <w:r w:rsidRPr="0036391F">
              <w:rPr>
                <w:rFonts w:ascii="Arial Narrow" w:hAnsi="Arial Narrow"/>
                <w:sz w:val="20"/>
              </w:rPr>
              <w:t>–0.10 (–4.81, 4.61)</w:t>
            </w:r>
          </w:p>
        </w:tc>
      </w:tr>
      <w:tr w:rsidR="007949E2" w:rsidRPr="0036391F" w:rsidTr="00382881">
        <w:trPr>
          <w:trHeight w:val="259"/>
        </w:trPr>
        <w:tc>
          <w:tcPr>
            <w:tcW w:w="2082" w:type="dxa"/>
          </w:tcPr>
          <w:p w:rsidR="007949E2" w:rsidRPr="0036391F" w:rsidRDefault="007949E2" w:rsidP="005D0892">
            <w:pPr>
              <w:keepNext/>
              <w:keepLines/>
              <w:rPr>
                <w:rFonts w:ascii="Arial Narrow" w:hAnsi="Arial Narrow"/>
                <w:sz w:val="20"/>
              </w:rPr>
            </w:pPr>
            <w:proofErr w:type="spellStart"/>
            <w:r w:rsidRPr="0036391F">
              <w:rPr>
                <w:rFonts w:ascii="Arial Narrow" w:hAnsi="Arial Narrow"/>
                <w:sz w:val="20"/>
              </w:rPr>
              <w:t>Subscore</w:t>
            </w:r>
            <w:proofErr w:type="spellEnd"/>
            <w:r w:rsidRPr="0036391F">
              <w:rPr>
                <w:rFonts w:ascii="Arial Narrow" w:hAnsi="Arial Narrow"/>
                <w:sz w:val="20"/>
              </w:rPr>
              <w:t xml:space="preserve"> ocular pain</w:t>
            </w:r>
          </w:p>
        </w:tc>
        <w:tc>
          <w:tcPr>
            <w:tcW w:w="2082" w:type="dxa"/>
          </w:tcPr>
          <w:p w:rsidR="007949E2" w:rsidRPr="0036391F" w:rsidRDefault="000E36E2" w:rsidP="005D0892">
            <w:pPr>
              <w:keepNext/>
              <w:keepLines/>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83" w:type="dxa"/>
          </w:tcPr>
          <w:p w:rsidR="007949E2" w:rsidRPr="0036391F" w:rsidRDefault="000E36E2" w:rsidP="005D0892">
            <w:pPr>
              <w:keepNext/>
              <w:keepLines/>
              <w:jc w:val="center"/>
              <w:rPr>
                <w:rFonts w:ascii="Arial Narrow" w:hAnsi="Arial Narrow"/>
                <w:sz w:val="20"/>
              </w:rPr>
            </w:pPr>
            <w:r>
              <w:rPr>
                <w:rFonts w:ascii="Arial Narrow" w:hAnsi="Arial Narrow"/>
                <w:noProof/>
                <w:color w:val="000000"/>
                <w:sz w:val="20"/>
                <w:highlight w:val="black"/>
              </w:rPr>
              <w:t>''''''''''''</w:t>
            </w:r>
            <w:r w:rsidR="007949E2" w:rsidRPr="0036391F">
              <w:rPr>
                <w:rFonts w:ascii="Arial Narrow" w:hAnsi="Arial Narrow"/>
                <w:sz w:val="20"/>
              </w:rPr>
              <w:t xml:space="preserve"> (</w:t>
            </w:r>
            <w:r>
              <w:rPr>
                <w:rFonts w:ascii="Arial Narrow" w:hAnsi="Arial Narrow"/>
                <w:noProof/>
                <w:color w:val="000000"/>
                <w:sz w:val="20"/>
                <w:highlight w:val="black"/>
              </w:rPr>
              <w:t>''''''''</w:t>
            </w:r>
            <w:r w:rsidR="007949E2" w:rsidRPr="0036391F">
              <w:rPr>
                <w:rFonts w:ascii="Arial Narrow" w:hAnsi="Arial Narrow"/>
                <w:sz w:val="20"/>
              </w:rPr>
              <w:t>)</w:t>
            </w:r>
          </w:p>
        </w:tc>
        <w:tc>
          <w:tcPr>
            <w:tcW w:w="2083" w:type="dxa"/>
          </w:tcPr>
          <w:p w:rsidR="007949E2" w:rsidRPr="0036391F" w:rsidRDefault="007949E2" w:rsidP="005D0892">
            <w:pPr>
              <w:keepNext/>
              <w:keepLines/>
              <w:jc w:val="center"/>
              <w:rPr>
                <w:rFonts w:ascii="Arial Narrow" w:hAnsi="Arial Narrow"/>
                <w:b/>
                <w:sz w:val="20"/>
              </w:rPr>
            </w:pPr>
            <w:r w:rsidRPr="0036391F">
              <w:rPr>
                <w:rFonts w:ascii="Arial Narrow" w:hAnsi="Arial Narrow"/>
                <w:sz w:val="20"/>
              </w:rPr>
              <w:t>0.56 (–4.56, 5.68)</w:t>
            </w:r>
          </w:p>
        </w:tc>
      </w:tr>
    </w:tbl>
    <w:p w:rsidR="007949E2" w:rsidRPr="0036391F" w:rsidRDefault="007949E2" w:rsidP="005D0892">
      <w:pPr>
        <w:keepNext/>
        <w:keepLines/>
        <w:ind w:firstLine="720"/>
        <w:rPr>
          <w:rFonts w:ascii="Arial Narrow" w:hAnsi="Arial Narrow"/>
          <w:sz w:val="18"/>
          <w:szCs w:val="18"/>
        </w:rPr>
      </w:pPr>
      <w:r w:rsidRPr="0036391F">
        <w:rPr>
          <w:rFonts w:ascii="Arial Narrow" w:hAnsi="Arial Narrow"/>
          <w:sz w:val="18"/>
          <w:szCs w:val="18"/>
        </w:rPr>
        <w:t>Source: Table B.6-9, p.99 of the submission</w:t>
      </w:r>
    </w:p>
    <w:p w:rsidR="007949E2" w:rsidRPr="0036391F" w:rsidRDefault="007949E2" w:rsidP="005D0892">
      <w:pPr>
        <w:keepNext/>
        <w:keepLines/>
        <w:ind w:left="720"/>
        <w:rPr>
          <w:rFonts w:ascii="Arial Narrow" w:hAnsi="Arial Narrow"/>
          <w:sz w:val="18"/>
          <w:szCs w:val="18"/>
        </w:rPr>
      </w:pPr>
      <w:r w:rsidRPr="0036391F">
        <w:rPr>
          <w:rFonts w:ascii="Arial Narrow" w:hAnsi="Arial Narrow"/>
          <w:sz w:val="18"/>
          <w:szCs w:val="18"/>
        </w:rPr>
        <w:t>Notes: The subscale scores of the VFQ-25 are calculated by summing the relevant items and transforming the raw scores into a 0 to 100 scale where higher scores indicate better functioning or well-being. The total score of the NEI VFQ-25 is an average of 11 subscale scores, excluding the single-item general health subscale. Higher scores or increases in score indicate better vision-related functioning.</w:t>
      </w:r>
    </w:p>
    <w:p w:rsidR="00EA637A" w:rsidRPr="0036391F" w:rsidRDefault="00EA637A" w:rsidP="00B60939">
      <w:pPr>
        <w:rPr>
          <w:szCs w:val="22"/>
        </w:rPr>
      </w:pPr>
    </w:p>
    <w:p w:rsidR="00B60939" w:rsidRPr="00C3674F" w:rsidRDefault="00B60939" w:rsidP="002C2775">
      <w:pPr>
        <w:pStyle w:val="Heading2"/>
        <w:rPr>
          <w:i/>
        </w:rPr>
      </w:pPr>
      <w:bookmarkStart w:id="11" w:name="_Toc472349920"/>
      <w:r w:rsidRPr="00C3674F">
        <w:rPr>
          <w:i/>
        </w:rPr>
        <w:t>Comparative harms</w:t>
      </w:r>
      <w:bookmarkEnd w:id="11"/>
    </w:p>
    <w:p w:rsidR="00B60939" w:rsidRPr="00C3674F" w:rsidRDefault="00B60939" w:rsidP="00B60939">
      <w:pPr>
        <w:ind w:left="720" w:hanging="720"/>
        <w:rPr>
          <w:szCs w:val="22"/>
        </w:rPr>
      </w:pPr>
    </w:p>
    <w:p w:rsidR="00B60939" w:rsidRPr="0036391F" w:rsidRDefault="009C7702" w:rsidP="00556640">
      <w:pPr>
        <w:pStyle w:val="ListParagraph"/>
        <w:widowControl/>
        <w:numPr>
          <w:ilvl w:val="1"/>
          <w:numId w:val="3"/>
        </w:numPr>
        <w:rPr>
          <w:szCs w:val="22"/>
        </w:rPr>
      </w:pPr>
      <w:r w:rsidRPr="0036391F">
        <w:t>Adalimumab was associated with a higher rate of any infection, active or latent tuberculosis, non-melanoma skin cancers, any malignancy and treatment emergent allergic reactions compared to placebo. The majority of adverse events were mild to moderate in severity and were consistent with the known safety profile of adalimumab.</w:t>
      </w:r>
    </w:p>
    <w:p w:rsidR="00015607" w:rsidRPr="0036391F" w:rsidRDefault="00015607" w:rsidP="00015607">
      <w:pPr>
        <w:pStyle w:val="ListParagraph"/>
        <w:widowControl/>
        <w:rPr>
          <w:szCs w:val="22"/>
        </w:rPr>
      </w:pPr>
    </w:p>
    <w:p w:rsidR="00015607" w:rsidRPr="0036391F" w:rsidRDefault="00015607" w:rsidP="00556640">
      <w:pPr>
        <w:pStyle w:val="ListParagraph"/>
        <w:widowControl/>
        <w:numPr>
          <w:ilvl w:val="1"/>
          <w:numId w:val="3"/>
        </w:numPr>
        <w:rPr>
          <w:szCs w:val="22"/>
        </w:rPr>
      </w:pPr>
      <w:r w:rsidRPr="0036391F">
        <w:rPr>
          <w:szCs w:val="22"/>
        </w:rPr>
        <w:lastRenderedPageBreak/>
        <w:t xml:space="preserve">Based on an expanded assessment of harms, important identified risks associated with adalimumab include serious infections, reactivation of hepatitis B, pancreatitis, lymphoma, </w:t>
      </w:r>
      <w:proofErr w:type="spellStart"/>
      <w:r w:rsidRPr="0036391F">
        <w:rPr>
          <w:szCs w:val="22"/>
        </w:rPr>
        <w:t>hepatosplenic</w:t>
      </w:r>
      <w:proofErr w:type="spellEnd"/>
      <w:r w:rsidRPr="0036391F">
        <w:rPr>
          <w:szCs w:val="22"/>
        </w:rPr>
        <w:t xml:space="preserve"> T-cell lymphoma, leukaemia, non-melanoma skin cancer, melanoma, and demyelinating disorders including multiple sclerosis and Guillain</w:t>
      </w:r>
      <w:r w:rsidR="00621326" w:rsidRPr="0036391F">
        <w:rPr>
          <w:szCs w:val="22"/>
        </w:rPr>
        <w:t>-</w:t>
      </w:r>
      <w:r w:rsidRPr="0036391F">
        <w:rPr>
          <w:szCs w:val="22"/>
        </w:rPr>
        <w:t>Barre syndrome.</w:t>
      </w:r>
    </w:p>
    <w:p w:rsidR="00015607" w:rsidRPr="0036391F" w:rsidRDefault="00015607" w:rsidP="00015607">
      <w:pPr>
        <w:pStyle w:val="ListParagraph"/>
        <w:widowControl/>
        <w:rPr>
          <w:szCs w:val="22"/>
        </w:rPr>
      </w:pPr>
    </w:p>
    <w:p w:rsidR="008B2B72" w:rsidRPr="002A6282" w:rsidRDefault="007C0BB6" w:rsidP="002A6282">
      <w:pPr>
        <w:pStyle w:val="ListParagraph"/>
        <w:widowControl/>
        <w:numPr>
          <w:ilvl w:val="1"/>
          <w:numId w:val="3"/>
        </w:numPr>
        <w:rPr>
          <w:szCs w:val="22"/>
        </w:rPr>
      </w:pPr>
      <w:r w:rsidRPr="007F24B6">
        <w:rPr>
          <w:szCs w:val="22"/>
        </w:rPr>
        <w:t xml:space="preserve">It is possible that there </w:t>
      </w:r>
      <w:r w:rsidR="00F04991" w:rsidRPr="007F24B6">
        <w:rPr>
          <w:szCs w:val="22"/>
        </w:rPr>
        <w:t xml:space="preserve">is </w:t>
      </w:r>
      <w:r w:rsidRPr="007F24B6">
        <w:rPr>
          <w:szCs w:val="22"/>
        </w:rPr>
        <w:t>an increased risk of demyelinating illness when adalimumab is used for uveitis.</w:t>
      </w:r>
      <w:r w:rsidRPr="0036391F">
        <w:rPr>
          <w:szCs w:val="22"/>
        </w:rPr>
        <w:t xml:space="preserve"> Demyelinating illnesses (e.g. multiple sclerosis, Guill</w:t>
      </w:r>
      <w:r w:rsidR="00C92350" w:rsidRPr="0036391F">
        <w:rPr>
          <w:szCs w:val="22"/>
        </w:rPr>
        <w:t>ai</w:t>
      </w:r>
      <w:r w:rsidRPr="0036391F">
        <w:rPr>
          <w:szCs w:val="22"/>
        </w:rPr>
        <w:t>n</w:t>
      </w:r>
      <w:r w:rsidR="00621326" w:rsidRPr="0036391F">
        <w:rPr>
          <w:szCs w:val="22"/>
        </w:rPr>
        <w:t>-</w:t>
      </w:r>
      <w:r w:rsidRPr="0036391F">
        <w:rPr>
          <w:szCs w:val="22"/>
        </w:rPr>
        <w:t xml:space="preserve">Barre </w:t>
      </w:r>
      <w:r w:rsidR="00621326" w:rsidRPr="0036391F">
        <w:rPr>
          <w:szCs w:val="22"/>
        </w:rPr>
        <w:t>s</w:t>
      </w:r>
      <w:r w:rsidRPr="0036391F">
        <w:rPr>
          <w:szCs w:val="22"/>
        </w:rPr>
        <w:t>yndrome) h</w:t>
      </w:r>
      <w:r w:rsidR="006D48DE" w:rsidRPr="0036391F">
        <w:rPr>
          <w:szCs w:val="22"/>
        </w:rPr>
        <w:t xml:space="preserve">ave </w:t>
      </w:r>
      <w:r w:rsidR="006D48DE" w:rsidRPr="001C3B15">
        <w:rPr>
          <w:szCs w:val="22"/>
        </w:rPr>
        <w:t xml:space="preserve">been observed in around </w:t>
      </w:r>
      <w:r w:rsidR="000E36E2">
        <w:rPr>
          <w:noProof/>
          <w:color w:val="000000"/>
          <w:szCs w:val="22"/>
          <w:highlight w:val="black"/>
        </w:rPr>
        <w:t>'''''''''</w:t>
      </w:r>
      <w:r w:rsidRPr="001C3B15">
        <w:rPr>
          <w:szCs w:val="22"/>
        </w:rPr>
        <w:t xml:space="preserve">% of patients treated with TNF antagonists. The risk is further increased in patients with uveitis, as up to </w:t>
      </w:r>
      <w:r w:rsidR="000E36E2">
        <w:rPr>
          <w:noProof/>
          <w:color w:val="000000"/>
          <w:szCs w:val="22"/>
          <w:highlight w:val="black"/>
        </w:rPr>
        <w:t>''''''</w:t>
      </w:r>
      <w:r w:rsidRPr="001C3B15">
        <w:rPr>
          <w:szCs w:val="22"/>
        </w:rPr>
        <w:t xml:space="preserve">% of patients with uveitis (particularly pars </w:t>
      </w:r>
      <w:proofErr w:type="spellStart"/>
      <w:r w:rsidRPr="001C3B15">
        <w:rPr>
          <w:szCs w:val="22"/>
        </w:rPr>
        <w:t>planitis</w:t>
      </w:r>
      <w:proofErr w:type="spellEnd"/>
      <w:r w:rsidRPr="001C3B15">
        <w:rPr>
          <w:szCs w:val="22"/>
        </w:rPr>
        <w:t xml:space="preserve"> or intermediate uveitis, and particularly when associated with</w:t>
      </w:r>
      <w:r w:rsidRPr="0036391F">
        <w:rPr>
          <w:szCs w:val="22"/>
        </w:rPr>
        <w:t xml:space="preserve"> </w:t>
      </w:r>
      <w:proofErr w:type="spellStart"/>
      <w:r w:rsidRPr="0036391F">
        <w:rPr>
          <w:szCs w:val="22"/>
        </w:rPr>
        <w:t>periphlebitis</w:t>
      </w:r>
      <w:proofErr w:type="spellEnd"/>
      <w:r w:rsidRPr="0036391F">
        <w:rPr>
          <w:szCs w:val="22"/>
        </w:rPr>
        <w:t>) develop multiple sclerosis. The TGA delegate</w:t>
      </w:r>
      <w:r w:rsidR="00AD3092" w:rsidRPr="0036391F">
        <w:rPr>
          <w:szCs w:val="22"/>
        </w:rPr>
        <w:t xml:space="preserve">’s </w:t>
      </w:r>
      <w:r w:rsidR="005D0892" w:rsidRPr="0036391F">
        <w:rPr>
          <w:szCs w:val="22"/>
        </w:rPr>
        <w:t>file note</w:t>
      </w:r>
      <w:r w:rsidRPr="0036391F">
        <w:rPr>
          <w:szCs w:val="22"/>
        </w:rPr>
        <w:t xml:space="preserve"> suggested that neurological examination be a requirement before subsidy for intermediate uveitis.</w:t>
      </w:r>
      <w:r w:rsidR="00DA41DC" w:rsidRPr="0036391F">
        <w:rPr>
          <w:szCs w:val="22"/>
        </w:rPr>
        <w:t xml:space="preserve"> </w:t>
      </w:r>
      <w:r w:rsidR="00DA41DC" w:rsidRPr="002A6282">
        <w:rPr>
          <w:szCs w:val="22"/>
        </w:rPr>
        <w:t>The ESC considered that neurological monitoring prior to and during treatment was important to inform initiation and cessation of treatment.</w:t>
      </w:r>
      <w:r w:rsidR="00ED5B95" w:rsidRPr="002A6282">
        <w:rPr>
          <w:szCs w:val="22"/>
        </w:rPr>
        <w:t xml:space="preserve"> </w:t>
      </w:r>
      <w:r w:rsidR="00D5440C" w:rsidRPr="002A6282">
        <w:rPr>
          <w:szCs w:val="22"/>
        </w:rPr>
        <w:t xml:space="preserve">The pre-PBAC response (p2) argued that additional neurological screening prior to treatment with adalimumab is required only in patients with </w:t>
      </w:r>
      <w:r w:rsidR="00ED5B95" w:rsidRPr="002A6282">
        <w:rPr>
          <w:szCs w:val="22"/>
        </w:rPr>
        <w:t xml:space="preserve">non-infectious </w:t>
      </w:r>
      <w:r w:rsidR="00D5440C" w:rsidRPr="002A6282">
        <w:rPr>
          <w:szCs w:val="22"/>
        </w:rPr>
        <w:t>intermediate uveitis</w:t>
      </w:r>
      <w:r w:rsidR="0032188B" w:rsidRPr="002A6282">
        <w:rPr>
          <w:szCs w:val="22"/>
        </w:rPr>
        <w:t xml:space="preserve">, which is consistent with the </w:t>
      </w:r>
      <w:r w:rsidR="002C4842" w:rsidRPr="002A6282">
        <w:rPr>
          <w:szCs w:val="22"/>
        </w:rPr>
        <w:t xml:space="preserve">TGA approved </w:t>
      </w:r>
      <w:r w:rsidR="0032188B" w:rsidRPr="002A6282">
        <w:rPr>
          <w:szCs w:val="22"/>
        </w:rPr>
        <w:t>Product Information for adalimumab.</w:t>
      </w:r>
      <w:r w:rsidR="00FC7B2E" w:rsidRPr="002A6282">
        <w:rPr>
          <w:szCs w:val="22"/>
        </w:rPr>
        <w:t xml:space="preserve"> The response also stated that the education programme agreed with the TGA will highlight the known association between intermediate uveitis and demyelinating disorder. </w:t>
      </w:r>
    </w:p>
    <w:p w:rsidR="00B60939" w:rsidRPr="001A51B6" w:rsidRDefault="00B60939" w:rsidP="007F1017">
      <w:pPr>
        <w:pStyle w:val="ListParagraph"/>
        <w:ind w:left="0"/>
        <w:rPr>
          <w:szCs w:val="22"/>
        </w:rPr>
      </w:pPr>
    </w:p>
    <w:p w:rsidR="007F1017" w:rsidRPr="00C3674F" w:rsidRDefault="007F1017" w:rsidP="005D0892">
      <w:pPr>
        <w:pStyle w:val="Heading2"/>
        <w:keepNext/>
        <w:keepLines/>
        <w:rPr>
          <w:i/>
          <w:szCs w:val="22"/>
        </w:rPr>
      </w:pPr>
      <w:bookmarkStart w:id="12" w:name="_Toc472349921"/>
      <w:r w:rsidRPr="00C3674F">
        <w:rPr>
          <w:i/>
        </w:rPr>
        <w:t>Benefits/harms</w:t>
      </w:r>
      <w:bookmarkEnd w:id="12"/>
    </w:p>
    <w:p w:rsidR="007F1017" w:rsidRPr="00C3674F" w:rsidRDefault="007F1017" w:rsidP="005D0892">
      <w:pPr>
        <w:pStyle w:val="ListParagraph"/>
        <w:keepNext/>
        <w:keepLines/>
        <w:ind w:left="0"/>
        <w:rPr>
          <w:szCs w:val="22"/>
        </w:rPr>
      </w:pPr>
    </w:p>
    <w:p w:rsidR="005E7404" w:rsidRPr="0036391F" w:rsidRDefault="005E7404" w:rsidP="005D0892">
      <w:pPr>
        <w:pStyle w:val="ListParagraph"/>
        <w:keepNext/>
        <w:keepLines/>
        <w:widowControl/>
        <w:numPr>
          <w:ilvl w:val="1"/>
          <w:numId w:val="3"/>
        </w:numPr>
        <w:rPr>
          <w:szCs w:val="22"/>
        </w:rPr>
      </w:pPr>
      <w:r w:rsidRPr="0036391F">
        <w:rPr>
          <w:szCs w:val="22"/>
        </w:rPr>
        <w:t xml:space="preserve">A summary of the comparative benefits and harms for adalimumab versus placebo is presented in Table </w:t>
      </w:r>
      <w:r w:rsidR="003D283F" w:rsidRPr="0036391F">
        <w:rPr>
          <w:szCs w:val="22"/>
        </w:rPr>
        <w:t xml:space="preserve">5 </w:t>
      </w:r>
      <w:r w:rsidRPr="0036391F">
        <w:rPr>
          <w:szCs w:val="22"/>
        </w:rPr>
        <w:t>below.</w:t>
      </w:r>
    </w:p>
    <w:p w:rsidR="005E7404" w:rsidRPr="0036391F" w:rsidRDefault="005E7404" w:rsidP="005E7404">
      <w:pPr>
        <w:pStyle w:val="ListParagraph"/>
        <w:widowControl/>
        <w:rPr>
          <w:szCs w:val="22"/>
        </w:rPr>
      </w:pPr>
    </w:p>
    <w:p w:rsidR="005E7404" w:rsidRPr="0036391F" w:rsidRDefault="005E7404" w:rsidP="00C53D9C">
      <w:pPr>
        <w:keepNext/>
        <w:keepLines/>
        <w:ind w:firstLine="720"/>
      </w:pPr>
      <w:r w:rsidRPr="0036391F">
        <w:rPr>
          <w:rStyle w:val="CommentReference"/>
        </w:rPr>
        <w:t xml:space="preserve">Table </w:t>
      </w:r>
      <w:r w:rsidR="003D283F" w:rsidRPr="0036391F">
        <w:rPr>
          <w:rStyle w:val="CommentReference"/>
        </w:rPr>
        <w:t>5</w:t>
      </w:r>
      <w:r w:rsidRPr="0036391F">
        <w:rPr>
          <w:rStyle w:val="CommentReference"/>
        </w:rPr>
        <w:t>: Summary of comparative benefits and harms for adalimumab and placebo</w:t>
      </w:r>
    </w:p>
    <w:tbl>
      <w:tblPr>
        <w:tblStyle w:val="TableGrid"/>
        <w:tblW w:w="4604" w:type="pct"/>
        <w:tblInd w:w="737" w:type="dxa"/>
        <w:tblLayout w:type="fixed"/>
        <w:tblCellMar>
          <w:left w:w="28" w:type="dxa"/>
          <w:right w:w="28" w:type="dxa"/>
        </w:tblCellMar>
        <w:tblLook w:val="04A0" w:firstRow="1" w:lastRow="0" w:firstColumn="1" w:lastColumn="0" w:noHBand="0" w:noVBand="1"/>
        <w:tblCaption w:val="Table 5: Summary of comparative benefits and harms for adalimumab and placebo"/>
      </w:tblPr>
      <w:tblGrid>
        <w:gridCol w:w="2126"/>
        <w:gridCol w:w="1418"/>
        <w:gridCol w:w="1559"/>
        <w:gridCol w:w="1703"/>
        <w:gridCol w:w="1557"/>
      </w:tblGrid>
      <w:tr w:rsidR="005E7404" w:rsidRPr="0036391F" w:rsidTr="0032400C">
        <w:trPr>
          <w:tblHeader/>
        </w:trPr>
        <w:tc>
          <w:tcPr>
            <w:tcW w:w="1271" w:type="pct"/>
            <w:shd w:val="clear" w:color="auto" w:fill="auto"/>
            <w:vAlign w:val="center"/>
          </w:tcPr>
          <w:p w:rsidR="005E7404" w:rsidRPr="0036391F" w:rsidRDefault="005E7404" w:rsidP="00C53D9C">
            <w:pPr>
              <w:keepNext/>
              <w:keepLines/>
              <w:widowControl/>
              <w:jc w:val="left"/>
              <w:rPr>
                <w:rFonts w:ascii="Arial Narrow" w:hAnsi="Arial Narrow"/>
                <w:b/>
                <w:sz w:val="20"/>
              </w:rPr>
            </w:pPr>
            <w:r w:rsidRPr="0036391F">
              <w:rPr>
                <w:rFonts w:ascii="Arial Narrow" w:hAnsi="Arial Narrow"/>
                <w:b/>
                <w:sz w:val="20"/>
              </w:rPr>
              <w:t>Benefits</w:t>
            </w:r>
          </w:p>
        </w:tc>
        <w:tc>
          <w:tcPr>
            <w:tcW w:w="848" w:type="pct"/>
            <w:vAlign w:val="center"/>
          </w:tcPr>
          <w:p w:rsidR="005E7404" w:rsidRPr="0036391F" w:rsidRDefault="005E7404" w:rsidP="00C53D9C">
            <w:pPr>
              <w:keepNext/>
              <w:keepLines/>
              <w:widowControl/>
              <w:jc w:val="center"/>
              <w:rPr>
                <w:rFonts w:ascii="Arial Narrow" w:hAnsi="Arial Narrow"/>
                <w:b/>
                <w:sz w:val="20"/>
              </w:rPr>
            </w:pPr>
            <w:r w:rsidRPr="0036391F">
              <w:rPr>
                <w:rFonts w:ascii="Arial Narrow" w:hAnsi="Arial Narrow"/>
                <w:b/>
                <w:sz w:val="20"/>
              </w:rPr>
              <w:t>Adalimumab</w:t>
            </w:r>
          </w:p>
        </w:tc>
        <w:tc>
          <w:tcPr>
            <w:tcW w:w="932" w:type="pct"/>
            <w:vAlign w:val="center"/>
          </w:tcPr>
          <w:p w:rsidR="005E7404" w:rsidRPr="0036391F" w:rsidRDefault="005E7404" w:rsidP="00C53D9C">
            <w:pPr>
              <w:keepNext/>
              <w:keepLines/>
              <w:widowControl/>
              <w:jc w:val="center"/>
              <w:rPr>
                <w:rFonts w:ascii="Arial Narrow" w:hAnsi="Arial Narrow"/>
                <w:b/>
                <w:sz w:val="20"/>
              </w:rPr>
            </w:pPr>
            <w:r w:rsidRPr="0036391F">
              <w:rPr>
                <w:rFonts w:ascii="Arial Narrow" w:hAnsi="Arial Narrow"/>
                <w:b/>
                <w:sz w:val="20"/>
              </w:rPr>
              <w:t>Placebo</w:t>
            </w:r>
          </w:p>
        </w:tc>
        <w:tc>
          <w:tcPr>
            <w:tcW w:w="1018" w:type="pct"/>
            <w:vAlign w:val="center"/>
          </w:tcPr>
          <w:p w:rsidR="005E7404" w:rsidRPr="0036391F" w:rsidRDefault="005E7404" w:rsidP="00C53D9C">
            <w:pPr>
              <w:keepNext/>
              <w:keepLines/>
              <w:widowControl/>
              <w:jc w:val="center"/>
              <w:rPr>
                <w:rFonts w:ascii="Arial Narrow" w:hAnsi="Arial Narrow"/>
                <w:b/>
                <w:sz w:val="20"/>
              </w:rPr>
            </w:pPr>
            <w:r w:rsidRPr="0036391F">
              <w:rPr>
                <w:rFonts w:ascii="Arial Narrow" w:hAnsi="Arial Narrow"/>
                <w:b/>
                <w:sz w:val="20"/>
              </w:rPr>
              <w:t>Absolute Difference</w:t>
            </w:r>
          </w:p>
        </w:tc>
        <w:tc>
          <w:tcPr>
            <w:tcW w:w="931" w:type="pct"/>
            <w:vAlign w:val="center"/>
          </w:tcPr>
          <w:p w:rsidR="005E7404" w:rsidRPr="0036391F" w:rsidRDefault="005E7404" w:rsidP="00C53D9C">
            <w:pPr>
              <w:keepNext/>
              <w:keepLines/>
              <w:widowControl/>
              <w:jc w:val="center"/>
              <w:rPr>
                <w:rFonts w:ascii="Arial Narrow" w:hAnsi="Arial Narrow"/>
                <w:b/>
                <w:sz w:val="20"/>
              </w:rPr>
            </w:pPr>
            <w:r w:rsidRPr="0036391F">
              <w:rPr>
                <w:rFonts w:ascii="Arial Narrow" w:hAnsi="Arial Narrow"/>
                <w:b/>
                <w:sz w:val="20"/>
              </w:rPr>
              <w:t>HR (95% CI)</w:t>
            </w:r>
          </w:p>
        </w:tc>
      </w:tr>
      <w:tr w:rsidR="005E7404" w:rsidRPr="0036391F" w:rsidTr="00ED4379">
        <w:tc>
          <w:tcPr>
            <w:tcW w:w="5000" w:type="pct"/>
            <w:gridSpan w:val="5"/>
            <w:shd w:val="clear" w:color="auto" w:fill="auto"/>
            <w:vAlign w:val="center"/>
          </w:tcPr>
          <w:p w:rsidR="005E7404" w:rsidRPr="0036391F" w:rsidRDefault="005E7404" w:rsidP="00C53D9C">
            <w:pPr>
              <w:keepNext/>
              <w:keepLines/>
              <w:widowControl/>
              <w:jc w:val="left"/>
              <w:rPr>
                <w:rFonts w:ascii="Arial Narrow" w:hAnsi="Arial Narrow"/>
                <w:b/>
                <w:sz w:val="20"/>
              </w:rPr>
            </w:pPr>
            <w:r w:rsidRPr="0036391F">
              <w:rPr>
                <w:rFonts w:ascii="Arial Narrow" w:hAnsi="Arial Narrow"/>
                <w:b/>
                <w:sz w:val="20"/>
              </w:rPr>
              <w:t>VISUAL I</w:t>
            </w:r>
          </w:p>
        </w:tc>
      </w:tr>
      <w:tr w:rsidR="005E7404" w:rsidRPr="0036391F" w:rsidTr="004A0795">
        <w:tc>
          <w:tcPr>
            <w:tcW w:w="1271" w:type="pct"/>
            <w:shd w:val="clear" w:color="auto" w:fill="auto"/>
            <w:vAlign w:val="center"/>
          </w:tcPr>
          <w:p w:rsidR="005E7404" w:rsidRPr="0036391F" w:rsidRDefault="005E7404" w:rsidP="00C53D9C">
            <w:pPr>
              <w:keepNext/>
              <w:keepLines/>
              <w:widowControl/>
              <w:rPr>
                <w:rFonts w:ascii="Arial Narrow" w:hAnsi="Arial Narrow"/>
                <w:sz w:val="20"/>
              </w:rPr>
            </w:pPr>
            <w:r w:rsidRPr="0036391F">
              <w:rPr>
                <w:rFonts w:ascii="Arial Narrow" w:hAnsi="Arial Narrow"/>
                <w:sz w:val="20"/>
              </w:rPr>
              <w:t>Treatment failure</w:t>
            </w:r>
          </w:p>
        </w:tc>
        <w:tc>
          <w:tcPr>
            <w:tcW w:w="848" w:type="pct"/>
            <w:vAlign w:val="center"/>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60/110 (54.5%)</w:t>
            </w:r>
          </w:p>
        </w:tc>
        <w:tc>
          <w:tcPr>
            <w:tcW w:w="932" w:type="pct"/>
            <w:vAlign w:val="center"/>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84/107 (78.5%)</w:t>
            </w:r>
          </w:p>
        </w:tc>
        <w:tc>
          <w:tcPr>
            <w:tcW w:w="1018" w:type="pct"/>
            <w:vMerge w:val="restart"/>
            <w:vAlign w:val="center"/>
          </w:tcPr>
          <w:p w:rsidR="005E7404" w:rsidRPr="0036391F" w:rsidRDefault="00BA38D0" w:rsidP="00C53D9C">
            <w:pPr>
              <w:keepNext/>
              <w:keepLines/>
              <w:widowControl/>
              <w:jc w:val="center"/>
              <w:rPr>
                <w:rFonts w:ascii="Arial Narrow" w:hAnsi="Arial Narrow"/>
                <w:sz w:val="20"/>
              </w:rPr>
            </w:pPr>
            <w:r w:rsidRPr="0036391F">
              <w:rPr>
                <w:rFonts w:ascii="Arial Narrow" w:hAnsi="Arial Narrow"/>
                <w:sz w:val="20"/>
              </w:rPr>
              <w:t>2.6 months</w:t>
            </w:r>
          </w:p>
        </w:tc>
        <w:tc>
          <w:tcPr>
            <w:tcW w:w="931" w:type="pct"/>
            <w:vMerge w:val="restart"/>
            <w:vAlign w:val="center"/>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0.50 (0.36, 0.70)</w:t>
            </w:r>
          </w:p>
        </w:tc>
      </w:tr>
      <w:tr w:rsidR="005E7404" w:rsidRPr="0036391F" w:rsidTr="004A0795">
        <w:tc>
          <w:tcPr>
            <w:tcW w:w="1271" w:type="pct"/>
            <w:shd w:val="clear" w:color="auto" w:fill="auto"/>
            <w:vAlign w:val="center"/>
          </w:tcPr>
          <w:p w:rsidR="005E7404" w:rsidRPr="0036391F" w:rsidRDefault="005E7404" w:rsidP="00C53D9C">
            <w:pPr>
              <w:keepNext/>
              <w:keepLines/>
              <w:widowControl/>
              <w:jc w:val="left"/>
              <w:rPr>
                <w:rFonts w:ascii="Arial Narrow" w:hAnsi="Arial Narrow"/>
                <w:sz w:val="20"/>
              </w:rPr>
            </w:pPr>
            <w:r w:rsidRPr="0036391F">
              <w:rPr>
                <w:rFonts w:ascii="Arial Narrow" w:hAnsi="Arial Narrow"/>
                <w:sz w:val="20"/>
              </w:rPr>
              <w:t>Median time to treatment failure (months)</w:t>
            </w:r>
          </w:p>
        </w:tc>
        <w:tc>
          <w:tcPr>
            <w:tcW w:w="848" w:type="pct"/>
            <w:vAlign w:val="center"/>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5.6</w:t>
            </w:r>
          </w:p>
        </w:tc>
        <w:tc>
          <w:tcPr>
            <w:tcW w:w="932" w:type="pct"/>
            <w:vAlign w:val="center"/>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3.0</w:t>
            </w:r>
          </w:p>
        </w:tc>
        <w:tc>
          <w:tcPr>
            <w:tcW w:w="1018" w:type="pct"/>
            <w:vMerge/>
            <w:vAlign w:val="center"/>
          </w:tcPr>
          <w:p w:rsidR="005E7404" w:rsidRPr="0036391F" w:rsidRDefault="005E7404" w:rsidP="00C53D9C">
            <w:pPr>
              <w:keepNext/>
              <w:keepLines/>
              <w:widowControl/>
              <w:jc w:val="center"/>
              <w:rPr>
                <w:rFonts w:ascii="Arial Narrow" w:hAnsi="Arial Narrow"/>
                <w:sz w:val="20"/>
              </w:rPr>
            </w:pPr>
          </w:p>
        </w:tc>
        <w:tc>
          <w:tcPr>
            <w:tcW w:w="931" w:type="pct"/>
            <w:vMerge/>
            <w:vAlign w:val="center"/>
          </w:tcPr>
          <w:p w:rsidR="005E7404" w:rsidRPr="0036391F" w:rsidRDefault="005E7404" w:rsidP="00C53D9C">
            <w:pPr>
              <w:keepNext/>
              <w:keepLines/>
              <w:widowControl/>
              <w:jc w:val="center"/>
              <w:rPr>
                <w:rFonts w:ascii="Arial Narrow" w:hAnsi="Arial Narrow"/>
                <w:sz w:val="20"/>
              </w:rPr>
            </w:pPr>
          </w:p>
        </w:tc>
      </w:tr>
      <w:tr w:rsidR="005E7404" w:rsidRPr="0036391F" w:rsidTr="00ED4379">
        <w:tc>
          <w:tcPr>
            <w:tcW w:w="5000" w:type="pct"/>
            <w:gridSpan w:val="5"/>
            <w:shd w:val="clear" w:color="auto" w:fill="auto"/>
            <w:vAlign w:val="center"/>
          </w:tcPr>
          <w:p w:rsidR="005E7404" w:rsidRPr="0036391F" w:rsidRDefault="005E7404" w:rsidP="00C53D9C">
            <w:pPr>
              <w:keepNext/>
              <w:keepLines/>
              <w:widowControl/>
              <w:jc w:val="left"/>
              <w:rPr>
                <w:rFonts w:ascii="Arial Narrow" w:hAnsi="Arial Narrow"/>
                <w:b/>
                <w:sz w:val="20"/>
              </w:rPr>
            </w:pPr>
            <w:r w:rsidRPr="0036391F">
              <w:rPr>
                <w:rFonts w:ascii="Arial Narrow" w:hAnsi="Arial Narrow"/>
                <w:b/>
                <w:sz w:val="20"/>
              </w:rPr>
              <w:t>VISUAL II</w:t>
            </w:r>
          </w:p>
        </w:tc>
      </w:tr>
      <w:tr w:rsidR="005E7404" w:rsidRPr="0036391F" w:rsidTr="004A0795">
        <w:tc>
          <w:tcPr>
            <w:tcW w:w="1271" w:type="pct"/>
            <w:shd w:val="clear" w:color="auto" w:fill="auto"/>
            <w:vAlign w:val="center"/>
          </w:tcPr>
          <w:p w:rsidR="005E7404" w:rsidRPr="0036391F" w:rsidRDefault="005E7404" w:rsidP="00C53D9C">
            <w:pPr>
              <w:keepNext/>
              <w:keepLines/>
              <w:widowControl/>
              <w:rPr>
                <w:rFonts w:ascii="Arial Narrow" w:hAnsi="Arial Narrow"/>
                <w:sz w:val="20"/>
              </w:rPr>
            </w:pPr>
            <w:r w:rsidRPr="0036391F">
              <w:rPr>
                <w:rFonts w:ascii="Arial Narrow" w:hAnsi="Arial Narrow"/>
                <w:sz w:val="20"/>
              </w:rPr>
              <w:t>Treatment failure</w:t>
            </w:r>
          </w:p>
        </w:tc>
        <w:tc>
          <w:tcPr>
            <w:tcW w:w="848" w:type="pct"/>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45/115 (39.1)</w:t>
            </w:r>
          </w:p>
        </w:tc>
        <w:tc>
          <w:tcPr>
            <w:tcW w:w="932" w:type="pct"/>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61/111 (55.0)</w:t>
            </w:r>
          </w:p>
        </w:tc>
        <w:tc>
          <w:tcPr>
            <w:tcW w:w="1018" w:type="pct"/>
            <w:vMerge w:val="restart"/>
            <w:vAlign w:val="center"/>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w:t>
            </w:r>
          </w:p>
        </w:tc>
        <w:tc>
          <w:tcPr>
            <w:tcW w:w="931" w:type="pct"/>
            <w:vMerge w:val="restart"/>
            <w:vAlign w:val="center"/>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0.57 (0.39, 0.84)</w:t>
            </w:r>
          </w:p>
        </w:tc>
      </w:tr>
      <w:tr w:rsidR="005E7404" w:rsidRPr="0036391F" w:rsidTr="004A0795">
        <w:tc>
          <w:tcPr>
            <w:tcW w:w="1271" w:type="pct"/>
            <w:shd w:val="clear" w:color="auto" w:fill="auto"/>
            <w:vAlign w:val="center"/>
          </w:tcPr>
          <w:p w:rsidR="005E7404" w:rsidRPr="0036391F" w:rsidRDefault="005E7404" w:rsidP="00C53D9C">
            <w:pPr>
              <w:keepNext/>
              <w:keepLines/>
              <w:widowControl/>
              <w:jc w:val="left"/>
              <w:rPr>
                <w:rFonts w:ascii="Arial Narrow" w:hAnsi="Arial Narrow"/>
                <w:sz w:val="20"/>
              </w:rPr>
            </w:pPr>
            <w:r w:rsidRPr="0036391F">
              <w:rPr>
                <w:rFonts w:ascii="Arial Narrow" w:hAnsi="Arial Narrow"/>
                <w:sz w:val="20"/>
              </w:rPr>
              <w:t>Median time to treatment failure (months)</w:t>
            </w:r>
          </w:p>
        </w:tc>
        <w:tc>
          <w:tcPr>
            <w:tcW w:w="848" w:type="pct"/>
            <w:vAlign w:val="center"/>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NE</w:t>
            </w:r>
          </w:p>
        </w:tc>
        <w:tc>
          <w:tcPr>
            <w:tcW w:w="932" w:type="pct"/>
            <w:vAlign w:val="center"/>
          </w:tcPr>
          <w:p w:rsidR="005E7404" w:rsidRPr="0036391F" w:rsidRDefault="005E7404" w:rsidP="00C53D9C">
            <w:pPr>
              <w:keepNext/>
              <w:keepLines/>
              <w:widowControl/>
              <w:jc w:val="center"/>
              <w:rPr>
                <w:rFonts w:ascii="Arial Narrow" w:hAnsi="Arial Narrow"/>
                <w:sz w:val="20"/>
              </w:rPr>
            </w:pPr>
            <w:r w:rsidRPr="0036391F">
              <w:rPr>
                <w:rFonts w:ascii="Arial Narrow" w:hAnsi="Arial Narrow"/>
                <w:sz w:val="20"/>
              </w:rPr>
              <w:t>8.3</w:t>
            </w:r>
          </w:p>
        </w:tc>
        <w:tc>
          <w:tcPr>
            <w:tcW w:w="1018" w:type="pct"/>
            <w:vMerge/>
            <w:vAlign w:val="center"/>
          </w:tcPr>
          <w:p w:rsidR="005E7404" w:rsidRPr="0036391F" w:rsidRDefault="005E7404" w:rsidP="00C53D9C">
            <w:pPr>
              <w:keepNext/>
              <w:keepLines/>
              <w:widowControl/>
              <w:jc w:val="center"/>
              <w:rPr>
                <w:rFonts w:ascii="Arial Narrow" w:hAnsi="Arial Narrow"/>
                <w:sz w:val="20"/>
              </w:rPr>
            </w:pPr>
          </w:p>
        </w:tc>
        <w:tc>
          <w:tcPr>
            <w:tcW w:w="931" w:type="pct"/>
            <w:vMerge/>
            <w:vAlign w:val="center"/>
          </w:tcPr>
          <w:p w:rsidR="005E7404" w:rsidRPr="0036391F" w:rsidRDefault="005E7404" w:rsidP="00C53D9C">
            <w:pPr>
              <w:keepNext/>
              <w:keepLines/>
              <w:widowControl/>
              <w:jc w:val="center"/>
              <w:rPr>
                <w:rFonts w:ascii="Arial Narrow" w:hAnsi="Arial Narrow"/>
                <w:sz w:val="20"/>
              </w:rPr>
            </w:pPr>
          </w:p>
        </w:tc>
      </w:tr>
      <w:tr w:rsidR="005E7404" w:rsidRPr="0036391F" w:rsidTr="004A0795">
        <w:tc>
          <w:tcPr>
            <w:tcW w:w="1271" w:type="pct"/>
            <w:vMerge w:val="restart"/>
            <w:shd w:val="clear" w:color="auto" w:fill="auto"/>
            <w:vAlign w:val="center"/>
          </w:tcPr>
          <w:p w:rsidR="005E7404" w:rsidRPr="0036391F" w:rsidRDefault="005E7404" w:rsidP="00C53D9C">
            <w:pPr>
              <w:keepNext/>
              <w:keepLines/>
              <w:widowControl/>
              <w:rPr>
                <w:rFonts w:ascii="Arial Narrow" w:hAnsi="Arial Narrow"/>
                <w:b/>
                <w:sz w:val="20"/>
              </w:rPr>
            </w:pPr>
            <w:r w:rsidRPr="0036391F">
              <w:rPr>
                <w:rFonts w:ascii="Arial Narrow" w:hAnsi="Arial Narrow"/>
                <w:b/>
                <w:sz w:val="20"/>
              </w:rPr>
              <w:t>Harms</w:t>
            </w:r>
          </w:p>
        </w:tc>
        <w:tc>
          <w:tcPr>
            <w:tcW w:w="848" w:type="pct"/>
            <w:vMerge w:val="restart"/>
            <w:vAlign w:val="center"/>
          </w:tcPr>
          <w:p w:rsidR="005E7404" w:rsidRPr="0036391F" w:rsidRDefault="005E7404" w:rsidP="00C53D9C">
            <w:pPr>
              <w:keepNext/>
              <w:keepLines/>
              <w:widowControl/>
              <w:jc w:val="center"/>
              <w:rPr>
                <w:rFonts w:ascii="Arial Narrow" w:hAnsi="Arial Narrow"/>
                <w:b/>
                <w:sz w:val="20"/>
              </w:rPr>
            </w:pPr>
            <w:r w:rsidRPr="0036391F">
              <w:rPr>
                <w:rFonts w:ascii="Arial Narrow" w:hAnsi="Arial Narrow"/>
                <w:b/>
                <w:sz w:val="20"/>
              </w:rPr>
              <w:t>Adalimumab</w:t>
            </w:r>
          </w:p>
          <w:p w:rsidR="004A0795" w:rsidRPr="0036391F" w:rsidRDefault="004A0795" w:rsidP="00C53D9C">
            <w:pPr>
              <w:keepNext/>
              <w:keepLines/>
              <w:widowControl/>
              <w:jc w:val="center"/>
              <w:rPr>
                <w:rFonts w:ascii="Arial Narrow" w:hAnsi="Arial Narrow"/>
                <w:b/>
                <w:sz w:val="20"/>
              </w:rPr>
            </w:pPr>
            <w:r w:rsidRPr="0036391F">
              <w:rPr>
                <w:rFonts w:ascii="Arial Narrow" w:hAnsi="Arial Narrow"/>
                <w:b/>
                <w:sz w:val="20"/>
              </w:rPr>
              <w:t>n/N</w:t>
            </w:r>
          </w:p>
        </w:tc>
        <w:tc>
          <w:tcPr>
            <w:tcW w:w="932" w:type="pct"/>
            <w:vMerge w:val="restart"/>
            <w:vAlign w:val="center"/>
          </w:tcPr>
          <w:p w:rsidR="005E7404" w:rsidRPr="0036391F" w:rsidRDefault="005E7404" w:rsidP="00C53D9C">
            <w:pPr>
              <w:keepNext/>
              <w:keepLines/>
              <w:widowControl/>
              <w:jc w:val="center"/>
              <w:rPr>
                <w:rFonts w:ascii="Arial Narrow" w:hAnsi="Arial Narrow"/>
                <w:b/>
                <w:sz w:val="20"/>
              </w:rPr>
            </w:pPr>
            <w:r w:rsidRPr="0036391F">
              <w:rPr>
                <w:rFonts w:ascii="Arial Narrow" w:hAnsi="Arial Narrow"/>
                <w:b/>
                <w:sz w:val="20"/>
              </w:rPr>
              <w:t>Placebo</w:t>
            </w:r>
          </w:p>
          <w:p w:rsidR="004A0795" w:rsidRPr="0036391F" w:rsidRDefault="004A0795" w:rsidP="00C53D9C">
            <w:pPr>
              <w:keepNext/>
              <w:keepLines/>
              <w:widowControl/>
              <w:jc w:val="center"/>
              <w:rPr>
                <w:rFonts w:ascii="Arial Narrow" w:hAnsi="Arial Narrow"/>
                <w:b/>
                <w:sz w:val="20"/>
              </w:rPr>
            </w:pPr>
            <w:r w:rsidRPr="0036391F">
              <w:rPr>
                <w:rFonts w:ascii="Arial Narrow" w:hAnsi="Arial Narrow"/>
                <w:b/>
                <w:sz w:val="20"/>
              </w:rPr>
              <w:t>n/N</w:t>
            </w:r>
          </w:p>
        </w:tc>
        <w:tc>
          <w:tcPr>
            <w:tcW w:w="1949" w:type="pct"/>
            <w:gridSpan w:val="2"/>
            <w:vAlign w:val="center"/>
          </w:tcPr>
          <w:p w:rsidR="005E7404" w:rsidRPr="0036391F" w:rsidRDefault="005E7404" w:rsidP="00C53D9C">
            <w:pPr>
              <w:keepNext/>
              <w:keepLines/>
              <w:widowControl/>
              <w:jc w:val="center"/>
              <w:rPr>
                <w:rFonts w:ascii="Arial Narrow" w:hAnsi="Arial Narrow"/>
                <w:b/>
                <w:sz w:val="20"/>
              </w:rPr>
            </w:pPr>
            <w:r w:rsidRPr="0036391F">
              <w:rPr>
                <w:rFonts w:ascii="Arial Narrow" w:hAnsi="Arial Narrow"/>
                <w:b/>
                <w:sz w:val="20"/>
              </w:rPr>
              <w:t>Event rate per 100 patient</w:t>
            </w:r>
            <w:r w:rsidR="00BA38D0" w:rsidRPr="0036391F">
              <w:rPr>
                <w:rFonts w:ascii="Arial Narrow" w:hAnsi="Arial Narrow"/>
                <w:b/>
                <w:sz w:val="20"/>
              </w:rPr>
              <w:t xml:space="preserve"> years</w:t>
            </w:r>
            <w:r w:rsidR="00A50E62" w:rsidRPr="0036391F">
              <w:rPr>
                <w:rFonts w:ascii="Arial Narrow" w:hAnsi="Arial Narrow"/>
                <w:b/>
                <w:sz w:val="20"/>
                <w:vertAlign w:val="superscript"/>
              </w:rPr>
              <w:t>1</w:t>
            </w:r>
          </w:p>
        </w:tc>
      </w:tr>
      <w:tr w:rsidR="005E7404" w:rsidRPr="0036391F" w:rsidTr="004A0795">
        <w:tc>
          <w:tcPr>
            <w:tcW w:w="1271" w:type="pct"/>
            <w:vMerge/>
            <w:shd w:val="clear" w:color="auto" w:fill="auto"/>
            <w:vAlign w:val="center"/>
          </w:tcPr>
          <w:p w:rsidR="005E7404" w:rsidRPr="0036391F" w:rsidRDefault="005E7404" w:rsidP="00C53D9C">
            <w:pPr>
              <w:keepNext/>
              <w:keepLines/>
              <w:widowControl/>
              <w:rPr>
                <w:rFonts w:ascii="Arial Narrow" w:hAnsi="Arial Narrow"/>
                <w:b/>
                <w:sz w:val="20"/>
              </w:rPr>
            </w:pPr>
          </w:p>
        </w:tc>
        <w:tc>
          <w:tcPr>
            <w:tcW w:w="848" w:type="pct"/>
            <w:vMerge/>
            <w:vAlign w:val="center"/>
          </w:tcPr>
          <w:p w:rsidR="005E7404" w:rsidRPr="0036391F" w:rsidRDefault="005E7404" w:rsidP="00C53D9C">
            <w:pPr>
              <w:keepNext/>
              <w:keepLines/>
              <w:widowControl/>
              <w:jc w:val="center"/>
              <w:rPr>
                <w:rFonts w:ascii="Arial Narrow" w:hAnsi="Arial Narrow"/>
                <w:b/>
                <w:sz w:val="20"/>
              </w:rPr>
            </w:pPr>
          </w:p>
        </w:tc>
        <w:tc>
          <w:tcPr>
            <w:tcW w:w="932" w:type="pct"/>
            <w:vMerge/>
            <w:vAlign w:val="center"/>
          </w:tcPr>
          <w:p w:rsidR="005E7404" w:rsidRPr="0036391F" w:rsidRDefault="005E7404" w:rsidP="00C53D9C">
            <w:pPr>
              <w:keepNext/>
              <w:keepLines/>
              <w:widowControl/>
              <w:jc w:val="center"/>
              <w:rPr>
                <w:rFonts w:ascii="Arial Narrow" w:hAnsi="Arial Narrow"/>
                <w:b/>
                <w:sz w:val="20"/>
              </w:rPr>
            </w:pPr>
          </w:p>
        </w:tc>
        <w:tc>
          <w:tcPr>
            <w:tcW w:w="1018" w:type="pct"/>
            <w:vAlign w:val="center"/>
          </w:tcPr>
          <w:p w:rsidR="005E7404" w:rsidRPr="0036391F" w:rsidRDefault="005E7404" w:rsidP="00C53D9C">
            <w:pPr>
              <w:keepNext/>
              <w:keepLines/>
              <w:widowControl/>
              <w:jc w:val="center"/>
              <w:rPr>
                <w:rFonts w:ascii="Arial Narrow" w:hAnsi="Arial Narrow"/>
                <w:b/>
                <w:sz w:val="20"/>
              </w:rPr>
            </w:pPr>
            <w:r w:rsidRPr="0036391F">
              <w:rPr>
                <w:rFonts w:ascii="Arial Narrow" w:hAnsi="Arial Narrow"/>
                <w:b/>
                <w:sz w:val="20"/>
              </w:rPr>
              <w:t>Adalimumab</w:t>
            </w:r>
          </w:p>
        </w:tc>
        <w:tc>
          <w:tcPr>
            <w:tcW w:w="931" w:type="pct"/>
            <w:vAlign w:val="center"/>
          </w:tcPr>
          <w:p w:rsidR="005E7404" w:rsidRPr="0036391F" w:rsidRDefault="005E7404" w:rsidP="00C53D9C">
            <w:pPr>
              <w:keepNext/>
              <w:keepLines/>
              <w:widowControl/>
              <w:jc w:val="center"/>
              <w:rPr>
                <w:rFonts w:ascii="Arial Narrow" w:hAnsi="Arial Narrow"/>
                <w:b/>
                <w:sz w:val="20"/>
              </w:rPr>
            </w:pPr>
            <w:r w:rsidRPr="0036391F">
              <w:rPr>
                <w:rFonts w:ascii="Arial Narrow" w:hAnsi="Arial Narrow"/>
                <w:b/>
                <w:sz w:val="20"/>
              </w:rPr>
              <w:t>Placebo</w:t>
            </w:r>
          </w:p>
        </w:tc>
      </w:tr>
      <w:tr w:rsidR="005E7404" w:rsidRPr="0036391F" w:rsidTr="004A0795">
        <w:tc>
          <w:tcPr>
            <w:tcW w:w="1271" w:type="pct"/>
            <w:shd w:val="clear" w:color="auto" w:fill="auto"/>
            <w:vAlign w:val="center"/>
          </w:tcPr>
          <w:p w:rsidR="005E7404" w:rsidRPr="0036391F" w:rsidRDefault="00BA38D0" w:rsidP="00C53D9C">
            <w:pPr>
              <w:keepNext/>
              <w:keepLines/>
              <w:widowControl/>
              <w:rPr>
                <w:rFonts w:ascii="Arial Narrow" w:hAnsi="Arial Narrow"/>
                <w:sz w:val="20"/>
              </w:rPr>
            </w:pPr>
            <w:r w:rsidRPr="0036391F">
              <w:rPr>
                <w:rFonts w:ascii="Arial Narrow" w:hAnsi="Arial Narrow"/>
                <w:sz w:val="20"/>
              </w:rPr>
              <w:t>Any infection</w:t>
            </w:r>
          </w:p>
        </w:tc>
        <w:tc>
          <w:tcPr>
            <w:tcW w:w="848" w:type="pct"/>
            <w:vAlign w:val="center"/>
          </w:tcPr>
          <w:p w:rsidR="005E7404" w:rsidRPr="000E36E2" w:rsidRDefault="000E36E2" w:rsidP="00C53D9C">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932" w:type="pct"/>
            <w:vAlign w:val="center"/>
          </w:tcPr>
          <w:p w:rsidR="005E7404" w:rsidRPr="000E36E2" w:rsidRDefault="000E36E2" w:rsidP="00C53D9C">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1018" w:type="pct"/>
            <w:vAlign w:val="center"/>
          </w:tcPr>
          <w:p w:rsidR="005E7404" w:rsidRPr="000E36E2" w:rsidRDefault="000E36E2" w:rsidP="00C53D9C">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5E7404" w:rsidRPr="000E36E2" w:rsidRDefault="000E36E2" w:rsidP="00C53D9C">
            <w:pPr>
              <w:keepNext/>
              <w:keepLines/>
              <w:widowControl/>
              <w:jc w:val="center"/>
              <w:rPr>
                <w:rFonts w:ascii="Arial Narrow" w:hAnsi="Arial Narrow"/>
                <w:sz w:val="20"/>
                <w:highlight w:val="black"/>
              </w:rPr>
            </w:pPr>
            <w:r>
              <w:rPr>
                <w:rFonts w:ascii="Arial Narrow" w:hAnsi="Arial Narrow"/>
                <w:noProof/>
                <w:color w:val="000000"/>
                <w:sz w:val="20"/>
                <w:highlight w:val="black"/>
              </w:rPr>
              <w:t>''''''''''''</w:t>
            </w:r>
          </w:p>
        </w:tc>
      </w:tr>
      <w:tr w:rsidR="005E7404" w:rsidRPr="0036391F" w:rsidTr="004A0795">
        <w:tc>
          <w:tcPr>
            <w:tcW w:w="1271" w:type="pct"/>
            <w:shd w:val="clear" w:color="auto" w:fill="auto"/>
            <w:vAlign w:val="center"/>
          </w:tcPr>
          <w:p w:rsidR="005E7404" w:rsidRPr="0036391F" w:rsidRDefault="007B4C94" w:rsidP="00C53D9C">
            <w:pPr>
              <w:keepNext/>
              <w:keepLines/>
              <w:widowControl/>
              <w:rPr>
                <w:rFonts w:ascii="Arial Narrow" w:hAnsi="Arial Narrow"/>
                <w:sz w:val="20"/>
              </w:rPr>
            </w:pPr>
            <w:r w:rsidRPr="0036391F">
              <w:rPr>
                <w:rFonts w:ascii="Arial Narrow" w:hAnsi="Arial Narrow"/>
                <w:sz w:val="20"/>
              </w:rPr>
              <w:t>Tuberculosis</w:t>
            </w:r>
          </w:p>
        </w:tc>
        <w:tc>
          <w:tcPr>
            <w:tcW w:w="848" w:type="pct"/>
            <w:vAlign w:val="center"/>
          </w:tcPr>
          <w:p w:rsidR="005E7404" w:rsidRPr="00AD5A0B" w:rsidRDefault="004A0795" w:rsidP="00C53D9C">
            <w:pPr>
              <w:keepNext/>
              <w:keepLines/>
              <w:widowControl/>
              <w:tabs>
                <w:tab w:val="left" w:pos="720"/>
              </w:tabs>
              <w:jc w:val="center"/>
              <w:rPr>
                <w:rFonts w:ascii="Arial Narrow" w:hAnsi="Arial Narrow"/>
                <w:sz w:val="20"/>
              </w:rPr>
            </w:pPr>
            <w:r w:rsidRPr="00AD5A0B">
              <w:rPr>
                <w:rFonts w:ascii="Arial Narrow" w:hAnsi="Arial Narrow"/>
                <w:sz w:val="20"/>
              </w:rPr>
              <w:t>4</w:t>
            </w:r>
            <w:r w:rsidR="007B4C94" w:rsidRPr="00AD5A0B">
              <w:rPr>
                <w:rFonts w:ascii="Arial Narrow" w:hAnsi="Arial Narrow"/>
                <w:sz w:val="20"/>
              </w:rPr>
              <w:t>/226</w:t>
            </w:r>
          </w:p>
        </w:tc>
        <w:tc>
          <w:tcPr>
            <w:tcW w:w="932" w:type="pct"/>
            <w:vAlign w:val="center"/>
          </w:tcPr>
          <w:p w:rsidR="005E7404" w:rsidRPr="00AD5A0B" w:rsidRDefault="007B4C94" w:rsidP="00C53D9C">
            <w:pPr>
              <w:keepNext/>
              <w:keepLines/>
              <w:widowControl/>
              <w:tabs>
                <w:tab w:val="left" w:pos="720"/>
              </w:tabs>
              <w:jc w:val="center"/>
              <w:rPr>
                <w:rFonts w:ascii="Arial Narrow" w:hAnsi="Arial Narrow"/>
                <w:sz w:val="20"/>
              </w:rPr>
            </w:pPr>
            <w:r w:rsidRPr="00AD5A0B">
              <w:rPr>
                <w:rFonts w:ascii="Arial Narrow" w:hAnsi="Arial Narrow"/>
                <w:sz w:val="20"/>
              </w:rPr>
              <w:t>1/226</w:t>
            </w:r>
          </w:p>
        </w:tc>
        <w:tc>
          <w:tcPr>
            <w:tcW w:w="1018" w:type="pct"/>
            <w:vAlign w:val="center"/>
          </w:tcPr>
          <w:p w:rsidR="005E7404" w:rsidRPr="00AD5A0B" w:rsidRDefault="007B4C94" w:rsidP="00C53D9C">
            <w:pPr>
              <w:keepNext/>
              <w:keepLines/>
              <w:widowControl/>
              <w:jc w:val="center"/>
              <w:rPr>
                <w:rFonts w:ascii="Arial Narrow" w:hAnsi="Arial Narrow"/>
                <w:sz w:val="20"/>
              </w:rPr>
            </w:pPr>
            <w:r w:rsidRPr="00AD5A0B">
              <w:rPr>
                <w:rFonts w:ascii="Arial Narrow" w:hAnsi="Arial Narrow"/>
                <w:sz w:val="20"/>
              </w:rPr>
              <w:t>3.2</w:t>
            </w:r>
          </w:p>
        </w:tc>
        <w:tc>
          <w:tcPr>
            <w:tcW w:w="931" w:type="pct"/>
            <w:vAlign w:val="center"/>
          </w:tcPr>
          <w:p w:rsidR="005E7404" w:rsidRPr="00AD5A0B" w:rsidRDefault="007B4C94" w:rsidP="00C53D9C">
            <w:pPr>
              <w:keepNext/>
              <w:keepLines/>
              <w:widowControl/>
              <w:jc w:val="center"/>
              <w:rPr>
                <w:rFonts w:ascii="Arial Narrow" w:hAnsi="Arial Narrow"/>
                <w:sz w:val="20"/>
              </w:rPr>
            </w:pPr>
            <w:r w:rsidRPr="00AD5A0B">
              <w:rPr>
                <w:rFonts w:ascii="Arial Narrow" w:hAnsi="Arial Narrow"/>
                <w:sz w:val="20"/>
              </w:rPr>
              <w:t>0.9</w:t>
            </w:r>
          </w:p>
        </w:tc>
      </w:tr>
      <w:tr w:rsidR="005E7404" w:rsidRPr="0036391F" w:rsidTr="004A0795">
        <w:tc>
          <w:tcPr>
            <w:tcW w:w="1271" w:type="pct"/>
            <w:shd w:val="clear" w:color="auto" w:fill="auto"/>
            <w:vAlign w:val="center"/>
          </w:tcPr>
          <w:p w:rsidR="005E7404" w:rsidRPr="0036391F" w:rsidRDefault="007B4C94" w:rsidP="00C53D9C">
            <w:pPr>
              <w:keepNext/>
              <w:keepLines/>
              <w:widowControl/>
              <w:rPr>
                <w:rFonts w:ascii="Arial Narrow" w:hAnsi="Arial Narrow"/>
                <w:sz w:val="20"/>
              </w:rPr>
            </w:pPr>
            <w:r w:rsidRPr="0036391F">
              <w:rPr>
                <w:rFonts w:ascii="Arial Narrow" w:hAnsi="Arial Narrow"/>
                <w:sz w:val="20"/>
              </w:rPr>
              <w:t>Malignancies</w:t>
            </w:r>
          </w:p>
        </w:tc>
        <w:tc>
          <w:tcPr>
            <w:tcW w:w="848" w:type="pct"/>
            <w:vAlign w:val="center"/>
          </w:tcPr>
          <w:p w:rsidR="005E7404" w:rsidRPr="00AD5A0B" w:rsidRDefault="004A0795" w:rsidP="00C53D9C">
            <w:pPr>
              <w:keepNext/>
              <w:keepLines/>
              <w:widowControl/>
              <w:jc w:val="center"/>
              <w:rPr>
                <w:rFonts w:ascii="Arial Narrow" w:hAnsi="Arial Narrow"/>
                <w:sz w:val="20"/>
              </w:rPr>
            </w:pPr>
            <w:r w:rsidRPr="00AD5A0B">
              <w:rPr>
                <w:rFonts w:ascii="Arial Narrow" w:hAnsi="Arial Narrow"/>
                <w:sz w:val="20"/>
              </w:rPr>
              <w:t>2</w:t>
            </w:r>
            <w:r w:rsidR="007B4C94" w:rsidRPr="00AD5A0B">
              <w:rPr>
                <w:rFonts w:ascii="Arial Narrow" w:hAnsi="Arial Narrow"/>
                <w:sz w:val="20"/>
              </w:rPr>
              <w:t>/226</w:t>
            </w:r>
          </w:p>
        </w:tc>
        <w:tc>
          <w:tcPr>
            <w:tcW w:w="932" w:type="pct"/>
            <w:vAlign w:val="center"/>
          </w:tcPr>
          <w:p w:rsidR="005E7404" w:rsidRPr="00AD5A0B" w:rsidRDefault="007B4C94" w:rsidP="00C53D9C">
            <w:pPr>
              <w:keepNext/>
              <w:keepLines/>
              <w:widowControl/>
              <w:jc w:val="center"/>
              <w:rPr>
                <w:rFonts w:ascii="Arial Narrow" w:hAnsi="Arial Narrow"/>
                <w:sz w:val="20"/>
              </w:rPr>
            </w:pPr>
            <w:r w:rsidRPr="00AD5A0B">
              <w:rPr>
                <w:rFonts w:ascii="Arial Narrow" w:hAnsi="Arial Narrow"/>
                <w:sz w:val="20"/>
              </w:rPr>
              <w:t>0/226</w:t>
            </w:r>
          </w:p>
        </w:tc>
        <w:tc>
          <w:tcPr>
            <w:tcW w:w="1018" w:type="pct"/>
            <w:vAlign w:val="center"/>
          </w:tcPr>
          <w:p w:rsidR="005E7404" w:rsidRPr="00AD5A0B" w:rsidRDefault="007B4C94" w:rsidP="00C53D9C">
            <w:pPr>
              <w:keepNext/>
              <w:keepLines/>
              <w:widowControl/>
              <w:jc w:val="center"/>
              <w:rPr>
                <w:rFonts w:ascii="Arial Narrow" w:hAnsi="Arial Narrow"/>
                <w:sz w:val="20"/>
              </w:rPr>
            </w:pPr>
            <w:r w:rsidRPr="00AD5A0B">
              <w:rPr>
                <w:rFonts w:ascii="Arial Narrow" w:hAnsi="Arial Narrow"/>
                <w:sz w:val="20"/>
              </w:rPr>
              <w:t>1.9</w:t>
            </w:r>
          </w:p>
        </w:tc>
        <w:tc>
          <w:tcPr>
            <w:tcW w:w="931" w:type="pct"/>
            <w:vAlign w:val="center"/>
          </w:tcPr>
          <w:p w:rsidR="005E7404" w:rsidRPr="00AD5A0B" w:rsidRDefault="007B4C94" w:rsidP="00C53D9C">
            <w:pPr>
              <w:keepNext/>
              <w:keepLines/>
              <w:widowControl/>
              <w:jc w:val="center"/>
              <w:rPr>
                <w:rFonts w:ascii="Arial Narrow" w:hAnsi="Arial Narrow"/>
                <w:sz w:val="20"/>
              </w:rPr>
            </w:pPr>
            <w:r w:rsidRPr="00AD5A0B">
              <w:rPr>
                <w:rFonts w:ascii="Arial Narrow" w:hAnsi="Arial Narrow"/>
                <w:sz w:val="20"/>
              </w:rPr>
              <w:t>0</w:t>
            </w:r>
          </w:p>
        </w:tc>
      </w:tr>
    </w:tbl>
    <w:p w:rsidR="005E7404" w:rsidRPr="0036391F" w:rsidRDefault="005E7404" w:rsidP="00C53D9C">
      <w:pPr>
        <w:pStyle w:val="TableFooter"/>
        <w:keepNext/>
        <w:keepLines/>
        <w:widowControl/>
        <w:ind w:left="720"/>
      </w:pPr>
      <w:r w:rsidRPr="0036391F">
        <w:t xml:space="preserve">Source: </w:t>
      </w:r>
      <w:r w:rsidR="00BA38D0" w:rsidRPr="0036391F">
        <w:t>Table B.6-1, p.89; Table</w:t>
      </w:r>
      <w:r w:rsidR="007B4C94" w:rsidRPr="0036391F">
        <w:t xml:space="preserve"> B.6-11 of the</w:t>
      </w:r>
      <w:r w:rsidR="00BA38D0" w:rsidRPr="0036391F">
        <w:t xml:space="preserve"> </w:t>
      </w:r>
      <w:r w:rsidRPr="0036391F">
        <w:t>submission</w:t>
      </w:r>
      <w:r w:rsidR="007B4C94" w:rsidRPr="0036391F">
        <w:t>; Table 14.3__1.2.M VISUAL I trial report; Table 14.3__1.2.M VISUAL II trial report</w:t>
      </w:r>
    </w:p>
    <w:p w:rsidR="00A50E62" w:rsidRPr="0036391F" w:rsidRDefault="00A50E62" w:rsidP="00C53D9C">
      <w:pPr>
        <w:pStyle w:val="TableFooter"/>
        <w:keepNext/>
        <w:keepLines/>
        <w:widowControl/>
        <w:ind w:left="720"/>
      </w:pPr>
      <w:r w:rsidRPr="0036391F">
        <w:rPr>
          <w:vertAlign w:val="superscript"/>
        </w:rPr>
        <w:t>1</w:t>
      </w:r>
      <w:r w:rsidRPr="0036391F">
        <w:t xml:space="preserve"> In VISUAL I, </w:t>
      </w:r>
      <w:r w:rsidR="00915619" w:rsidRPr="0036391F">
        <w:t xml:space="preserve">the median duration of treatment was 19 weeks for </w:t>
      </w:r>
      <w:r w:rsidRPr="0036391F">
        <w:t xml:space="preserve">adalimumab patients </w:t>
      </w:r>
      <w:r w:rsidR="00915619" w:rsidRPr="0036391F">
        <w:t>and 13</w:t>
      </w:r>
      <w:r w:rsidRPr="0036391F">
        <w:t xml:space="preserve"> weeks for placebo</w:t>
      </w:r>
      <w:r w:rsidR="00915619" w:rsidRPr="0036391F">
        <w:t xml:space="preserve"> patients</w:t>
      </w:r>
      <w:r w:rsidRPr="0036391F">
        <w:t xml:space="preserve">. In VISUAL II, </w:t>
      </w:r>
      <w:r w:rsidR="00915619" w:rsidRPr="0036391F">
        <w:t>the median duration of treatment was 35</w:t>
      </w:r>
      <w:r w:rsidRPr="0036391F">
        <w:t xml:space="preserve"> weeks</w:t>
      </w:r>
      <w:r w:rsidR="00915619" w:rsidRPr="0036391F">
        <w:t xml:space="preserve"> for adalimumab patients and 22</w:t>
      </w:r>
      <w:r w:rsidRPr="0036391F">
        <w:t xml:space="preserve"> weeks for placebo</w:t>
      </w:r>
      <w:r w:rsidR="00915619" w:rsidRPr="0036391F">
        <w:t xml:space="preserve"> patients</w:t>
      </w:r>
      <w:r w:rsidRPr="0036391F">
        <w:t>.</w:t>
      </w:r>
    </w:p>
    <w:p w:rsidR="005E7404" w:rsidRPr="0036391F" w:rsidRDefault="005E7404" w:rsidP="007B4C94">
      <w:pPr>
        <w:pStyle w:val="ListParagraph"/>
        <w:widowControl/>
        <w:rPr>
          <w:szCs w:val="22"/>
        </w:rPr>
      </w:pPr>
    </w:p>
    <w:p w:rsidR="00123C23" w:rsidRPr="0036391F" w:rsidRDefault="00123C23" w:rsidP="00123C23">
      <w:pPr>
        <w:pStyle w:val="ListParagraph"/>
        <w:widowControl/>
        <w:numPr>
          <w:ilvl w:val="1"/>
          <w:numId w:val="3"/>
        </w:numPr>
        <w:rPr>
          <w:szCs w:val="22"/>
        </w:rPr>
      </w:pPr>
      <w:r w:rsidRPr="0036391F">
        <w:t xml:space="preserve">On the basis of the direct evidence from the VISUAL I trial presented in the submission, treatment with adalimumab compared with placebo resulted in a median of 2.6 months longer time to treatment failure (worsening of inflammatory markers in the eye or of visual acuity) for patients with active inflammatory disease at baseline. On the basis of the direct evidence from the VISUAL II trial treatment with </w:t>
      </w:r>
      <w:r w:rsidRPr="0036391F">
        <w:lastRenderedPageBreak/>
        <w:t>adalimumab compared with placebo resulted in a statistically significantly longer time to treatment failure (worsening of inflammatory markers in the eye or of visual acuity) for patients with controlled disease requiring relatively high doses of oral corticosteroids to maintain remission.</w:t>
      </w:r>
    </w:p>
    <w:p w:rsidR="00123C23" w:rsidRPr="0036391F" w:rsidRDefault="00123C23" w:rsidP="00674477">
      <w:pPr>
        <w:tabs>
          <w:tab w:val="left" w:pos="1830"/>
        </w:tabs>
      </w:pPr>
    </w:p>
    <w:p w:rsidR="00123C23" w:rsidRPr="00C3674F" w:rsidRDefault="00123C23" w:rsidP="00382881">
      <w:pPr>
        <w:pStyle w:val="Heading2"/>
        <w:keepNext/>
        <w:keepLines/>
        <w:rPr>
          <w:i/>
        </w:rPr>
      </w:pPr>
      <w:bookmarkStart w:id="13" w:name="_Toc472349922"/>
      <w:r w:rsidRPr="00C3674F">
        <w:rPr>
          <w:i/>
        </w:rPr>
        <w:t>Clinical claim</w:t>
      </w:r>
      <w:bookmarkEnd w:id="13"/>
    </w:p>
    <w:p w:rsidR="00123C23" w:rsidRPr="00C3674F" w:rsidRDefault="00123C23" w:rsidP="00382881">
      <w:pPr>
        <w:keepNext/>
        <w:keepLines/>
        <w:ind w:left="720" w:hanging="720"/>
        <w:rPr>
          <w:szCs w:val="22"/>
        </w:rPr>
      </w:pPr>
    </w:p>
    <w:p w:rsidR="00123C23" w:rsidRPr="0036391F" w:rsidRDefault="00123C23" w:rsidP="00382881">
      <w:pPr>
        <w:pStyle w:val="ListParagraph"/>
        <w:keepNext/>
        <w:keepLines/>
        <w:widowControl/>
        <w:numPr>
          <w:ilvl w:val="1"/>
          <w:numId w:val="3"/>
        </w:numPr>
        <w:rPr>
          <w:szCs w:val="22"/>
        </w:rPr>
      </w:pPr>
      <w:r w:rsidRPr="0036391F">
        <w:rPr>
          <w:szCs w:val="22"/>
        </w:rPr>
        <w:t>The submission described adalimumab as superior in terms of comparative efficacy over current standard of care, and comparable in terms of safety.</w:t>
      </w:r>
      <w:r w:rsidRPr="0036391F">
        <w:rPr>
          <w:iCs/>
        </w:rPr>
        <w:t xml:space="preserve"> </w:t>
      </w:r>
      <w:r w:rsidRPr="0036391F">
        <w:rPr>
          <w:iCs/>
          <w:szCs w:val="22"/>
        </w:rPr>
        <w:t xml:space="preserve">These claims </w:t>
      </w:r>
      <w:r w:rsidR="005C110D">
        <w:rPr>
          <w:iCs/>
          <w:szCs w:val="22"/>
        </w:rPr>
        <w:t>were</w:t>
      </w:r>
      <w:r w:rsidR="005C110D" w:rsidRPr="0036391F">
        <w:rPr>
          <w:iCs/>
          <w:szCs w:val="22"/>
        </w:rPr>
        <w:t xml:space="preserve"> </w:t>
      </w:r>
      <w:r w:rsidRPr="0036391F">
        <w:rPr>
          <w:iCs/>
          <w:szCs w:val="22"/>
        </w:rPr>
        <w:t>not adequately supported for efficacy or safety.</w:t>
      </w:r>
    </w:p>
    <w:p w:rsidR="00123C23" w:rsidRPr="0036391F" w:rsidRDefault="00123C23" w:rsidP="00C451C0">
      <w:pPr>
        <w:pStyle w:val="ListParagraph"/>
        <w:widowControl/>
        <w:rPr>
          <w:szCs w:val="22"/>
        </w:rPr>
      </w:pPr>
    </w:p>
    <w:p w:rsidR="00123C23" w:rsidRPr="0036391F" w:rsidRDefault="00123C23" w:rsidP="00123C23">
      <w:pPr>
        <w:pStyle w:val="ListParagraph"/>
        <w:widowControl/>
        <w:numPr>
          <w:ilvl w:val="1"/>
          <w:numId w:val="3"/>
        </w:numPr>
        <w:rPr>
          <w:szCs w:val="22"/>
        </w:rPr>
      </w:pPr>
      <w:r w:rsidRPr="0036391F">
        <w:rPr>
          <w:szCs w:val="22"/>
        </w:rPr>
        <w:t xml:space="preserve">In VISUAL I a large proportion of subjects appeared to meet the criteria for treatment failure at week 6 (first assessment </w:t>
      </w:r>
      <w:proofErr w:type="spellStart"/>
      <w:r w:rsidRPr="0036391F">
        <w:rPr>
          <w:szCs w:val="22"/>
        </w:rPr>
        <w:t>timepoint</w:t>
      </w:r>
      <w:proofErr w:type="spellEnd"/>
      <w:r w:rsidRPr="0036391F">
        <w:rPr>
          <w:szCs w:val="22"/>
        </w:rPr>
        <w:t>). This suggests that the initial flare experienced at baseline may have worsened, particularly given the forced tapering of corticosteroids used in the study. As tapering would only occur in clinical practice once inflammation is controlled, this may overestimate the treatment effect of adalimumab.</w:t>
      </w:r>
    </w:p>
    <w:p w:rsidR="00123C23" w:rsidRPr="0036391F" w:rsidRDefault="00123C23" w:rsidP="00C451C0">
      <w:pPr>
        <w:pStyle w:val="ListParagraph"/>
        <w:widowControl/>
        <w:rPr>
          <w:szCs w:val="22"/>
        </w:rPr>
      </w:pPr>
    </w:p>
    <w:p w:rsidR="00123C23" w:rsidRPr="0036391F" w:rsidRDefault="00123C23" w:rsidP="00123C23">
      <w:pPr>
        <w:pStyle w:val="ListParagraph"/>
        <w:widowControl/>
        <w:numPr>
          <w:ilvl w:val="1"/>
          <w:numId w:val="3"/>
        </w:numPr>
        <w:rPr>
          <w:szCs w:val="22"/>
        </w:rPr>
      </w:pPr>
      <w:r w:rsidRPr="0036391F">
        <w:rPr>
          <w:szCs w:val="22"/>
        </w:rPr>
        <w:t>In VISUAL II patients had stable disease but required high doses of oral corticosteroids to maintain remission and had to follow a mandatory tapering schedule regardless of evidence of inflammation. This is inconsistent with clinical practice, which suggests monitoring for inflammation during corticosteroid tapering. Whilst adalimumab may allow a reduction in corticosteroid use, it is unknown how treatment with adalimumab would compare with continued treatment with oral corticosteroids in this population.</w:t>
      </w:r>
    </w:p>
    <w:p w:rsidR="00123C23" w:rsidRPr="0036391F" w:rsidRDefault="00123C23" w:rsidP="00C451C0">
      <w:pPr>
        <w:pStyle w:val="ListParagraph"/>
        <w:widowControl/>
        <w:rPr>
          <w:szCs w:val="22"/>
        </w:rPr>
      </w:pPr>
    </w:p>
    <w:p w:rsidR="00123C23" w:rsidRPr="0036391F" w:rsidRDefault="00123C23" w:rsidP="00123C23">
      <w:pPr>
        <w:pStyle w:val="ListParagraph"/>
        <w:widowControl/>
        <w:numPr>
          <w:ilvl w:val="1"/>
          <w:numId w:val="3"/>
        </w:numPr>
        <w:rPr>
          <w:szCs w:val="22"/>
        </w:rPr>
      </w:pPr>
      <w:r w:rsidRPr="0036391F">
        <w:rPr>
          <w:szCs w:val="22"/>
        </w:rPr>
        <w:t>The results from the clinical trials demonstrate that adalimumab has an inferior safety profile to placebo. The adverse event profile of adalimumab, including infections, tuberculosis, cancer and multiple sclerosis, is different to the adverse event profile of oral corticosteroids, which include heart disease, osteoporosis, diabetes and cataracts.</w:t>
      </w:r>
    </w:p>
    <w:p w:rsidR="00123C23" w:rsidRPr="0036391F" w:rsidRDefault="00123C23" w:rsidP="00123C23">
      <w:pPr>
        <w:pStyle w:val="ListParagraph"/>
        <w:rPr>
          <w:szCs w:val="22"/>
        </w:rPr>
      </w:pPr>
    </w:p>
    <w:p w:rsidR="00123C23" w:rsidRDefault="00123C23" w:rsidP="00123C23">
      <w:pPr>
        <w:pStyle w:val="ListParagraph"/>
        <w:widowControl/>
        <w:numPr>
          <w:ilvl w:val="1"/>
          <w:numId w:val="3"/>
        </w:numPr>
        <w:rPr>
          <w:szCs w:val="22"/>
        </w:rPr>
      </w:pPr>
      <w:r w:rsidRPr="0036391F">
        <w:rPr>
          <w:szCs w:val="22"/>
        </w:rPr>
        <w:t xml:space="preserve">The optimal duration of therapy is unknown. The submission suggested that some patients will be able to cease treatment with </w:t>
      </w:r>
      <w:proofErr w:type="gramStart"/>
      <w:r w:rsidRPr="0036391F">
        <w:rPr>
          <w:szCs w:val="22"/>
        </w:rPr>
        <w:t>adalimumab,</w:t>
      </w:r>
      <w:proofErr w:type="gramEnd"/>
      <w:r w:rsidRPr="0036391F">
        <w:rPr>
          <w:szCs w:val="22"/>
        </w:rPr>
        <w:t xml:space="preserve"> however guidance around this is currently limited.  </w:t>
      </w:r>
      <w:r w:rsidR="00084E52" w:rsidRPr="0036391F">
        <w:rPr>
          <w:szCs w:val="22"/>
        </w:rPr>
        <w:t xml:space="preserve">The </w:t>
      </w:r>
      <w:r w:rsidRPr="0036391F">
        <w:rPr>
          <w:szCs w:val="22"/>
        </w:rPr>
        <w:t xml:space="preserve">PSCR </w:t>
      </w:r>
      <w:r w:rsidR="00084E52" w:rsidRPr="0036391F">
        <w:rPr>
          <w:szCs w:val="22"/>
        </w:rPr>
        <w:t xml:space="preserve">(p3) </w:t>
      </w:r>
      <w:r w:rsidRPr="0036391F">
        <w:rPr>
          <w:szCs w:val="22"/>
        </w:rPr>
        <w:t xml:space="preserve">provided expert advice suggesting </w:t>
      </w:r>
      <w:r w:rsidR="00377293" w:rsidRPr="0036391F">
        <w:rPr>
          <w:szCs w:val="22"/>
        </w:rPr>
        <w:t xml:space="preserve">six </w:t>
      </w:r>
      <w:r w:rsidRPr="0036391F">
        <w:rPr>
          <w:szCs w:val="22"/>
        </w:rPr>
        <w:t xml:space="preserve">monthly monitoring and attempt at withdrawal only after </w:t>
      </w:r>
      <w:r w:rsidR="00377293" w:rsidRPr="0036391F">
        <w:rPr>
          <w:szCs w:val="22"/>
        </w:rPr>
        <w:t>two</w:t>
      </w:r>
      <w:r w:rsidRPr="0036391F">
        <w:rPr>
          <w:szCs w:val="22"/>
        </w:rPr>
        <w:t xml:space="preserve"> years of quiescence but no data</w:t>
      </w:r>
      <w:r w:rsidR="00377293" w:rsidRPr="0036391F">
        <w:rPr>
          <w:szCs w:val="22"/>
        </w:rPr>
        <w:t xml:space="preserve"> was provided to support this</w:t>
      </w:r>
      <w:r w:rsidRPr="0036391F">
        <w:rPr>
          <w:szCs w:val="22"/>
        </w:rPr>
        <w:t xml:space="preserve">. </w:t>
      </w:r>
      <w:r w:rsidR="00CF4538">
        <w:rPr>
          <w:szCs w:val="22"/>
        </w:rPr>
        <w:t>The PBAC noted</w:t>
      </w:r>
      <w:r w:rsidR="00FE1E57">
        <w:rPr>
          <w:szCs w:val="22"/>
        </w:rPr>
        <w:t xml:space="preserve"> from the sponsor hearing</w:t>
      </w:r>
      <w:r w:rsidR="00CF4538">
        <w:rPr>
          <w:szCs w:val="22"/>
        </w:rPr>
        <w:t xml:space="preserve"> that on average, </w:t>
      </w:r>
      <w:r w:rsidR="00C1267B">
        <w:rPr>
          <w:szCs w:val="22"/>
        </w:rPr>
        <w:t xml:space="preserve">the condition would stabilise after approximately two years of being treated </w:t>
      </w:r>
      <w:r w:rsidR="00CF4538">
        <w:rPr>
          <w:szCs w:val="22"/>
        </w:rPr>
        <w:t>with adalimumab.</w:t>
      </w:r>
      <w:r w:rsidR="00C1267B">
        <w:rPr>
          <w:szCs w:val="22"/>
        </w:rPr>
        <w:t xml:space="preserve"> </w:t>
      </w:r>
    </w:p>
    <w:p w:rsidR="000B3091" w:rsidRPr="000B3091" w:rsidRDefault="000B3091" w:rsidP="000B3091">
      <w:pPr>
        <w:pStyle w:val="ListParagraph"/>
        <w:rPr>
          <w:szCs w:val="22"/>
        </w:rPr>
      </w:pPr>
    </w:p>
    <w:p w:rsidR="008B2B72" w:rsidRDefault="008B2B72" w:rsidP="008B2B72">
      <w:pPr>
        <w:numPr>
          <w:ilvl w:val="1"/>
          <w:numId w:val="3"/>
        </w:numPr>
        <w:rPr>
          <w:bCs/>
          <w:lang w:val="en-GB"/>
        </w:rPr>
      </w:pPr>
      <w:r>
        <w:rPr>
          <w:bCs/>
          <w:lang w:val="en-GB"/>
        </w:rPr>
        <w:t xml:space="preserve">The PBAC noted the trial data comparing to </w:t>
      </w:r>
      <w:proofErr w:type="spellStart"/>
      <w:r>
        <w:rPr>
          <w:bCs/>
          <w:lang w:val="en-GB"/>
        </w:rPr>
        <w:t>adalimumab</w:t>
      </w:r>
      <w:proofErr w:type="spellEnd"/>
      <w:r>
        <w:rPr>
          <w:bCs/>
          <w:lang w:val="en-GB"/>
        </w:rPr>
        <w:t xml:space="preserve"> to placebo in patients </w:t>
      </w:r>
      <w:r w:rsidR="00537729">
        <w:rPr>
          <w:bCs/>
          <w:lang w:val="en-GB"/>
        </w:rPr>
        <w:t>refractory</w:t>
      </w:r>
      <w:r>
        <w:rPr>
          <w:bCs/>
          <w:lang w:val="en-GB"/>
        </w:rPr>
        <w:t xml:space="preserve"> to </w:t>
      </w:r>
      <w:proofErr w:type="spellStart"/>
      <w:r>
        <w:rPr>
          <w:bCs/>
          <w:lang w:val="en-GB"/>
        </w:rPr>
        <w:t>corticoisteroids</w:t>
      </w:r>
      <w:proofErr w:type="spellEnd"/>
      <w:r>
        <w:rPr>
          <w:bCs/>
          <w:lang w:val="en-GB"/>
        </w:rPr>
        <w:t xml:space="preserve"> (VISUAL I) demonstrated superior effectiveness for the outcome of treatment failure (flare) and inferior safety; the trial data comparing to </w:t>
      </w:r>
      <w:proofErr w:type="spellStart"/>
      <w:r>
        <w:rPr>
          <w:bCs/>
          <w:lang w:val="en-GB"/>
        </w:rPr>
        <w:t>adalimumab</w:t>
      </w:r>
      <w:proofErr w:type="spellEnd"/>
      <w:r>
        <w:rPr>
          <w:bCs/>
          <w:lang w:val="en-GB"/>
        </w:rPr>
        <w:t xml:space="preserve"> to placebo in patients </w:t>
      </w:r>
      <w:r w:rsidR="00537729">
        <w:rPr>
          <w:bCs/>
          <w:lang w:val="en-GB"/>
        </w:rPr>
        <w:t>intolerant</w:t>
      </w:r>
      <w:r>
        <w:rPr>
          <w:bCs/>
          <w:lang w:val="en-GB"/>
        </w:rPr>
        <w:t xml:space="preserve"> to </w:t>
      </w:r>
      <w:proofErr w:type="spellStart"/>
      <w:r>
        <w:rPr>
          <w:bCs/>
          <w:lang w:val="en-GB"/>
        </w:rPr>
        <w:t>corticoidsteroids</w:t>
      </w:r>
      <w:proofErr w:type="spellEnd"/>
      <w:r>
        <w:rPr>
          <w:bCs/>
          <w:lang w:val="en-GB"/>
        </w:rPr>
        <w:t xml:space="preserve"> (VISUAL II) supported potentially superior effectiveness for the outcome of treatment failure (flare) and inferior safety (noting the data does not directly compare to high dose </w:t>
      </w:r>
      <w:proofErr w:type="spellStart"/>
      <w:r>
        <w:rPr>
          <w:bCs/>
          <w:lang w:val="en-GB"/>
        </w:rPr>
        <w:t>corticoisteroids</w:t>
      </w:r>
      <w:proofErr w:type="spellEnd"/>
      <w:r>
        <w:rPr>
          <w:bCs/>
          <w:lang w:val="en-GB"/>
        </w:rPr>
        <w:t xml:space="preserve">). </w:t>
      </w:r>
    </w:p>
    <w:p w:rsidR="008B2B72" w:rsidRDefault="008B2B72" w:rsidP="008B2B72">
      <w:pPr>
        <w:pStyle w:val="ListParagraph"/>
        <w:rPr>
          <w:bCs/>
          <w:lang w:val="en-GB"/>
        </w:rPr>
      </w:pPr>
    </w:p>
    <w:p w:rsidR="008B2B72" w:rsidRDefault="008B2B72" w:rsidP="008B2B72">
      <w:pPr>
        <w:pStyle w:val="ListParagraph"/>
        <w:numPr>
          <w:ilvl w:val="1"/>
          <w:numId w:val="3"/>
        </w:numPr>
        <w:rPr>
          <w:bCs/>
          <w:lang w:val="en-GB"/>
        </w:rPr>
      </w:pPr>
      <w:r w:rsidRPr="008B2B72">
        <w:rPr>
          <w:bCs/>
          <w:lang w:val="en-GB"/>
        </w:rPr>
        <w:t xml:space="preserve">The PBAC considered that there was a lack of evidence of the effects of </w:t>
      </w:r>
      <w:proofErr w:type="spellStart"/>
      <w:r w:rsidRPr="008B2B72">
        <w:rPr>
          <w:bCs/>
          <w:lang w:val="en-GB"/>
        </w:rPr>
        <w:t>adalimumab</w:t>
      </w:r>
      <w:proofErr w:type="spellEnd"/>
      <w:r w:rsidRPr="008B2B72">
        <w:rPr>
          <w:bCs/>
          <w:lang w:val="en-GB"/>
        </w:rPr>
        <w:t xml:space="preserve"> compared directly to corticosteroid and other </w:t>
      </w:r>
      <w:proofErr w:type="spellStart"/>
      <w:r w:rsidRPr="008B2B72">
        <w:rPr>
          <w:bCs/>
          <w:lang w:val="en-GB"/>
        </w:rPr>
        <w:t>immunomodulatory</w:t>
      </w:r>
      <w:proofErr w:type="spellEnd"/>
      <w:r w:rsidRPr="008B2B72">
        <w:rPr>
          <w:bCs/>
          <w:lang w:val="en-GB"/>
        </w:rPr>
        <w:t xml:space="preserve"> therapies to support the claims of superior comparative effectiveness and non-inferior comparative safety</w:t>
      </w:r>
      <w:r w:rsidR="004261AB">
        <w:rPr>
          <w:bCs/>
          <w:lang w:val="en-GB"/>
        </w:rPr>
        <w:t xml:space="preserve"> </w:t>
      </w:r>
      <w:r w:rsidR="004261AB">
        <w:rPr>
          <w:bCs/>
          <w:lang w:val="en-GB"/>
        </w:rPr>
        <w:lastRenderedPageBreak/>
        <w:t>to the nominated comparator</w:t>
      </w:r>
      <w:r w:rsidRPr="008B2B72">
        <w:rPr>
          <w:bCs/>
          <w:lang w:val="en-GB"/>
        </w:rPr>
        <w:t xml:space="preserve">. Additionally, there were no direct data to demonstrate that the reduction of flares would improve long term </w:t>
      </w:r>
      <w:r w:rsidR="00CB2F9D">
        <w:rPr>
          <w:bCs/>
          <w:lang w:val="en-GB"/>
        </w:rPr>
        <w:t>outcomes</w:t>
      </w:r>
      <w:r w:rsidRPr="008B2B72">
        <w:rPr>
          <w:bCs/>
          <w:lang w:val="en-GB"/>
        </w:rPr>
        <w:t>.</w:t>
      </w:r>
    </w:p>
    <w:p w:rsidR="00C451C0" w:rsidRPr="0036391F" w:rsidRDefault="00C451C0" w:rsidP="00C451C0">
      <w:pPr>
        <w:pStyle w:val="ListParagraph"/>
        <w:widowControl/>
        <w:rPr>
          <w:szCs w:val="22"/>
        </w:rPr>
      </w:pPr>
    </w:p>
    <w:p w:rsidR="00B60939" w:rsidRPr="00C3674F" w:rsidRDefault="00B60939" w:rsidP="002C2775">
      <w:pPr>
        <w:pStyle w:val="Heading2"/>
        <w:rPr>
          <w:i/>
        </w:rPr>
      </w:pPr>
      <w:bookmarkStart w:id="14" w:name="_Toc472349923"/>
      <w:r w:rsidRPr="0073164B">
        <w:rPr>
          <w:i/>
        </w:rPr>
        <w:t>Economic analysis</w:t>
      </w:r>
      <w:bookmarkEnd w:id="14"/>
      <w:r w:rsidR="00491B3A" w:rsidRPr="00C3674F">
        <w:rPr>
          <w:i/>
        </w:rPr>
        <w:t xml:space="preserve"> </w:t>
      </w:r>
    </w:p>
    <w:p w:rsidR="00B60939" w:rsidRPr="00C3674F" w:rsidRDefault="00B60939" w:rsidP="00B60939">
      <w:pPr>
        <w:ind w:left="720" w:hanging="720"/>
        <w:rPr>
          <w:szCs w:val="22"/>
        </w:rPr>
      </w:pPr>
    </w:p>
    <w:p w:rsidR="00275C5A" w:rsidRPr="0036391F" w:rsidRDefault="00C451C0" w:rsidP="00556640">
      <w:pPr>
        <w:pStyle w:val="ListParagraph"/>
        <w:widowControl/>
        <w:numPr>
          <w:ilvl w:val="1"/>
          <w:numId w:val="3"/>
        </w:numPr>
        <w:rPr>
          <w:szCs w:val="22"/>
        </w:rPr>
      </w:pPr>
      <w:r w:rsidRPr="0036391F">
        <w:t xml:space="preserve">The submission presented a modelled cost-effectiveness/cost-utility analysis comparing adalimumab to current standard of care (placebo) in patients with </w:t>
      </w:r>
      <w:r w:rsidR="00CD5B8F" w:rsidRPr="0036391F">
        <w:t xml:space="preserve">uveitis that is </w:t>
      </w:r>
      <w:r w:rsidRPr="0036391F">
        <w:t xml:space="preserve">non-infectious intermediate, posterior or </w:t>
      </w:r>
      <w:proofErr w:type="spellStart"/>
      <w:r w:rsidRPr="0036391F">
        <w:t>panuveitis</w:t>
      </w:r>
      <w:proofErr w:type="spellEnd"/>
      <w:r w:rsidR="0073164B" w:rsidRPr="0036391F">
        <w:t xml:space="preserve">. </w:t>
      </w:r>
      <w:r w:rsidR="00D82A3D" w:rsidRPr="0036391F">
        <w:t>Patients in b</w:t>
      </w:r>
      <w:r w:rsidR="0073164B" w:rsidRPr="0036391F">
        <w:t>oth treatment arms receive high dose oral corticosteroids</w:t>
      </w:r>
      <w:r w:rsidR="00D82A3D" w:rsidRPr="0036391F">
        <w:t xml:space="preserve"> </w:t>
      </w:r>
      <w:r w:rsidR="000E36E2">
        <w:rPr>
          <w:noProof/>
          <w:color w:val="000000"/>
          <w:highlight w:val="black"/>
        </w:rPr>
        <w:t>''''''' ''''''' ''''''''' ''''''''' '''''''''''''''' ''''' '''''''' '''''''''''''''' '''''''''' '''''' ''''''''' ''''''''''''''''''</w:t>
      </w:r>
      <w:r w:rsidR="00CD5B8F" w:rsidRPr="0036391F">
        <w:t xml:space="preserve"> whenever they experienced an </w:t>
      </w:r>
      <w:r w:rsidR="00D82A3D" w:rsidRPr="0036391F">
        <w:t>acute ocular complication</w:t>
      </w:r>
      <w:r w:rsidR="0073164B" w:rsidRPr="0036391F">
        <w:t xml:space="preserve">. </w:t>
      </w:r>
    </w:p>
    <w:p w:rsidR="00E42337" w:rsidRDefault="00E42337" w:rsidP="00E42337">
      <w:pPr>
        <w:widowControl/>
        <w:jc w:val="left"/>
        <w:rPr>
          <w:rStyle w:val="CommentReference"/>
        </w:rPr>
      </w:pPr>
    </w:p>
    <w:p w:rsidR="00275C5A" w:rsidRPr="0036391F" w:rsidRDefault="00275C5A" w:rsidP="00222D84">
      <w:pPr>
        <w:keepNext/>
        <w:keepLines/>
        <w:widowControl/>
        <w:ind w:firstLine="720"/>
        <w:jc w:val="left"/>
        <w:rPr>
          <w:rStyle w:val="CommentReference"/>
        </w:rPr>
      </w:pPr>
      <w:r w:rsidRPr="0036391F">
        <w:rPr>
          <w:rStyle w:val="CommentReference"/>
        </w:rPr>
        <w:t xml:space="preserve">Table </w:t>
      </w:r>
      <w:r w:rsidR="00342982" w:rsidRPr="0036391F">
        <w:rPr>
          <w:rStyle w:val="CommentReference"/>
        </w:rPr>
        <w:t>6</w:t>
      </w:r>
      <w:r w:rsidRPr="0036391F">
        <w:rPr>
          <w:rStyle w:val="CommentReference"/>
        </w:rPr>
        <w:t>: Summary of model structure and rationale</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6917"/>
      </w:tblGrid>
      <w:tr w:rsidR="00ED4379" w:rsidRPr="0036391F" w:rsidTr="00ED4379">
        <w:trPr>
          <w:trHeight w:val="240"/>
        </w:trPr>
        <w:tc>
          <w:tcPr>
            <w:tcW w:w="1418"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Time horizon</w:t>
            </w:r>
          </w:p>
        </w:tc>
        <w:tc>
          <w:tcPr>
            <w:tcW w:w="6917"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 xml:space="preserve">Lifetime (up to </w:t>
            </w:r>
            <w:r w:rsidR="000E36E2">
              <w:rPr>
                <w:rFonts w:ascii="Arial Narrow" w:hAnsi="Arial Narrow"/>
                <w:noProof/>
                <w:color w:val="000000"/>
                <w:sz w:val="20"/>
                <w:highlight w:val="black"/>
              </w:rPr>
              <w:t>''''''</w:t>
            </w:r>
            <w:r w:rsidRPr="0036391F">
              <w:rPr>
                <w:rFonts w:ascii="Arial Narrow" w:hAnsi="Arial Narrow"/>
                <w:sz w:val="20"/>
              </w:rPr>
              <w:t xml:space="preserve"> years; a maximum age of </w:t>
            </w:r>
            <w:r w:rsidR="000E36E2">
              <w:rPr>
                <w:rFonts w:ascii="Arial Narrow" w:hAnsi="Arial Narrow"/>
                <w:noProof/>
                <w:color w:val="000000"/>
                <w:sz w:val="20"/>
                <w:highlight w:val="black"/>
              </w:rPr>
              <w:t>''''''''''</w:t>
            </w:r>
            <w:r w:rsidRPr="0036391F">
              <w:rPr>
                <w:rFonts w:ascii="Arial Narrow" w:hAnsi="Arial Narrow"/>
                <w:sz w:val="20"/>
              </w:rPr>
              <w:t>) in the model base case versus up to 80 weeks in VISUAL I trial (median duration of treatment 13 weeks for placebo; 19 weeks for adalimumab).</w:t>
            </w:r>
          </w:p>
        </w:tc>
      </w:tr>
      <w:tr w:rsidR="00ED4379" w:rsidRPr="0036391F" w:rsidTr="00ED4379">
        <w:trPr>
          <w:trHeight w:val="245"/>
        </w:trPr>
        <w:tc>
          <w:tcPr>
            <w:tcW w:w="1418"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Outcomes</w:t>
            </w:r>
          </w:p>
        </w:tc>
        <w:tc>
          <w:tcPr>
            <w:tcW w:w="6917"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Proportion of patients free of ocular complications; QALYs.</w:t>
            </w:r>
          </w:p>
        </w:tc>
      </w:tr>
      <w:tr w:rsidR="00ED4379" w:rsidRPr="0036391F" w:rsidTr="00ED4379">
        <w:trPr>
          <w:trHeight w:val="385"/>
        </w:trPr>
        <w:tc>
          <w:tcPr>
            <w:tcW w:w="1418"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Methods used to generate results</w:t>
            </w:r>
          </w:p>
        </w:tc>
        <w:tc>
          <w:tcPr>
            <w:tcW w:w="6917"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Markov cohort analysis.</w:t>
            </w:r>
          </w:p>
        </w:tc>
      </w:tr>
      <w:tr w:rsidR="00ED4379" w:rsidRPr="0036391F" w:rsidTr="00ED4379">
        <w:trPr>
          <w:trHeight w:val="225"/>
        </w:trPr>
        <w:tc>
          <w:tcPr>
            <w:tcW w:w="1418"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Cycle length</w:t>
            </w:r>
          </w:p>
        </w:tc>
        <w:tc>
          <w:tcPr>
            <w:tcW w:w="6917"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1 month; half cycle correction. Drug costs were calculated over four weeks; the submission argued this accounts for high, but imperfect compliance.</w:t>
            </w:r>
          </w:p>
        </w:tc>
      </w:tr>
      <w:tr w:rsidR="00ED4379" w:rsidRPr="0036391F" w:rsidTr="00ED4379">
        <w:trPr>
          <w:trHeight w:val="225"/>
        </w:trPr>
        <w:tc>
          <w:tcPr>
            <w:tcW w:w="1418"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Treatments</w:t>
            </w:r>
          </w:p>
        </w:tc>
        <w:tc>
          <w:tcPr>
            <w:tcW w:w="6917"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 xml:space="preserve">Adalimumab, placebo. Patients in both treatment arms receive initial oral corticosteroids, tapered over </w:t>
            </w:r>
            <w:r w:rsidR="000E36E2">
              <w:rPr>
                <w:rFonts w:ascii="Arial Narrow" w:hAnsi="Arial Narrow"/>
                <w:noProof/>
                <w:color w:val="000000"/>
                <w:sz w:val="20"/>
                <w:highlight w:val="black"/>
              </w:rPr>
              <w:t>''''''''''</w:t>
            </w:r>
            <w:r w:rsidRPr="0036391F">
              <w:rPr>
                <w:rFonts w:ascii="Arial Narrow" w:hAnsi="Arial Narrow"/>
                <w:sz w:val="20"/>
              </w:rPr>
              <w:t xml:space="preserve"> months; patients experiencing acute ocular complications also receive corticosteroids, tapered over </w:t>
            </w:r>
            <w:r w:rsidR="000E36E2">
              <w:rPr>
                <w:rFonts w:ascii="Arial Narrow" w:hAnsi="Arial Narrow"/>
                <w:noProof/>
                <w:color w:val="000000"/>
                <w:sz w:val="20"/>
                <w:highlight w:val="black"/>
              </w:rPr>
              <w:t>'''''''''</w:t>
            </w:r>
            <w:r w:rsidRPr="0036391F">
              <w:rPr>
                <w:rFonts w:ascii="Arial Narrow" w:hAnsi="Arial Narrow"/>
                <w:sz w:val="20"/>
              </w:rPr>
              <w:t xml:space="preserve"> months.</w:t>
            </w:r>
          </w:p>
        </w:tc>
      </w:tr>
      <w:tr w:rsidR="00ED4379" w:rsidRPr="0036391F" w:rsidTr="00ED4379">
        <w:trPr>
          <w:trHeight w:val="225"/>
        </w:trPr>
        <w:tc>
          <w:tcPr>
            <w:tcW w:w="1418"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Health states</w:t>
            </w:r>
          </w:p>
        </w:tc>
        <w:tc>
          <w:tcPr>
            <w:tcW w:w="6917" w:type="dxa"/>
            <w:shd w:val="clear" w:color="auto" w:fill="auto"/>
          </w:tcPr>
          <w:p w:rsidR="00ED4379" w:rsidRPr="0036391F" w:rsidRDefault="000E36E2" w:rsidP="00222D84">
            <w:pPr>
              <w:keepNext/>
              <w:keepLines/>
              <w:jc w:val="left"/>
              <w:rPr>
                <w:rFonts w:ascii="Arial Narrow" w:hAnsi="Arial Narrow"/>
                <w:sz w:val="20"/>
              </w:rPr>
            </w:pPr>
            <w:r>
              <w:rPr>
                <w:rFonts w:ascii="Arial Narrow" w:hAnsi="Arial Narrow"/>
                <w:noProof/>
                <w:color w:val="000000"/>
                <w:sz w:val="20"/>
                <w:highlight w:val="black"/>
              </w:rPr>
              <w:t>''''''''''''''''''''''''''''' '''''''''''' '''''''''''' ''''''''''''''' ''''''''''''''''''''''''''''''''''''''''''''''''''' '''''''''' ''''''''''''''''''''''' ''''''''''''''' '''''''''''''''''''''''''''''''' '''''''''''' ''''''''''''''''''''''''''''' '''''''''''''''''''''''''''''''' ''''''''''' '''''''''''''''''' ''''''''''''''' ''''''''''''''''''''''''''''''' '''''''''''''''''''''''' '''''''''''''' '''''''''''''''''''''' '''''''''''''''''''''''''''''''''' '''''''''''''''''' '''''''''''''''''''''''</w:t>
            </w:r>
            <w:r w:rsidR="00ED4379" w:rsidRPr="00787B43">
              <w:rPr>
                <w:rFonts w:ascii="Arial Narrow" w:hAnsi="Arial Narrow"/>
                <w:sz w:val="20"/>
              </w:rPr>
              <w:t xml:space="preserve"> death (all-cause mortality).</w:t>
            </w:r>
          </w:p>
        </w:tc>
      </w:tr>
      <w:tr w:rsidR="00ED4379" w:rsidRPr="0036391F" w:rsidTr="00ED4379">
        <w:trPr>
          <w:trHeight w:val="448"/>
        </w:trPr>
        <w:tc>
          <w:tcPr>
            <w:tcW w:w="1418"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Transition probabilities</w:t>
            </w:r>
          </w:p>
        </w:tc>
        <w:tc>
          <w:tcPr>
            <w:tcW w:w="6917"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Ocular complications for the placebo arm were derived from Dick et al, 2016 (</w:t>
            </w:r>
            <w:r w:rsidR="000E36E2">
              <w:rPr>
                <w:rFonts w:ascii="Arial Narrow" w:hAnsi="Arial Narrow"/>
                <w:noProof/>
                <w:color w:val="000000"/>
                <w:sz w:val="20"/>
                <w:highlight w:val="black"/>
              </w:rPr>
              <w:t>'''''''''''''''' ''''''''' '''' '''''''''' ''''''''''''''''''''''''''' ''''''''''''''''''''' '''' '''''''''''''''''''' '''''''''''''''''''''''</w:t>
            </w:r>
            <w:r w:rsidRPr="0036391F">
              <w:rPr>
                <w:rFonts w:ascii="Arial Narrow" w:hAnsi="Arial Narrow"/>
                <w:sz w:val="20"/>
              </w:rPr>
              <w:t xml:space="preserve">); </w:t>
            </w:r>
            <w:r w:rsidR="000E36E2">
              <w:rPr>
                <w:rFonts w:ascii="Arial Narrow" w:hAnsi="Arial Narrow"/>
                <w:noProof/>
                <w:color w:val="000000"/>
                <w:sz w:val="20"/>
                <w:highlight w:val="black"/>
              </w:rPr>
              <w:t>'''''''''''''''''' ''''' ''''''' '''''''''''''''''' ''''''''''' ''''''' '''''''' '''' ''''''''''''''''''''''''''''' '''''''''' '''''''''' ''''''''''''''''''''' '' ''''''''' '''''' '''''''' ''''''''''''''''''''''''''''''' '''''''''</w:t>
            </w:r>
            <w:r w:rsidRPr="0036391F">
              <w:rPr>
                <w:rFonts w:ascii="Arial Narrow" w:hAnsi="Arial Narrow"/>
                <w:sz w:val="20"/>
              </w:rPr>
              <w:t xml:space="preserve">. </w:t>
            </w:r>
            <w:r w:rsidR="000E36E2">
              <w:rPr>
                <w:rFonts w:ascii="Arial Narrow" w:hAnsi="Arial Narrow"/>
                <w:noProof/>
                <w:color w:val="000000"/>
                <w:sz w:val="20"/>
                <w:highlight w:val="black"/>
              </w:rPr>
              <w:t>''''''''''''''''''''''' '''''''''''''''' '''''</w:t>
            </w:r>
            <w:r w:rsidRPr="0036391F">
              <w:rPr>
                <w:rFonts w:ascii="Arial Narrow" w:hAnsi="Arial Narrow"/>
                <w:sz w:val="20"/>
              </w:rPr>
              <w:t xml:space="preserve"> long-term risk of complications from Dick et al, 2016</w:t>
            </w:r>
            <w:r w:rsidR="008D7604" w:rsidRPr="0036391F">
              <w:rPr>
                <w:rFonts w:ascii="Arial Narrow" w:hAnsi="Arial Narrow"/>
                <w:sz w:val="20"/>
              </w:rPr>
              <w:t xml:space="preserve">. All-cause mortality </w:t>
            </w:r>
            <w:r w:rsidRPr="0036391F">
              <w:rPr>
                <w:rFonts w:ascii="Arial Narrow" w:hAnsi="Arial Narrow"/>
                <w:sz w:val="20"/>
              </w:rPr>
              <w:t>from ABS life tables.</w:t>
            </w:r>
          </w:p>
        </w:tc>
      </w:tr>
      <w:tr w:rsidR="00ED4379" w:rsidRPr="0036391F" w:rsidTr="00ED4379">
        <w:trPr>
          <w:trHeight w:val="240"/>
        </w:trPr>
        <w:tc>
          <w:tcPr>
            <w:tcW w:w="1418"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Discount rate</w:t>
            </w:r>
          </w:p>
        </w:tc>
        <w:tc>
          <w:tcPr>
            <w:tcW w:w="6917"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5% for costs and outcomes.</w:t>
            </w:r>
          </w:p>
        </w:tc>
      </w:tr>
      <w:tr w:rsidR="00ED4379" w:rsidRPr="0036391F" w:rsidTr="00ED4379">
        <w:trPr>
          <w:trHeight w:val="225"/>
        </w:trPr>
        <w:tc>
          <w:tcPr>
            <w:tcW w:w="1418" w:type="dxa"/>
            <w:shd w:val="clear" w:color="auto" w:fill="auto"/>
          </w:tcPr>
          <w:p w:rsidR="00ED4379" w:rsidRPr="0036391F" w:rsidRDefault="00ED4379" w:rsidP="00222D84">
            <w:pPr>
              <w:keepNext/>
              <w:keepLines/>
              <w:jc w:val="left"/>
              <w:rPr>
                <w:rFonts w:ascii="Arial Narrow" w:hAnsi="Arial Narrow"/>
                <w:sz w:val="20"/>
              </w:rPr>
            </w:pPr>
            <w:r w:rsidRPr="0036391F">
              <w:rPr>
                <w:rFonts w:ascii="Arial Narrow" w:hAnsi="Arial Narrow"/>
                <w:sz w:val="20"/>
              </w:rPr>
              <w:t>Software package</w:t>
            </w:r>
          </w:p>
        </w:tc>
        <w:tc>
          <w:tcPr>
            <w:tcW w:w="6917" w:type="dxa"/>
            <w:shd w:val="clear" w:color="auto" w:fill="auto"/>
          </w:tcPr>
          <w:p w:rsidR="00ED4379" w:rsidRPr="0036391F" w:rsidRDefault="00ED4379" w:rsidP="00222D84">
            <w:pPr>
              <w:keepNext/>
              <w:keepLines/>
              <w:jc w:val="left"/>
              <w:rPr>
                <w:rFonts w:ascii="Arial Narrow" w:hAnsi="Arial Narrow"/>
                <w:sz w:val="20"/>
              </w:rPr>
            </w:pPr>
            <w:proofErr w:type="spellStart"/>
            <w:r w:rsidRPr="0036391F">
              <w:rPr>
                <w:rFonts w:ascii="Arial Narrow" w:hAnsi="Arial Narrow"/>
                <w:sz w:val="20"/>
              </w:rPr>
              <w:t>TreeAge</w:t>
            </w:r>
            <w:proofErr w:type="spellEnd"/>
            <w:r w:rsidRPr="0036391F">
              <w:rPr>
                <w:rFonts w:ascii="Arial Narrow" w:hAnsi="Arial Narrow"/>
                <w:sz w:val="20"/>
              </w:rPr>
              <w:t xml:space="preserve"> Pro 2009.</w:t>
            </w:r>
          </w:p>
        </w:tc>
      </w:tr>
    </w:tbl>
    <w:p w:rsidR="00ED4379" w:rsidRPr="0036391F" w:rsidRDefault="00ED4379" w:rsidP="00222D84">
      <w:pPr>
        <w:pStyle w:val="TableFooter"/>
        <w:keepNext/>
        <w:keepLines/>
        <w:ind w:firstLine="720"/>
      </w:pPr>
      <w:r w:rsidRPr="0036391F">
        <w:t>Source: constructed during the evaluation</w:t>
      </w:r>
    </w:p>
    <w:p w:rsidR="00275C5A" w:rsidRPr="0036391F" w:rsidRDefault="00275C5A" w:rsidP="00275C5A">
      <w:pPr>
        <w:widowControl/>
        <w:rPr>
          <w:szCs w:val="22"/>
        </w:rPr>
      </w:pPr>
    </w:p>
    <w:p w:rsidR="002D5C51" w:rsidRPr="0036391F" w:rsidRDefault="002D5C51" w:rsidP="002D5C51">
      <w:pPr>
        <w:pStyle w:val="ListParagraph"/>
        <w:widowControl/>
        <w:numPr>
          <w:ilvl w:val="1"/>
          <w:numId w:val="3"/>
        </w:numPr>
        <w:rPr>
          <w:szCs w:val="22"/>
        </w:rPr>
      </w:pPr>
      <w:r w:rsidRPr="0036391F">
        <w:rPr>
          <w:szCs w:val="22"/>
        </w:rPr>
        <w:t xml:space="preserve">The long time horizon leads to considerable uncertainty given the lack of an established link between flares and complications; with no data on the impact of adalimumab on ocular complications or consideration of long term adverse events. The submission argued that a long time horizon is necessary as the objective of uveitis treatment is to reduce irreversible vision loss; the benefits of which accrue over the patient’s remaining life expectancy. There is considerable uncertainty associated with modelled results over the lifetime time horizon. The duration of the model was tested in sensitivity analysis. </w:t>
      </w:r>
    </w:p>
    <w:p w:rsidR="002D5C51" w:rsidRPr="0036391F" w:rsidRDefault="002D5C51"/>
    <w:p w:rsidR="00E747A2" w:rsidRPr="0036391F" w:rsidRDefault="00E747A2" w:rsidP="00E747A2">
      <w:pPr>
        <w:pStyle w:val="ListParagraph"/>
        <w:widowControl/>
        <w:numPr>
          <w:ilvl w:val="1"/>
          <w:numId w:val="3"/>
        </w:numPr>
        <w:rPr>
          <w:szCs w:val="22"/>
        </w:rPr>
      </w:pPr>
      <w:r w:rsidRPr="0036391F">
        <w:rPr>
          <w:szCs w:val="22"/>
        </w:rPr>
        <w:t xml:space="preserve">The economic model does not distinguish between events (and their costs and consequences) affecting one eye and those affecting both eyes. </w:t>
      </w:r>
      <w:r w:rsidR="006C71B0" w:rsidRPr="0036391F">
        <w:rPr>
          <w:szCs w:val="22"/>
        </w:rPr>
        <w:t>The ESC considered that this was not a major concern given the treatment is systemic and the effects on the utilities used for ocular complications would be minimal.</w:t>
      </w:r>
    </w:p>
    <w:p w:rsidR="00E747A2" w:rsidRPr="0036391F" w:rsidRDefault="00E747A2"/>
    <w:p w:rsidR="00ED4379" w:rsidRPr="0056524A" w:rsidRDefault="00ED4379" w:rsidP="009924BB">
      <w:pPr>
        <w:pStyle w:val="ListParagraph"/>
        <w:widowControl/>
        <w:numPr>
          <w:ilvl w:val="1"/>
          <w:numId w:val="3"/>
        </w:numPr>
        <w:rPr>
          <w:szCs w:val="22"/>
        </w:rPr>
      </w:pPr>
      <w:r w:rsidRPr="0056524A">
        <w:rPr>
          <w:szCs w:val="22"/>
        </w:rPr>
        <w:t xml:space="preserve">The model structure simplified the disease pathway of uveitis. </w:t>
      </w:r>
      <w:r w:rsidRPr="0036391F">
        <w:t xml:space="preserve">The submission stated that many patients with </w:t>
      </w:r>
      <w:r w:rsidR="0096071E" w:rsidRPr="0036391F">
        <w:t xml:space="preserve">uveitis that is </w:t>
      </w:r>
      <w:r w:rsidRPr="0036391F">
        <w:t>non-infectious</w:t>
      </w:r>
      <w:r w:rsidR="00D77699" w:rsidRPr="0036391F">
        <w:t xml:space="preserve"> intermediate, posterior or </w:t>
      </w:r>
      <w:proofErr w:type="spellStart"/>
      <w:r w:rsidR="00D77699" w:rsidRPr="0036391F">
        <w:t>pan</w:t>
      </w:r>
      <w:r w:rsidRPr="0036391F">
        <w:t>uveitis</w:t>
      </w:r>
      <w:proofErr w:type="spellEnd"/>
      <w:r w:rsidRPr="0036391F">
        <w:t xml:space="preserve"> experience recurrent episodes of active flaring disease and it is these recurrent episodes of inflammation and the associated cumulative </w:t>
      </w:r>
      <w:r w:rsidR="00BB4F3E" w:rsidRPr="0036391F">
        <w:t>damage, which</w:t>
      </w:r>
      <w:r w:rsidRPr="0036391F">
        <w:t xml:space="preserve"> lead to serious </w:t>
      </w:r>
      <w:proofErr w:type="spellStart"/>
      <w:r w:rsidRPr="0036391F">
        <w:t>sequelae</w:t>
      </w:r>
      <w:proofErr w:type="spellEnd"/>
      <w:r w:rsidRPr="0036391F">
        <w:t xml:space="preserve">, including vision loss and blindness. However, the model </w:t>
      </w:r>
      <w:r w:rsidRPr="0036391F">
        <w:lastRenderedPageBreak/>
        <w:t xml:space="preserve">does not link active flares to longer-term ocular complications. </w:t>
      </w:r>
      <w:r w:rsidR="009924BB" w:rsidRPr="0036391F">
        <w:t xml:space="preserve">The probability of ocular complications is derived from a retrospective analysis of US insurance claims data (Dick et al, 2016). It is assumed that the adalimumab treatment effect from VISUAL I (HR=0.5 for risk of inflammatory flare) can be applied to the probability of ocular complications. </w:t>
      </w:r>
      <w:r w:rsidRPr="0036391F">
        <w:t xml:space="preserve">An individual </w:t>
      </w:r>
      <w:r w:rsidRPr="0056524A">
        <w:rPr>
          <w:szCs w:val="22"/>
        </w:rPr>
        <w:t>patient microsimulation model, linking accumulating damage from flares and subsequent ocular complications, may be more appropriate.</w:t>
      </w:r>
      <w:r w:rsidR="00EB7D1C" w:rsidRPr="0056524A">
        <w:rPr>
          <w:szCs w:val="22"/>
        </w:rPr>
        <w:t xml:space="preserve"> The ESC </w:t>
      </w:r>
      <w:r w:rsidR="00CD5B8F" w:rsidRPr="0056524A">
        <w:rPr>
          <w:szCs w:val="22"/>
        </w:rPr>
        <w:t>also</w:t>
      </w:r>
      <w:r w:rsidR="00EB7D1C" w:rsidRPr="0056524A">
        <w:rPr>
          <w:szCs w:val="22"/>
        </w:rPr>
        <w:t xml:space="preserve"> noted that that there was a missing link </w:t>
      </w:r>
      <w:r w:rsidR="000A316A" w:rsidRPr="0056524A">
        <w:rPr>
          <w:szCs w:val="22"/>
        </w:rPr>
        <w:t xml:space="preserve">between </w:t>
      </w:r>
      <w:r w:rsidR="0096071E" w:rsidRPr="0056524A">
        <w:rPr>
          <w:szCs w:val="22"/>
        </w:rPr>
        <w:t xml:space="preserve">how change in </w:t>
      </w:r>
      <w:r w:rsidR="000A316A" w:rsidRPr="0056524A">
        <w:rPr>
          <w:szCs w:val="22"/>
        </w:rPr>
        <w:t>inflammatory flar</w:t>
      </w:r>
      <w:r w:rsidR="00EB7D1C" w:rsidRPr="0056524A">
        <w:rPr>
          <w:szCs w:val="22"/>
        </w:rPr>
        <w:t xml:space="preserve">es </w:t>
      </w:r>
      <w:r w:rsidR="0096071E" w:rsidRPr="0056524A">
        <w:rPr>
          <w:szCs w:val="22"/>
        </w:rPr>
        <w:t>would change occurrences</w:t>
      </w:r>
      <w:r w:rsidR="00EB7D1C" w:rsidRPr="0056524A">
        <w:rPr>
          <w:szCs w:val="22"/>
        </w:rPr>
        <w:t xml:space="preserve"> </w:t>
      </w:r>
      <w:r w:rsidR="00CD5B8F" w:rsidRPr="0056524A">
        <w:rPr>
          <w:szCs w:val="22"/>
        </w:rPr>
        <w:t xml:space="preserve">of </w:t>
      </w:r>
      <w:r w:rsidR="00EB7D1C" w:rsidRPr="0056524A">
        <w:rPr>
          <w:szCs w:val="22"/>
        </w:rPr>
        <w:t>ocular complications.</w:t>
      </w:r>
      <w:r w:rsidR="000E6380">
        <w:rPr>
          <w:szCs w:val="22"/>
        </w:rPr>
        <w:t xml:space="preserve"> The pre-PBAC response (p3) argues that uveitis is a relatively rare condition and linking all the causal factors for complications and the </w:t>
      </w:r>
      <w:proofErr w:type="spellStart"/>
      <w:r w:rsidR="000E6380">
        <w:rPr>
          <w:szCs w:val="22"/>
        </w:rPr>
        <w:t>sequelae</w:t>
      </w:r>
      <w:proofErr w:type="spellEnd"/>
      <w:r w:rsidR="000E6380">
        <w:rPr>
          <w:szCs w:val="22"/>
        </w:rPr>
        <w:t xml:space="preserve"> of individual flares by severity, location and accumulation of damage is not possible.</w:t>
      </w:r>
      <w:r w:rsidR="00F0585D" w:rsidRPr="0056524A">
        <w:rPr>
          <w:szCs w:val="22"/>
        </w:rPr>
        <w:t xml:space="preserve"> </w:t>
      </w:r>
      <w:r w:rsidR="003923AB" w:rsidRPr="0056524A">
        <w:rPr>
          <w:szCs w:val="22"/>
        </w:rPr>
        <w:t>The PBAC noted that flares and adverse events were not included in the model</w:t>
      </w:r>
      <w:r w:rsidR="00105B44">
        <w:rPr>
          <w:szCs w:val="22"/>
        </w:rPr>
        <w:t xml:space="preserve"> and long term benefits could not be determined</w:t>
      </w:r>
      <w:r w:rsidR="0056524A">
        <w:rPr>
          <w:szCs w:val="22"/>
        </w:rPr>
        <w:t xml:space="preserve">. </w:t>
      </w:r>
      <w:r w:rsidR="003923AB" w:rsidRPr="0056524A">
        <w:rPr>
          <w:szCs w:val="22"/>
        </w:rPr>
        <w:t xml:space="preserve"> </w:t>
      </w:r>
      <w:r w:rsidR="00F0585D" w:rsidRPr="0056524A">
        <w:rPr>
          <w:szCs w:val="22"/>
        </w:rPr>
        <w:t xml:space="preserve">The PBAC considered that </w:t>
      </w:r>
      <w:r w:rsidR="0056524A">
        <w:rPr>
          <w:szCs w:val="22"/>
        </w:rPr>
        <w:t xml:space="preserve">this made </w:t>
      </w:r>
      <w:r w:rsidR="00F96315">
        <w:rPr>
          <w:szCs w:val="22"/>
        </w:rPr>
        <w:t xml:space="preserve">the </w:t>
      </w:r>
      <w:r w:rsidR="00F0585D" w:rsidRPr="0056524A">
        <w:rPr>
          <w:szCs w:val="22"/>
        </w:rPr>
        <w:t xml:space="preserve">cost effectiveness </w:t>
      </w:r>
      <w:r w:rsidR="007203F0">
        <w:rPr>
          <w:szCs w:val="22"/>
        </w:rPr>
        <w:t xml:space="preserve">analysis </w:t>
      </w:r>
      <w:r w:rsidR="007D2CCE" w:rsidRPr="0056524A">
        <w:rPr>
          <w:szCs w:val="22"/>
        </w:rPr>
        <w:t>of the treatment</w:t>
      </w:r>
      <w:r w:rsidR="00F96315">
        <w:rPr>
          <w:szCs w:val="22"/>
        </w:rPr>
        <w:t xml:space="preserve"> unreliable</w:t>
      </w:r>
      <w:r w:rsidR="007D2CCE" w:rsidRPr="0056524A">
        <w:rPr>
          <w:szCs w:val="22"/>
        </w:rPr>
        <w:t>.</w:t>
      </w:r>
    </w:p>
    <w:p w:rsidR="00ED4379" w:rsidRPr="0036391F" w:rsidRDefault="00ED4379" w:rsidP="00ED4379">
      <w:pPr>
        <w:pStyle w:val="ListParagraph"/>
        <w:widowControl/>
        <w:rPr>
          <w:szCs w:val="22"/>
        </w:rPr>
      </w:pPr>
    </w:p>
    <w:p w:rsidR="006D48DE" w:rsidRPr="00715E68" w:rsidRDefault="00715E68" w:rsidP="00556640">
      <w:pPr>
        <w:widowControl/>
        <w:numPr>
          <w:ilvl w:val="1"/>
          <w:numId w:val="3"/>
        </w:numPr>
        <w:rPr>
          <w:szCs w:val="22"/>
        </w:rPr>
      </w:pPr>
      <w:r w:rsidRPr="00715E68">
        <w:rPr>
          <w:bCs/>
          <w:lang w:val="en-GB"/>
        </w:rPr>
        <w:t xml:space="preserve">The PBAC considered the model presented in the submission was not reliable for decision making given the overestimation of the treatment effect and other structural issues. </w:t>
      </w:r>
      <w:r w:rsidR="006D48DE" w:rsidRPr="00715E68">
        <w:rPr>
          <w:szCs w:val="22"/>
        </w:rPr>
        <w:t>Key issues with the economic model are summarised in the table below.</w:t>
      </w:r>
    </w:p>
    <w:p w:rsidR="00EB3683" w:rsidRPr="0036391F" w:rsidRDefault="00EB3683">
      <w:pPr>
        <w:widowControl/>
        <w:jc w:val="left"/>
        <w:rPr>
          <w:rStyle w:val="CommentReference"/>
        </w:rPr>
      </w:pPr>
    </w:p>
    <w:p w:rsidR="00D110BD" w:rsidRPr="0036391F" w:rsidRDefault="00D110BD" w:rsidP="005D044D">
      <w:pPr>
        <w:ind w:firstLine="720"/>
        <w:rPr>
          <w:rStyle w:val="CommentReference"/>
        </w:rPr>
      </w:pPr>
      <w:r w:rsidRPr="0036391F">
        <w:rPr>
          <w:rStyle w:val="CommentReference"/>
        </w:rPr>
        <w:t xml:space="preserve">Table </w:t>
      </w:r>
      <w:r w:rsidR="00342982" w:rsidRPr="0036391F">
        <w:rPr>
          <w:rStyle w:val="CommentReference"/>
        </w:rPr>
        <w:t>7</w:t>
      </w:r>
      <w:r w:rsidRPr="0036391F">
        <w:rPr>
          <w:rStyle w:val="CommentReference"/>
        </w:rPr>
        <w:t xml:space="preserve">: Key </w:t>
      </w:r>
      <w:r w:rsidR="007E1B53" w:rsidRPr="0036391F">
        <w:rPr>
          <w:rStyle w:val="CommentReference"/>
        </w:rPr>
        <w:t>issues with</w:t>
      </w:r>
      <w:r w:rsidRPr="0036391F">
        <w:rPr>
          <w:rStyle w:val="CommentReference"/>
        </w:rPr>
        <w:t xml:space="preserve">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8"/>
        <w:gridCol w:w="5125"/>
        <w:gridCol w:w="1682"/>
      </w:tblGrid>
      <w:tr w:rsidR="007E1B53" w:rsidRPr="0036391F" w:rsidTr="00662B27">
        <w:trPr>
          <w:tblHeader/>
        </w:trPr>
        <w:tc>
          <w:tcPr>
            <w:tcW w:w="921" w:type="pct"/>
            <w:shd w:val="clear" w:color="auto" w:fill="auto"/>
            <w:vAlign w:val="center"/>
          </w:tcPr>
          <w:p w:rsidR="007E1B53" w:rsidRPr="0036391F" w:rsidRDefault="007E1B53" w:rsidP="006D48DE">
            <w:pPr>
              <w:jc w:val="left"/>
              <w:rPr>
                <w:rFonts w:ascii="Arial Narrow" w:hAnsi="Arial Narrow"/>
                <w:b/>
                <w:sz w:val="20"/>
                <w:lang w:val="en-US"/>
              </w:rPr>
            </w:pPr>
            <w:r w:rsidRPr="0036391F">
              <w:rPr>
                <w:rFonts w:ascii="Arial Narrow" w:hAnsi="Arial Narrow"/>
                <w:b/>
                <w:sz w:val="20"/>
                <w:lang w:val="en-US"/>
              </w:rPr>
              <w:t>Description</w:t>
            </w:r>
          </w:p>
        </w:tc>
        <w:tc>
          <w:tcPr>
            <w:tcW w:w="3071" w:type="pct"/>
            <w:shd w:val="clear" w:color="auto" w:fill="auto"/>
            <w:vAlign w:val="center"/>
          </w:tcPr>
          <w:p w:rsidR="007E1B53" w:rsidRPr="0036391F" w:rsidRDefault="007E1B53" w:rsidP="006D48DE">
            <w:pPr>
              <w:jc w:val="center"/>
              <w:rPr>
                <w:rFonts w:ascii="Arial Narrow" w:hAnsi="Arial Narrow"/>
                <w:b/>
                <w:sz w:val="20"/>
                <w:lang w:val="en-US"/>
              </w:rPr>
            </w:pPr>
            <w:r w:rsidRPr="0036391F">
              <w:rPr>
                <w:rFonts w:ascii="Arial Narrow" w:hAnsi="Arial Narrow"/>
                <w:b/>
                <w:sz w:val="20"/>
                <w:lang w:val="en-US"/>
              </w:rPr>
              <w:t>Method/Value</w:t>
            </w:r>
          </w:p>
        </w:tc>
        <w:tc>
          <w:tcPr>
            <w:tcW w:w="1008" w:type="pct"/>
            <w:shd w:val="clear" w:color="auto" w:fill="auto"/>
            <w:vAlign w:val="center"/>
          </w:tcPr>
          <w:p w:rsidR="007E1B53" w:rsidRPr="0036391F" w:rsidRDefault="007E1B53" w:rsidP="006D48DE">
            <w:pPr>
              <w:jc w:val="center"/>
              <w:rPr>
                <w:rFonts w:ascii="Arial Narrow" w:hAnsi="Arial Narrow"/>
                <w:b/>
                <w:sz w:val="20"/>
                <w:lang w:val="en-US"/>
              </w:rPr>
            </w:pPr>
            <w:r w:rsidRPr="0036391F">
              <w:rPr>
                <w:rFonts w:ascii="Arial Narrow" w:hAnsi="Arial Narrow"/>
                <w:b/>
                <w:sz w:val="20"/>
                <w:lang w:val="en-US"/>
              </w:rPr>
              <w:t>Impact</w:t>
            </w:r>
          </w:p>
        </w:tc>
      </w:tr>
      <w:tr w:rsidR="007E1B53" w:rsidRPr="0036391F" w:rsidTr="00662B27">
        <w:tc>
          <w:tcPr>
            <w:tcW w:w="921" w:type="pct"/>
            <w:shd w:val="clear" w:color="auto" w:fill="auto"/>
            <w:vAlign w:val="center"/>
          </w:tcPr>
          <w:p w:rsidR="007E1B53" w:rsidRPr="0036391F" w:rsidRDefault="007E1B53" w:rsidP="006D48DE">
            <w:pPr>
              <w:jc w:val="left"/>
              <w:rPr>
                <w:rFonts w:ascii="Arial Narrow" w:hAnsi="Arial Narrow"/>
                <w:sz w:val="20"/>
                <w:lang w:val="en-US"/>
              </w:rPr>
            </w:pPr>
            <w:proofErr w:type="spellStart"/>
            <w:r w:rsidRPr="0036391F">
              <w:rPr>
                <w:rFonts w:ascii="Arial Narrow" w:hAnsi="Arial Narrow"/>
                <w:sz w:val="20"/>
                <w:lang w:val="en-US"/>
              </w:rPr>
              <w:t>Adalimumab</w:t>
            </w:r>
            <w:proofErr w:type="spellEnd"/>
            <w:r w:rsidRPr="0036391F">
              <w:rPr>
                <w:rFonts w:ascii="Arial Narrow" w:hAnsi="Arial Narrow"/>
                <w:sz w:val="20"/>
                <w:lang w:val="en-US"/>
              </w:rPr>
              <w:t xml:space="preserve"> treatment efficacy</w:t>
            </w:r>
          </w:p>
        </w:tc>
        <w:tc>
          <w:tcPr>
            <w:tcW w:w="3071" w:type="pct"/>
            <w:shd w:val="clear" w:color="auto" w:fill="auto"/>
            <w:vAlign w:val="center"/>
          </w:tcPr>
          <w:p w:rsidR="007E1B53" w:rsidRPr="0036391F" w:rsidRDefault="007E1B53" w:rsidP="006D48DE">
            <w:pPr>
              <w:jc w:val="left"/>
              <w:rPr>
                <w:rFonts w:ascii="Arial Narrow" w:hAnsi="Arial Narrow"/>
                <w:sz w:val="20"/>
                <w:lang w:val="en-US"/>
              </w:rPr>
            </w:pPr>
            <w:r w:rsidRPr="0036391F">
              <w:rPr>
                <w:rFonts w:ascii="Arial Narrow" w:hAnsi="Arial Narrow"/>
                <w:sz w:val="20"/>
                <w:lang w:val="en-US"/>
              </w:rPr>
              <w:t xml:space="preserve">The treatment effect for </w:t>
            </w:r>
            <w:proofErr w:type="spellStart"/>
            <w:r w:rsidRPr="0036391F">
              <w:rPr>
                <w:rFonts w:ascii="Arial Narrow" w:hAnsi="Arial Narrow"/>
                <w:sz w:val="20"/>
                <w:lang w:val="en-US"/>
              </w:rPr>
              <w:t>adalimumab</w:t>
            </w:r>
            <w:proofErr w:type="spellEnd"/>
            <w:r w:rsidRPr="0036391F">
              <w:rPr>
                <w:rFonts w:ascii="Arial Narrow" w:hAnsi="Arial Narrow"/>
                <w:sz w:val="20"/>
                <w:lang w:val="en-US"/>
              </w:rPr>
              <w:t xml:space="preserve"> was based on the time- to-treatment failure in the VISUAL I trial. This overestimate</w:t>
            </w:r>
            <w:r w:rsidR="00DF09FA" w:rsidRPr="0036391F">
              <w:rPr>
                <w:rFonts w:ascii="Arial Narrow" w:hAnsi="Arial Narrow"/>
                <w:sz w:val="20"/>
                <w:lang w:val="en-US"/>
              </w:rPr>
              <w:t>s</w:t>
            </w:r>
            <w:r w:rsidRPr="0036391F">
              <w:rPr>
                <w:rFonts w:ascii="Arial Narrow" w:hAnsi="Arial Narrow"/>
                <w:sz w:val="20"/>
                <w:lang w:val="en-US"/>
              </w:rPr>
              <w:t xml:space="preserve"> the relative treatment efficacy of </w:t>
            </w:r>
            <w:proofErr w:type="spellStart"/>
            <w:r w:rsidRPr="0036391F">
              <w:rPr>
                <w:rFonts w:ascii="Arial Narrow" w:hAnsi="Arial Narrow"/>
                <w:sz w:val="20"/>
                <w:lang w:val="en-US"/>
              </w:rPr>
              <w:t>adalimumab</w:t>
            </w:r>
            <w:proofErr w:type="spellEnd"/>
            <w:r w:rsidRPr="0036391F">
              <w:rPr>
                <w:rFonts w:ascii="Arial Narrow" w:hAnsi="Arial Narrow"/>
                <w:sz w:val="20"/>
                <w:lang w:val="en-US"/>
              </w:rPr>
              <w:t xml:space="preserve"> compared to placebo due to inadequate background therapy (rapid, forced corticosteroid taper). </w:t>
            </w:r>
          </w:p>
          <w:p w:rsidR="007E1B53" w:rsidRPr="0036391F" w:rsidRDefault="007E1B53" w:rsidP="006D48DE">
            <w:pPr>
              <w:jc w:val="left"/>
              <w:rPr>
                <w:rFonts w:ascii="Arial Narrow" w:hAnsi="Arial Narrow"/>
                <w:sz w:val="20"/>
                <w:lang w:val="en-US"/>
              </w:rPr>
            </w:pPr>
            <w:r w:rsidRPr="0036391F">
              <w:rPr>
                <w:rFonts w:ascii="Arial Narrow" w:hAnsi="Arial Narrow"/>
                <w:sz w:val="20"/>
                <w:lang w:val="en-US"/>
              </w:rPr>
              <w:t xml:space="preserve">The submission assumed a 1:1 relationship between the reduction in the time to treatment failure (HR 0.50; VISUAL </w:t>
            </w:r>
            <w:r w:rsidR="008148A5" w:rsidRPr="0036391F">
              <w:rPr>
                <w:rFonts w:ascii="Arial Narrow" w:hAnsi="Arial Narrow"/>
                <w:sz w:val="20"/>
                <w:lang w:val="en-US"/>
              </w:rPr>
              <w:t>I</w:t>
            </w:r>
            <w:r w:rsidRPr="0036391F">
              <w:rPr>
                <w:rFonts w:ascii="Arial Narrow" w:hAnsi="Arial Narrow"/>
                <w:sz w:val="20"/>
                <w:lang w:val="en-US"/>
              </w:rPr>
              <w:t xml:space="preserve"> trial) and the reduction in the risk of ocular complications (RR </w:t>
            </w:r>
            <w:r w:rsidR="000E36E2">
              <w:rPr>
                <w:rFonts w:ascii="Arial Narrow" w:hAnsi="Arial Narrow"/>
                <w:noProof/>
                <w:color w:val="000000"/>
                <w:sz w:val="20"/>
                <w:highlight w:val="black"/>
                <w:lang w:val="en-US"/>
              </w:rPr>
              <w:t>''''''''''</w:t>
            </w:r>
            <w:r w:rsidRPr="0036391F">
              <w:rPr>
                <w:rFonts w:ascii="Arial Narrow" w:hAnsi="Arial Narrow"/>
                <w:sz w:val="20"/>
                <w:lang w:val="en-US"/>
              </w:rPr>
              <w:t xml:space="preserve">). There </w:t>
            </w:r>
            <w:r w:rsidR="008148A5" w:rsidRPr="0036391F">
              <w:rPr>
                <w:rFonts w:ascii="Arial Narrow" w:hAnsi="Arial Narrow"/>
                <w:sz w:val="20"/>
                <w:lang w:val="en-US"/>
              </w:rPr>
              <w:t>are</w:t>
            </w:r>
            <w:r w:rsidRPr="0036391F">
              <w:rPr>
                <w:rFonts w:ascii="Arial Narrow" w:hAnsi="Arial Narrow"/>
                <w:sz w:val="20"/>
                <w:lang w:val="en-US"/>
              </w:rPr>
              <w:t xml:space="preserve"> no clinical data to support this claim.</w:t>
            </w:r>
          </w:p>
          <w:p w:rsidR="007E1B53" w:rsidRPr="0036391F" w:rsidRDefault="007E1B53" w:rsidP="006D48DE">
            <w:pPr>
              <w:jc w:val="left"/>
              <w:rPr>
                <w:rFonts w:ascii="Arial Narrow" w:hAnsi="Arial Narrow"/>
                <w:sz w:val="20"/>
                <w:lang w:val="en-US"/>
              </w:rPr>
            </w:pPr>
          </w:p>
          <w:p w:rsidR="007E1B53" w:rsidRPr="0036391F" w:rsidRDefault="007E1B53" w:rsidP="006D48DE">
            <w:pPr>
              <w:jc w:val="left"/>
              <w:rPr>
                <w:rFonts w:ascii="Arial Narrow" w:hAnsi="Arial Narrow"/>
                <w:sz w:val="20"/>
                <w:lang w:val="en-US"/>
              </w:rPr>
            </w:pPr>
            <w:r w:rsidRPr="0036391F">
              <w:rPr>
                <w:rFonts w:ascii="Arial Narrow" w:hAnsi="Arial Narrow"/>
                <w:sz w:val="20"/>
                <w:lang w:val="en-US"/>
              </w:rPr>
              <w:t xml:space="preserve">The submission applied the treatment effect of </w:t>
            </w:r>
            <w:proofErr w:type="spellStart"/>
            <w:r w:rsidRPr="0036391F">
              <w:rPr>
                <w:rFonts w:ascii="Arial Narrow" w:hAnsi="Arial Narrow"/>
                <w:sz w:val="20"/>
                <w:lang w:val="en-US"/>
              </w:rPr>
              <w:t>adalimumab</w:t>
            </w:r>
            <w:proofErr w:type="spellEnd"/>
            <w:r w:rsidRPr="0036391F">
              <w:rPr>
                <w:rFonts w:ascii="Arial Narrow" w:hAnsi="Arial Narrow"/>
                <w:sz w:val="20"/>
                <w:lang w:val="en-US"/>
              </w:rPr>
              <w:t xml:space="preserve"> to the underlying risk of ocular complications in persistent uveitis patients (Dick et al 2016). The use of unadjusted probabilities from persistent uveitis cases was inappropriate as it does not account for the </w:t>
            </w:r>
            <w:proofErr w:type="gramStart"/>
            <w:r w:rsidRPr="0036391F">
              <w:rPr>
                <w:rFonts w:ascii="Arial Narrow" w:hAnsi="Arial Narrow"/>
                <w:sz w:val="20"/>
                <w:lang w:val="en-US"/>
              </w:rPr>
              <w:t>attributable</w:t>
            </w:r>
            <w:proofErr w:type="gramEnd"/>
            <w:r w:rsidRPr="0036391F">
              <w:rPr>
                <w:rFonts w:ascii="Arial Narrow" w:hAnsi="Arial Narrow"/>
                <w:sz w:val="20"/>
                <w:lang w:val="en-US"/>
              </w:rPr>
              <w:t xml:space="preserve"> risk due to uveitis and will overestimate the impact of treatment</w:t>
            </w:r>
            <w:r w:rsidR="00BB4F3E" w:rsidRPr="0036391F">
              <w:rPr>
                <w:rFonts w:ascii="Arial Narrow" w:hAnsi="Arial Narrow"/>
                <w:sz w:val="20"/>
                <w:lang w:val="en-US"/>
              </w:rPr>
              <w:t>.</w:t>
            </w:r>
          </w:p>
        </w:tc>
        <w:tc>
          <w:tcPr>
            <w:tcW w:w="1008" w:type="pct"/>
            <w:shd w:val="clear" w:color="auto" w:fill="auto"/>
            <w:vAlign w:val="center"/>
          </w:tcPr>
          <w:p w:rsidR="007E1B53" w:rsidRPr="0036391F" w:rsidRDefault="007E1B53" w:rsidP="006D48DE">
            <w:pPr>
              <w:jc w:val="center"/>
              <w:rPr>
                <w:rFonts w:ascii="Arial Narrow" w:hAnsi="Arial Narrow"/>
                <w:sz w:val="20"/>
                <w:lang w:val="en-US"/>
              </w:rPr>
            </w:pPr>
            <w:r w:rsidRPr="0036391F">
              <w:rPr>
                <w:rFonts w:ascii="Arial Narrow" w:hAnsi="Arial Narrow"/>
                <w:sz w:val="20"/>
                <w:lang w:val="en-US"/>
              </w:rPr>
              <w:t xml:space="preserve">Very High, </w:t>
            </w:r>
          </w:p>
          <w:p w:rsidR="007E1B53" w:rsidRPr="0036391F" w:rsidRDefault="007E1B53" w:rsidP="006D48DE">
            <w:pPr>
              <w:jc w:val="center"/>
              <w:rPr>
                <w:rFonts w:ascii="Arial Narrow" w:hAnsi="Arial Narrow"/>
                <w:sz w:val="20"/>
                <w:lang w:val="en-US"/>
              </w:rPr>
            </w:pPr>
            <w:proofErr w:type="spellStart"/>
            <w:r w:rsidRPr="0036391F">
              <w:rPr>
                <w:rFonts w:ascii="Arial Narrow" w:hAnsi="Arial Narrow"/>
                <w:sz w:val="20"/>
                <w:lang w:val="en-US"/>
              </w:rPr>
              <w:t>favours</w:t>
            </w:r>
            <w:proofErr w:type="spellEnd"/>
            <w:r w:rsidRPr="0036391F">
              <w:rPr>
                <w:rFonts w:ascii="Arial Narrow" w:hAnsi="Arial Narrow"/>
                <w:sz w:val="20"/>
                <w:lang w:val="en-US"/>
              </w:rPr>
              <w:t xml:space="preserve"> </w:t>
            </w:r>
            <w:proofErr w:type="spellStart"/>
            <w:r w:rsidRPr="0036391F">
              <w:rPr>
                <w:rFonts w:ascii="Arial Narrow" w:hAnsi="Arial Narrow"/>
                <w:sz w:val="20"/>
                <w:lang w:val="en-US"/>
              </w:rPr>
              <w:t>adalimumab</w:t>
            </w:r>
            <w:proofErr w:type="spellEnd"/>
          </w:p>
        </w:tc>
      </w:tr>
      <w:tr w:rsidR="007E1B53" w:rsidRPr="0036391F" w:rsidTr="00662B27">
        <w:tc>
          <w:tcPr>
            <w:tcW w:w="921" w:type="pct"/>
            <w:shd w:val="clear" w:color="auto" w:fill="auto"/>
            <w:vAlign w:val="center"/>
          </w:tcPr>
          <w:p w:rsidR="007E1B53" w:rsidRPr="0036391F" w:rsidRDefault="007E1B53" w:rsidP="006D48DE">
            <w:pPr>
              <w:jc w:val="left"/>
              <w:rPr>
                <w:rFonts w:ascii="Arial Narrow" w:hAnsi="Arial Narrow"/>
                <w:sz w:val="20"/>
                <w:lang w:val="en-US"/>
              </w:rPr>
            </w:pPr>
            <w:proofErr w:type="spellStart"/>
            <w:r w:rsidRPr="0036391F">
              <w:rPr>
                <w:rFonts w:ascii="Arial Narrow" w:hAnsi="Arial Narrow"/>
                <w:sz w:val="20"/>
                <w:lang w:val="en-US"/>
              </w:rPr>
              <w:t>Adalimumab</w:t>
            </w:r>
            <w:proofErr w:type="spellEnd"/>
            <w:r w:rsidRPr="0036391F">
              <w:rPr>
                <w:rFonts w:ascii="Arial Narrow" w:hAnsi="Arial Narrow"/>
                <w:sz w:val="20"/>
                <w:lang w:val="en-US"/>
              </w:rPr>
              <w:t xml:space="preserve"> and corticosteroid safety</w:t>
            </w:r>
          </w:p>
        </w:tc>
        <w:tc>
          <w:tcPr>
            <w:tcW w:w="3071" w:type="pct"/>
            <w:shd w:val="clear" w:color="auto" w:fill="auto"/>
            <w:vAlign w:val="center"/>
          </w:tcPr>
          <w:p w:rsidR="007E1B53" w:rsidRPr="0036391F" w:rsidRDefault="007E1B53" w:rsidP="006D48DE">
            <w:pPr>
              <w:jc w:val="left"/>
              <w:rPr>
                <w:rFonts w:ascii="Arial Narrow" w:hAnsi="Arial Narrow"/>
                <w:sz w:val="20"/>
                <w:lang w:val="en-US"/>
              </w:rPr>
            </w:pPr>
            <w:r w:rsidRPr="0036391F">
              <w:rPr>
                <w:rFonts w:ascii="Arial Narrow" w:hAnsi="Arial Narrow"/>
                <w:sz w:val="20"/>
                <w:lang w:val="en-US"/>
              </w:rPr>
              <w:t>The model assumes intermittent use of corticosteroids (at start of model and following ocular complication). This was inconsistent with many of the inputs to the model which were based on long-term treatment with corticosteroids</w:t>
            </w:r>
            <w:r w:rsidR="00BB4F3E" w:rsidRPr="0036391F">
              <w:rPr>
                <w:rFonts w:ascii="Arial Narrow" w:hAnsi="Arial Narrow"/>
                <w:sz w:val="20"/>
                <w:lang w:val="en-US"/>
              </w:rPr>
              <w:t>.</w:t>
            </w:r>
          </w:p>
          <w:p w:rsidR="007E1B53" w:rsidRPr="0036391F" w:rsidRDefault="007E1B53" w:rsidP="006D48DE">
            <w:pPr>
              <w:jc w:val="left"/>
              <w:rPr>
                <w:rFonts w:ascii="Arial Narrow" w:hAnsi="Arial Narrow"/>
                <w:sz w:val="20"/>
                <w:lang w:val="en-US"/>
              </w:rPr>
            </w:pPr>
          </w:p>
          <w:p w:rsidR="007E1B53" w:rsidRPr="0036391F" w:rsidRDefault="007E1B53" w:rsidP="006D48DE">
            <w:pPr>
              <w:jc w:val="left"/>
              <w:rPr>
                <w:rFonts w:ascii="Arial Narrow" w:hAnsi="Arial Narrow"/>
                <w:sz w:val="20"/>
                <w:lang w:val="en-US"/>
              </w:rPr>
            </w:pPr>
            <w:r w:rsidRPr="0036391F">
              <w:rPr>
                <w:rFonts w:ascii="Arial Narrow" w:hAnsi="Arial Narrow"/>
                <w:sz w:val="20"/>
                <w:lang w:val="en-US"/>
              </w:rPr>
              <w:t xml:space="preserve">The model does not account for the long-term adverse effects associated with </w:t>
            </w:r>
            <w:proofErr w:type="spellStart"/>
            <w:r w:rsidRPr="0036391F">
              <w:rPr>
                <w:rFonts w:ascii="Arial Narrow" w:hAnsi="Arial Narrow"/>
                <w:sz w:val="20"/>
                <w:lang w:val="en-US"/>
              </w:rPr>
              <w:t>adalimumab</w:t>
            </w:r>
            <w:proofErr w:type="spellEnd"/>
            <w:r w:rsidR="00BB4F3E" w:rsidRPr="0036391F">
              <w:rPr>
                <w:rFonts w:ascii="Arial Narrow" w:hAnsi="Arial Narrow"/>
                <w:sz w:val="20"/>
                <w:lang w:val="en-US"/>
              </w:rPr>
              <w:t>.</w:t>
            </w:r>
          </w:p>
        </w:tc>
        <w:tc>
          <w:tcPr>
            <w:tcW w:w="1008" w:type="pct"/>
            <w:shd w:val="clear" w:color="auto" w:fill="auto"/>
            <w:vAlign w:val="center"/>
          </w:tcPr>
          <w:p w:rsidR="007E1B53" w:rsidRPr="0036391F" w:rsidRDefault="007E1B53" w:rsidP="006D48DE">
            <w:pPr>
              <w:jc w:val="center"/>
              <w:rPr>
                <w:rFonts w:ascii="Arial Narrow" w:hAnsi="Arial Narrow"/>
                <w:sz w:val="20"/>
                <w:lang w:val="en-US"/>
              </w:rPr>
            </w:pPr>
            <w:r w:rsidRPr="0036391F">
              <w:rPr>
                <w:rFonts w:ascii="Arial Narrow" w:hAnsi="Arial Narrow"/>
                <w:sz w:val="20"/>
                <w:lang w:val="en-US"/>
              </w:rPr>
              <w:t>Uncertain,</w:t>
            </w:r>
          </w:p>
          <w:p w:rsidR="007E1B53" w:rsidRPr="0036391F" w:rsidRDefault="007E1B53" w:rsidP="006D48DE">
            <w:pPr>
              <w:jc w:val="center"/>
              <w:rPr>
                <w:rFonts w:ascii="Arial Narrow" w:hAnsi="Arial Narrow"/>
                <w:sz w:val="20"/>
                <w:lang w:val="en-US"/>
              </w:rPr>
            </w:pPr>
            <w:proofErr w:type="spellStart"/>
            <w:r w:rsidRPr="0036391F">
              <w:rPr>
                <w:rFonts w:ascii="Arial Narrow" w:hAnsi="Arial Narrow"/>
                <w:sz w:val="20"/>
                <w:lang w:val="en-US"/>
              </w:rPr>
              <w:t>favours</w:t>
            </w:r>
            <w:proofErr w:type="spellEnd"/>
            <w:r w:rsidRPr="0036391F">
              <w:rPr>
                <w:rFonts w:ascii="Arial Narrow" w:hAnsi="Arial Narrow"/>
                <w:sz w:val="20"/>
                <w:lang w:val="en-US"/>
              </w:rPr>
              <w:t xml:space="preserve"> </w:t>
            </w:r>
            <w:proofErr w:type="spellStart"/>
            <w:r w:rsidRPr="0036391F">
              <w:rPr>
                <w:rFonts w:ascii="Arial Narrow" w:hAnsi="Arial Narrow"/>
                <w:sz w:val="20"/>
                <w:lang w:val="en-US"/>
              </w:rPr>
              <w:t>adalimumab</w:t>
            </w:r>
            <w:proofErr w:type="spellEnd"/>
          </w:p>
        </w:tc>
      </w:tr>
      <w:tr w:rsidR="007E1B53" w:rsidRPr="0036391F" w:rsidTr="00662B27">
        <w:tc>
          <w:tcPr>
            <w:tcW w:w="921" w:type="pct"/>
            <w:shd w:val="clear" w:color="auto" w:fill="auto"/>
            <w:vAlign w:val="center"/>
          </w:tcPr>
          <w:p w:rsidR="007E1B53" w:rsidRPr="0036391F" w:rsidRDefault="007E1B53" w:rsidP="006D48DE">
            <w:pPr>
              <w:jc w:val="left"/>
              <w:rPr>
                <w:rFonts w:ascii="Arial Narrow" w:hAnsi="Arial Narrow"/>
                <w:sz w:val="20"/>
                <w:lang w:val="en-US"/>
              </w:rPr>
            </w:pPr>
            <w:proofErr w:type="spellStart"/>
            <w:r w:rsidRPr="0036391F">
              <w:rPr>
                <w:rFonts w:ascii="Arial Narrow" w:hAnsi="Arial Narrow"/>
                <w:sz w:val="20"/>
                <w:lang w:val="en-US"/>
              </w:rPr>
              <w:t>Adalimumab</w:t>
            </w:r>
            <w:proofErr w:type="spellEnd"/>
            <w:r w:rsidRPr="0036391F">
              <w:rPr>
                <w:rFonts w:ascii="Arial Narrow" w:hAnsi="Arial Narrow"/>
                <w:sz w:val="20"/>
                <w:lang w:val="en-US"/>
              </w:rPr>
              <w:t xml:space="preserve"> treatment duration</w:t>
            </w:r>
          </w:p>
        </w:tc>
        <w:tc>
          <w:tcPr>
            <w:tcW w:w="3071" w:type="pct"/>
            <w:shd w:val="clear" w:color="auto" w:fill="auto"/>
            <w:vAlign w:val="center"/>
          </w:tcPr>
          <w:p w:rsidR="007E1B53" w:rsidRPr="0036391F" w:rsidRDefault="007E1B53" w:rsidP="00BB4F3E">
            <w:pPr>
              <w:jc w:val="left"/>
              <w:rPr>
                <w:rFonts w:ascii="Arial Narrow" w:hAnsi="Arial Narrow"/>
                <w:sz w:val="20"/>
                <w:lang w:val="en-US"/>
              </w:rPr>
            </w:pPr>
            <w:r w:rsidRPr="0036391F">
              <w:rPr>
                <w:rFonts w:ascii="Arial Narrow" w:hAnsi="Arial Narrow"/>
                <w:sz w:val="20"/>
                <w:lang w:val="en-US"/>
              </w:rPr>
              <w:t xml:space="preserve">The submission estimated the expected duration of </w:t>
            </w:r>
            <w:proofErr w:type="spellStart"/>
            <w:r w:rsidRPr="0036391F">
              <w:rPr>
                <w:rFonts w:ascii="Arial Narrow" w:hAnsi="Arial Narrow"/>
                <w:sz w:val="20"/>
                <w:lang w:val="en-US"/>
              </w:rPr>
              <w:t>adalimum</w:t>
            </w:r>
            <w:r w:rsidR="00BB4F3E" w:rsidRPr="0036391F">
              <w:rPr>
                <w:rFonts w:ascii="Arial Narrow" w:hAnsi="Arial Narrow"/>
                <w:sz w:val="20"/>
                <w:lang w:val="en-US"/>
              </w:rPr>
              <w:t>a</w:t>
            </w:r>
            <w:r w:rsidRPr="0036391F">
              <w:rPr>
                <w:rFonts w:ascii="Arial Narrow" w:hAnsi="Arial Narrow"/>
                <w:sz w:val="20"/>
                <w:lang w:val="en-US"/>
              </w:rPr>
              <w:t>b</w:t>
            </w:r>
            <w:proofErr w:type="spellEnd"/>
            <w:r w:rsidRPr="0036391F">
              <w:rPr>
                <w:rFonts w:ascii="Arial Narrow" w:hAnsi="Arial Narrow"/>
                <w:sz w:val="20"/>
                <w:lang w:val="en-US"/>
              </w:rPr>
              <w:t xml:space="preserve"> therapy based on the proportion of uveitis patients that remain at risk of ocular complications and therefore require treatment (Dick et al 2016). Ocular complications are potential downstream effects of uve</w:t>
            </w:r>
            <w:r w:rsidR="00BB4F3E" w:rsidRPr="0036391F">
              <w:rPr>
                <w:rFonts w:ascii="Arial Narrow" w:hAnsi="Arial Narrow"/>
                <w:sz w:val="20"/>
                <w:lang w:val="en-US"/>
              </w:rPr>
              <w:t>i</w:t>
            </w:r>
            <w:r w:rsidRPr="0036391F">
              <w:rPr>
                <w:rFonts w:ascii="Arial Narrow" w:hAnsi="Arial Narrow"/>
                <w:sz w:val="20"/>
                <w:lang w:val="en-US"/>
              </w:rPr>
              <w:t xml:space="preserve">tis and are therefore of limited relevance in </w:t>
            </w:r>
            <w:r w:rsidR="00BB4F3E" w:rsidRPr="0036391F">
              <w:rPr>
                <w:rFonts w:ascii="Arial Narrow" w:hAnsi="Arial Narrow"/>
                <w:sz w:val="20"/>
                <w:lang w:val="en-US"/>
              </w:rPr>
              <w:t>determining</w:t>
            </w:r>
            <w:r w:rsidRPr="0036391F">
              <w:rPr>
                <w:rFonts w:ascii="Arial Narrow" w:hAnsi="Arial Narrow"/>
                <w:sz w:val="20"/>
                <w:lang w:val="en-US"/>
              </w:rPr>
              <w:t xml:space="preserve"> treatment duration</w:t>
            </w:r>
            <w:r w:rsidR="00BB4F3E" w:rsidRPr="0036391F">
              <w:rPr>
                <w:rFonts w:ascii="Arial Narrow" w:hAnsi="Arial Narrow"/>
                <w:sz w:val="20"/>
                <w:lang w:val="en-US"/>
              </w:rPr>
              <w:t>.</w:t>
            </w:r>
          </w:p>
        </w:tc>
        <w:tc>
          <w:tcPr>
            <w:tcW w:w="1008" w:type="pct"/>
            <w:shd w:val="clear" w:color="auto" w:fill="auto"/>
            <w:vAlign w:val="center"/>
          </w:tcPr>
          <w:p w:rsidR="007E1B53" w:rsidRPr="0036391F" w:rsidRDefault="007E1B53" w:rsidP="006D48DE">
            <w:pPr>
              <w:jc w:val="center"/>
              <w:rPr>
                <w:rFonts w:ascii="Arial Narrow" w:hAnsi="Arial Narrow"/>
                <w:sz w:val="20"/>
                <w:lang w:val="en-US"/>
              </w:rPr>
            </w:pPr>
            <w:r w:rsidRPr="0036391F">
              <w:rPr>
                <w:rFonts w:ascii="Arial Narrow" w:hAnsi="Arial Narrow"/>
                <w:sz w:val="20"/>
                <w:lang w:val="en-US"/>
              </w:rPr>
              <w:t xml:space="preserve">High, </w:t>
            </w:r>
          </w:p>
          <w:p w:rsidR="007E1B53" w:rsidRPr="0036391F" w:rsidRDefault="007E1B53" w:rsidP="006D48DE">
            <w:pPr>
              <w:jc w:val="center"/>
              <w:rPr>
                <w:rFonts w:ascii="Arial Narrow" w:hAnsi="Arial Narrow"/>
                <w:sz w:val="20"/>
                <w:lang w:val="en-US"/>
              </w:rPr>
            </w:pPr>
            <w:proofErr w:type="spellStart"/>
            <w:r w:rsidRPr="0036391F">
              <w:rPr>
                <w:rFonts w:ascii="Arial Narrow" w:hAnsi="Arial Narrow"/>
                <w:sz w:val="20"/>
                <w:lang w:val="en-US"/>
              </w:rPr>
              <w:t>favours</w:t>
            </w:r>
            <w:proofErr w:type="spellEnd"/>
            <w:r w:rsidRPr="0036391F">
              <w:rPr>
                <w:rFonts w:ascii="Arial Narrow" w:hAnsi="Arial Narrow"/>
                <w:sz w:val="20"/>
                <w:lang w:val="en-US"/>
              </w:rPr>
              <w:t xml:space="preserve"> </w:t>
            </w:r>
            <w:proofErr w:type="spellStart"/>
            <w:r w:rsidRPr="0036391F">
              <w:rPr>
                <w:rFonts w:ascii="Arial Narrow" w:hAnsi="Arial Narrow"/>
                <w:sz w:val="20"/>
                <w:lang w:val="en-US"/>
              </w:rPr>
              <w:t>adalimumab</w:t>
            </w:r>
            <w:proofErr w:type="spellEnd"/>
          </w:p>
        </w:tc>
      </w:tr>
      <w:tr w:rsidR="007E1B53" w:rsidRPr="0036391F" w:rsidTr="00662B27">
        <w:tc>
          <w:tcPr>
            <w:tcW w:w="921" w:type="pct"/>
            <w:shd w:val="clear" w:color="auto" w:fill="auto"/>
            <w:vAlign w:val="center"/>
          </w:tcPr>
          <w:p w:rsidR="007E1B53" w:rsidRPr="0036391F" w:rsidRDefault="007E1B53" w:rsidP="006D48DE">
            <w:pPr>
              <w:jc w:val="left"/>
              <w:rPr>
                <w:rFonts w:ascii="Arial Narrow" w:hAnsi="Arial Narrow"/>
                <w:sz w:val="20"/>
                <w:lang w:val="en-US"/>
              </w:rPr>
            </w:pPr>
            <w:r w:rsidRPr="0036391F">
              <w:rPr>
                <w:rFonts w:ascii="Arial Narrow" w:hAnsi="Arial Narrow"/>
                <w:sz w:val="20"/>
                <w:lang w:val="en-US"/>
              </w:rPr>
              <w:t>Time horizon</w:t>
            </w:r>
          </w:p>
        </w:tc>
        <w:tc>
          <w:tcPr>
            <w:tcW w:w="3071" w:type="pct"/>
            <w:shd w:val="clear" w:color="auto" w:fill="auto"/>
            <w:vAlign w:val="center"/>
          </w:tcPr>
          <w:p w:rsidR="007E1B53" w:rsidRPr="0036391F" w:rsidRDefault="007E1B53" w:rsidP="006D48DE">
            <w:pPr>
              <w:jc w:val="left"/>
              <w:rPr>
                <w:rFonts w:ascii="Arial Narrow" w:hAnsi="Arial Narrow"/>
                <w:sz w:val="20"/>
                <w:lang w:val="en-US"/>
              </w:rPr>
            </w:pPr>
            <w:r w:rsidRPr="0036391F">
              <w:rPr>
                <w:rFonts w:ascii="Arial Narrow" w:hAnsi="Arial Narrow"/>
                <w:sz w:val="20"/>
                <w:lang w:val="en-US"/>
              </w:rPr>
              <w:t>Lifetime time horizon based on the need to model chronic events with long-term consequences (e.g. blindness). The model is highly dependent on extrapolated data</w:t>
            </w:r>
            <w:r w:rsidR="00BB4F3E" w:rsidRPr="0036391F">
              <w:rPr>
                <w:rFonts w:ascii="Arial Narrow" w:hAnsi="Arial Narrow"/>
                <w:sz w:val="20"/>
                <w:lang w:val="en-US"/>
              </w:rPr>
              <w:t>.</w:t>
            </w:r>
          </w:p>
        </w:tc>
        <w:tc>
          <w:tcPr>
            <w:tcW w:w="1008" w:type="pct"/>
            <w:shd w:val="clear" w:color="auto" w:fill="auto"/>
            <w:vAlign w:val="center"/>
          </w:tcPr>
          <w:p w:rsidR="007E1B53" w:rsidRPr="0036391F" w:rsidRDefault="007E1B53" w:rsidP="006D48DE">
            <w:pPr>
              <w:jc w:val="center"/>
              <w:rPr>
                <w:rFonts w:ascii="Arial Narrow" w:hAnsi="Arial Narrow"/>
                <w:sz w:val="20"/>
                <w:lang w:val="en-US"/>
              </w:rPr>
            </w:pPr>
            <w:r w:rsidRPr="0036391F">
              <w:rPr>
                <w:rFonts w:ascii="Arial Narrow" w:hAnsi="Arial Narrow"/>
                <w:sz w:val="20"/>
                <w:lang w:val="en-US"/>
              </w:rPr>
              <w:t xml:space="preserve">High, </w:t>
            </w:r>
          </w:p>
          <w:p w:rsidR="007E1B53" w:rsidRPr="0036391F" w:rsidRDefault="007E1B53" w:rsidP="006D48DE">
            <w:pPr>
              <w:jc w:val="center"/>
              <w:rPr>
                <w:rFonts w:ascii="Arial Narrow" w:hAnsi="Arial Narrow"/>
                <w:sz w:val="20"/>
                <w:lang w:val="en-US"/>
              </w:rPr>
            </w:pPr>
            <w:proofErr w:type="spellStart"/>
            <w:r w:rsidRPr="0036391F">
              <w:rPr>
                <w:rFonts w:ascii="Arial Narrow" w:hAnsi="Arial Narrow"/>
                <w:sz w:val="20"/>
                <w:lang w:val="en-US"/>
              </w:rPr>
              <w:t>favours</w:t>
            </w:r>
            <w:proofErr w:type="spellEnd"/>
            <w:r w:rsidRPr="0036391F">
              <w:rPr>
                <w:rFonts w:ascii="Arial Narrow" w:hAnsi="Arial Narrow"/>
                <w:sz w:val="20"/>
                <w:lang w:val="en-US"/>
              </w:rPr>
              <w:t xml:space="preserve"> </w:t>
            </w:r>
            <w:proofErr w:type="spellStart"/>
            <w:r w:rsidRPr="0036391F">
              <w:rPr>
                <w:rFonts w:ascii="Arial Narrow" w:hAnsi="Arial Narrow"/>
                <w:sz w:val="20"/>
                <w:lang w:val="en-US"/>
              </w:rPr>
              <w:t>adalimumab</w:t>
            </w:r>
            <w:proofErr w:type="spellEnd"/>
          </w:p>
        </w:tc>
      </w:tr>
    </w:tbl>
    <w:p w:rsidR="007E1B53" w:rsidRPr="0036391F" w:rsidRDefault="007E1B53" w:rsidP="007E1B53">
      <w:pPr>
        <w:pStyle w:val="TableFooter"/>
        <w:ind w:firstLine="720"/>
      </w:pPr>
      <w:r w:rsidRPr="0036391F">
        <w:t>Source: compiled during the evaluation</w:t>
      </w:r>
    </w:p>
    <w:p w:rsidR="00D110BD" w:rsidRPr="0036391F" w:rsidRDefault="00D110BD" w:rsidP="00275C5A">
      <w:pPr>
        <w:widowControl/>
        <w:rPr>
          <w:szCs w:val="22"/>
        </w:rPr>
      </w:pPr>
    </w:p>
    <w:p w:rsidR="00275C5A" w:rsidRPr="0036391F" w:rsidRDefault="00012D37" w:rsidP="00556640">
      <w:pPr>
        <w:pStyle w:val="ListParagraph"/>
        <w:widowControl/>
        <w:numPr>
          <w:ilvl w:val="1"/>
          <w:numId w:val="3"/>
        </w:numPr>
        <w:rPr>
          <w:szCs w:val="22"/>
        </w:rPr>
      </w:pPr>
      <w:r w:rsidRPr="0036391F">
        <w:lastRenderedPageBreak/>
        <w:t xml:space="preserve">The results of the economic evaluation comparing adalimumab and placebo are summarised in Table </w:t>
      </w:r>
      <w:r w:rsidR="00342982" w:rsidRPr="0036391F">
        <w:t>8</w:t>
      </w:r>
      <w:r w:rsidRPr="0036391F">
        <w:t>.</w:t>
      </w:r>
    </w:p>
    <w:p w:rsidR="00D110BD" w:rsidRPr="0036391F" w:rsidRDefault="00D110BD" w:rsidP="00D110BD">
      <w:pPr>
        <w:widowControl/>
        <w:rPr>
          <w:szCs w:val="22"/>
        </w:rPr>
      </w:pPr>
    </w:p>
    <w:p w:rsidR="00D110BD" w:rsidRPr="0036391F" w:rsidRDefault="00D110BD" w:rsidP="00222D84">
      <w:pPr>
        <w:keepNext/>
        <w:keepLines/>
        <w:ind w:firstLine="720"/>
        <w:rPr>
          <w:rStyle w:val="CommentReference"/>
        </w:rPr>
      </w:pPr>
      <w:r w:rsidRPr="0036391F">
        <w:rPr>
          <w:rStyle w:val="CommentReference"/>
        </w:rPr>
        <w:t xml:space="preserve">Table </w:t>
      </w:r>
      <w:r w:rsidR="00342982" w:rsidRPr="0036391F">
        <w:rPr>
          <w:rStyle w:val="CommentReference"/>
        </w:rPr>
        <w:t>8</w:t>
      </w:r>
      <w:r w:rsidRPr="0036391F">
        <w:rPr>
          <w:rStyle w:val="CommentReference"/>
        </w:rPr>
        <w:t xml:space="preserve">: Results of the </w:t>
      </w:r>
      <w:r w:rsidR="005A236F" w:rsidRPr="0036391F">
        <w:rPr>
          <w:rStyle w:val="CommentReference"/>
        </w:rPr>
        <w:t>modell</w:t>
      </w:r>
      <w:r w:rsidRPr="0036391F">
        <w:rPr>
          <w:rStyle w:val="CommentReference"/>
        </w:rPr>
        <w:t>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4"/>
        <w:gridCol w:w="2378"/>
        <w:gridCol w:w="2380"/>
        <w:gridCol w:w="2053"/>
      </w:tblGrid>
      <w:tr w:rsidR="005A236F" w:rsidRPr="0036391F" w:rsidTr="005A236F">
        <w:tc>
          <w:tcPr>
            <w:tcW w:w="919" w:type="pct"/>
            <w:vAlign w:val="center"/>
          </w:tcPr>
          <w:p w:rsidR="005A236F" w:rsidRPr="0036391F" w:rsidRDefault="005A236F" w:rsidP="00222D84">
            <w:pPr>
              <w:keepNext/>
              <w:keepLines/>
              <w:jc w:val="left"/>
              <w:rPr>
                <w:rFonts w:ascii="Arial Narrow" w:hAnsi="Arial Narrow" w:cs="Times New Roman"/>
                <w:b/>
                <w:sz w:val="20"/>
              </w:rPr>
            </w:pPr>
          </w:p>
        </w:tc>
        <w:tc>
          <w:tcPr>
            <w:tcW w:w="1425" w:type="pct"/>
          </w:tcPr>
          <w:p w:rsidR="005A236F" w:rsidRPr="0036391F" w:rsidRDefault="005A236F" w:rsidP="00222D84">
            <w:pPr>
              <w:keepNext/>
              <w:keepLines/>
              <w:jc w:val="center"/>
              <w:rPr>
                <w:rFonts w:ascii="Arial Narrow" w:hAnsi="Arial Narrow" w:cs="Times New Roman"/>
                <w:b/>
                <w:sz w:val="20"/>
              </w:rPr>
            </w:pPr>
            <w:r w:rsidRPr="0036391F">
              <w:rPr>
                <w:rFonts w:ascii="Arial Narrow" w:hAnsi="Arial Narrow" w:cs="Times New Roman"/>
                <w:b/>
                <w:sz w:val="20"/>
              </w:rPr>
              <w:t>Adalimumab</w:t>
            </w:r>
          </w:p>
        </w:tc>
        <w:tc>
          <w:tcPr>
            <w:tcW w:w="1425" w:type="pct"/>
            <w:vAlign w:val="center"/>
          </w:tcPr>
          <w:p w:rsidR="005A236F" w:rsidRPr="0036391F" w:rsidRDefault="005A236F" w:rsidP="00222D84">
            <w:pPr>
              <w:keepNext/>
              <w:keepLines/>
              <w:jc w:val="center"/>
              <w:rPr>
                <w:rFonts w:ascii="Arial Narrow" w:hAnsi="Arial Narrow" w:cs="Times New Roman"/>
                <w:b/>
                <w:sz w:val="20"/>
              </w:rPr>
            </w:pPr>
            <w:r w:rsidRPr="0036391F">
              <w:rPr>
                <w:rFonts w:ascii="Arial Narrow" w:hAnsi="Arial Narrow" w:cs="Times New Roman"/>
                <w:b/>
                <w:sz w:val="20"/>
              </w:rPr>
              <w:t>Placebo</w:t>
            </w:r>
          </w:p>
        </w:tc>
        <w:tc>
          <w:tcPr>
            <w:tcW w:w="1230" w:type="pct"/>
          </w:tcPr>
          <w:p w:rsidR="005A236F" w:rsidRPr="0036391F" w:rsidRDefault="005A236F" w:rsidP="00222D84">
            <w:pPr>
              <w:keepNext/>
              <w:keepLines/>
              <w:jc w:val="center"/>
              <w:rPr>
                <w:rFonts w:ascii="Arial Narrow" w:hAnsi="Arial Narrow" w:cs="Times New Roman"/>
                <w:b/>
                <w:sz w:val="20"/>
              </w:rPr>
            </w:pPr>
            <w:r w:rsidRPr="0036391F">
              <w:rPr>
                <w:rFonts w:ascii="Arial Narrow" w:hAnsi="Arial Narrow" w:cs="Times New Roman"/>
                <w:b/>
                <w:sz w:val="20"/>
              </w:rPr>
              <w:t>Increment</w:t>
            </w:r>
          </w:p>
        </w:tc>
      </w:tr>
      <w:tr w:rsidR="005A236F" w:rsidRPr="0036391F" w:rsidTr="005A236F">
        <w:tc>
          <w:tcPr>
            <w:tcW w:w="919" w:type="pct"/>
            <w:vAlign w:val="center"/>
          </w:tcPr>
          <w:p w:rsidR="005A236F" w:rsidRPr="0036391F" w:rsidRDefault="005A236F" w:rsidP="00222D84">
            <w:pPr>
              <w:keepNext/>
              <w:keepLines/>
              <w:jc w:val="left"/>
              <w:rPr>
                <w:rFonts w:ascii="Arial Narrow" w:hAnsi="Arial Narrow" w:cs="Times New Roman"/>
                <w:sz w:val="20"/>
              </w:rPr>
            </w:pPr>
            <w:r w:rsidRPr="0036391F">
              <w:rPr>
                <w:rFonts w:ascii="Arial Narrow" w:hAnsi="Arial Narrow" w:cs="Times New Roman"/>
                <w:sz w:val="20"/>
              </w:rPr>
              <w:t>Costs</w:t>
            </w:r>
          </w:p>
        </w:tc>
        <w:tc>
          <w:tcPr>
            <w:tcW w:w="1425" w:type="pct"/>
          </w:tcPr>
          <w:p w:rsidR="005A236F" w:rsidRPr="0036391F" w:rsidRDefault="005A236F" w:rsidP="00222D84">
            <w:pPr>
              <w:keepNext/>
              <w:keepLines/>
              <w:jc w:val="center"/>
              <w:rPr>
                <w:rFonts w:ascii="Arial Narrow" w:hAnsi="Arial Narrow" w:cs="Times New Roman"/>
                <w:sz w:val="20"/>
              </w:rPr>
            </w:pPr>
            <w:r w:rsidRPr="0036391F">
              <w:rPr>
                <w:rFonts w:ascii="Arial Narrow" w:hAnsi="Arial Narrow" w:cs="Times New Roman"/>
                <w:sz w:val="20"/>
              </w:rPr>
              <w:t>$</w:t>
            </w:r>
            <w:r w:rsidR="000E36E2">
              <w:rPr>
                <w:rFonts w:ascii="Arial Narrow" w:hAnsi="Arial Narrow" w:cs="Times New Roman"/>
                <w:noProof/>
                <w:color w:val="000000"/>
                <w:sz w:val="20"/>
                <w:highlight w:val="black"/>
              </w:rPr>
              <w:t>''''''''''''''''</w:t>
            </w:r>
          </w:p>
        </w:tc>
        <w:tc>
          <w:tcPr>
            <w:tcW w:w="1425" w:type="pct"/>
            <w:vAlign w:val="center"/>
          </w:tcPr>
          <w:p w:rsidR="005A236F" w:rsidRPr="0036391F" w:rsidRDefault="005A236F" w:rsidP="00222D84">
            <w:pPr>
              <w:keepNext/>
              <w:keepLines/>
              <w:jc w:val="center"/>
              <w:rPr>
                <w:rFonts w:ascii="Arial Narrow" w:hAnsi="Arial Narrow" w:cs="Times New Roman"/>
                <w:sz w:val="20"/>
              </w:rPr>
            </w:pPr>
            <w:r w:rsidRPr="0036391F">
              <w:rPr>
                <w:rFonts w:ascii="Arial Narrow" w:hAnsi="Arial Narrow" w:cs="Times New Roman"/>
                <w:sz w:val="20"/>
              </w:rPr>
              <w:t>$</w:t>
            </w:r>
            <w:r w:rsidR="000E36E2">
              <w:rPr>
                <w:rFonts w:ascii="Arial Narrow" w:hAnsi="Arial Narrow" w:cs="Times New Roman"/>
                <w:noProof/>
                <w:color w:val="000000"/>
                <w:sz w:val="20"/>
                <w:highlight w:val="black"/>
              </w:rPr>
              <w:t>''''''''''''''''</w:t>
            </w:r>
          </w:p>
        </w:tc>
        <w:tc>
          <w:tcPr>
            <w:tcW w:w="1230" w:type="pct"/>
          </w:tcPr>
          <w:p w:rsidR="005A236F" w:rsidRPr="0036391F" w:rsidRDefault="005A236F" w:rsidP="00222D84">
            <w:pPr>
              <w:keepNext/>
              <w:keepLines/>
              <w:jc w:val="center"/>
              <w:rPr>
                <w:rFonts w:ascii="Arial Narrow" w:hAnsi="Arial Narrow" w:cs="Times New Roman"/>
                <w:sz w:val="20"/>
              </w:rPr>
            </w:pPr>
            <w:r w:rsidRPr="0036391F">
              <w:rPr>
                <w:rFonts w:ascii="Arial Narrow" w:hAnsi="Arial Narrow" w:cs="Times New Roman"/>
                <w:sz w:val="20"/>
              </w:rPr>
              <w:t>$</w:t>
            </w:r>
            <w:r w:rsidR="000E36E2">
              <w:rPr>
                <w:rFonts w:ascii="Arial Narrow" w:hAnsi="Arial Narrow" w:cs="Times New Roman"/>
                <w:noProof/>
                <w:color w:val="000000"/>
                <w:sz w:val="20"/>
                <w:highlight w:val="black"/>
              </w:rPr>
              <w:t>'''''''''''''''''</w:t>
            </w:r>
          </w:p>
        </w:tc>
      </w:tr>
      <w:tr w:rsidR="005A236F" w:rsidRPr="0036391F" w:rsidTr="005A236F">
        <w:tc>
          <w:tcPr>
            <w:tcW w:w="919" w:type="pct"/>
            <w:vAlign w:val="center"/>
          </w:tcPr>
          <w:p w:rsidR="005A236F" w:rsidRPr="0036391F" w:rsidRDefault="005A236F" w:rsidP="00222D84">
            <w:pPr>
              <w:keepNext/>
              <w:keepLines/>
              <w:jc w:val="left"/>
              <w:rPr>
                <w:rFonts w:ascii="Arial Narrow" w:hAnsi="Arial Narrow" w:cs="Times New Roman"/>
                <w:sz w:val="20"/>
              </w:rPr>
            </w:pPr>
            <w:r w:rsidRPr="0036391F">
              <w:rPr>
                <w:rFonts w:ascii="Arial Narrow" w:hAnsi="Arial Narrow" w:cs="Times New Roman"/>
                <w:sz w:val="20"/>
              </w:rPr>
              <w:t>QALY</w:t>
            </w:r>
          </w:p>
        </w:tc>
        <w:tc>
          <w:tcPr>
            <w:tcW w:w="1425" w:type="pct"/>
          </w:tcPr>
          <w:p w:rsidR="005A236F" w:rsidRPr="000E36E2" w:rsidRDefault="000E36E2" w:rsidP="00222D84">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5" w:type="pct"/>
            <w:vAlign w:val="center"/>
          </w:tcPr>
          <w:p w:rsidR="005A236F" w:rsidRPr="000E36E2" w:rsidRDefault="000E36E2" w:rsidP="00222D84">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30" w:type="pct"/>
          </w:tcPr>
          <w:p w:rsidR="005A236F" w:rsidRPr="000E36E2" w:rsidRDefault="000E36E2" w:rsidP="00222D84">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5A236F" w:rsidRPr="0036391F" w:rsidTr="005A236F">
        <w:tc>
          <w:tcPr>
            <w:tcW w:w="3770" w:type="pct"/>
            <w:gridSpan w:val="3"/>
            <w:vAlign w:val="center"/>
          </w:tcPr>
          <w:p w:rsidR="005A236F" w:rsidRPr="0036391F" w:rsidRDefault="005A236F" w:rsidP="00222D84">
            <w:pPr>
              <w:keepNext/>
              <w:keepLines/>
              <w:jc w:val="left"/>
              <w:rPr>
                <w:rFonts w:ascii="Arial Narrow" w:hAnsi="Arial Narrow" w:cs="Times New Roman"/>
                <w:b/>
                <w:sz w:val="20"/>
              </w:rPr>
            </w:pPr>
            <w:r w:rsidRPr="0036391F">
              <w:rPr>
                <w:rFonts w:ascii="Arial Narrow" w:hAnsi="Arial Narrow" w:cs="Times New Roman"/>
                <w:b/>
                <w:sz w:val="20"/>
              </w:rPr>
              <w:t>Incremental cost/QALY gained</w:t>
            </w:r>
          </w:p>
        </w:tc>
        <w:tc>
          <w:tcPr>
            <w:tcW w:w="1230" w:type="pct"/>
          </w:tcPr>
          <w:p w:rsidR="005A236F" w:rsidRPr="0036391F" w:rsidRDefault="005A236F" w:rsidP="00222D84">
            <w:pPr>
              <w:keepNext/>
              <w:keepLines/>
              <w:jc w:val="center"/>
              <w:rPr>
                <w:rFonts w:ascii="Arial Narrow" w:hAnsi="Arial Narrow" w:cs="Times New Roman"/>
                <w:b/>
                <w:sz w:val="20"/>
              </w:rPr>
            </w:pPr>
            <w:r w:rsidRPr="0036391F">
              <w:rPr>
                <w:rFonts w:ascii="Arial Narrow" w:hAnsi="Arial Narrow" w:cs="Times New Roman"/>
                <w:b/>
                <w:sz w:val="20"/>
              </w:rPr>
              <w:t>$</w:t>
            </w:r>
            <w:r w:rsidR="000E36E2">
              <w:rPr>
                <w:rFonts w:ascii="Arial Narrow" w:hAnsi="Arial Narrow" w:cs="Times New Roman"/>
                <w:b/>
                <w:noProof/>
                <w:color w:val="000000"/>
                <w:sz w:val="20"/>
                <w:highlight w:val="black"/>
              </w:rPr>
              <w:t>''''''''''''''</w:t>
            </w:r>
          </w:p>
        </w:tc>
      </w:tr>
    </w:tbl>
    <w:p w:rsidR="005A236F" w:rsidRPr="0036391F" w:rsidRDefault="005A236F" w:rsidP="00222D84">
      <w:pPr>
        <w:pStyle w:val="TableFooter"/>
        <w:keepNext/>
        <w:keepLines/>
        <w:ind w:firstLine="720"/>
      </w:pPr>
      <w:r w:rsidRPr="0036391F">
        <w:t>Source: Table D.5-1, p178 of the submission</w:t>
      </w:r>
    </w:p>
    <w:p w:rsidR="00D110BD" w:rsidRPr="0036391F" w:rsidRDefault="00D110BD" w:rsidP="00D110BD">
      <w:pPr>
        <w:widowControl/>
        <w:rPr>
          <w:szCs w:val="22"/>
        </w:rPr>
      </w:pPr>
    </w:p>
    <w:p w:rsidR="00A86E8B" w:rsidRPr="00CB1F12" w:rsidRDefault="00012D37" w:rsidP="00CB1F12">
      <w:pPr>
        <w:pStyle w:val="ListParagraph"/>
        <w:widowControl/>
        <w:numPr>
          <w:ilvl w:val="1"/>
          <w:numId w:val="3"/>
        </w:numPr>
        <w:rPr>
          <w:b/>
          <w:bCs/>
        </w:rPr>
      </w:pPr>
      <w:r w:rsidRPr="0036391F">
        <w:t xml:space="preserve">Based on the economic model, treatment with adalimumab was associated with an incremental cost per QALY gained of </w:t>
      </w:r>
      <w:r w:rsidR="00CB1F12" w:rsidRPr="00CB1F12">
        <w:t>$45,000</w:t>
      </w:r>
      <w:r w:rsidR="00CB1F12">
        <w:t xml:space="preserve"> </w:t>
      </w:r>
      <w:r w:rsidR="00CB1F12" w:rsidRPr="00CB1F12">
        <w:t>– $75,000</w:t>
      </w:r>
      <w:r w:rsidR="00CB1F12">
        <w:t xml:space="preserve"> </w:t>
      </w:r>
      <w:r w:rsidRPr="0036391F">
        <w:t xml:space="preserve">compared with placebo (current standard of care). </w:t>
      </w:r>
    </w:p>
    <w:p w:rsidR="00A86E8B" w:rsidRPr="0036391F" w:rsidRDefault="00012D37" w:rsidP="002B2A76">
      <w:pPr>
        <w:pStyle w:val="ListParagraph"/>
        <w:keepNext/>
        <w:keepLines/>
        <w:widowControl/>
        <w:numPr>
          <w:ilvl w:val="1"/>
          <w:numId w:val="3"/>
        </w:numPr>
        <w:rPr>
          <w:szCs w:val="22"/>
        </w:rPr>
      </w:pPr>
      <w:r w:rsidRPr="0036391F">
        <w:lastRenderedPageBreak/>
        <w:t>The results of key sensitivity analyses are summarised below.</w:t>
      </w:r>
      <w:r w:rsidR="00E803D1">
        <w:t xml:space="preserve"> </w:t>
      </w:r>
    </w:p>
    <w:p w:rsidR="00012D37" w:rsidRPr="0036391F" w:rsidRDefault="00012D37" w:rsidP="002B2A76">
      <w:pPr>
        <w:pStyle w:val="ListParagraph"/>
        <w:keepNext/>
        <w:keepLines/>
        <w:widowControl/>
        <w:rPr>
          <w:szCs w:val="22"/>
        </w:rPr>
      </w:pPr>
    </w:p>
    <w:p w:rsidR="00BB4F3E" w:rsidRPr="0036391F" w:rsidRDefault="00BB4F3E" w:rsidP="002B2A76">
      <w:pPr>
        <w:pStyle w:val="ListParagraph"/>
        <w:keepNext/>
        <w:keepLines/>
        <w:widowControl/>
        <w:rPr>
          <w:rFonts w:ascii="Arial Narrow" w:hAnsi="Arial Narrow"/>
          <w:b/>
          <w:sz w:val="20"/>
          <w:szCs w:val="22"/>
        </w:rPr>
      </w:pPr>
      <w:r w:rsidRPr="0036391F">
        <w:rPr>
          <w:rFonts w:ascii="Arial Narrow" w:hAnsi="Arial Narrow"/>
          <w:b/>
          <w:sz w:val="20"/>
          <w:szCs w:val="22"/>
        </w:rPr>
        <w:t xml:space="preserve">Table </w:t>
      </w:r>
      <w:r w:rsidR="00D5331D" w:rsidRPr="0036391F">
        <w:rPr>
          <w:rFonts w:ascii="Arial Narrow" w:hAnsi="Arial Narrow"/>
          <w:b/>
          <w:sz w:val="20"/>
          <w:szCs w:val="22"/>
        </w:rPr>
        <w:t>9</w:t>
      </w:r>
      <w:r w:rsidRPr="0036391F">
        <w:rPr>
          <w:rFonts w:ascii="Arial Narrow" w:hAnsi="Arial Narrow"/>
          <w:b/>
          <w:sz w:val="20"/>
          <w:szCs w:val="22"/>
        </w:rPr>
        <w:t>: results of key sensitivity analyses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7"/>
        <w:gridCol w:w="1552"/>
        <w:gridCol w:w="1552"/>
        <w:gridCol w:w="1554"/>
      </w:tblGrid>
      <w:tr w:rsidR="00BB4F3E" w:rsidRPr="0036391F" w:rsidTr="00737BE9">
        <w:tc>
          <w:tcPr>
            <w:tcW w:w="2209" w:type="pct"/>
            <w:vAlign w:val="center"/>
          </w:tcPr>
          <w:p w:rsidR="00BB4F3E" w:rsidRPr="0036391F" w:rsidRDefault="00BB4F3E" w:rsidP="002B2A76">
            <w:pPr>
              <w:keepNext/>
              <w:keepLines/>
              <w:jc w:val="left"/>
              <w:rPr>
                <w:rFonts w:ascii="Arial Narrow" w:hAnsi="Arial Narrow" w:cs="Times New Roman"/>
                <w:b/>
                <w:sz w:val="20"/>
              </w:rPr>
            </w:pPr>
            <w:r w:rsidRPr="0036391F">
              <w:rPr>
                <w:rFonts w:ascii="Arial Narrow" w:hAnsi="Arial Narrow" w:cs="Times New Roman"/>
                <w:b/>
                <w:sz w:val="20"/>
              </w:rPr>
              <w:t>Analysis</w:t>
            </w:r>
          </w:p>
        </w:tc>
        <w:tc>
          <w:tcPr>
            <w:tcW w:w="930" w:type="pct"/>
          </w:tcPr>
          <w:p w:rsidR="00BB4F3E" w:rsidRPr="0036391F" w:rsidRDefault="00BB4F3E" w:rsidP="002B2A76">
            <w:pPr>
              <w:keepNext/>
              <w:keepLines/>
              <w:jc w:val="center"/>
              <w:rPr>
                <w:rFonts w:ascii="Arial Narrow" w:hAnsi="Arial Narrow" w:cs="Times New Roman"/>
                <w:b/>
                <w:sz w:val="20"/>
              </w:rPr>
            </w:pPr>
            <w:r w:rsidRPr="0036391F">
              <w:rPr>
                <w:rFonts w:ascii="Arial Narrow" w:hAnsi="Arial Narrow" w:cs="Times New Roman"/>
                <w:b/>
                <w:sz w:val="20"/>
              </w:rPr>
              <w:t>Incremental costs</w:t>
            </w:r>
          </w:p>
        </w:tc>
        <w:tc>
          <w:tcPr>
            <w:tcW w:w="930" w:type="pct"/>
            <w:vAlign w:val="center"/>
          </w:tcPr>
          <w:p w:rsidR="00BB4F3E" w:rsidRPr="0036391F" w:rsidRDefault="00BB4F3E" w:rsidP="002B2A76">
            <w:pPr>
              <w:keepNext/>
              <w:keepLines/>
              <w:jc w:val="center"/>
              <w:rPr>
                <w:rFonts w:ascii="Arial Narrow" w:hAnsi="Arial Narrow" w:cs="Times New Roman"/>
                <w:b/>
                <w:sz w:val="20"/>
              </w:rPr>
            </w:pPr>
            <w:r w:rsidRPr="0036391F">
              <w:rPr>
                <w:rFonts w:ascii="Arial Narrow" w:hAnsi="Arial Narrow" w:cs="Times New Roman"/>
                <w:b/>
                <w:sz w:val="20"/>
              </w:rPr>
              <w:t>Incremental QALYs</w:t>
            </w:r>
          </w:p>
        </w:tc>
        <w:tc>
          <w:tcPr>
            <w:tcW w:w="931" w:type="pct"/>
          </w:tcPr>
          <w:p w:rsidR="00BB4F3E" w:rsidRPr="0036391F" w:rsidRDefault="00BB4F3E" w:rsidP="002B2A76">
            <w:pPr>
              <w:keepNext/>
              <w:keepLines/>
              <w:jc w:val="center"/>
              <w:rPr>
                <w:rFonts w:ascii="Arial Narrow" w:hAnsi="Arial Narrow" w:cs="Times New Roman"/>
                <w:b/>
                <w:sz w:val="20"/>
              </w:rPr>
            </w:pPr>
            <w:r w:rsidRPr="0036391F">
              <w:rPr>
                <w:rFonts w:ascii="Arial Narrow" w:hAnsi="Arial Narrow" w:cs="Times New Roman"/>
                <w:b/>
                <w:sz w:val="20"/>
              </w:rPr>
              <w:t>ICER ($/QALY)</w:t>
            </w:r>
          </w:p>
        </w:tc>
      </w:tr>
      <w:tr w:rsidR="00BB4F3E" w:rsidRPr="0036391F" w:rsidTr="00737BE9">
        <w:tc>
          <w:tcPr>
            <w:tcW w:w="2209" w:type="pct"/>
            <w:vAlign w:val="center"/>
          </w:tcPr>
          <w:p w:rsidR="00BB4F3E" w:rsidRPr="0036391F" w:rsidRDefault="00BB4F3E" w:rsidP="002B2A76">
            <w:pPr>
              <w:keepNext/>
              <w:keepLines/>
              <w:jc w:val="left"/>
              <w:rPr>
                <w:rFonts w:ascii="Arial Narrow" w:hAnsi="Arial Narrow" w:cs="Times New Roman"/>
                <w:b/>
                <w:sz w:val="20"/>
              </w:rPr>
            </w:pPr>
            <w:r w:rsidRPr="0036391F">
              <w:rPr>
                <w:rFonts w:ascii="Arial Narrow" w:hAnsi="Arial Narrow" w:cs="Times New Roman"/>
                <w:b/>
                <w:sz w:val="20"/>
              </w:rPr>
              <w:t>Base case</w:t>
            </w:r>
          </w:p>
        </w:tc>
        <w:tc>
          <w:tcPr>
            <w:tcW w:w="930" w:type="pct"/>
          </w:tcPr>
          <w:p w:rsidR="00BB4F3E" w:rsidRPr="0036391F" w:rsidRDefault="00BB4F3E" w:rsidP="002B2A76">
            <w:pPr>
              <w:keepNext/>
              <w:keepLines/>
              <w:jc w:val="center"/>
              <w:rPr>
                <w:rFonts w:ascii="Arial Narrow" w:hAnsi="Arial Narrow" w:cs="Times New Roman"/>
                <w:b/>
                <w:sz w:val="20"/>
              </w:rPr>
            </w:pPr>
            <w:r w:rsidRPr="0036391F">
              <w:rPr>
                <w:rFonts w:ascii="Arial Narrow" w:hAnsi="Arial Narrow" w:cs="Times New Roman"/>
                <w:b/>
                <w:sz w:val="20"/>
              </w:rPr>
              <w:t>$</w:t>
            </w:r>
            <w:r w:rsidR="000E36E2">
              <w:rPr>
                <w:rFonts w:ascii="Arial Narrow" w:hAnsi="Arial Narrow" w:cs="Times New Roman"/>
                <w:b/>
                <w:noProof/>
                <w:color w:val="000000"/>
                <w:sz w:val="20"/>
                <w:highlight w:val="black"/>
              </w:rPr>
              <w:t>''''''''''''''</w:t>
            </w:r>
          </w:p>
        </w:tc>
        <w:tc>
          <w:tcPr>
            <w:tcW w:w="930" w:type="pct"/>
            <w:vAlign w:val="center"/>
          </w:tcPr>
          <w:p w:rsidR="00BB4F3E" w:rsidRPr="000E36E2" w:rsidRDefault="000E36E2" w:rsidP="002B2A76">
            <w:pPr>
              <w:keepNext/>
              <w:keepLines/>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c>
          <w:tcPr>
            <w:tcW w:w="931" w:type="pct"/>
          </w:tcPr>
          <w:p w:rsidR="00BB4F3E" w:rsidRPr="0036391F" w:rsidRDefault="00BB4F3E" w:rsidP="002B2A76">
            <w:pPr>
              <w:keepNext/>
              <w:keepLines/>
              <w:jc w:val="center"/>
              <w:rPr>
                <w:rFonts w:ascii="Arial Narrow" w:hAnsi="Arial Narrow" w:cs="Times New Roman"/>
                <w:b/>
                <w:sz w:val="20"/>
              </w:rPr>
            </w:pPr>
            <w:r w:rsidRPr="0036391F">
              <w:rPr>
                <w:rFonts w:ascii="Arial Narrow" w:hAnsi="Arial Narrow" w:cs="Times New Roman"/>
                <w:b/>
                <w:sz w:val="20"/>
              </w:rPr>
              <w:t>$</w:t>
            </w:r>
            <w:r w:rsidR="000E36E2">
              <w:rPr>
                <w:rFonts w:ascii="Arial Narrow" w:hAnsi="Arial Narrow" w:cs="Times New Roman"/>
                <w:b/>
                <w:noProof/>
                <w:color w:val="000000"/>
                <w:sz w:val="20"/>
                <w:highlight w:val="black"/>
              </w:rPr>
              <w:t>''''''''''''''</w:t>
            </w:r>
          </w:p>
        </w:tc>
      </w:tr>
      <w:tr w:rsidR="00BB4F3E" w:rsidRPr="0036391F" w:rsidTr="00BB4F3E">
        <w:tc>
          <w:tcPr>
            <w:tcW w:w="5000" w:type="pct"/>
            <w:gridSpan w:val="4"/>
            <w:vAlign w:val="center"/>
          </w:tcPr>
          <w:p w:rsidR="00BB4F3E" w:rsidRPr="0036391F" w:rsidRDefault="00BB4F3E" w:rsidP="002B2A76">
            <w:pPr>
              <w:keepNext/>
              <w:keepLines/>
              <w:jc w:val="left"/>
              <w:rPr>
                <w:rFonts w:ascii="Arial Narrow" w:hAnsi="Arial Narrow" w:cs="Times New Roman"/>
                <w:sz w:val="20"/>
              </w:rPr>
            </w:pPr>
            <w:r w:rsidRPr="0036391F">
              <w:rPr>
                <w:rFonts w:ascii="Arial Narrow" w:hAnsi="Arial Narrow" w:cs="Times New Roman"/>
                <w:sz w:val="20"/>
              </w:rPr>
              <w:t xml:space="preserve">VISUAL I hazard ratio (risk of flare; base case: </w:t>
            </w:r>
            <w:r w:rsidRPr="00A279D2">
              <w:rPr>
                <w:rFonts w:ascii="Arial Narrow" w:hAnsi="Arial Narrow" w:cs="Times New Roman"/>
                <w:sz w:val="20"/>
              </w:rPr>
              <w:t>0.50</w:t>
            </w:r>
            <w:r w:rsidRPr="0036391F">
              <w:rPr>
                <w:rFonts w:ascii="Arial Narrow" w:hAnsi="Arial Narrow" w:cs="Times New Roman"/>
                <w:sz w:val="20"/>
              </w:rPr>
              <w:t>)</w:t>
            </w:r>
          </w:p>
        </w:tc>
      </w:tr>
      <w:tr w:rsidR="00BB4F3E" w:rsidRPr="0036391F" w:rsidTr="00737BE9">
        <w:tc>
          <w:tcPr>
            <w:tcW w:w="2209" w:type="pct"/>
            <w:vAlign w:val="center"/>
          </w:tcPr>
          <w:p w:rsidR="00BB4F3E" w:rsidRPr="0036391F" w:rsidRDefault="00BB4F3E" w:rsidP="002B2A76">
            <w:pPr>
              <w:keepNext/>
              <w:keepLines/>
              <w:jc w:val="left"/>
              <w:rPr>
                <w:rFonts w:ascii="Arial Narrow" w:hAnsi="Arial Narrow" w:cs="Times New Roman"/>
                <w:sz w:val="20"/>
              </w:rPr>
            </w:pPr>
            <w:r w:rsidRPr="0036391F">
              <w:rPr>
                <w:rFonts w:ascii="Arial Narrow" w:hAnsi="Arial Narrow"/>
                <w:sz w:val="20"/>
              </w:rPr>
              <w:t>- lower 95% limit (0.36)</w:t>
            </w:r>
          </w:p>
        </w:tc>
        <w:tc>
          <w:tcPr>
            <w:tcW w:w="930" w:type="pct"/>
            <w:vAlign w:val="center"/>
          </w:tcPr>
          <w:p w:rsidR="00BB4F3E" w:rsidRPr="0036391F" w:rsidRDefault="00BB4F3E" w:rsidP="002B2A76">
            <w:pPr>
              <w:keepNext/>
              <w:keepLines/>
              <w:jc w:val="center"/>
              <w:rPr>
                <w:rFonts w:ascii="Arial Narrow" w:hAnsi="Arial Narrow" w:cs="Times New Roman"/>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BB4F3E" w:rsidRPr="000E36E2" w:rsidRDefault="000E36E2" w:rsidP="002B2A76">
            <w:pPr>
              <w:keepNext/>
              <w:keepLines/>
              <w:jc w:val="center"/>
              <w:rPr>
                <w:rFonts w:ascii="Arial Narrow" w:hAnsi="Arial Narrow" w:cs="Times New Roman"/>
                <w:sz w:val="20"/>
                <w:highlight w:val="black"/>
              </w:rPr>
            </w:pPr>
            <w:r>
              <w:rPr>
                <w:rFonts w:ascii="Arial Narrow" w:hAnsi="Arial Narrow"/>
                <w:noProof/>
                <w:color w:val="000000"/>
                <w:sz w:val="20"/>
                <w:highlight w:val="black"/>
              </w:rPr>
              <w:t>'''''''''''''</w:t>
            </w:r>
          </w:p>
        </w:tc>
        <w:tc>
          <w:tcPr>
            <w:tcW w:w="931" w:type="pct"/>
            <w:vAlign w:val="center"/>
          </w:tcPr>
          <w:p w:rsidR="00BB4F3E" w:rsidRPr="0036391F" w:rsidRDefault="00BB4F3E" w:rsidP="002B2A76">
            <w:pPr>
              <w:keepNext/>
              <w:keepLines/>
              <w:jc w:val="center"/>
              <w:rPr>
                <w:rFonts w:ascii="Arial Narrow" w:hAnsi="Arial Narrow" w:cs="Times New Roman"/>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BB4F3E" w:rsidRPr="0036391F" w:rsidTr="00737BE9">
        <w:tc>
          <w:tcPr>
            <w:tcW w:w="2209" w:type="pct"/>
            <w:vAlign w:val="center"/>
          </w:tcPr>
          <w:p w:rsidR="00BB4F3E" w:rsidRPr="0036391F" w:rsidRDefault="00BB4F3E" w:rsidP="002B2A76">
            <w:pPr>
              <w:keepNext/>
              <w:keepLines/>
              <w:jc w:val="left"/>
              <w:rPr>
                <w:rFonts w:ascii="Arial Narrow" w:hAnsi="Arial Narrow" w:cs="Times New Roman"/>
                <w:sz w:val="20"/>
              </w:rPr>
            </w:pPr>
            <w:r w:rsidRPr="0036391F">
              <w:rPr>
                <w:rFonts w:ascii="Arial Narrow" w:hAnsi="Arial Narrow"/>
                <w:sz w:val="20"/>
              </w:rPr>
              <w:t>- upper 95% limit (0.70)</w:t>
            </w:r>
          </w:p>
        </w:tc>
        <w:tc>
          <w:tcPr>
            <w:tcW w:w="930" w:type="pct"/>
            <w:vAlign w:val="center"/>
          </w:tcPr>
          <w:p w:rsidR="00BB4F3E" w:rsidRPr="0036391F" w:rsidRDefault="00BB4F3E" w:rsidP="002B2A76">
            <w:pPr>
              <w:keepNext/>
              <w:keepLines/>
              <w:jc w:val="center"/>
              <w:rPr>
                <w:rFonts w:ascii="Arial Narrow" w:hAnsi="Arial Narrow" w:cs="Times New Roman"/>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BB4F3E" w:rsidRPr="000E36E2" w:rsidRDefault="000E36E2" w:rsidP="002B2A76">
            <w:pPr>
              <w:keepNext/>
              <w:keepLines/>
              <w:jc w:val="center"/>
              <w:rPr>
                <w:rFonts w:ascii="Arial Narrow" w:hAnsi="Arial Narrow" w:cs="Times New Roman"/>
                <w:sz w:val="20"/>
                <w:highlight w:val="black"/>
              </w:rPr>
            </w:pPr>
            <w:r>
              <w:rPr>
                <w:rFonts w:ascii="Arial Narrow" w:hAnsi="Arial Narrow"/>
                <w:noProof/>
                <w:color w:val="000000"/>
                <w:sz w:val="20"/>
                <w:highlight w:val="black"/>
              </w:rPr>
              <w:t>''''''''''''''</w:t>
            </w:r>
          </w:p>
        </w:tc>
        <w:tc>
          <w:tcPr>
            <w:tcW w:w="931" w:type="pct"/>
            <w:vAlign w:val="center"/>
          </w:tcPr>
          <w:p w:rsidR="00BB4F3E" w:rsidRPr="0036391F" w:rsidRDefault="00BB4F3E" w:rsidP="002B2A76">
            <w:pPr>
              <w:keepNext/>
              <w:keepLines/>
              <w:jc w:val="center"/>
              <w:rPr>
                <w:rFonts w:ascii="Arial Narrow" w:hAnsi="Arial Narrow" w:cs="Times New Roman"/>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737BE9">
        <w:tc>
          <w:tcPr>
            <w:tcW w:w="5000" w:type="pct"/>
            <w:gridSpan w:val="4"/>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Relationship between treatment effect from trial based on risk of inflammatory flare and treatment effect applied in the model to ocular complications (base case 1:1)</w:t>
            </w:r>
          </w:p>
        </w:tc>
      </w:tr>
      <w:tr w:rsidR="00737BE9" w:rsidRPr="0036391F" w:rsidTr="00737BE9">
        <w:tc>
          <w:tcPr>
            <w:tcW w:w="2209" w:type="pct"/>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 xml:space="preserve">- </w:t>
            </w:r>
            <w:r w:rsidR="000E36E2">
              <w:rPr>
                <w:rFonts w:ascii="Arial Narrow" w:hAnsi="Arial Narrow"/>
                <w:noProof/>
                <w:color w:val="000000"/>
                <w:sz w:val="20"/>
                <w:highlight w:val="black"/>
              </w:rPr>
              <w:t>'''''''''''''''</w:t>
            </w:r>
            <w:r w:rsidRPr="0036391F">
              <w:rPr>
                <w:rFonts w:ascii="Arial Narrow" w:hAnsi="Arial Narrow"/>
                <w:sz w:val="20"/>
              </w:rPr>
              <w:t xml:space="preserve"> (relative effect </w:t>
            </w:r>
            <w:r w:rsidR="000E36E2">
              <w:rPr>
                <w:rFonts w:ascii="Arial Narrow" w:hAnsi="Arial Narrow"/>
                <w:noProof/>
                <w:color w:val="000000"/>
                <w:sz w:val="20"/>
                <w:highlight w:val="black"/>
              </w:rPr>
              <w:t>'''''''''''''''</w:t>
            </w:r>
            <w:r w:rsidRPr="0036391F">
              <w:rPr>
                <w:rFonts w:ascii="Arial Narrow" w:hAnsi="Arial Narrow"/>
                <w:sz w:val="20"/>
              </w:rPr>
              <w:t>)</w:t>
            </w:r>
          </w:p>
        </w:tc>
        <w:tc>
          <w:tcPr>
            <w:tcW w:w="930"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737BE9">
        <w:tc>
          <w:tcPr>
            <w:tcW w:w="2209" w:type="pct"/>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 xml:space="preserve">- </w:t>
            </w:r>
            <w:r w:rsidR="000E36E2">
              <w:rPr>
                <w:rFonts w:ascii="Arial Narrow" w:hAnsi="Arial Narrow"/>
                <w:noProof/>
                <w:color w:val="000000"/>
                <w:sz w:val="20"/>
                <w:highlight w:val="black"/>
              </w:rPr>
              <w:t>''''''''''''''</w:t>
            </w:r>
            <w:r w:rsidRPr="0036391F">
              <w:rPr>
                <w:rFonts w:ascii="Arial Narrow" w:hAnsi="Arial Narrow"/>
                <w:sz w:val="20"/>
              </w:rPr>
              <w:t xml:space="preserve"> (relative effect </w:t>
            </w:r>
            <w:r w:rsidR="000E36E2">
              <w:rPr>
                <w:rFonts w:ascii="Arial Narrow" w:hAnsi="Arial Narrow"/>
                <w:noProof/>
                <w:color w:val="000000"/>
                <w:sz w:val="20"/>
                <w:highlight w:val="black"/>
              </w:rPr>
              <w:t>''''''''''</w:t>
            </w:r>
            <w:r w:rsidRPr="0036391F">
              <w:rPr>
                <w:rFonts w:ascii="Arial Narrow" w:hAnsi="Arial Narrow"/>
                <w:sz w:val="20"/>
              </w:rPr>
              <w:t>)</w:t>
            </w:r>
          </w:p>
        </w:tc>
        <w:tc>
          <w:tcPr>
            <w:tcW w:w="930"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737BE9">
        <w:tc>
          <w:tcPr>
            <w:tcW w:w="2209" w:type="pct"/>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Treatment effect applied to risk attributable to uveitis only</w:t>
            </w:r>
          </w:p>
        </w:tc>
        <w:tc>
          <w:tcPr>
            <w:tcW w:w="930"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737BE9">
        <w:tc>
          <w:tcPr>
            <w:tcW w:w="5000" w:type="pct"/>
            <w:gridSpan w:val="4"/>
            <w:vAlign w:val="center"/>
          </w:tcPr>
          <w:p w:rsidR="00737BE9" w:rsidRPr="0036391F" w:rsidRDefault="00737BE9" w:rsidP="002B2A76">
            <w:pPr>
              <w:keepNext/>
              <w:keepLines/>
              <w:jc w:val="left"/>
              <w:rPr>
                <w:rFonts w:ascii="Arial Narrow" w:hAnsi="Arial Narrow" w:cs="Times New Roman"/>
                <w:sz w:val="20"/>
              </w:rPr>
            </w:pPr>
            <w:r w:rsidRPr="0036391F">
              <w:rPr>
                <w:rFonts w:ascii="Arial Narrow" w:hAnsi="Arial Narrow"/>
                <w:sz w:val="20"/>
              </w:rPr>
              <w:t xml:space="preserve">Time horizon (base case lifetime/maximum </w:t>
            </w:r>
            <w:r w:rsidR="000E36E2">
              <w:rPr>
                <w:rFonts w:ascii="Arial Narrow" w:hAnsi="Arial Narrow"/>
                <w:noProof/>
                <w:color w:val="000000"/>
                <w:sz w:val="20"/>
                <w:highlight w:val="black"/>
              </w:rPr>
              <w:t>'''''</w:t>
            </w:r>
            <w:r w:rsidRPr="0036391F">
              <w:rPr>
                <w:rFonts w:ascii="Arial Narrow" w:hAnsi="Arial Narrow"/>
                <w:sz w:val="20"/>
              </w:rPr>
              <w:t xml:space="preserve"> years; age </w:t>
            </w:r>
            <w:r w:rsidR="000E36E2">
              <w:rPr>
                <w:rFonts w:ascii="Arial Narrow" w:hAnsi="Arial Narrow"/>
                <w:noProof/>
                <w:color w:val="000000"/>
                <w:sz w:val="20"/>
                <w:highlight w:val="black"/>
              </w:rPr>
              <w:t>''''''''''</w:t>
            </w:r>
            <w:r w:rsidRPr="0036391F">
              <w:rPr>
                <w:rFonts w:ascii="Arial Narrow" w:hAnsi="Arial Narrow"/>
                <w:sz w:val="20"/>
              </w:rPr>
              <w:t xml:space="preserve"> years)</w:t>
            </w:r>
          </w:p>
        </w:tc>
      </w:tr>
      <w:tr w:rsidR="00737BE9" w:rsidRPr="0036391F" w:rsidTr="00662B27">
        <w:tc>
          <w:tcPr>
            <w:tcW w:w="2209" w:type="pct"/>
            <w:vAlign w:val="center"/>
          </w:tcPr>
          <w:p w:rsidR="00737BE9" w:rsidRPr="0036391F" w:rsidRDefault="00737BE9" w:rsidP="002B2A76">
            <w:pPr>
              <w:keepNext/>
              <w:keepLines/>
              <w:jc w:val="left"/>
              <w:rPr>
                <w:rFonts w:ascii="Arial Narrow" w:hAnsi="Arial Narrow" w:cs="Times New Roman"/>
                <w:sz w:val="20"/>
              </w:rPr>
            </w:pPr>
            <w:r w:rsidRPr="0036391F">
              <w:rPr>
                <w:rFonts w:ascii="Arial Narrow" w:hAnsi="Arial Narrow"/>
                <w:sz w:val="20"/>
              </w:rPr>
              <w:t>- 10 years</w:t>
            </w:r>
          </w:p>
        </w:tc>
        <w:tc>
          <w:tcPr>
            <w:tcW w:w="930" w:type="pct"/>
            <w:vAlign w:val="center"/>
          </w:tcPr>
          <w:p w:rsidR="00737BE9" w:rsidRPr="0036391F" w:rsidRDefault="00737BE9" w:rsidP="002B2A76">
            <w:pPr>
              <w:keepNext/>
              <w:keepLines/>
              <w:jc w:val="center"/>
              <w:rPr>
                <w:rFonts w:ascii="Arial Narrow" w:hAnsi="Arial Narrow" w:cs="Times New Roman"/>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cs="Times New Roman"/>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cs="Times New Roman"/>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662B27">
        <w:tc>
          <w:tcPr>
            <w:tcW w:w="2209" w:type="pct"/>
            <w:vAlign w:val="center"/>
          </w:tcPr>
          <w:p w:rsidR="00737BE9" w:rsidRPr="0036391F" w:rsidRDefault="00737BE9" w:rsidP="002B2A76">
            <w:pPr>
              <w:keepNext/>
              <w:keepLines/>
              <w:jc w:val="left"/>
              <w:rPr>
                <w:rFonts w:ascii="Arial Narrow" w:hAnsi="Arial Narrow" w:cs="Times New Roman"/>
                <w:sz w:val="20"/>
              </w:rPr>
            </w:pPr>
            <w:r w:rsidRPr="0036391F">
              <w:rPr>
                <w:rFonts w:ascii="Arial Narrow" w:hAnsi="Arial Narrow"/>
                <w:sz w:val="20"/>
              </w:rPr>
              <w:t>- 20 years</w:t>
            </w:r>
          </w:p>
        </w:tc>
        <w:tc>
          <w:tcPr>
            <w:tcW w:w="930" w:type="pct"/>
            <w:vAlign w:val="center"/>
          </w:tcPr>
          <w:p w:rsidR="00737BE9" w:rsidRPr="0036391F" w:rsidRDefault="00737BE9" w:rsidP="002B2A76">
            <w:pPr>
              <w:keepNext/>
              <w:keepLines/>
              <w:jc w:val="center"/>
              <w:rPr>
                <w:rFonts w:ascii="Arial Narrow" w:hAnsi="Arial Narrow" w:cs="Times New Roman"/>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cs="Times New Roman"/>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cs="Times New Roman"/>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662B27">
        <w:tc>
          <w:tcPr>
            <w:tcW w:w="2209" w:type="pct"/>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Annual cost of blindness (base case $</w:t>
            </w:r>
            <w:r w:rsidR="000E36E2">
              <w:rPr>
                <w:rFonts w:ascii="Arial Narrow" w:hAnsi="Arial Narrow"/>
                <w:noProof/>
                <w:color w:val="000000"/>
                <w:sz w:val="20"/>
                <w:highlight w:val="black"/>
              </w:rPr>
              <w:t>'''''''''''''</w:t>
            </w:r>
            <w:r w:rsidRPr="0036391F">
              <w:rPr>
                <w:rFonts w:ascii="Arial Narrow" w:hAnsi="Arial Narrow"/>
                <w:sz w:val="20"/>
              </w:rPr>
              <w:t>)</w:t>
            </w:r>
          </w:p>
        </w:tc>
        <w:tc>
          <w:tcPr>
            <w:tcW w:w="930" w:type="pct"/>
            <w:vAlign w:val="center"/>
          </w:tcPr>
          <w:p w:rsidR="00737BE9" w:rsidRPr="0036391F" w:rsidRDefault="00737BE9" w:rsidP="002B2A76">
            <w:pPr>
              <w:keepNext/>
              <w:keepLines/>
              <w:jc w:val="center"/>
              <w:rPr>
                <w:rFonts w:ascii="Arial Narrow" w:hAnsi="Arial Narrow"/>
                <w:sz w:val="20"/>
              </w:rPr>
            </w:pPr>
          </w:p>
        </w:tc>
        <w:tc>
          <w:tcPr>
            <w:tcW w:w="930" w:type="pct"/>
            <w:vAlign w:val="center"/>
          </w:tcPr>
          <w:p w:rsidR="00737BE9" w:rsidRPr="0036391F" w:rsidRDefault="00737BE9" w:rsidP="002B2A76">
            <w:pPr>
              <w:keepNext/>
              <w:keepLines/>
              <w:jc w:val="center"/>
              <w:rPr>
                <w:rFonts w:ascii="Arial Narrow" w:hAnsi="Arial Narrow"/>
                <w:sz w:val="20"/>
              </w:rPr>
            </w:pPr>
          </w:p>
        </w:tc>
        <w:tc>
          <w:tcPr>
            <w:tcW w:w="931" w:type="pct"/>
            <w:vAlign w:val="center"/>
          </w:tcPr>
          <w:p w:rsidR="00737BE9" w:rsidRPr="0036391F" w:rsidRDefault="00737BE9" w:rsidP="002B2A76">
            <w:pPr>
              <w:keepNext/>
              <w:keepLines/>
              <w:jc w:val="center"/>
              <w:rPr>
                <w:rFonts w:ascii="Arial Narrow" w:hAnsi="Arial Narrow"/>
                <w:sz w:val="20"/>
              </w:rPr>
            </w:pPr>
          </w:p>
        </w:tc>
      </w:tr>
      <w:tr w:rsidR="00737BE9" w:rsidRPr="0036391F" w:rsidTr="00662B27">
        <w:tc>
          <w:tcPr>
            <w:tcW w:w="2209" w:type="pct"/>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 increase by 50% ($</w:t>
            </w:r>
            <w:r w:rsidR="000E36E2">
              <w:rPr>
                <w:rFonts w:ascii="Arial Narrow" w:hAnsi="Arial Narrow"/>
                <w:noProof/>
                <w:color w:val="000000"/>
                <w:sz w:val="20"/>
                <w:highlight w:val="black"/>
              </w:rPr>
              <w:t>'''''''''''''''''</w:t>
            </w:r>
            <w:r w:rsidRPr="0036391F">
              <w:rPr>
                <w:rFonts w:ascii="Arial Narrow" w:hAnsi="Arial Narrow"/>
                <w:sz w:val="20"/>
              </w:rPr>
              <w:t>)</w:t>
            </w:r>
          </w:p>
        </w:tc>
        <w:tc>
          <w:tcPr>
            <w:tcW w:w="930"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662B27">
        <w:tc>
          <w:tcPr>
            <w:tcW w:w="2209" w:type="pct"/>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 decrease by 50% ($</w:t>
            </w:r>
            <w:r w:rsidR="000E36E2">
              <w:rPr>
                <w:rFonts w:ascii="Arial Narrow" w:hAnsi="Arial Narrow"/>
                <w:noProof/>
                <w:color w:val="000000"/>
                <w:sz w:val="20"/>
                <w:highlight w:val="black"/>
              </w:rPr>
              <w:t>'''''''''''''</w:t>
            </w:r>
            <w:r w:rsidRPr="0036391F">
              <w:rPr>
                <w:rFonts w:ascii="Arial Narrow" w:hAnsi="Arial Narrow"/>
                <w:sz w:val="20"/>
              </w:rPr>
              <w:t>)</w:t>
            </w:r>
          </w:p>
        </w:tc>
        <w:tc>
          <w:tcPr>
            <w:tcW w:w="930"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737BE9">
        <w:tc>
          <w:tcPr>
            <w:tcW w:w="2209" w:type="pct"/>
            <w:vAlign w:val="center"/>
          </w:tcPr>
          <w:p w:rsidR="00737BE9" w:rsidRPr="0036391F" w:rsidRDefault="00737BE9" w:rsidP="002B2A76">
            <w:pPr>
              <w:keepNext/>
              <w:keepLines/>
              <w:jc w:val="left"/>
              <w:rPr>
                <w:rFonts w:ascii="Arial Narrow" w:hAnsi="Arial Narrow" w:cs="Times New Roman"/>
                <w:sz w:val="20"/>
              </w:rPr>
            </w:pPr>
            <w:r w:rsidRPr="0036391F">
              <w:rPr>
                <w:rFonts w:ascii="Arial Narrow" w:hAnsi="Arial Narrow" w:cs="Times New Roman"/>
                <w:sz w:val="20"/>
              </w:rPr>
              <w:t>- include indirect costs of blindness ($</w:t>
            </w:r>
            <w:r w:rsidR="000E36E2">
              <w:rPr>
                <w:rFonts w:ascii="Arial Narrow" w:hAnsi="Arial Narrow"/>
                <w:noProof/>
                <w:snapToGrid/>
                <w:color w:val="000000"/>
                <w:sz w:val="20"/>
                <w:highlight w:val="black"/>
                <w:lang w:eastAsia="en-AU"/>
              </w:rPr>
              <w:t>''''''''''''''''''</w:t>
            </w:r>
            <w:r w:rsidRPr="0036391F">
              <w:rPr>
                <w:rFonts w:ascii="Arial Narrow" w:hAnsi="Arial Narrow"/>
                <w:snapToGrid/>
                <w:sz w:val="20"/>
                <w:lang w:eastAsia="en-AU"/>
              </w:rPr>
              <w:t>/yr)</w:t>
            </w:r>
          </w:p>
        </w:tc>
        <w:tc>
          <w:tcPr>
            <w:tcW w:w="930" w:type="pct"/>
          </w:tcPr>
          <w:p w:rsidR="00737BE9" w:rsidRPr="0036391F" w:rsidRDefault="00737BE9" w:rsidP="002B2A76">
            <w:pPr>
              <w:keepNext/>
              <w:keepLines/>
              <w:jc w:val="center"/>
              <w:rPr>
                <w:rFonts w:ascii="Arial Narrow" w:hAnsi="Arial Narrow" w:cs="Times New Roman"/>
                <w:sz w:val="20"/>
              </w:rPr>
            </w:pPr>
            <w:r w:rsidRPr="0036391F">
              <w:rPr>
                <w:rFonts w:ascii="Arial Narrow" w:hAnsi="Arial Narrow" w:cs="Times New Roman"/>
                <w:sz w:val="20"/>
              </w:rPr>
              <w:t>$</w:t>
            </w:r>
            <w:r w:rsidR="000E36E2">
              <w:rPr>
                <w:rFonts w:ascii="Arial Narrow" w:hAnsi="Arial Narrow" w:cs="Times New Roman"/>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931" w:type="pct"/>
          </w:tcPr>
          <w:p w:rsidR="00737BE9" w:rsidRPr="0036391F" w:rsidRDefault="00737BE9" w:rsidP="002B2A76">
            <w:pPr>
              <w:keepNext/>
              <w:keepLines/>
              <w:jc w:val="center"/>
              <w:rPr>
                <w:rFonts w:ascii="Arial Narrow" w:hAnsi="Arial Narrow" w:cs="Times New Roman"/>
                <w:sz w:val="20"/>
              </w:rPr>
            </w:pPr>
            <w:r w:rsidRPr="0036391F">
              <w:rPr>
                <w:rFonts w:ascii="Arial Narrow" w:hAnsi="Arial Narrow" w:cs="Times New Roman"/>
                <w:sz w:val="20"/>
              </w:rPr>
              <w:t>$</w:t>
            </w:r>
            <w:r w:rsidR="000E36E2">
              <w:rPr>
                <w:rFonts w:ascii="Arial Narrow" w:hAnsi="Arial Narrow" w:cs="Times New Roman"/>
                <w:noProof/>
                <w:color w:val="000000"/>
                <w:sz w:val="20"/>
                <w:highlight w:val="black"/>
              </w:rPr>
              <w:t>''''''''''''''''</w:t>
            </w:r>
          </w:p>
        </w:tc>
      </w:tr>
      <w:tr w:rsidR="00737BE9" w:rsidRPr="0036391F" w:rsidTr="00737BE9">
        <w:tc>
          <w:tcPr>
            <w:tcW w:w="2209" w:type="pct"/>
            <w:vAlign w:val="center"/>
          </w:tcPr>
          <w:p w:rsidR="00737BE9" w:rsidRPr="0036391F" w:rsidRDefault="00737BE9" w:rsidP="002B2A76">
            <w:pPr>
              <w:keepNext/>
              <w:keepLines/>
              <w:jc w:val="left"/>
              <w:rPr>
                <w:rFonts w:ascii="Arial Narrow" w:hAnsi="Arial Narrow" w:cs="Times New Roman"/>
                <w:sz w:val="20"/>
              </w:rPr>
            </w:pPr>
            <w:r w:rsidRPr="0036391F">
              <w:rPr>
                <w:rFonts w:ascii="Arial Narrow" w:hAnsi="Arial Narrow"/>
                <w:sz w:val="20"/>
              </w:rPr>
              <w:t>Annual cost of glaucoma (base case $</w:t>
            </w:r>
            <w:r w:rsidR="000E36E2">
              <w:rPr>
                <w:rFonts w:ascii="Arial Narrow" w:hAnsi="Arial Narrow"/>
                <w:noProof/>
                <w:color w:val="000000"/>
                <w:sz w:val="20"/>
                <w:highlight w:val="black"/>
              </w:rPr>
              <w:t>''''''''''''''</w:t>
            </w:r>
            <w:r w:rsidRPr="0036391F">
              <w:rPr>
                <w:rFonts w:ascii="Arial Narrow" w:hAnsi="Arial Narrow"/>
                <w:sz w:val="20"/>
              </w:rPr>
              <w:t>)</w:t>
            </w:r>
          </w:p>
        </w:tc>
        <w:tc>
          <w:tcPr>
            <w:tcW w:w="930" w:type="pct"/>
          </w:tcPr>
          <w:p w:rsidR="00737BE9" w:rsidRPr="0036391F" w:rsidRDefault="00737BE9" w:rsidP="002B2A76">
            <w:pPr>
              <w:keepNext/>
              <w:keepLines/>
              <w:jc w:val="center"/>
              <w:rPr>
                <w:rFonts w:ascii="Arial Narrow" w:hAnsi="Arial Narrow" w:cs="Times New Roman"/>
                <w:sz w:val="20"/>
              </w:rPr>
            </w:pPr>
          </w:p>
        </w:tc>
        <w:tc>
          <w:tcPr>
            <w:tcW w:w="930" w:type="pct"/>
            <w:vAlign w:val="center"/>
          </w:tcPr>
          <w:p w:rsidR="00737BE9" w:rsidRPr="0036391F" w:rsidRDefault="00737BE9" w:rsidP="002B2A76">
            <w:pPr>
              <w:keepNext/>
              <w:keepLines/>
              <w:jc w:val="center"/>
              <w:rPr>
                <w:rFonts w:ascii="Arial Narrow" w:hAnsi="Arial Narrow" w:cs="Times New Roman"/>
                <w:sz w:val="20"/>
              </w:rPr>
            </w:pPr>
          </w:p>
        </w:tc>
        <w:tc>
          <w:tcPr>
            <w:tcW w:w="931" w:type="pct"/>
          </w:tcPr>
          <w:p w:rsidR="00737BE9" w:rsidRPr="0036391F" w:rsidRDefault="00737BE9" w:rsidP="002B2A76">
            <w:pPr>
              <w:keepNext/>
              <w:keepLines/>
              <w:jc w:val="center"/>
              <w:rPr>
                <w:rFonts w:ascii="Arial Narrow" w:hAnsi="Arial Narrow" w:cs="Times New Roman"/>
                <w:sz w:val="20"/>
              </w:rPr>
            </w:pPr>
          </w:p>
        </w:tc>
      </w:tr>
      <w:tr w:rsidR="00737BE9" w:rsidRPr="0036391F" w:rsidTr="00662B27">
        <w:tc>
          <w:tcPr>
            <w:tcW w:w="2209" w:type="pct"/>
            <w:vAlign w:val="center"/>
          </w:tcPr>
          <w:p w:rsidR="00737BE9" w:rsidRPr="0036391F" w:rsidRDefault="00737BE9" w:rsidP="002B2A76">
            <w:pPr>
              <w:keepNext/>
              <w:keepLines/>
              <w:jc w:val="left"/>
              <w:rPr>
                <w:rFonts w:ascii="Arial Narrow" w:hAnsi="Arial Narrow" w:cs="Times New Roman"/>
                <w:sz w:val="20"/>
              </w:rPr>
            </w:pPr>
            <w:r w:rsidRPr="0036391F">
              <w:rPr>
                <w:rFonts w:ascii="Arial Narrow" w:hAnsi="Arial Narrow"/>
                <w:sz w:val="20"/>
              </w:rPr>
              <w:t>- increase by 50% ($</w:t>
            </w:r>
            <w:r w:rsidR="000E36E2">
              <w:rPr>
                <w:rFonts w:ascii="Arial Narrow" w:hAnsi="Arial Narrow"/>
                <w:noProof/>
                <w:color w:val="000000"/>
                <w:sz w:val="20"/>
                <w:highlight w:val="black"/>
              </w:rPr>
              <w:t>''''''''''''</w:t>
            </w:r>
            <w:r w:rsidRPr="0036391F">
              <w:rPr>
                <w:rFonts w:ascii="Arial Narrow" w:hAnsi="Arial Narrow"/>
                <w:sz w:val="20"/>
              </w:rPr>
              <w:t>)</w:t>
            </w:r>
          </w:p>
        </w:tc>
        <w:tc>
          <w:tcPr>
            <w:tcW w:w="930" w:type="pct"/>
            <w:vAlign w:val="center"/>
          </w:tcPr>
          <w:p w:rsidR="00737BE9" w:rsidRPr="0036391F" w:rsidRDefault="00737BE9" w:rsidP="002B2A76">
            <w:pPr>
              <w:keepNext/>
              <w:keepLines/>
              <w:jc w:val="center"/>
              <w:rPr>
                <w:rFonts w:ascii="Arial Narrow" w:hAnsi="Arial Narrow" w:cs="Times New Roman"/>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cs="Times New Roman"/>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cs="Times New Roman"/>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662B27">
        <w:tc>
          <w:tcPr>
            <w:tcW w:w="2209" w:type="pct"/>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 decrease by 50% ($</w:t>
            </w:r>
            <w:r w:rsidR="000E36E2">
              <w:rPr>
                <w:rFonts w:ascii="Arial Narrow" w:hAnsi="Arial Narrow"/>
                <w:noProof/>
                <w:color w:val="000000"/>
                <w:sz w:val="20"/>
                <w:highlight w:val="black"/>
              </w:rPr>
              <w:t>''''''''''''''</w:t>
            </w:r>
            <w:r w:rsidRPr="0036391F">
              <w:rPr>
                <w:rFonts w:ascii="Arial Narrow" w:hAnsi="Arial Narrow"/>
                <w:sz w:val="20"/>
              </w:rPr>
              <w:t>)</w:t>
            </w:r>
          </w:p>
        </w:tc>
        <w:tc>
          <w:tcPr>
            <w:tcW w:w="930"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737BE9">
        <w:tc>
          <w:tcPr>
            <w:tcW w:w="5000" w:type="pct"/>
            <w:gridSpan w:val="4"/>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Annual cost of retinal disorder (base case $</w:t>
            </w:r>
            <w:r w:rsidR="000E36E2">
              <w:rPr>
                <w:rFonts w:ascii="Arial Narrow" w:hAnsi="Arial Narrow"/>
                <w:noProof/>
                <w:color w:val="000000"/>
                <w:sz w:val="20"/>
                <w:highlight w:val="black"/>
              </w:rPr>
              <w:t>'''''''''''''''</w:t>
            </w:r>
            <w:r w:rsidRPr="0036391F">
              <w:rPr>
                <w:rFonts w:ascii="Arial Narrow" w:hAnsi="Arial Narrow"/>
                <w:sz w:val="20"/>
              </w:rPr>
              <w:t>)</w:t>
            </w:r>
          </w:p>
        </w:tc>
      </w:tr>
      <w:tr w:rsidR="00737BE9" w:rsidRPr="0036391F" w:rsidTr="00662B27">
        <w:tc>
          <w:tcPr>
            <w:tcW w:w="2209" w:type="pct"/>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 increase by 50% ($</w:t>
            </w:r>
            <w:r w:rsidR="000E36E2">
              <w:rPr>
                <w:rFonts w:ascii="Arial Narrow" w:hAnsi="Arial Narrow"/>
                <w:noProof/>
                <w:color w:val="000000"/>
                <w:sz w:val="20"/>
                <w:highlight w:val="black"/>
              </w:rPr>
              <w:t>''''''''''''</w:t>
            </w:r>
            <w:r w:rsidRPr="0036391F">
              <w:rPr>
                <w:rFonts w:ascii="Arial Narrow" w:hAnsi="Arial Narrow"/>
                <w:sz w:val="20"/>
              </w:rPr>
              <w:t>)</w:t>
            </w:r>
          </w:p>
        </w:tc>
        <w:tc>
          <w:tcPr>
            <w:tcW w:w="930"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662B27">
        <w:tc>
          <w:tcPr>
            <w:tcW w:w="2209" w:type="pct"/>
            <w:vAlign w:val="center"/>
          </w:tcPr>
          <w:p w:rsidR="00737BE9" w:rsidRPr="0036391F" w:rsidRDefault="00737BE9" w:rsidP="002B2A76">
            <w:pPr>
              <w:keepNext/>
              <w:keepLines/>
              <w:jc w:val="left"/>
              <w:rPr>
                <w:rFonts w:ascii="Arial Narrow" w:hAnsi="Arial Narrow"/>
                <w:sz w:val="20"/>
              </w:rPr>
            </w:pPr>
            <w:r w:rsidRPr="0036391F">
              <w:rPr>
                <w:rFonts w:ascii="Arial Narrow" w:hAnsi="Arial Narrow"/>
                <w:sz w:val="20"/>
              </w:rPr>
              <w:t>- decrease by 50% ($</w:t>
            </w:r>
            <w:r w:rsidR="000E36E2">
              <w:rPr>
                <w:rFonts w:ascii="Arial Narrow" w:hAnsi="Arial Narrow"/>
                <w:noProof/>
                <w:color w:val="000000"/>
                <w:sz w:val="20"/>
                <w:highlight w:val="black"/>
              </w:rPr>
              <w:t>'''''''''''''''</w:t>
            </w:r>
            <w:r w:rsidRPr="0036391F">
              <w:rPr>
                <w:rFonts w:ascii="Arial Narrow" w:hAnsi="Arial Narrow"/>
                <w:sz w:val="20"/>
              </w:rPr>
              <w:t>)</w:t>
            </w:r>
          </w:p>
        </w:tc>
        <w:tc>
          <w:tcPr>
            <w:tcW w:w="930"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36391F" w:rsidRDefault="00737BE9" w:rsidP="002B2A76">
            <w:pPr>
              <w:keepNext/>
              <w:keepLines/>
              <w:jc w:val="center"/>
              <w:rPr>
                <w:rFonts w:ascii="Arial Narrow" w:hAnsi="Arial Narrow"/>
                <w:sz w:val="20"/>
              </w:rPr>
            </w:pPr>
            <w:r w:rsidRPr="0036391F">
              <w:rPr>
                <w:rFonts w:ascii="Arial Narrow" w:hAnsi="Arial Narrow"/>
                <w:sz w:val="20"/>
              </w:rPr>
              <w:t>$</w:t>
            </w:r>
            <w:r w:rsidR="000E36E2">
              <w:rPr>
                <w:rFonts w:ascii="Arial Narrow" w:hAnsi="Arial Narrow"/>
                <w:noProof/>
                <w:color w:val="000000"/>
                <w:sz w:val="20"/>
                <w:highlight w:val="black"/>
              </w:rPr>
              <w:t>'''''''''''''''</w:t>
            </w:r>
          </w:p>
        </w:tc>
      </w:tr>
      <w:tr w:rsidR="00737BE9" w:rsidRPr="0036391F" w:rsidTr="00737BE9">
        <w:tc>
          <w:tcPr>
            <w:tcW w:w="5000" w:type="pct"/>
            <w:gridSpan w:val="4"/>
            <w:vAlign w:val="center"/>
          </w:tcPr>
          <w:p w:rsidR="00737BE9" w:rsidRPr="007E0D9B" w:rsidRDefault="00737BE9" w:rsidP="002B2A76">
            <w:pPr>
              <w:keepNext/>
              <w:keepLines/>
              <w:jc w:val="left"/>
              <w:rPr>
                <w:rFonts w:ascii="Arial Narrow" w:hAnsi="Arial Narrow"/>
                <w:sz w:val="20"/>
              </w:rPr>
            </w:pPr>
            <w:r w:rsidRPr="007E0D9B">
              <w:rPr>
                <w:rFonts w:ascii="Arial Narrow" w:hAnsi="Arial Narrow"/>
                <w:sz w:val="20"/>
              </w:rPr>
              <w:t>Blindness/low vision utility (base case 0.26)</w:t>
            </w:r>
          </w:p>
        </w:tc>
      </w:tr>
      <w:tr w:rsidR="00737BE9" w:rsidRPr="0036391F" w:rsidTr="00662B27">
        <w:tc>
          <w:tcPr>
            <w:tcW w:w="2209" w:type="pct"/>
            <w:vAlign w:val="center"/>
          </w:tcPr>
          <w:p w:rsidR="00737BE9" w:rsidRPr="007E0D9B" w:rsidRDefault="00737BE9" w:rsidP="002B2A76">
            <w:pPr>
              <w:keepNext/>
              <w:keepLines/>
              <w:jc w:val="left"/>
              <w:rPr>
                <w:rFonts w:ascii="Arial Narrow" w:hAnsi="Arial Narrow"/>
                <w:sz w:val="20"/>
              </w:rPr>
            </w:pPr>
            <w:r w:rsidRPr="007E0D9B">
              <w:rPr>
                <w:rFonts w:ascii="Arial Narrow" w:hAnsi="Arial Narrow"/>
                <w:sz w:val="20"/>
              </w:rPr>
              <w:t>- 0.47 (alternative estimate from Brown 2001)</w:t>
            </w:r>
          </w:p>
        </w:tc>
        <w:tc>
          <w:tcPr>
            <w:tcW w:w="930"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r>
      <w:tr w:rsidR="00737BE9" w:rsidRPr="0036391F" w:rsidTr="00662B27">
        <w:tc>
          <w:tcPr>
            <w:tcW w:w="2209" w:type="pct"/>
            <w:vAlign w:val="center"/>
          </w:tcPr>
          <w:p w:rsidR="00737BE9" w:rsidRPr="007E0D9B" w:rsidRDefault="00737BE9" w:rsidP="002B2A76">
            <w:pPr>
              <w:keepNext/>
              <w:keepLines/>
              <w:jc w:val="left"/>
              <w:rPr>
                <w:rFonts w:ascii="Arial Narrow" w:hAnsi="Arial Narrow"/>
                <w:sz w:val="20"/>
              </w:rPr>
            </w:pPr>
            <w:r w:rsidRPr="007E0D9B">
              <w:rPr>
                <w:rFonts w:ascii="Arial Narrow" w:hAnsi="Arial Narrow"/>
                <w:sz w:val="20"/>
              </w:rPr>
              <w:t>- 0.65 (alternative estimate from Brown 2001)</w:t>
            </w:r>
          </w:p>
        </w:tc>
        <w:tc>
          <w:tcPr>
            <w:tcW w:w="930"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r>
      <w:tr w:rsidR="00737BE9" w:rsidRPr="0036391F" w:rsidTr="00737BE9">
        <w:tc>
          <w:tcPr>
            <w:tcW w:w="5000" w:type="pct"/>
            <w:gridSpan w:val="4"/>
            <w:vAlign w:val="center"/>
          </w:tcPr>
          <w:p w:rsidR="00737BE9" w:rsidRPr="007E0D9B" w:rsidRDefault="00737BE9" w:rsidP="002B2A76">
            <w:pPr>
              <w:keepNext/>
              <w:keepLines/>
              <w:jc w:val="left"/>
              <w:rPr>
                <w:rFonts w:ascii="Arial Narrow" w:hAnsi="Arial Narrow"/>
                <w:sz w:val="20"/>
              </w:rPr>
            </w:pPr>
            <w:r w:rsidRPr="007E0D9B">
              <w:rPr>
                <w:rFonts w:ascii="Arial Narrow" w:hAnsi="Arial Narrow"/>
                <w:sz w:val="20"/>
              </w:rPr>
              <w:t xml:space="preserve">Glaucoma utility (base case </w:t>
            </w:r>
            <w:r w:rsidR="000E36E2">
              <w:rPr>
                <w:rFonts w:ascii="Arial Narrow" w:hAnsi="Arial Narrow"/>
                <w:noProof/>
                <w:color w:val="000000"/>
                <w:sz w:val="20"/>
                <w:highlight w:val="black"/>
              </w:rPr>
              <w:t>''''''''''''</w:t>
            </w:r>
            <w:r w:rsidRPr="007E0D9B">
              <w:rPr>
                <w:rFonts w:ascii="Arial Narrow" w:hAnsi="Arial Narrow"/>
                <w:sz w:val="20"/>
              </w:rPr>
              <w:t xml:space="preserve">; disutility </w:t>
            </w:r>
            <w:r w:rsidR="000E36E2">
              <w:rPr>
                <w:rFonts w:ascii="Arial Narrow" w:hAnsi="Arial Narrow"/>
                <w:noProof/>
                <w:color w:val="000000"/>
                <w:sz w:val="20"/>
                <w:highlight w:val="black"/>
              </w:rPr>
              <w:t>''''''''''''''</w:t>
            </w:r>
            <w:r w:rsidRPr="007E0D9B">
              <w:rPr>
                <w:rFonts w:ascii="Arial Narrow" w:hAnsi="Arial Narrow"/>
                <w:sz w:val="20"/>
              </w:rPr>
              <w:t>)</w:t>
            </w:r>
          </w:p>
        </w:tc>
      </w:tr>
      <w:tr w:rsidR="00737BE9" w:rsidRPr="0036391F" w:rsidTr="00662B27">
        <w:tc>
          <w:tcPr>
            <w:tcW w:w="2209" w:type="pct"/>
            <w:vAlign w:val="center"/>
          </w:tcPr>
          <w:p w:rsidR="00737BE9" w:rsidRPr="007E0D9B" w:rsidRDefault="00737BE9" w:rsidP="002B2A76">
            <w:pPr>
              <w:keepNext/>
              <w:keepLines/>
              <w:jc w:val="left"/>
              <w:rPr>
                <w:rFonts w:ascii="Arial Narrow" w:hAnsi="Arial Narrow"/>
                <w:sz w:val="20"/>
              </w:rPr>
            </w:pPr>
            <w:r w:rsidRPr="007E0D9B">
              <w:rPr>
                <w:rFonts w:ascii="Arial Narrow" w:hAnsi="Arial Narrow"/>
                <w:sz w:val="20"/>
              </w:rPr>
              <w:t>- increase disutility by 50% (</w:t>
            </w:r>
            <w:r w:rsidR="000E36E2">
              <w:rPr>
                <w:rFonts w:ascii="Arial Narrow" w:hAnsi="Arial Narrow"/>
                <w:noProof/>
                <w:color w:val="000000"/>
                <w:sz w:val="20"/>
                <w:highlight w:val="black"/>
              </w:rPr>
              <w:t>''''''''''''</w:t>
            </w:r>
            <w:r w:rsidRPr="007E0D9B">
              <w:rPr>
                <w:rFonts w:ascii="Arial Narrow" w:hAnsi="Arial Narrow"/>
                <w:sz w:val="20"/>
              </w:rPr>
              <w:t>)</w:t>
            </w:r>
          </w:p>
        </w:tc>
        <w:tc>
          <w:tcPr>
            <w:tcW w:w="930"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r>
      <w:tr w:rsidR="00737BE9" w:rsidRPr="0036391F" w:rsidTr="00662B27">
        <w:tc>
          <w:tcPr>
            <w:tcW w:w="2209" w:type="pct"/>
            <w:vAlign w:val="center"/>
          </w:tcPr>
          <w:p w:rsidR="00737BE9" w:rsidRPr="007E0D9B" w:rsidRDefault="00737BE9" w:rsidP="002B2A76">
            <w:pPr>
              <w:keepNext/>
              <w:keepLines/>
              <w:jc w:val="left"/>
              <w:rPr>
                <w:rFonts w:ascii="Arial Narrow" w:hAnsi="Arial Narrow"/>
                <w:sz w:val="20"/>
              </w:rPr>
            </w:pPr>
            <w:r w:rsidRPr="007E0D9B">
              <w:rPr>
                <w:rFonts w:ascii="Arial Narrow" w:hAnsi="Arial Narrow"/>
                <w:sz w:val="20"/>
              </w:rPr>
              <w:t>- decrease disutility by 50% (</w:t>
            </w:r>
            <w:r w:rsidR="000E36E2">
              <w:rPr>
                <w:rFonts w:ascii="Arial Narrow" w:hAnsi="Arial Narrow"/>
                <w:noProof/>
                <w:color w:val="000000"/>
                <w:sz w:val="20"/>
                <w:highlight w:val="black"/>
              </w:rPr>
              <w:t>'''''''''''''</w:t>
            </w:r>
            <w:r w:rsidRPr="007E0D9B">
              <w:rPr>
                <w:rFonts w:ascii="Arial Narrow" w:hAnsi="Arial Narrow"/>
                <w:sz w:val="20"/>
              </w:rPr>
              <w:t>)</w:t>
            </w:r>
          </w:p>
        </w:tc>
        <w:tc>
          <w:tcPr>
            <w:tcW w:w="930"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r>
      <w:tr w:rsidR="00737BE9" w:rsidRPr="0036391F" w:rsidTr="00737BE9">
        <w:tc>
          <w:tcPr>
            <w:tcW w:w="5000" w:type="pct"/>
            <w:gridSpan w:val="4"/>
            <w:vAlign w:val="center"/>
          </w:tcPr>
          <w:p w:rsidR="00737BE9" w:rsidRPr="007E0D9B" w:rsidRDefault="00737BE9" w:rsidP="002B2A76">
            <w:pPr>
              <w:keepNext/>
              <w:keepLines/>
              <w:rPr>
                <w:rFonts w:ascii="Arial Narrow" w:hAnsi="Arial Narrow"/>
                <w:sz w:val="20"/>
              </w:rPr>
            </w:pPr>
            <w:r w:rsidRPr="007E0D9B">
              <w:rPr>
                <w:rFonts w:ascii="Arial Narrow" w:hAnsi="Arial Narrow"/>
                <w:sz w:val="20"/>
              </w:rPr>
              <w:t xml:space="preserve">Retinal disorder utility (base case </w:t>
            </w:r>
            <w:r w:rsidR="000E36E2">
              <w:rPr>
                <w:rFonts w:ascii="Arial Narrow" w:hAnsi="Arial Narrow"/>
                <w:noProof/>
                <w:color w:val="000000"/>
                <w:sz w:val="20"/>
                <w:highlight w:val="black"/>
              </w:rPr>
              <w:t>''''''''''''</w:t>
            </w:r>
            <w:r w:rsidRPr="007E0D9B">
              <w:rPr>
                <w:rFonts w:ascii="Arial Narrow" w:hAnsi="Arial Narrow"/>
                <w:sz w:val="20"/>
              </w:rPr>
              <w:t xml:space="preserve">; disutility </w:t>
            </w:r>
            <w:r w:rsidR="000E36E2">
              <w:rPr>
                <w:rFonts w:ascii="Arial Narrow" w:hAnsi="Arial Narrow"/>
                <w:noProof/>
                <w:color w:val="000000"/>
                <w:sz w:val="20"/>
                <w:highlight w:val="black"/>
              </w:rPr>
              <w:t>''''''''''</w:t>
            </w:r>
            <w:r w:rsidRPr="007E0D9B">
              <w:rPr>
                <w:rFonts w:ascii="Arial Narrow" w:hAnsi="Arial Narrow"/>
                <w:sz w:val="20"/>
              </w:rPr>
              <w:t>)</w:t>
            </w:r>
          </w:p>
        </w:tc>
      </w:tr>
      <w:tr w:rsidR="00737BE9" w:rsidRPr="0036391F" w:rsidTr="00662B27">
        <w:tc>
          <w:tcPr>
            <w:tcW w:w="2209" w:type="pct"/>
            <w:vAlign w:val="center"/>
          </w:tcPr>
          <w:p w:rsidR="00737BE9" w:rsidRPr="007E0D9B" w:rsidRDefault="00737BE9" w:rsidP="002B2A76">
            <w:pPr>
              <w:keepNext/>
              <w:keepLines/>
              <w:jc w:val="left"/>
              <w:rPr>
                <w:rFonts w:ascii="Arial Narrow" w:hAnsi="Arial Narrow"/>
                <w:sz w:val="20"/>
              </w:rPr>
            </w:pPr>
            <w:r w:rsidRPr="007E0D9B">
              <w:rPr>
                <w:rFonts w:ascii="Arial Narrow" w:hAnsi="Arial Narrow"/>
                <w:sz w:val="20"/>
              </w:rPr>
              <w:t>- increase disutility by 50% (</w:t>
            </w:r>
            <w:r w:rsidR="000E36E2">
              <w:rPr>
                <w:rFonts w:ascii="Arial Narrow" w:hAnsi="Arial Narrow"/>
                <w:noProof/>
                <w:color w:val="000000"/>
                <w:sz w:val="20"/>
                <w:highlight w:val="black"/>
              </w:rPr>
              <w:t>''''''''''''''</w:t>
            </w:r>
            <w:r w:rsidRPr="007E0D9B">
              <w:rPr>
                <w:rFonts w:ascii="Arial Narrow" w:hAnsi="Arial Narrow"/>
                <w:sz w:val="20"/>
              </w:rPr>
              <w:t>)</w:t>
            </w:r>
          </w:p>
        </w:tc>
        <w:tc>
          <w:tcPr>
            <w:tcW w:w="930"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r>
      <w:tr w:rsidR="00737BE9" w:rsidRPr="0036391F" w:rsidTr="00662B27">
        <w:tc>
          <w:tcPr>
            <w:tcW w:w="2209" w:type="pct"/>
            <w:vAlign w:val="center"/>
          </w:tcPr>
          <w:p w:rsidR="00737BE9" w:rsidRPr="007E0D9B" w:rsidRDefault="00737BE9" w:rsidP="002B2A76">
            <w:pPr>
              <w:keepNext/>
              <w:keepLines/>
              <w:jc w:val="left"/>
              <w:rPr>
                <w:rFonts w:ascii="Arial Narrow" w:hAnsi="Arial Narrow"/>
                <w:sz w:val="20"/>
              </w:rPr>
            </w:pPr>
            <w:r w:rsidRPr="007E0D9B">
              <w:rPr>
                <w:rFonts w:ascii="Arial Narrow" w:hAnsi="Arial Narrow"/>
                <w:sz w:val="20"/>
              </w:rPr>
              <w:t>- decrease disutility by 50% (</w:t>
            </w:r>
            <w:r w:rsidR="000E36E2">
              <w:rPr>
                <w:rFonts w:ascii="Arial Narrow" w:hAnsi="Arial Narrow"/>
                <w:noProof/>
                <w:color w:val="000000"/>
                <w:sz w:val="20"/>
                <w:highlight w:val="black"/>
              </w:rPr>
              <w:t>'''''''''''''</w:t>
            </w:r>
            <w:r w:rsidRPr="007E0D9B">
              <w:rPr>
                <w:rFonts w:ascii="Arial Narrow" w:hAnsi="Arial Narrow"/>
                <w:sz w:val="20"/>
              </w:rPr>
              <w:t>)</w:t>
            </w:r>
          </w:p>
        </w:tc>
        <w:tc>
          <w:tcPr>
            <w:tcW w:w="930"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sz w:val="20"/>
              </w:rPr>
              <w:t>$</w:t>
            </w:r>
            <w:r w:rsidR="000E36E2">
              <w:rPr>
                <w:rFonts w:ascii="Arial Narrow" w:hAnsi="Arial Narrow"/>
                <w:noProof/>
                <w:color w:val="000000"/>
                <w:sz w:val="20"/>
                <w:highlight w:val="black"/>
              </w:rPr>
              <w:t>'''''''''''''''</w:t>
            </w:r>
          </w:p>
        </w:tc>
      </w:tr>
      <w:tr w:rsidR="00737BE9" w:rsidRPr="0036391F" w:rsidTr="00737BE9">
        <w:tc>
          <w:tcPr>
            <w:tcW w:w="5000" w:type="pct"/>
            <w:gridSpan w:val="4"/>
            <w:vAlign w:val="center"/>
          </w:tcPr>
          <w:p w:rsidR="00737BE9" w:rsidRPr="007E0D9B" w:rsidRDefault="00737BE9" w:rsidP="002B2A76">
            <w:pPr>
              <w:keepNext/>
              <w:keepLines/>
              <w:jc w:val="left"/>
              <w:rPr>
                <w:rFonts w:ascii="Arial Narrow" w:hAnsi="Arial Narrow"/>
                <w:sz w:val="20"/>
              </w:rPr>
            </w:pPr>
            <w:r w:rsidRPr="007E0D9B">
              <w:rPr>
                <w:rFonts w:ascii="Arial Narrow" w:hAnsi="Arial Narrow"/>
                <w:sz w:val="20"/>
              </w:rPr>
              <w:t>Disease remission</w:t>
            </w:r>
            <w:r w:rsidR="00685835" w:rsidRPr="007E0D9B">
              <w:rPr>
                <w:rFonts w:ascii="Arial Narrow" w:hAnsi="Arial Narrow"/>
                <w:sz w:val="20"/>
              </w:rPr>
              <w:t>/treatment withdrawal</w:t>
            </w:r>
            <w:r w:rsidRPr="007E0D9B">
              <w:rPr>
                <w:rFonts w:ascii="Arial Narrow" w:hAnsi="Arial Narrow"/>
                <w:sz w:val="20"/>
              </w:rPr>
              <w:t xml:space="preserve"> (base case </w:t>
            </w:r>
            <w:r w:rsidR="000E36E2">
              <w:rPr>
                <w:rFonts w:ascii="Arial Narrow" w:hAnsi="Arial Narrow"/>
                <w:noProof/>
                <w:color w:val="000000"/>
                <w:sz w:val="20"/>
                <w:highlight w:val="black"/>
              </w:rPr>
              <w:t>''''''''''</w:t>
            </w:r>
            <w:r w:rsidRPr="007E0D9B">
              <w:rPr>
                <w:rFonts w:ascii="Arial Narrow" w:hAnsi="Arial Narrow"/>
                <w:sz w:val="20"/>
              </w:rPr>
              <w:t xml:space="preserve">% at </w:t>
            </w:r>
            <w:r w:rsidR="000E36E2">
              <w:rPr>
                <w:rFonts w:ascii="Arial Narrow" w:hAnsi="Arial Narrow"/>
                <w:noProof/>
                <w:color w:val="000000"/>
                <w:sz w:val="20"/>
                <w:highlight w:val="black"/>
              </w:rPr>
              <w:t>'''</w:t>
            </w:r>
            <w:r w:rsidRPr="007E0D9B">
              <w:rPr>
                <w:rFonts w:ascii="Arial Narrow" w:hAnsi="Arial Narrow"/>
                <w:sz w:val="20"/>
              </w:rPr>
              <w:t xml:space="preserve"> years; </w:t>
            </w:r>
            <w:r w:rsidR="000E36E2">
              <w:rPr>
                <w:rFonts w:ascii="Arial Narrow" w:hAnsi="Arial Narrow"/>
                <w:noProof/>
                <w:color w:val="000000"/>
                <w:sz w:val="20"/>
                <w:highlight w:val="black"/>
              </w:rPr>
              <w:t>''''''''''</w:t>
            </w:r>
            <w:r w:rsidRPr="007E0D9B">
              <w:rPr>
                <w:rFonts w:ascii="Arial Narrow" w:hAnsi="Arial Narrow"/>
                <w:sz w:val="20"/>
              </w:rPr>
              <w:t xml:space="preserve">% at </w:t>
            </w:r>
            <w:r w:rsidR="000E36E2">
              <w:rPr>
                <w:rFonts w:ascii="Arial Narrow" w:hAnsi="Arial Narrow"/>
                <w:noProof/>
                <w:color w:val="000000"/>
                <w:sz w:val="20"/>
                <w:highlight w:val="black"/>
              </w:rPr>
              <w:t>''''''</w:t>
            </w:r>
            <w:r w:rsidRPr="007E0D9B">
              <w:rPr>
                <w:rFonts w:ascii="Arial Narrow" w:hAnsi="Arial Narrow"/>
                <w:sz w:val="20"/>
              </w:rPr>
              <w:t xml:space="preserve"> years)</w:t>
            </w:r>
          </w:p>
        </w:tc>
      </w:tr>
      <w:tr w:rsidR="00737BE9" w:rsidRPr="0036391F" w:rsidTr="00662B27">
        <w:tc>
          <w:tcPr>
            <w:tcW w:w="2209" w:type="pct"/>
            <w:vAlign w:val="center"/>
          </w:tcPr>
          <w:p w:rsidR="00737BE9" w:rsidRPr="007E0D9B" w:rsidRDefault="00737BE9" w:rsidP="002B2A76">
            <w:pPr>
              <w:keepNext/>
              <w:keepLines/>
              <w:jc w:val="left"/>
              <w:rPr>
                <w:rFonts w:ascii="Arial Narrow" w:hAnsi="Arial Narrow"/>
                <w:sz w:val="20"/>
              </w:rPr>
            </w:pPr>
            <w:r w:rsidRPr="007E0D9B">
              <w:rPr>
                <w:rFonts w:ascii="Arial Narrow" w:hAnsi="Arial Narrow"/>
                <w:sz w:val="20"/>
              </w:rPr>
              <w:t xml:space="preserve">- annual withdrawal </w:t>
            </w:r>
            <w:r w:rsidR="000E36E2">
              <w:rPr>
                <w:rFonts w:ascii="Arial Narrow" w:hAnsi="Arial Narrow"/>
                <w:noProof/>
                <w:color w:val="000000"/>
                <w:sz w:val="20"/>
                <w:highlight w:val="black"/>
              </w:rPr>
              <w:t>'''''''''''''''</w:t>
            </w:r>
            <w:r w:rsidRPr="007E0D9B">
              <w:rPr>
                <w:rFonts w:ascii="Arial Narrow" w:hAnsi="Arial Narrow"/>
                <w:sz w:val="20"/>
              </w:rPr>
              <w:t>% (</w:t>
            </w:r>
            <w:r w:rsidR="000E36E2">
              <w:rPr>
                <w:rFonts w:ascii="Arial Narrow" w:hAnsi="Arial Narrow"/>
                <w:noProof/>
                <w:color w:val="000000"/>
                <w:sz w:val="20"/>
                <w:highlight w:val="black"/>
              </w:rPr>
              <w:t>''''''''''''''''</w:t>
            </w:r>
            <w:r w:rsidRPr="007E0D9B">
              <w:rPr>
                <w:rFonts w:ascii="Arial Narrow" w:hAnsi="Arial Narrow"/>
                <w:sz w:val="20"/>
              </w:rPr>
              <w:t xml:space="preserve"> per month; estimate used in financial model)</w:t>
            </w:r>
          </w:p>
        </w:tc>
        <w:tc>
          <w:tcPr>
            <w:tcW w:w="930"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color w:val="000000"/>
                <w:sz w:val="20"/>
              </w:rPr>
              <w:t>$</w:t>
            </w:r>
            <w:r w:rsidR="000E36E2">
              <w:rPr>
                <w:rFonts w:ascii="Arial Narrow" w:hAnsi="Arial Narrow"/>
                <w:noProof/>
                <w:color w:val="000000"/>
                <w:sz w:val="20"/>
                <w:highlight w:val="black"/>
              </w:rPr>
              <w:t>'''''''''''''''</w:t>
            </w:r>
          </w:p>
        </w:tc>
        <w:tc>
          <w:tcPr>
            <w:tcW w:w="930" w:type="pct"/>
            <w:vAlign w:val="center"/>
          </w:tcPr>
          <w:p w:rsidR="00737BE9" w:rsidRPr="000E36E2" w:rsidRDefault="000E36E2" w:rsidP="002B2A76">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931" w:type="pct"/>
            <w:vAlign w:val="center"/>
          </w:tcPr>
          <w:p w:rsidR="00737BE9" w:rsidRPr="007E0D9B" w:rsidRDefault="00737BE9" w:rsidP="002B2A76">
            <w:pPr>
              <w:keepNext/>
              <w:keepLines/>
              <w:jc w:val="center"/>
              <w:rPr>
                <w:rFonts w:ascii="Arial Narrow" w:hAnsi="Arial Narrow"/>
                <w:sz w:val="20"/>
              </w:rPr>
            </w:pPr>
            <w:r w:rsidRPr="007E0D9B">
              <w:rPr>
                <w:rFonts w:ascii="Arial Narrow" w:hAnsi="Arial Narrow"/>
                <w:color w:val="000000"/>
                <w:sz w:val="20"/>
              </w:rPr>
              <w:t>$</w:t>
            </w:r>
            <w:r w:rsidR="000E36E2">
              <w:rPr>
                <w:rFonts w:ascii="Arial Narrow" w:hAnsi="Arial Narrow"/>
                <w:noProof/>
                <w:color w:val="000000"/>
                <w:sz w:val="20"/>
                <w:highlight w:val="black"/>
              </w:rPr>
              <w:t>'''''''''''''''''</w:t>
            </w:r>
          </w:p>
        </w:tc>
      </w:tr>
    </w:tbl>
    <w:p w:rsidR="00C25D9C" w:rsidRPr="00BE6780" w:rsidRDefault="00CD4BC2" w:rsidP="00234492">
      <w:pPr>
        <w:widowControl/>
        <w:ind w:left="720"/>
        <w:rPr>
          <w:rFonts w:ascii="Arial Narrow" w:hAnsi="Arial Narrow"/>
          <w:sz w:val="18"/>
          <w:szCs w:val="18"/>
        </w:rPr>
      </w:pPr>
      <w:r w:rsidRPr="00BE6780">
        <w:rPr>
          <w:rFonts w:ascii="Arial Narrow" w:hAnsi="Arial Narrow"/>
          <w:sz w:val="18"/>
          <w:szCs w:val="18"/>
        </w:rPr>
        <w:t xml:space="preserve">Source: </w:t>
      </w:r>
      <w:r w:rsidR="003C1A0A" w:rsidRPr="003C1A0A">
        <w:rPr>
          <w:rFonts w:ascii="Arial Narrow" w:hAnsi="Arial Narrow"/>
          <w:sz w:val="18"/>
          <w:szCs w:val="18"/>
        </w:rPr>
        <w:t>Table D.6-1, pp184-186 of the submission and calculations performed during the evaluation</w:t>
      </w:r>
      <w:r w:rsidR="008955F5" w:rsidRPr="008955F5">
        <w:rPr>
          <w:rFonts w:ascii="Arial Narrow" w:hAnsi="Arial Narrow"/>
          <w:sz w:val="18"/>
        </w:rPr>
        <w:t xml:space="preserve"> </w:t>
      </w:r>
      <w:r w:rsidR="008955F5">
        <w:rPr>
          <w:rFonts w:ascii="Arial Narrow" w:hAnsi="Arial Narrow"/>
          <w:sz w:val="18"/>
        </w:rPr>
        <w:t xml:space="preserve">using </w:t>
      </w:r>
      <w:r w:rsidR="008955F5" w:rsidRPr="008955F5">
        <w:rPr>
          <w:rFonts w:ascii="Arial Narrow" w:hAnsi="Arial Narrow"/>
          <w:sz w:val="18"/>
          <w:szCs w:val="18"/>
        </w:rPr>
        <w:t xml:space="preserve">the </w:t>
      </w:r>
      <w:proofErr w:type="spellStart"/>
      <w:r w:rsidR="008955F5" w:rsidRPr="008955F5">
        <w:rPr>
          <w:rFonts w:ascii="Arial Narrow" w:hAnsi="Arial Narrow"/>
          <w:sz w:val="18"/>
          <w:szCs w:val="18"/>
        </w:rPr>
        <w:t>Adalimumab_uveitis</w:t>
      </w:r>
      <w:proofErr w:type="spellEnd"/>
      <w:r w:rsidR="008955F5" w:rsidRPr="008955F5">
        <w:rPr>
          <w:rFonts w:ascii="Arial Narrow" w:hAnsi="Arial Narrow"/>
          <w:sz w:val="18"/>
          <w:szCs w:val="18"/>
        </w:rPr>
        <w:t xml:space="preserve"> model</w:t>
      </w:r>
      <w:r w:rsidR="00840662">
        <w:rPr>
          <w:rFonts w:ascii="Arial Narrow" w:hAnsi="Arial Narrow"/>
          <w:sz w:val="18"/>
          <w:szCs w:val="18"/>
        </w:rPr>
        <w:t>.</w:t>
      </w:r>
    </w:p>
    <w:p w:rsidR="00CD4BC2" w:rsidRDefault="00CD4BC2" w:rsidP="00C25D9C">
      <w:pPr>
        <w:widowControl/>
        <w:rPr>
          <w:szCs w:val="22"/>
        </w:rPr>
      </w:pPr>
    </w:p>
    <w:p w:rsidR="00E803D1" w:rsidRPr="00BD3820" w:rsidRDefault="00E803D1" w:rsidP="00E803D1">
      <w:pPr>
        <w:widowControl/>
        <w:ind w:left="720"/>
        <w:rPr>
          <w:szCs w:val="22"/>
        </w:rPr>
      </w:pPr>
      <w:r w:rsidRPr="00BD3820">
        <w:rPr>
          <w:szCs w:val="22"/>
        </w:rPr>
        <w:t>The redacted table shows ICERs in the range less than $15,000 per QALY to $105,000/QALY – $200,000/QALY.</w:t>
      </w:r>
    </w:p>
    <w:p w:rsidR="00E803D1" w:rsidRPr="0036391F" w:rsidRDefault="00E803D1" w:rsidP="00C25D9C">
      <w:pPr>
        <w:widowControl/>
        <w:rPr>
          <w:szCs w:val="22"/>
        </w:rPr>
      </w:pPr>
    </w:p>
    <w:p w:rsidR="00A5236A" w:rsidRDefault="00737BE9" w:rsidP="005C04C6">
      <w:pPr>
        <w:pStyle w:val="ListParagraph"/>
        <w:widowControl/>
        <w:numPr>
          <w:ilvl w:val="1"/>
          <w:numId w:val="3"/>
        </w:numPr>
      </w:pPr>
      <w:r w:rsidRPr="0036391F">
        <w:t>The economic model was most sensitive to the treatment effect of adalimumab app</w:t>
      </w:r>
      <w:r w:rsidR="00685835" w:rsidRPr="0036391F">
        <w:t>lied to ocular complications, which is associated with considerable uncertainty. T</w:t>
      </w:r>
      <w:r w:rsidRPr="0036391F">
        <w:t>he efficacy estimate</w:t>
      </w:r>
      <w:r w:rsidR="00685835" w:rsidRPr="0036391F">
        <w:t xml:space="preserve"> from VISUAL I</w:t>
      </w:r>
      <w:r w:rsidRPr="0036391F">
        <w:t xml:space="preserve"> may be overestimated due to the forced taper of oral </w:t>
      </w:r>
      <w:r w:rsidRPr="00A3362C">
        <w:t>corticosteroids</w:t>
      </w:r>
      <w:r w:rsidR="00685835" w:rsidRPr="00A3362C">
        <w:t>.</w:t>
      </w:r>
      <w:r w:rsidRPr="00A3362C">
        <w:t xml:space="preserve"> </w:t>
      </w:r>
      <w:r w:rsidR="00685835" w:rsidRPr="00A3362C">
        <w:t>T</w:t>
      </w:r>
      <w:r w:rsidRPr="00A3362C">
        <w:t xml:space="preserve">he assumed 1:1 relationship between reduction in risk of inflammatory flare </w:t>
      </w:r>
      <w:r w:rsidR="00794F29" w:rsidRPr="00A3362C">
        <w:t xml:space="preserve">as measured in the trial between adalimumab and placebo (HR 0.50) </w:t>
      </w:r>
      <w:r w:rsidR="00685835" w:rsidRPr="00A3362C">
        <w:t xml:space="preserve">from VISUAL I </w:t>
      </w:r>
      <w:r w:rsidRPr="00A3362C">
        <w:t xml:space="preserve">and reduction in probabilities of ocular complications </w:t>
      </w:r>
      <w:r w:rsidR="00794F29" w:rsidRPr="00A3362C">
        <w:t xml:space="preserve">(RR </w:t>
      </w:r>
      <w:r w:rsidR="000E36E2">
        <w:rPr>
          <w:noProof/>
          <w:color w:val="000000"/>
          <w:highlight w:val="black"/>
        </w:rPr>
        <w:t>''''''''''</w:t>
      </w:r>
      <w:r w:rsidR="00794F29" w:rsidRPr="00A3362C">
        <w:t xml:space="preserve">) </w:t>
      </w:r>
      <w:r w:rsidRPr="00A3362C">
        <w:t>is</w:t>
      </w:r>
      <w:r w:rsidRPr="0036391F">
        <w:t xml:space="preserve"> not supported by data</w:t>
      </w:r>
      <w:r w:rsidR="00794F29" w:rsidRPr="0036391F">
        <w:t xml:space="preserve">, particularly in terms of the quantitative relationship, and </w:t>
      </w:r>
      <w:r w:rsidR="00794F29" w:rsidRPr="0036391F">
        <w:lastRenderedPageBreak/>
        <w:t>given the composite nature of the measured endpoint of inflammatory flare</w:t>
      </w:r>
      <w:r w:rsidR="00685835" w:rsidRPr="0036391F">
        <w:t>.</w:t>
      </w:r>
      <w:r w:rsidR="00C46C4F" w:rsidRPr="0036391F">
        <w:t xml:space="preserve"> The ESC did </w:t>
      </w:r>
      <w:r w:rsidR="0044600A" w:rsidRPr="0036391F">
        <w:t xml:space="preserve">not </w:t>
      </w:r>
      <w:r w:rsidR="00C46C4F" w:rsidRPr="0036391F">
        <w:t xml:space="preserve">believe it was appropriate to assume that a reduction in risk of any of the </w:t>
      </w:r>
      <w:r w:rsidR="00B575AC" w:rsidRPr="0036391F">
        <w:t>measured endpoints</w:t>
      </w:r>
      <w:r w:rsidR="00C46C4F" w:rsidRPr="0036391F">
        <w:t xml:space="preserve"> directly translate</w:t>
      </w:r>
      <w:r w:rsidR="00B50A02" w:rsidRPr="0036391F">
        <w:t>d</w:t>
      </w:r>
      <w:r w:rsidR="00C46C4F" w:rsidRPr="0036391F">
        <w:t xml:space="preserve"> to a reduction in risk of ocular complications. </w:t>
      </w:r>
    </w:p>
    <w:p w:rsidR="00A5236A" w:rsidRDefault="00A5236A" w:rsidP="00A5236A">
      <w:pPr>
        <w:pStyle w:val="ListParagraph"/>
        <w:widowControl/>
      </w:pPr>
    </w:p>
    <w:p w:rsidR="007800C3" w:rsidRDefault="00685835" w:rsidP="00657079">
      <w:pPr>
        <w:pStyle w:val="ListParagraph"/>
        <w:widowControl/>
        <w:numPr>
          <w:ilvl w:val="1"/>
          <w:numId w:val="3"/>
        </w:numPr>
      </w:pPr>
      <w:r w:rsidRPr="00531AB6">
        <w:t xml:space="preserve">The use of unadjusted probabilities of complications is inappropriate as it does not account for the </w:t>
      </w:r>
      <w:proofErr w:type="gramStart"/>
      <w:r w:rsidRPr="00531AB6">
        <w:t>attributable</w:t>
      </w:r>
      <w:proofErr w:type="gramEnd"/>
      <w:r w:rsidRPr="00531AB6">
        <w:t xml:space="preserve"> risk due to uveitis, overestimating the impact of treatment.</w:t>
      </w:r>
      <w:r w:rsidR="00C61F4B" w:rsidRPr="00531AB6">
        <w:t xml:space="preserve"> The PSCR</w:t>
      </w:r>
      <w:r w:rsidR="00657079" w:rsidRPr="00531AB6">
        <w:t xml:space="preserve"> (p</w:t>
      </w:r>
      <w:r w:rsidR="00B575AC" w:rsidRPr="00531AB6">
        <w:t>p2-3</w:t>
      </w:r>
      <w:r w:rsidR="00657079" w:rsidRPr="00531AB6">
        <w:t>) contended that according</w:t>
      </w:r>
      <w:r w:rsidR="00657079" w:rsidRPr="0036391F">
        <w:t xml:space="preserve"> to Dick et al. (2016) it was reasonable to conclude that ocular complications only occur during periods of flare, and a reduction in flare rate would therefore result in corresponding reductions in the incidence of long-term uveitis. The PSCR</w:t>
      </w:r>
      <w:r w:rsidR="00C61F4B" w:rsidRPr="0036391F">
        <w:t xml:space="preserve"> (p</w:t>
      </w:r>
      <w:r w:rsidR="00B575AC" w:rsidRPr="0036391F">
        <w:t>p3</w:t>
      </w:r>
      <w:r w:rsidR="00A5255E" w:rsidRPr="0036391F">
        <w:t>-</w:t>
      </w:r>
      <w:r w:rsidR="00B575AC" w:rsidRPr="0036391F">
        <w:t>4</w:t>
      </w:r>
      <w:r w:rsidR="00C61F4B" w:rsidRPr="0036391F">
        <w:t>)</w:t>
      </w:r>
      <w:r w:rsidR="00657079" w:rsidRPr="0036391F">
        <w:t xml:space="preserve"> also</w:t>
      </w:r>
      <w:r w:rsidR="00C61F4B" w:rsidRPr="0036391F">
        <w:t xml:space="preserve"> argued the rates and nature of complications with other natural history studies such as the Manchester Uveitis Study suggested the use of unadjusted probabilities was reasonable.</w:t>
      </w:r>
      <w:r w:rsidR="00A87097" w:rsidRPr="0036391F">
        <w:t xml:space="preserve"> </w:t>
      </w:r>
      <w:r w:rsidR="001912FC" w:rsidRPr="0036391F">
        <w:t xml:space="preserve">However, </w:t>
      </w:r>
      <w:r w:rsidR="0009383D" w:rsidRPr="0036391F">
        <w:t xml:space="preserve">the ESC considered </w:t>
      </w:r>
      <w:r w:rsidR="00657079" w:rsidRPr="0036391F">
        <w:t xml:space="preserve">that </w:t>
      </w:r>
      <w:r w:rsidR="0009383D" w:rsidRPr="0036391F">
        <w:t xml:space="preserve">this incorrectly </w:t>
      </w:r>
      <w:r w:rsidR="00657079" w:rsidRPr="0036391F">
        <w:t>assumed there wa</w:t>
      </w:r>
      <w:r w:rsidR="0009383D" w:rsidRPr="0036391F">
        <w:t>s no underlying risk of ocular complications in these patients apart from uveitis.</w:t>
      </w:r>
    </w:p>
    <w:p w:rsidR="007800C3" w:rsidRDefault="007800C3" w:rsidP="007800C3">
      <w:pPr>
        <w:pStyle w:val="ListParagraph"/>
        <w:widowControl/>
      </w:pPr>
    </w:p>
    <w:p w:rsidR="007800C3" w:rsidRPr="00531AB6" w:rsidRDefault="007800C3" w:rsidP="007800C3">
      <w:pPr>
        <w:pStyle w:val="ListParagraph"/>
        <w:widowControl/>
        <w:numPr>
          <w:ilvl w:val="1"/>
          <w:numId w:val="3"/>
        </w:numPr>
      </w:pPr>
      <w:r>
        <w:t xml:space="preserve">The pre-PBAC (p3) response acknowledged that the 1:1 link may overestimate </w:t>
      </w:r>
      <w:proofErr w:type="spellStart"/>
      <w:r>
        <w:t>adalimumab’s</w:t>
      </w:r>
      <w:proofErr w:type="spellEnd"/>
      <w:r>
        <w:t xml:space="preserve"> treatment effect. However, it was further noted in the response that q</w:t>
      </w:r>
      <w:r w:rsidRPr="005C04C6">
        <w:t>uantification of the extent to which unrelated complications would contribute to each arm of the clinical trial and the consequent impact this has on the 1:1 link between the trial endpoint and uveitis complications ratio used in the model is uncertain.</w:t>
      </w:r>
      <w:r>
        <w:t xml:space="preserve"> The pre-PBAC response (p3) noted f</w:t>
      </w:r>
      <w:r w:rsidRPr="00950C36">
        <w:t xml:space="preserve">rom Dick et al </w:t>
      </w:r>
      <w:r>
        <w:t>(2016)</w:t>
      </w:r>
      <w:r w:rsidRPr="00950C36">
        <w:t xml:space="preserve"> (for the persistent NIIPPU group), 5 year risks of 83.3% and 26.7% </w:t>
      </w:r>
      <w:r>
        <w:t xml:space="preserve">for any </w:t>
      </w:r>
      <w:r w:rsidRPr="005472E1">
        <w:t xml:space="preserve">ocular complication are reported for the disease and control groups respectively. This can be interpreted as </w:t>
      </w:r>
      <w:r w:rsidR="000E36E2">
        <w:rPr>
          <w:noProof/>
          <w:color w:val="000000"/>
          <w:highlight w:val="black"/>
        </w:rPr>
        <w:t>''''''</w:t>
      </w:r>
      <w:r w:rsidRPr="005472E1">
        <w:t>% of ocular complications are attributable to uveitis (flare) [</w:t>
      </w:r>
      <w:r w:rsidR="000E36E2">
        <w:rPr>
          <w:noProof/>
          <w:color w:val="000000"/>
          <w:highlight w:val="black"/>
        </w:rPr>
        <w:t>'''</w:t>
      </w:r>
      <w:r w:rsidRPr="005472E1">
        <w:t>-(</w:t>
      </w:r>
      <w:r w:rsidR="000E36E2">
        <w:rPr>
          <w:noProof/>
          <w:color w:val="000000"/>
          <w:highlight w:val="black"/>
        </w:rPr>
        <w:t>'''''''''''''</w:t>
      </w:r>
      <w:r w:rsidRPr="005472E1">
        <w:t xml:space="preserve"> / </w:t>
      </w:r>
      <w:r w:rsidR="000E36E2">
        <w:rPr>
          <w:noProof/>
          <w:color w:val="000000"/>
          <w:highlight w:val="black"/>
        </w:rPr>
        <w:t>''''''''''''''</w:t>
      </w:r>
      <w:r w:rsidRPr="005472E1">
        <w:t>)] and hence potentially avoidable with adalimumab treatment. When the risk reduction from the VISUAL 1 trial (</w:t>
      </w:r>
      <w:r w:rsidRPr="0058634C">
        <w:t>0.5</w:t>
      </w:r>
      <w:r w:rsidRPr="005472E1">
        <w:t xml:space="preserve">) is applied only to uveitis complications this implies a relative risk across all events of </w:t>
      </w:r>
      <w:r w:rsidR="000E36E2">
        <w:rPr>
          <w:noProof/>
          <w:color w:val="000000"/>
          <w:highlight w:val="black"/>
        </w:rPr>
        <w:t>'''''''''''</w:t>
      </w:r>
      <w:r w:rsidRPr="005472E1">
        <w:t xml:space="preserve"> (=</w:t>
      </w:r>
      <w:r w:rsidR="000E36E2">
        <w:rPr>
          <w:noProof/>
          <w:color w:val="000000"/>
          <w:highlight w:val="black"/>
        </w:rPr>
        <w:t>''''''''</w:t>
      </w:r>
      <w:r w:rsidRPr="005472E1">
        <w:t xml:space="preserve"> × </w:t>
      </w:r>
      <w:r w:rsidR="000E36E2">
        <w:rPr>
          <w:noProof/>
          <w:color w:val="000000"/>
          <w:highlight w:val="black"/>
        </w:rPr>
        <w:t>''''''''''''</w:t>
      </w:r>
      <w:r w:rsidRPr="005472E1">
        <w:t xml:space="preserve"> + </w:t>
      </w:r>
      <w:r w:rsidR="000E36E2">
        <w:rPr>
          <w:noProof/>
          <w:color w:val="000000"/>
          <w:highlight w:val="black"/>
        </w:rPr>
        <w:t>'''</w:t>
      </w:r>
      <w:r w:rsidRPr="005472E1">
        <w:t xml:space="preserve"> × </w:t>
      </w:r>
      <w:r w:rsidR="000E36E2">
        <w:rPr>
          <w:noProof/>
          <w:color w:val="000000"/>
          <w:highlight w:val="black"/>
        </w:rPr>
        <w:t>''''''''''''</w:t>
      </w:r>
      <w:r w:rsidRPr="005472E1">
        <w:t xml:space="preserve">). The response proposed a relative risk of </w:t>
      </w:r>
      <w:r w:rsidR="000E36E2">
        <w:rPr>
          <w:noProof/>
          <w:color w:val="000000"/>
          <w:highlight w:val="black"/>
        </w:rPr>
        <w:t>'''''''''''</w:t>
      </w:r>
      <w:r w:rsidRPr="005472E1">
        <w:t xml:space="preserve">, halfway between </w:t>
      </w:r>
      <w:r w:rsidR="000E36E2">
        <w:rPr>
          <w:noProof/>
          <w:color w:val="000000"/>
          <w:highlight w:val="black"/>
        </w:rPr>
        <w:t>'''''''''''</w:t>
      </w:r>
      <w:r w:rsidRPr="005472E1">
        <w:t xml:space="preserve"> from VISUAL I and </w:t>
      </w:r>
      <w:r w:rsidR="000E36E2">
        <w:rPr>
          <w:noProof/>
          <w:color w:val="000000"/>
          <w:highlight w:val="black"/>
        </w:rPr>
        <w:t>''''''''''''</w:t>
      </w:r>
      <w:r w:rsidRPr="005472E1">
        <w:t xml:space="preserve"> from Dick</w:t>
      </w:r>
      <w:r>
        <w:t xml:space="preserve"> et al (2016). The PBAC did not accept this adjusted probability of ocular complications sufficiently addressed the issue of the </w:t>
      </w:r>
      <w:proofErr w:type="gramStart"/>
      <w:r>
        <w:t>attributable</w:t>
      </w:r>
      <w:proofErr w:type="gramEnd"/>
      <w:r>
        <w:t xml:space="preserve"> risk due to uveitis and the relationship of the risk reduction for flares and lo</w:t>
      </w:r>
      <w:r w:rsidR="002D7F52">
        <w:t>n</w:t>
      </w:r>
      <w:r>
        <w:t>g-term ocular complications.</w:t>
      </w:r>
    </w:p>
    <w:p w:rsidR="00F73877" w:rsidRPr="0036391F" w:rsidRDefault="00F73877" w:rsidP="00F73877">
      <w:pPr>
        <w:widowControl/>
      </w:pPr>
    </w:p>
    <w:p w:rsidR="00F73877" w:rsidRDefault="00544166" w:rsidP="004645DD">
      <w:pPr>
        <w:pStyle w:val="ListParagraph"/>
        <w:numPr>
          <w:ilvl w:val="1"/>
          <w:numId w:val="3"/>
        </w:numPr>
      </w:pPr>
      <w:r w:rsidRPr="0036391F">
        <w:t>The model include</w:t>
      </w:r>
      <w:r w:rsidR="002D7F52">
        <w:t>d</w:t>
      </w:r>
      <w:r w:rsidRPr="0036391F">
        <w:t xml:space="preserve"> </w:t>
      </w:r>
      <w:r w:rsidRPr="00531AB6">
        <w:t>the costs and consequences of adverse events associated with long-term oral corticosteroid use,</w:t>
      </w:r>
      <w:r w:rsidRPr="0036391F">
        <w:t xml:space="preserve"> which </w:t>
      </w:r>
      <w:r w:rsidR="008F14F0" w:rsidRPr="0036391F">
        <w:t xml:space="preserve">likely overestimates these impacts (favouring </w:t>
      </w:r>
      <w:proofErr w:type="spellStart"/>
      <w:r w:rsidR="008F14F0" w:rsidRPr="0036391F">
        <w:t>adalumimab</w:t>
      </w:r>
      <w:proofErr w:type="spellEnd"/>
      <w:r w:rsidR="008F14F0" w:rsidRPr="0036391F">
        <w:t xml:space="preserve">) given </w:t>
      </w:r>
      <w:r w:rsidRPr="0036391F">
        <w:t xml:space="preserve">the intermittent use of corticosteroids in the model and with the relative efficacy data extracted from the trials, which did not use long term steroids. </w:t>
      </w:r>
      <w:r w:rsidR="008F14F0" w:rsidRPr="0036391F">
        <w:t xml:space="preserve">The ESC further noted that </w:t>
      </w:r>
      <w:r w:rsidR="00DE19A2" w:rsidRPr="0036391F">
        <w:t>t</w:t>
      </w:r>
      <w:r w:rsidRPr="0036391F">
        <w:t xml:space="preserve">he model </w:t>
      </w:r>
      <w:r w:rsidR="00F73A06" w:rsidRPr="0036391F">
        <w:t>did</w:t>
      </w:r>
      <w:r w:rsidRPr="0036391F">
        <w:t xml:space="preserve"> not account for the adverse effects associated with the long-term use of adalimumab (up to </w:t>
      </w:r>
      <w:r w:rsidR="000E36E2">
        <w:rPr>
          <w:noProof/>
          <w:color w:val="000000"/>
          <w:highlight w:val="black"/>
        </w:rPr>
        <w:t>''''''</w:t>
      </w:r>
      <w:r w:rsidRPr="0036391F">
        <w:t xml:space="preserve"> years in the model), which include infections, cancer and multiple sclerosis.</w:t>
      </w:r>
      <w:r w:rsidR="00BC0EC7" w:rsidRPr="0036391F">
        <w:t xml:space="preserve"> The PSCR (p4) argued that the adverse event rates were low </w:t>
      </w:r>
      <w:r w:rsidR="00C566F3" w:rsidRPr="0036391F">
        <w:t>and there was high level</w:t>
      </w:r>
      <w:r w:rsidR="00BC0EC7" w:rsidRPr="0036391F">
        <w:t xml:space="preserve"> evidence to show that anti-TNFs did not increase the risk of solid cancer in patients without or with prior malignancy. </w:t>
      </w:r>
    </w:p>
    <w:p w:rsidR="007800C3" w:rsidRPr="0036391F" w:rsidRDefault="007800C3" w:rsidP="007800C3">
      <w:pPr>
        <w:pStyle w:val="ListParagraph"/>
      </w:pPr>
    </w:p>
    <w:p w:rsidR="00DE19A2" w:rsidRPr="0036391F" w:rsidRDefault="00685835" w:rsidP="00DE19A2">
      <w:pPr>
        <w:pStyle w:val="ListParagraph"/>
        <w:numPr>
          <w:ilvl w:val="1"/>
          <w:numId w:val="3"/>
        </w:numPr>
      </w:pPr>
      <w:r w:rsidRPr="0036391F">
        <w:t>The model is also sensitive to the time horizon, the costs and utilities of chronic ocular complications and assumptions regarding disease remission and treatment withdrawal.</w:t>
      </w:r>
      <w:r w:rsidR="001E1B38" w:rsidRPr="0036391F">
        <w:t xml:space="preserve"> </w:t>
      </w:r>
      <w:r w:rsidR="00C7479F" w:rsidRPr="0036391F">
        <w:t>The ESC noted</w:t>
      </w:r>
      <w:r w:rsidR="000B66AB" w:rsidRPr="0036391F">
        <w:t xml:space="preserve"> that</w:t>
      </w:r>
      <w:r w:rsidR="00C7479F" w:rsidRPr="0036391F">
        <w:t xml:space="preserve"> the utilities in the model we</w:t>
      </w:r>
      <w:r w:rsidR="001E1B38" w:rsidRPr="0036391F">
        <w:t xml:space="preserve">re drawn from a range of sources, </w:t>
      </w:r>
      <w:r w:rsidR="008B3870" w:rsidRPr="0036391F">
        <w:t>which</w:t>
      </w:r>
      <w:r w:rsidR="001E1B38" w:rsidRPr="0036391F">
        <w:t xml:space="preserve"> may not be applicable and may </w:t>
      </w:r>
      <w:r w:rsidR="007E43F5" w:rsidRPr="0036391F">
        <w:t xml:space="preserve">have </w:t>
      </w:r>
      <w:r w:rsidR="001E1B38" w:rsidRPr="0036391F">
        <w:t>result</w:t>
      </w:r>
      <w:r w:rsidR="007E43F5" w:rsidRPr="0036391F">
        <w:t>ed</w:t>
      </w:r>
      <w:r w:rsidR="001E1B38" w:rsidRPr="0036391F">
        <w:t xml:space="preserve"> in double counting</w:t>
      </w:r>
      <w:r w:rsidR="00DE19A2" w:rsidRPr="0036391F">
        <w:t>:</w:t>
      </w:r>
    </w:p>
    <w:p w:rsidR="00DE19A2" w:rsidRPr="0036391F" w:rsidRDefault="00F320C9" w:rsidP="00DE19A2">
      <w:pPr>
        <w:pStyle w:val="ListParagraph"/>
        <w:numPr>
          <w:ilvl w:val="1"/>
          <w:numId w:val="30"/>
        </w:numPr>
      </w:pPr>
      <w:r w:rsidRPr="0036391F">
        <w:t>utility</w:t>
      </w:r>
      <w:r w:rsidR="00DE19A2" w:rsidRPr="0036391F">
        <w:t xml:space="preserve"> for </w:t>
      </w:r>
      <w:proofErr w:type="spellStart"/>
      <w:r w:rsidR="00DE19A2" w:rsidRPr="0036391F">
        <w:t>uveitic</w:t>
      </w:r>
      <w:proofErr w:type="spellEnd"/>
      <w:r w:rsidR="00DE19A2" w:rsidRPr="0036391F">
        <w:t xml:space="preserve"> flare was drawn from the trial (pooled estimate of utility comparing patients with and without flare); </w:t>
      </w:r>
    </w:p>
    <w:p w:rsidR="00DE19A2" w:rsidRPr="0036391F" w:rsidRDefault="00DE19A2" w:rsidP="00DE19A2">
      <w:pPr>
        <w:pStyle w:val="ListParagraph"/>
        <w:numPr>
          <w:ilvl w:val="1"/>
          <w:numId w:val="30"/>
        </w:numPr>
      </w:pPr>
      <w:r w:rsidRPr="0036391F">
        <w:t xml:space="preserve">utilities for ocular complications were drawn from a range of different sources that do not relate to ocular complications from uveitis; </w:t>
      </w:r>
    </w:p>
    <w:p w:rsidR="00DE19A2" w:rsidRDefault="00DE19A2" w:rsidP="00DE19A2">
      <w:pPr>
        <w:pStyle w:val="ListParagraph"/>
        <w:numPr>
          <w:ilvl w:val="1"/>
          <w:numId w:val="30"/>
        </w:numPr>
      </w:pPr>
      <w:proofErr w:type="gramStart"/>
      <w:r w:rsidRPr="0036391F">
        <w:lastRenderedPageBreak/>
        <w:t>disutilities</w:t>
      </w:r>
      <w:proofErr w:type="gramEnd"/>
      <w:r w:rsidRPr="0036391F">
        <w:t xml:space="preserve"> for adverse events associated with corticosteroid treatment are included (but there are no disutilities for adverse events associated with adalimumab). Also these disutilities relied on a DALY (disability-adjusted life-year) approach. Disutility for weight gain is included from a study based on weight gain from HbA1c (although, this had minimal impact).</w:t>
      </w:r>
    </w:p>
    <w:p w:rsidR="00A5236A" w:rsidRDefault="00A5236A" w:rsidP="009173AC">
      <w:bookmarkStart w:id="15" w:name="_Toc472349924"/>
    </w:p>
    <w:p w:rsidR="00C25D9C" w:rsidRPr="00C3674F" w:rsidRDefault="00C25D9C" w:rsidP="002C2775">
      <w:pPr>
        <w:pStyle w:val="Heading2"/>
        <w:rPr>
          <w:i/>
          <w:szCs w:val="22"/>
        </w:rPr>
      </w:pPr>
      <w:r w:rsidRPr="00C3674F">
        <w:rPr>
          <w:i/>
        </w:rPr>
        <w:t>Drug cost/patient/year:</w:t>
      </w:r>
      <w:bookmarkEnd w:id="15"/>
      <w:r w:rsidRPr="00C3674F">
        <w:rPr>
          <w:i/>
        </w:rPr>
        <w:t xml:space="preserve"> </w:t>
      </w:r>
    </w:p>
    <w:p w:rsidR="00C25D9C" w:rsidRPr="00C3674F" w:rsidRDefault="00C25D9C" w:rsidP="00C25D9C">
      <w:pPr>
        <w:widowControl/>
        <w:rPr>
          <w:szCs w:val="22"/>
        </w:rPr>
      </w:pPr>
    </w:p>
    <w:p w:rsidR="00B60939" w:rsidRPr="000B3091" w:rsidRDefault="00012D37" w:rsidP="00556640">
      <w:pPr>
        <w:pStyle w:val="ListParagraph"/>
        <w:widowControl/>
        <w:numPr>
          <w:ilvl w:val="1"/>
          <w:numId w:val="3"/>
        </w:numPr>
        <w:rPr>
          <w:szCs w:val="22"/>
        </w:rPr>
      </w:pPr>
      <w:r w:rsidRPr="000B3091">
        <w:rPr>
          <w:szCs w:val="22"/>
        </w:rPr>
        <w:t>In the initial year, the estimated annual cost for adalimumab w</w:t>
      </w:r>
      <w:r w:rsidR="00D82A3D" w:rsidRPr="000B3091">
        <w:rPr>
          <w:szCs w:val="22"/>
        </w:rPr>
        <w:t>as</w:t>
      </w:r>
      <w:r w:rsidR="00BE75C4" w:rsidRPr="000B3091">
        <w:rPr>
          <w:szCs w:val="22"/>
        </w:rPr>
        <w:t xml:space="preserve"> $</w:t>
      </w:r>
      <w:r w:rsidR="000E36E2">
        <w:rPr>
          <w:noProof/>
          <w:color w:val="000000"/>
          <w:szCs w:val="22"/>
          <w:highlight w:val="black"/>
        </w:rPr>
        <w:t>'''''''''''''''</w:t>
      </w:r>
      <w:r w:rsidRPr="000B3091">
        <w:rPr>
          <w:szCs w:val="22"/>
        </w:rPr>
        <w:t xml:space="preserve"> based on 27.5 injections per year, equivalent to 13.75 scripts </w:t>
      </w:r>
      <w:r w:rsidR="00BE75C4" w:rsidRPr="000B3091">
        <w:rPr>
          <w:szCs w:val="22"/>
        </w:rPr>
        <w:t xml:space="preserve">of the maximum quantity </w:t>
      </w:r>
      <w:r w:rsidRPr="000B3091">
        <w:rPr>
          <w:szCs w:val="22"/>
        </w:rPr>
        <w:t>(i.e. 2 injections loading dose</w:t>
      </w:r>
      <w:r w:rsidR="00BE75C4" w:rsidRPr="000B3091">
        <w:rPr>
          <w:szCs w:val="22"/>
        </w:rPr>
        <w:t xml:space="preserve"> week 1, followed by 25.5 fortnightly injections for 51 weeks at the effective DPMQ of $</w:t>
      </w:r>
      <w:r w:rsidR="000E36E2">
        <w:rPr>
          <w:noProof/>
          <w:color w:val="000000"/>
          <w:szCs w:val="22"/>
          <w:highlight w:val="black"/>
        </w:rPr>
        <w:t>'''''''''</w:t>
      </w:r>
      <w:r w:rsidR="00BE75C4" w:rsidRPr="000B3091">
        <w:rPr>
          <w:szCs w:val="22"/>
        </w:rPr>
        <w:t>).</w:t>
      </w:r>
    </w:p>
    <w:p w:rsidR="00BE75C4" w:rsidRPr="000B3091" w:rsidRDefault="00BE75C4" w:rsidP="00BE75C4">
      <w:pPr>
        <w:pStyle w:val="ListParagraph"/>
        <w:widowControl/>
        <w:rPr>
          <w:szCs w:val="22"/>
        </w:rPr>
      </w:pPr>
    </w:p>
    <w:p w:rsidR="00BE75C4" w:rsidRPr="000B3091" w:rsidRDefault="00BE75C4" w:rsidP="00556640">
      <w:pPr>
        <w:pStyle w:val="ListParagraph"/>
        <w:widowControl/>
        <w:numPr>
          <w:ilvl w:val="1"/>
          <w:numId w:val="3"/>
        </w:numPr>
        <w:rPr>
          <w:szCs w:val="22"/>
        </w:rPr>
      </w:pPr>
      <w:r w:rsidRPr="000B3091">
        <w:rPr>
          <w:szCs w:val="22"/>
        </w:rPr>
        <w:t xml:space="preserve">In continuing years, the estimated annual cost for </w:t>
      </w:r>
      <w:r w:rsidR="008D7604" w:rsidRPr="000B3091">
        <w:rPr>
          <w:szCs w:val="22"/>
        </w:rPr>
        <w:t>adalimumab</w:t>
      </w:r>
      <w:r w:rsidRPr="000B3091">
        <w:rPr>
          <w:szCs w:val="22"/>
        </w:rPr>
        <w:t xml:space="preserve"> w</w:t>
      </w:r>
      <w:r w:rsidR="00D82A3D" w:rsidRPr="000B3091">
        <w:rPr>
          <w:szCs w:val="22"/>
        </w:rPr>
        <w:t>as</w:t>
      </w:r>
      <w:r w:rsidRPr="000B3091">
        <w:rPr>
          <w:szCs w:val="22"/>
        </w:rPr>
        <w:t xml:space="preserve"> $</w:t>
      </w:r>
      <w:r w:rsidR="000E36E2">
        <w:rPr>
          <w:noProof/>
          <w:color w:val="000000"/>
          <w:szCs w:val="22"/>
          <w:highlight w:val="black"/>
        </w:rPr>
        <w:t>'''''''''''''''</w:t>
      </w:r>
      <w:r w:rsidRPr="000B3091">
        <w:rPr>
          <w:szCs w:val="22"/>
        </w:rPr>
        <w:t xml:space="preserve"> based on 26 fortnightly injections per year, equivalent to 13 scripts of the maximum quantity at the effective DPMQ of $</w:t>
      </w:r>
      <w:r w:rsidR="000E36E2">
        <w:rPr>
          <w:noProof/>
          <w:color w:val="000000"/>
          <w:szCs w:val="22"/>
          <w:highlight w:val="black"/>
        </w:rPr>
        <w:t>''''''''''</w:t>
      </w:r>
      <w:r w:rsidRPr="000B3091">
        <w:rPr>
          <w:szCs w:val="22"/>
        </w:rPr>
        <w:t>.</w:t>
      </w:r>
    </w:p>
    <w:p w:rsidR="00BE75C4" w:rsidRPr="00C3674F" w:rsidRDefault="00BE75C4" w:rsidP="00BE75C4">
      <w:pPr>
        <w:pStyle w:val="ListParagraph"/>
        <w:widowControl/>
        <w:rPr>
          <w:szCs w:val="22"/>
        </w:rPr>
      </w:pPr>
    </w:p>
    <w:p w:rsidR="00B60939" w:rsidRPr="00DE19A2" w:rsidRDefault="00B60939" w:rsidP="002C2775">
      <w:pPr>
        <w:pStyle w:val="Heading2"/>
        <w:rPr>
          <w:i/>
        </w:rPr>
      </w:pPr>
      <w:bookmarkStart w:id="16" w:name="_Toc472349925"/>
      <w:r w:rsidRPr="00DE19A2">
        <w:rPr>
          <w:i/>
        </w:rPr>
        <w:t>Estimated PBS usage &amp; financial implications</w:t>
      </w:r>
      <w:bookmarkEnd w:id="16"/>
    </w:p>
    <w:p w:rsidR="007A31D6" w:rsidRPr="00DE19A2" w:rsidRDefault="007A31D6" w:rsidP="00B60939">
      <w:pPr>
        <w:ind w:left="720" w:hanging="720"/>
        <w:rPr>
          <w:b/>
          <w:i/>
          <w:szCs w:val="22"/>
        </w:rPr>
      </w:pPr>
    </w:p>
    <w:p w:rsidR="000B3091" w:rsidRPr="000B3091" w:rsidRDefault="007800C3" w:rsidP="000B3091">
      <w:pPr>
        <w:pStyle w:val="ListParagraph"/>
        <w:widowControl/>
        <w:numPr>
          <w:ilvl w:val="1"/>
          <w:numId w:val="3"/>
        </w:numPr>
        <w:rPr>
          <w:szCs w:val="22"/>
        </w:rPr>
      </w:pPr>
      <w:r>
        <w:t>This submission wa</w:t>
      </w:r>
      <w:r w:rsidR="000B3091" w:rsidRPr="000B3091">
        <w:t>s considered by DUSC.</w:t>
      </w:r>
    </w:p>
    <w:p w:rsidR="000B3091" w:rsidRPr="000B3091" w:rsidRDefault="000B3091" w:rsidP="000B3091">
      <w:pPr>
        <w:pStyle w:val="ListParagraph"/>
        <w:widowControl/>
        <w:rPr>
          <w:szCs w:val="22"/>
        </w:rPr>
      </w:pPr>
    </w:p>
    <w:p w:rsidR="000B3091" w:rsidRPr="000B3091" w:rsidRDefault="000B3091" w:rsidP="000B3091">
      <w:pPr>
        <w:pStyle w:val="ListParagraph"/>
        <w:widowControl/>
        <w:numPr>
          <w:ilvl w:val="1"/>
          <w:numId w:val="3"/>
        </w:numPr>
        <w:rPr>
          <w:szCs w:val="22"/>
        </w:rPr>
      </w:pPr>
      <w:r w:rsidRPr="000B3091">
        <w:rPr>
          <w:szCs w:val="22"/>
        </w:rPr>
        <w:t>The submission used an epidemiolog</w:t>
      </w:r>
      <w:r w:rsidR="00DA659E">
        <w:rPr>
          <w:szCs w:val="22"/>
        </w:rPr>
        <w:t>ical</w:t>
      </w:r>
      <w:r w:rsidRPr="000B3091">
        <w:rPr>
          <w:szCs w:val="22"/>
        </w:rPr>
        <w:t xml:space="preserve"> approach to estimate the utilisation and financial implications associated with the PBS listing of adalimumab for the treatment on non-infectious intermediate, posterior and </w:t>
      </w:r>
      <w:proofErr w:type="spellStart"/>
      <w:r w:rsidRPr="000B3091">
        <w:rPr>
          <w:szCs w:val="22"/>
        </w:rPr>
        <w:t>panuveitis</w:t>
      </w:r>
      <w:proofErr w:type="spellEnd"/>
      <w:r w:rsidRPr="000B3091">
        <w:rPr>
          <w:szCs w:val="22"/>
        </w:rPr>
        <w:t>.</w:t>
      </w:r>
    </w:p>
    <w:p w:rsidR="000B3091" w:rsidRPr="000B3091" w:rsidRDefault="000B3091" w:rsidP="000B3091">
      <w:pPr>
        <w:pStyle w:val="ListParagraph"/>
        <w:widowControl/>
        <w:rPr>
          <w:szCs w:val="22"/>
        </w:rPr>
      </w:pPr>
    </w:p>
    <w:p w:rsidR="000B3091" w:rsidRPr="000B3091" w:rsidRDefault="000B3091" w:rsidP="000B3091">
      <w:pPr>
        <w:ind w:firstLine="709"/>
        <w:rPr>
          <w:rStyle w:val="CommentReference"/>
        </w:rPr>
      </w:pPr>
      <w:r w:rsidRPr="000B3091">
        <w:rPr>
          <w:rStyle w:val="CommentReference"/>
        </w:rPr>
        <w:t xml:space="preserve">Table </w:t>
      </w:r>
      <w:r w:rsidR="00EB7A42">
        <w:rPr>
          <w:rStyle w:val="CommentReference"/>
        </w:rPr>
        <w:t>10</w:t>
      </w:r>
      <w:r w:rsidRPr="000B3091">
        <w:rPr>
          <w:rStyle w:val="CommentReference"/>
        </w:rPr>
        <w:t>: Estimated use and financial implications</w:t>
      </w:r>
    </w:p>
    <w:tbl>
      <w:tblPr>
        <w:tblW w:w="4581"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6"/>
        <w:gridCol w:w="1039"/>
        <w:gridCol w:w="1038"/>
        <w:gridCol w:w="1038"/>
        <w:gridCol w:w="1038"/>
        <w:gridCol w:w="1037"/>
        <w:gridCol w:w="1028"/>
      </w:tblGrid>
      <w:tr w:rsidR="000B3091" w:rsidRPr="000B3091" w:rsidTr="0064714F">
        <w:trPr>
          <w:tblHeader/>
        </w:trPr>
        <w:tc>
          <w:tcPr>
            <w:tcW w:w="1287" w:type="pct"/>
            <w:tcBorders>
              <w:left w:val="single" w:sz="4" w:space="0" w:color="auto"/>
              <w:bottom w:val="single" w:sz="4" w:space="0" w:color="auto"/>
            </w:tcBorders>
            <w:shd w:val="clear" w:color="auto" w:fill="auto"/>
            <w:vAlign w:val="bottom"/>
            <w:hideMark/>
          </w:tcPr>
          <w:p w:rsidR="000B3091" w:rsidRPr="000B3091" w:rsidRDefault="000B3091" w:rsidP="0064714F">
            <w:pPr>
              <w:widowControl/>
              <w:rPr>
                <w:rFonts w:ascii="Arial Narrow" w:hAnsi="Arial Narrow"/>
                <w:sz w:val="20"/>
                <w:lang w:eastAsia="en-AU"/>
              </w:rPr>
            </w:pPr>
          </w:p>
        </w:tc>
        <w:tc>
          <w:tcPr>
            <w:tcW w:w="620" w:type="pct"/>
            <w:tcBorders>
              <w:bottom w:val="single" w:sz="4" w:space="0" w:color="auto"/>
            </w:tcBorders>
            <w:shd w:val="clear" w:color="auto" w:fill="auto"/>
            <w:vAlign w:val="bottom"/>
            <w:hideMark/>
          </w:tcPr>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Year 1</w:t>
            </w:r>
          </w:p>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(2017)</w:t>
            </w:r>
          </w:p>
        </w:tc>
        <w:tc>
          <w:tcPr>
            <w:tcW w:w="620" w:type="pct"/>
            <w:tcBorders>
              <w:bottom w:val="single" w:sz="4" w:space="0" w:color="auto"/>
            </w:tcBorders>
            <w:shd w:val="clear" w:color="auto" w:fill="auto"/>
            <w:vAlign w:val="bottom"/>
            <w:hideMark/>
          </w:tcPr>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Year 2</w:t>
            </w:r>
          </w:p>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(2018)</w:t>
            </w:r>
          </w:p>
        </w:tc>
        <w:tc>
          <w:tcPr>
            <w:tcW w:w="620" w:type="pct"/>
            <w:tcBorders>
              <w:bottom w:val="single" w:sz="4" w:space="0" w:color="auto"/>
            </w:tcBorders>
            <w:shd w:val="clear" w:color="auto" w:fill="auto"/>
            <w:vAlign w:val="bottom"/>
            <w:hideMark/>
          </w:tcPr>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Year 3</w:t>
            </w:r>
            <w:r w:rsidRPr="000B3091">
              <w:rPr>
                <w:rFonts w:ascii="Arial Narrow" w:hAnsi="Arial Narrow"/>
                <w:b/>
                <w:bCs/>
                <w:sz w:val="20"/>
                <w:lang w:eastAsia="en-AU"/>
              </w:rPr>
              <w:br/>
              <w:t>(2019)</w:t>
            </w:r>
          </w:p>
        </w:tc>
        <w:tc>
          <w:tcPr>
            <w:tcW w:w="620" w:type="pct"/>
            <w:tcBorders>
              <w:bottom w:val="single" w:sz="4" w:space="0" w:color="auto"/>
            </w:tcBorders>
            <w:shd w:val="clear" w:color="auto" w:fill="auto"/>
            <w:vAlign w:val="bottom"/>
            <w:hideMark/>
          </w:tcPr>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Year 4</w:t>
            </w:r>
          </w:p>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(2020)</w:t>
            </w:r>
          </w:p>
        </w:tc>
        <w:tc>
          <w:tcPr>
            <w:tcW w:w="619" w:type="pct"/>
            <w:tcBorders>
              <w:bottom w:val="single" w:sz="4" w:space="0" w:color="auto"/>
              <w:right w:val="single" w:sz="4" w:space="0" w:color="auto"/>
            </w:tcBorders>
            <w:shd w:val="clear" w:color="auto" w:fill="auto"/>
            <w:vAlign w:val="bottom"/>
            <w:hideMark/>
          </w:tcPr>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Year 5</w:t>
            </w:r>
          </w:p>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(2021)</w:t>
            </w:r>
          </w:p>
        </w:tc>
        <w:tc>
          <w:tcPr>
            <w:tcW w:w="615" w:type="pct"/>
            <w:tcBorders>
              <w:bottom w:val="single" w:sz="4" w:space="0" w:color="auto"/>
              <w:right w:val="single" w:sz="4" w:space="0" w:color="auto"/>
            </w:tcBorders>
          </w:tcPr>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Year 6</w:t>
            </w:r>
          </w:p>
          <w:p w:rsidR="000B3091" w:rsidRPr="000B3091" w:rsidRDefault="000B3091" w:rsidP="0064714F">
            <w:pPr>
              <w:widowControl/>
              <w:jc w:val="center"/>
              <w:rPr>
                <w:rFonts w:ascii="Arial Narrow" w:hAnsi="Arial Narrow"/>
                <w:b/>
                <w:bCs/>
                <w:sz w:val="20"/>
                <w:lang w:eastAsia="en-AU"/>
              </w:rPr>
            </w:pPr>
            <w:r w:rsidRPr="000B3091">
              <w:rPr>
                <w:rFonts w:ascii="Arial Narrow" w:hAnsi="Arial Narrow"/>
                <w:b/>
                <w:bCs/>
                <w:sz w:val="20"/>
                <w:lang w:eastAsia="en-AU"/>
              </w:rPr>
              <w:t>(2022)</w:t>
            </w:r>
          </w:p>
        </w:tc>
      </w:tr>
      <w:tr w:rsidR="000B3091" w:rsidRPr="000B3091" w:rsidTr="0064714F">
        <w:tc>
          <w:tcPr>
            <w:tcW w:w="1287" w:type="pct"/>
            <w:tcBorders>
              <w:left w:val="single" w:sz="4" w:space="0" w:color="auto"/>
            </w:tcBorders>
            <w:shd w:val="clear" w:color="auto" w:fill="auto"/>
            <w:noWrap/>
            <w:vAlign w:val="bottom"/>
          </w:tcPr>
          <w:p w:rsidR="000B3091" w:rsidRPr="000B3091" w:rsidRDefault="000B3091" w:rsidP="0064714F">
            <w:pPr>
              <w:widowControl/>
              <w:jc w:val="left"/>
              <w:rPr>
                <w:rFonts w:ascii="Arial Narrow" w:hAnsi="Arial Narrow"/>
                <w:sz w:val="20"/>
                <w:lang w:eastAsia="en-AU"/>
              </w:rPr>
            </w:pPr>
            <w:r w:rsidRPr="000B3091">
              <w:rPr>
                <w:rFonts w:ascii="Arial Narrow" w:hAnsi="Arial Narrow"/>
                <w:sz w:val="20"/>
                <w:lang w:eastAsia="en-AU"/>
              </w:rPr>
              <w:t>Total number of patients treated per year</w:t>
            </w:r>
          </w:p>
        </w:tc>
        <w:tc>
          <w:tcPr>
            <w:tcW w:w="620" w:type="pct"/>
            <w:shd w:val="clear" w:color="auto" w:fill="auto"/>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rPr>
              <w:t>'''''''''</w:t>
            </w:r>
          </w:p>
        </w:tc>
        <w:tc>
          <w:tcPr>
            <w:tcW w:w="620" w:type="pct"/>
            <w:shd w:val="clear" w:color="auto" w:fill="auto"/>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rPr>
              <w:t>''''''''''</w:t>
            </w:r>
          </w:p>
        </w:tc>
        <w:tc>
          <w:tcPr>
            <w:tcW w:w="620" w:type="pct"/>
            <w:shd w:val="clear" w:color="auto" w:fill="auto"/>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rPr>
              <w:t>''''''''''</w:t>
            </w:r>
          </w:p>
        </w:tc>
        <w:tc>
          <w:tcPr>
            <w:tcW w:w="620" w:type="pct"/>
            <w:shd w:val="clear" w:color="auto" w:fill="auto"/>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rPr>
              <w:t>''''''''''</w:t>
            </w:r>
          </w:p>
        </w:tc>
        <w:tc>
          <w:tcPr>
            <w:tcW w:w="619" w:type="pct"/>
            <w:tcBorders>
              <w:right w:val="single" w:sz="4" w:space="0" w:color="auto"/>
            </w:tcBorders>
            <w:shd w:val="clear" w:color="auto" w:fill="auto"/>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rPr>
              <w:t>'''''''''''''</w:t>
            </w:r>
          </w:p>
        </w:tc>
        <w:tc>
          <w:tcPr>
            <w:tcW w:w="615" w:type="pct"/>
            <w:tcBorders>
              <w:right w:val="single" w:sz="4" w:space="0" w:color="auto"/>
            </w:tcBorders>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rPr>
              <w:t>'''''''''''''</w:t>
            </w:r>
          </w:p>
        </w:tc>
      </w:tr>
      <w:tr w:rsidR="000B3091" w:rsidRPr="000B3091" w:rsidTr="0064714F">
        <w:tc>
          <w:tcPr>
            <w:tcW w:w="1287" w:type="pct"/>
            <w:tcBorders>
              <w:left w:val="single" w:sz="4" w:space="0" w:color="auto"/>
            </w:tcBorders>
            <w:shd w:val="clear" w:color="auto" w:fill="auto"/>
            <w:noWrap/>
            <w:vAlign w:val="bottom"/>
          </w:tcPr>
          <w:p w:rsidR="000B3091" w:rsidRPr="000B3091" w:rsidRDefault="000B3091" w:rsidP="0064714F">
            <w:pPr>
              <w:widowControl/>
              <w:jc w:val="left"/>
              <w:rPr>
                <w:rFonts w:ascii="Arial Narrow" w:hAnsi="Arial Narrow"/>
                <w:sz w:val="20"/>
                <w:lang w:eastAsia="en-AU"/>
              </w:rPr>
            </w:pPr>
            <w:r w:rsidRPr="000B3091">
              <w:rPr>
                <w:rFonts w:ascii="Arial Narrow" w:hAnsi="Arial Narrow"/>
                <w:sz w:val="20"/>
                <w:lang w:eastAsia="en-AU"/>
              </w:rPr>
              <w:t>Total number of prescriptions per annum</w:t>
            </w:r>
          </w:p>
        </w:tc>
        <w:tc>
          <w:tcPr>
            <w:tcW w:w="620" w:type="pct"/>
            <w:shd w:val="clear" w:color="auto" w:fill="auto"/>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620" w:type="pct"/>
            <w:shd w:val="clear" w:color="auto" w:fill="auto"/>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620" w:type="pct"/>
            <w:shd w:val="clear" w:color="auto" w:fill="auto"/>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620" w:type="pct"/>
            <w:shd w:val="clear" w:color="auto" w:fill="auto"/>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619" w:type="pct"/>
            <w:tcBorders>
              <w:right w:val="single" w:sz="4" w:space="0" w:color="auto"/>
            </w:tcBorders>
            <w:shd w:val="clear" w:color="auto" w:fill="auto"/>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615" w:type="pct"/>
            <w:tcBorders>
              <w:right w:val="single" w:sz="4" w:space="0" w:color="auto"/>
            </w:tcBorders>
            <w:vAlign w:val="center"/>
          </w:tcPr>
          <w:p w:rsidR="000B3091" w:rsidRPr="000E36E2" w:rsidRDefault="000E36E2" w:rsidP="0064714F">
            <w:pPr>
              <w:widowControl/>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r>
      <w:tr w:rsidR="000B3091" w:rsidRPr="000B3091" w:rsidTr="0064714F">
        <w:tc>
          <w:tcPr>
            <w:tcW w:w="1287" w:type="pct"/>
            <w:tcBorders>
              <w:left w:val="single" w:sz="4" w:space="0" w:color="auto"/>
            </w:tcBorders>
            <w:shd w:val="clear" w:color="auto" w:fill="auto"/>
            <w:noWrap/>
            <w:vAlign w:val="bottom"/>
          </w:tcPr>
          <w:p w:rsidR="000B3091" w:rsidRPr="000B3091" w:rsidRDefault="000B3091" w:rsidP="0064714F">
            <w:pPr>
              <w:widowControl/>
              <w:jc w:val="left"/>
              <w:rPr>
                <w:rFonts w:ascii="Arial Narrow" w:hAnsi="Arial Narrow"/>
                <w:sz w:val="20"/>
                <w:lang w:eastAsia="en-AU"/>
              </w:rPr>
            </w:pPr>
            <w:r w:rsidRPr="000B3091">
              <w:rPr>
                <w:rFonts w:ascii="Arial Narrow" w:hAnsi="Arial Narrow"/>
                <w:sz w:val="20"/>
                <w:lang w:eastAsia="en-AU"/>
              </w:rPr>
              <w:t>Cost of adalimumab (proposed effective DPMQ, $</w:t>
            </w:r>
            <w:r w:rsidR="000E36E2">
              <w:rPr>
                <w:rFonts w:ascii="Arial Narrow" w:hAnsi="Arial Narrow"/>
                <w:noProof/>
                <w:color w:val="000000"/>
                <w:sz w:val="20"/>
                <w:highlight w:val="black"/>
                <w:lang w:eastAsia="en-AU"/>
              </w:rPr>
              <w:t>''''''''''</w:t>
            </w:r>
            <w:r w:rsidRPr="000B3091">
              <w:rPr>
                <w:rFonts w:ascii="Arial Narrow" w:hAnsi="Arial Narrow"/>
                <w:sz w:val="20"/>
                <w:lang w:eastAsia="en-AU"/>
              </w:rPr>
              <w:t xml:space="preserve"> per pack)</w:t>
            </w:r>
          </w:p>
        </w:tc>
        <w:tc>
          <w:tcPr>
            <w:tcW w:w="620" w:type="pct"/>
            <w:shd w:val="clear" w:color="auto" w:fill="auto"/>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c>
          <w:tcPr>
            <w:tcW w:w="620" w:type="pct"/>
            <w:shd w:val="clear" w:color="auto" w:fill="auto"/>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c>
          <w:tcPr>
            <w:tcW w:w="620" w:type="pct"/>
            <w:shd w:val="clear" w:color="auto" w:fill="auto"/>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c>
          <w:tcPr>
            <w:tcW w:w="620" w:type="pct"/>
            <w:shd w:val="clear" w:color="auto" w:fill="auto"/>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c>
          <w:tcPr>
            <w:tcW w:w="619" w:type="pct"/>
            <w:tcBorders>
              <w:right w:val="single" w:sz="4" w:space="0" w:color="auto"/>
            </w:tcBorders>
            <w:shd w:val="clear" w:color="auto" w:fill="auto"/>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c>
          <w:tcPr>
            <w:tcW w:w="615" w:type="pct"/>
            <w:tcBorders>
              <w:right w:val="single" w:sz="4" w:space="0" w:color="auto"/>
            </w:tcBorders>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r>
      <w:tr w:rsidR="000B3091" w:rsidRPr="000B3091" w:rsidTr="0064714F">
        <w:tc>
          <w:tcPr>
            <w:tcW w:w="1287" w:type="pct"/>
            <w:tcBorders>
              <w:left w:val="single" w:sz="4" w:space="0" w:color="auto"/>
            </w:tcBorders>
            <w:shd w:val="clear" w:color="auto" w:fill="auto"/>
            <w:noWrap/>
            <w:vAlign w:val="bottom"/>
          </w:tcPr>
          <w:p w:rsidR="000B3091" w:rsidRPr="000B3091" w:rsidRDefault="000B3091" w:rsidP="0064714F">
            <w:pPr>
              <w:widowControl/>
              <w:jc w:val="left"/>
              <w:rPr>
                <w:rFonts w:ascii="Arial Narrow" w:hAnsi="Arial Narrow"/>
                <w:sz w:val="20"/>
                <w:lang w:eastAsia="en-AU"/>
              </w:rPr>
            </w:pPr>
            <w:r w:rsidRPr="000B3091">
              <w:rPr>
                <w:rFonts w:ascii="Arial Narrow" w:hAnsi="Arial Narrow"/>
                <w:sz w:val="20"/>
                <w:lang w:eastAsia="en-AU"/>
              </w:rPr>
              <w:t xml:space="preserve">Patient </w:t>
            </w:r>
            <w:proofErr w:type="spellStart"/>
            <w:r w:rsidRPr="000B3091">
              <w:rPr>
                <w:rFonts w:ascii="Arial Narrow" w:hAnsi="Arial Narrow"/>
                <w:sz w:val="20"/>
                <w:lang w:eastAsia="en-AU"/>
              </w:rPr>
              <w:t>copayment</w:t>
            </w:r>
            <w:proofErr w:type="spellEnd"/>
            <w:r w:rsidRPr="000B3091">
              <w:rPr>
                <w:rFonts w:ascii="Arial Narrow" w:hAnsi="Arial Narrow"/>
                <w:sz w:val="20"/>
                <w:lang w:eastAsia="en-AU"/>
              </w:rPr>
              <w:t xml:space="preserve"> ($28.56)</w:t>
            </w:r>
          </w:p>
        </w:tc>
        <w:tc>
          <w:tcPr>
            <w:tcW w:w="620" w:type="pct"/>
            <w:shd w:val="clear" w:color="auto" w:fill="auto"/>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c>
          <w:tcPr>
            <w:tcW w:w="620" w:type="pct"/>
            <w:shd w:val="clear" w:color="auto" w:fill="auto"/>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c>
          <w:tcPr>
            <w:tcW w:w="620" w:type="pct"/>
            <w:shd w:val="clear" w:color="auto" w:fill="auto"/>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c>
          <w:tcPr>
            <w:tcW w:w="620" w:type="pct"/>
            <w:shd w:val="clear" w:color="auto" w:fill="auto"/>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c>
          <w:tcPr>
            <w:tcW w:w="619" w:type="pct"/>
            <w:tcBorders>
              <w:right w:val="single" w:sz="4" w:space="0" w:color="auto"/>
            </w:tcBorders>
            <w:shd w:val="clear" w:color="auto" w:fill="auto"/>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c>
          <w:tcPr>
            <w:tcW w:w="615" w:type="pct"/>
            <w:tcBorders>
              <w:right w:val="single" w:sz="4" w:space="0" w:color="auto"/>
            </w:tcBorders>
            <w:vAlign w:val="center"/>
          </w:tcPr>
          <w:p w:rsidR="000B3091" w:rsidRPr="000B3091" w:rsidRDefault="000B3091" w:rsidP="0064714F">
            <w:pPr>
              <w:widowControl/>
              <w:jc w:val="center"/>
              <w:rPr>
                <w:rFonts w:ascii="Arial Narrow" w:hAnsi="Arial Narrow" w:cs="Calibri"/>
                <w:sz w:val="20"/>
                <w:lang w:eastAsia="en-AU"/>
              </w:rPr>
            </w:pPr>
            <w:r w:rsidRPr="000B3091">
              <w:rPr>
                <w:rFonts w:ascii="Arial Narrow" w:hAnsi="Arial Narrow"/>
                <w:sz w:val="20"/>
              </w:rPr>
              <w:t>$</w:t>
            </w:r>
            <w:r w:rsidR="000E36E2">
              <w:rPr>
                <w:rFonts w:ascii="Arial Narrow" w:hAnsi="Arial Narrow"/>
                <w:noProof/>
                <w:color w:val="000000"/>
                <w:sz w:val="20"/>
                <w:highlight w:val="black"/>
              </w:rPr>
              <w:t>'''''''''''''''''''</w:t>
            </w:r>
          </w:p>
        </w:tc>
      </w:tr>
      <w:tr w:rsidR="000B3091" w:rsidRPr="000B3091" w:rsidTr="0064714F">
        <w:tc>
          <w:tcPr>
            <w:tcW w:w="1287" w:type="pct"/>
            <w:tcBorders>
              <w:left w:val="single" w:sz="4" w:space="0" w:color="auto"/>
            </w:tcBorders>
            <w:shd w:val="clear" w:color="auto" w:fill="auto"/>
            <w:noWrap/>
            <w:vAlign w:val="bottom"/>
          </w:tcPr>
          <w:p w:rsidR="000B3091" w:rsidRPr="000B3091" w:rsidRDefault="000B3091" w:rsidP="0064714F">
            <w:pPr>
              <w:widowControl/>
              <w:jc w:val="left"/>
              <w:rPr>
                <w:rFonts w:ascii="Arial Narrow" w:hAnsi="Arial Narrow"/>
                <w:b/>
                <w:sz w:val="20"/>
                <w:lang w:eastAsia="en-AU"/>
              </w:rPr>
            </w:pPr>
            <w:r w:rsidRPr="000B3091">
              <w:rPr>
                <w:rFonts w:ascii="Arial Narrow" w:hAnsi="Arial Narrow"/>
                <w:b/>
                <w:sz w:val="20"/>
                <w:lang w:eastAsia="en-AU"/>
              </w:rPr>
              <w:t>Net cost to PBS/RPBS (effective price)</w:t>
            </w:r>
          </w:p>
        </w:tc>
        <w:tc>
          <w:tcPr>
            <w:tcW w:w="620" w:type="pct"/>
            <w:shd w:val="clear" w:color="auto" w:fill="auto"/>
            <w:vAlign w:val="center"/>
          </w:tcPr>
          <w:p w:rsidR="000B3091" w:rsidRPr="000B3091" w:rsidRDefault="000B3091" w:rsidP="0064714F">
            <w:pPr>
              <w:widowControl/>
              <w:jc w:val="center"/>
              <w:rPr>
                <w:rFonts w:ascii="Arial Narrow" w:hAnsi="Arial Narrow" w:cs="Calibri"/>
                <w:b/>
                <w:sz w:val="20"/>
                <w:lang w:eastAsia="en-AU"/>
              </w:rPr>
            </w:pPr>
            <w:r w:rsidRPr="000B3091">
              <w:rPr>
                <w:rFonts w:ascii="Arial Narrow" w:hAnsi="Arial Narrow"/>
                <w:b/>
                <w:sz w:val="20"/>
              </w:rPr>
              <w:t>$</w:t>
            </w:r>
            <w:r w:rsidR="000E36E2">
              <w:rPr>
                <w:rFonts w:ascii="Arial Narrow" w:hAnsi="Arial Narrow"/>
                <w:b/>
                <w:noProof/>
                <w:color w:val="000000"/>
                <w:sz w:val="20"/>
                <w:highlight w:val="black"/>
              </w:rPr>
              <w:t>'''''''''''''''''''''</w:t>
            </w:r>
          </w:p>
        </w:tc>
        <w:tc>
          <w:tcPr>
            <w:tcW w:w="620" w:type="pct"/>
            <w:shd w:val="clear" w:color="auto" w:fill="auto"/>
            <w:vAlign w:val="center"/>
          </w:tcPr>
          <w:p w:rsidR="000B3091" w:rsidRPr="000B3091" w:rsidRDefault="000B3091" w:rsidP="0064714F">
            <w:pPr>
              <w:widowControl/>
              <w:jc w:val="center"/>
              <w:rPr>
                <w:rFonts w:ascii="Arial Narrow" w:hAnsi="Arial Narrow" w:cs="Calibri"/>
                <w:b/>
                <w:sz w:val="20"/>
                <w:lang w:eastAsia="en-AU"/>
              </w:rPr>
            </w:pPr>
            <w:r w:rsidRPr="000B3091">
              <w:rPr>
                <w:rFonts w:ascii="Arial Narrow" w:hAnsi="Arial Narrow"/>
                <w:b/>
                <w:sz w:val="20"/>
              </w:rPr>
              <w:t>$</w:t>
            </w:r>
            <w:r w:rsidR="000E36E2">
              <w:rPr>
                <w:rFonts w:ascii="Arial Narrow" w:hAnsi="Arial Narrow"/>
                <w:b/>
                <w:noProof/>
                <w:color w:val="000000"/>
                <w:sz w:val="20"/>
                <w:highlight w:val="black"/>
              </w:rPr>
              <w:t>''''''''''''''''''</w:t>
            </w:r>
          </w:p>
        </w:tc>
        <w:tc>
          <w:tcPr>
            <w:tcW w:w="620" w:type="pct"/>
            <w:shd w:val="clear" w:color="auto" w:fill="auto"/>
            <w:vAlign w:val="center"/>
          </w:tcPr>
          <w:p w:rsidR="000B3091" w:rsidRPr="000B3091" w:rsidRDefault="000B3091" w:rsidP="0064714F">
            <w:pPr>
              <w:widowControl/>
              <w:jc w:val="center"/>
              <w:rPr>
                <w:rFonts w:ascii="Arial Narrow" w:hAnsi="Arial Narrow" w:cs="Calibri"/>
                <w:b/>
                <w:sz w:val="20"/>
                <w:lang w:eastAsia="en-AU"/>
              </w:rPr>
            </w:pPr>
            <w:r w:rsidRPr="000B3091">
              <w:rPr>
                <w:rFonts w:ascii="Arial Narrow" w:hAnsi="Arial Narrow"/>
                <w:b/>
                <w:sz w:val="20"/>
              </w:rPr>
              <w:t>$</w:t>
            </w:r>
            <w:r w:rsidR="000E36E2">
              <w:rPr>
                <w:rFonts w:ascii="Arial Narrow" w:hAnsi="Arial Narrow"/>
                <w:b/>
                <w:noProof/>
                <w:color w:val="000000"/>
                <w:sz w:val="20"/>
                <w:highlight w:val="black"/>
              </w:rPr>
              <w:t>''''''''''''''''''</w:t>
            </w:r>
          </w:p>
        </w:tc>
        <w:tc>
          <w:tcPr>
            <w:tcW w:w="620" w:type="pct"/>
            <w:shd w:val="clear" w:color="auto" w:fill="auto"/>
            <w:vAlign w:val="center"/>
          </w:tcPr>
          <w:p w:rsidR="000B3091" w:rsidRPr="000B3091" w:rsidRDefault="000B3091" w:rsidP="0064714F">
            <w:pPr>
              <w:widowControl/>
              <w:jc w:val="center"/>
              <w:rPr>
                <w:rFonts w:ascii="Arial Narrow" w:hAnsi="Arial Narrow" w:cs="Calibri"/>
                <w:b/>
                <w:sz w:val="20"/>
                <w:lang w:eastAsia="en-AU"/>
              </w:rPr>
            </w:pPr>
            <w:r w:rsidRPr="000B3091">
              <w:rPr>
                <w:rFonts w:ascii="Arial Narrow" w:hAnsi="Arial Narrow"/>
                <w:b/>
                <w:sz w:val="20"/>
              </w:rPr>
              <w:t>$</w:t>
            </w:r>
            <w:r w:rsidR="000E36E2">
              <w:rPr>
                <w:rFonts w:ascii="Arial Narrow" w:hAnsi="Arial Narrow"/>
                <w:b/>
                <w:noProof/>
                <w:color w:val="000000"/>
                <w:sz w:val="20"/>
                <w:highlight w:val="black"/>
              </w:rPr>
              <w:t>'''''''''''''''''''</w:t>
            </w:r>
          </w:p>
        </w:tc>
        <w:tc>
          <w:tcPr>
            <w:tcW w:w="619" w:type="pct"/>
            <w:tcBorders>
              <w:right w:val="single" w:sz="4" w:space="0" w:color="auto"/>
            </w:tcBorders>
            <w:shd w:val="clear" w:color="auto" w:fill="auto"/>
            <w:vAlign w:val="center"/>
          </w:tcPr>
          <w:p w:rsidR="000B3091" w:rsidRPr="000B3091" w:rsidRDefault="000B3091" w:rsidP="0064714F">
            <w:pPr>
              <w:widowControl/>
              <w:jc w:val="center"/>
              <w:rPr>
                <w:rFonts w:ascii="Arial Narrow" w:hAnsi="Arial Narrow" w:cs="Calibri"/>
                <w:b/>
                <w:sz w:val="20"/>
                <w:lang w:eastAsia="en-AU"/>
              </w:rPr>
            </w:pPr>
            <w:r w:rsidRPr="000B3091">
              <w:rPr>
                <w:rFonts w:ascii="Arial Narrow" w:hAnsi="Arial Narrow"/>
                <w:b/>
                <w:sz w:val="20"/>
              </w:rPr>
              <w:t>$</w:t>
            </w:r>
            <w:r w:rsidR="000E36E2">
              <w:rPr>
                <w:rFonts w:ascii="Arial Narrow" w:hAnsi="Arial Narrow"/>
                <w:b/>
                <w:noProof/>
                <w:color w:val="000000"/>
                <w:sz w:val="20"/>
                <w:highlight w:val="black"/>
              </w:rPr>
              <w:t>'''''''''''''''''''''</w:t>
            </w:r>
          </w:p>
        </w:tc>
        <w:tc>
          <w:tcPr>
            <w:tcW w:w="615" w:type="pct"/>
            <w:tcBorders>
              <w:right w:val="single" w:sz="4" w:space="0" w:color="auto"/>
            </w:tcBorders>
            <w:vAlign w:val="center"/>
          </w:tcPr>
          <w:p w:rsidR="000B3091" w:rsidRPr="000B3091" w:rsidRDefault="000B3091" w:rsidP="0064714F">
            <w:pPr>
              <w:widowControl/>
              <w:jc w:val="center"/>
              <w:rPr>
                <w:rFonts w:ascii="Arial Narrow" w:hAnsi="Arial Narrow" w:cs="Calibri"/>
                <w:b/>
                <w:sz w:val="20"/>
                <w:lang w:eastAsia="en-AU"/>
              </w:rPr>
            </w:pPr>
            <w:r w:rsidRPr="000B3091">
              <w:rPr>
                <w:rFonts w:ascii="Arial Narrow" w:hAnsi="Arial Narrow"/>
                <w:b/>
                <w:sz w:val="20"/>
              </w:rPr>
              <w:t>$</w:t>
            </w:r>
            <w:r w:rsidR="000E36E2">
              <w:rPr>
                <w:rFonts w:ascii="Arial Narrow" w:hAnsi="Arial Narrow"/>
                <w:b/>
                <w:noProof/>
                <w:color w:val="000000"/>
                <w:sz w:val="20"/>
                <w:highlight w:val="black"/>
              </w:rPr>
              <w:t>''''''''''''''''''''</w:t>
            </w:r>
          </w:p>
        </w:tc>
      </w:tr>
    </w:tbl>
    <w:p w:rsidR="000B3091" w:rsidRPr="000B3091" w:rsidRDefault="000B3091" w:rsidP="000B3091">
      <w:pPr>
        <w:pStyle w:val="COMTbl-foot"/>
        <w:widowControl/>
        <w:ind w:left="720"/>
        <w:rPr>
          <w:rFonts w:ascii="Arial Narrow" w:hAnsi="Arial Narrow"/>
        </w:rPr>
      </w:pPr>
      <w:r w:rsidRPr="000B3091">
        <w:rPr>
          <w:rFonts w:ascii="Arial Narrow" w:hAnsi="Arial Narrow"/>
        </w:rPr>
        <w:t>Source: Table E.2-1, p.195; Table E.2-2, p.196; Table E.2-3, p.197; Table E.2-4, p.198; Table E.2-5, p.199; Table E.2-6, p.200; Table E.4-1, p.201 of the submission</w:t>
      </w:r>
    </w:p>
    <w:p w:rsidR="000B3091" w:rsidRDefault="000B3091" w:rsidP="000B3091">
      <w:pPr>
        <w:widowControl/>
        <w:rPr>
          <w:szCs w:val="22"/>
        </w:rPr>
      </w:pPr>
    </w:p>
    <w:p w:rsidR="005E753E" w:rsidRDefault="005E753E" w:rsidP="005E753E">
      <w:pPr>
        <w:widowControl/>
        <w:ind w:left="720"/>
        <w:rPr>
          <w:szCs w:val="22"/>
        </w:rPr>
      </w:pPr>
      <w:r>
        <w:rPr>
          <w:szCs w:val="24"/>
        </w:rPr>
        <w:t>The redacted table shows that a</w:t>
      </w:r>
      <w:r w:rsidRPr="00DE39BD">
        <w:rPr>
          <w:szCs w:val="24"/>
        </w:rPr>
        <w:t xml:space="preserve">t year 5, the estimated number of patients was </w:t>
      </w:r>
      <w:r>
        <w:rPr>
          <w:szCs w:val="24"/>
        </w:rPr>
        <w:t>less than 10,000 per year</w:t>
      </w:r>
      <w:r w:rsidRPr="00DE39BD">
        <w:rPr>
          <w:szCs w:val="24"/>
        </w:rPr>
        <w:t xml:space="preserve"> and the net cost to the PBS would be </w:t>
      </w:r>
      <w:r>
        <w:rPr>
          <w:szCs w:val="24"/>
        </w:rPr>
        <w:t>less than $10 million per year.</w:t>
      </w:r>
    </w:p>
    <w:p w:rsidR="005E753E" w:rsidRPr="000B3091" w:rsidRDefault="005E753E" w:rsidP="000B3091">
      <w:pPr>
        <w:widowControl/>
        <w:rPr>
          <w:szCs w:val="22"/>
        </w:rPr>
      </w:pPr>
    </w:p>
    <w:p w:rsidR="008F6960" w:rsidRPr="008F6960" w:rsidRDefault="000B3091" w:rsidP="008F6960">
      <w:pPr>
        <w:pStyle w:val="ListParagraph"/>
        <w:widowControl/>
        <w:numPr>
          <w:ilvl w:val="1"/>
          <w:numId w:val="3"/>
        </w:numPr>
        <w:rPr>
          <w:szCs w:val="22"/>
        </w:rPr>
      </w:pPr>
      <w:r w:rsidRPr="000B3091">
        <w:t>The estimated financial implications were highly uncertain and</w:t>
      </w:r>
      <w:r w:rsidR="007A31D6">
        <w:t xml:space="preserve"> the DUSC considered it was</w:t>
      </w:r>
      <w:r w:rsidRPr="000B3091">
        <w:t xml:space="preserve"> likely to be underestimated. </w:t>
      </w:r>
      <w:r w:rsidR="008F6960">
        <w:t>The DUSC noted that t</w:t>
      </w:r>
      <w:r w:rsidRPr="000B3091">
        <w:t>he estimates were derived from a number of international sources.</w:t>
      </w:r>
      <w:r w:rsidR="008F6960">
        <w:t xml:space="preserve"> The DUSC considered this</w:t>
      </w:r>
      <w:r w:rsidR="008F6960" w:rsidRPr="008F6960">
        <w:t xml:space="preserve"> increased the overall uncertainty around the final numbers rather than providing triangulation to verify the appropriateness of the assumptions.</w:t>
      </w:r>
      <w:r w:rsidR="008F6960">
        <w:t xml:space="preserve"> </w:t>
      </w:r>
    </w:p>
    <w:p w:rsidR="008F6960" w:rsidRPr="008F6960" w:rsidRDefault="008F6960" w:rsidP="008F6960">
      <w:pPr>
        <w:pStyle w:val="ListParagraph"/>
        <w:widowControl/>
        <w:rPr>
          <w:szCs w:val="22"/>
        </w:rPr>
      </w:pPr>
    </w:p>
    <w:p w:rsidR="000B3091" w:rsidRPr="008F6960" w:rsidRDefault="000B3091" w:rsidP="008F6960">
      <w:pPr>
        <w:pStyle w:val="ListParagraph"/>
        <w:widowControl/>
        <w:numPr>
          <w:ilvl w:val="1"/>
          <w:numId w:val="3"/>
        </w:numPr>
        <w:rPr>
          <w:szCs w:val="22"/>
        </w:rPr>
      </w:pPr>
      <w:r w:rsidRPr="000B3091">
        <w:lastRenderedPageBreak/>
        <w:t xml:space="preserve">Assumptions regarding estimated uptake and discontinuation rates were also uncertain. Uptake was estimated to start at </w:t>
      </w:r>
      <w:r w:rsidR="000E36E2">
        <w:rPr>
          <w:noProof/>
          <w:color w:val="000000"/>
          <w:highlight w:val="black"/>
        </w:rPr>
        <w:t>''''''</w:t>
      </w:r>
      <w:r w:rsidRPr="000B3091">
        <w:t xml:space="preserve">% in year 1, increasing to </w:t>
      </w:r>
      <w:r w:rsidR="000E36E2">
        <w:rPr>
          <w:noProof/>
          <w:color w:val="000000"/>
          <w:highlight w:val="black"/>
        </w:rPr>
        <w:t>''''''</w:t>
      </w:r>
      <w:r w:rsidRPr="000B3091">
        <w:t xml:space="preserve">% by year 2; the low uptake was assumed on the basis of registration of adalimumab in the setting being recent and no international data on uptake being available. </w:t>
      </w:r>
      <w:r w:rsidR="008F6960">
        <w:t>The DUSC considered t</w:t>
      </w:r>
      <w:r w:rsidRPr="000B3091">
        <w:t xml:space="preserve">his is a likely underestimate given there are no alternative appropriate therapies for patients who have failed to achieve an adequate response </w:t>
      </w:r>
      <w:r w:rsidRPr="002D61C7">
        <w:t>to corticosteroid therapy in combination with at least one immunomodulatory agent.</w:t>
      </w:r>
      <w:r w:rsidR="003F1E8C">
        <w:t xml:space="preserve"> </w:t>
      </w:r>
      <w:r w:rsidR="008F6960">
        <w:t xml:space="preserve">Furthermore, the DUSC considered that the </w:t>
      </w:r>
      <w:r w:rsidR="008F6960" w:rsidRPr="008F6960">
        <w:t>ordering of diagnosis and referral should be reversed.</w:t>
      </w:r>
      <w:r w:rsidR="008F6960">
        <w:t xml:space="preserve"> Therefore, t</w:t>
      </w:r>
      <w:r w:rsidR="008F6960" w:rsidRPr="008F6960">
        <w:t xml:space="preserve">he rate of referral following diagnosis is likely to be </w:t>
      </w:r>
      <w:r w:rsidR="000E36E2">
        <w:rPr>
          <w:noProof/>
          <w:color w:val="000000"/>
          <w:highlight w:val="black"/>
        </w:rPr>
        <w:t>'''''''''''</w:t>
      </w:r>
      <w:r w:rsidR="008F6960" w:rsidRPr="00517CB0">
        <w:t>%</w:t>
      </w:r>
      <w:r w:rsidR="000E36E2">
        <w:rPr>
          <w:noProof/>
          <w:color w:val="000000"/>
          <w:highlight w:val="black"/>
        </w:rPr>
        <w:t xml:space="preserve"> </w:t>
      </w:r>
      <w:r w:rsidR="008F6960" w:rsidRPr="00143F6C">
        <w:t xml:space="preserve">rather than </w:t>
      </w:r>
      <w:r w:rsidR="000E36E2">
        <w:rPr>
          <w:noProof/>
          <w:color w:val="000000"/>
          <w:highlight w:val="black"/>
        </w:rPr>
        <w:t>'''''''''''</w:t>
      </w:r>
      <w:r w:rsidR="008F6960" w:rsidRPr="00517CB0">
        <w:t>%</w:t>
      </w:r>
      <w:r w:rsidR="008F6960" w:rsidRPr="008F6960">
        <w:t xml:space="preserve"> used in the estimates.</w:t>
      </w:r>
      <w:r w:rsidR="008F6960">
        <w:t xml:space="preserve"> </w:t>
      </w:r>
    </w:p>
    <w:p w:rsidR="008F6960" w:rsidRPr="008F6960" w:rsidRDefault="008F6960" w:rsidP="008F6960">
      <w:pPr>
        <w:pStyle w:val="ListParagraph"/>
        <w:rPr>
          <w:szCs w:val="22"/>
        </w:rPr>
      </w:pPr>
    </w:p>
    <w:p w:rsidR="008F6960" w:rsidRPr="003F1E8C" w:rsidRDefault="008F6960" w:rsidP="008F6960">
      <w:pPr>
        <w:pStyle w:val="ListParagraph"/>
        <w:widowControl/>
        <w:numPr>
          <w:ilvl w:val="1"/>
          <w:numId w:val="3"/>
        </w:numPr>
        <w:rPr>
          <w:szCs w:val="22"/>
        </w:rPr>
      </w:pPr>
      <w:r>
        <w:rPr>
          <w:szCs w:val="22"/>
        </w:rPr>
        <w:t xml:space="preserve">The DUSC noted that it was </w:t>
      </w:r>
      <w:r w:rsidRPr="008F6960">
        <w:rPr>
          <w:szCs w:val="22"/>
        </w:rPr>
        <w:t>unclear if patients who previously had well controlled disease using adalimumab will be able to restart treatment.</w:t>
      </w:r>
      <w:r>
        <w:rPr>
          <w:szCs w:val="22"/>
        </w:rPr>
        <w:t xml:space="preserve"> The DUSC also noted that t</w:t>
      </w:r>
      <w:r w:rsidRPr="008F6960">
        <w:rPr>
          <w:szCs w:val="22"/>
        </w:rPr>
        <w:t xml:space="preserve">he proportion of patients with uncontrolled disease is likely to be higher than </w:t>
      </w:r>
      <w:r w:rsidR="000E36E2">
        <w:rPr>
          <w:noProof/>
          <w:color w:val="000000"/>
          <w:szCs w:val="22"/>
          <w:highlight w:val="black"/>
        </w:rPr>
        <w:t>''''''</w:t>
      </w:r>
      <w:r w:rsidRPr="008F6960">
        <w:rPr>
          <w:szCs w:val="22"/>
        </w:rPr>
        <w:t>%.</w:t>
      </w:r>
    </w:p>
    <w:p w:rsidR="003F1E8C" w:rsidRPr="003F1E8C" w:rsidRDefault="003F1E8C" w:rsidP="003F1E8C">
      <w:pPr>
        <w:widowControl/>
        <w:rPr>
          <w:szCs w:val="22"/>
        </w:rPr>
      </w:pPr>
    </w:p>
    <w:p w:rsidR="003F1E8C" w:rsidRPr="008F6960" w:rsidRDefault="003F1E8C" w:rsidP="003F1E8C">
      <w:pPr>
        <w:pStyle w:val="ListParagraph"/>
        <w:widowControl/>
        <w:numPr>
          <w:ilvl w:val="1"/>
          <w:numId w:val="3"/>
        </w:numPr>
        <w:rPr>
          <w:szCs w:val="22"/>
        </w:rPr>
      </w:pPr>
      <w:r>
        <w:t>The DUSC noted that t</w:t>
      </w:r>
      <w:r w:rsidRPr="003F1E8C">
        <w:t xml:space="preserve">he requested listing allows treatment in patients under the age of 18 years, but these patients </w:t>
      </w:r>
      <w:r>
        <w:t xml:space="preserve">were not </w:t>
      </w:r>
      <w:r w:rsidRPr="003F1E8C">
        <w:t>included in the financial estimates.</w:t>
      </w:r>
      <w:r>
        <w:t xml:space="preserve"> The pre-PBAC response (p3) provided revised data which included the paediatric population and a reduced effective DPMQ which changed the cost to government at the end of year 5 to </w:t>
      </w:r>
      <w:r w:rsidR="00C1743F">
        <w:t>$10 – $20 million</w:t>
      </w:r>
      <w:r>
        <w:t>.</w:t>
      </w:r>
      <w:r w:rsidR="00297774">
        <w:t xml:space="preserve"> </w:t>
      </w:r>
      <w:r w:rsidR="006A0051">
        <w:t>To address the concerns around the underestimation of use, the pre-PBAC response (p3)</w:t>
      </w:r>
      <w:r w:rsidR="00DD6A2F">
        <w:t xml:space="preserve"> </w:t>
      </w:r>
      <w:r w:rsidR="006A0051">
        <w:t>also proposed a</w:t>
      </w:r>
      <w:r w:rsidR="00297774">
        <w:t xml:space="preserve"> rebate of </w:t>
      </w:r>
      <w:r w:rsidR="000E36E2">
        <w:rPr>
          <w:noProof/>
          <w:color w:val="000000"/>
          <w:highlight w:val="black"/>
        </w:rPr>
        <w:t>'''''''</w:t>
      </w:r>
      <w:r w:rsidR="00297774">
        <w:t>% in the event that the subsidisation caps were exceeded.</w:t>
      </w:r>
    </w:p>
    <w:p w:rsidR="008F6960" w:rsidRPr="00526933" w:rsidRDefault="008F6960" w:rsidP="00526933">
      <w:pPr>
        <w:ind w:firstLine="709"/>
        <w:rPr>
          <w:rStyle w:val="CommentReference"/>
        </w:rPr>
      </w:pPr>
    </w:p>
    <w:p w:rsidR="00D916E2" w:rsidRPr="000B3091" w:rsidRDefault="00D916E2" w:rsidP="00526933">
      <w:pPr>
        <w:ind w:left="709"/>
        <w:rPr>
          <w:rStyle w:val="CommentReference"/>
        </w:rPr>
      </w:pPr>
      <w:r w:rsidRPr="000B3091">
        <w:rPr>
          <w:rStyle w:val="CommentReference"/>
        </w:rPr>
        <w:t xml:space="preserve">Table </w:t>
      </w:r>
      <w:r w:rsidR="005C72BA">
        <w:rPr>
          <w:rStyle w:val="CommentReference"/>
        </w:rPr>
        <w:t>11</w:t>
      </w:r>
      <w:r w:rsidRPr="000B3091">
        <w:rPr>
          <w:rStyle w:val="CommentReference"/>
        </w:rPr>
        <w:t xml:space="preserve">: </w:t>
      </w:r>
      <w:r>
        <w:rPr>
          <w:rStyle w:val="CommentReference"/>
        </w:rPr>
        <w:t xml:space="preserve">Revised net impact to the government (at </w:t>
      </w:r>
      <w:r w:rsidR="000E36E2">
        <w:rPr>
          <w:rStyle w:val="CommentReference"/>
          <w:noProof/>
          <w:color w:val="000000"/>
          <w:highlight w:val="black"/>
        </w:rPr>
        <w:t>''''''''''''''''</w:t>
      </w:r>
      <w:r>
        <w:rPr>
          <w:rStyle w:val="CommentReference"/>
        </w:rPr>
        <w:t xml:space="preserve"> effective DPMQ and including paediatric patients)</w:t>
      </w:r>
    </w:p>
    <w:tbl>
      <w:tblPr>
        <w:tblStyle w:val="TableGrid"/>
        <w:tblW w:w="4524" w:type="pct"/>
        <w:tblInd w:w="817" w:type="dxa"/>
        <w:tblLayout w:type="fixed"/>
        <w:tblLook w:val="04A0" w:firstRow="1" w:lastRow="0" w:firstColumn="1" w:lastColumn="0" w:noHBand="0" w:noVBand="1"/>
        <w:tblCaption w:val="Table 11: Revised net impact to the government (at reduced effective DPMQ and including paediatric patients)"/>
      </w:tblPr>
      <w:tblGrid>
        <w:gridCol w:w="1559"/>
        <w:gridCol w:w="1133"/>
        <w:gridCol w:w="1134"/>
        <w:gridCol w:w="1134"/>
        <w:gridCol w:w="1134"/>
        <w:gridCol w:w="1134"/>
        <w:gridCol w:w="1134"/>
      </w:tblGrid>
      <w:tr w:rsidR="00D916E2" w:rsidRPr="00D3425F" w:rsidTr="0032400C">
        <w:trPr>
          <w:trHeight w:val="259"/>
          <w:tblHeader/>
        </w:trPr>
        <w:tc>
          <w:tcPr>
            <w:tcW w:w="1559" w:type="dxa"/>
          </w:tcPr>
          <w:p w:rsidR="00D916E2" w:rsidRPr="00D3425F" w:rsidRDefault="00D916E2" w:rsidP="002A4DC7">
            <w:pPr>
              <w:rPr>
                <w:rFonts w:ascii="Arial Narrow" w:hAnsi="Arial Narrow"/>
                <w:sz w:val="20"/>
              </w:rPr>
            </w:pPr>
          </w:p>
        </w:tc>
        <w:tc>
          <w:tcPr>
            <w:tcW w:w="1133" w:type="dxa"/>
          </w:tcPr>
          <w:p w:rsidR="00D916E2" w:rsidRPr="00FC7FA6" w:rsidRDefault="00D916E2" w:rsidP="00FD34C8">
            <w:pPr>
              <w:jc w:val="center"/>
              <w:rPr>
                <w:rFonts w:ascii="Arial Narrow" w:hAnsi="Arial Narrow"/>
                <w:b/>
                <w:sz w:val="20"/>
              </w:rPr>
            </w:pPr>
            <w:r w:rsidRPr="00FC7FA6">
              <w:rPr>
                <w:rFonts w:ascii="Arial Narrow" w:hAnsi="Arial Narrow"/>
                <w:b/>
                <w:sz w:val="20"/>
              </w:rPr>
              <w:t>2017</w:t>
            </w:r>
          </w:p>
        </w:tc>
        <w:tc>
          <w:tcPr>
            <w:tcW w:w="1134" w:type="dxa"/>
          </w:tcPr>
          <w:p w:rsidR="00D916E2" w:rsidRPr="00FC7FA6" w:rsidRDefault="00D916E2" w:rsidP="00FD34C8">
            <w:pPr>
              <w:jc w:val="center"/>
              <w:rPr>
                <w:rFonts w:ascii="Arial Narrow" w:hAnsi="Arial Narrow"/>
                <w:b/>
                <w:sz w:val="20"/>
              </w:rPr>
            </w:pPr>
            <w:r w:rsidRPr="00FC7FA6">
              <w:rPr>
                <w:rFonts w:ascii="Arial Narrow" w:hAnsi="Arial Narrow"/>
                <w:b/>
                <w:sz w:val="20"/>
              </w:rPr>
              <w:t>2018</w:t>
            </w:r>
          </w:p>
        </w:tc>
        <w:tc>
          <w:tcPr>
            <w:tcW w:w="1134" w:type="dxa"/>
          </w:tcPr>
          <w:p w:rsidR="00D916E2" w:rsidRPr="00FC7FA6" w:rsidRDefault="00D916E2" w:rsidP="00FD34C8">
            <w:pPr>
              <w:jc w:val="center"/>
              <w:rPr>
                <w:rFonts w:ascii="Arial Narrow" w:hAnsi="Arial Narrow"/>
                <w:b/>
                <w:sz w:val="20"/>
              </w:rPr>
            </w:pPr>
            <w:r w:rsidRPr="00FC7FA6">
              <w:rPr>
                <w:rFonts w:ascii="Arial Narrow" w:hAnsi="Arial Narrow"/>
                <w:b/>
                <w:sz w:val="20"/>
              </w:rPr>
              <w:t>2019</w:t>
            </w:r>
          </w:p>
        </w:tc>
        <w:tc>
          <w:tcPr>
            <w:tcW w:w="1134" w:type="dxa"/>
          </w:tcPr>
          <w:p w:rsidR="00D916E2" w:rsidRPr="00FC7FA6" w:rsidRDefault="00D916E2" w:rsidP="00FD34C8">
            <w:pPr>
              <w:jc w:val="center"/>
              <w:rPr>
                <w:rFonts w:ascii="Arial Narrow" w:hAnsi="Arial Narrow"/>
                <w:b/>
                <w:sz w:val="20"/>
              </w:rPr>
            </w:pPr>
            <w:r w:rsidRPr="00FC7FA6">
              <w:rPr>
                <w:rFonts w:ascii="Arial Narrow" w:hAnsi="Arial Narrow"/>
                <w:b/>
                <w:sz w:val="20"/>
              </w:rPr>
              <w:t>2020</w:t>
            </w:r>
          </w:p>
        </w:tc>
        <w:tc>
          <w:tcPr>
            <w:tcW w:w="1134" w:type="dxa"/>
          </w:tcPr>
          <w:p w:rsidR="00D916E2" w:rsidRPr="00FC7FA6" w:rsidRDefault="00D916E2" w:rsidP="00FD34C8">
            <w:pPr>
              <w:jc w:val="center"/>
              <w:rPr>
                <w:rFonts w:ascii="Arial Narrow" w:hAnsi="Arial Narrow"/>
                <w:b/>
                <w:sz w:val="20"/>
              </w:rPr>
            </w:pPr>
            <w:r w:rsidRPr="00FC7FA6">
              <w:rPr>
                <w:rFonts w:ascii="Arial Narrow" w:hAnsi="Arial Narrow"/>
                <w:b/>
                <w:sz w:val="20"/>
              </w:rPr>
              <w:t>2021</w:t>
            </w:r>
          </w:p>
        </w:tc>
        <w:tc>
          <w:tcPr>
            <w:tcW w:w="1134" w:type="dxa"/>
          </w:tcPr>
          <w:p w:rsidR="00D916E2" w:rsidRPr="00FC7FA6" w:rsidRDefault="00D916E2" w:rsidP="00FD34C8">
            <w:pPr>
              <w:jc w:val="center"/>
              <w:rPr>
                <w:rFonts w:ascii="Arial Narrow" w:hAnsi="Arial Narrow"/>
                <w:b/>
                <w:sz w:val="20"/>
              </w:rPr>
            </w:pPr>
            <w:r w:rsidRPr="00FC7FA6">
              <w:rPr>
                <w:rFonts w:ascii="Arial Narrow" w:hAnsi="Arial Narrow"/>
                <w:b/>
                <w:sz w:val="20"/>
              </w:rPr>
              <w:t>2022</w:t>
            </w:r>
          </w:p>
        </w:tc>
      </w:tr>
      <w:tr w:rsidR="00D916E2" w:rsidRPr="00D3425F" w:rsidTr="00FD34C8">
        <w:trPr>
          <w:trHeight w:val="244"/>
        </w:trPr>
        <w:tc>
          <w:tcPr>
            <w:tcW w:w="1559" w:type="dxa"/>
          </w:tcPr>
          <w:p w:rsidR="00D916E2" w:rsidRPr="00FC7FA6" w:rsidRDefault="00D916E2" w:rsidP="002A4DC7">
            <w:pPr>
              <w:rPr>
                <w:rFonts w:ascii="Arial Narrow" w:hAnsi="Arial Narrow"/>
                <w:b/>
                <w:sz w:val="20"/>
              </w:rPr>
            </w:pPr>
            <w:r>
              <w:rPr>
                <w:rFonts w:ascii="Arial Narrow" w:hAnsi="Arial Narrow"/>
                <w:b/>
                <w:sz w:val="20"/>
              </w:rPr>
              <w:t xml:space="preserve">Adult </w:t>
            </w:r>
            <w:r w:rsidRPr="00FC7FA6">
              <w:rPr>
                <w:rFonts w:ascii="Arial Narrow" w:hAnsi="Arial Narrow"/>
                <w:b/>
                <w:sz w:val="20"/>
              </w:rPr>
              <w:t xml:space="preserve">patients treated per year </w:t>
            </w:r>
          </w:p>
        </w:tc>
        <w:tc>
          <w:tcPr>
            <w:tcW w:w="1133"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r>
      <w:tr w:rsidR="00D916E2" w:rsidRPr="00D3425F" w:rsidTr="00FD34C8">
        <w:trPr>
          <w:trHeight w:val="259"/>
        </w:trPr>
        <w:tc>
          <w:tcPr>
            <w:tcW w:w="1559" w:type="dxa"/>
          </w:tcPr>
          <w:p w:rsidR="00D916E2" w:rsidRPr="00FC7FA6" w:rsidRDefault="007800C3" w:rsidP="002A4DC7">
            <w:pPr>
              <w:rPr>
                <w:rFonts w:ascii="Arial Narrow" w:hAnsi="Arial Narrow"/>
                <w:b/>
                <w:sz w:val="20"/>
              </w:rPr>
            </w:pPr>
            <w:r>
              <w:rPr>
                <w:rFonts w:ascii="Arial Narrow" w:hAnsi="Arial Narrow"/>
                <w:b/>
                <w:sz w:val="20"/>
              </w:rPr>
              <w:t>C</w:t>
            </w:r>
            <w:r w:rsidR="00D916E2" w:rsidRPr="00FC7FA6">
              <w:rPr>
                <w:rFonts w:ascii="Arial Narrow" w:hAnsi="Arial Narrow"/>
                <w:b/>
                <w:sz w:val="20"/>
              </w:rPr>
              <w:t xml:space="preserve">ost to the Govt. </w:t>
            </w:r>
            <w:r w:rsidR="00D916E2">
              <w:rPr>
                <w:rFonts w:ascii="Arial Narrow" w:hAnsi="Arial Narrow"/>
                <w:b/>
                <w:sz w:val="20"/>
              </w:rPr>
              <w:t>(at eff.</w:t>
            </w:r>
            <w:r w:rsidR="00D916E2" w:rsidRPr="00FC7FA6">
              <w:rPr>
                <w:rFonts w:ascii="Arial Narrow" w:hAnsi="Arial Narrow"/>
                <w:b/>
                <w:sz w:val="20"/>
              </w:rPr>
              <w:t xml:space="preserve"> DPMQ</w:t>
            </w:r>
            <w:r w:rsidR="00D916E2">
              <w:rPr>
                <w:rFonts w:ascii="Arial Narrow" w:hAnsi="Arial Narrow"/>
                <w:b/>
                <w:sz w:val="20"/>
              </w:rPr>
              <w:t>)</w:t>
            </w:r>
          </w:p>
        </w:tc>
        <w:tc>
          <w:tcPr>
            <w:tcW w:w="1133" w:type="dxa"/>
            <w:vAlign w:val="center"/>
          </w:tcPr>
          <w:p w:rsidR="00D916E2" w:rsidRPr="00D3425F"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c>
          <w:tcPr>
            <w:tcW w:w="1134" w:type="dxa"/>
            <w:vAlign w:val="center"/>
          </w:tcPr>
          <w:p w:rsidR="00D916E2" w:rsidRPr="00D3425F"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c>
          <w:tcPr>
            <w:tcW w:w="1134" w:type="dxa"/>
            <w:vAlign w:val="center"/>
          </w:tcPr>
          <w:p w:rsidR="00D916E2" w:rsidRPr="00FC7FA6"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c>
          <w:tcPr>
            <w:tcW w:w="1134" w:type="dxa"/>
            <w:vAlign w:val="center"/>
          </w:tcPr>
          <w:p w:rsidR="00D916E2" w:rsidRPr="00FC7FA6"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c>
          <w:tcPr>
            <w:tcW w:w="1134" w:type="dxa"/>
            <w:vAlign w:val="center"/>
          </w:tcPr>
          <w:p w:rsidR="00D916E2" w:rsidRPr="00FC7FA6"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c>
          <w:tcPr>
            <w:tcW w:w="1134" w:type="dxa"/>
            <w:vAlign w:val="center"/>
          </w:tcPr>
          <w:p w:rsidR="00D916E2" w:rsidRPr="00FC7FA6"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r>
      <w:tr w:rsidR="00D916E2" w:rsidRPr="00D3425F" w:rsidTr="00FD34C8">
        <w:trPr>
          <w:trHeight w:val="259"/>
        </w:trPr>
        <w:tc>
          <w:tcPr>
            <w:tcW w:w="1559" w:type="dxa"/>
          </w:tcPr>
          <w:p w:rsidR="00D916E2" w:rsidRPr="00FC7FA6" w:rsidRDefault="00D916E2" w:rsidP="002A4DC7">
            <w:pPr>
              <w:rPr>
                <w:rFonts w:ascii="Arial Narrow" w:hAnsi="Arial Narrow"/>
                <w:b/>
                <w:sz w:val="20"/>
              </w:rPr>
            </w:pPr>
            <w:r>
              <w:rPr>
                <w:rFonts w:ascii="Arial Narrow" w:hAnsi="Arial Narrow"/>
                <w:b/>
                <w:sz w:val="20"/>
              </w:rPr>
              <w:t>P</w:t>
            </w:r>
            <w:r w:rsidRPr="00FC7FA6">
              <w:rPr>
                <w:rFonts w:ascii="Arial Narrow" w:hAnsi="Arial Narrow"/>
                <w:b/>
                <w:sz w:val="20"/>
              </w:rPr>
              <w:t xml:space="preserve">aediatric patients treated per year </w:t>
            </w:r>
          </w:p>
        </w:tc>
        <w:tc>
          <w:tcPr>
            <w:tcW w:w="1133"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sz w:val="20"/>
                <w:highlight w:val="black"/>
              </w:rPr>
            </w:pPr>
            <w:r>
              <w:rPr>
                <w:rFonts w:ascii="Arial Narrow" w:hAnsi="Arial Narrow"/>
                <w:noProof/>
                <w:color w:val="000000"/>
                <w:sz w:val="20"/>
                <w:highlight w:val="black"/>
              </w:rPr>
              <w:t>''''''''</w:t>
            </w:r>
          </w:p>
        </w:tc>
      </w:tr>
      <w:tr w:rsidR="00D916E2" w:rsidRPr="00D3425F" w:rsidTr="00FD34C8">
        <w:trPr>
          <w:trHeight w:val="259"/>
        </w:trPr>
        <w:tc>
          <w:tcPr>
            <w:tcW w:w="1559" w:type="dxa"/>
          </w:tcPr>
          <w:p w:rsidR="00D916E2" w:rsidRPr="00FC7FA6" w:rsidRDefault="007800C3" w:rsidP="002A4DC7">
            <w:pPr>
              <w:rPr>
                <w:rFonts w:ascii="Arial Narrow" w:hAnsi="Arial Narrow"/>
                <w:b/>
                <w:sz w:val="20"/>
              </w:rPr>
            </w:pPr>
            <w:r>
              <w:rPr>
                <w:rFonts w:ascii="Arial Narrow" w:hAnsi="Arial Narrow"/>
                <w:b/>
                <w:sz w:val="20"/>
              </w:rPr>
              <w:t>C</w:t>
            </w:r>
            <w:r w:rsidR="00D916E2" w:rsidRPr="00FC7FA6">
              <w:rPr>
                <w:rFonts w:ascii="Arial Narrow" w:hAnsi="Arial Narrow"/>
                <w:b/>
                <w:sz w:val="20"/>
              </w:rPr>
              <w:t xml:space="preserve">ost to the Govt. </w:t>
            </w:r>
            <w:r w:rsidR="00D916E2">
              <w:rPr>
                <w:rFonts w:ascii="Arial Narrow" w:hAnsi="Arial Narrow"/>
                <w:b/>
                <w:sz w:val="20"/>
              </w:rPr>
              <w:t>(at eff.</w:t>
            </w:r>
            <w:r w:rsidR="000D09DD">
              <w:rPr>
                <w:rFonts w:ascii="Arial Narrow" w:hAnsi="Arial Narrow"/>
                <w:b/>
                <w:sz w:val="20"/>
              </w:rPr>
              <w:t xml:space="preserve"> </w:t>
            </w:r>
            <w:r w:rsidR="00D916E2">
              <w:rPr>
                <w:rFonts w:ascii="Arial Narrow" w:hAnsi="Arial Narrow"/>
                <w:b/>
                <w:sz w:val="20"/>
              </w:rPr>
              <w:t>DPMQ)</w:t>
            </w:r>
          </w:p>
        </w:tc>
        <w:tc>
          <w:tcPr>
            <w:tcW w:w="1133" w:type="dxa"/>
            <w:vAlign w:val="center"/>
          </w:tcPr>
          <w:p w:rsidR="00D916E2" w:rsidRPr="00D3425F"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c>
          <w:tcPr>
            <w:tcW w:w="1134" w:type="dxa"/>
            <w:vAlign w:val="center"/>
          </w:tcPr>
          <w:p w:rsidR="00D916E2" w:rsidRPr="00D3425F"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c>
          <w:tcPr>
            <w:tcW w:w="1134" w:type="dxa"/>
            <w:vAlign w:val="center"/>
          </w:tcPr>
          <w:p w:rsidR="00D916E2" w:rsidRPr="00FC7FA6"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c>
          <w:tcPr>
            <w:tcW w:w="1134" w:type="dxa"/>
            <w:vAlign w:val="center"/>
          </w:tcPr>
          <w:p w:rsidR="00D916E2" w:rsidRPr="00FC7FA6"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c>
          <w:tcPr>
            <w:tcW w:w="1134" w:type="dxa"/>
            <w:vAlign w:val="center"/>
          </w:tcPr>
          <w:p w:rsidR="00D916E2" w:rsidRPr="00FC7FA6"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c>
          <w:tcPr>
            <w:tcW w:w="1134" w:type="dxa"/>
            <w:vAlign w:val="center"/>
          </w:tcPr>
          <w:p w:rsidR="00D916E2" w:rsidRPr="00FC7FA6" w:rsidRDefault="00D916E2" w:rsidP="002A4DC7">
            <w:pPr>
              <w:jc w:val="center"/>
              <w:rPr>
                <w:rFonts w:ascii="Arial Narrow" w:hAnsi="Arial Narrow"/>
                <w:sz w:val="20"/>
              </w:rPr>
            </w:pPr>
            <w:r w:rsidRPr="00FC7FA6">
              <w:rPr>
                <w:rFonts w:ascii="Arial Narrow" w:hAnsi="Arial Narrow"/>
                <w:sz w:val="20"/>
              </w:rPr>
              <w:t>$</w:t>
            </w:r>
            <w:r w:rsidR="000E36E2">
              <w:rPr>
                <w:rFonts w:ascii="Arial Narrow" w:hAnsi="Arial Narrow"/>
                <w:noProof/>
                <w:color w:val="000000"/>
                <w:sz w:val="20"/>
                <w:highlight w:val="black"/>
              </w:rPr>
              <w:t>''''''''''''''''''''''''</w:t>
            </w:r>
          </w:p>
        </w:tc>
      </w:tr>
      <w:tr w:rsidR="00D916E2" w:rsidRPr="00D3425F" w:rsidTr="00FD34C8">
        <w:trPr>
          <w:trHeight w:val="259"/>
        </w:trPr>
        <w:tc>
          <w:tcPr>
            <w:tcW w:w="1559" w:type="dxa"/>
          </w:tcPr>
          <w:p w:rsidR="00D916E2" w:rsidRPr="002A2A60" w:rsidRDefault="00D916E2" w:rsidP="002A4DC7">
            <w:pPr>
              <w:rPr>
                <w:rFonts w:ascii="Arial Narrow" w:hAnsi="Arial Narrow"/>
                <w:b/>
                <w:sz w:val="20"/>
              </w:rPr>
            </w:pPr>
            <w:r w:rsidRPr="002A2A60">
              <w:rPr>
                <w:rFonts w:ascii="Arial Narrow" w:hAnsi="Arial Narrow"/>
                <w:b/>
                <w:sz w:val="20"/>
              </w:rPr>
              <w:t xml:space="preserve">Total </w:t>
            </w:r>
          </w:p>
        </w:tc>
        <w:tc>
          <w:tcPr>
            <w:tcW w:w="1133" w:type="dxa"/>
            <w:vAlign w:val="center"/>
          </w:tcPr>
          <w:p w:rsidR="00D916E2" w:rsidRPr="002A2A60" w:rsidRDefault="00D916E2" w:rsidP="002A4DC7">
            <w:pPr>
              <w:jc w:val="center"/>
              <w:rPr>
                <w:rFonts w:ascii="Arial Narrow" w:hAnsi="Arial Narrow"/>
                <w:b/>
                <w:sz w:val="20"/>
              </w:rPr>
            </w:pPr>
            <w:r w:rsidRPr="002A2A60">
              <w:rPr>
                <w:rFonts w:ascii="Arial Narrow" w:hAnsi="Arial Narrow"/>
                <w:b/>
                <w:sz w:val="20"/>
              </w:rPr>
              <w:t>$</w:t>
            </w:r>
            <w:r w:rsidR="000E36E2">
              <w:rPr>
                <w:rFonts w:ascii="Arial Narrow" w:hAnsi="Arial Narrow"/>
                <w:b/>
                <w:noProof/>
                <w:color w:val="000000"/>
                <w:sz w:val="20"/>
                <w:highlight w:val="black"/>
              </w:rPr>
              <w:t>''''''''''''''''''</w:t>
            </w:r>
          </w:p>
        </w:tc>
        <w:tc>
          <w:tcPr>
            <w:tcW w:w="1134" w:type="dxa"/>
            <w:vAlign w:val="center"/>
          </w:tcPr>
          <w:p w:rsidR="00D916E2" w:rsidRPr="002A2A60" w:rsidRDefault="00D916E2" w:rsidP="002A4DC7">
            <w:pPr>
              <w:jc w:val="center"/>
              <w:rPr>
                <w:rFonts w:ascii="Arial Narrow" w:hAnsi="Arial Narrow"/>
                <w:b/>
                <w:sz w:val="20"/>
              </w:rPr>
            </w:pPr>
            <w:r w:rsidRPr="002A2A60">
              <w:rPr>
                <w:rFonts w:ascii="Arial Narrow" w:hAnsi="Arial Narrow"/>
                <w:b/>
                <w:sz w:val="20"/>
              </w:rPr>
              <w:t>$</w:t>
            </w:r>
            <w:r w:rsidR="000E36E2">
              <w:rPr>
                <w:rFonts w:ascii="Arial Narrow" w:hAnsi="Arial Narrow"/>
                <w:b/>
                <w:noProof/>
                <w:color w:val="000000"/>
                <w:sz w:val="20"/>
                <w:highlight w:val="black"/>
              </w:rPr>
              <w:t>'''''''''''''''''''</w:t>
            </w:r>
          </w:p>
        </w:tc>
        <w:tc>
          <w:tcPr>
            <w:tcW w:w="1134" w:type="dxa"/>
            <w:vAlign w:val="center"/>
          </w:tcPr>
          <w:p w:rsidR="00D916E2" w:rsidRPr="002A2A60" w:rsidRDefault="00D916E2" w:rsidP="002A4DC7">
            <w:pPr>
              <w:jc w:val="center"/>
              <w:rPr>
                <w:rFonts w:ascii="Arial Narrow" w:hAnsi="Arial Narrow"/>
                <w:b/>
                <w:sz w:val="20"/>
              </w:rPr>
            </w:pPr>
            <w:r w:rsidRPr="002A2A60">
              <w:rPr>
                <w:rFonts w:ascii="Arial Narrow" w:hAnsi="Arial Narrow"/>
                <w:b/>
                <w:sz w:val="20"/>
              </w:rPr>
              <w:t>$</w:t>
            </w:r>
            <w:r w:rsidR="000E36E2">
              <w:rPr>
                <w:rFonts w:ascii="Arial Narrow" w:hAnsi="Arial Narrow"/>
                <w:b/>
                <w:noProof/>
                <w:color w:val="000000"/>
                <w:sz w:val="20"/>
                <w:highlight w:val="black"/>
              </w:rPr>
              <w:t>'''''''''''''''''</w:t>
            </w:r>
          </w:p>
        </w:tc>
        <w:tc>
          <w:tcPr>
            <w:tcW w:w="1134" w:type="dxa"/>
            <w:vAlign w:val="center"/>
          </w:tcPr>
          <w:p w:rsidR="00D916E2" w:rsidRPr="002A2A60" w:rsidRDefault="00D916E2" w:rsidP="002A4DC7">
            <w:pPr>
              <w:jc w:val="center"/>
              <w:rPr>
                <w:rFonts w:ascii="Arial Narrow" w:hAnsi="Arial Narrow"/>
                <w:b/>
                <w:sz w:val="20"/>
              </w:rPr>
            </w:pPr>
            <w:r w:rsidRPr="002A2A60">
              <w:rPr>
                <w:rFonts w:ascii="Arial Narrow" w:hAnsi="Arial Narrow"/>
                <w:b/>
                <w:sz w:val="20"/>
              </w:rPr>
              <w:t>$</w:t>
            </w:r>
            <w:r w:rsidR="000E36E2">
              <w:rPr>
                <w:rFonts w:ascii="Arial Narrow" w:hAnsi="Arial Narrow"/>
                <w:b/>
                <w:noProof/>
                <w:color w:val="000000"/>
                <w:sz w:val="20"/>
                <w:highlight w:val="black"/>
              </w:rPr>
              <w:t>'''''''''''''''''''</w:t>
            </w:r>
          </w:p>
        </w:tc>
        <w:tc>
          <w:tcPr>
            <w:tcW w:w="1134" w:type="dxa"/>
            <w:vAlign w:val="center"/>
          </w:tcPr>
          <w:p w:rsidR="00D916E2" w:rsidRPr="000E36E2" w:rsidRDefault="000E36E2" w:rsidP="002A4DC7">
            <w:pPr>
              <w:jc w:val="center"/>
              <w:rPr>
                <w:rFonts w:ascii="Arial Narrow" w:hAnsi="Arial Narrow"/>
                <w:b/>
                <w:sz w:val="20"/>
                <w:highlight w:val="black"/>
              </w:rPr>
            </w:pPr>
            <w:r>
              <w:rPr>
                <w:rFonts w:ascii="Arial Narrow" w:hAnsi="Arial Narrow"/>
                <w:b/>
                <w:noProof/>
                <w:color w:val="000000"/>
                <w:sz w:val="20"/>
                <w:highlight w:val="black"/>
              </w:rPr>
              <w:t>''''''''''''''''''''''''''</w:t>
            </w:r>
          </w:p>
        </w:tc>
        <w:tc>
          <w:tcPr>
            <w:tcW w:w="1134" w:type="dxa"/>
            <w:vAlign w:val="center"/>
          </w:tcPr>
          <w:p w:rsidR="00D916E2" w:rsidRPr="002A2A60" w:rsidRDefault="00D916E2" w:rsidP="002A4DC7">
            <w:pPr>
              <w:jc w:val="center"/>
              <w:rPr>
                <w:rFonts w:ascii="Arial Narrow" w:hAnsi="Arial Narrow"/>
                <w:b/>
                <w:sz w:val="20"/>
              </w:rPr>
            </w:pPr>
            <w:r w:rsidRPr="002A2A60">
              <w:rPr>
                <w:rFonts w:ascii="Arial Narrow" w:hAnsi="Arial Narrow"/>
                <w:b/>
                <w:sz w:val="20"/>
              </w:rPr>
              <w:t>$</w:t>
            </w:r>
            <w:r w:rsidR="000E36E2">
              <w:rPr>
                <w:rFonts w:ascii="Arial Narrow" w:hAnsi="Arial Narrow"/>
                <w:b/>
                <w:noProof/>
                <w:color w:val="000000"/>
                <w:sz w:val="20"/>
                <w:highlight w:val="black"/>
              </w:rPr>
              <w:t>''''''''''''''''''''</w:t>
            </w:r>
          </w:p>
        </w:tc>
      </w:tr>
    </w:tbl>
    <w:p w:rsidR="00D916E2" w:rsidRPr="00526933" w:rsidRDefault="00526933" w:rsidP="00526933">
      <w:pPr>
        <w:pStyle w:val="COMTbl-foot"/>
        <w:widowControl/>
        <w:ind w:left="720"/>
        <w:rPr>
          <w:rFonts w:ascii="Arial Narrow" w:hAnsi="Arial Narrow"/>
        </w:rPr>
      </w:pPr>
      <w:r w:rsidRPr="000B3091">
        <w:rPr>
          <w:rFonts w:ascii="Arial Narrow" w:hAnsi="Arial Narrow"/>
        </w:rPr>
        <w:t xml:space="preserve">Source: Table </w:t>
      </w:r>
      <w:r w:rsidR="0060676D">
        <w:rPr>
          <w:rFonts w:ascii="Arial Narrow" w:hAnsi="Arial Narrow"/>
        </w:rPr>
        <w:t>1, pre-PBAC response.</w:t>
      </w:r>
    </w:p>
    <w:p w:rsidR="000B3091" w:rsidRDefault="000B3091" w:rsidP="000B3091">
      <w:pPr>
        <w:widowControl/>
        <w:rPr>
          <w:szCs w:val="22"/>
        </w:rPr>
      </w:pPr>
    </w:p>
    <w:p w:rsidR="00C107F3" w:rsidRDefault="00C107F3" w:rsidP="00C107F3">
      <w:pPr>
        <w:widowControl/>
        <w:ind w:left="720"/>
        <w:rPr>
          <w:szCs w:val="22"/>
        </w:rPr>
      </w:pPr>
      <w:r>
        <w:rPr>
          <w:szCs w:val="24"/>
        </w:rPr>
        <w:t>The redacted table shows that a</w:t>
      </w:r>
      <w:r w:rsidRPr="00DE39BD">
        <w:rPr>
          <w:szCs w:val="24"/>
        </w:rPr>
        <w:t xml:space="preserve">t year 5, the estimated number of patients was </w:t>
      </w:r>
      <w:r>
        <w:rPr>
          <w:szCs w:val="24"/>
        </w:rPr>
        <w:t>less than 10,000 per year</w:t>
      </w:r>
      <w:r w:rsidRPr="00DE39BD">
        <w:rPr>
          <w:szCs w:val="24"/>
        </w:rPr>
        <w:t xml:space="preserve"> and the net cost to the PBS would be </w:t>
      </w:r>
      <w:r>
        <w:rPr>
          <w:szCs w:val="24"/>
        </w:rPr>
        <w:t>$10 million - $20 million.</w:t>
      </w:r>
    </w:p>
    <w:p w:rsidR="00C107F3" w:rsidRPr="00C3674F" w:rsidRDefault="00C107F3" w:rsidP="000B3091">
      <w:pPr>
        <w:widowControl/>
        <w:rPr>
          <w:szCs w:val="22"/>
        </w:rPr>
      </w:pPr>
    </w:p>
    <w:p w:rsidR="00576972" w:rsidRPr="00C3674F" w:rsidRDefault="00576972" w:rsidP="00EB3683">
      <w:pPr>
        <w:pStyle w:val="Heading2"/>
        <w:keepNext/>
        <w:rPr>
          <w:i/>
        </w:rPr>
      </w:pPr>
      <w:bookmarkStart w:id="17" w:name="_Toc472349926"/>
      <w:r w:rsidRPr="00C3674F">
        <w:rPr>
          <w:i/>
        </w:rPr>
        <w:t>Quality Use of Medicines</w:t>
      </w:r>
      <w:bookmarkEnd w:id="17"/>
    </w:p>
    <w:p w:rsidR="00576972" w:rsidRPr="00C3674F" w:rsidRDefault="00576972" w:rsidP="00EB3683">
      <w:pPr>
        <w:keepNext/>
        <w:widowControl/>
        <w:rPr>
          <w:szCs w:val="22"/>
        </w:rPr>
      </w:pPr>
    </w:p>
    <w:p w:rsidR="00576972" w:rsidRPr="000B3091" w:rsidRDefault="00AD3092" w:rsidP="00556640">
      <w:pPr>
        <w:pStyle w:val="ListParagraph"/>
        <w:widowControl/>
        <w:numPr>
          <w:ilvl w:val="1"/>
          <w:numId w:val="3"/>
        </w:numPr>
        <w:rPr>
          <w:szCs w:val="22"/>
        </w:rPr>
      </w:pPr>
      <w:r w:rsidRPr="000B3091">
        <w:t xml:space="preserve">No quality use of medicines issues were identified in the submission. However, the TGA delegate’s </w:t>
      </w:r>
      <w:r w:rsidR="005D0892" w:rsidRPr="000B3091">
        <w:t>file note</w:t>
      </w:r>
      <w:r w:rsidRPr="000B3091">
        <w:t xml:space="preserve"> raised safety concerns around the use of adalimumab for treatment of non-infectious uveitis (particularly intermediate uveitis) and the risk of demyelinating disorders. </w:t>
      </w:r>
      <w:r w:rsidR="009E131B">
        <w:t>The pre-PBAC response (p2) noted the DUSC’s concern about the potential treatment barrier and assured that t</w:t>
      </w:r>
      <w:r w:rsidRPr="000B3091">
        <w:t xml:space="preserve">here </w:t>
      </w:r>
      <w:r w:rsidR="0090085F">
        <w:t>is</w:t>
      </w:r>
      <w:r w:rsidR="009E131B">
        <w:t xml:space="preserve"> </w:t>
      </w:r>
      <w:r w:rsidR="0090085F">
        <w:t xml:space="preserve">an </w:t>
      </w:r>
      <w:r w:rsidR="009E131B">
        <w:t xml:space="preserve">education programme </w:t>
      </w:r>
      <w:r w:rsidR="00C83CEE" w:rsidRPr="000B3091">
        <w:t xml:space="preserve">for ophthalmologists </w:t>
      </w:r>
      <w:r w:rsidR="009E131B" w:rsidRPr="000B3091">
        <w:t xml:space="preserve">around intermediate uveitis, adalimumab and </w:t>
      </w:r>
      <w:r w:rsidR="00DA659E">
        <w:t xml:space="preserve">the </w:t>
      </w:r>
      <w:r w:rsidR="009E131B" w:rsidRPr="000B3091">
        <w:t>increased risk of demyelinating disorders</w:t>
      </w:r>
      <w:r w:rsidR="009E131B">
        <w:t xml:space="preserve"> </w:t>
      </w:r>
      <w:r w:rsidR="0085350C">
        <w:t xml:space="preserve">that has been </w:t>
      </w:r>
      <w:r w:rsidR="009E131B">
        <w:t xml:space="preserve">agreed </w:t>
      </w:r>
      <w:r w:rsidR="00C83CEE">
        <w:t>to by</w:t>
      </w:r>
      <w:r w:rsidR="00082908">
        <w:t xml:space="preserve"> the TGA</w:t>
      </w:r>
      <w:r w:rsidR="009E131B">
        <w:t>.</w:t>
      </w:r>
    </w:p>
    <w:p w:rsidR="000B3091" w:rsidRDefault="000B3091" w:rsidP="000B3091">
      <w:pPr>
        <w:pStyle w:val="ListParagraph"/>
        <w:widowControl/>
      </w:pPr>
    </w:p>
    <w:p w:rsidR="000B3091" w:rsidRPr="00CD09B6" w:rsidRDefault="000B3091" w:rsidP="000B3091">
      <w:pPr>
        <w:ind w:firstLine="720"/>
        <w:rPr>
          <w:bCs/>
          <w:szCs w:val="22"/>
        </w:rPr>
      </w:pPr>
      <w:r w:rsidRPr="00CD09B6">
        <w:rPr>
          <w:bCs/>
          <w:i/>
          <w:szCs w:val="22"/>
        </w:rPr>
        <w:t>For more detail on PBAC’s view, see section 7 “PBAC outcome”</w:t>
      </w:r>
    </w:p>
    <w:p w:rsidR="00B06A53" w:rsidRPr="00CD09B6" w:rsidRDefault="00B06A53" w:rsidP="00B06A53">
      <w:pPr>
        <w:widowControl/>
        <w:rPr>
          <w:szCs w:val="22"/>
        </w:rPr>
      </w:pPr>
    </w:p>
    <w:p w:rsidR="00A37C7C" w:rsidRPr="00F80641" w:rsidRDefault="00A37C7C" w:rsidP="00A37C7C">
      <w:pPr>
        <w:rPr>
          <w:rStyle w:val="IntenseReference"/>
          <w:b w:val="0"/>
          <w:bCs w:val="0"/>
          <w:i/>
          <w:smallCaps w:val="0"/>
          <w:color w:val="auto"/>
        </w:rPr>
      </w:pPr>
    </w:p>
    <w:p w:rsidR="00A37C7C" w:rsidRPr="009173AC" w:rsidRDefault="00A37C7C" w:rsidP="009173AC">
      <w:pPr>
        <w:pStyle w:val="PBACHeading1"/>
        <w:ind w:left="709" w:hanging="709"/>
      </w:pPr>
      <w:r w:rsidRPr="009173AC">
        <w:t>PBAC Outcome</w:t>
      </w:r>
    </w:p>
    <w:p w:rsidR="00A37C7C" w:rsidRPr="00CD09B6" w:rsidRDefault="00A37C7C" w:rsidP="00A37C7C">
      <w:pPr>
        <w:rPr>
          <w:b/>
          <w:bCs/>
          <w:lang w:val="en-GB"/>
        </w:rPr>
      </w:pPr>
    </w:p>
    <w:p w:rsidR="00935CBC" w:rsidRPr="00DF71AA" w:rsidRDefault="00073046" w:rsidP="005A0234">
      <w:pPr>
        <w:numPr>
          <w:ilvl w:val="1"/>
          <w:numId w:val="3"/>
        </w:numPr>
        <w:rPr>
          <w:bCs/>
          <w:lang w:val="en-GB"/>
        </w:rPr>
      </w:pPr>
      <w:r w:rsidRPr="00DF71AA">
        <w:rPr>
          <w:bCs/>
          <w:lang w:val="en-GB"/>
        </w:rPr>
        <w:t xml:space="preserve">The PBAC did not recommend </w:t>
      </w:r>
      <w:r w:rsidR="005A0234" w:rsidRPr="00DF71AA">
        <w:rPr>
          <w:bCs/>
          <w:lang w:val="en-GB"/>
        </w:rPr>
        <w:t xml:space="preserve">the listing of </w:t>
      </w:r>
      <w:proofErr w:type="spellStart"/>
      <w:r w:rsidRPr="00DF71AA">
        <w:rPr>
          <w:bCs/>
          <w:lang w:val="en-GB"/>
        </w:rPr>
        <w:t>adalimumab</w:t>
      </w:r>
      <w:proofErr w:type="spellEnd"/>
      <w:r w:rsidRPr="00DF71AA">
        <w:rPr>
          <w:bCs/>
          <w:lang w:val="en-GB"/>
        </w:rPr>
        <w:t xml:space="preserve"> </w:t>
      </w:r>
      <w:r w:rsidR="00935CBC" w:rsidRPr="00DF71AA">
        <w:rPr>
          <w:bCs/>
          <w:lang w:val="en-GB"/>
        </w:rPr>
        <w:t xml:space="preserve">for the treatment of </w:t>
      </w:r>
      <w:r w:rsidR="00935CBC" w:rsidRPr="0074251C">
        <w:t xml:space="preserve">non-infectious intermediate, posterior uveitis or </w:t>
      </w:r>
      <w:proofErr w:type="spellStart"/>
      <w:r w:rsidR="00935CBC" w:rsidRPr="0074251C">
        <w:t>panuveitis</w:t>
      </w:r>
      <w:proofErr w:type="spellEnd"/>
      <w:r w:rsidR="00935CBC" w:rsidRPr="00DF71AA" w:rsidDel="00935CBC">
        <w:rPr>
          <w:bCs/>
          <w:lang w:val="en-GB"/>
        </w:rPr>
        <w:t xml:space="preserve"> </w:t>
      </w:r>
      <w:r w:rsidR="00935CBC" w:rsidRPr="00DF71AA">
        <w:rPr>
          <w:bCs/>
          <w:lang w:val="en-GB"/>
        </w:rPr>
        <w:t xml:space="preserve">due to </w:t>
      </w:r>
      <w:r w:rsidR="00DF71AA" w:rsidRPr="00DF71AA">
        <w:rPr>
          <w:bCs/>
          <w:lang w:val="en-GB"/>
        </w:rPr>
        <w:t>low confidence in the magnitude of the effectiveness compared with current treatment</w:t>
      </w:r>
      <w:r w:rsidR="00DF71AA">
        <w:rPr>
          <w:bCs/>
          <w:lang w:val="en-GB"/>
        </w:rPr>
        <w:t xml:space="preserve"> and </w:t>
      </w:r>
      <w:r w:rsidR="00935CBC" w:rsidRPr="00DF71AA">
        <w:rPr>
          <w:bCs/>
          <w:lang w:val="en-GB"/>
        </w:rPr>
        <w:t xml:space="preserve">uncertain </w:t>
      </w:r>
      <w:r w:rsidR="005A0234" w:rsidRPr="00DF71AA">
        <w:rPr>
          <w:bCs/>
          <w:lang w:val="en-GB"/>
        </w:rPr>
        <w:t>cost effectiveness compared to placebo</w:t>
      </w:r>
      <w:r w:rsidR="005A0234" w:rsidRPr="0074251C">
        <w:t>.</w:t>
      </w:r>
      <w:r w:rsidR="00935CBC">
        <w:t xml:space="preserve"> </w:t>
      </w:r>
    </w:p>
    <w:p w:rsidR="00935CBC" w:rsidRPr="00935CBC" w:rsidRDefault="00935CBC" w:rsidP="00935CBC">
      <w:pPr>
        <w:ind w:left="720"/>
        <w:rPr>
          <w:bCs/>
          <w:lang w:val="en-GB"/>
        </w:rPr>
      </w:pPr>
    </w:p>
    <w:p w:rsidR="00A37C7C" w:rsidRPr="0074251C" w:rsidRDefault="00935CBC" w:rsidP="00935CBC">
      <w:pPr>
        <w:numPr>
          <w:ilvl w:val="1"/>
          <w:numId w:val="3"/>
        </w:numPr>
        <w:rPr>
          <w:bCs/>
          <w:lang w:val="en-GB"/>
        </w:rPr>
      </w:pPr>
      <w:r>
        <w:t>The PBAC accepted the</w:t>
      </w:r>
      <w:r w:rsidR="00EF142B">
        <w:t>re was</w:t>
      </w:r>
      <w:r>
        <w:t xml:space="preserve"> high clinical need for additional effective treatment options for patients who have not achieved adequate response to corticosteroid therapy and </w:t>
      </w:r>
      <w:r w:rsidRPr="00935CBC">
        <w:t>immunomodulatory therapy</w:t>
      </w:r>
      <w:r>
        <w:t xml:space="preserve">. </w:t>
      </w:r>
    </w:p>
    <w:p w:rsidR="00A37C7C" w:rsidRPr="0074251C" w:rsidRDefault="00A37C7C" w:rsidP="00A37C7C">
      <w:pPr>
        <w:rPr>
          <w:bCs/>
          <w:lang w:val="en-GB"/>
        </w:rPr>
      </w:pPr>
    </w:p>
    <w:p w:rsidR="00A37C7C" w:rsidRPr="00ED0867" w:rsidRDefault="00F57FFE" w:rsidP="00A37C7C">
      <w:pPr>
        <w:numPr>
          <w:ilvl w:val="1"/>
          <w:numId w:val="3"/>
        </w:numPr>
        <w:rPr>
          <w:bCs/>
          <w:lang w:val="en-GB"/>
        </w:rPr>
      </w:pPr>
      <w:r w:rsidRPr="0074251C">
        <w:rPr>
          <w:bCs/>
          <w:lang w:val="en-GB"/>
        </w:rPr>
        <w:t xml:space="preserve">The PBAC </w:t>
      </w:r>
      <w:r w:rsidR="00EF142B">
        <w:rPr>
          <w:bCs/>
          <w:lang w:val="en-GB"/>
        </w:rPr>
        <w:t>accept</w:t>
      </w:r>
      <w:r w:rsidRPr="0074251C">
        <w:rPr>
          <w:bCs/>
          <w:lang w:val="en-GB"/>
        </w:rPr>
        <w:t xml:space="preserve">ed the </w:t>
      </w:r>
      <w:r w:rsidR="001B51C2">
        <w:rPr>
          <w:bCs/>
          <w:lang w:val="en-GB"/>
        </w:rPr>
        <w:t xml:space="preserve">rationale </w:t>
      </w:r>
      <w:r w:rsidR="00381A1E">
        <w:rPr>
          <w:bCs/>
          <w:lang w:val="en-GB"/>
        </w:rPr>
        <w:t xml:space="preserve">of the </w:t>
      </w:r>
      <w:r w:rsidRPr="0074251C">
        <w:rPr>
          <w:bCs/>
          <w:lang w:val="en-GB"/>
        </w:rPr>
        <w:t>propos</w:t>
      </w:r>
      <w:r w:rsidR="006C146D">
        <w:rPr>
          <w:bCs/>
          <w:lang w:val="en-GB"/>
        </w:rPr>
        <w:t>ed restriction with</w:t>
      </w:r>
      <w:r w:rsidRPr="0074251C">
        <w:rPr>
          <w:bCs/>
          <w:lang w:val="en-GB"/>
        </w:rPr>
        <w:t xml:space="preserve"> t</w:t>
      </w:r>
      <w:r w:rsidR="006C146D">
        <w:rPr>
          <w:bCs/>
          <w:lang w:val="en-GB"/>
        </w:rPr>
        <w:t>he</w:t>
      </w:r>
      <w:r w:rsidRPr="0074251C">
        <w:rPr>
          <w:bCs/>
          <w:lang w:val="en-GB"/>
        </w:rPr>
        <w:t xml:space="preserve"> remov</w:t>
      </w:r>
      <w:r w:rsidR="006C146D">
        <w:rPr>
          <w:bCs/>
          <w:lang w:val="en-GB"/>
        </w:rPr>
        <w:t xml:space="preserve">al of </w:t>
      </w:r>
      <w:r w:rsidR="00381A1E" w:rsidRPr="0074251C">
        <w:rPr>
          <w:bCs/>
          <w:lang w:val="en-GB"/>
        </w:rPr>
        <w:t xml:space="preserve">optical coherence tomography </w:t>
      </w:r>
      <w:r w:rsidR="00381A1E">
        <w:rPr>
          <w:bCs/>
          <w:lang w:val="en-GB"/>
        </w:rPr>
        <w:t>as one of the</w:t>
      </w:r>
      <w:r w:rsidR="00381A1E" w:rsidRPr="0074251C">
        <w:rPr>
          <w:bCs/>
          <w:lang w:val="en-GB"/>
        </w:rPr>
        <w:t xml:space="preserve"> clinical criteri</w:t>
      </w:r>
      <w:r w:rsidR="00381A1E">
        <w:rPr>
          <w:bCs/>
          <w:lang w:val="en-GB"/>
        </w:rPr>
        <w:t>a</w:t>
      </w:r>
      <w:r w:rsidR="00381A1E" w:rsidRPr="0074251C">
        <w:rPr>
          <w:bCs/>
          <w:lang w:val="en-GB"/>
        </w:rPr>
        <w:t xml:space="preserve"> for </w:t>
      </w:r>
      <w:r w:rsidR="00381A1E">
        <w:rPr>
          <w:bCs/>
          <w:lang w:val="en-GB"/>
        </w:rPr>
        <w:t xml:space="preserve">measuring response for </w:t>
      </w:r>
      <w:r w:rsidR="00381A1E" w:rsidRPr="0074251C">
        <w:rPr>
          <w:bCs/>
          <w:lang w:val="en-GB"/>
        </w:rPr>
        <w:t>continuing treatment</w:t>
      </w:r>
      <w:r w:rsidR="00381A1E">
        <w:rPr>
          <w:bCs/>
          <w:lang w:val="en-GB"/>
        </w:rPr>
        <w:t xml:space="preserve"> and </w:t>
      </w:r>
      <w:r w:rsidR="006C146D">
        <w:rPr>
          <w:bCs/>
          <w:lang w:val="en-GB"/>
        </w:rPr>
        <w:t>the</w:t>
      </w:r>
      <w:r w:rsidRPr="0074251C">
        <w:rPr>
          <w:bCs/>
          <w:lang w:val="en-GB"/>
        </w:rPr>
        <w:t xml:space="preserve"> </w:t>
      </w:r>
      <w:r w:rsidR="00381A1E">
        <w:rPr>
          <w:bCs/>
          <w:lang w:val="en-GB"/>
        </w:rPr>
        <w:t xml:space="preserve">inappropriate </w:t>
      </w:r>
      <w:r w:rsidR="00C47E54" w:rsidRPr="0074251C">
        <w:rPr>
          <w:bCs/>
          <w:lang w:val="en-GB"/>
        </w:rPr>
        <w:t>emergency authority</w:t>
      </w:r>
      <w:r w:rsidR="00CB083E">
        <w:rPr>
          <w:bCs/>
          <w:lang w:val="en-GB"/>
        </w:rPr>
        <w:t xml:space="preserve"> for </w:t>
      </w:r>
      <w:r w:rsidR="00CB083E" w:rsidRPr="00CB083E">
        <w:rPr>
          <w:bCs/>
        </w:rPr>
        <w:t>severe vision threatening disease</w:t>
      </w:r>
      <w:r w:rsidR="00381A1E">
        <w:rPr>
          <w:bCs/>
        </w:rPr>
        <w:t xml:space="preserve">. </w:t>
      </w:r>
      <w:r w:rsidR="001B51C2">
        <w:rPr>
          <w:bCs/>
        </w:rPr>
        <w:t>However, t</w:t>
      </w:r>
      <w:r w:rsidR="00381A1E">
        <w:rPr>
          <w:bCs/>
        </w:rPr>
        <w:t xml:space="preserve">he PBAC </w:t>
      </w:r>
      <w:r w:rsidR="00017987">
        <w:rPr>
          <w:bCs/>
        </w:rPr>
        <w:t>agre</w:t>
      </w:r>
      <w:r w:rsidR="00381A1E">
        <w:rPr>
          <w:bCs/>
        </w:rPr>
        <w:t xml:space="preserve">ed that patients with high risk of vision loss (eg </w:t>
      </w:r>
      <w:proofErr w:type="spellStart"/>
      <w:r w:rsidR="00381A1E">
        <w:rPr>
          <w:bCs/>
        </w:rPr>
        <w:t>Behcet’s</w:t>
      </w:r>
      <w:proofErr w:type="spellEnd"/>
      <w:r w:rsidR="00381A1E">
        <w:rPr>
          <w:bCs/>
        </w:rPr>
        <w:t xml:space="preserve"> disease) should be eligible</w:t>
      </w:r>
      <w:r w:rsidRPr="00ED0867">
        <w:rPr>
          <w:bCs/>
          <w:lang w:val="en-GB"/>
        </w:rPr>
        <w:t xml:space="preserve">. </w:t>
      </w:r>
      <w:r w:rsidR="006C146D">
        <w:rPr>
          <w:bCs/>
          <w:lang w:val="en-GB"/>
        </w:rPr>
        <w:t xml:space="preserve">The PBAC also noted the advice from the Royal Children’s Hospital Melbourne and that due to different dosing </w:t>
      </w:r>
      <w:r w:rsidR="001B51C2">
        <w:rPr>
          <w:bCs/>
          <w:lang w:val="en-GB"/>
        </w:rPr>
        <w:t xml:space="preserve">requirements </w:t>
      </w:r>
      <w:r w:rsidR="006C146D">
        <w:rPr>
          <w:bCs/>
          <w:lang w:val="en-GB"/>
        </w:rPr>
        <w:t>a separate PBS restriction would be required if a paediatric listing was pursued.</w:t>
      </w:r>
    </w:p>
    <w:p w:rsidR="00A37C7C" w:rsidRPr="00ED0867" w:rsidRDefault="00A37C7C" w:rsidP="00A37C7C">
      <w:pPr>
        <w:rPr>
          <w:bCs/>
          <w:lang w:val="en-GB"/>
        </w:rPr>
      </w:pPr>
    </w:p>
    <w:p w:rsidR="00BA5CF3" w:rsidRPr="00ED0867" w:rsidRDefault="00D81775" w:rsidP="00FE1175">
      <w:pPr>
        <w:pStyle w:val="ListParagraph"/>
        <w:widowControl/>
        <w:numPr>
          <w:ilvl w:val="1"/>
          <w:numId w:val="3"/>
        </w:numPr>
        <w:rPr>
          <w:szCs w:val="22"/>
        </w:rPr>
      </w:pPr>
      <w:r w:rsidRPr="00ED0867">
        <w:rPr>
          <w:bCs/>
          <w:lang w:val="en-GB"/>
        </w:rPr>
        <w:t xml:space="preserve">The PBAC accepted current standard care (consisting of high dose oral corticosteroids (&gt;7.5 mg/day) with or without an </w:t>
      </w:r>
      <w:proofErr w:type="spellStart"/>
      <w:r w:rsidRPr="00ED0867">
        <w:rPr>
          <w:bCs/>
          <w:lang w:val="en-GB"/>
        </w:rPr>
        <w:t>immunomodulatory</w:t>
      </w:r>
      <w:proofErr w:type="spellEnd"/>
      <w:r w:rsidRPr="00ED0867">
        <w:rPr>
          <w:bCs/>
          <w:lang w:val="en-GB"/>
        </w:rPr>
        <w:t xml:space="preserve"> agent) as the comparator. </w:t>
      </w:r>
    </w:p>
    <w:p w:rsidR="00BA5CF3" w:rsidRPr="00ED0867" w:rsidRDefault="00BA5CF3" w:rsidP="00BA5CF3">
      <w:pPr>
        <w:pStyle w:val="ListParagraph"/>
        <w:widowControl/>
        <w:rPr>
          <w:szCs w:val="22"/>
        </w:rPr>
      </w:pPr>
    </w:p>
    <w:p w:rsidR="00136F32" w:rsidRDefault="00BA5CF3" w:rsidP="00F83F11">
      <w:pPr>
        <w:pStyle w:val="ListParagraph"/>
        <w:widowControl/>
        <w:numPr>
          <w:ilvl w:val="1"/>
          <w:numId w:val="3"/>
        </w:numPr>
        <w:rPr>
          <w:bCs/>
          <w:lang w:val="en-GB"/>
        </w:rPr>
      </w:pPr>
      <w:r w:rsidRPr="00ED0867">
        <w:rPr>
          <w:bCs/>
          <w:lang w:val="en-GB"/>
        </w:rPr>
        <w:t>T</w:t>
      </w:r>
      <w:r w:rsidR="00D81775" w:rsidRPr="00ED0867">
        <w:rPr>
          <w:bCs/>
          <w:lang w:val="en-GB"/>
        </w:rPr>
        <w:t xml:space="preserve">he PBAC noted that </w:t>
      </w:r>
      <w:r w:rsidR="008A7BDE" w:rsidRPr="00ED0867">
        <w:rPr>
          <w:bCs/>
          <w:lang w:val="en-GB"/>
        </w:rPr>
        <w:t>VISUAL I and VISUAL II trial data d</w:t>
      </w:r>
      <w:r w:rsidR="00BB6A17">
        <w:rPr>
          <w:bCs/>
          <w:lang w:val="en-GB"/>
        </w:rPr>
        <w:t>o</w:t>
      </w:r>
      <w:r w:rsidR="008A7BDE" w:rsidRPr="00ED0867">
        <w:rPr>
          <w:bCs/>
          <w:lang w:val="en-GB"/>
        </w:rPr>
        <w:t xml:space="preserve"> not </w:t>
      </w:r>
      <w:r w:rsidR="00D81775" w:rsidRPr="00ED0867">
        <w:rPr>
          <w:bCs/>
          <w:lang w:val="en-GB"/>
        </w:rPr>
        <w:t>direct</w:t>
      </w:r>
      <w:r w:rsidR="008A7BDE" w:rsidRPr="00ED0867">
        <w:rPr>
          <w:bCs/>
          <w:lang w:val="en-GB"/>
        </w:rPr>
        <w:t>ly</w:t>
      </w:r>
      <w:r w:rsidR="00D81775" w:rsidRPr="00ED0867">
        <w:rPr>
          <w:bCs/>
          <w:lang w:val="en-GB"/>
        </w:rPr>
        <w:t xml:space="preserve"> </w:t>
      </w:r>
      <w:r w:rsidR="00384690">
        <w:t xml:space="preserve">show the effects of adalimumab </w:t>
      </w:r>
      <w:r w:rsidR="00017987">
        <w:t>compared to corticosteroid</w:t>
      </w:r>
      <w:r w:rsidR="00384690">
        <w:t xml:space="preserve"> use</w:t>
      </w:r>
      <w:r w:rsidR="00D81775" w:rsidRPr="00ED0867">
        <w:rPr>
          <w:bCs/>
          <w:lang w:val="en-GB"/>
        </w:rPr>
        <w:t xml:space="preserve"> </w:t>
      </w:r>
      <w:r w:rsidR="00384690">
        <w:rPr>
          <w:bCs/>
          <w:lang w:val="en-GB"/>
        </w:rPr>
        <w:t xml:space="preserve">due to </w:t>
      </w:r>
      <w:r w:rsidR="00017987">
        <w:rPr>
          <w:bCs/>
          <w:lang w:val="en-GB"/>
        </w:rPr>
        <w:t xml:space="preserve">the </w:t>
      </w:r>
      <w:r w:rsidR="004F71D5" w:rsidRPr="00ED0867">
        <w:rPr>
          <w:bCs/>
          <w:lang w:val="en-GB"/>
        </w:rPr>
        <w:t xml:space="preserve">mandatory </w:t>
      </w:r>
      <w:r w:rsidR="00DC71E3">
        <w:rPr>
          <w:bCs/>
          <w:lang w:val="en-GB"/>
        </w:rPr>
        <w:t xml:space="preserve">dose </w:t>
      </w:r>
      <w:r w:rsidR="00D81775" w:rsidRPr="00ED0867">
        <w:rPr>
          <w:bCs/>
          <w:lang w:val="en-GB"/>
        </w:rPr>
        <w:t>taper</w:t>
      </w:r>
      <w:r w:rsidR="004F71D5" w:rsidRPr="00ED0867">
        <w:rPr>
          <w:bCs/>
          <w:lang w:val="en-GB"/>
        </w:rPr>
        <w:t xml:space="preserve"> schedule</w:t>
      </w:r>
      <w:r w:rsidR="00384690">
        <w:rPr>
          <w:bCs/>
          <w:lang w:val="en-GB"/>
        </w:rPr>
        <w:t xml:space="preserve"> </w:t>
      </w:r>
      <w:r w:rsidR="00384690">
        <w:t>for corticosteroid</w:t>
      </w:r>
      <w:r w:rsidR="00710B4C">
        <w:t>s</w:t>
      </w:r>
      <w:r w:rsidR="008A7BDE" w:rsidRPr="00ED0867">
        <w:rPr>
          <w:bCs/>
          <w:lang w:val="en-GB"/>
        </w:rPr>
        <w:t xml:space="preserve">. </w:t>
      </w:r>
      <w:r w:rsidR="00DC71E3">
        <w:rPr>
          <w:bCs/>
          <w:lang w:val="en-GB"/>
        </w:rPr>
        <w:t>The m</w:t>
      </w:r>
      <w:r w:rsidR="00BB6A17">
        <w:rPr>
          <w:bCs/>
          <w:lang w:val="en-GB"/>
        </w:rPr>
        <w:t xml:space="preserve">ajority of the trial evidence is comparing </w:t>
      </w:r>
      <w:proofErr w:type="spellStart"/>
      <w:r w:rsidR="00BB6A17">
        <w:rPr>
          <w:bCs/>
          <w:lang w:val="en-GB"/>
        </w:rPr>
        <w:t>adalimumab</w:t>
      </w:r>
      <w:proofErr w:type="spellEnd"/>
      <w:r w:rsidR="00BB6A17">
        <w:rPr>
          <w:bCs/>
          <w:lang w:val="en-GB"/>
        </w:rPr>
        <w:t xml:space="preserve"> to placebo</w:t>
      </w:r>
      <w:r w:rsidR="00CB083E">
        <w:rPr>
          <w:bCs/>
          <w:lang w:val="en-GB"/>
        </w:rPr>
        <w:t xml:space="preserve"> (with or without </w:t>
      </w:r>
      <w:proofErr w:type="spellStart"/>
      <w:r w:rsidR="00CB083E">
        <w:rPr>
          <w:bCs/>
          <w:lang w:val="en-GB"/>
        </w:rPr>
        <w:t>immunomodulating</w:t>
      </w:r>
      <w:proofErr w:type="spellEnd"/>
      <w:r w:rsidR="00CB083E">
        <w:rPr>
          <w:bCs/>
          <w:lang w:val="en-GB"/>
        </w:rPr>
        <w:t xml:space="preserve"> therapy)</w:t>
      </w:r>
      <w:r w:rsidR="00BB6A17">
        <w:rPr>
          <w:bCs/>
          <w:lang w:val="en-GB"/>
        </w:rPr>
        <w:t xml:space="preserve">. </w:t>
      </w:r>
      <w:r w:rsidR="008A7BDE" w:rsidRPr="00ED0867">
        <w:rPr>
          <w:bCs/>
          <w:lang w:val="en-GB"/>
        </w:rPr>
        <w:t xml:space="preserve">As noted in the sponsor hearing, </w:t>
      </w:r>
      <w:r w:rsidR="00FE1175" w:rsidRPr="00ED0867">
        <w:rPr>
          <w:bCs/>
          <w:lang w:val="en-GB"/>
        </w:rPr>
        <w:t>corticosteroid tapering will vary depending on clinician preference a</w:t>
      </w:r>
      <w:r w:rsidR="00ED0867" w:rsidRPr="00ED0867">
        <w:rPr>
          <w:bCs/>
          <w:lang w:val="en-GB"/>
        </w:rPr>
        <w:t>s well as</w:t>
      </w:r>
      <w:r w:rsidR="00FE1175" w:rsidRPr="00ED0867">
        <w:rPr>
          <w:bCs/>
          <w:lang w:val="en-GB"/>
        </w:rPr>
        <w:t xml:space="preserve"> disease severity and response, </w:t>
      </w:r>
      <w:r w:rsidR="00BB6A17">
        <w:rPr>
          <w:bCs/>
          <w:lang w:val="en-GB"/>
        </w:rPr>
        <w:t>and in</w:t>
      </w:r>
      <w:r w:rsidR="00FE1175" w:rsidRPr="00ED0867">
        <w:rPr>
          <w:bCs/>
          <w:lang w:val="en-GB"/>
        </w:rPr>
        <w:t xml:space="preserve"> severe cases </w:t>
      </w:r>
      <w:r w:rsidR="00BB6A17">
        <w:rPr>
          <w:bCs/>
          <w:lang w:val="en-GB"/>
        </w:rPr>
        <w:t xml:space="preserve">patients </w:t>
      </w:r>
      <w:r w:rsidR="00CB083E">
        <w:rPr>
          <w:bCs/>
          <w:lang w:val="en-GB"/>
        </w:rPr>
        <w:t>have</w:t>
      </w:r>
      <w:r w:rsidR="00FE1175" w:rsidRPr="00ED0867">
        <w:rPr>
          <w:bCs/>
          <w:lang w:val="en-GB"/>
        </w:rPr>
        <w:t xml:space="preserve"> </w:t>
      </w:r>
      <w:r w:rsidR="00710B4C">
        <w:rPr>
          <w:bCs/>
          <w:lang w:val="en-GB"/>
        </w:rPr>
        <w:t xml:space="preserve">at least </w:t>
      </w:r>
      <w:r w:rsidR="003A0948">
        <w:rPr>
          <w:bCs/>
          <w:lang w:val="en-GB"/>
        </w:rPr>
        <w:t>two to three</w:t>
      </w:r>
      <w:r w:rsidR="00710B4C">
        <w:rPr>
          <w:bCs/>
          <w:lang w:val="en-GB"/>
        </w:rPr>
        <w:t xml:space="preserve"> courses</w:t>
      </w:r>
      <w:r w:rsidR="00D81775" w:rsidRPr="00ED0867">
        <w:rPr>
          <w:bCs/>
          <w:lang w:val="en-GB"/>
        </w:rPr>
        <w:t xml:space="preserve"> </w:t>
      </w:r>
      <w:r w:rsidR="00FE1175" w:rsidRPr="00ED0867">
        <w:rPr>
          <w:bCs/>
          <w:lang w:val="en-GB"/>
        </w:rPr>
        <w:t xml:space="preserve">of corticosteroid treatment per year. The PBAC noted there is no long term use of </w:t>
      </w:r>
      <w:r w:rsidR="001B51C2">
        <w:rPr>
          <w:bCs/>
          <w:lang w:val="en-GB"/>
        </w:rPr>
        <w:t>cortico</w:t>
      </w:r>
      <w:r w:rsidR="00FE1175" w:rsidRPr="00ED0867">
        <w:rPr>
          <w:bCs/>
          <w:lang w:val="en-GB"/>
        </w:rPr>
        <w:t xml:space="preserve">steroids in the trials so there is no direct data to inform the model of the relative efficacy or safety of </w:t>
      </w:r>
      <w:proofErr w:type="spellStart"/>
      <w:r w:rsidR="00FE1175" w:rsidRPr="00ED0867">
        <w:rPr>
          <w:bCs/>
          <w:lang w:val="en-GB"/>
        </w:rPr>
        <w:t>adalimumab</w:t>
      </w:r>
      <w:proofErr w:type="spellEnd"/>
      <w:r w:rsidR="00FE1175" w:rsidRPr="00ED0867">
        <w:rPr>
          <w:bCs/>
          <w:lang w:val="en-GB"/>
        </w:rPr>
        <w:t xml:space="preserve"> versus chronic </w:t>
      </w:r>
      <w:r w:rsidR="001B51C2">
        <w:rPr>
          <w:bCs/>
          <w:lang w:val="en-GB"/>
        </w:rPr>
        <w:t>cortico</w:t>
      </w:r>
      <w:r w:rsidR="00FE1175" w:rsidRPr="00ED0867">
        <w:rPr>
          <w:bCs/>
          <w:lang w:val="en-GB"/>
        </w:rPr>
        <w:t>steroid</w:t>
      </w:r>
      <w:r w:rsidR="00384690">
        <w:rPr>
          <w:bCs/>
          <w:lang w:val="en-GB"/>
        </w:rPr>
        <w:t xml:space="preserve"> use</w:t>
      </w:r>
      <w:r w:rsidR="00FE1175" w:rsidRPr="00ED0867">
        <w:rPr>
          <w:bCs/>
          <w:lang w:val="en-GB"/>
        </w:rPr>
        <w:t xml:space="preserve">. </w:t>
      </w:r>
      <w:r w:rsidR="00017987">
        <w:rPr>
          <w:bCs/>
          <w:lang w:val="en-GB"/>
        </w:rPr>
        <w:t>T</w:t>
      </w:r>
      <w:r w:rsidR="005B65A2">
        <w:rPr>
          <w:bCs/>
          <w:lang w:val="en-GB"/>
        </w:rPr>
        <w:t xml:space="preserve">he PBAC </w:t>
      </w:r>
      <w:r w:rsidR="00017987">
        <w:rPr>
          <w:bCs/>
          <w:lang w:val="en-GB"/>
        </w:rPr>
        <w:t>agreed with the ESC</w:t>
      </w:r>
      <w:r w:rsidR="005B65A2">
        <w:rPr>
          <w:bCs/>
          <w:lang w:val="en-GB"/>
        </w:rPr>
        <w:t xml:space="preserve"> that the</w:t>
      </w:r>
      <w:r w:rsidR="00F83F11" w:rsidRPr="00F83F11">
        <w:t xml:space="preserve"> </w:t>
      </w:r>
      <w:r w:rsidR="00F83F11" w:rsidRPr="00F83F11">
        <w:rPr>
          <w:bCs/>
          <w:lang w:val="en-GB"/>
        </w:rPr>
        <w:t>forced corticosteroid taper schedules</w:t>
      </w:r>
      <w:r w:rsidR="005B65A2">
        <w:rPr>
          <w:bCs/>
          <w:lang w:val="en-GB"/>
        </w:rPr>
        <w:t xml:space="preserve"> </w:t>
      </w:r>
      <w:r w:rsidR="00F83F11">
        <w:rPr>
          <w:bCs/>
          <w:lang w:val="en-GB"/>
        </w:rPr>
        <w:t xml:space="preserve">may have </w:t>
      </w:r>
      <w:r w:rsidR="005B65A2">
        <w:rPr>
          <w:bCs/>
          <w:lang w:val="en-GB"/>
        </w:rPr>
        <w:t xml:space="preserve">overestimated the treatment effect of </w:t>
      </w:r>
      <w:proofErr w:type="spellStart"/>
      <w:r w:rsidR="005B65A2">
        <w:rPr>
          <w:bCs/>
          <w:lang w:val="en-GB"/>
        </w:rPr>
        <w:t>adalimumab</w:t>
      </w:r>
      <w:proofErr w:type="spellEnd"/>
      <w:r w:rsidR="005B65A2">
        <w:rPr>
          <w:bCs/>
          <w:lang w:val="en-GB"/>
        </w:rPr>
        <w:t>.</w:t>
      </w:r>
      <w:r w:rsidR="003A0948">
        <w:rPr>
          <w:bCs/>
          <w:lang w:val="en-GB"/>
        </w:rPr>
        <w:t xml:space="preserve"> </w:t>
      </w:r>
    </w:p>
    <w:p w:rsidR="00ED0867" w:rsidRPr="00ED0867" w:rsidRDefault="00ED0867" w:rsidP="00ED0867">
      <w:pPr>
        <w:pStyle w:val="ListParagraph"/>
        <w:widowControl/>
        <w:rPr>
          <w:bCs/>
          <w:lang w:val="en-GB"/>
        </w:rPr>
      </w:pPr>
    </w:p>
    <w:p w:rsidR="007F2410" w:rsidRPr="00F31F74" w:rsidRDefault="00BB6A17" w:rsidP="00BB6A17">
      <w:pPr>
        <w:numPr>
          <w:ilvl w:val="1"/>
          <w:numId w:val="3"/>
        </w:numPr>
        <w:rPr>
          <w:bCs/>
        </w:rPr>
      </w:pPr>
      <w:r>
        <w:rPr>
          <w:bCs/>
          <w:lang w:val="en-GB"/>
        </w:rPr>
        <w:t xml:space="preserve">The PBAC noted only a proportion of patients in VISUAL I and VISUAL II were taking </w:t>
      </w:r>
      <w:proofErr w:type="spellStart"/>
      <w:r>
        <w:rPr>
          <w:bCs/>
          <w:lang w:val="en-GB"/>
        </w:rPr>
        <w:t>immunomodulating</w:t>
      </w:r>
      <w:proofErr w:type="spellEnd"/>
      <w:r>
        <w:rPr>
          <w:bCs/>
          <w:lang w:val="en-GB"/>
        </w:rPr>
        <w:t xml:space="preserve"> therapy at baseline (approximately 31% and 47%, respectively), and </w:t>
      </w:r>
      <w:r w:rsidRPr="00F31F74">
        <w:rPr>
          <w:bCs/>
        </w:rPr>
        <w:t>there was n</w:t>
      </w:r>
      <w:r w:rsidR="002A7F3A" w:rsidRPr="00F31F74">
        <w:rPr>
          <w:bCs/>
        </w:rPr>
        <w:t xml:space="preserve">o evaluation of </w:t>
      </w:r>
      <w:r w:rsidRPr="00F31F74">
        <w:rPr>
          <w:bCs/>
        </w:rPr>
        <w:t xml:space="preserve">treatment </w:t>
      </w:r>
      <w:r w:rsidR="002A7F3A" w:rsidRPr="00F31F74">
        <w:rPr>
          <w:bCs/>
        </w:rPr>
        <w:t>effect modification by use of immunomodulatory agents</w:t>
      </w:r>
      <w:r w:rsidRPr="00F31F74">
        <w:rPr>
          <w:bCs/>
        </w:rPr>
        <w:t>.</w:t>
      </w:r>
    </w:p>
    <w:p w:rsidR="00BB6A17" w:rsidRPr="00F31F74" w:rsidRDefault="00BB6A17" w:rsidP="00BB6A17">
      <w:pPr>
        <w:ind w:left="720"/>
        <w:rPr>
          <w:bCs/>
        </w:rPr>
      </w:pPr>
    </w:p>
    <w:p w:rsidR="006B3C25" w:rsidRPr="00F31F74" w:rsidRDefault="00061233" w:rsidP="003D4866">
      <w:pPr>
        <w:widowControl/>
        <w:numPr>
          <w:ilvl w:val="1"/>
          <w:numId w:val="3"/>
        </w:numPr>
        <w:rPr>
          <w:bCs/>
          <w:lang w:val="en-GB"/>
        </w:rPr>
      </w:pPr>
      <w:r w:rsidRPr="00F31F74">
        <w:rPr>
          <w:bCs/>
          <w:lang w:val="en-GB"/>
        </w:rPr>
        <w:t xml:space="preserve">The PBAC noted that </w:t>
      </w:r>
      <w:r w:rsidR="00547D63" w:rsidRPr="00F31F74">
        <w:rPr>
          <w:bCs/>
          <w:lang w:val="en-GB"/>
        </w:rPr>
        <w:t xml:space="preserve">treatment with </w:t>
      </w:r>
      <w:proofErr w:type="spellStart"/>
      <w:r w:rsidR="00547D63" w:rsidRPr="00F31F74">
        <w:rPr>
          <w:bCs/>
          <w:lang w:val="en-GB"/>
        </w:rPr>
        <w:t>adalimumab</w:t>
      </w:r>
      <w:proofErr w:type="spellEnd"/>
      <w:r w:rsidR="00547D63" w:rsidRPr="00F31F74">
        <w:rPr>
          <w:bCs/>
          <w:lang w:val="en-GB"/>
        </w:rPr>
        <w:t xml:space="preserve"> was associated with a statistically significant increase in time to treatment failure compared with placebo</w:t>
      </w:r>
      <w:r w:rsidR="00CB083E" w:rsidRPr="00F31F74">
        <w:rPr>
          <w:bCs/>
          <w:lang w:val="en-GB"/>
        </w:rPr>
        <w:t xml:space="preserve"> (VISUAL I: </w:t>
      </w:r>
      <w:r w:rsidR="00CB083E" w:rsidRPr="00F31F74">
        <w:rPr>
          <w:szCs w:val="22"/>
        </w:rPr>
        <w:t>median time to treatment failure 5.6 months vs. 3 months with placebo; HR 0.50 (0.36, 0.70); VISUAL II: median time to treatment failure not reached vs. 8.3 months with placebo; HR 0.57 (0.39, 0.84))</w:t>
      </w:r>
      <w:r w:rsidR="00CB083E" w:rsidRPr="00F31F74">
        <w:rPr>
          <w:bCs/>
          <w:lang w:val="en-GB"/>
        </w:rPr>
        <w:t>.</w:t>
      </w:r>
      <w:r w:rsidR="00547D63" w:rsidRPr="00F31F74">
        <w:rPr>
          <w:bCs/>
          <w:lang w:val="en-GB"/>
        </w:rPr>
        <w:t xml:space="preserve"> </w:t>
      </w:r>
      <w:r w:rsidR="0028170E" w:rsidRPr="00F31F74">
        <w:rPr>
          <w:bCs/>
          <w:lang w:val="en-GB"/>
        </w:rPr>
        <w:t xml:space="preserve">However, </w:t>
      </w:r>
      <w:r w:rsidR="00FD52DB" w:rsidRPr="00F31F74">
        <w:rPr>
          <w:bCs/>
          <w:lang w:val="en-GB"/>
        </w:rPr>
        <w:t xml:space="preserve">the reasons for treatment failure </w:t>
      </w:r>
      <w:r w:rsidR="00FD52DB" w:rsidRPr="00F31F74">
        <w:t xml:space="preserve">varied across the VISUAL I and VISUAL II trials </w:t>
      </w:r>
      <w:r w:rsidR="005D0892" w:rsidRPr="00F31F74">
        <w:rPr>
          <w:bCs/>
          <w:lang w:val="en-GB"/>
        </w:rPr>
        <w:t>e.g.</w:t>
      </w:r>
      <w:r w:rsidR="00FD52DB" w:rsidRPr="00F31F74">
        <w:rPr>
          <w:bCs/>
          <w:lang w:val="en-GB"/>
        </w:rPr>
        <w:t xml:space="preserve"> </w:t>
      </w:r>
      <w:r w:rsidR="00F31F74" w:rsidRPr="00F31F74">
        <w:rPr>
          <w:bCs/>
          <w:lang w:val="en-GB"/>
        </w:rPr>
        <w:t xml:space="preserve">the </w:t>
      </w:r>
      <w:r w:rsidR="00F31F74">
        <w:rPr>
          <w:bCs/>
          <w:lang w:val="en-GB"/>
        </w:rPr>
        <w:t xml:space="preserve">most cited reason for treatment </w:t>
      </w:r>
      <w:r w:rsidR="00F31F74" w:rsidRPr="00F31F74">
        <w:rPr>
          <w:bCs/>
          <w:lang w:val="en-GB"/>
        </w:rPr>
        <w:lastRenderedPageBreak/>
        <w:t xml:space="preserve">failure in the placebo arm in VISUAL I was vitreous haze, whereas in VISUAL II </w:t>
      </w:r>
      <w:r w:rsidR="00F31F74">
        <w:rPr>
          <w:bCs/>
          <w:lang w:val="en-GB"/>
        </w:rPr>
        <w:t>vitreous haze was the least cited reason</w:t>
      </w:r>
      <w:r w:rsidR="00F31F74" w:rsidRPr="00F31F74">
        <w:rPr>
          <w:bCs/>
          <w:lang w:val="en-GB"/>
        </w:rPr>
        <w:t>.</w:t>
      </w:r>
    </w:p>
    <w:p w:rsidR="0028170E" w:rsidRPr="0028170E" w:rsidRDefault="0028170E" w:rsidP="0028170E">
      <w:pPr>
        <w:ind w:left="720"/>
        <w:rPr>
          <w:bCs/>
          <w:lang w:val="en-GB"/>
        </w:rPr>
      </w:pPr>
    </w:p>
    <w:p w:rsidR="0050469C" w:rsidRDefault="0050469C" w:rsidP="0050469C">
      <w:pPr>
        <w:numPr>
          <w:ilvl w:val="1"/>
          <w:numId w:val="3"/>
        </w:numPr>
        <w:rPr>
          <w:bCs/>
          <w:lang w:val="en-GB"/>
        </w:rPr>
      </w:pPr>
      <w:r w:rsidRPr="001B51C2">
        <w:rPr>
          <w:bCs/>
          <w:lang w:val="en-GB"/>
        </w:rPr>
        <w:t xml:space="preserve">The PBAC questioned the </w:t>
      </w:r>
      <w:r w:rsidR="00447955" w:rsidRPr="001B51C2">
        <w:rPr>
          <w:bCs/>
          <w:lang w:val="en-GB"/>
        </w:rPr>
        <w:t xml:space="preserve">clinical relevance </w:t>
      </w:r>
      <w:r w:rsidRPr="001B51C2">
        <w:rPr>
          <w:bCs/>
          <w:lang w:val="en-GB"/>
        </w:rPr>
        <w:t xml:space="preserve">between </w:t>
      </w:r>
      <w:r w:rsidR="00447955" w:rsidRPr="001B51C2">
        <w:rPr>
          <w:bCs/>
          <w:lang w:val="en-GB"/>
        </w:rPr>
        <w:t>the four composite endpoints used to define</w:t>
      </w:r>
      <w:r w:rsidR="00F0201F" w:rsidRPr="001B51C2">
        <w:rPr>
          <w:bCs/>
          <w:lang w:val="en-GB"/>
        </w:rPr>
        <w:t xml:space="preserve"> the primary efficacy outcome of time to treatment failure (</w:t>
      </w:r>
      <w:r w:rsidR="00447955" w:rsidRPr="001B51C2">
        <w:rPr>
          <w:bCs/>
          <w:lang w:val="en-GB"/>
        </w:rPr>
        <w:t>flare</w:t>
      </w:r>
      <w:r w:rsidR="00F0201F" w:rsidRPr="001B51C2">
        <w:rPr>
          <w:bCs/>
          <w:lang w:val="en-GB"/>
        </w:rPr>
        <w:t>)</w:t>
      </w:r>
      <w:r w:rsidR="00447955" w:rsidRPr="001B51C2">
        <w:rPr>
          <w:bCs/>
          <w:lang w:val="en-GB"/>
        </w:rPr>
        <w:t xml:space="preserve">, and </w:t>
      </w:r>
      <w:r w:rsidR="00CD4FCC" w:rsidRPr="001B51C2">
        <w:rPr>
          <w:bCs/>
          <w:lang w:val="en-GB"/>
        </w:rPr>
        <w:t xml:space="preserve">the </w:t>
      </w:r>
      <w:r w:rsidR="00447955" w:rsidRPr="001B51C2">
        <w:rPr>
          <w:bCs/>
          <w:lang w:val="en-GB"/>
        </w:rPr>
        <w:t xml:space="preserve">rate of downstream ocular complications such as cataracts, </w:t>
      </w:r>
      <w:r w:rsidR="001567FB" w:rsidRPr="001B51C2">
        <w:rPr>
          <w:bCs/>
          <w:lang w:val="en-GB"/>
        </w:rPr>
        <w:t>visual</w:t>
      </w:r>
      <w:r w:rsidR="00447955" w:rsidRPr="001B51C2">
        <w:rPr>
          <w:bCs/>
          <w:lang w:val="en-GB"/>
        </w:rPr>
        <w:t xml:space="preserve"> disturbance, glaucoma or blindness. </w:t>
      </w:r>
      <w:r w:rsidR="00141417" w:rsidRPr="001B51C2">
        <w:rPr>
          <w:bCs/>
          <w:lang w:val="en-GB"/>
        </w:rPr>
        <w:t xml:space="preserve">The PBAC noted that </w:t>
      </w:r>
      <w:r w:rsidR="001567FB" w:rsidRPr="001B51C2">
        <w:rPr>
          <w:bCs/>
          <w:lang w:val="en-GB"/>
        </w:rPr>
        <w:t xml:space="preserve">the </w:t>
      </w:r>
      <w:r w:rsidR="00FD52DB">
        <w:rPr>
          <w:bCs/>
          <w:lang w:val="en-GB"/>
        </w:rPr>
        <w:t xml:space="preserve">components of the </w:t>
      </w:r>
      <w:r w:rsidR="001567FB" w:rsidRPr="001B51C2">
        <w:rPr>
          <w:bCs/>
          <w:lang w:val="en-GB"/>
        </w:rPr>
        <w:t xml:space="preserve">composite </w:t>
      </w:r>
      <w:r w:rsidR="00141417" w:rsidRPr="001B51C2">
        <w:rPr>
          <w:bCs/>
          <w:lang w:val="en-GB"/>
        </w:rPr>
        <w:t xml:space="preserve">measure are </w:t>
      </w:r>
      <w:r w:rsidR="00AF73F7" w:rsidRPr="001B51C2">
        <w:rPr>
          <w:bCs/>
          <w:lang w:val="en-GB"/>
        </w:rPr>
        <w:t xml:space="preserve">normally </w:t>
      </w:r>
      <w:r w:rsidR="00141417" w:rsidRPr="001B51C2">
        <w:rPr>
          <w:bCs/>
          <w:lang w:val="en-GB"/>
        </w:rPr>
        <w:t>used in clinical practice to a</w:t>
      </w:r>
      <w:r w:rsidR="00CD4FCC" w:rsidRPr="001B51C2">
        <w:rPr>
          <w:bCs/>
          <w:lang w:val="en-GB"/>
        </w:rPr>
        <w:t xml:space="preserve">ssess ocular inflammation. However, </w:t>
      </w:r>
      <w:r w:rsidR="00D74072" w:rsidRPr="001B51C2">
        <w:rPr>
          <w:bCs/>
          <w:lang w:val="en-GB"/>
        </w:rPr>
        <w:t xml:space="preserve">the extrapolation of the relationship </w:t>
      </w:r>
      <w:r w:rsidR="001B51C2" w:rsidRPr="001B51C2">
        <w:rPr>
          <w:bCs/>
          <w:lang w:val="en-GB"/>
        </w:rPr>
        <w:t xml:space="preserve">between flare and ocular complication </w:t>
      </w:r>
      <w:r w:rsidR="00D74072" w:rsidRPr="001B51C2">
        <w:rPr>
          <w:bCs/>
          <w:lang w:val="en-GB"/>
        </w:rPr>
        <w:t>was likely to be overestimated</w:t>
      </w:r>
      <w:r w:rsidR="0019731E" w:rsidRPr="001B51C2">
        <w:rPr>
          <w:bCs/>
          <w:lang w:val="en-GB"/>
        </w:rPr>
        <w:t>, strong</w:t>
      </w:r>
      <w:r w:rsidR="001B51C2" w:rsidRPr="001B51C2">
        <w:rPr>
          <w:bCs/>
          <w:lang w:val="en-GB"/>
        </w:rPr>
        <w:t>ly</w:t>
      </w:r>
      <w:r w:rsidR="0019731E" w:rsidRPr="001B51C2">
        <w:rPr>
          <w:bCs/>
          <w:lang w:val="en-GB"/>
        </w:rPr>
        <w:t xml:space="preserve"> favour</w:t>
      </w:r>
      <w:r w:rsidR="001B51C2" w:rsidRPr="001B51C2">
        <w:rPr>
          <w:bCs/>
          <w:lang w:val="en-GB"/>
        </w:rPr>
        <w:t>ing</w:t>
      </w:r>
      <w:r w:rsidR="0019731E" w:rsidRPr="001B51C2">
        <w:rPr>
          <w:bCs/>
          <w:lang w:val="en-GB"/>
        </w:rPr>
        <w:t xml:space="preserve"> </w:t>
      </w:r>
      <w:proofErr w:type="spellStart"/>
      <w:r w:rsidR="0019731E" w:rsidRPr="001B51C2">
        <w:rPr>
          <w:bCs/>
          <w:lang w:val="en-GB"/>
        </w:rPr>
        <w:t>adalimumab</w:t>
      </w:r>
      <w:proofErr w:type="spellEnd"/>
      <w:r w:rsidR="0019731E" w:rsidRPr="001B51C2">
        <w:rPr>
          <w:bCs/>
          <w:lang w:val="en-GB"/>
        </w:rPr>
        <w:t xml:space="preserve">. </w:t>
      </w:r>
    </w:p>
    <w:p w:rsidR="001B51C2" w:rsidRPr="001B51C2" w:rsidRDefault="001B51C2" w:rsidP="001B51C2">
      <w:pPr>
        <w:ind w:left="720"/>
        <w:rPr>
          <w:bCs/>
          <w:lang w:val="en-GB"/>
        </w:rPr>
      </w:pPr>
    </w:p>
    <w:p w:rsidR="006B3C25" w:rsidRDefault="006B3C25" w:rsidP="00547D63">
      <w:pPr>
        <w:numPr>
          <w:ilvl w:val="1"/>
          <w:numId w:val="3"/>
        </w:numPr>
        <w:rPr>
          <w:bCs/>
          <w:lang w:val="en-GB"/>
        </w:rPr>
      </w:pPr>
      <w:r>
        <w:rPr>
          <w:bCs/>
          <w:lang w:val="en-GB"/>
        </w:rPr>
        <w:t xml:space="preserve">The PBAC noted the increased risk of demyelinating illness when </w:t>
      </w:r>
      <w:proofErr w:type="spellStart"/>
      <w:r>
        <w:rPr>
          <w:bCs/>
          <w:lang w:val="en-GB"/>
        </w:rPr>
        <w:t>adalimumab</w:t>
      </w:r>
      <w:proofErr w:type="spellEnd"/>
      <w:r>
        <w:rPr>
          <w:bCs/>
          <w:lang w:val="en-GB"/>
        </w:rPr>
        <w:t xml:space="preserve"> is used for uveitis. The PBAC considered that it was appropriate that additional neurological screening </w:t>
      </w:r>
      <w:r w:rsidR="00ED5B95">
        <w:rPr>
          <w:bCs/>
          <w:lang w:val="en-GB"/>
        </w:rPr>
        <w:t xml:space="preserve">prior to treatment with </w:t>
      </w:r>
      <w:proofErr w:type="spellStart"/>
      <w:r w:rsidR="00ED5B95">
        <w:rPr>
          <w:bCs/>
          <w:lang w:val="en-GB"/>
        </w:rPr>
        <w:t>adalimumab</w:t>
      </w:r>
      <w:proofErr w:type="spellEnd"/>
      <w:r w:rsidR="00ED5B95">
        <w:rPr>
          <w:bCs/>
          <w:lang w:val="en-GB"/>
        </w:rPr>
        <w:t xml:space="preserve"> </w:t>
      </w:r>
      <w:r w:rsidR="00ED5B95">
        <w:t>is required</w:t>
      </w:r>
      <w:r w:rsidR="00ED5B95">
        <w:rPr>
          <w:bCs/>
          <w:lang w:val="en-GB"/>
        </w:rPr>
        <w:t xml:space="preserve"> for patients considered at high risk</w:t>
      </w:r>
      <w:r>
        <w:t>, which is consistent with the TGA approved Product Information for adalimumab.</w:t>
      </w:r>
      <w:r>
        <w:rPr>
          <w:bCs/>
          <w:lang w:val="en-GB"/>
        </w:rPr>
        <w:t xml:space="preserve"> </w:t>
      </w:r>
    </w:p>
    <w:p w:rsidR="00344F73" w:rsidRDefault="00344F73" w:rsidP="00344F73">
      <w:pPr>
        <w:pStyle w:val="ListParagraph"/>
        <w:rPr>
          <w:bCs/>
          <w:lang w:val="en-GB"/>
        </w:rPr>
      </w:pPr>
    </w:p>
    <w:p w:rsidR="00136F32" w:rsidRPr="000044EA" w:rsidRDefault="0054242F" w:rsidP="00A37C7C">
      <w:pPr>
        <w:numPr>
          <w:ilvl w:val="1"/>
          <w:numId w:val="3"/>
        </w:numPr>
        <w:rPr>
          <w:bCs/>
          <w:lang w:val="en-GB"/>
        </w:rPr>
      </w:pPr>
      <w:r w:rsidRPr="0054242F">
        <w:rPr>
          <w:bCs/>
          <w:lang w:val="en-GB"/>
        </w:rPr>
        <w:t xml:space="preserve">The PBAC noted </w:t>
      </w:r>
      <w:r w:rsidR="00ED5B95">
        <w:rPr>
          <w:bCs/>
          <w:lang w:val="en-GB"/>
        </w:rPr>
        <w:t xml:space="preserve">from the sponsor hearing </w:t>
      </w:r>
      <w:r w:rsidRPr="0054242F">
        <w:rPr>
          <w:bCs/>
          <w:lang w:val="en-GB"/>
        </w:rPr>
        <w:t xml:space="preserve">that on average, it took two years for uveitis to stabilise in patients currently being treated with </w:t>
      </w:r>
      <w:proofErr w:type="spellStart"/>
      <w:r w:rsidRPr="0054242F">
        <w:rPr>
          <w:bCs/>
          <w:lang w:val="en-GB"/>
        </w:rPr>
        <w:t>adalimumab</w:t>
      </w:r>
      <w:proofErr w:type="spellEnd"/>
      <w:r w:rsidRPr="0054242F">
        <w:rPr>
          <w:bCs/>
          <w:lang w:val="en-GB"/>
        </w:rPr>
        <w:t xml:space="preserve">. </w:t>
      </w:r>
      <w:r w:rsidR="000044EA">
        <w:rPr>
          <w:szCs w:val="22"/>
        </w:rPr>
        <w:t>Additionally, patients would be on a further two to three courses of corticosteroids to control re-flares and it would take two to ten years for the ocular complications to reduce. The PBAC noted this was an important consideration when modelling the benefits of adalimumab over time.</w:t>
      </w:r>
    </w:p>
    <w:p w:rsidR="000044EA" w:rsidRDefault="000044EA" w:rsidP="000044EA">
      <w:pPr>
        <w:pStyle w:val="ListParagraph"/>
        <w:rPr>
          <w:bCs/>
          <w:lang w:val="en-GB"/>
        </w:rPr>
      </w:pPr>
    </w:p>
    <w:p w:rsidR="008B2B72" w:rsidRPr="00017987" w:rsidRDefault="008B2B72" w:rsidP="008B2B72">
      <w:pPr>
        <w:numPr>
          <w:ilvl w:val="1"/>
          <w:numId w:val="3"/>
        </w:numPr>
        <w:rPr>
          <w:bCs/>
          <w:lang w:val="en-GB"/>
        </w:rPr>
      </w:pPr>
      <w:r w:rsidRPr="00017987">
        <w:rPr>
          <w:bCs/>
          <w:lang w:val="en-GB"/>
        </w:rPr>
        <w:t xml:space="preserve">The PBAC noted the trial data comparing </w:t>
      </w:r>
      <w:proofErr w:type="spellStart"/>
      <w:r w:rsidRPr="00017987">
        <w:rPr>
          <w:bCs/>
          <w:lang w:val="en-GB"/>
        </w:rPr>
        <w:t>adalimumab</w:t>
      </w:r>
      <w:proofErr w:type="spellEnd"/>
      <w:r w:rsidRPr="00017987">
        <w:rPr>
          <w:bCs/>
          <w:lang w:val="en-GB"/>
        </w:rPr>
        <w:t xml:space="preserve"> to placebo in patients </w:t>
      </w:r>
      <w:r w:rsidR="00017987">
        <w:rPr>
          <w:bCs/>
          <w:lang w:val="en-GB"/>
        </w:rPr>
        <w:t xml:space="preserve">refractory </w:t>
      </w:r>
      <w:r w:rsidRPr="00017987">
        <w:rPr>
          <w:bCs/>
          <w:lang w:val="en-GB"/>
        </w:rPr>
        <w:t xml:space="preserve">to corticosteroids (VISUAL I) demonstrated superior effectiveness for the outcome of treatment failure (flare) and inferior safety; the trial data comparing to </w:t>
      </w:r>
      <w:proofErr w:type="spellStart"/>
      <w:r w:rsidRPr="00017987">
        <w:rPr>
          <w:bCs/>
          <w:lang w:val="en-GB"/>
        </w:rPr>
        <w:t>adalimumab</w:t>
      </w:r>
      <w:proofErr w:type="spellEnd"/>
      <w:r w:rsidRPr="00017987">
        <w:rPr>
          <w:bCs/>
          <w:lang w:val="en-GB"/>
        </w:rPr>
        <w:t xml:space="preserve"> to placebo in patients </w:t>
      </w:r>
      <w:r w:rsidR="001767D8">
        <w:rPr>
          <w:bCs/>
          <w:lang w:val="en-GB"/>
        </w:rPr>
        <w:t>intolerant</w:t>
      </w:r>
      <w:r w:rsidRPr="00017987">
        <w:rPr>
          <w:bCs/>
          <w:lang w:val="en-GB"/>
        </w:rPr>
        <w:t xml:space="preserve"> to corticosteroids (VISUAL II) supported potentially superior effectiveness for the outcome of treatment failure (flare) and inferior safety (noting the data does not directly compare to high dose corticosteroids). </w:t>
      </w:r>
      <w:r w:rsidR="00017987">
        <w:rPr>
          <w:bCs/>
          <w:lang w:val="en-GB"/>
        </w:rPr>
        <w:t>However, t</w:t>
      </w:r>
      <w:r w:rsidR="00F8665D" w:rsidRPr="00017987">
        <w:rPr>
          <w:bCs/>
          <w:lang w:val="en-GB"/>
        </w:rPr>
        <w:t xml:space="preserve">he PBAC considered that </w:t>
      </w:r>
      <w:r w:rsidR="00ED5B95" w:rsidRPr="00017987">
        <w:rPr>
          <w:bCs/>
          <w:lang w:val="en-GB"/>
        </w:rPr>
        <w:t xml:space="preserve">there was a lack of evidence of the effects of </w:t>
      </w:r>
      <w:proofErr w:type="spellStart"/>
      <w:r w:rsidR="00ED5B95" w:rsidRPr="00017987">
        <w:rPr>
          <w:bCs/>
          <w:lang w:val="en-GB"/>
        </w:rPr>
        <w:t>adalimumab</w:t>
      </w:r>
      <w:proofErr w:type="spellEnd"/>
      <w:r w:rsidR="00ED5B95" w:rsidRPr="00017987">
        <w:rPr>
          <w:bCs/>
          <w:lang w:val="en-GB"/>
        </w:rPr>
        <w:t xml:space="preserve"> compared directly to corticosteroid and other </w:t>
      </w:r>
      <w:proofErr w:type="spellStart"/>
      <w:r w:rsidR="00ED5B95" w:rsidRPr="00017987">
        <w:rPr>
          <w:bCs/>
          <w:lang w:val="en-GB"/>
        </w:rPr>
        <w:t>immunomodulatory</w:t>
      </w:r>
      <w:proofErr w:type="spellEnd"/>
      <w:r w:rsidR="00ED5B95" w:rsidRPr="00017987">
        <w:rPr>
          <w:bCs/>
          <w:lang w:val="en-GB"/>
        </w:rPr>
        <w:t xml:space="preserve"> therapies to support the </w:t>
      </w:r>
      <w:r w:rsidR="00F8665D" w:rsidRPr="00017987">
        <w:rPr>
          <w:bCs/>
          <w:lang w:val="en-GB"/>
        </w:rPr>
        <w:t>claims of superior comparative effectiveness and non-inferior comparative safety</w:t>
      </w:r>
      <w:r w:rsidR="004261AB" w:rsidRPr="00017987">
        <w:rPr>
          <w:bCs/>
          <w:lang w:val="en-GB"/>
        </w:rPr>
        <w:t xml:space="preserve"> to the nominated comparator</w:t>
      </w:r>
      <w:r w:rsidR="00CA6C6C" w:rsidRPr="00017987">
        <w:rPr>
          <w:bCs/>
          <w:lang w:val="en-GB"/>
        </w:rPr>
        <w:t>.</w:t>
      </w:r>
      <w:r w:rsidRPr="00017987">
        <w:rPr>
          <w:bCs/>
          <w:lang w:val="en-GB"/>
        </w:rPr>
        <w:t xml:space="preserve"> Additionally, there were no direct data to demonstrate that the reduction of flares would improve long term effects.</w:t>
      </w:r>
    </w:p>
    <w:p w:rsidR="0050469C" w:rsidRDefault="0050469C" w:rsidP="0050469C">
      <w:pPr>
        <w:pStyle w:val="ListParagraph"/>
        <w:rPr>
          <w:bCs/>
          <w:lang w:val="en-GB"/>
        </w:rPr>
      </w:pPr>
    </w:p>
    <w:p w:rsidR="003D3DE1" w:rsidRPr="001767D8" w:rsidRDefault="008B0A35" w:rsidP="00A37C7C">
      <w:pPr>
        <w:numPr>
          <w:ilvl w:val="1"/>
          <w:numId w:val="3"/>
        </w:numPr>
        <w:rPr>
          <w:bCs/>
          <w:lang w:val="en-GB"/>
        </w:rPr>
      </w:pPr>
      <w:r>
        <w:rPr>
          <w:bCs/>
          <w:lang w:val="en-GB"/>
        </w:rPr>
        <w:t>The PBAC</w:t>
      </w:r>
      <w:r w:rsidR="00A830A9">
        <w:rPr>
          <w:bCs/>
          <w:lang w:val="en-GB"/>
        </w:rPr>
        <w:t xml:space="preserve"> </w:t>
      </w:r>
      <w:r w:rsidR="007C6CC7">
        <w:rPr>
          <w:bCs/>
          <w:lang w:val="en-GB"/>
        </w:rPr>
        <w:t xml:space="preserve">considered </w:t>
      </w:r>
      <w:r w:rsidR="003D3DE1">
        <w:rPr>
          <w:bCs/>
          <w:lang w:val="en-GB"/>
        </w:rPr>
        <w:t xml:space="preserve">the model presented in the submission was not reliable for </w:t>
      </w:r>
      <w:r w:rsidR="003D3DE1" w:rsidRPr="001767D8">
        <w:rPr>
          <w:bCs/>
          <w:lang w:val="en-GB"/>
        </w:rPr>
        <w:t>decision making given</w:t>
      </w:r>
      <w:r w:rsidR="009E794A" w:rsidRPr="001767D8">
        <w:rPr>
          <w:bCs/>
          <w:lang w:val="en-GB"/>
        </w:rPr>
        <w:t xml:space="preserve"> the</w:t>
      </w:r>
      <w:r w:rsidR="003D3DE1" w:rsidRPr="001767D8">
        <w:rPr>
          <w:bCs/>
          <w:lang w:val="en-GB"/>
        </w:rPr>
        <w:t xml:space="preserve"> overestimation of the treatment effect and other structural </w:t>
      </w:r>
      <w:r w:rsidR="007C6CC7" w:rsidRPr="001767D8">
        <w:rPr>
          <w:bCs/>
          <w:lang w:val="en-GB"/>
        </w:rPr>
        <w:t>issue</w:t>
      </w:r>
      <w:r w:rsidR="003D3DE1" w:rsidRPr="001767D8">
        <w:rPr>
          <w:bCs/>
          <w:lang w:val="en-GB"/>
        </w:rPr>
        <w:t>s</w:t>
      </w:r>
      <w:r w:rsidR="007C6CC7" w:rsidRPr="001767D8">
        <w:rPr>
          <w:bCs/>
          <w:lang w:val="en-GB"/>
        </w:rPr>
        <w:t xml:space="preserve">. </w:t>
      </w:r>
    </w:p>
    <w:p w:rsidR="003D3DE1" w:rsidRPr="001767D8" w:rsidRDefault="003D3DE1" w:rsidP="003D3DE1">
      <w:pPr>
        <w:ind w:left="720"/>
        <w:rPr>
          <w:bCs/>
          <w:lang w:val="en-GB"/>
        </w:rPr>
      </w:pPr>
    </w:p>
    <w:p w:rsidR="00D51DCE" w:rsidRPr="001767D8" w:rsidRDefault="004261AB" w:rsidP="005C0C3D">
      <w:pPr>
        <w:numPr>
          <w:ilvl w:val="1"/>
          <w:numId w:val="3"/>
        </w:numPr>
        <w:rPr>
          <w:bCs/>
          <w:lang w:val="en-GB"/>
        </w:rPr>
      </w:pPr>
      <w:r w:rsidRPr="001767D8">
        <w:rPr>
          <w:bCs/>
          <w:lang w:val="en-GB"/>
        </w:rPr>
        <w:t xml:space="preserve">The PBAC noted from the sponsor hearing that although almost all </w:t>
      </w:r>
      <w:r w:rsidR="003763B1" w:rsidRPr="001767D8">
        <w:rPr>
          <w:bCs/>
          <w:lang w:val="en-GB"/>
        </w:rPr>
        <w:t>patients</w:t>
      </w:r>
      <w:r w:rsidRPr="001767D8">
        <w:rPr>
          <w:bCs/>
          <w:lang w:val="en-GB"/>
        </w:rPr>
        <w:t xml:space="preserve"> with non-infectious intermediate posterior </w:t>
      </w:r>
      <w:r w:rsidR="003763B1" w:rsidRPr="001767D8">
        <w:rPr>
          <w:bCs/>
          <w:lang w:val="en-GB"/>
        </w:rPr>
        <w:t xml:space="preserve">or </w:t>
      </w:r>
      <w:proofErr w:type="spellStart"/>
      <w:r w:rsidR="003763B1" w:rsidRPr="001767D8">
        <w:rPr>
          <w:bCs/>
          <w:lang w:val="en-GB"/>
        </w:rPr>
        <w:t>pan</w:t>
      </w:r>
      <w:r w:rsidRPr="001767D8">
        <w:rPr>
          <w:bCs/>
          <w:lang w:val="en-GB"/>
        </w:rPr>
        <w:t>uveitis</w:t>
      </w:r>
      <w:proofErr w:type="spellEnd"/>
      <w:r w:rsidRPr="001767D8">
        <w:rPr>
          <w:bCs/>
          <w:lang w:val="en-GB"/>
        </w:rPr>
        <w:t xml:space="preserve"> will experience flare, only a proportion of patients will go on to experience long-term complications. </w:t>
      </w:r>
      <w:r w:rsidR="003763B1" w:rsidRPr="001767D8">
        <w:rPr>
          <w:bCs/>
          <w:lang w:val="en-GB"/>
        </w:rPr>
        <w:t>By n</w:t>
      </w:r>
      <w:r w:rsidRPr="001767D8">
        <w:rPr>
          <w:bCs/>
          <w:lang w:val="en-GB"/>
        </w:rPr>
        <w:t>ot including t</w:t>
      </w:r>
      <w:r w:rsidR="003D3DE1" w:rsidRPr="001767D8">
        <w:rPr>
          <w:bCs/>
          <w:lang w:val="en-GB"/>
        </w:rPr>
        <w:t xml:space="preserve">he </w:t>
      </w:r>
      <w:r w:rsidRPr="001767D8">
        <w:rPr>
          <w:bCs/>
          <w:lang w:val="en-GB"/>
        </w:rPr>
        <w:t xml:space="preserve">occurrence of </w:t>
      </w:r>
      <w:proofErr w:type="spellStart"/>
      <w:r w:rsidRPr="001767D8">
        <w:rPr>
          <w:bCs/>
          <w:lang w:val="en-GB"/>
        </w:rPr>
        <w:t>uveitic</w:t>
      </w:r>
      <w:proofErr w:type="spellEnd"/>
      <w:r w:rsidRPr="001767D8">
        <w:rPr>
          <w:bCs/>
          <w:lang w:val="en-GB"/>
        </w:rPr>
        <w:t xml:space="preserve"> flares over time in the model the uncertainty of the relationship between flare and ocular complications</w:t>
      </w:r>
      <w:r w:rsidR="003763B1" w:rsidRPr="001767D8">
        <w:rPr>
          <w:bCs/>
          <w:lang w:val="en-GB"/>
        </w:rPr>
        <w:t xml:space="preserve"> was increased</w:t>
      </w:r>
      <w:r w:rsidRPr="001767D8">
        <w:rPr>
          <w:bCs/>
          <w:lang w:val="en-GB"/>
        </w:rPr>
        <w:t xml:space="preserve">. </w:t>
      </w:r>
      <w:r w:rsidR="003763B1" w:rsidRPr="001767D8">
        <w:rPr>
          <w:bCs/>
          <w:lang w:val="en-GB"/>
        </w:rPr>
        <w:t>More importantly, a</w:t>
      </w:r>
      <w:r w:rsidRPr="001767D8">
        <w:rPr>
          <w:bCs/>
          <w:lang w:val="en-GB"/>
        </w:rPr>
        <w:t xml:space="preserve">pplying </w:t>
      </w:r>
      <w:r w:rsidR="003D3DE1" w:rsidRPr="001767D8">
        <w:rPr>
          <w:bCs/>
          <w:lang w:val="en-GB"/>
        </w:rPr>
        <w:t xml:space="preserve">the </w:t>
      </w:r>
      <w:r w:rsidRPr="001767D8">
        <w:rPr>
          <w:bCs/>
          <w:lang w:val="en-GB"/>
        </w:rPr>
        <w:t xml:space="preserve">more favourable hazard ratio of 0.50 from VISUAL I to the probability of ocular complications on a 1:1 basis </w:t>
      </w:r>
      <w:r w:rsidR="003E6C86">
        <w:rPr>
          <w:bCs/>
          <w:lang w:val="en-GB"/>
        </w:rPr>
        <w:t xml:space="preserve">was likely to </w:t>
      </w:r>
      <w:r w:rsidR="006E52E1" w:rsidRPr="001767D8">
        <w:rPr>
          <w:bCs/>
          <w:lang w:val="en-GB"/>
        </w:rPr>
        <w:t xml:space="preserve">substantially </w:t>
      </w:r>
      <w:r w:rsidR="003763B1" w:rsidRPr="001767D8">
        <w:rPr>
          <w:bCs/>
          <w:lang w:val="en-GB"/>
        </w:rPr>
        <w:t>overestimate the treatment benefit.</w:t>
      </w:r>
      <w:r w:rsidR="003D3DE1" w:rsidRPr="001767D8">
        <w:rPr>
          <w:bCs/>
          <w:lang w:val="en-GB"/>
        </w:rPr>
        <w:t xml:space="preserve"> </w:t>
      </w:r>
      <w:r w:rsidR="003763B1" w:rsidRPr="001767D8">
        <w:rPr>
          <w:bCs/>
          <w:lang w:val="en-GB"/>
        </w:rPr>
        <w:t xml:space="preserve">The pre-PBAC response </w:t>
      </w:r>
      <w:r w:rsidR="00D51DCE" w:rsidRPr="001767D8">
        <w:rPr>
          <w:bCs/>
          <w:lang w:val="en-GB"/>
        </w:rPr>
        <w:t xml:space="preserve">adjusted the probabilities of ocular complications by including the </w:t>
      </w:r>
      <w:proofErr w:type="gramStart"/>
      <w:r w:rsidR="00D51DCE" w:rsidRPr="001767D8">
        <w:rPr>
          <w:bCs/>
          <w:lang w:val="en-GB"/>
        </w:rPr>
        <w:t>attributable</w:t>
      </w:r>
      <w:proofErr w:type="gramEnd"/>
      <w:r w:rsidR="00D51DCE" w:rsidRPr="001767D8">
        <w:rPr>
          <w:bCs/>
          <w:lang w:val="en-GB"/>
        </w:rPr>
        <w:t xml:space="preserve"> risk associated </w:t>
      </w:r>
      <w:r w:rsidR="007F5305" w:rsidRPr="001767D8">
        <w:rPr>
          <w:bCs/>
          <w:lang w:val="en-GB"/>
        </w:rPr>
        <w:t>with uveitis, from the Dick</w:t>
      </w:r>
      <w:r w:rsidR="00D51DCE" w:rsidRPr="001767D8">
        <w:rPr>
          <w:bCs/>
          <w:lang w:val="en-GB"/>
        </w:rPr>
        <w:t xml:space="preserve"> et al (2016) retrospective cohort study. </w:t>
      </w:r>
      <w:r w:rsidR="005C0C3D" w:rsidRPr="005C0C3D">
        <w:rPr>
          <w:bCs/>
          <w:lang w:val="en-GB"/>
        </w:rPr>
        <w:t xml:space="preserve">However, the 0.50 hazard ratio was still applied to the </w:t>
      </w:r>
      <w:r w:rsidR="005C0C3D" w:rsidRPr="005C0C3D">
        <w:rPr>
          <w:bCs/>
          <w:lang w:val="en-GB"/>
        </w:rPr>
        <w:lastRenderedPageBreak/>
        <w:t>probability of ocular complications, thus retaining the assumption that a 50% reduction in uveitis flares equates to a 50% reduction in uveitis-attributable ocular complications. The PBAC noted that even after accounting for the fact that many ocular complications are not attributable to uveitis, the effect of treatment was likely to be over-estimated because the less conservative estimate of treatment effect (from VISUAL 1) was selected over the more conservative estimate from VISUAL 2 (HR 0.57), and because the treatment effect on uveitis flares was assumed to be a perfect surrogate for the treatment effect on uveitis-attributable complications. The PBAC considered the model should have factored both a more conservative estimate of the effect of treatment on flares, and a more conservative assumption of the relationship between the effect of treatment on acute flares and the effect of treatment on uveitis-attributable complications.</w:t>
      </w:r>
    </w:p>
    <w:p w:rsidR="00942FB0" w:rsidRPr="001767D8" w:rsidRDefault="00942FB0" w:rsidP="00942FB0">
      <w:pPr>
        <w:ind w:left="720"/>
        <w:rPr>
          <w:bCs/>
          <w:lang w:val="en-GB"/>
        </w:rPr>
      </w:pPr>
    </w:p>
    <w:p w:rsidR="00A830A9" w:rsidRDefault="00A830A9" w:rsidP="00DA78F3">
      <w:pPr>
        <w:numPr>
          <w:ilvl w:val="1"/>
          <w:numId w:val="3"/>
        </w:numPr>
        <w:rPr>
          <w:bCs/>
          <w:lang w:val="en-GB"/>
        </w:rPr>
      </w:pPr>
      <w:r w:rsidRPr="001767D8">
        <w:rPr>
          <w:bCs/>
          <w:lang w:val="en-GB"/>
        </w:rPr>
        <w:t xml:space="preserve">The PBAC </w:t>
      </w:r>
      <w:r w:rsidR="00942FB0" w:rsidRPr="001767D8">
        <w:rPr>
          <w:bCs/>
          <w:lang w:val="en-GB"/>
        </w:rPr>
        <w:t xml:space="preserve">also </w:t>
      </w:r>
      <w:r w:rsidRPr="001767D8">
        <w:rPr>
          <w:bCs/>
          <w:lang w:val="en-GB"/>
        </w:rPr>
        <w:t>noted that the</w:t>
      </w:r>
      <w:r>
        <w:rPr>
          <w:bCs/>
          <w:lang w:val="en-GB"/>
        </w:rPr>
        <w:t xml:space="preserve"> model was sensitive to the time horizon. As there was considerable uncertainty between flares and ocular complications, the PBAC did not consider the </w:t>
      </w:r>
      <w:r w:rsidR="009268CF">
        <w:rPr>
          <w:bCs/>
          <w:lang w:val="en-GB"/>
        </w:rPr>
        <w:t>lifetime</w:t>
      </w:r>
      <w:r>
        <w:rPr>
          <w:bCs/>
          <w:lang w:val="en-GB"/>
        </w:rPr>
        <w:t xml:space="preserve"> time horizon appropriate</w:t>
      </w:r>
      <w:r w:rsidR="00E23791">
        <w:rPr>
          <w:bCs/>
          <w:lang w:val="en-GB"/>
        </w:rPr>
        <w:t xml:space="preserve"> and </w:t>
      </w:r>
      <w:r w:rsidR="009268CF">
        <w:rPr>
          <w:bCs/>
          <w:lang w:val="en-GB"/>
        </w:rPr>
        <w:t>that</w:t>
      </w:r>
      <w:r w:rsidR="00E23791">
        <w:rPr>
          <w:bCs/>
          <w:lang w:val="en-GB"/>
        </w:rPr>
        <w:t xml:space="preserve"> it significantly overestimated the cost effectiveness of </w:t>
      </w:r>
      <w:proofErr w:type="spellStart"/>
      <w:r w:rsidR="00E23791">
        <w:rPr>
          <w:bCs/>
          <w:lang w:val="en-GB"/>
        </w:rPr>
        <w:t>adalimumab</w:t>
      </w:r>
      <w:proofErr w:type="spellEnd"/>
      <w:r>
        <w:rPr>
          <w:bCs/>
          <w:lang w:val="en-GB"/>
        </w:rPr>
        <w:t xml:space="preserve">. The PBAC suggested </w:t>
      </w:r>
      <w:r w:rsidR="00DA78F3">
        <w:rPr>
          <w:bCs/>
          <w:lang w:val="en-GB"/>
        </w:rPr>
        <w:t>important</w:t>
      </w:r>
      <w:r w:rsidR="00FD52DB">
        <w:rPr>
          <w:bCs/>
          <w:lang w:val="en-GB"/>
        </w:rPr>
        <w:t xml:space="preserve"> </w:t>
      </w:r>
      <w:r w:rsidR="00DA78F3">
        <w:rPr>
          <w:bCs/>
          <w:lang w:val="en-GB"/>
        </w:rPr>
        <w:t xml:space="preserve">differences </w:t>
      </w:r>
      <w:r w:rsidR="00DA78F3" w:rsidRPr="00DA78F3">
        <w:rPr>
          <w:bCs/>
          <w:lang w:val="en-GB"/>
        </w:rPr>
        <w:t xml:space="preserve">in costs and outcomes </w:t>
      </w:r>
      <w:r w:rsidR="00FD52DB">
        <w:rPr>
          <w:bCs/>
          <w:lang w:val="en-GB"/>
        </w:rPr>
        <w:t>w</w:t>
      </w:r>
      <w:r w:rsidR="00DA78F3">
        <w:rPr>
          <w:bCs/>
          <w:lang w:val="en-GB"/>
        </w:rPr>
        <w:t>ould</w:t>
      </w:r>
      <w:r w:rsidR="00FD52DB">
        <w:rPr>
          <w:bCs/>
          <w:lang w:val="en-GB"/>
        </w:rPr>
        <w:t xml:space="preserve"> be captured in a </w:t>
      </w:r>
      <w:r>
        <w:rPr>
          <w:bCs/>
          <w:lang w:val="en-GB"/>
        </w:rPr>
        <w:t xml:space="preserve">10 year time horizon </w:t>
      </w:r>
      <w:r w:rsidR="00DA78F3">
        <w:rPr>
          <w:bCs/>
          <w:lang w:val="en-GB"/>
        </w:rPr>
        <w:t xml:space="preserve">given majority of ocular complications are expected to occur within 2–5 years. </w:t>
      </w:r>
    </w:p>
    <w:p w:rsidR="00A01503" w:rsidRDefault="00A01503" w:rsidP="00A01503">
      <w:pPr>
        <w:pStyle w:val="ListParagraph"/>
        <w:rPr>
          <w:bCs/>
          <w:lang w:val="en-GB"/>
        </w:rPr>
      </w:pPr>
    </w:p>
    <w:p w:rsidR="00A01503" w:rsidRDefault="00A01503" w:rsidP="00A37C7C">
      <w:pPr>
        <w:numPr>
          <w:ilvl w:val="1"/>
          <w:numId w:val="3"/>
        </w:numPr>
        <w:rPr>
          <w:bCs/>
          <w:lang w:val="en-GB"/>
        </w:rPr>
      </w:pPr>
      <w:r>
        <w:rPr>
          <w:bCs/>
          <w:lang w:val="en-GB"/>
        </w:rPr>
        <w:t xml:space="preserve">The PBAC considered </w:t>
      </w:r>
      <w:r w:rsidR="00942FB0">
        <w:rPr>
          <w:bCs/>
          <w:lang w:val="en-GB"/>
        </w:rPr>
        <w:t xml:space="preserve">the model </w:t>
      </w:r>
      <w:r w:rsidR="00E50FFB">
        <w:rPr>
          <w:bCs/>
          <w:lang w:val="en-GB"/>
        </w:rPr>
        <w:t>should include</w:t>
      </w:r>
      <w:r w:rsidR="00942FB0">
        <w:rPr>
          <w:bCs/>
          <w:lang w:val="en-GB"/>
        </w:rPr>
        <w:t xml:space="preserve"> the </w:t>
      </w:r>
      <w:r w:rsidR="009268CF">
        <w:rPr>
          <w:bCs/>
          <w:lang w:val="en-GB"/>
        </w:rPr>
        <w:t xml:space="preserve">both the </w:t>
      </w:r>
      <w:r w:rsidR="00942FB0">
        <w:rPr>
          <w:bCs/>
          <w:lang w:val="en-GB"/>
        </w:rPr>
        <w:t xml:space="preserve">benefits and harms of </w:t>
      </w:r>
      <w:r w:rsidR="009268CF">
        <w:rPr>
          <w:bCs/>
          <w:lang w:val="en-GB"/>
        </w:rPr>
        <w:t>corticosteroid</w:t>
      </w:r>
      <w:r w:rsidR="00942FB0">
        <w:rPr>
          <w:bCs/>
          <w:lang w:val="en-GB"/>
        </w:rPr>
        <w:t xml:space="preserve"> use. </w:t>
      </w:r>
      <w:r w:rsidR="007B3D3A">
        <w:rPr>
          <w:bCs/>
          <w:lang w:val="en-GB"/>
        </w:rPr>
        <w:t>The</w:t>
      </w:r>
      <w:r>
        <w:rPr>
          <w:bCs/>
          <w:lang w:val="en-GB"/>
        </w:rPr>
        <w:t xml:space="preserve"> adverse events </w:t>
      </w:r>
      <w:r w:rsidR="00942FB0">
        <w:rPr>
          <w:bCs/>
          <w:lang w:val="en-GB"/>
        </w:rPr>
        <w:t xml:space="preserve">of </w:t>
      </w:r>
      <w:proofErr w:type="spellStart"/>
      <w:r w:rsidR="00942FB0">
        <w:rPr>
          <w:bCs/>
          <w:lang w:val="en-GB"/>
        </w:rPr>
        <w:t>adalimumab</w:t>
      </w:r>
      <w:proofErr w:type="spellEnd"/>
      <w:r w:rsidR="00942FB0">
        <w:rPr>
          <w:bCs/>
          <w:lang w:val="en-GB"/>
        </w:rPr>
        <w:t xml:space="preserve"> </w:t>
      </w:r>
      <w:r w:rsidR="007B3D3A">
        <w:rPr>
          <w:bCs/>
          <w:lang w:val="en-GB"/>
        </w:rPr>
        <w:t>also need to be included in</w:t>
      </w:r>
      <w:r>
        <w:rPr>
          <w:bCs/>
          <w:lang w:val="en-GB"/>
        </w:rPr>
        <w:t xml:space="preserve"> the model.</w:t>
      </w:r>
      <w:r w:rsidR="007B3D3A">
        <w:rPr>
          <w:bCs/>
          <w:lang w:val="en-GB"/>
        </w:rPr>
        <w:t xml:space="preserve"> </w:t>
      </w:r>
    </w:p>
    <w:p w:rsidR="00F11546" w:rsidRDefault="00F11546" w:rsidP="00F11546">
      <w:pPr>
        <w:pStyle w:val="ListParagraph"/>
        <w:rPr>
          <w:bCs/>
          <w:lang w:val="en-GB"/>
        </w:rPr>
      </w:pPr>
    </w:p>
    <w:p w:rsidR="0074251C" w:rsidRDefault="0074251C" w:rsidP="0074251C">
      <w:pPr>
        <w:numPr>
          <w:ilvl w:val="1"/>
          <w:numId w:val="3"/>
        </w:numPr>
        <w:rPr>
          <w:bCs/>
          <w:lang w:val="en-GB"/>
        </w:rPr>
      </w:pPr>
      <w:r w:rsidRPr="0074251C">
        <w:rPr>
          <w:bCs/>
          <w:lang w:val="en-GB"/>
        </w:rPr>
        <w:t xml:space="preserve">The PBAC </w:t>
      </w:r>
      <w:r w:rsidR="00082EF5">
        <w:rPr>
          <w:bCs/>
          <w:lang w:val="en-GB"/>
        </w:rPr>
        <w:t>acknowledged</w:t>
      </w:r>
      <w:r w:rsidRPr="0074251C">
        <w:rPr>
          <w:bCs/>
          <w:lang w:val="en-GB"/>
        </w:rPr>
        <w:t xml:space="preserve"> that there is a clinical place for </w:t>
      </w:r>
      <w:proofErr w:type="spellStart"/>
      <w:r w:rsidRPr="0074251C">
        <w:rPr>
          <w:bCs/>
          <w:lang w:val="en-GB"/>
        </w:rPr>
        <w:t>adalimumab</w:t>
      </w:r>
      <w:proofErr w:type="spellEnd"/>
      <w:r w:rsidRPr="0074251C">
        <w:rPr>
          <w:bCs/>
          <w:lang w:val="en-GB"/>
        </w:rPr>
        <w:t xml:space="preserve"> for the treatment of </w:t>
      </w:r>
      <w:r w:rsidRPr="0074251C">
        <w:t xml:space="preserve">non-infectious intermediate, posterior or </w:t>
      </w:r>
      <w:proofErr w:type="spellStart"/>
      <w:r w:rsidRPr="0074251C">
        <w:t>panuveitis</w:t>
      </w:r>
      <w:proofErr w:type="spellEnd"/>
      <w:r w:rsidRPr="0074251C">
        <w:rPr>
          <w:bCs/>
          <w:lang w:val="en-GB"/>
        </w:rPr>
        <w:t xml:space="preserve"> and would welcome a major resubmission. The PBAC considered that a major resubmission </w:t>
      </w:r>
      <w:r w:rsidR="00CA600F">
        <w:rPr>
          <w:bCs/>
          <w:lang w:val="en-GB"/>
        </w:rPr>
        <w:t xml:space="preserve">should </w:t>
      </w:r>
      <w:r w:rsidR="007E0FF5">
        <w:rPr>
          <w:bCs/>
          <w:lang w:val="en-GB"/>
        </w:rPr>
        <w:t xml:space="preserve">present </w:t>
      </w:r>
      <w:r w:rsidR="00CA600F">
        <w:rPr>
          <w:bCs/>
          <w:lang w:val="en-GB"/>
        </w:rPr>
        <w:t>a revised economic model which addresses the above concerns, including</w:t>
      </w:r>
      <w:r w:rsidR="008661AA">
        <w:rPr>
          <w:bCs/>
          <w:lang w:val="en-GB"/>
        </w:rPr>
        <w:t xml:space="preserve"> a clearer link between </w:t>
      </w:r>
      <w:proofErr w:type="spellStart"/>
      <w:r w:rsidR="008661AA">
        <w:rPr>
          <w:bCs/>
          <w:lang w:val="en-GB"/>
        </w:rPr>
        <w:t>uveitic</w:t>
      </w:r>
      <w:proofErr w:type="spellEnd"/>
      <w:r w:rsidR="008661AA">
        <w:rPr>
          <w:bCs/>
          <w:lang w:val="en-GB"/>
        </w:rPr>
        <w:t xml:space="preserve"> flares and ocular complic</w:t>
      </w:r>
      <w:r w:rsidR="0028197F">
        <w:rPr>
          <w:bCs/>
          <w:lang w:val="en-GB"/>
        </w:rPr>
        <w:t>ations,</w:t>
      </w:r>
      <w:r w:rsidR="00CA600F">
        <w:rPr>
          <w:bCs/>
          <w:lang w:val="en-GB"/>
        </w:rPr>
        <w:t xml:space="preserve"> </w:t>
      </w:r>
      <w:r w:rsidR="0058358B">
        <w:rPr>
          <w:bCs/>
          <w:lang w:val="en-GB"/>
        </w:rPr>
        <w:t xml:space="preserve">a reduction in flares </w:t>
      </w:r>
      <w:r w:rsidR="0058358B">
        <w:t xml:space="preserve">using the relative risks from both VISUAL I and VISUAL II rather than the most favourable result, </w:t>
      </w:r>
      <w:r w:rsidR="00CA600F">
        <w:rPr>
          <w:bCs/>
          <w:lang w:val="en-GB"/>
        </w:rPr>
        <w:t xml:space="preserve">a more </w:t>
      </w:r>
      <w:r w:rsidR="0058358B">
        <w:rPr>
          <w:bCs/>
          <w:lang w:val="en-GB"/>
        </w:rPr>
        <w:t>plausible</w:t>
      </w:r>
      <w:r w:rsidR="00CA600F">
        <w:rPr>
          <w:bCs/>
          <w:lang w:val="en-GB"/>
        </w:rPr>
        <w:t xml:space="preserve"> </w:t>
      </w:r>
      <w:r w:rsidR="007B3D3A">
        <w:rPr>
          <w:bCs/>
          <w:lang w:val="en-GB"/>
        </w:rPr>
        <w:t>risk</w:t>
      </w:r>
      <w:r w:rsidR="00283351">
        <w:rPr>
          <w:bCs/>
          <w:lang w:val="en-GB"/>
        </w:rPr>
        <w:t xml:space="preserve"> of </w:t>
      </w:r>
      <w:r w:rsidR="000E38E6">
        <w:rPr>
          <w:bCs/>
          <w:lang w:val="en-GB"/>
        </w:rPr>
        <w:t xml:space="preserve">developing </w:t>
      </w:r>
      <w:r w:rsidR="00283351">
        <w:rPr>
          <w:bCs/>
          <w:lang w:val="en-GB"/>
        </w:rPr>
        <w:t>ocular complications</w:t>
      </w:r>
      <w:r w:rsidR="00CA600F">
        <w:rPr>
          <w:bCs/>
          <w:lang w:val="en-GB"/>
        </w:rPr>
        <w:t xml:space="preserve">, a revised time horizon </w:t>
      </w:r>
      <w:r w:rsidR="007B3D3A">
        <w:rPr>
          <w:bCs/>
          <w:lang w:val="en-GB"/>
        </w:rPr>
        <w:t>of</w:t>
      </w:r>
      <w:r w:rsidR="007E0FF5">
        <w:rPr>
          <w:bCs/>
          <w:lang w:val="en-GB"/>
        </w:rPr>
        <w:t xml:space="preserve"> </w:t>
      </w:r>
      <w:r w:rsidRPr="0074251C">
        <w:rPr>
          <w:bCs/>
          <w:lang w:val="en-GB"/>
        </w:rPr>
        <w:t>10 year</w:t>
      </w:r>
      <w:r w:rsidR="007B3D3A">
        <w:rPr>
          <w:bCs/>
          <w:lang w:val="en-GB"/>
        </w:rPr>
        <w:t>s,</w:t>
      </w:r>
      <w:r w:rsidR="00CA600F">
        <w:rPr>
          <w:bCs/>
          <w:lang w:val="en-GB"/>
        </w:rPr>
        <w:t xml:space="preserve"> and </w:t>
      </w:r>
      <w:r w:rsidR="000E38E6">
        <w:rPr>
          <w:bCs/>
          <w:lang w:val="en-GB"/>
        </w:rPr>
        <w:t xml:space="preserve">the </w:t>
      </w:r>
      <w:r w:rsidR="00CA600F">
        <w:rPr>
          <w:bCs/>
          <w:lang w:val="en-GB"/>
        </w:rPr>
        <w:t>inclu</w:t>
      </w:r>
      <w:r w:rsidR="000E38E6">
        <w:rPr>
          <w:bCs/>
          <w:lang w:val="en-GB"/>
        </w:rPr>
        <w:t xml:space="preserve">sion </w:t>
      </w:r>
      <w:r w:rsidR="007B3D3A">
        <w:rPr>
          <w:bCs/>
          <w:lang w:val="en-GB"/>
        </w:rPr>
        <w:t xml:space="preserve">of </w:t>
      </w:r>
      <w:r w:rsidRPr="0074251C">
        <w:rPr>
          <w:bCs/>
          <w:lang w:val="en-GB"/>
        </w:rPr>
        <w:t>adverse events</w:t>
      </w:r>
      <w:r w:rsidR="000E38E6">
        <w:rPr>
          <w:bCs/>
          <w:lang w:val="en-GB"/>
        </w:rPr>
        <w:t xml:space="preserve"> </w:t>
      </w:r>
      <w:r w:rsidR="00C607E9">
        <w:rPr>
          <w:bCs/>
          <w:lang w:val="en-GB"/>
        </w:rPr>
        <w:t xml:space="preserve">of adalimumab and corticosteroid use </w:t>
      </w:r>
      <w:r w:rsidR="000E38E6">
        <w:rPr>
          <w:bCs/>
          <w:lang w:val="en-GB"/>
        </w:rPr>
        <w:t>in the model</w:t>
      </w:r>
      <w:r w:rsidRPr="0074251C">
        <w:rPr>
          <w:bCs/>
          <w:lang w:val="en-GB"/>
        </w:rPr>
        <w:t>.</w:t>
      </w:r>
    </w:p>
    <w:p w:rsidR="00526933" w:rsidRDefault="00526933" w:rsidP="00526933">
      <w:pPr>
        <w:ind w:left="720"/>
        <w:rPr>
          <w:bCs/>
          <w:lang w:val="en-GB"/>
        </w:rPr>
      </w:pPr>
    </w:p>
    <w:p w:rsidR="00526933" w:rsidRPr="0074251C" w:rsidRDefault="00526933" w:rsidP="0074251C">
      <w:pPr>
        <w:numPr>
          <w:ilvl w:val="1"/>
          <w:numId w:val="3"/>
        </w:numPr>
        <w:rPr>
          <w:bCs/>
          <w:lang w:val="en-GB"/>
        </w:rPr>
      </w:pPr>
      <w:r>
        <w:rPr>
          <w:bCs/>
          <w:lang w:val="en-GB"/>
        </w:rPr>
        <w:t>The PBAC noted the DUSC concerns regarding the patient numbers and re-treatment</w:t>
      </w:r>
      <w:r w:rsidR="008152AC">
        <w:rPr>
          <w:bCs/>
          <w:lang w:val="en-GB"/>
        </w:rPr>
        <w:t>.</w:t>
      </w:r>
      <w:r>
        <w:rPr>
          <w:bCs/>
          <w:lang w:val="en-GB"/>
        </w:rPr>
        <w:t xml:space="preserve"> </w:t>
      </w:r>
      <w:r w:rsidR="008152AC">
        <w:rPr>
          <w:bCs/>
          <w:lang w:val="en-GB"/>
        </w:rPr>
        <w:t>C</w:t>
      </w:r>
      <w:r>
        <w:rPr>
          <w:bCs/>
          <w:lang w:val="en-GB"/>
        </w:rPr>
        <w:t xml:space="preserve">ombined with overall uncertainty in the cost-effectiveness of use, </w:t>
      </w:r>
      <w:r w:rsidR="006E52E1">
        <w:rPr>
          <w:bCs/>
          <w:lang w:val="en-GB"/>
        </w:rPr>
        <w:t>t</w:t>
      </w:r>
      <w:r w:rsidR="008152AC">
        <w:rPr>
          <w:bCs/>
          <w:lang w:val="en-GB"/>
        </w:rPr>
        <w:t xml:space="preserve">he PBAC </w:t>
      </w:r>
      <w:r>
        <w:rPr>
          <w:bCs/>
          <w:lang w:val="en-GB"/>
        </w:rPr>
        <w:t>considered a risk share arrangement should include revised financial estimates and a 100% rebate above the agreed cap.</w:t>
      </w:r>
    </w:p>
    <w:p w:rsidR="00A37C7C" w:rsidRPr="00926304" w:rsidRDefault="00A37C7C" w:rsidP="00A37C7C">
      <w:pPr>
        <w:rPr>
          <w:bCs/>
          <w:lang w:val="en-GB"/>
        </w:rPr>
      </w:pPr>
    </w:p>
    <w:p w:rsidR="00A37C7C" w:rsidRPr="00926304" w:rsidRDefault="00A37C7C" w:rsidP="00794B68">
      <w:pPr>
        <w:numPr>
          <w:ilvl w:val="1"/>
          <w:numId w:val="3"/>
        </w:numPr>
        <w:rPr>
          <w:b/>
          <w:bCs/>
          <w:lang w:val="en-GB"/>
        </w:rPr>
      </w:pPr>
      <w:r w:rsidRPr="00926304">
        <w:rPr>
          <w:bCs/>
          <w:lang w:val="en-GB"/>
        </w:rPr>
        <w:t>The PBAC noted that this submission is eligible for an Independent Review</w:t>
      </w:r>
      <w:r w:rsidR="00117231" w:rsidRPr="00926304">
        <w:rPr>
          <w:bCs/>
          <w:lang w:val="en-GB"/>
        </w:rPr>
        <w:t xml:space="preserve"> because </w:t>
      </w:r>
      <w:r w:rsidR="003A1921">
        <w:rPr>
          <w:bCs/>
          <w:lang w:val="en-GB"/>
        </w:rPr>
        <w:t>the</w:t>
      </w:r>
      <w:r w:rsidR="00117231" w:rsidRPr="00926304">
        <w:rPr>
          <w:bCs/>
          <w:lang w:val="en-GB"/>
        </w:rPr>
        <w:t xml:space="preserve"> </w:t>
      </w:r>
      <w:r w:rsidR="00DB4736" w:rsidRPr="00926304">
        <w:rPr>
          <w:bCs/>
          <w:lang w:val="en-GB"/>
        </w:rPr>
        <w:t>submission</w:t>
      </w:r>
      <w:r w:rsidR="00117231" w:rsidRPr="00926304">
        <w:rPr>
          <w:bCs/>
          <w:lang w:val="en-GB"/>
        </w:rPr>
        <w:t xml:space="preserve"> was a request to change a</w:t>
      </w:r>
      <w:r w:rsidR="00DB4736" w:rsidRPr="00926304">
        <w:rPr>
          <w:bCs/>
          <w:lang w:val="en-GB"/>
        </w:rPr>
        <w:t>n existing</w:t>
      </w:r>
      <w:r w:rsidR="00117231" w:rsidRPr="00926304">
        <w:rPr>
          <w:bCs/>
          <w:lang w:val="en-GB"/>
        </w:rPr>
        <w:t xml:space="preserve"> listing</w:t>
      </w:r>
      <w:r w:rsidR="00DB4736" w:rsidRPr="00926304">
        <w:rPr>
          <w:bCs/>
          <w:lang w:val="en-GB"/>
        </w:rPr>
        <w:t xml:space="preserve"> for different disease or condition than the disease or condition for which the medicine is already subsidised</w:t>
      </w:r>
      <w:r w:rsidRPr="00926304">
        <w:rPr>
          <w:bCs/>
          <w:lang w:val="en-GB"/>
        </w:rPr>
        <w:t xml:space="preserve">. </w:t>
      </w:r>
    </w:p>
    <w:p w:rsidR="00794B68" w:rsidRPr="00926304" w:rsidRDefault="00794B68" w:rsidP="00A37C7C">
      <w:pPr>
        <w:rPr>
          <w:b/>
          <w:bCs/>
          <w:lang w:val="en-GB"/>
        </w:rPr>
      </w:pPr>
    </w:p>
    <w:p w:rsidR="00A37C7C" w:rsidRPr="00926304" w:rsidRDefault="00A37C7C" w:rsidP="00A37C7C">
      <w:pPr>
        <w:rPr>
          <w:b/>
          <w:bCs/>
          <w:lang w:val="en-GB"/>
        </w:rPr>
      </w:pPr>
      <w:r w:rsidRPr="00926304">
        <w:rPr>
          <w:b/>
          <w:bCs/>
          <w:lang w:val="en-GB"/>
        </w:rPr>
        <w:t>Outcome:</w:t>
      </w:r>
    </w:p>
    <w:p w:rsidR="00A37C7C" w:rsidRPr="00926304" w:rsidRDefault="00A37C7C" w:rsidP="00A37C7C">
      <w:pPr>
        <w:rPr>
          <w:bCs/>
          <w:lang w:val="en-GB"/>
        </w:rPr>
      </w:pPr>
      <w:r w:rsidRPr="00926304">
        <w:rPr>
          <w:bCs/>
          <w:lang w:val="en-GB"/>
        </w:rPr>
        <w:t>Rejected</w:t>
      </w:r>
    </w:p>
    <w:p w:rsidR="00A37C7C" w:rsidRDefault="00A37C7C" w:rsidP="00A37C7C">
      <w:pPr>
        <w:rPr>
          <w:bCs/>
          <w:lang w:val="en-GB"/>
        </w:rPr>
      </w:pPr>
    </w:p>
    <w:p w:rsidR="006B7992" w:rsidRDefault="006B7992" w:rsidP="00A37C7C">
      <w:pPr>
        <w:rPr>
          <w:bCs/>
          <w:lang w:val="en-GB"/>
        </w:rPr>
      </w:pPr>
    </w:p>
    <w:p w:rsidR="00B75F2C" w:rsidRDefault="00B75F2C" w:rsidP="00B75F2C">
      <w:pPr>
        <w:pStyle w:val="PBACHeading1"/>
        <w:ind w:left="709" w:hanging="709"/>
      </w:pPr>
      <w:r w:rsidRPr="00485DD3">
        <w:t>Context for Decision</w:t>
      </w:r>
    </w:p>
    <w:p w:rsidR="00B75F2C" w:rsidRDefault="00B75F2C" w:rsidP="00B75F2C">
      <w:pPr>
        <w:ind w:left="709"/>
      </w:pPr>
    </w:p>
    <w:p w:rsidR="00B75F2C" w:rsidRDefault="00B75F2C" w:rsidP="00B75F2C">
      <w:pPr>
        <w:ind w:left="709"/>
      </w:pPr>
      <w:r w:rsidRPr="004304F6">
        <w:t xml:space="preserve">The PBAC helps decide whether and, if so, how medicines should be subsidised in Australia. It considers submissions in this context. A PBAC decision not to </w:t>
      </w:r>
      <w:r w:rsidRPr="004304F6">
        <w:lastRenderedPageBreak/>
        <w:t>recommend listing or not to recommend changing a listing does not represent a final PBAC view about the merits of the medicine. A company can resubmit to the PBAC or seek independent review of the PBAC decision.</w:t>
      </w:r>
    </w:p>
    <w:p w:rsidR="00B75F2C" w:rsidRDefault="00B75F2C" w:rsidP="00B75F2C">
      <w:pPr>
        <w:ind w:left="709"/>
      </w:pPr>
    </w:p>
    <w:p w:rsidR="00B75F2C" w:rsidRDefault="00B75F2C" w:rsidP="00B75F2C">
      <w:pPr>
        <w:ind w:left="709"/>
      </w:pPr>
    </w:p>
    <w:p w:rsidR="00B75F2C" w:rsidRPr="00B0280B" w:rsidRDefault="00B75F2C" w:rsidP="00B75F2C">
      <w:pPr>
        <w:pStyle w:val="PBACHeading1"/>
        <w:ind w:left="709" w:hanging="709"/>
      </w:pPr>
      <w:r w:rsidRPr="00485DD3">
        <w:t>Sponsor’s Comment</w:t>
      </w:r>
    </w:p>
    <w:p w:rsidR="00B75F2C" w:rsidRDefault="00B75F2C" w:rsidP="00B75F2C">
      <w:pPr>
        <w:ind w:left="709"/>
        <w:rPr>
          <w:bCs/>
          <w:highlight w:val="yellow"/>
          <w:lang w:val="en-GB"/>
        </w:rPr>
      </w:pPr>
    </w:p>
    <w:p w:rsidR="0046680A" w:rsidRDefault="0046680A" w:rsidP="0046680A">
      <w:pPr>
        <w:spacing w:after="120"/>
        <w:ind w:left="709"/>
      </w:pPr>
      <w:r w:rsidRPr="001C1D5B">
        <w:t>AbbVie welcomes the PBAC’s acknowledgement of the unmet clinical need for an effective treatment for patients with non-infectious intermediate, posterior or pan-</w:t>
      </w:r>
      <w:proofErr w:type="gramStart"/>
      <w:r w:rsidRPr="001C1D5B">
        <w:t>uveitis,</w:t>
      </w:r>
      <w:proofErr w:type="gramEnd"/>
      <w:r w:rsidRPr="001C1D5B">
        <w:t xml:space="preserve"> however is disappointed in the PBAC’s decision to reject the adalimumab submission for this condition</w:t>
      </w:r>
      <w:r>
        <w:t xml:space="preserve">. </w:t>
      </w:r>
    </w:p>
    <w:p w:rsidR="003D4866" w:rsidRPr="004F4F38" w:rsidRDefault="003D4866" w:rsidP="003D4866">
      <w:pPr>
        <w:spacing w:after="120"/>
        <w:ind w:left="709"/>
      </w:pPr>
      <w:r w:rsidRPr="004F4F38">
        <w:t>In response to PBAC’s view noted in section 6.21 and 7.9: “It is possible that there is an increased risk of demyelinating illness when adalimumab is used for uveitis”, Abb</w:t>
      </w:r>
      <w:r>
        <w:t>V</w:t>
      </w:r>
      <w:r w:rsidRPr="004F4F38">
        <w:t>ie highlights that the association is with the disease rather than the treatment as stated in the TGA approved adalimumab product information “There is a known association between intermediate uveitis and central demyelinating disorders.”</w:t>
      </w:r>
    </w:p>
    <w:p w:rsidR="003D4866" w:rsidRPr="001C1D5B" w:rsidRDefault="003D4866" w:rsidP="0046680A">
      <w:pPr>
        <w:spacing w:after="120"/>
        <w:ind w:left="709"/>
      </w:pPr>
    </w:p>
    <w:p w:rsidR="00B06A53" w:rsidRPr="00B06A53" w:rsidRDefault="00B06A53" w:rsidP="0046680A">
      <w:pPr>
        <w:spacing w:after="120"/>
        <w:ind w:left="709"/>
        <w:rPr>
          <w:b/>
          <w:i/>
          <w:szCs w:val="22"/>
        </w:rPr>
      </w:pPr>
    </w:p>
    <w:sectPr w:rsidR="00B06A53" w:rsidRPr="00B06A53" w:rsidSect="00B06A5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036E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E2" w:rsidRDefault="000E36E2" w:rsidP="00124A51">
      <w:r>
        <w:separator/>
      </w:r>
    </w:p>
  </w:endnote>
  <w:endnote w:type="continuationSeparator" w:id="0">
    <w:p w:rsidR="000E36E2" w:rsidRDefault="000E36E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E2" w:rsidRDefault="000E3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66" w:rsidRPr="00D13A3E" w:rsidRDefault="003D4866" w:rsidP="00015886">
    <w:pPr>
      <w:ind w:right="360"/>
      <w:jc w:val="center"/>
      <w:rPr>
        <w:b/>
        <w:sz w:val="20"/>
      </w:rPr>
    </w:pPr>
  </w:p>
  <w:p w:rsidR="003D4866" w:rsidRPr="0064714F" w:rsidRDefault="003D4866" w:rsidP="0064714F">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8A76EE">
      <w:rPr>
        <w:noProof/>
        <w:sz w:val="20"/>
      </w:rPr>
      <w:t>2</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E2" w:rsidRDefault="000E3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E2" w:rsidRDefault="000E36E2" w:rsidP="00124A51">
      <w:r>
        <w:separator/>
      </w:r>
    </w:p>
  </w:footnote>
  <w:footnote w:type="continuationSeparator" w:id="0">
    <w:p w:rsidR="000E36E2" w:rsidRDefault="000E36E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E2" w:rsidRDefault="000E3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66" w:rsidRPr="00DF217D" w:rsidRDefault="003D4866" w:rsidP="00B75F2C">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3D4866" w:rsidRPr="008C7ECB" w:rsidRDefault="003D48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E2" w:rsidRDefault="000E3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C6082A"/>
    <w:multiLevelType w:val="hybridMultilevel"/>
    <w:tmpl w:val="C818F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F45D38"/>
    <w:multiLevelType w:val="hybridMultilevel"/>
    <w:tmpl w:val="7F2ADA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4D1B0D"/>
    <w:multiLevelType w:val="hybridMultilevel"/>
    <w:tmpl w:val="F4922D20"/>
    <w:lvl w:ilvl="0" w:tplc="A9AA8CF8">
      <w:start w:val="1"/>
      <w:numFmt w:val="bullet"/>
      <w:lvlText w:val="•"/>
      <w:lvlJc w:val="left"/>
      <w:pPr>
        <w:tabs>
          <w:tab w:val="num" w:pos="720"/>
        </w:tabs>
        <w:ind w:left="720" w:hanging="360"/>
      </w:pPr>
      <w:rPr>
        <w:rFonts w:ascii="Arial" w:hAnsi="Arial" w:hint="default"/>
      </w:rPr>
    </w:lvl>
    <w:lvl w:ilvl="1" w:tplc="85660130" w:tentative="1">
      <w:start w:val="1"/>
      <w:numFmt w:val="bullet"/>
      <w:lvlText w:val="•"/>
      <w:lvlJc w:val="left"/>
      <w:pPr>
        <w:tabs>
          <w:tab w:val="num" w:pos="1440"/>
        </w:tabs>
        <w:ind w:left="1440" w:hanging="360"/>
      </w:pPr>
      <w:rPr>
        <w:rFonts w:ascii="Arial" w:hAnsi="Arial" w:hint="default"/>
      </w:rPr>
    </w:lvl>
    <w:lvl w:ilvl="2" w:tplc="D2A2062E" w:tentative="1">
      <w:start w:val="1"/>
      <w:numFmt w:val="bullet"/>
      <w:lvlText w:val="•"/>
      <w:lvlJc w:val="left"/>
      <w:pPr>
        <w:tabs>
          <w:tab w:val="num" w:pos="2160"/>
        </w:tabs>
        <w:ind w:left="2160" w:hanging="360"/>
      </w:pPr>
      <w:rPr>
        <w:rFonts w:ascii="Arial" w:hAnsi="Arial" w:hint="default"/>
      </w:rPr>
    </w:lvl>
    <w:lvl w:ilvl="3" w:tplc="6EC86D82" w:tentative="1">
      <w:start w:val="1"/>
      <w:numFmt w:val="bullet"/>
      <w:lvlText w:val="•"/>
      <w:lvlJc w:val="left"/>
      <w:pPr>
        <w:tabs>
          <w:tab w:val="num" w:pos="2880"/>
        </w:tabs>
        <w:ind w:left="2880" w:hanging="360"/>
      </w:pPr>
      <w:rPr>
        <w:rFonts w:ascii="Arial" w:hAnsi="Arial" w:hint="default"/>
      </w:rPr>
    </w:lvl>
    <w:lvl w:ilvl="4" w:tplc="AB4CF64E" w:tentative="1">
      <w:start w:val="1"/>
      <w:numFmt w:val="bullet"/>
      <w:lvlText w:val="•"/>
      <w:lvlJc w:val="left"/>
      <w:pPr>
        <w:tabs>
          <w:tab w:val="num" w:pos="3600"/>
        </w:tabs>
        <w:ind w:left="3600" w:hanging="360"/>
      </w:pPr>
      <w:rPr>
        <w:rFonts w:ascii="Arial" w:hAnsi="Arial" w:hint="default"/>
      </w:rPr>
    </w:lvl>
    <w:lvl w:ilvl="5" w:tplc="9E7221FA" w:tentative="1">
      <w:start w:val="1"/>
      <w:numFmt w:val="bullet"/>
      <w:lvlText w:val="•"/>
      <w:lvlJc w:val="left"/>
      <w:pPr>
        <w:tabs>
          <w:tab w:val="num" w:pos="4320"/>
        </w:tabs>
        <w:ind w:left="4320" w:hanging="360"/>
      </w:pPr>
      <w:rPr>
        <w:rFonts w:ascii="Arial" w:hAnsi="Arial" w:hint="default"/>
      </w:rPr>
    </w:lvl>
    <w:lvl w:ilvl="6" w:tplc="DB1C481C" w:tentative="1">
      <w:start w:val="1"/>
      <w:numFmt w:val="bullet"/>
      <w:lvlText w:val="•"/>
      <w:lvlJc w:val="left"/>
      <w:pPr>
        <w:tabs>
          <w:tab w:val="num" w:pos="5040"/>
        </w:tabs>
        <w:ind w:left="5040" w:hanging="360"/>
      </w:pPr>
      <w:rPr>
        <w:rFonts w:ascii="Arial" w:hAnsi="Arial" w:hint="default"/>
      </w:rPr>
    </w:lvl>
    <w:lvl w:ilvl="7" w:tplc="CDDC0EE8" w:tentative="1">
      <w:start w:val="1"/>
      <w:numFmt w:val="bullet"/>
      <w:lvlText w:val="•"/>
      <w:lvlJc w:val="left"/>
      <w:pPr>
        <w:tabs>
          <w:tab w:val="num" w:pos="5760"/>
        </w:tabs>
        <w:ind w:left="5760" w:hanging="360"/>
      </w:pPr>
      <w:rPr>
        <w:rFonts w:ascii="Arial" w:hAnsi="Arial" w:hint="default"/>
      </w:rPr>
    </w:lvl>
    <w:lvl w:ilvl="8" w:tplc="4A4A7224" w:tentative="1">
      <w:start w:val="1"/>
      <w:numFmt w:val="bullet"/>
      <w:lvlText w:val="•"/>
      <w:lvlJc w:val="left"/>
      <w:pPr>
        <w:tabs>
          <w:tab w:val="num" w:pos="6480"/>
        </w:tabs>
        <w:ind w:left="6480" w:hanging="360"/>
      </w:pPr>
      <w:rPr>
        <w:rFonts w:ascii="Arial" w:hAnsi="Arial"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65562D"/>
    <w:multiLevelType w:val="hybridMultilevel"/>
    <w:tmpl w:val="8AAC71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5BD1FDD"/>
    <w:multiLevelType w:val="hybridMultilevel"/>
    <w:tmpl w:val="3B047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EF67DA"/>
    <w:multiLevelType w:val="hybridMultilevel"/>
    <w:tmpl w:val="C046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1B2495"/>
    <w:multiLevelType w:val="hybridMultilevel"/>
    <w:tmpl w:val="563A4A64"/>
    <w:lvl w:ilvl="0" w:tplc="0C090017">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nsid w:val="28E93BD1"/>
    <w:multiLevelType w:val="hybridMultilevel"/>
    <w:tmpl w:val="05AE3E60"/>
    <w:lvl w:ilvl="0" w:tplc="6FF451FE">
      <w:start w:val="1"/>
      <w:numFmt w:val="lowerRoman"/>
      <w:lvlText w:val="(%1)"/>
      <w:lvlJc w:val="left"/>
      <w:pPr>
        <w:ind w:left="1710" w:hanging="9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99D1410"/>
    <w:multiLevelType w:val="hybridMultilevel"/>
    <w:tmpl w:val="32241424"/>
    <w:lvl w:ilvl="0" w:tplc="AA4EF1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A171B6"/>
    <w:multiLevelType w:val="hybridMultilevel"/>
    <w:tmpl w:val="3CBC6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846925"/>
    <w:multiLevelType w:val="hybridMultilevel"/>
    <w:tmpl w:val="6602B638"/>
    <w:lvl w:ilvl="0" w:tplc="EBDE4B2C">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4">
    <w:nsid w:val="34920957"/>
    <w:multiLevelType w:val="hybridMultilevel"/>
    <w:tmpl w:val="FE76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5C64E4"/>
    <w:multiLevelType w:val="hybridMultilevel"/>
    <w:tmpl w:val="7B68D16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AC7524"/>
    <w:multiLevelType w:val="hybridMultilevel"/>
    <w:tmpl w:val="51243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419F2ED2"/>
    <w:multiLevelType w:val="hybridMultilevel"/>
    <w:tmpl w:val="C75208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5202CED"/>
    <w:multiLevelType w:val="hybridMultilevel"/>
    <w:tmpl w:val="5FEC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4A9C02C4"/>
    <w:multiLevelType w:val="hybridMultilevel"/>
    <w:tmpl w:val="932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427367"/>
    <w:multiLevelType w:val="hybridMultilevel"/>
    <w:tmpl w:val="274292A6"/>
    <w:lvl w:ilvl="0" w:tplc="7B586E08">
      <w:start w:val="1"/>
      <w:numFmt w:val="bullet"/>
      <w:lvlText w:val="•"/>
      <w:lvlJc w:val="left"/>
      <w:pPr>
        <w:tabs>
          <w:tab w:val="num" w:pos="720"/>
        </w:tabs>
        <w:ind w:left="720" w:hanging="360"/>
      </w:pPr>
      <w:rPr>
        <w:rFonts w:ascii="Arial" w:hAnsi="Arial" w:hint="default"/>
      </w:rPr>
    </w:lvl>
    <w:lvl w:ilvl="1" w:tplc="90F47CD0">
      <w:start w:val="1"/>
      <w:numFmt w:val="bullet"/>
      <w:lvlText w:val="•"/>
      <w:lvlJc w:val="left"/>
      <w:pPr>
        <w:tabs>
          <w:tab w:val="num" w:pos="1440"/>
        </w:tabs>
        <w:ind w:left="1440" w:hanging="360"/>
      </w:pPr>
      <w:rPr>
        <w:rFonts w:ascii="Arial" w:hAnsi="Arial" w:hint="default"/>
      </w:rPr>
    </w:lvl>
    <w:lvl w:ilvl="2" w:tplc="D9566628" w:tentative="1">
      <w:start w:val="1"/>
      <w:numFmt w:val="bullet"/>
      <w:lvlText w:val="•"/>
      <w:lvlJc w:val="left"/>
      <w:pPr>
        <w:tabs>
          <w:tab w:val="num" w:pos="2160"/>
        </w:tabs>
        <w:ind w:left="2160" w:hanging="360"/>
      </w:pPr>
      <w:rPr>
        <w:rFonts w:ascii="Arial" w:hAnsi="Arial" w:hint="default"/>
      </w:rPr>
    </w:lvl>
    <w:lvl w:ilvl="3" w:tplc="AC1EADBC" w:tentative="1">
      <w:start w:val="1"/>
      <w:numFmt w:val="bullet"/>
      <w:lvlText w:val="•"/>
      <w:lvlJc w:val="left"/>
      <w:pPr>
        <w:tabs>
          <w:tab w:val="num" w:pos="2880"/>
        </w:tabs>
        <w:ind w:left="2880" w:hanging="360"/>
      </w:pPr>
      <w:rPr>
        <w:rFonts w:ascii="Arial" w:hAnsi="Arial" w:hint="default"/>
      </w:rPr>
    </w:lvl>
    <w:lvl w:ilvl="4" w:tplc="9502DBE2" w:tentative="1">
      <w:start w:val="1"/>
      <w:numFmt w:val="bullet"/>
      <w:lvlText w:val="•"/>
      <w:lvlJc w:val="left"/>
      <w:pPr>
        <w:tabs>
          <w:tab w:val="num" w:pos="3600"/>
        </w:tabs>
        <w:ind w:left="3600" w:hanging="360"/>
      </w:pPr>
      <w:rPr>
        <w:rFonts w:ascii="Arial" w:hAnsi="Arial" w:hint="default"/>
      </w:rPr>
    </w:lvl>
    <w:lvl w:ilvl="5" w:tplc="248203AC" w:tentative="1">
      <w:start w:val="1"/>
      <w:numFmt w:val="bullet"/>
      <w:lvlText w:val="•"/>
      <w:lvlJc w:val="left"/>
      <w:pPr>
        <w:tabs>
          <w:tab w:val="num" w:pos="4320"/>
        </w:tabs>
        <w:ind w:left="4320" w:hanging="360"/>
      </w:pPr>
      <w:rPr>
        <w:rFonts w:ascii="Arial" w:hAnsi="Arial" w:hint="default"/>
      </w:rPr>
    </w:lvl>
    <w:lvl w:ilvl="6" w:tplc="3AE028FC" w:tentative="1">
      <w:start w:val="1"/>
      <w:numFmt w:val="bullet"/>
      <w:lvlText w:val="•"/>
      <w:lvlJc w:val="left"/>
      <w:pPr>
        <w:tabs>
          <w:tab w:val="num" w:pos="5040"/>
        </w:tabs>
        <w:ind w:left="5040" w:hanging="360"/>
      </w:pPr>
      <w:rPr>
        <w:rFonts w:ascii="Arial" w:hAnsi="Arial" w:hint="default"/>
      </w:rPr>
    </w:lvl>
    <w:lvl w:ilvl="7" w:tplc="8E98031A" w:tentative="1">
      <w:start w:val="1"/>
      <w:numFmt w:val="bullet"/>
      <w:lvlText w:val="•"/>
      <w:lvlJc w:val="left"/>
      <w:pPr>
        <w:tabs>
          <w:tab w:val="num" w:pos="5760"/>
        </w:tabs>
        <w:ind w:left="5760" w:hanging="360"/>
      </w:pPr>
      <w:rPr>
        <w:rFonts w:ascii="Arial" w:hAnsi="Arial" w:hint="default"/>
      </w:rPr>
    </w:lvl>
    <w:lvl w:ilvl="8" w:tplc="7598C652" w:tentative="1">
      <w:start w:val="1"/>
      <w:numFmt w:val="bullet"/>
      <w:lvlText w:val="•"/>
      <w:lvlJc w:val="left"/>
      <w:pPr>
        <w:tabs>
          <w:tab w:val="num" w:pos="6480"/>
        </w:tabs>
        <w:ind w:left="6480" w:hanging="360"/>
      </w:pPr>
      <w:rPr>
        <w:rFonts w:ascii="Arial" w:hAnsi="Arial" w:hint="default"/>
      </w:rPr>
    </w:lvl>
  </w:abstractNum>
  <w:abstractNum w:abstractNumId="23">
    <w:nsid w:val="4C05185B"/>
    <w:multiLevelType w:val="hybridMultilevel"/>
    <w:tmpl w:val="3A0C46A6"/>
    <w:lvl w:ilvl="0" w:tplc="AA424CA6">
      <w:start w:val="1"/>
      <w:numFmt w:val="bullet"/>
      <w:lvlText w:val="•"/>
      <w:lvlJc w:val="left"/>
      <w:pPr>
        <w:tabs>
          <w:tab w:val="num" w:pos="720"/>
        </w:tabs>
        <w:ind w:left="720" w:hanging="360"/>
      </w:pPr>
      <w:rPr>
        <w:rFonts w:ascii="Arial" w:hAnsi="Arial" w:hint="default"/>
      </w:rPr>
    </w:lvl>
    <w:lvl w:ilvl="1" w:tplc="EC9007EA" w:tentative="1">
      <w:start w:val="1"/>
      <w:numFmt w:val="bullet"/>
      <w:lvlText w:val="•"/>
      <w:lvlJc w:val="left"/>
      <w:pPr>
        <w:tabs>
          <w:tab w:val="num" w:pos="1440"/>
        </w:tabs>
        <w:ind w:left="1440" w:hanging="360"/>
      </w:pPr>
      <w:rPr>
        <w:rFonts w:ascii="Arial" w:hAnsi="Arial" w:hint="default"/>
      </w:rPr>
    </w:lvl>
    <w:lvl w:ilvl="2" w:tplc="E67A5D7A" w:tentative="1">
      <w:start w:val="1"/>
      <w:numFmt w:val="bullet"/>
      <w:lvlText w:val="•"/>
      <w:lvlJc w:val="left"/>
      <w:pPr>
        <w:tabs>
          <w:tab w:val="num" w:pos="2160"/>
        </w:tabs>
        <w:ind w:left="2160" w:hanging="360"/>
      </w:pPr>
      <w:rPr>
        <w:rFonts w:ascii="Arial" w:hAnsi="Arial" w:hint="default"/>
      </w:rPr>
    </w:lvl>
    <w:lvl w:ilvl="3" w:tplc="76F6154C" w:tentative="1">
      <w:start w:val="1"/>
      <w:numFmt w:val="bullet"/>
      <w:lvlText w:val="•"/>
      <w:lvlJc w:val="left"/>
      <w:pPr>
        <w:tabs>
          <w:tab w:val="num" w:pos="2880"/>
        </w:tabs>
        <w:ind w:left="2880" w:hanging="360"/>
      </w:pPr>
      <w:rPr>
        <w:rFonts w:ascii="Arial" w:hAnsi="Arial" w:hint="default"/>
      </w:rPr>
    </w:lvl>
    <w:lvl w:ilvl="4" w:tplc="57826CF8" w:tentative="1">
      <w:start w:val="1"/>
      <w:numFmt w:val="bullet"/>
      <w:lvlText w:val="•"/>
      <w:lvlJc w:val="left"/>
      <w:pPr>
        <w:tabs>
          <w:tab w:val="num" w:pos="3600"/>
        </w:tabs>
        <w:ind w:left="3600" w:hanging="360"/>
      </w:pPr>
      <w:rPr>
        <w:rFonts w:ascii="Arial" w:hAnsi="Arial" w:hint="default"/>
      </w:rPr>
    </w:lvl>
    <w:lvl w:ilvl="5" w:tplc="DE26047C" w:tentative="1">
      <w:start w:val="1"/>
      <w:numFmt w:val="bullet"/>
      <w:lvlText w:val="•"/>
      <w:lvlJc w:val="left"/>
      <w:pPr>
        <w:tabs>
          <w:tab w:val="num" w:pos="4320"/>
        </w:tabs>
        <w:ind w:left="4320" w:hanging="360"/>
      </w:pPr>
      <w:rPr>
        <w:rFonts w:ascii="Arial" w:hAnsi="Arial" w:hint="default"/>
      </w:rPr>
    </w:lvl>
    <w:lvl w:ilvl="6" w:tplc="7FCEA186" w:tentative="1">
      <w:start w:val="1"/>
      <w:numFmt w:val="bullet"/>
      <w:lvlText w:val="•"/>
      <w:lvlJc w:val="left"/>
      <w:pPr>
        <w:tabs>
          <w:tab w:val="num" w:pos="5040"/>
        </w:tabs>
        <w:ind w:left="5040" w:hanging="360"/>
      </w:pPr>
      <w:rPr>
        <w:rFonts w:ascii="Arial" w:hAnsi="Arial" w:hint="default"/>
      </w:rPr>
    </w:lvl>
    <w:lvl w:ilvl="7" w:tplc="3336018C" w:tentative="1">
      <w:start w:val="1"/>
      <w:numFmt w:val="bullet"/>
      <w:lvlText w:val="•"/>
      <w:lvlJc w:val="left"/>
      <w:pPr>
        <w:tabs>
          <w:tab w:val="num" w:pos="5760"/>
        </w:tabs>
        <w:ind w:left="5760" w:hanging="360"/>
      </w:pPr>
      <w:rPr>
        <w:rFonts w:ascii="Arial" w:hAnsi="Arial" w:hint="default"/>
      </w:rPr>
    </w:lvl>
    <w:lvl w:ilvl="8" w:tplc="A656CB54" w:tentative="1">
      <w:start w:val="1"/>
      <w:numFmt w:val="bullet"/>
      <w:lvlText w:val="•"/>
      <w:lvlJc w:val="left"/>
      <w:pPr>
        <w:tabs>
          <w:tab w:val="num" w:pos="6480"/>
        </w:tabs>
        <w:ind w:left="6480" w:hanging="360"/>
      </w:pPr>
      <w:rPr>
        <w:rFonts w:ascii="Arial" w:hAnsi="Arial" w:hint="default"/>
      </w:rPr>
    </w:lvl>
  </w:abstractNum>
  <w:abstractNum w:abstractNumId="24">
    <w:nsid w:val="4D5C00DC"/>
    <w:multiLevelType w:val="hybridMultilevel"/>
    <w:tmpl w:val="563A4A64"/>
    <w:lvl w:ilvl="0" w:tplc="0C090017">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nsid w:val="51C705A7"/>
    <w:multiLevelType w:val="hybridMultilevel"/>
    <w:tmpl w:val="34506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CD04AB"/>
    <w:multiLevelType w:val="hybridMultilevel"/>
    <w:tmpl w:val="EFC03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F1A2685"/>
    <w:multiLevelType w:val="hybridMultilevel"/>
    <w:tmpl w:val="C6E48B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F62030E"/>
    <w:multiLevelType w:val="hybridMultilevel"/>
    <w:tmpl w:val="AE3EF602"/>
    <w:lvl w:ilvl="0" w:tplc="4E3002CA">
      <w:start w:val="1"/>
      <w:numFmt w:val="decimal"/>
      <w:lvlText w:val="%1."/>
      <w:lvlJc w:val="left"/>
      <w:pPr>
        <w:ind w:left="720" w:hanging="360"/>
      </w:pPr>
      <w:rPr>
        <w:rFonts w:ascii="Times New Roman"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41F5076"/>
    <w:multiLevelType w:val="hybridMultilevel"/>
    <w:tmpl w:val="C2525FE4"/>
    <w:lvl w:ilvl="0" w:tplc="0C090001">
      <w:start w:val="1"/>
      <w:numFmt w:val="bullet"/>
      <w:lvlText w:val=""/>
      <w:lvlJc w:val="left"/>
      <w:pPr>
        <w:tabs>
          <w:tab w:val="num" w:pos="720"/>
        </w:tabs>
        <w:ind w:left="720" w:hanging="360"/>
      </w:pPr>
      <w:rPr>
        <w:rFonts w:ascii="Symbol" w:hAnsi="Symbol" w:hint="default"/>
        <w:color w:val="auto"/>
      </w:rPr>
    </w:lvl>
    <w:lvl w:ilvl="1" w:tplc="A3AC82E0">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4C40FC1"/>
    <w:multiLevelType w:val="hybridMultilevel"/>
    <w:tmpl w:val="021E7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A15931"/>
    <w:multiLevelType w:val="hybridMultilevel"/>
    <w:tmpl w:val="079EA2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A923F86"/>
    <w:multiLevelType w:val="hybridMultilevel"/>
    <w:tmpl w:val="C15A3FC2"/>
    <w:lvl w:ilvl="0" w:tplc="7E3C5AE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B765AC4"/>
    <w:multiLevelType w:val="hybridMultilevel"/>
    <w:tmpl w:val="C944E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B45149"/>
    <w:multiLevelType w:val="hybridMultilevel"/>
    <w:tmpl w:val="CF06D740"/>
    <w:lvl w:ilvl="0" w:tplc="4936EC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F3061C2"/>
    <w:multiLevelType w:val="hybridMultilevel"/>
    <w:tmpl w:val="305A73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75341685"/>
    <w:multiLevelType w:val="hybridMultilevel"/>
    <w:tmpl w:val="06D2F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4D033C"/>
    <w:multiLevelType w:val="multilevel"/>
    <w:tmpl w:val="538EE86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C7B56DD"/>
    <w:multiLevelType w:val="hybridMultilevel"/>
    <w:tmpl w:val="5B96E750"/>
    <w:lvl w:ilvl="0" w:tplc="9A543080">
      <w:start w:val="1"/>
      <w:numFmt w:val="bullet"/>
      <w:lvlText w:val="•"/>
      <w:lvlJc w:val="left"/>
      <w:pPr>
        <w:tabs>
          <w:tab w:val="num" w:pos="720"/>
        </w:tabs>
        <w:ind w:left="720" w:hanging="360"/>
      </w:pPr>
      <w:rPr>
        <w:rFonts w:ascii="Arial" w:hAnsi="Arial" w:hint="default"/>
      </w:rPr>
    </w:lvl>
    <w:lvl w:ilvl="1" w:tplc="FF62DA88" w:tentative="1">
      <w:start w:val="1"/>
      <w:numFmt w:val="bullet"/>
      <w:lvlText w:val="•"/>
      <w:lvlJc w:val="left"/>
      <w:pPr>
        <w:tabs>
          <w:tab w:val="num" w:pos="1440"/>
        </w:tabs>
        <w:ind w:left="1440" w:hanging="360"/>
      </w:pPr>
      <w:rPr>
        <w:rFonts w:ascii="Arial" w:hAnsi="Arial" w:hint="default"/>
      </w:rPr>
    </w:lvl>
    <w:lvl w:ilvl="2" w:tplc="1DA48434" w:tentative="1">
      <w:start w:val="1"/>
      <w:numFmt w:val="bullet"/>
      <w:lvlText w:val="•"/>
      <w:lvlJc w:val="left"/>
      <w:pPr>
        <w:tabs>
          <w:tab w:val="num" w:pos="2160"/>
        </w:tabs>
        <w:ind w:left="2160" w:hanging="360"/>
      </w:pPr>
      <w:rPr>
        <w:rFonts w:ascii="Arial" w:hAnsi="Arial" w:hint="default"/>
      </w:rPr>
    </w:lvl>
    <w:lvl w:ilvl="3" w:tplc="2EF48DFA" w:tentative="1">
      <w:start w:val="1"/>
      <w:numFmt w:val="bullet"/>
      <w:lvlText w:val="•"/>
      <w:lvlJc w:val="left"/>
      <w:pPr>
        <w:tabs>
          <w:tab w:val="num" w:pos="2880"/>
        </w:tabs>
        <w:ind w:left="2880" w:hanging="360"/>
      </w:pPr>
      <w:rPr>
        <w:rFonts w:ascii="Arial" w:hAnsi="Arial" w:hint="default"/>
      </w:rPr>
    </w:lvl>
    <w:lvl w:ilvl="4" w:tplc="1AEC35C6" w:tentative="1">
      <w:start w:val="1"/>
      <w:numFmt w:val="bullet"/>
      <w:lvlText w:val="•"/>
      <w:lvlJc w:val="left"/>
      <w:pPr>
        <w:tabs>
          <w:tab w:val="num" w:pos="3600"/>
        </w:tabs>
        <w:ind w:left="3600" w:hanging="360"/>
      </w:pPr>
      <w:rPr>
        <w:rFonts w:ascii="Arial" w:hAnsi="Arial" w:hint="default"/>
      </w:rPr>
    </w:lvl>
    <w:lvl w:ilvl="5" w:tplc="5D1ED24C" w:tentative="1">
      <w:start w:val="1"/>
      <w:numFmt w:val="bullet"/>
      <w:lvlText w:val="•"/>
      <w:lvlJc w:val="left"/>
      <w:pPr>
        <w:tabs>
          <w:tab w:val="num" w:pos="4320"/>
        </w:tabs>
        <w:ind w:left="4320" w:hanging="360"/>
      </w:pPr>
      <w:rPr>
        <w:rFonts w:ascii="Arial" w:hAnsi="Arial" w:hint="default"/>
      </w:rPr>
    </w:lvl>
    <w:lvl w:ilvl="6" w:tplc="358467F4" w:tentative="1">
      <w:start w:val="1"/>
      <w:numFmt w:val="bullet"/>
      <w:lvlText w:val="•"/>
      <w:lvlJc w:val="left"/>
      <w:pPr>
        <w:tabs>
          <w:tab w:val="num" w:pos="5040"/>
        </w:tabs>
        <w:ind w:left="5040" w:hanging="360"/>
      </w:pPr>
      <w:rPr>
        <w:rFonts w:ascii="Arial" w:hAnsi="Arial" w:hint="default"/>
      </w:rPr>
    </w:lvl>
    <w:lvl w:ilvl="7" w:tplc="6534F4B4" w:tentative="1">
      <w:start w:val="1"/>
      <w:numFmt w:val="bullet"/>
      <w:lvlText w:val="•"/>
      <w:lvlJc w:val="left"/>
      <w:pPr>
        <w:tabs>
          <w:tab w:val="num" w:pos="5760"/>
        </w:tabs>
        <w:ind w:left="5760" w:hanging="360"/>
      </w:pPr>
      <w:rPr>
        <w:rFonts w:ascii="Arial" w:hAnsi="Arial" w:hint="default"/>
      </w:rPr>
    </w:lvl>
    <w:lvl w:ilvl="8" w:tplc="4EB2511C" w:tentative="1">
      <w:start w:val="1"/>
      <w:numFmt w:val="bullet"/>
      <w:lvlText w:val="•"/>
      <w:lvlJc w:val="left"/>
      <w:pPr>
        <w:tabs>
          <w:tab w:val="num" w:pos="6480"/>
        </w:tabs>
        <w:ind w:left="6480" w:hanging="360"/>
      </w:pPr>
      <w:rPr>
        <w:rFonts w:ascii="Arial" w:hAnsi="Arial" w:hint="default"/>
      </w:rPr>
    </w:lvl>
  </w:abstractNum>
  <w:abstractNum w:abstractNumId="40">
    <w:nsid w:val="7D7009F8"/>
    <w:multiLevelType w:val="hybridMultilevel"/>
    <w:tmpl w:val="5B9CF4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6A6761"/>
    <w:multiLevelType w:val="hybridMultilevel"/>
    <w:tmpl w:val="79C2653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8"/>
  </w:num>
  <w:num w:numId="4">
    <w:abstractNumId w:val="32"/>
  </w:num>
  <w:num w:numId="5">
    <w:abstractNumId w:val="40"/>
  </w:num>
  <w:num w:numId="6">
    <w:abstractNumId w:val="24"/>
  </w:num>
  <w:num w:numId="7">
    <w:abstractNumId w:val="33"/>
  </w:num>
  <w:num w:numId="8">
    <w:abstractNumId w:val="19"/>
  </w:num>
  <w:num w:numId="9">
    <w:abstractNumId w:val="7"/>
  </w:num>
  <w:num w:numId="10">
    <w:abstractNumId w:val="1"/>
  </w:num>
  <w:num w:numId="11">
    <w:abstractNumId w:val="31"/>
  </w:num>
  <w:num w:numId="12">
    <w:abstractNumId w:val="28"/>
  </w:num>
  <w:num w:numId="13">
    <w:abstractNumId w:val="2"/>
  </w:num>
  <w:num w:numId="14">
    <w:abstractNumId w:val="36"/>
  </w:num>
  <w:num w:numId="15">
    <w:abstractNumId w:val="5"/>
  </w:num>
  <w:num w:numId="16">
    <w:abstractNumId w:val="41"/>
  </w:num>
  <w:num w:numId="17">
    <w:abstractNumId w:val="18"/>
  </w:num>
  <w:num w:numId="18">
    <w:abstractNumId w:val="37"/>
  </w:num>
  <w:num w:numId="19">
    <w:abstractNumId w:val="35"/>
  </w:num>
  <w:num w:numId="20">
    <w:abstractNumId w:val="14"/>
  </w:num>
  <w:num w:numId="21">
    <w:abstractNumId w:val="12"/>
  </w:num>
  <w:num w:numId="22">
    <w:abstractNumId w:val="34"/>
  </w:num>
  <w:num w:numId="23">
    <w:abstractNumId w:val="21"/>
  </w:num>
  <w:num w:numId="24">
    <w:abstractNumId w:val="6"/>
  </w:num>
  <w:num w:numId="25">
    <w:abstractNumId w:val="25"/>
  </w:num>
  <w:num w:numId="26">
    <w:abstractNumId w:val="9"/>
  </w:num>
  <w:num w:numId="27">
    <w:abstractNumId w:val="38"/>
  </w:num>
  <w:num w:numId="28">
    <w:abstractNumId w:val="10"/>
  </w:num>
  <w:num w:numId="29">
    <w:abstractNumId w:val="27"/>
  </w:num>
  <w:num w:numId="30">
    <w:abstractNumId w:val="15"/>
  </w:num>
  <w:num w:numId="31">
    <w:abstractNumId w:val="16"/>
  </w:num>
  <w:num w:numId="32">
    <w:abstractNumId w:val="30"/>
  </w:num>
  <w:num w:numId="33">
    <w:abstractNumId w:val="26"/>
  </w:num>
  <w:num w:numId="34">
    <w:abstractNumId w:val="4"/>
  </w:num>
  <w:num w:numId="35">
    <w:abstractNumId w:val="0"/>
  </w:num>
  <w:num w:numId="36">
    <w:abstractNumId w:val="8"/>
  </w:num>
  <w:num w:numId="37">
    <w:abstractNumId w:val="3"/>
  </w:num>
  <w:num w:numId="38">
    <w:abstractNumId w:val="13"/>
  </w:num>
  <w:num w:numId="39">
    <w:abstractNumId w:val="39"/>
  </w:num>
  <w:num w:numId="40">
    <w:abstractNumId w:val="23"/>
  </w:num>
  <w:num w:numId="41">
    <w:abstractNumId w:val="22"/>
  </w:num>
  <w:num w:numId="42">
    <w:abstractNumId w:val="38"/>
  </w:num>
  <w:num w:numId="43">
    <w:abstractNumId w:val="29"/>
  </w:num>
  <w:num w:numId="44">
    <w:abstractNumId w:val="1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BBE"/>
    <w:rsid w:val="00001C59"/>
    <w:rsid w:val="00003499"/>
    <w:rsid w:val="00003AF6"/>
    <w:rsid w:val="000044EA"/>
    <w:rsid w:val="00005AEB"/>
    <w:rsid w:val="00006196"/>
    <w:rsid w:val="00006721"/>
    <w:rsid w:val="000071CF"/>
    <w:rsid w:val="000072AD"/>
    <w:rsid w:val="00007AB7"/>
    <w:rsid w:val="00007AF7"/>
    <w:rsid w:val="00010510"/>
    <w:rsid w:val="00011C38"/>
    <w:rsid w:val="00012D37"/>
    <w:rsid w:val="00013247"/>
    <w:rsid w:val="000144F6"/>
    <w:rsid w:val="00015607"/>
    <w:rsid w:val="00015886"/>
    <w:rsid w:val="00015D00"/>
    <w:rsid w:val="000162EF"/>
    <w:rsid w:val="0001721B"/>
    <w:rsid w:val="00017987"/>
    <w:rsid w:val="00020C6B"/>
    <w:rsid w:val="00020F80"/>
    <w:rsid w:val="0002213E"/>
    <w:rsid w:val="0002225F"/>
    <w:rsid w:val="00023763"/>
    <w:rsid w:val="00024C81"/>
    <w:rsid w:val="000252B1"/>
    <w:rsid w:val="00027688"/>
    <w:rsid w:val="0002777C"/>
    <w:rsid w:val="000306C3"/>
    <w:rsid w:val="00032473"/>
    <w:rsid w:val="000338B2"/>
    <w:rsid w:val="000351D8"/>
    <w:rsid w:val="00036018"/>
    <w:rsid w:val="00037697"/>
    <w:rsid w:val="00037776"/>
    <w:rsid w:val="00037A32"/>
    <w:rsid w:val="00040895"/>
    <w:rsid w:val="000413FC"/>
    <w:rsid w:val="00041438"/>
    <w:rsid w:val="0004199C"/>
    <w:rsid w:val="0004368B"/>
    <w:rsid w:val="00043C37"/>
    <w:rsid w:val="00043C8A"/>
    <w:rsid w:val="00043F82"/>
    <w:rsid w:val="00044B06"/>
    <w:rsid w:val="00045558"/>
    <w:rsid w:val="000502E0"/>
    <w:rsid w:val="00052681"/>
    <w:rsid w:val="000546D7"/>
    <w:rsid w:val="000547EF"/>
    <w:rsid w:val="00056504"/>
    <w:rsid w:val="000568E4"/>
    <w:rsid w:val="00057F92"/>
    <w:rsid w:val="00060A0A"/>
    <w:rsid w:val="00061233"/>
    <w:rsid w:val="000612FE"/>
    <w:rsid w:val="000615D0"/>
    <w:rsid w:val="00061724"/>
    <w:rsid w:val="00061B4B"/>
    <w:rsid w:val="000625CC"/>
    <w:rsid w:val="00062C73"/>
    <w:rsid w:val="00062EBD"/>
    <w:rsid w:val="000631DE"/>
    <w:rsid w:val="000644A4"/>
    <w:rsid w:val="00065E14"/>
    <w:rsid w:val="00070267"/>
    <w:rsid w:val="00070B54"/>
    <w:rsid w:val="00071248"/>
    <w:rsid w:val="000720B9"/>
    <w:rsid w:val="00072221"/>
    <w:rsid w:val="00073046"/>
    <w:rsid w:val="00073B19"/>
    <w:rsid w:val="000812CA"/>
    <w:rsid w:val="00082908"/>
    <w:rsid w:val="00082EF5"/>
    <w:rsid w:val="00084E52"/>
    <w:rsid w:val="00090C7E"/>
    <w:rsid w:val="00090DA2"/>
    <w:rsid w:val="000922BB"/>
    <w:rsid w:val="0009383D"/>
    <w:rsid w:val="00095996"/>
    <w:rsid w:val="000976A5"/>
    <w:rsid w:val="000A181B"/>
    <w:rsid w:val="000A1F3C"/>
    <w:rsid w:val="000A316A"/>
    <w:rsid w:val="000A4898"/>
    <w:rsid w:val="000A5AED"/>
    <w:rsid w:val="000A5CC2"/>
    <w:rsid w:val="000A68CD"/>
    <w:rsid w:val="000B123F"/>
    <w:rsid w:val="000B3091"/>
    <w:rsid w:val="000B66AB"/>
    <w:rsid w:val="000C056B"/>
    <w:rsid w:val="000C15B4"/>
    <w:rsid w:val="000C27C9"/>
    <w:rsid w:val="000C630B"/>
    <w:rsid w:val="000C677D"/>
    <w:rsid w:val="000D09DD"/>
    <w:rsid w:val="000D1BFC"/>
    <w:rsid w:val="000D235B"/>
    <w:rsid w:val="000D51AE"/>
    <w:rsid w:val="000D5F63"/>
    <w:rsid w:val="000D6325"/>
    <w:rsid w:val="000D758B"/>
    <w:rsid w:val="000E259E"/>
    <w:rsid w:val="000E36E2"/>
    <w:rsid w:val="000E38E6"/>
    <w:rsid w:val="000E4728"/>
    <w:rsid w:val="000E5551"/>
    <w:rsid w:val="000E563B"/>
    <w:rsid w:val="000E6380"/>
    <w:rsid w:val="000E75B3"/>
    <w:rsid w:val="000F33D2"/>
    <w:rsid w:val="000F3632"/>
    <w:rsid w:val="000F4BB8"/>
    <w:rsid w:val="000F7127"/>
    <w:rsid w:val="00100032"/>
    <w:rsid w:val="00100F8A"/>
    <w:rsid w:val="00105B44"/>
    <w:rsid w:val="00105BF1"/>
    <w:rsid w:val="001070F4"/>
    <w:rsid w:val="0011032E"/>
    <w:rsid w:val="00111A3D"/>
    <w:rsid w:val="00112B41"/>
    <w:rsid w:val="0011348B"/>
    <w:rsid w:val="0011452F"/>
    <w:rsid w:val="001145FA"/>
    <w:rsid w:val="0011508B"/>
    <w:rsid w:val="001171F1"/>
    <w:rsid w:val="00117231"/>
    <w:rsid w:val="00120EB2"/>
    <w:rsid w:val="00121799"/>
    <w:rsid w:val="001222FC"/>
    <w:rsid w:val="00122758"/>
    <w:rsid w:val="00123079"/>
    <w:rsid w:val="00123C23"/>
    <w:rsid w:val="00124694"/>
    <w:rsid w:val="00124A51"/>
    <w:rsid w:val="00126621"/>
    <w:rsid w:val="001301E9"/>
    <w:rsid w:val="00131669"/>
    <w:rsid w:val="00131F56"/>
    <w:rsid w:val="001326B3"/>
    <w:rsid w:val="00132B09"/>
    <w:rsid w:val="001342D1"/>
    <w:rsid w:val="00134615"/>
    <w:rsid w:val="001358B3"/>
    <w:rsid w:val="00136F32"/>
    <w:rsid w:val="001375A1"/>
    <w:rsid w:val="00137645"/>
    <w:rsid w:val="0014015A"/>
    <w:rsid w:val="001401D5"/>
    <w:rsid w:val="00140E99"/>
    <w:rsid w:val="00141417"/>
    <w:rsid w:val="00143F6C"/>
    <w:rsid w:val="00145540"/>
    <w:rsid w:val="001456B0"/>
    <w:rsid w:val="001459AE"/>
    <w:rsid w:val="00152DF5"/>
    <w:rsid w:val="00152F11"/>
    <w:rsid w:val="00153D60"/>
    <w:rsid w:val="001550B1"/>
    <w:rsid w:val="00155156"/>
    <w:rsid w:val="001567FB"/>
    <w:rsid w:val="00157130"/>
    <w:rsid w:val="00160CE8"/>
    <w:rsid w:val="00162913"/>
    <w:rsid w:val="00163EFF"/>
    <w:rsid w:val="0016403B"/>
    <w:rsid w:val="00164E52"/>
    <w:rsid w:val="001661FB"/>
    <w:rsid w:val="0016792E"/>
    <w:rsid w:val="00170BCE"/>
    <w:rsid w:val="00171F3A"/>
    <w:rsid w:val="001749E0"/>
    <w:rsid w:val="00176187"/>
    <w:rsid w:val="001767D8"/>
    <w:rsid w:val="00177168"/>
    <w:rsid w:val="001808A2"/>
    <w:rsid w:val="00184996"/>
    <w:rsid w:val="0018752F"/>
    <w:rsid w:val="00187823"/>
    <w:rsid w:val="00190322"/>
    <w:rsid w:val="001912FC"/>
    <w:rsid w:val="00193ED6"/>
    <w:rsid w:val="0019472B"/>
    <w:rsid w:val="00195222"/>
    <w:rsid w:val="00195781"/>
    <w:rsid w:val="00196B98"/>
    <w:rsid w:val="0019731E"/>
    <w:rsid w:val="0019733A"/>
    <w:rsid w:val="001975D8"/>
    <w:rsid w:val="00197638"/>
    <w:rsid w:val="00197DC9"/>
    <w:rsid w:val="001A24B0"/>
    <w:rsid w:val="001A51B6"/>
    <w:rsid w:val="001B3443"/>
    <w:rsid w:val="001B3AF8"/>
    <w:rsid w:val="001B51C2"/>
    <w:rsid w:val="001B54B8"/>
    <w:rsid w:val="001B78B1"/>
    <w:rsid w:val="001B7B8A"/>
    <w:rsid w:val="001B7F65"/>
    <w:rsid w:val="001C0447"/>
    <w:rsid w:val="001C0978"/>
    <w:rsid w:val="001C3B15"/>
    <w:rsid w:val="001C449C"/>
    <w:rsid w:val="001C6254"/>
    <w:rsid w:val="001C645C"/>
    <w:rsid w:val="001C6E66"/>
    <w:rsid w:val="001D0725"/>
    <w:rsid w:val="001D1241"/>
    <w:rsid w:val="001D55FD"/>
    <w:rsid w:val="001E14F9"/>
    <w:rsid w:val="001E1B38"/>
    <w:rsid w:val="001E238E"/>
    <w:rsid w:val="001E23F9"/>
    <w:rsid w:val="001E2B1E"/>
    <w:rsid w:val="001E3279"/>
    <w:rsid w:val="001E4007"/>
    <w:rsid w:val="001E52B5"/>
    <w:rsid w:val="001E52EB"/>
    <w:rsid w:val="001E56AE"/>
    <w:rsid w:val="001E65E3"/>
    <w:rsid w:val="001E740C"/>
    <w:rsid w:val="001F1235"/>
    <w:rsid w:val="001F1CB3"/>
    <w:rsid w:val="001F719D"/>
    <w:rsid w:val="001F7361"/>
    <w:rsid w:val="001F7499"/>
    <w:rsid w:val="0020385F"/>
    <w:rsid w:val="00205B71"/>
    <w:rsid w:val="00207021"/>
    <w:rsid w:val="00207D00"/>
    <w:rsid w:val="002105C1"/>
    <w:rsid w:val="00210DEF"/>
    <w:rsid w:val="002176A0"/>
    <w:rsid w:val="00220144"/>
    <w:rsid w:val="00222980"/>
    <w:rsid w:val="00222D84"/>
    <w:rsid w:val="00222DCC"/>
    <w:rsid w:val="00223B49"/>
    <w:rsid w:val="00224DD4"/>
    <w:rsid w:val="0022585B"/>
    <w:rsid w:val="00225E66"/>
    <w:rsid w:val="00226BC1"/>
    <w:rsid w:val="002309CC"/>
    <w:rsid w:val="00231139"/>
    <w:rsid w:val="002313F4"/>
    <w:rsid w:val="00233444"/>
    <w:rsid w:val="00234492"/>
    <w:rsid w:val="002356B0"/>
    <w:rsid w:val="00235A5D"/>
    <w:rsid w:val="0023650C"/>
    <w:rsid w:val="002402FB"/>
    <w:rsid w:val="002410DB"/>
    <w:rsid w:val="0024185F"/>
    <w:rsid w:val="0024319B"/>
    <w:rsid w:val="00243788"/>
    <w:rsid w:val="0024499C"/>
    <w:rsid w:val="00244F54"/>
    <w:rsid w:val="00247F9B"/>
    <w:rsid w:val="002520CF"/>
    <w:rsid w:val="0025212F"/>
    <w:rsid w:val="00254DCF"/>
    <w:rsid w:val="0025515F"/>
    <w:rsid w:val="0025534B"/>
    <w:rsid w:val="00255BB7"/>
    <w:rsid w:val="00256350"/>
    <w:rsid w:val="0025648F"/>
    <w:rsid w:val="0025683B"/>
    <w:rsid w:val="00256B7F"/>
    <w:rsid w:val="00260E86"/>
    <w:rsid w:val="00262565"/>
    <w:rsid w:val="00262A87"/>
    <w:rsid w:val="002648E9"/>
    <w:rsid w:val="00265382"/>
    <w:rsid w:val="0026561B"/>
    <w:rsid w:val="0026607E"/>
    <w:rsid w:val="00270281"/>
    <w:rsid w:val="00270B02"/>
    <w:rsid w:val="0027162F"/>
    <w:rsid w:val="00272BA6"/>
    <w:rsid w:val="002755AC"/>
    <w:rsid w:val="00275C5A"/>
    <w:rsid w:val="0027767B"/>
    <w:rsid w:val="00277AA5"/>
    <w:rsid w:val="00281008"/>
    <w:rsid w:val="00281014"/>
    <w:rsid w:val="002813DD"/>
    <w:rsid w:val="0028170E"/>
    <w:rsid w:val="0028197F"/>
    <w:rsid w:val="00281FC6"/>
    <w:rsid w:val="0028322E"/>
    <w:rsid w:val="00283351"/>
    <w:rsid w:val="00285335"/>
    <w:rsid w:val="00286842"/>
    <w:rsid w:val="00287333"/>
    <w:rsid w:val="002903DA"/>
    <w:rsid w:val="00290A2D"/>
    <w:rsid w:val="0029104B"/>
    <w:rsid w:val="00293651"/>
    <w:rsid w:val="00294C75"/>
    <w:rsid w:val="00297774"/>
    <w:rsid w:val="0029797D"/>
    <w:rsid w:val="002A14AB"/>
    <w:rsid w:val="002A47D4"/>
    <w:rsid w:val="002A4DC7"/>
    <w:rsid w:val="002A6282"/>
    <w:rsid w:val="002A6CE4"/>
    <w:rsid w:val="002A7C9E"/>
    <w:rsid w:val="002A7F3A"/>
    <w:rsid w:val="002B0AB9"/>
    <w:rsid w:val="002B0B12"/>
    <w:rsid w:val="002B0B8D"/>
    <w:rsid w:val="002B1C1F"/>
    <w:rsid w:val="002B27E1"/>
    <w:rsid w:val="002B2A76"/>
    <w:rsid w:val="002B432F"/>
    <w:rsid w:val="002B6CCE"/>
    <w:rsid w:val="002C1794"/>
    <w:rsid w:val="002C2775"/>
    <w:rsid w:val="002C27C1"/>
    <w:rsid w:val="002C3EDF"/>
    <w:rsid w:val="002C44DE"/>
    <w:rsid w:val="002C4842"/>
    <w:rsid w:val="002C4BF0"/>
    <w:rsid w:val="002C6520"/>
    <w:rsid w:val="002D16E5"/>
    <w:rsid w:val="002D2D40"/>
    <w:rsid w:val="002D5C51"/>
    <w:rsid w:val="002D61C7"/>
    <w:rsid w:val="002D6A4C"/>
    <w:rsid w:val="002D7F4E"/>
    <w:rsid w:val="002D7F52"/>
    <w:rsid w:val="002E324E"/>
    <w:rsid w:val="002E32FC"/>
    <w:rsid w:val="002E3329"/>
    <w:rsid w:val="002E5776"/>
    <w:rsid w:val="002F07F6"/>
    <w:rsid w:val="002F1F19"/>
    <w:rsid w:val="002F1F62"/>
    <w:rsid w:val="002F3916"/>
    <w:rsid w:val="002F5E2B"/>
    <w:rsid w:val="00301017"/>
    <w:rsid w:val="00301675"/>
    <w:rsid w:val="00302EC4"/>
    <w:rsid w:val="00304389"/>
    <w:rsid w:val="00305A67"/>
    <w:rsid w:val="00306E36"/>
    <w:rsid w:val="0030786C"/>
    <w:rsid w:val="0031031A"/>
    <w:rsid w:val="00310981"/>
    <w:rsid w:val="003115F6"/>
    <w:rsid w:val="00312C4A"/>
    <w:rsid w:val="00315498"/>
    <w:rsid w:val="00315E35"/>
    <w:rsid w:val="003164C5"/>
    <w:rsid w:val="00316508"/>
    <w:rsid w:val="003165C3"/>
    <w:rsid w:val="00316818"/>
    <w:rsid w:val="00316C31"/>
    <w:rsid w:val="003207D0"/>
    <w:rsid w:val="00320ACA"/>
    <w:rsid w:val="0032188B"/>
    <w:rsid w:val="003224B7"/>
    <w:rsid w:val="0032400C"/>
    <w:rsid w:val="00327B16"/>
    <w:rsid w:val="00334180"/>
    <w:rsid w:val="00335531"/>
    <w:rsid w:val="00335F68"/>
    <w:rsid w:val="003366C9"/>
    <w:rsid w:val="00336FB6"/>
    <w:rsid w:val="003371B0"/>
    <w:rsid w:val="00337EEE"/>
    <w:rsid w:val="00340FBC"/>
    <w:rsid w:val="00341B89"/>
    <w:rsid w:val="00342982"/>
    <w:rsid w:val="00344F73"/>
    <w:rsid w:val="00344FE5"/>
    <w:rsid w:val="00345361"/>
    <w:rsid w:val="00347F70"/>
    <w:rsid w:val="003510BD"/>
    <w:rsid w:val="00351CC0"/>
    <w:rsid w:val="00355646"/>
    <w:rsid w:val="0035620E"/>
    <w:rsid w:val="00356DBA"/>
    <w:rsid w:val="003579D6"/>
    <w:rsid w:val="00362134"/>
    <w:rsid w:val="003623DB"/>
    <w:rsid w:val="0036391F"/>
    <w:rsid w:val="00363FC7"/>
    <w:rsid w:val="003642D6"/>
    <w:rsid w:val="003646AA"/>
    <w:rsid w:val="0036661D"/>
    <w:rsid w:val="00366D0C"/>
    <w:rsid w:val="0036791B"/>
    <w:rsid w:val="00373BBF"/>
    <w:rsid w:val="003763B1"/>
    <w:rsid w:val="00377293"/>
    <w:rsid w:val="00380681"/>
    <w:rsid w:val="0038155E"/>
    <w:rsid w:val="00381A1E"/>
    <w:rsid w:val="00382881"/>
    <w:rsid w:val="0038365C"/>
    <w:rsid w:val="00384690"/>
    <w:rsid w:val="00386169"/>
    <w:rsid w:val="003872A6"/>
    <w:rsid w:val="00387503"/>
    <w:rsid w:val="0038786B"/>
    <w:rsid w:val="003923AB"/>
    <w:rsid w:val="00392785"/>
    <w:rsid w:val="00392C76"/>
    <w:rsid w:val="003937BE"/>
    <w:rsid w:val="0039510E"/>
    <w:rsid w:val="00396FD0"/>
    <w:rsid w:val="0039786D"/>
    <w:rsid w:val="003A021B"/>
    <w:rsid w:val="003A034B"/>
    <w:rsid w:val="003A0948"/>
    <w:rsid w:val="003A1921"/>
    <w:rsid w:val="003A1A7A"/>
    <w:rsid w:val="003A25E6"/>
    <w:rsid w:val="003A49AC"/>
    <w:rsid w:val="003A5B2C"/>
    <w:rsid w:val="003A5E48"/>
    <w:rsid w:val="003B159F"/>
    <w:rsid w:val="003B272C"/>
    <w:rsid w:val="003B360D"/>
    <w:rsid w:val="003B4E19"/>
    <w:rsid w:val="003C0883"/>
    <w:rsid w:val="003C13A1"/>
    <w:rsid w:val="003C1A0A"/>
    <w:rsid w:val="003C3B16"/>
    <w:rsid w:val="003C5E4A"/>
    <w:rsid w:val="003C73A1"/>
    <w:rsid w:val="003D1828"/>
    <w:rsid w:val="003D1AF9"/>
    <w:rsid w:val="003D2422"/>
    <w:rsid w:val="003D283F"/>
    <w:rsid w:val="003D3506"/>
    <w:rsid w:val="003D367E"/>
    <w:rsid w:val="003D3DC2"/>
    <w:rsid w:val="003D3DE1"/>
    <w:rsid w:val="003D4866"/>
    <w:rsid w:val="003D4F31"/>
    <w:rsid w:val="003E00E3"/>
    <w:rsid w:val="003E1F78"/>
    <w:rsid w:val="003E3D65"/>
    <w:rsid w:val="003E4DA3"/>
    <w:rsid w:val="003E6C86"/>
    <w:rsid w:val="003F0E80"/>
    <w:rsid w:val="003F1E8C"/>
    <w:rsid w:val="003F4156"/>
    <w:rsid w:val="003F6BF5"/>
    <w:rsid w:val="003F6FAD"/>
    <w:rsid w:val="00400AC4"/>
    <w:rsid w:val="00402D6B"/>
    <w:rsid w:val="00403415"/>
    <w:rsid w:val="00407DC2"/>
    <w:rsid w:val="00407E07"/>
    <w:rsid w:val="00410189"/>
    <w:rsid w:val="00410202"/>
    <w:rsid w:val="00410708"/>
    <w:rsid w:val="00410EC7"/>
    <w:rsid w:val="00411FB5"/>
    <w:rsid w:val="00412EB2"/>
    <w:rsid w:val="00413513"/>
    <w:rsid w:val="00414476"/>
    <w:rsid w:val="0041568E"/>
    <w:rsid w:val="00420B9F"/>
    <w:rsid w:val="00423715"/>
    <w:rsid w:val="00423D28"/>
    <w:rsid w:val="00424800"/>
    <w:rsid w:val="004261AB"/>
    <w:rsid w:val="00430D6E"/>
    <w:rsid w:val="004319F8"/>
    <w:rsid w:val="00432D57"/>
    <w:rsid w:val="00433044"/>
    <w:rsid w:val="00434A6D"/>
    <w:rsid w:val="00437E54"/>
    <w:rsid w:val="004419BE"/>
    <w:rsid w:val="004443A7"/>
    <w:rsid w:val="0044600A"/>
    <w:rsid w:val="004464EB"/>
    <w:rsid w:val="00447955"/>
    <w:rsid w:val="00447F96"/>
    <w:rsid w:val="0045032C"/>
    <w:rsid w:val="00450E83"/>
    <w:rsid w:val="0045329A"/>
    <w:rsid w:val="00454842"/>
    <w:rsid w:val="00455A8E"/>
    <w:rsid w:val="00455D45"/>
    <w:rsid w:val="00464595"/>
    <w:rsid w:val="004645DD"/>
    <w:rsid w:val="004651B9"/>
    <w:rsid w:val="004655E1"/>
    <w:rsid w:val="0046680A"/>
    <w:rsid w:val="004702D0"/>
    <w:rsid w:val="00471536"/>
    <w:rsid w:val="00472D89"/>
    <w:rsid w:val="00474AF2"/>
    <w:rsid w:val="00474F22"/>
    <w:rsid w:val="004750B9"/>
    <w:rsid w:val="0048149A"/>
    <w:rsid w:val="0048368A"/>
    <w:rsid w:val="00483CED"/>
    <w:rsid w:val="004867E2"/>
    <w:rsid w:val="00491B3A"/>
    <w:rsid w:val="00492CFD"/>
    <w:rsid w:val="00493B81"/>
    <w:rsid w:val="00494083"/>
    <w:rsid w:val="0049557C"/>
    <w:rsid w:val="004962D2"/>
    <w:rsid w:val="00496CAA"/>
    <w:rsid w:val="004973B9"/>
    <w:rsid w:val="004A0795"/>
    <w:rsid w:val="004A0DA1"/>
    <w:rsid w:val="004A0FB1"/>
    <w:rsid w:val="004A1D2E"/>
    <w:rsid w:val="004A3674"/>
    <w:rsid w:val="004A385B"/>
    <w:rsid w:val="004A476E"/>
    <w:rsid w:val="004A59A4"/>
    <w:rsid w:val="004A6597"/>
    <w:rsid w:val="004B0DA9"/>
    <w:rsid w:val="004B1CB4"/>
    <w:rsid w:val="004B2F18"/>
    <w:rsid w:val="004B3DDB"/>
    <w:rsid w:val="004B44FD"/>
    <w:rsid w:val="004B50BC"/>
    <w:rsid w:val="004B5CFC"/>
    <w:rsid w:val="004C3D56"/>
    <w:rsid w:val="004C4AED"/>
    <w:rsid w:val="004C5814"/>
    <w:rsid w:val="004C5B0F"/>
    <w:rsid w:val="004C7A07"/>
    <w:rsid w:val="004C7A1B"/>
    <w:rsid w:val="004D0616"/>
    <w:rsid w:val="004D0687"/>
    <w:rsid w:val="004D239F"/>
    <w:rsid w:val="004D4392"/>
    <w:rsid w:val="004D554B"/>
    <w:rsid w:val="004D633B"/>
    <w:rsid w:val="004D6B6A"/>
    <w:rsid w:val="004E0EB8"/>
    <w:rsid w:val="004E2ADC"/>
    <w:rsid w:val="004E3B4F"/>
    <w:rsid w:val="004E43B2"/>
    <w:rsid w:val="004E4A54"/>
    <w:rsid w:val="004E6A84"/>
    <w:rsid w:val="004F0A58"/>
    <w:rsid w:val="004F1D02"/>
    <w:rsid w:val="004F2679"/>
    <w:rsid w:val="004F46B7"/>
    <w:rsid w:val="004F71D5"/>
    <w:rsid w:val="004F7865"/>
    <w:rsid w:val="004F7AA7"/>
    <w:rsid w:val="00500191"/>
    <w:rsid w:val="005021E0"/>
    <w:rsid w:val="005032D9"/>
    <w:rsid w:val="00503F18"/>
    <w:rsid w:val="005041B3"/>
    <w:rsid w:val="0050469C"/>
    <w:rsid w:val="00506622"/>
    <w:rsid w:val="00506928"/>
    <w:rsid w:val="00510711"/>
    <w:rsid w:val="00514DA9"/>
    <w:rsid w:val="005152B5"/>
    <w:rsid w:val="00516DED"/>
    <w:rsid w:val="005170ED"/>
    <w:rsid w:val="00517CB0"/>
    <w:rsid w:val="00517DAB"/>
    <w:rsid w:val="00520C4C"/>
    <w:rsid w:val="00521319"/>
    <w:rsid w:val="00522A2E"/>
    <w:rsid w:val="00522E60"/>
    <w:rsid w:val="005230AB"/>
    <w:rsid w:val="00523C28"/>
    <w:rsid w:val="00524480"/>
    <w:rsid w:val="00525272"/>
    <w:rsid w:val="00525D7D"/>
    <w:rsid w:val="00526933"/>
    <w:rsid w:val="00527176"/>
    <w:rsid w:val="00527B72"/>
    <w:rsid w:val="005316E3"/>
    <w:rsid w:val="00531AB6"/>
    <w:rsid w:val="00533C91"/>
    <w:rsid w:val="00534FF5"/>
    <w:rsid w:val="00535026"/>
    <w:rsid w:val="0053632F"/>
    <w:rsid w:val="0053697A"/>
    <w:rsid w:val="00536D23"/>
    <w:rsid w:val="00536E20"/>
    <w:rsid w:val="00537729"/>
    <w:rsid w:val="005415AD"/>
    <w:rsid w:val="0054242F"/>
    <w:rsid w:val="00542A96"/>
    <w:rsid w:val="00544166"/>
    <w:rsid w:val="005472E1"/>
    <w:rsid w:val="00547D63"/>
    <w:rsid w:val="00550EF7"/>
    <w:rsid w:val="005520CC"/>
    <w:rsid w:val="00552BD3"/>
    <w:rsid w:val="00555109"/>
    <w:rsid w:val="00556640"/>
    <w:rsid w:val="00557DE3"/>
    <w:rsid w:val="0056101E"/>
    <w:rsid w:val="00561BFB"/>
    <w:rsid w:val="00561EF2"/>
    <w:rsid w:val="0056524A"/>
    <w:rsid w:val="0056696F"/>
    <w:rsid w:val="00567164"/>
    <w:rsid w:val="00570464"/>
    <w:rsid w:val="005743A4"/>
    <w:rsid w:val="00575D8D"/>
    <w:rsid w:val="00576569"/>
    <w:rsid w:val="005768A9"/>
    <w:rsid w:val="00576972"/>
    <w:rsid w:val="0057778B"/>
    <w:rsid w:val="00580485"/>
    <w:rsid w:val="005811DA"/>
    <w:rsid w:val="0058358B"/>
    <w:rsid w:val="00583699"/>
    <w:rsid w:val="00584979"/>
    <w:rsid w:val="0058634C"/>
    <w:rsid w:val="005864BF"/>
    <w:rsid w:val="0058710B"/>
    <w:rsid w:val="005927A4"/>
    <w:rsid w:val="00593E1A"/>
    <w:rsid w:val="005A0234"/>
    <w:rsid w:val="005A0E31"/>
    <w:rsid w:val="005A236F"/>
    <w:rsid w:val="005A4FF4"/>
    <w:rsid w:val="005A55D1"/>
    <w:rsid w:val="005A5D4B"/>
    <w:rsid w:val="005A7B6A"/>
    <w:rsid w:val="005A7D7A"/>
    <w:rsid w:val="005B020D"/>
    <w:rsid w:val="005B021B"/>
    <w:rsid w:val="005B088B"/>
    <w:rsid w:val="005B13A6"/>
    <w:rsid w:val="005B158B"/>
    <w:rsid w:val="005B3B50"/>
    <w:rsid w:val="005B5857"/>
    <w:rsid w:val="005B65A2"/>
    <w:rsid w:val="005B66D6"/>
    <w:rsid w:val="005C04C6"/>
    <w:rsid w:val="005C0C3D"/>
    <w:rsid w:val="005C110D"/>
    <w:rsid w:val="005C142A"/>
    <w:rsid w:val="005C1B83"/>
    <w:rsid w:val="005C28AD"/>
    <w:rsid w:val="005C2EC1"/>
    <w:rsid w:val="005C346B"/>
    <w:rsid w:val="005C64BA"/>
    <w:rsid w:val="005C72BA"/>
    <w:rsid w:val="005D044D"/>
    <w:rsid w:val="005D0892"/>
    <w:rsid w:val="005D124A"/>
    <w:rsid w:val="005D18AD"/>
    <w:rsid w:val="005D409A"/>
    <w:rsid w:val="005D67FC"/>
    <w:rsid w:val="005D742D"/>
    <w:rsid w:val="005E2757"/>
    <w:rsid w:val="005E312B"/>
    <w:rsid w:val="005E682F"/>
    <w:rsid w:val="005E6F60"/>
    <w:rsid w:val="005E73C0"/>
    <w:rsid w:val="005E7404"/>
    <w:rsid w:val="005E753E"/>
    <w:rsid w:val="005F2706"/>
    <w:rsid w:val="005F69EF"/>
    <w:rsid w:val="005F6A8F"/>
    <w:rsid w:val="006006D7"/>
    <w:rsid w:val="0060204D"/>
    <w:rsid w:val="00602557"/>
    <w:rsid w:val="006048B7"/>
    <w:rsid w:val="006066D5"/>
    <w:rsid w:val="0060676D"/>
    <w:rsid w:val="00607669"/>
    <w:rsid w:val="00612F97"/>
    <w:rsid w:val="006139E7"/>
    <w:rsid w:val="0061452C"/>
    <w:rsid w:val="006161D3"/>
    <w:rsid w:val="00616802"/>
    <w:rsid w:val="00616B71"/>
    <w:rsid w:val="00617E12"/>
    <w:rsid w:val="006205BC"/>
    <w:rsid w:val="00621326"/>
    <w:rsid w:val="00621477"/>
    <w:rsid w:val="00621A91"/>
    <w:rsid w:val="006237E5"/>
    <w:rsid w:val="00625A81"/>
    <w:rsid w:val="00626EAC"/>
    <w:rsid w:val="00627411"/>
    <w:rsid w:val="0062773F"/>
    <w:rsid w:val="00630BDE"/>
    <w:rsid w:val="00631D6B"/>
    <w:rsid w:val="006321EB"/>
    <w:rsid w:val="006337D9"/>
    <w:rsid w:val="0063479F"/>
    <w:rsid w:val="006364A1"/>
    <w:rsid w:val="00636F36"/>
    <w:rsid w:val="00637BFD"/>
    <w:rsid w:val="00641583"/>
    <w:rsid w:val="00642BF0"/>
    <w:rsid w:val="00645027"/>
    <w:rsid w:val="0064714F"/>
    <w:rsid w:val="006471CC"/>
    <w:rsid w:val="006476E5"/>
    <w:rsid w:val="0065079F"/>
    <w:rsid w:val="00652191"/>
    <w:rsid w:val="00652240"/>
    <w:rsid w:val="00653549"/>
    <w:rsid w:val="00655537"/>
    <w:rsid w:val="00657079"/>
    <w:rsid w:val="00657367"/>
    <w:rsid w:val="0065757B"/>
    <w:rsid w:val="00661F29"/>
    <w:rsid w:val="006627F1"/>
    <w:rsid w:val="00662A60"/>
    <w:rsid w:val="00662B27"/>
    <w:rsid w:val="006634CD"/>
    <w:rsid w:val="00664813"/>
    <w:rsid w:val="00665089"/>
    <w:rsid w:val="00665D38"/>
    <w:rsid w:val="00666350"/>
    <w:rsid w:val="006664BE"/>
    <w:rsid w:val="006708E5"/>
    <w:rsid w:val="00671C09"/>
    <w:rsid w:val="006736C8"/>
    <w:rsid w:val="00673B11"/>
    <w:rsid w:val="00674477"/>
    <w:rsid w:val="00674E42"/>
    <w:rsid w:val="006763E2"/>
    <w:rsid w:val="00680EEA"/>
    <w:rsid w:val="006810A9"/>
    <w:rsid w:val="00682112"/>
    <w:rsid w:val="0068469F"/>
    <w:rsid w:val="00685095"/>
    <w:rsid w:val="00685835"/>
    <w:rsid w:val="00685C5A"/>
    <w:rsid w:val="006872BA"/>
    <w:rsid w:val="00687A31"/>
    <w:rsid w:val="00687AE0"/>
    <w:rsid w:val="006917D7"/>
    <w:rsid w:val="00693286"/>
    <w:rsid w:val="0069399E"/>
    <w:rsid w:val="00693F38"/>
    <w:rsid w:val="00694689"/>
    <w:rsid w:val="00694F44"/>
    <w:rsid w:val="00697AAF"/>
    <w:rsid w:val="006A0051"/>
    <w:rsid w:val="006A29D2"/>
    <w:rsid w:val="006A3908"/>
    <w:rsid w:val="006A62AD"/>
    <w:rsid w:val="006A7BF2"/>
    <w:rsid w:val="006B0FAA"/>
    <w:rsid w:val="006B232E"/>
    <w:rsid w:val="006B3C25"/>
    <w:rsid w:val="006B644D"/>
    <w:rsid w:val="006B6EFF"/>
    <w:rsid w:val="006B7140"/>
    <w:rsid w:val="006B717B"/>
    <w:rsid w:val="006B765A"/>
    <w:rsid w:val="006B7992"/>
    <w:rsid w:val="006C12EA"/>
    <w:rsid w:val="006C146D"/>
    <w:rsid w:val="006C2759"/>
    <w:rsid w:val="006C2A8E"/>
    <w:rsid w:val="006C2C9F"/>
    <w:rsid w:val="006C36C9"/>
    <w:rsid w:val="006C4147"/>
    <w:rsid w:val="006C64B4"/>
    <w:rsid w:val="006C71B0"/>
    <w:rsid w:val="006C7448"/>
    <w:rsid w:val="006C7D90"/>
    <w:rsid w:val="006C7E85"/>
    <w:rsid w:val="006D19C5"/>
    <w:rsid w:val="006D22BF"/>
    <w:rsid w:val="006D3C7D"/>
    <w:rsid w:val="006D40C1"/>
    <w:rsid w:val="006D48DE"/>
    <w:rsid w:val="006D545E"/>
    <w:rsid w:val="006D582C"/>
    <w:rsid w:val="006D5D5F"/>
    <w:rsid w:val="006D6979"/>
    <w:rsid w:val="006D7C16"/>
    <w:rsid w:val="006E1256"/>
    <w:rsid w:val="006E2090"/>
    <w:rsid w:val="006E2BB3"/>
    <w:rsid w:val="006E36FB"/>
    <w:rsid w:val="006E52E1"/>
    <w:rsid w:val="006E5311"/>
    <w:rsid w:val="006E6F42"/>
    <w:rsid w:val="006F03E7"/>
    <w:rsid w:val="006F548B"/>
    <w:rsid w:val="006F5A76"/>
    <w:rsid w:val="006F63A5"/>
    <w:rsid w:val="006F70FC"/>
    <w:rsid w:val="006F7351"/>
    <w:rsid w:val="00700127"/>
    <w:rsid w:val="0070027D"/>
    <w:rsid w:val="007009AE"/>
    <w:rsid w:val="0070276E"/>
    <w:rsid w:val="00702F8F"/>
    <w:rsid w:val="00703914"/>
    <w:rsid w:val="00704109"/>
    <w:rsid w:val="00704A17"/>
    <w:rsid w:val="00704BAF"/>
    <w:rsid w:val="007056D4"/>
    <w:rsid w:val="00705C1B"/>
    <w:rsid w:val="00706F47"/>
    <w:rsid w:val="00710616"/>
    <w:rsid w:val="00710B4C"/>
    <w:rsid w:val="00710DD8"/>
    <w:rsid w:val="00711A36"/>
    <w:rsid w:val="00712792"/>
    <w:rsid w:val="00713DFF"/>
    <w:rsid w:val="00714716"/>
    <w:rsid w:val="00714AE6"/>
    <w:rsid w:val="00715E68"/>
    <w:rsid w:val="007172AD"/>
    <w:rsid w:val="007203F0"/>
    <w:rsid w:val="00721064"/>
    <w:rsid w:val="0072162A"/>
    <w:rsid w:val="00722C0F"/>
    <w:rsid w:val="0072416F"/>
    <w:rsid w:val="00724800"/>
    <w:rsid w:val="00724941"/>
    <w:rsid w:val="00724CD8"/>
    <w:rsid w:val="00725C64"/>
    <w:rsid w:val="0073164B"/>
    <w:rsid w:val="00731C3F"/>
    <w:rsid w:val="00732466"/>
    <w:rsid w:val="00733678"/>
    <w:rsid w:val="00735328"/>
    <w:rsid w:val="00736725"/>
    <w:rsid w:val="0073685B"/>
    <w:rsid w:val="00737BE9"/>
    <w:rsid w:val="0074251C"/>
    <w:rsid w:val="007429DB"/>
    <w:rsid w:val="007439D6"/>
    <w:rsid w:val="00744140"/>
    <w:rsid w:val="00744BD9"/>
    <w:rsid w:val="00744E21"/>
    <w:rsid w:val="00751C2A"/>
    <w:rsid w:val="00757CAD"/>
    <w:rsid w:val="00761108"/>
    <w:rsid w:val="0076127F"/>
    <w:rsid w:val="00771A61"/>
    <w:rsid w:val="0077261F"/>
    <w:rsid w:val="00772DB6"/>
    <w:rsid w:val="00773838"/>
    <w:rsid w:val="00775644"/>
    <w:rsid w:val="007800C3"/>
    <w:rsid w:val="00783027"/>
    <w:rsid w:val="00786731"/>
    <w:rsid w:val="00786988"/>
    <w:rsid w:val="007873CC"/>
    <w:rsid w:val="00787B43"/>
    <w:rsid w:val="007904F9"/>
    <w:rsid w:val="007934E9"/>
    <w:rsid w:val="007938F7"/>
    <w:rsid w:val="007949E2"/>
    <w:rsid w:val="00794B68"/>
    <w:rsid w:val="00794F29"/>
    <w:rsid w:val="007956CA"/>
    <w:rsid w:val="007A05C9"/>
    <w:rsid w:val="007A0A12"/>
    <w:rsid w:val="007A1779"/>
    <w:rsid w:val="007A269D"/>
    <w:rsid w:val="007A31D6"/>
    <w:rsid w:val="007A3BE0"/>
    <w:rsid w:val="007B000C"/>
    <w:rsid w:val="007B0021"/>
    <w:rsid w:val="007B251D"/>
    <w:rsid w:val="007B3D3A"/>
    <w:rsid w:val="007B4B07"/>
    <w:rsid w:val="007B4C94"/>
    <w:rsid w:val="007B5E1A"/>
    <w:rsid w:val="007B6B43"/>
    <w:rsid w:val="007B72BE"/>
    <w:rsid w:val="007B77D1"/>
    <w:rsid w:val="007C081A"/>
    <w:rsid w:val="007C0BB6"/>
    <w:rsid w:val="007C1764"/>
    <w:rsid w:val="007C2881"/>
    <w:rsid w:val="007C2E13"/>
    <w:rsid w:val="007C3552"/>
    <w:rsid w:val="007C361D"/>
    <w:rsid w:val="007C5AD2"/>
    <w:rsid w:val="007C655A"/>
    <w:rsid w:val="007C6CC7"/>
    <w:rsid w:val="007C7FA9"/>
    <w:rsid w:val="007D056E"/>
    <w:rsid w:val="007D0B38"/>
    <w:rsid w:val="007D0F3F"/>
    <w:rsid w:val="007D2602"/>
    <w:rsid w:val="007D2CCE"/>
    <w:rsid w:val="007D2D67"/>
    <w:rsid w:val="007D4081"/>
    <w:rsid w:val="007D5F3F"/>
    <w:rsid w:val="007D7BD2"/>
    <w:rsid w:val="007E0D9B"/>
    <w:rsid w:val="007E0E28"/>
    <w:rsid w:val="007E0FF5"/>
    <w:rsid w:val="007E1B53"/>
    <w:rsid w:val="007E1D08"/>
    <w:rsid w:val="007E3D9B"/>
    <w:rsid w:val="007E43F5"/>
    <w:rsid w:val="007E58E1"/>
    <w:rsid w:val="007E68C3"/>
    <w:rsid w:val="007E78CC"/>
    <w:rsid w:val="007F0757"/>
    <w:rsid w:val="007F1017"/>
    <w:rsid w:val="007F2410"/>
    <w:rsid w:val="007F24B6"/>
    <w:rsid w:val="007F2707"/>
    <w:rsid w:val="007F28A1"/>
    <w:rsid w:val="007F2DED"/>
    <w:rsid w:val="007F390C"/>
    <w:rsid w:val="007F464E"/>
    <w:rsid w:val="007F47A2"/>
    <w:rsid w:val="007F49F9"/>
    <w:rsid w:val="007F4A3F"/>
    <w:rsid w:val="007F5305"/>
    <w:rsid w:val="007F7A83"/>
    <w:rsid w:val="00801835"/>
    <w:rsid w:val="00802D01"/>
    <w:rsid w:val="00803F04"/>
    <w:rsid w:val="008046DA"/>
    <w:rsid w:val="00805142"/>
    <w:rsid w:val="008056E0"/>
    <w:rsid w:val="0080660B"/>
    <w:rsid w:val="00807A8B"/>
    <w:rsid w:val="00810712"/>
    <w:rsid w:val="00811024"/>
    <w:rsid w:val="00812149"/>
    <w:rsid w:val="00812BF2"/>
    <w:rsid w:val="008144F1"/>
    <w:rsid w:val="00814528"/>
    <w:rsid w:val="008148A5"/>
    <w:rsid w:val="00814FD7"/>
    <w:rsid w:val="008152AC"/>
    <w:rsid w:val="008166EF"/>
    <w:rsid w:val="008261EB"/>
    <w:rsid w:val="008264EB"/>
    <w:rsid w:val="008271B8"/>
    <w:rsid w:val="00831593"/>
    <w:rsid w:val="008332F8"/>
    <w:rsid w:val="00833B05"/>
    <w:rsid w:val="00833FEF"/>
    <w:rsid w:val="008353D0"/>
    <w:rsid w:val="008364B9"/>
    <w:rsid w:val="008370AC"/>
    <w:rsid w:val="00840662"/>
    <w:rsid w:val="00840CA2"/>
    <w:rsid w:val="00840F2F"/>
    <w:rsid w:val="0084413B"/>
    <w:rsid w:val="00847BF0"/>
    <w:rsid w:val="00850892"/>
    <w:rsid w:val="00850B4D"/>
    <w:rsid w:val="00850E98"/>
    <w:rsid w:val="008523ED"/>
    <w:rsid w:val="0085251D"/>
    <w:rsid w:val="0085350C"/>
    <w:rsid w:val="00853D96"/>
    <w:rsid w:val="0085664E"/>
    <w:rsid w:val="00856E9A"/>
    <w:rsid w:val="008601DF"/>
    <w:rsid w:val="008611CA"/>
    <w:rsid w:val="00862502"/>
    <w:rsid w:val="00865204"/>
    <w:rsid w:val="008661AA"/>
    <w:rsid w:val="00866839"/>
    <w:rsid w:val="0086761C"/>
    <w:rsid w:val="00870125"/>
    <w:rsid w:val="0087135B"/>
    <w:rsid w:val="00872703"/>
    <w:rsid w:val="00873474"/>
    <w:rsid w:val="00873B0D"/>
    <w:rsid w:val="00876B2B"/>
    <w:rsid w:val="00876DE5"/>
    <w:rsid w:val="0088005C"/>
    <w:rsid w:val="00881156"/>
    <w:rsid w:val="00881452"/>
    <w:rsid w:val="00882874"/>
    <w:rsid w:val="00882BD6"/>
    <w:rsid w:val="00883787"/>
    <w:rsid w:val="008845FF"/>
    <w:rsid w:val="0088473F"/>
    <w:rsid w:val="00884F67"/>
    <w:rsid w:val="00887884"/>
    <w:rsid w:val="00887952"/>
    <w:rsid w:val="00887BB5"/>
    <w:rsid w:val="0089141D"/>
    <w:rsid w:val="00891447"/>
    <w:rsid w:val="0089199C"/>
    <w:rsid w:val="008930F0"/>
    <w:rsid w:val="00893AA1"/>
    <w:rsid w:val="00894489"/>
    <w:rsid w:val="00894790"/>
    <w:rsid w:val="008955F5"/>
    <w:rsid w:val="008963A5"/>
    <w:rsid w:val="008976A4"/>
    <w:rsid w:val="008A3C3E"/>
    <w:rsid w:val="008A511C"/>
    <w:rsid w:val="008A76EE"/>
    <w:rsid w:val="008A79DE"/>
    <w:rsid w:val="008A7BDE"/>
    <w:rsid w:val="008B0A35"/>
    <w:rsid w:val="008B0A56"/>
    <w:rsid w:val="008B24D7"/>
    <w:rsid w:val="008B2B72"/>
    <w:rsid w:val="008B3439"/>
    <w:rsid w:val="008B3870"/>
    <w:rsid w:val="008B48B2"/>
    <w:rsid w:val="008B684A"/>
    <w:rsid w:val="008B7827"/>
    <w:rsid w:val="008B7D7E"/>
    <w:rsid w:val="008C0734"/>
    <w:rsid w:val="008C148F"/>
    <w:rsid w:val="008C2407"/>
    <w:rsid w:val="008C6B2A"/>
    <w:rsid w:val="008C7ECB"/>
    <w:rsid w:val="008D0F47"/>
    <w:rsid w:val="008D1EB3"/>
    <w:rsid w:val="008D7604"/>
    <w:rsid w:val="008E1B9E"/>
    <w:rsid w:val="008E28A2"/>
    <w:rsid w:val="008E28CE"/>
    <w:rsid w:val="008E5B04"/>
    <w:rsid w:val="008E7678"/>
    <w:rsid w:val="008F0070"/>
    <w:rsid w:val="008F0222"/>
    <w:rsid w:val="008F114D"/>
    <w:rsid w:val="008F120A"/>
    <w:rsid w:val="008F14F0"/>
    <w:rsid w:val="008F2E8F"/>
    <w:rsid w:val="008F48EB"/>
    <w:rsid w:val="008F4F0B"/>
    <w:rsid w:val="008F6960"/>
    <w:rsid w:val="008F791B"/>
    <w:rsid w:val="008F7F26"/>
    <w:rsid w:val="0090085F"/>
    <w:rsid w:val="00902606"/>
    <w:rsid w:val="009029AB"/>
    <w:rsid w:val="00902DB7"/>
    <w:rsid w:val="009045B1"/>
    <w:rsid w:val="00904CBD"/>
    <w:rsid w:val="009062A5"/>
    <w:rsid w:val="00907487"/>
    <w:rsid w:val="00910319"/>
    <w:rsid w:val="009109E3"/>
    <w:rsid w:val="00911272"/>
    <w:rsid w:val="0091146E"/>
    <w:rsid w:val="00912913"/>
    <w:rsid w:val="00913214"/>
    <w:rsid w:val="00913728"/>
    <w:rsid w:val="009137E7"/>
    <w:rsid w:val="00913D84"/>
    <w:rsid w:val="00915619"/>
    <w:rsid w:val="00917081"/>
    <w:rsid w:val="009173AC"/>
    <w:rsid w:val="00920CB6"/>
    <w:rsid w:val="00920E3A"/>
    <w:rsid w:val="00926304"/>
    <w:rsid w:val="009268CF"/>
    <w:rsid w:val="009331FD"/>
    <w:rsid w:val="009332F7"/>
    <w:rsid w:val="00934136"/>
    <w:rsid w:val="009358C0"/>
    <w:rsid w:val="00935A55"/>
    <w:rsid w:val="00935CBC"/>
    <w:rsid w:val="00936CF7"/>
    <w:rsid w:val="00937BDA"/>
    <w:rsid w:val="00942BF0"/>
    <w:rsid w:val="00942FB0"/>
    <w:rsid w:val="00944295"/>
    <w:rsid w:val="009448E3"/>
    <w:rsid w:val="00950BF5"/>
    <w:rsid w:val="00951B2A"/>
    <w:rsid w:val="00952FFE"/>
    <w:rsid w:val="00954979"/>
    <w:rsid w:val="00955992"/>
    <w:rsid w:val="00955D48"/>
    <w:rsid w:val="00957A05"/>
    <w:rsid w:val="009601C5"/>
    <w:rsid w:val="0096071E"/>
    <w:rsid w:val="00962CB9"/>
    <w:rsid w:val="00964312"/>
    <w:rsid w:val="009646A5"/>
    <w:rsid w:val="0097270E"/>
    <w:rsid w:val="0097419F"/>
    <w:rsid w:val="00981A42"/>
    <w:rsid w:val="00981AC1"/>
    <w:rsid w:val="00981F7F"/>
    <w:rsid w:val="00983322"/>
    <w:rsid w:val="00983E57"/>
    <w:rsid w:val="00984E88"/>
    <w:rsid w:val="009862AB"/>
    <w:rsid w:val="00986D8F"/>
    <w:rsid w:val="0098755A"/>
    <w:rsid w:val="009924BB"/>
    <w:rsid w:val="009962FF"/>
    <w:rsid w:val="00996B1A"/>
    <w:rsid w:val="009971D7"/>
    <w:rsid w:val="00997924"/>
    <w:rsid w:val="009A0236"/>
    <w:rsid w:val="009A08F4"/>
    <w:rsid w:val="009A1603"/>
    <w:rsid w:val="009A1DEF"/>
    <w:rsid w:val="009A2137"/>
    <w:rsid w:val="009A2248"/>
    <w:rsid w:val="009A4CBF"/>
    <w:rsid w:val="009A5F30"/>
    <w:rsid w:val="009A7D16"/>
    <w:rsid w:val="009B182D"/>
    <w:rsid w:val="009B2B76"/>
    <w:rsid w:val="009B3E26"/>
    <w:rsid w:val="009B3F8F"/>
    <w:rsid w:val="009B5796"/>
    <w:rsid w:val="009B7E7A"/>
    <w:rsid w:val="009C00FC"/>
    <w:rsid w:val="009C020B"/>
    <w:rsid w:val="009C0CFE"/>
    <w:rsid w:val="009C3A5F"/>
    <w:rsid w:val="009C642A"/>
    <w:rsid w:val="009C7702"/>
    <w:rsid w:val="009D1ABB"/>
    <w:rsid w:val="009D25EB"/>
    <w:rsid w:val="009D405B"/>
    <w:rsid w:val="009D5B91"/>
    <w:rsid w:val="009D69F9"/>
    <w:rsid w:val="009E0138"/>
    <w:rsid w:val="009E07E0"/>
    <w:rsid w:val="009E131B"/>
    <w:rsid w:val="009E208F"/>
    <w:rsid w:val="009E2ABE"/>
    <w:rsid w:val="009E376C"/>
    <w:rsid w:val="009E4C07"/>
    <w:rsid w:val="009E520D"/>
    <w:rsid w:val="009E6227"/>
    <w:rsid w:val="009E794A"/>
    <w:rsid w:val="009F0A00"/>
    <w:rsid w:val="009F4D04"/>
    <w:rsid w:val="00A01503"/>
    <w:rsid w:val="00A03D43"/>
    <w:rsid w:val="00A04380"/>
    <w:rsid w:val="00A06B18"/>
    <w:rsid w:val="00A07530"/>
    <w:rsid w:val="00A1066E"/>
    <w:rsid w:val="00A11BA3"/>
    <w:rsid w:val="00A128F3"/>
    <w:rsid w:val="00A13948"/>
    <w:rsid w:val="00A144DF"/>
    <w:rsid w:val="00A145BC"/>
    <w:rsid w:val="00A17B49"/>
    <w:rsid w:val="00A22145"/>
    <w:rsid w:val="00A22C53"/>
    <w:rsid w:val="00A23B83"/>
    <w:rsid w:val="00A25C2C"/>
    <w:rsid w:val="00A26453"/>
    <w:rsid w:val="00A26607"/>
    <w:rsid w:val="00A279D2"/>
    <w:rsid w:val="00A27AEC"/>
    <w:rsid w:val="00A323C5"/>
    <w:rsid w:val="00A330B4"/>
    <w:rsid w:val="00A3362C"/>
    <w:rsid w:val="00A35D16"/>
    <w:rsid w:val="00A378E6"/>
    <w:rsid w:val="00A37C7C"/>
    <w:rsid w:val="00A430C5"/>
    <w:rsid w:val="00A43C59"/>
    <w:rsid w:val="00A50E62"/>
    <w:rsid w:val="00A50ECD"/>
    <w:rsid w:val="00A52043"/>
    <w:rsid w:val="00A5236A"/>
    <w:rsid w:val="00A5255E"/>
    <w:rsid w:val="00A52729"/>
    <w:rsid w:val="00A52927"/>
    <w:rsid w:val="00A52D1F"/>
    <w:rsid w:val="00A53675"/>
    <w:rsid w:val="00A54E4F"/>
    <w:rsid w:val="00A55BD2"/>
    <w:rsid w:val="00A56B6A"/>
    <w:rsid w:val="00A572D0"/>
    <w:rsid w:val="00A578DC"/>
    <w:rsid w:val="00A57C25"/>
    <w:rsid w:val="00A57E03"/>
    <w:rsid w:val="00A608A9"/>
    <w:rsid w:val="00A60F26"/>
    <w:rsid w:val="00A61373"/>
    <w:rsid w:val="00A61941"/>
    <w:rsid w:val="00A63B64"/>
    <w:rsid w:val="00A65AD5"/>
    <w:rsid w:val="00A6725B"/>
    <w:rsid w:val="00A701E4"/>
    <w:rsid w:val="00A705FD"/>
    <w:rsid w:val="00A723A1"/>
    <w:rsid w:val="00A73F35"/>
    <w:rsid w:val="00A81A80"/>
    <w:rsid w:val="00A81C5C"/>
    <w:rsid w:val="00A830A9"/>
    <w:rsid w:val="00A83813"/>
    <w:rsid w:val="00A866F3"/>
    <w:rsid w:val="00A86E8B"/>
    <w:rsid w:val="00A87097"/>
    <w:rsid w:val="00A906F0"/>
    <w:rsid w:val="00A914A7"/>
    <w:rsid w:val="00A93072"/>
    <w:rsid w:val="00A9369E"/>
    <w:rsid w:val="00A94C80"/>
    <w:rsid w:val="00A94CB8"/>
    <w:rsid w:val="00A9555D"/>
    <w:rsid w:val="00A959D8"/>
    <w:rsid w:val="00A95EB0"/>
    <w:rsid w:val="00A96DF3"/>
    <w:rsid w:val="00AA7550"/>
    <w:rsid w:val="00AA7D0A"/>
    <w:rsid w:val="00AB042A"/>
    <w:rsid w:val="00AB18B1"/>
    <w:rsid w:val="00AB2D34"/>
    <w:rsid w:val="00AB3430"/>
    <w:rsid w:val="00AB5221"/>
    <w:rsid w:val="00AB786F"/>
    <w:rsid w:val="00AB7CFA"/>
    <w:rsid w:val="00AC2DF9"/>
    <w:rsid w:val="00AC46F4"/>
    <w:rsid w:val="00AC564C"/>
    <w:rsid w:val="00AD0BEE"/>
    <w:rsid w:val="00AD0C4E"/>
    <w:rsid w:val="00AD3092"/>
    <w:rsid w:val="00AD37C7"/>
    <w:rsid w:val="00AD47A0"/>
    <w:rsid w:val="00AD58FC"/>
    <w:rsid w:val="00AD5A0B"/>
    <w:rsid w:val="00AE104D"/>
    <w:rsid w:val="00AE260E"/>
    <w:rsid w:val="00AE2E4A"/>
    <w:rsid w:val="00AE3566"/>
    <w:rsid w:val="00AE4764"/>
    <w:rsid w:val="00AE48F8"/>
    <w:rsid w:val="00AF056F"/>
    <w:rsid w:val="00AF2DAC"/>
    <w:rsid w:val="00AF3084"/>
    <w:rsid w:val="00AF3C79"/>
    <w:rsid w:val="00AF4A99"/>
    <w:rsid w:val="00AF73F7"/>
    <w:rsid w:val="00AF79F0"/>
    <w:rsid w:val="00B02515"/>
    <w:rsid w:val="00B0375C"/>
    <w:rsid w:val="00B0566B"/>
    <w:rsid w:val="00B06A53"/>
    <w:rsid w:val="00B07B2A"/>
    <w:rsid w:val="00B11639"/>
    <w:rsid w:val="00B13CA8"/>
    <w:rsid w:val="00B17DAD"/>
    <w:rsid w:val="00B20D42"/>
    <w:rsid w:val="00B212D5"/>
    <w:rsid w:val="00B2164C"/>
    <w:rsid w:val="00B22810"/>
    <w:rsid w:val="00B2701A"/>
    <w:rsid w:val="00B3067F"/>
    <w:rsid w:val="00B31638"/>
    <w:rsid w:val="00B33CEB"/>
    <w:rsid w:val="00B34916"/>
    <w:rsid w:val="00B356C2"/>
    <w:rsid w:val="00B36127"/>
    <w:rsid w:val="00B3612A"/>
    <w:rsid w:val="00B369D2"/>
    <w:rsid w:val="00B3719F"/>
    <w:rsid w:val="00B406D3"/>
    <w:rsid w:val="00B41903"/>
    <w:rsid w:val="00B42132"/>
    <w:rsid w:val="00B42851"/>
    <w:rsid w:val="00B430CC"/>
    <w:rsid w:val="00B43679"/>
    <w:rsid w:val="00B446C4"/>
    <w:rsid w:val="00B44792"/>
    <w:rsid w:val="00B45482"/>
    <w:rsid w:val="00B45EA0"/>
    <w:rsid w:val="00B46387"/>
    <w:rsid w:val="00B50A02"/>
    <w:rsid w:val="00B50DB8"/>
    <w:rsid w:val="00B50FDC"/>
    <w:rsid w:val="00B53527"/>
    <w:rsid w:val="00B53905"/>
    <w:rsid w:val="00B54B5B"/>
    <w:rsid w:val="00B54D6F"/>
    <w:rsid w:val="00B55323"/>
    <w:rsid w:val="00B5562E"/>
    <w:rsid w:val="00B56E0C"/>
    <w:rsid w:val="00B57000"/>
    <w:rsid w:val="00B575AC"/>
    <w:rsid w:val="00B607F5"/>
    <w:rsid w:val="00B608FE"/>
    <w:rsid w:val="00B60939"/>
    <w:rsid w:val="00B60AFD"/>
    <w:rsid w:val="00B60E19"/>
    <w:rsid w:val="00B615DC"/>
    <w:rsid w:val="00B62324"/>
    <w:rsid w:val="00B62715"/>
    <w:rsid w:val="00B63B41"/>
    <w:rsid w:val="00B64189"/>
    <w:rsid w:val="00B677B6"/>
    <w:rsid w:val="00B67989"/>
    <w:rsid w:val="00B705D1"/>
    <w:rsid w:val="00B70E92"/>
    <w:rsid w:val="00B719BE"/>
    <w:rsid w:val="00B7494B"/>
    <w:rsid w:val="00B74B9C"/>
    <w:rsid w:val="00B75F2C"/>
    <w:rsid w:val="00B818A4"/>
    <w:rsid w:val="00B82448"/>
    <w:rsid w:val="00B84224"/>
    <w:rsid w:val="00B8649C"/>
    <w:rsid w:val="00B912A6"/>
    <w:rsid w:val="00B914D5"/>
    <w:rsid w:val="00B91F0A"/>
    <w:rsid w:val="00B92032"/>
    <w:rsid w:val="00B926D2"/>
    <w:rsid w:val="00B92D0B"/>
    <w:rsid w:val="00B9413B"/>
    <w:rsid w:val="00B94945"/>
    <w:rsid w:val="00B9676C"/>
    <w:rsid w:val="00BA180A"/>
    <w:rsid w:val="00BA38D0"/>
    <w:rsid w:val="00BA5CF3"/>
    <w:rsid w:val="00BB004C"/>
    <w:rsid w:val="00BB2E84"/>
    <w:rsid w:val="00BB4F3E"/>
    <w:rsid w:val="00BB6A17"/>
    <w:rsid w:val="00BB6E5A"/>
    <w:rsid w:val="00BB6F93"/>
    <w:rsid w:val="00BB738A"/>
    <w:rsid w:val="00BB7405"/>
    <w:rsid w:val="00BB763A"/>
    <w:rsid w:val="00BC061D"/>
    <w:rsid w:val="00BC0EC7"/>
    <w:rsid w:val="00BC1DD5"/>
    <w:rsid w:val="00BC7461"/>
    <w:rsid w:val="00BD01F8"/>
    <w:rsid w:val="00BD2457"/>
    <w:rsid w:val="00BD3820"/>
    <w:rsid w:val="00BD48F6"/>
    <w:rsid w:val="00BD6CF3"/>
    <w:rsid w:val="00BE2180"/>
    <w:rsid w:val="00BE4182"/>
    <w:rsid w:val="00BE4275"/>
    <w:rsid w:val="00BE4CA6"/>
    <w:rsid w:val="00BE5046"/>
    <w:rsid w:val="00BE6780"/>
    <w:rsid w:val="00BE75C4"/>
    <w:rsid w:val="00BF2433"/>
    <w:rsid w:val="00BF51EB"/>
    <w:rsid w:val="00BF61C9"/>
    <w:rsid w:val="00BF6C02"/>
    <w:rsid w:val="00BF77D8"/>
    <w:rsid w:val="00BF7E21"/>
    <w:rsid w:val="00C03518"/>
    <w:rsid w:val="00C0430B"/>
    <w:rsid w:val="00C06A0B"/>
    <w:rsid w:val="00C07469"/>
    <w:rsid w:val="00C07ECB"/>
    <w:rsid w:val="00C107F3"/>
    <w:rsid w:val="00C1199C"/>
    <w:rsid w:val="00C1267B"/>
    <w:rsid w:val="00C13E77"/>
    <w:rsid w:val="00C14BBA"/>
    <w:rsid w:val="00C16145"/>
    <w:rsid w:val="00C16DD1"/>
    <w:rsid w:val="00C1743F"/>
    <w:rsid w:val="00C21801"/>
    <w:rsid w:val="00C25418"/>
    <w:rsid w:val="00C25537"/>
    <w:rsid w:val="00C25D9C"/>
    <w:rsid w:val="00C26DB7"/>
    <w:rsid w:val="00C2702A"/>
    <w:rsid w:val="00C31649"/>
    <w:rsid w:val="00C317F9"/>
    <w:rsid w:val="00C32078"/>
    <w:rsid w:val="00C320C5"/>
    <w:rsid w:val="00C3674F"/>
    <w:rsid w:val="00C40385"/>
    <w:rsid w:val="00C40B92"/>
    <w:rsid w:val="00C40F69"/>
    <w:rsid w:val="00C4107D"/>
    <w:rsid w:val="00C43C99"/>
    <w:rsid w:val="00C451C0"/>
    <w:rsid w:val="00C46777"/>
    <w:rsid w:val="00C46C4F"/>
    <w:rsid w:val="00C47E54"/>
    <w:rsid w:val="00C52BE6"/>
    <w:rsid w:val="00C530F8"/>
    <w:rsid w:val="00C5337E"/>
    <w:rsid w:val="00C53861"/>
    <w:rsid w:val="00C53D9C"/>
    <w:rsid w:val="00C54EE9"/>
    <w:rsid w:val="00C55C83"/>
    <w:rsid w:val="00C566F3"/>
    <w:rsid w:val="00C6041C"/>
    <w:rsid w:val="00C607E9"/>
    <w:rsid w:val="00C61F4B"/>
    <w:rsid w:val="00C62639"/>
    <w:rsid w:val="00C627D0"/>
    <w:rsid w:val="00C64202"/>
    <w:rsid w:val="00C649EC"/>
    <w:rsid w:val="00C65576"/>
    <w:rsid w:val="00C66165"/>
    <w:rsid w:val="00C70D04"/>
    <w:rsid w:val="00C72D67"/>
    <w:rsid w:val="00C72FEE"/>
    <w:rsid w:val="00C7328A"/>
    <w:rsid w:val="00C7479F"/>
    <w:rsid w:val="00C750C8"/>
    <w:rsid w:val="00C75A67"/>
    <w:rsid w:val="00C7784D"/>
    <w:rsid w:val="00C80B72"/>
    <w:rsid w:val="00C811CA"/>
    <w:rsid w:val="00C8213F"/>
    <w:rsid w:val="00C83CEE"/>
    <w:rsid w:val="00C84934"/>
    <w:rsid w:val="00C84EC5"/>
    <w:rsid w:val="00C861D9"/>
    <w:rsid w:val="00C877A6"/>
    <w:rsid w:val="00C8797A"/>
    <w:rsid w:val="00C903BA"/>
    <w:rsid w:val="00C92350"/>
    <w:rsid w:val="00C92FB1"/>
    <w:rsid w:val="00C931F1"/>
    <w:rsid w:val="00C938CF"/>
    <w:rsid w:val="00C94447"/>
    <w:rsid w:val="00C94D17"/>
    <w:rsid w:val="00C94FB5"/>
    <w:rsid w:val="00CA2A31"/>
    <w:rsid w:val="00CA43C8"/>
    <w:rsid w:val="00CA5245"/>
    <w:rsid w:val="00CA600F"/>
    <w:rsid w:val="00CA6579"/>
    <w:rsid w:val="00CA6C6C"/>
    <w:rsid w:val="00CA753A"/>
    <w:rsid w:val="00CA783E"/>
    <w:rsid w:val="00CA7B09"/>
    <w:rsid w:val="00CB0603"/>
    <w:rsid w:val="00CB083E"/>
    <w:rsid w:val="00CB1821"/>
    <w:rsid w:val="00CB1F12"/>
    <w:rsid w:val="00CB2F9D"/>
    <w:rsid w:val="00CB4165"/>
    <w:rsid w:val="00CB5B1A"/>
    <w:rsid w:val="00CB5F44"/>
    <w:rsid w:val="00CB6A85"/>
    <w:rsid w:val="00CB7CF8"/>
    <w:rsid w:val="00CC0EC4"/>
    <w:rsid w:val="00CC55C4"/>
    <w:rsid w:val="00CC5CC4"/>
    <w:rsid w:val="00CC638F"/>
    <w:rsid w:val="00CC6BD1"/>
    <w:rsid w:val="00CC7C9A"/>
    <w:rsid w:val="00CD09B6"/>
    <w:rsid w:val="00CD289C"/>
    <w:rsid w:val="00CD3379"/>
    <w:rsid w:val="00CD4BC2"/>
    <w:rsid w:val="00CD4FCC"/>
    <w:rsid w:val="00CD5B8F"/>
    <w:rsid w:val="00CD6ADC"/>
    <w:rsid w:val="00CD7796"/>
    <w:rsid w:val="00CE05EB"/>
    <w:rsid w:val="00CE0759"/>
    <w:rsid w:val="00CE293E"/>
    <w:rsid w:val="00CE2CD8"/>
    <w:rsid w:val="00CE4211"/>
    <w:rsid w:val="00CE5D84"/>
    <w:rsid w:val="00CE6274"/>
    <w:rsid w:val="00CE741C"/>
    <w:rsid w:val="00CE7BC6"/>
    <w:rsid w:val="00CF14B7"/>
    <w:rsid w:val="00CF1AA3"/>
    <w:rsid w:val="00CF4538"/>
    <w:rsid w:val="00CF456B"/>
    <w:rsid w:val="00CF45AA"/>
    <w:rsid w:val="00CF57A2"/>
    <w:rsid w:val="00CF5A22"/>
    <w:rsid w:val="00CF64E7"/>
    <w:rsid w:val="00CF6C17"/>
    <w:rsid w:val="00CF6ECA"/>
    <w:rsid w:val="00CF7B61"/>
    <w:rsid w:val="00D00627"/>
    <w:rsid w:val="00D0262E"/>
    <w:rsid w:val="00D02974"/>
    <w:rsid w:val="00D03D84"/>
    <w:rsid w:val="00D05AFB"/>
    <w:rsid w:val="00D075C3"/>
    <w:rsid w:val="00D0775D"/>
    <w:rsid w:val="00D102AD"/>
    <w:rsid w:val="00D110BD"/>
    <w:rsid w:val="00D137EE"/>
    <w:rsid w:val="00D14CAB"/>
    <w:rsid w:val="00D17D6C"/>
    <w:rsid w:val="00D20B92"/>
    <w:rsid w:val="00D20C50"/>
    <w:rsid w:val="00D2185E"/>
    <w:rsid w:val="00D313EB"/>
    <w:rsid w:val="00D32403"/>
    <w:rsid w:val="00D32D22"/>
    <w:rsid w:val="00D357FF"/>
    <w:rsid w:val="00D35DCB"/>
    <w:rsid w:val="00D40253"/>
    <w:rsid w:val="00D408FA"/>
    <w:rsid w:val="00D40ACA"/>
    <w:rsid w:val="00D46730"/>
    <w:rsid w:val="00D47312"/>
    <w:rsid w:val="00D5020C"/>
    <w:rsid w:val="00D514DA"/>
    <w:rsid w:val="00D51DCE"/>
    <w:rsid w:val="00D53309"/>
    <w:rsid w:val="00D5331D"/>
    <w:rsid w:val="00D5440C"/>
    <w:rsid w:val="00D54BB9"/>
    <w:rsid w:val="00D56845"/>
    <w:rsid w:val="00D56EC3"/>
    <w:rsid w:val="00D61CC7"/>
    <w:rsid w:val="00D642ED"/>
    <w:rsid w:val="00D67BFA"/>
    <w:rsid w:val="00D67FCD"/>
    <w:rsid w:val="00D74072"/>
    <w:rsid w:val="00D7611A"/>
    <w:rsid w:val="00D76A44"/>
    <w:rsid w:val="00D77699"/>
    <w:rsid w:val="00D80E26"/>
    <w:rsid w:val="00D81775"/>
    <w:rsid w:val="00D81CDA"/>
    <w:rsid w:val="00D82330"/>
    <w:rsid w:val="00D82A3D"/>
    <w:rsid w:val="00D84332"/>
    <w:rsid w:val="00D86716"/>
    <w:rsid w:val="00D86E5E"/>
    <w:rsid w:val="00D9032A"/>
    <w:rsid w:val="00D916E2"/>
    <w:rsid w:val="00D93753"/>
    <w:rsid w:val="00D93B1D"/>
    <w:rsid w:val="00D94DB7"/>
    <w:rsid w:val="00D95A1E"/>
    <w:rsid w:val="00D96532"/>
    <w:rsid w:val="00DA1234"/>
    <w:rsid w:val="00DA16E0"/>
    <w:rsid w:val="00DA1B32"/>
    <w:rsid w:val="00DA1EC9"/>
    <w:rsid w:val="00DA41DC"/>
    <w:rsid w:val="00DA540D"/>
    <w:rsid w:val="00DA659E"/>
    <w:rsid w:val="00DA77A5"/>
    <w:rsid w:val="00DA78F3"/>
    <w:rsid w:val="00DB0A5F"/>
    <w:rsid w:val="00DB1803"/>
    <w:rsid w:val="00DB194A"/>
    <w:rsid w:val="00DB2734"/>
    <w:rsid w:val="00DB27FB"/>
    <w:rsid w:val="00DB3AE9"/>
    <w:rsid w:val="00DB4736"/>
    <w:rsid w:val="00DB4B44"/>
    <w:rsid w:val="00DB58C5"/>
    <w:rsid w:val="00DB5BDB"/>
    <w:rsid w:val="00DB63E8"/>
    <w:rsid w:val="00DC25D3"/>
    <w:rsid w:val="00DC43A5"/>
    <w:rsid w:val="00DC5501"/>
    <w:rsid w:val="00DC71E3"/>
    <w:rsid w:val="00DC7DDF"/>
    <w:rsid w:val="00DD3F28"/>
    <w:rsid w:val="00DD4537"/>
    <w:rsid w:val="00DD4E15"/>
    <w:rsid w:val="00DD6A2F"/>
    <w:rsid w:val="00DD76FF"/>
    <w:rsid w:val="00DE02BE"/>
    <w:rsid w:val="00DE19A2"/>
    <w:rsid w:val="00DE28DF"/>
    <w:rsid w:val="00DE2F9A"/>
    <w:rsid w:val="00DE4BE7"/>
    <w:rsid w:val="00DE4FCB"/>
    <w:rsid w:val="00DE52BC"/>
    <w:rsid w:val="00DE56B7"/>
    <w:rsid w:val="00DE6CA7"/>
    <w:rsid w:val="00DE6FBC"/>
    <w:rsid w:val="00DF09FA"/>
    <w:rsid w:val="00DF3DAA"/>
    <w:rsid w:val="00DF46A6"/>
    <w:rsid w:val="00DF5D2B"/>
    <w:rsid w:val="00DF71AA"/>
    <w:rsid w:val="00E01165"/>
    <w:rsid w:val="00E011D8"/>
    <w:rsid w:val="00E03691"/>
    <w:rsid w:val="00E051DB"/>
    <w:rsid w:val="00E05422"/>
    <w:rsid w:val="00E06AFA"/>
    <w:rsid w:val="00E06EFE"/>
    <w:rsid w:val="00E10149"/>
    <w:rsid w:val="00E105E7"/>
    <w:rsid w:val="00E14A39"/>
    <w:rsid w:val="00E15389"/>
    <w:rsid w:val="00E1620F"/>
    <w:rsid w:val="00E16372"/>
    <w:rsid w:val="00E17732"/>
    <w:rsid w:val="00E204AF"/>
    <w:rsid w:val="00E20ED6"/>
    <w:rsid w:val="00E21358"/>
    <w:rsid w:val="00E2249B"/>
    <w:rsid w:val="00E22A0D"/>
    <w:rsid w:val="00E22FE2"/>
    <w:rsid w:val="00E23791"/>
    <w:rsid w:val="00E25434"/>
    <w:rsid w:val="00E2771E"/>
    <w:rsid w:val="00E27FC4"/>
    <w:rsid w:val="00E308A6"/>
    <w:rsid w:val="00E30EC4"/>
    <w:rsid w:val="00E33805"/>
    <w:rsid w:val="00E34EE2"/>
    <w:rsid w:val="00E3520E"/>
    <w:rsid w:val="00E35E6B"/>
    <w:rsid w:val="00E37569"/>
    <w:rsid w:val="00E37A2A"/>
    <w:rsid w:val="00E41E30"/>
    <w:rsid w:val="00E42337"/>
    <w:rsid w:val="00E439FD"/>
    <w:rsid w:val="00E43D70"/>
    <w:rsid w:val="00E44281"/>
    <w:rsid w:val="00E47B2C"/>
    <w:rsid w:val="00E50FFB"/>
    <w:rsid w:val="00E51560"/>
    <w:rsid w:val="00E547C7"/>
    <w:rsid w:val="00E55424"/>
    <w:rsid w:val="00E55BB5"/>
    <w:rsid w:val="00E55CF5"/>
    <w:rsid w:val="00E57562"/>
    <w:rsid w:val="00E61111"/>
    <w:rsid w:val="00E61138"/>
    <w:rsid w:val="00E62C2F"/>
    <w:rsid w:val="00E62E96"/>
    <w:rsid w:val="00E63A9C"/>
    <w:rsid w:val="00E63B1A"/>
    <w:rsid w:val="00E65B7A"/>
    <w:rsid w:val="00E65E79"/>
    <w:rsid w:val="00E67416"/>
    <w:rsid w:val="00E67B71"/>
    <w:rsid w:val="00E714C7"/>
    <w:rsid w:val="00E718B6"/>
    <w:rsid w:val="00E71E38"/>
    <w:rsid w:val="00E73581"/>
    <w:rsid w:val="00E73648"/>
    <w:rsid w:val="00E745C6"/>
    <w:rsid w:val="00E747A2"/>
    <w:rsid w:val="00E77B79"/>
    <w:rsid w:val="00E803D1"/>
    <w:rsid w:val="00E81FB7"/>
    <w:rsid w:val="00E83BDF"/>
    <w:rsid w:val="00E864E4"/>
    <w:rsid w:val="00E9269B"/>
    <w:rsid w:val="00E96884"/>
    <w:rsid w:val="00EA023C"/>
    <w:rsid w:val="00EA3864"/>
    <w:rsid w:val="00EA475E"/>
    <w:rsid w:val="00EA4E05"/>
    <w:rsid w:val="00EA4E20"/>
    <w:rsid w:val="00EA637A"/>
    <w:rsid w:val="00EA7783"/>
    <w:rsid w:val="00EB15B6"/>
    <w:rsid w:val="00EB2A19"/>
    <w:rsid w:val="00EB3683"/>
    <w:rsid w:val="00EB391C"/>
    <w:rsid w:val="00EB4916"/>
    <w:rsid w:val="00EB654D"/>
    <w:rsid w:val="00EB7A42"/>
    <w:rsid w:val="00EB7D1C"/>
    <w:rsid w:val="00EC00C9"/>
    <w:rsid w:val="00EC0172"/>
    <w:rsid w:val="00EC0845"/>
    <w:rsid w:val="00EC298F"/>
    <w:rsid w:val="00EC3030"/>
    <w:rsid w:val="00EC4794"/>
    <w:rsid w:val="00EC59B1"/>
    <w:rsid w:val="00EC6AA6"/>
    <w:rsid w:val="00ED05B4"/>
    <w:rsid w:val="00ED0867"/>
    <w:rsid w:val="00ED1862"/>
    <w:rsid w:val="00ED19A8"/>
    <w:rsid w:val="00ED4379"/>
    <w:rsid w:val="00ED45AF"/>
    <w:rsid w:val="00ED5B95"/>
    <w:rsid w:val="00ED7E18"/>
    <w:rsid w:val="00EE02A5"/>
    <w:rsid w:val="00EE07D3"/>
    <w:rsid w:val="00EE2494"/>
    <w:rsid w:val="00EE40E7"/>
    <w:rsid w:val="00EE4BDC"/>
    <w:rsid w:val="00EF142B"/>
    <w:rsid w:val="00EF429F"/>
    <w:rsid w:val="00EF4558"/>
    <w:rsid w:val="00EF573F"/>
    <w:rsid w:val="00EF5D25"/>
    <w:rsid w:val="00EF777C"/>
    <w:rsid w:val="00F0201F"/>
    <w:rsid w:val="00F04991"/>
    <w:rsid w:val="00F0585D"/>
    <w:rsid w:val="00F062E6"/>
    <w:rsid w:val="00F067A2"/>
    <w:rsid w:val="00F07279"/>
    <w:rsid w:val="00F1056B"/>
    <w:rsid w:val="00F11546"/>
    <w:rsid w:val="00F136BE"/>
    <w:rsid w:val="00F20261"/>
    <w:rsid w:val="00F20F13"/>
    <w:rsid w:val="00F212D6"/>
    <w:rsid w:val="00F23267"/>
    <w:rsid w:val="00F24837"/>
    <w:rsid w:val="00F2575F"/>
    <w:rsid w:val="00F266D4"/>
    <w:rsid w:val="00F26921"/>
    <w:rsid w:val="00F27D6D"/>
    <w:rsid w:val="00F305B8"/>
    <w:rsid w:val="00F31F74"/>
    <w:rsid w:val="00F320C9"/>
    <w:rsid w:val="00F32107"/>
    <w:rsid w:val="00F33764"/>
    <w:rsid w:val="00F33DE9"/>
    <w:rsid w:val="00F3514C"/>
    <w:rsid w:val="00F35B36"/>
    <w:rsid w:val="00F35BBD"/>
    <w:rsid w:val="00F3619A"/>
    <w:rsid w:val="00F413B1"/>
    <w:rsid w:val="00F45BE4"/>
    <w:rsid w:val="00F46CB6"/>
    <w:rsid w:val="00F47426"/>
    <w:rsid w:val="00F539EE"/>
    <w:rsid w:val="00F552C9"/>
    <w:rsid w:val="00F55376"/>
    <w:rsid w:val="00F55E73"/>
    <w:rsid w:val="00F568F0"/>
    <w:rsid w:val="00F57FFE"/>
    <w:rsid w:val="00F60092"/>
    <w:rsid w:val="00F60800"/>
    <w:rsid w:val="00F60FCF"/>
    <w:rsid w:val="00F658A0"/>
    <w:rsid w:val="00F71170"/>
    <w:rsid w:val="00F71B92"/>
    <w:rsid w:val="00F731FB"/>
    <w:rsid w:val="00F73699"/>
    <w:rsid w:val="00F73877"/>
    <w:rsid w:val="00F73A06"/>
    <w:rsid w:val="00F750EC"/>
    <w:rsid w:val="00F7607E"/>
    <w:rsid w:val="00F80641"/>
    <w:rsid w:val="00F80E5D"/>
    <w:rsid w:val="00F83727"/>
    <w:rsid w:val="00F83F11"/>
    <w:rsid w:val="00F83F8E"/>
    <w:rsid w:val="00F851CE"/>
    <w:rsid w:val="00F8665D"/>
    <w:rsid w:val="00F86FF4"/>
    <w:rsid w:val="00F87269"/>
    <w:rsid w:val="00F879AB"/>
    <w:rsid w:val="00F94099"/>
    <w:rsid w:val="00F953AD"/>
    <w:rsid w:val="00F96315"/>
    <w:rsid w:val="00F96360"/>
    <w:rsid w:val="00F976CE"/>
    <w:rsid w:val="00F977FA"/>
    <w:rsid w:val="00F97858"/>
    <w:rsid w:val="00F97A78"/>
    <w:rsid w:val="00FA24E7"/>
    <w:rsid w:val="00FA435F"/>
    <w:rsid w:val="00FA6C9C"/>
    <w:rsid w:val="00FA769C"/>
    <w:rsid w:val="00FB1253"/>
    <w:rsid w:val="00FB1549"/>
    <w:rsid w:val="00FB1D65"/>
    <w:rsid w:val="00FB2FCB"/>
    <w:rsid w:val="00FB3206"/>
    <w:rsid w:val="00FB620A"/>
    <w:rsid w:val="00FB7249"/>
    <w:rsid w:val="00FC0A9B"/>
    <w:rsid w:val="00FC0E0D"/>
    <w:rsid w:val="00FC1074"/>
    <w:rsid w:val="00FC1733"/>
    <w:rsid w:val="00FC1884"/>
    <w:rsid w:val="00FC221B"/>
    <w:rsid w:val="00FC2A7D"/>
    <w:rsid w:val="00FC32B9"/>
    <w:rsid w:val="00FC62EE"/>
    <w:rsid w:val="00FC6D2F"/>
    <w:rsid w:val="00FC7B2E"/>
    <w:rsid w:val="00FD2100"/>
    <w:rsid w:val="00FD32FA"/>
    <w:rsid w:val="00FD33FE"/>
    <w:rsid w:val="00FD34C8"/>
    <w:rsid w:val="00FD446D"/>
    <w:rsid w:val="00FD52DB"/>
    <w:rsid w:val="00FD62C3"/>
    <w:rsid w:val="00FD6982"/>
    <w:rsid w:val="00FD6ACF"/>
    <w:rsid w:val="00FD6F55"/>
    <w:rsid w:val="00FE1175"/>
    <w:rsid w:val="00FE1CA2"/>
    <w:rsid w:val="00FE1E57"/>
    <w:rsid w:val="00FE3486"/>
    <w:rsid w:val="00FE40F6"/>
    <w:rsid w:val="00FE4FE9"/>
    <w:rsid w:val="00FE5A77"/>
    <w:rsid w:val="00FE6266"/>
    <w:rsid w:val="00FF3DCF"/>
    <w:rsid w:val="00FF429B"/>
    <w:rsid w:val="00FF4336"/>
    <w:rsid w:val="00FF4D01"/>
    <w:rsid w:val="00FF5135"/>
    <w:rsid w:val="00FF5AA3"/>
    <w:rsid w:val="00FF5E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F7B6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6A53"/>
    <w:pPr>
      <w:numPr>
        <w:numId w:val="3"/>
      </w:numPr>
      <w:outlineLvl w:val="0"/>
    </w:pPr>
    <w:rPr>
      <w:rFonts w:ascii="Arial" w:hAnsi="Arial" w:cs="Arial"/>
      <w:b/>
      <w:snapToGrid w:val="0"/>
      <w:sz w:val="22"/>
      <w:szCs w:val="22"/>
      <w:lang w:eastAsia="en-US"/>
    </w:rPr>
  </w:style>
  <w:style w:type="table" w:customStyle="1" w:styleId="Summarybox1">
    <w:name w:val="Summary box1"/>
    <w:basedOn w:val="TableNormal"/>
    <w:next w:val="TableGrid"/>
    <w:uiPriority w:val="59"/>
    <w:rsid w:val="002A4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HEADLeftAligned">
    <w:name w:val="COMtbl-HEAD Left Aligned"/>
    <w:basedOn w:val="Normal"/>
    <w:qFormat/>
    <w:rsid w:val="0060204D"/>
    <w:pPr>
      <w:tabs>
        <w:tab w:val="left" w:pos="720"/>
      </w:tabs>
      <w:jc w:val="left"/>
    </w:pPr>
    <w:rPr>
      <w:rFonts w:ascii="Arial Narrow" w:hAnsi="Arial Narrow"/>
      <w:b/>
      <w:sz w:val="20"/>
    </w:rPr>
  </w:style>
  <w:style w:type="paragraph" w:styleId="FootnoteText">
    <w:name w:val="footnote text"/>
    <w:basedOn w:val="Normal"/>
    <w:link w:val="FootnoteTextChar"/>
    <w:uiPriority w:val="99"/>
    <w:semiHidden/>
    <w:unhideWhenUsed/>
    <w:rsid w:val="00B20D42"/>
    <w:rPr>
      <w:sz w:val="20"/>
    </w:rPr>
  </w:style>
  <w:style w:type="character" w:customStyle="1" w:styleId="FootnoteTextChar">
    <w:name w:val="Footnote Text Char"/>
    <w:basedOn w:val="DefaultParagraphFont"/>
    <w:link w:val="FootnoteText"/>
    <w:uiPriority w:val="99"/>
    <w:semiHidden/>
    <w:rsid w:val="00B20D42"/>
    <w:rPr>
      <w:rFonts w:ascii="Arial" w:hAnsi="Arial" w:cs="Arial"/>
      <w:snapToGrid w:val="0"/>
      <w:lang w:eastAsia="en-US"/>
    </w:rPr>
  </w:style>
  <w:style w:type="character" w:styleId="FootnoteReference">
    <w:name w:val="footnote reference"/>
    <w:basedOn w:val="DefaultParagraphFont"/>
    <w:uiPriority w:val="99"/>
    <w:semiHidden/>
    <w:unhideWhenUsed/>
    <w:rsid w:val="00B20D42"/>
    <w:rPr>
      <w:vertAlign w:val="superscript"/>
    </w:rPr>
  </w:style>
  <w:style w:type="paragraph" w:customStyle="1" w:styleId="COMTbl-foot">
    <w:name w:val="COMTbl-foot"/>
    <w:basedOn w:val="Normal"/>
    <w:link w:val="COMTbl-footChar"/>
    <w:qFormat/>
    <w:rsid w:val="00052681"/>
    <w:rPr>
      <w:sz w:val="18"/>
    </w:rPr>
  </w:style>
  <w:style w:type="character" w:customStyle="1" w:styleId="COMTbl-footChar">
    <w:name w:val="COMTbl-foot Char"/>
    <w:basedOn w:val="DefaultParagraphFont"/>
    <w:link w:val="COMTbl-foot"/>
    <w:rsid w:val="00052681"/>
    <w:rPr>
      <w:rFonts w:ascii="Arial" w:hAnsi="Arial" w:cs="Arial"/>
      <w:snapToGrid w:val="0"/>
      <w:sz w:val="18"/>
      <w:lang w:eastAsia="en-US"/>
    </w:rPr>
  </w:style>
  <w:style w:type="table" w:customStyle="1" w:styleId="TableGrid1">
    <w:name w:val="Table Grid1"/>
    <w:basedOn w:val="TableNormal"/>
    <w:next w:val="TableGrid"/>
    <w:uiPriority w:val="59"/>
    <w:rsid w:val="007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3A5B2C"/>
    <w:pPr>
      <w:widowControl/>
      <w:spacing w:before="120" w:after="200" w:line="276" w:lineRule="auto"/>
    </w:pPr>
    <w:rPr>
      <w:rFonts w:ascii="Calibri" w:eastAsia="Calibri" w:hAnsi="Calibri" w:cs="Calibri"/>
      <w:snapToGrid/>
      <w:sz w:val="24"/>
    </w:rPr>
  </w:style>
  <w:style w:type="character" w:customStyle="1" w:styleId="BodyChar">
    <w:name w:val="Body Char"/>
    <w:link w:val="Body"/>
    <w:rsid w:val="003A5B2C"/>
    <w:rPr>
      <w:rFonts w:ascii="Calibri" w:eastAsia="Calibri" w:hAnsi="Calibri" w:cs="Calibri"/>
      <w:sz w:val="24"/>
      <w:lang w:eastAsia="en-US"/>
    </w:rPr>
  </w:style>
  <w:style w:type="paragraph" w:customStyle="1" w:styleId="Tablename0">
    <w:name w:val="Table name"/>
    <w:basedOn w:val="Normal"/>
    <w:uiPriority w:val="4"/>
    <w:qFormat/>
    <w:rsid w:val="003A5B2C"/>
    <w:pPr>
      <w:keepNext/>
      <w:widowControl/>
      <w:tabs>
        <w:tab w:val="left" w:pos="1418"/>
      </w:tabs>
      <w:spacing w:before="120" w:after="120"/>
      <w:ind w:left="1418" w:hanging="1418"/>
      <w:jc w:val="left"/>
    </w:pPr>
    <w:rPr>
      <w:rFonts w:ascii="Calibri" w:hAnsi="Calibri" w:cs="Times New Roman"/>
      <w:b/>
      <w:bCs/>
      <w:snapToGrid/>
    </w:rPr>
  </w:style>
  <w:style w:type="paragraph" w:customStyle="1" w:styleId="TableFooter0">
    <w:name w:val="TableFooter"/>
    <w:basedOn w:val="Normal"/>
    <w:link w:val="TableFooterChar"/>
    <w:qFormat/>
    <w:rsid w:val="003A5B2C"/>
    <w:pPr>
      <w:widowControl/>
      <w:spacing w:after="360"/>
      <w:contextualSpacing/>
      <w:jc w:val="left"/>
    </w:pPr>
    <w:rPr>
      <w:rFonts w:eastAsia="MS Mincho" w:cstheme="minorBidi"/>
      <w:snapToGrid/>
      <w:sz w:val="16"/>
      <w:szCs w:val="22"/>
    </w:rPr>
  </w:style>
  <w:style w:type="character" w:customStyle="1" w:styleId="TableFooterChar">
    <w:name w:val="TableFooter Char"/>
    <w:basedOn w:val="DefaultParagraphFont"/>
    <w:link w:val="TableFooter0"/>
    <w:rsid w:val="003A5B2C"/>
    <w:rPr>
      <w:rFonts w:ascii="Arial" w:eastAsia="MS Mincho" w:hAnsi="Arial" w:cstheme="minorBidi"/>
      <w:sz w:val="16"/>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60800"/>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34"/>
    <w:rsid w:val="000B3091"/>
    <w:rPr>
      <w:rFonts w:ascii="Arial" w:hAnsi="Arial" w:cs="Arial"/>
      <w:snapToGrid w:val="0"/>
      <w:sz w:val="22"/>
      <w:lang w:eastAsia="en-US"/>
    </w:rPr>
  </w:style>
  <w:style w:type="character" w:styleId="IntenseReference">
    <w:name w:val="Intense Reference"/>
    <w:basedOn w:val="DefaultParagraphFont"/>
    <w:uiPriority w:val="32"/>
    <w:rsid w:val="00A37C7C"/>
    <w:rPr>
      <w:b/>
      <w:bCs/>
      <w:smallCaps/>
      <w:color w:val="C0504D" w:themeColor="accent2"/>
      <w:spacing w:val="5"/>
      <w:u w:val="single"/>
    </w:rPr>
  </w:style>
  <w:style w:type="character" w:styleId="FollowedHyperlink">
    <w:name w:val="FollowedHyperlink"/>
    <w:basedOn w:val="DefaultParagraphFont"/>
    <w:semiHidden/>
    <w:unhideWhenUsed/>
    <w:rsid w:val="00B914D5"/>
    <w:rPr>
      <w:color w:val="800080" w:themeColor="followedHyperlink"/>
      <w:u w:val="single"/>
    </w:rPr>
  </w:style>
  <w:style w:type="character" w:customStyle="1" w:styleId="Heading1Char">
    <w:name w:val="Heading 1 Char"/>
    <w:basedOn w:val="DefaultParagraphFont"/>
    <w:link w:val="Heading1"/>
    <w:rsid w:val="00247F9B"/>
    <w:rPr>
      <w:rFonts w:ascii="Arial Bold" w:hAnsi="Arial Bold" w:cs="Arial"/>
      <w:b/>
      <w:cap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F7B6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6A53"/>
    <w:pPr>
      <w:numPr>
        <w:numId w:val="3"/>
      </w:numPr>
      <w:outlineLvl w:val="0"/>
    </w:pPr>
    <w:rPr>
      <w:rFonts w:ascii="Arial" w:hAnsi="Arial" w:cs="Arial"/>
      <w:b/>
      <w:snapToGrid w:val="0"/>
      <w:sz w:val="22"/>
      <w:szCs w:val="22"/>
      <w:lang w:eastAsia="en-US"/>
    </w:rPr>
  </w:style>
  <w:style w:type="table" w:customStyle="1" w:styleId="Summarybox1">
    <w:name w:val="Summary box1"/>
    <w:basedOn w:val="TableNormal"/>
    <w:next w:val="TableGrid"/>
    <w:uiPriority w:val="59"/>
    <w:rsid w:val="002A4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HEADLeftAligned">
    <w:name w:val="COMtbl-HEAD Left Aligned"/>
    <w:basedOn w:val="Normal"/>
    <w:qFormat/>
    <w:rsid w:val="0060204D"/>
    <w:pPr>
      <w:tabs>
        <w:tab w:val="left" w:pos="720"/>
      </w:tabs>
      <w:jc w:val="left"/>
    </w:pPr>
    <w:rPr>
      <w:rFonts w:ascii="Arial Narrow" w:hAnsi="Arial Narrow"/>
      <w:b/>
      <w:sz w:val="20"/>
    </w:rPr>
  </w:style>
  <w:style w:type="paragraph" w:styleId="FootnoteText">
    <w:name w:val="footnote text"/>
    <w:basedOn w:val="Normal"/>
    <w:link w:val="FootnoteTextChar"/>
    <w:uiPriority w:val="99"/>
    <w:semiHidden/>
    <w:unhideWhenUsed/>
    <w:rsid w:val="00B20D42"/>
    <w:rPr>
      <w:sz w:val="20"/>
    </w:rPr>
  </w:style>
  <w:style w:type="character" w:customStyle="1" w:styleId="FootnoteTextChar">
    <w:name w:val="Footnote Text Char"/>
    <w:basedOn w:val="DefaultParagraphFont"/>
    <w:link w:val="FootnoteText"/>
    <w:uiPriority w:val="99"/>
    <w:semiHidden/>
    <w:rsid w:val="00B20D42"/>
    <w:rPr>
      <w:rFonts w:ascii="Arial" w:hAnsi="Arial" w:cs="Arial"/>
      <w:snapToGrid w:val="0"/>
      <w:lang w:eastAsia="en-US"/>
    </w:rPr>
  </w:style>
  <w:style w:type="character" w:styleId="FootnoteReference">
    <w:name w:val="footnote reference"/>
    <w:basedOn w:val="DefaultParagraphFont"/>
    <w:uiPriority w:val="99"/>
    <w:semiHidden/>
    <w:unhideWhenUsed/>
    <w:rsid w:val="00B20D42"/>
    <w:rPr>
      <w:vertAlign w:val="superscript"/>
    </w:rPr>
  </w:style>
  <w:style w:type="paragraph" w:customStyle="1" w:styleId="COMTbl-foot">
    <w:name w:val="COMTbl-foot"/>
    <w:basedOn w:val="Normal"/>
    <w:link w:val="COMTbl-footChar"/>
    <w:qFormat/>
    <w:rsid w:val="00052681"/>
    <w:rPr>
      <w:sz w:val="18"/>
    </w:rPr>
  </w:style>
  <w:style w:type="character" w:customStyle="1" w:styleId="COMTbl-footChar">
    <w:name w:val="COMTbl-foot Char"/>
    <w:basedOn w:val="DefaultParagraphFont"/>
    <w:link w:val="COMTbl-foot"/>
    <w:rsid w:val="00052681"/>
    <w:rPr>
      <w:rFonts w:ascii="Arial" w:hAnsi="Arial" w:cs="Arial"/>
      <w:snapToGrid w:val="0"/>
      <w:sz w:val="18"/>
      <w:lang w:eastAsia="en-US"/>
    </w:rPr>
  </w:style>
  <w:style w:type="table" w:customStyle="1" w:styleId="TableGrid1">
    <w:name w:val="Table Grid1"/>
    <w:basedOn w:val="TableNormal"/>
    <w:next w:val="TableGrid"/>
    <w:uiPriority w:val="59"/>
    <w:rsid w:val="007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3A5B2C"/>
    <w:pPr>
      <w:widowControl/>
      <w:spacing w:before="120" w:after="200" w:line="276" w:lineRule="auto"/>
    </w:pPr>
    <w:rPr>
      <w:rFonts w:ascii="Calibri" w:eastAsia="Calibri" w:hAnsi="Calibri" w:cs="Calibri"/>
      <w:snapToGrid/>
      <w:sz w:val="24"/>
    </w:rPr>
  </w:style>
  <w:style w:type="character" w:customStyle="1" w:styleId="BodyChar">
    <w:name w:val="Body Char"/>
    <w:link w:val="Body"/>
    <w:rsid w:val="003A5B2C"/>
    <w:rPr>
      <w:rFonts w:ascii="Calibri" w:eastAsia="Calibri" w:hAnsi="Calibri" w:cs="Calibri"/>
      <w:sz w:val="24"/>
      <w:lang w:eastAsia="en-US"/>
    </w:rPr>
  </w:style>
  <w:style w:type="paragraph" w:customStyle="1" w:styleId="Tablename0">
    <w:name w:val="Table name"/>
    <w:basedOn w:val="Normal"/>
    <w:uiPriority w:val="4"/>
    <w:qFormat/>
    <w:rsid w:val="003A5B2C"/>
    <w:pPr>
      <w:keepNext/>
      <w:widowControl/>
      <w:tabs>
        <w:tab w:val="left" w:pos="1418"/>
      </w:tabs>
      <w:spacing w:before="120" w:after="120"/>
      <w:ind w:left="1418" w:hanging="1418"/>
      <w:jc w:val="left"/>
    </w:pPr>
    <w:rPr>
      <w:rFonts w:ascii="Calibri" w:hAnsi="Calibri" w:cs="Times New Roman"/>
      <w:b/>
      <w:bCs/>
      <w:snapToGrid/>
    </w:rPr>
  </w:style>
  <w:style w:type="paragraph" w:customStyle="1" w:styleId="TableFooter0">
    <w:name w:val="TableFooter"/>
    <w:basedOn w:val="Normal"/>
    <w:link w:val="TableFooterChar"/>
    <w:qFormat/>
    <w:rsid w:val="003A5B2C"/>
    <w:pPr>
      <w:widowControl/>
      <w:spacing w:after="360"/>
      <w:contextualSpacing/>
      <w:jc w:val="left"/>
    </w:pPr>
    <w:rPr>
      <w:rFonts w:eastAsia="MS Mincho" w:cstheme="minorBidi"/>
      <w:snapToGrid/>
      <w:sz w:val="16"/>
      <w:szCs w:val="22"/>
    </w:rPr>
  </w:style>
  <w:style w:type="character" w:customStyle="1" w:styleId="TableFooterChar">
    <w:name w:val="TableFooter Char"/>
    <w:basedOn w:val="DefaultParagraphFont"/>
    <w:link w:val="TableFooter0"/>
    <w:rsid w:val="003A5B2C"/>
    <w:rPr>
      <w:rFonts w:ascii="Arial" w:eastAsia="MS Mincho" w:hAnsi="Arial" w:cstheme="minorBidi"/>
      <w:sz w:val="16"/>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60800"/>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34"/>
    <w:rsid w:val="000B3091"/>
    <w:rPr>
      <w:rFonts w:ascii="Arial" w:hAnsi="Arial" w:cs="Arial"/>
      <w:snapToGrid w:val="0"/>
      <w:sz w:val="22"/>
      <w:lang w:eastAsia="en-US"/>
    </w:rPr>
  </w:style>
  <w:style w:type="character" w:styleId="IntenseReference">
    <w:name w:val="Intense Reference"/>
    <w:basedOn w:val="DefaultParagraphFont"/>
    <w:uiPriority w:val="32"/>
    <w:rsid w:val="00A37C7C"/>
    <w:rPr>
      <w:b/>
      <w:bCs/>
      <w:smallCaps/>
      <w:color w:val="C0504D" w:themeColor="accent2"/>
      <w:spacing w:val="5"/>
      <w:u w:val="single"/>
    </w:rPr>
  </w:style>
  <w:style w:type="character" w:styleId="FollowedHyperlink">
    <w:name w:val="FollowedHyperlink"/>
    <w:basedOn w:val="DefaultParagraphFont"/>
    <w:semiHidden/>
    <w:unhideWhenUsed/>
    <w:rsid w:val="00B914D5"/>
    <w:rPr>
      <w:color w:val="800080" w:themeColor="followedHyperlink"/>
      <w:u w:val="single"/>
    </w:rPr>
  </w:style>
  <w:style w:type="character" w:customStyle="1" w:styleId="Heading1Char">
    <w:name w:val="Heading 1 Char"/>
    <w:basedOn w:val="DefaultParagraphFont"/>
    <w:link w:val="Heading1"/>
    <w:rsid w:val="00247F9B"/>
    <w:rPr>
      <w:rFonts w:ascii="Arial Bold" w:hAnsi="Arial Bold" w:cs="Arial"/>
      <w:b/>
      <w:cap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3793">
      <w:bodyDiv w:val="1"/>
      <w:marLeft w:val="0"/>
      <w:marRight w:val="0"/>
      <w:marTop w:val="0"/>
      <w:marBottom w:val="0"/>
      <w:divBdr>
        <w:top w:val="none" w:sz="0" w:space="0" w:color="auto"/>
        <w:left w:val="none" w:sz="0" w:space="0" w:color="auto"/>
        <w:bottom w:val="none" w:sz="0" w:space="0" w:color="auto"/>
        <w:right w:val="none" w:sz="0" w:space="0" w:color="auto"/>
      </w:divBdr>
      <w:divsChild>
        <w:div w:id="212499371">
          <w:marLeft w:val="1037"/>
          <w:marRight w:val="0"/>
          <w:marTop w:val="80"/>
          <w:marBottom w:val="0"/>
          <w:divBdr>
            <w:top w:val="none" w:sz="0" w:space="0" w:color="auto"/>
            <w:left w:val="none" w:sz="0" w:space="0" w:color="auto"/>
            <w:bottom w:val="none" w:sz="0" w:space="0" w:color="auto"/>
            <w:right w:val="none" w:sz="0" w:space="0" w:color="auto"/>
          </w:divBdr>
        </w:div>
      </w:divsChild>
    </w:div>
    <w:div w:id="223104987">
      <w:bodyDiv w:val="1"/>
      <w:marLeft w:val="0"/>
      <w:marRight w:val="0"/>
      <w:marTop w:val="0"/>
      <w:marBottom w:val="0"/>
      <w:divBdr>
        <w:top w:val="none" w:sz="0" w:space="0" w:color="auto"/>
        <w:left w:val="none" w:sz="0" w:space="0" w:color="auto"/>
        <w:bottom w:val="none" w:sz="0" w:space="0" w:color="auto"/>
        <w:right w:val="none" w:sz="0" w:space="0" w:color="auto"/>
      </w:divBdr>
    </w:div>
    <w:div w:id="225335161">
      <w:bodyDiv w:val="1"/>
      <w:marLeft w:val="0"/>
      <w:marRight w:val="0"/>
      <w:marTop w:val="0"/>
      <w:marBottom w:val="0"/>
      <w:divBdr>
        <w:top w:val="none" w:sz="0" w:space="0" w:color="auto"/>
        <w:left w:val="none" w:sz="0" w:space="0" w:color="auto"/>
        <w:bottom w:val="none" w:sz="0" w:space="0" w:color="auto"/>
        <w:right w:val="none" w:sz="0" w:space="0" w:color="auto"/>
      </w:divBdr>
      <w:divsChild>
        <w:div w:id="1593320804">
          <w:marLeft w:val="1656"/>
          <w:marRight w:val="0"/>
          <w:marTop w:val="80"/>
          <w:marBottom w:val="0"/>
          <w:divBdr>
            <w:top w:val="none" w:sz="0" w:space="0" w:color="auto"/>
            <w:left w:val="none" w:sz="0" w:space="0" w:color="auto"/>
            <w:bottom w:val="none" w:sz="0" w:space="0" w:color="auto"/>
            <w:right w:val="none" w:sz="0" w:space="0" w:color="auto"/>
          </w:divBdr>
        </w:div>
      </w:divsChild>
    </w:div>
    <w:div w:id="425346199">
      <w:bodyDiv w:val="1"/>
      <w:marLeft w:val="0"/>
      <w:marRight w:val="0"/>
      <w:marTop w:val="0"/>
      <w:marBottom w:val="0"/>
      <w:divBdr>
        <w:top w:val="none" w:sz="0" w:space="0" w:color="auto"/>
        <w:left w:val="none" w:sz="0" w:space="0" w:color="auto"/>
        <w:bottom w:val="none" w:sz="0" w:space="0" w:color="auto"/>
        <w:right w:val="none" w:sz="0" w:space="0" w:color="auto"/>
      </w:divBdr>
      <w:divsChild>
        <w:div w:id="1299997640">
          <w:marLeft w:val="360"/>
          <w:marRight w:val="0"/>
          <w:marTop w:val="200"/>
          <w:marBottom w:val="0"/>
          <w:divBdr>
            <w:top w:val="none" w:sz="0" w:space="0" w:color="auto"/>
            <w:left w:val="none" w:sz="0" w:space="0" w:color="auto"/>
            <w:bottom w:val="none" w:sz="0" w:space="0" w:color="auto"/>
            <w:right w:val="none" w:sz="0" w:space="0" w:color="auto"/>
          </w:divBdr>
        </w:div>
        <w:div w:id="967012634">
          <w:marLeft w:val="360"/>
          <w:marRight w:val="0"/>
          <w:marTop w:val="200"/>
          <w:marBottom w:val="0"/>
          <w:divBdr>
            <w:top w:val="none" w:sz="0" w:space="0" w:color="auto"/>
            <w:left w:val="none" w:sz="0" w:space="0" w:color="auto"/>
            <w:bottom w:val="none" w:sz="0" w:space="0" w:color="auto"/>
            <w:right w:val="none" w:sz="0" w:space="0" w:color="auto"/>
          </w:divBdr>
        </w:div>
      </w:divsChild>
    </w:div>
    <w:div w:id="606153776">
      <w:bodyDiv w:val="1"/>
      <w:marLeft w:val="0"/>
      <w:marRight w:val="0"/>
      <w:marTop w:val="0"/>
      <w:marBottom w:val="0"/>
      <w:divBdr>
        <w:top w:val="none" w:sz="0" w:space="0" w:color="auto"/>
        <w:left w:val="none" w:sz="0" w:space="0" w:color="auto"/>
        <w:bottom w:val="none" w:sz="0" w:space="0" w:color="auto"/>
        <w:right w:val="none" w:sz="0" w:space="0" w:color="auto"/>
      </w:divBdr>
      <w:divsChild>
        <w:div w:id="1634019501">
          <w:marLeft w:val="346"/>
          <w:marRight w:val="0"/>
          <w:marTop w:val="180"/>
          <w:marBottom w:val="0"/>
          <w:divBdr>
            <w:top w:val="none" w:sz="0" w:space="0" w:color="auto"/>
            <w:left w:val="none" w:sz="0" w:space="0" w:color="auto"/>
            <w:bottom w:val="none" w:sz="0" w:space="0" w:color="auto"/>
            <w:right w:val="none" w:sz="0" w:space="0" w:color="auto"/>
          </w:divBdr>
        </w:div>
        <w:div w:id="454953962">
          <w:marLeft w:val="346"/>
          <w:marRight w:val="0"/>
          <w:marTop w:val="180"/>
          <w:marBottom w:val="0"/>
          <w:divBdr>
            <w:top w:val="none" w:sz="0" w:space="0" w:color="auto"/>
            <w:left w:val="none" w:sz="0" w:space="0" w:color="auto"/>
            <w:bottom w:val="none" w:sz="0" w:space="0" w:color="auto"/>
            <w:right w:val="none" w:sz="0" w:space="0" w:color="auto"/>
          </w:divBdr>
        </w:div>
      </w:divsChild>
    </w:div>
    <w:div w:id="710038306">
      <w:bodyDiv w:val="1"/>
      <w:marLeft w:val="0"/>
      <w:marRight w:val="0"/>
      <w:marTop w:val="0"/>
      <w:marBottom w:val="0"/>
      <w:divBdr>
        <w:top w:val="none" w:sz="0" w:space="0" w:color="auto"/>
        <w:left w:val="none" w:sz="0" w:space="0" w:color="auto"/>
        <w:bottom w:val="none" w:sz="0" w:space="0" w:color="auto"/>
        <w:right w:val="none" w:sz="0" w:space="0" w:color="auto"/>
      </w:divBdr>
    </w:div>
    <w:div w:id="1242372139">
      <w:bodyDiv w:val="1"/>
      <w:marLeft w:val="0"/>
      <w:marRight w:val="0"/>
      <w:marTop w:val="0"/>
      <w:marBottom w:val="0"/>
      <w:divBdr>
        <w:top w:val="none" w:sz="0" w:space="0" w:color="auto"/>
        <w:left w:val="none" w:sz="0" w:space="0" w:color="auto"/>
        <w:bottom w:val="none" w:sz="0" w:space="0" w:color="auto"/>
        <w:right w:val="none" w:sz="0" w:space="0" w:color="auto"/>
      </w:divBdr>
    </w:div>
    <w:div w:id="1285694068">
      <w:bodyDiv w:val="1"/>
      <w:marLeft w:val="0"/>
      <w:marRight w:val="0"/>
      <w:marTop w:val="0"/>
      <w:marBottom w:val="0"/>
      <w:divBdr>
        <w:top w:val="none" w:sz="0" w:space="0" w:color="auto"/>
        <w:left w:val="none" w:sz="0" w:space="0" w:color="auto"/>
        <w:bottom w:val="none" w:sz="0" w:space="0" w:color="auto"/>
        <w:right w:val="none" w:sz="0" w:space="0" w:color="auto"/>
      </w:divBdr>
    </w:div>
    <w:div w:id="1401512732">
      <w:bodyDiv w:val="1"/>
      <w:marLeft w:val="0"/>
      <w:marRight w:val="0"/>
      <w:marTop w:val="0"/>
      <w:marBottom w:val="0"/>
      <w:divBdr>
        <w:top w:val="none" w:sz="0" w:space="0" w:color="auto"/>
        <w:left w:val="none" w:sz="0" w:space="0" w:color="auto"/>
        <w:bottom w:val="none" w:sz="0" w:space="0" w:color="auto"/>
        <w:right w:val="none" w:sz="0" w:space="0" w:color="auto"/>
      </w:divBdr>
      <w:divsChild>
        <w:div w:id="724255651">
          <w:marLeft w:val="432"/>
          <w:marRight w:val="0"/>
          <w:marTop w:val="120"/>
          <w:marBottom w:val="0"/>
          <w:divBdr>
            <w:top w:val="none" w:sz="0" w:space="0" w:color="auto"/>
            <w:left w:val="none" w:sz="0" w:space="0" w:color="auto"/>
            <w:bottom w:val="none" w:sz="0" w:space="0" w:color="auto"/>
            <w:right w:val="none" w:sz="0" w:space="0" w:color="auto"/>
          </w:divBdr>
        </w:div>
      </w:divsChild>
    </w:div>
    <w:div w:id="1710689837">
      <w:bodyDiv w:val="1"/>
      <w:marLeft w:val="0"/>
      <w:marRight w:val="0"/>
      <w:marTop w:val="0"/>
      <w:marBottom w:val="0"/>
      <w:divBdr>
        <w:top w:val="none" w:sz="0" w:space="0" w:color="auto"/>
        <w:left w:val="none" w:sz="0" w:space="0" w:color="auto"/>
        <w:bottom w:val="none" w:sz="0" w:space="0" w:color="auto"/>
        <w:right w:val="none" w:sz="0" w:space="0" w:color="auto"/>
      </w:divBdr>
    </w:div>
    <w:div w:id="1946837808">
      <w:bodyDiv w:val="1"/>
      <w:marLeft w:val="0"/>
      <w:marRight w:val="0"/>
      <w:marTop w:val="0"/>
      <w:marBottom w:val="0"/>
      <w:divBdr>
        <w:top w:val="none" w:sz="0" w:space="0" w:color="auto"/>
        <w:left w:val="none" w:sz="0" w:space="0" w:color="auto"/>
        <w:bottom w:val="none" w:sz="0" w:space="0" w:color="auto"/>
        <w:right w:val="none" w:sz="0" w:space="0" w:color="auto"/>
      </w:divBdr>
      <w:divsChild>
        <w:div w:id="62096586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41DB-74D8-494C-9F8B-86B3BF1C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9682</Words>
  <Characters>58562</Characters>
  <Application>Microsoft Office Word</Application>
  <DocSecurity>0</DocSecurity>
  <Lines>488</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2017-06-23T06:13:00Z</dcterms:created>
  <dcterms:modified xsi:type="dcterms:W3CDTF">2017-06-23T06:56:00Z</dcterms:modified>
</cp:coreProperties>
</file>