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390" w:rsidRDefault="00C9405E" w:rsidP="00EF62AB">
      <w:pPr>
        <w:pStyle w:val="Heading1"/>
        <w:widowControl/>
        <w:jc w:val="left"/>
        <w:rPr>
          <w:caps w:val="0"/>
          <w:sz w:val="28"/>
        </w:rPr>
      </w:pPr>
      <w:bookmarkStart w:id="0" w:name="_Toc472413198"/>
      <w:bookmarkStart w:id="1" w:name="_GoBack"/>
      <w:bookmarkEnd w:id="1"/>
      <w:r>
        <w:rPr>
          <w:sz w:val="28"/>
        </w:rPr>
        <w:t>5.</w:t>
      </w:r>
      <w:r w:rsidR="0050493C">
        <w:rPr>
          <w:sz w:val="28"/>
        </w:rPr>
        <w:t>0</w:t>
      </w:r>
      <w:r w:rsidR="00645390">
        <w:rPr>
          <w:sz w:val="28"/>
        </w:rPr>
        <w:t>2</w:t>
      </w:r>
      <w:r w:rsidR="00B60939" w:rsidRPr="00207D00">
        <w:rPr>
          <w:sz w:val="28"/>
        </w:rPr>
        <w:tab/>
      </w:r>
      <w:r w:rsidR="00645390" w:rsidRPr="00417953">
        <w:rPr>
          <w:caps w:val="0"/>
          <w:sz w:val="28"/>
        </w:rPr>
        <w:t>EMPAGLIFLOZIN WITH LINAGLIPTIN,</w:t>
      </w:r>
      <w:r w:rsidR="00645390">
        <w:rPr>
          <w:sz w:val="28"/>
        </w:rPr>
        <w:br/>
      </w:r>
      <w:r w:rsidR="00645390" w:rsidRPr="00645390">
        <w:rPr>
          <w:caps w:val="0"/>
          <w:sz w:val="28"/>
        </w:rPr>
        <w:t>Tablet containing 10 mg empagliflozin with 5 mg linagliptin</w:t>
      </w:r>
      <w:r w:rsidR="00645390">
        <w:rPr>
          <w:caps w:val="0"/>
          <w:sz w:val="28"/>
        </w:rPr>
        <w:t xml:space="preserve">, </w:t>
      </w:r>
      <w:r w:rsidR="00645390" w:rsidRPr="00645390">
        <w:rPr>
          <w:caps w:val="0"/>
          <w:sz w:val="28"/>
        </w:rPr>
        <w:t>Tablet containing 25 mg empagliflozin with 5 mg linagliptin</w:t>
      </w:r>
      <w:r w:rsidR="00645390">
        <w:rPr>
          <w:caps w:val="0"/>
          <w:sz w:val="28"/>
        </w:rPr>
        <w:t>,</w:t>
      </w:r>
      <w:r w:rsidR="00645390" w:rsidRPr="00645390">
        <w:rPr>
          <w:caps w:val="0"/>
          <w:sz w:val="28"/>
        </w:rPr>
        <w:t xml:space="preserve"> </w:t>
      </w:r>
      <w:r w:rsidR="00645390">
        <w:rPr>
          <w:caps w:val="0"/>
          <w:sz w:val="28"/>
        </w:rPr>
        <w:t>Glyx</w:t>
      </w:r>
      <w:r w:rsidR="001901CA">
        <w:rPr>
          <w:caps w:val="0"/>
          <w:sz w:val="28"/>
        </w:rPr>
        <w:t>a</w:t>
      </w:r>
      <w:r w:rsidR="00645390">
        <w:rPr>
          <w:caps w:val="0"/>
          <w:sz w:val="28"/>
        </w:rPr>
        <w:t>mbi</w:t>
      </w:r>
      <w:r w:rsidR="00B60939" w:rsidRPr="00207D00">
        <w:rPr>
          <w:sz w:val="28"/>
          <w:vertAlign w:val="superscript"/>
        </w:rPr>
        <w:t>®</w:t>
      </w:r>
      <w:r w:rsidR="00645390">
        <w:rPr>
          <w:sz w:val="28"/>
        </w:rPr>
        <w:t xml:space="preserve">, </w:t>
      </w:r>
      <w:r w:rsidR="00645390">
        <w:rPr>
          <w:caps w:val="0"/>
          <w:sz w:val="28"/>
        </w:rPr>
        <w:t>Boehringer Ingelheim Pty Limited.</w:t>
      </w:r>
      <w:bookmarkEnd w:id="0"/>
    </w:p>
    <w:p w:rsidR="003372D3" w:rsidRDefault="003372D3" w:rsidP="00EF62AB">
      <w:pPr>
        <w:widowControl/>
      </w:pPr>
    </w:p>
    <w:p w:rsidR="006D74A1" w:rsidRDefault="006D74A1" w:rsidP="006D74A1">
      <w:pPr>
        <w:rPr>
          <w:color w:val="FF0000"/>
          <w:szCs w:val="22"/>
        </w:rPr>
      </w:pPr>
    </w:p>
    <w:p w:rsidR="00B50DB8" w:rsidRPr="00B73349" w:rsidRDefault="00B50DB8" w:rsidP="008F5BEE">
      <w:pPr>
        <w:pStyle w:val="Heading2"/>
        <w:widowControl/>
        <w:numPr>
          <w:ilvl w:val="0"/>
          <w:numId w:val="1"/>
        </w:numPr>
        <w:snapToGrid w:val="0"/>
        <w:jc w:val="left"/>
        <w:rPr>
          <w:snapToGrid/>
          <w:szCs w:val="22"/>
        </w:rPr>
      </w:pPr>
      <w:bookmarkStart w:id="2" w:name="_Toc472413200"/>
      <w:r w:rsidRPr="00B73349">
        <w:rPr>
          <w:snapToGrid/>
          <w:szCs w:val="22"/>
        </w:rPr>
        <w:t>Purpose of Application</w:t>
      </w:r>
      <w:bookmarkEnd w:id="2"/>
    </w:p>
    <w:p w:rsidR="00B60939" w:rsidRPr="00882085" w:rsidRDefault="00B60939" w:rsidP="00EF62AB">
      <w:pPr>
        <w:widowControl/>
        <w:rPr>
          <w:szCs w:val="22"/>
        </w:rPr>
      </w:pPr>
    </w:p>
    <w:p w:rsidR="00B60939" w:rsidRPr="00C15E26" w:rsidRDefault="008402BC" w:rsidP="008F5BEE">
      <w:pPr>
        <w:pStyle w:val="ListParagraph"/>
        <w:widowControl/>
        <w:numPr>
          <w:ilvl w:val="1"/>
          <w:numId w:val="1"/>
        </w:numPr>
      </w:pPr>
      <w:r w:rsidRPr="00C15E26">
        <w:t xml:space="preserve">Authority Required (Streamlined) listing for empagliflozin with linagliptin fixed dose combination (FDC) </w:t>
      </w:r>
      <w:r w:rsidR="00DD59A8">
        <w:t xml:space="preserve">in combination with metformin </w:t>
      </w:r>
      <w:r w:rsidRPr="00C15E26">
        <w:t>f</w:t>
      </w:r>
      <w:r w:rsidR="00933835" w:rsidRPr="00C15E26">
        <w:t xml:space="preserve">or treatment of </w:t>
      </w:r>
      <w:r w:rsidR="001C1A3E" w:rsidRPr="00C15E26">
        <w:t>t</w:t>
      </w:r>
      <w:r w:rsidR="00933835" w:rsidRPr="00C15E26">
        <w:t>ype 2 diabetes</w:t>
      </w:r>
      <w:r w:rsidR="000B4DA6">
        <w:t xml:space="preserve"> mellitus (T2DM)</w:t>
      </w:r>
      <w:r w:rsidR="00933835" w:rsidRPr="00C15E26">
        <w:t>, in patients intolerant or contraindicated to a combination of metformin and a sulfonylurea.</w:t>
      </w:r>
    </w:p>
    <w:p w:rsidR="00741A5F" w:rsidRDefault="00741A5F" w:rsidP="00EF62AB">
      <w:pPr>
        <w:pStyle w:val="ListParagraph"/>
        <w:widowControl/>
      </w:pPr>
    </w:p>
    <w:p w:rsidR="003372D3" w:rsidRPr="00B73349" w:rsidRDefault="00B50DB8" w:rsidP="008F5BEE">
      <w:pPr>
        <w:pStyle w:val="Heading2"/>
        <w:widowControl/>
        <w:numPr>
          <w:ilvl w:val="0"/>
          <w:numId w:val="1"/>
        </w:numPr>
        <w:snapToGrid w:val="0"/>
        <w:jc w:val="left"/>
        <w:rPr>
          <w:snapToGrid/>
          <w:szCs w:val="22"/>
        </w:rPr>
      </w:pPr>
      <w:bookmarkStart w:id="3" w:name="_Toc472413201"/>
      <w:r w:rsidRPr="00B73349">
        <w:rPr>
          <w:snapToGrid/>
          <w:szCs w:val="22"/>
        </w:rPr>
        <w:t>Requested listing</w:t>
      </w:r>
      <w:bookmarkEnd w:id="3"/>
    </w:p>
    <w:p w:rsidR="00617E12" w:rsidRPr="007C609A" w:rsidRDefault="00617E12" w:rsidP="00EF62AB">
      <w:pPr>
        <w:widowControl/>
      </w:pPr>
    </w:p>
    <w:tbl>
      <w:tblPr>
        <w:tblW w:w="4594" w:type="pct"/>
        <w:tblInd w:w="737" w:type="dxa"/>
        <w:tblCellMar>
          <w:left w:w="28" w:type="dxa"/>
          <w:right w:w="28" w:type="dxa"/>
        </w:tblCellMar>
        <w:tblLook w:val="0000" w:firstRow="0" w:lastRow="0" w:firstColumn="0" w:lastColumn="0" w:noHBand="0" w:noVBand="0"/>
      </w:tblPr>
      <w:tblGrid>
        <w:gridCol w:w="3113"/>
        <w:gridCol w:w="616"/>
        <w:gridCol w:w="614"/>
        <w:gridCol w:w="1747"/>
        <w:gridCol w:w="1073"/>
        <w:gridCol w:w="1182"/>
      </w:tblGrid>
      <w:tr w:rsidR="003372D3" w:rsidRPr="0037079C" w:rsidTr="0037079C">
        <w:trPr>
          <w:trHeight w:val="471"/>
        </w:trPr>
        <w:tc>
          <w:tcPr>
            <w:tcW w:w="1865" w:type="pct"/>
            <w:tcBorders>
              <w:bottom w:val="single" w:sz="4" w:space="0" w:color="auto"/>
            </w:tcBorders>
          </w:tcPr>
          <w:p w:rsidR="003372D3" w:rsidRPr="0037079C" w:rsidRDefault="003372D3" w:rsidP="00EF62AB">
            <w:pPr>
              <w:keepNext/>
              <w:keepLines/>
              <w:widowControl/>
              <w:jc w:val="left"/>
              <w:rPr>
                <w:rFonts w:ascii="Arial Narrow" w:hAnsi="Arial Narrow"/>
                <w:b/>
                <w:sz w:val="20"/>
              </w:rPr>
            </w:pPr>
            <w:r w:rsidRPr="0037079C">
              <w:rPr>
                <w:rFonts w:ascii="Arial Narrow" w:hAnsi="Arial Narrow"/>
                <w:b/>
                <w:sz w:val="20"/>
              </w:rPr>
              <w:t>Name, Restriction,</w:t>
            </w:r>
          </w:p>
          <w:p w:rsidR="003372D3" w:rsidRPr="0037079C" w:rsidRDefault="003372D3" w:rsidP="00EF62AB">
            <w:pPr>
              <w:keepNext/>
              <w:keepLines/>
              <w:widowControl/>
              <w:jc w:val="left"/>
              <w:rPr>
                <w:rFonts w:ascii="Arial Narrow" w:hAnsi="Arial Narrow"/>
                <w:b/>
                <w:sz w:val="20"/>
              </w:rPr>
            </w:pPr>
            <w:r w:rsidRPr="0037079C">
              <w:rPr>
                <w:rFonts w:ascii="Arial Narrow" w:hAnsi="Arial Narrow"/>
                <w:b/>
                <w:sz w:val="20"/>
              </w:rPr>
              <w:t>Manner of administration and form</w:t>
            </w:r>
          </w:p>
        </w:tc>
        <w:tc>
          <w:tcPr>
            <w:tcW w:w="369" w:type="pct"/>
            <w:tcBorders>
              <w:bottom w:val="single" w:sz="4" w:space="0" w:color="auto"/>
            </w:tcBorders>
          </w:tcPr>
          <w:p w:rsidR="003372D3" w:rsidRPr="0037079C" w:rsidRDefault="003372D3" w:rsidP="00EF62AB">
            <w:pPr>
              <w:keepNext/>
              <w:keepLines/>
              <w:widowControl/>
              <w:jc w:val="center"/>
              <w:rPr>
                <w:rFonts w:ascii="Arial Narrow" w:hAnsi="Arial Narrow"/>
                <w:b/>
                <w:sz w:val="20"/>
              </w:rPr>
            </w:pPr>
            <w:r w:rsidRPr="0037079C">
              <w:rPr>
                <w:rFonts w:ascii="Arial Narrow" w:hAnsi="Arial Narrow"/>
                <w:b/>
                <w:sz w:val="20"/>
              </w:rPr>
              <w:t>Max.</w:t>
            </w:r>
          </w:p>
          <w:p w:rsidR="003372D3" w:rsidRPr="0037079C" w:rsidRDefault="003372D3" w:rsidP="00EF62AB">
            <w:pPr>
              <w:keepNext/>
              <w:keepLines/>
              <w:widowControl/>
              <w:jc w:val="center"/>
              <w:rPr>
                <w:rFonts w:ascii="Arial Narrow" w:hAnsi="Arial Narrow"/>
                <w:b/>
                <w:sz w:val="20"/>
              </w:rPr>
            </w:pPr>
            <w:r w:rsidRPr="0037079C">
              <w:rPr>
                <w:rFonts w:ascii="Arial Narrow" w:hAnsi="Arial Narrow"/>
                <w:b/>
                <w:sz w:val="20"/>
              </w:rPr>
              <w:t>Qty</w:t>
            </w:r>
          </w:p>
        </w:tc>
        <w:tc>
          <w:tcPr>
            <w:tcW w:w="368" w:type="pct"/>
            <w:tcBorders>
              <w:bottom w:val="single" w:sz="4" w:space="0" w:color="auto"/>
            </w:tcBorders>
          </w:tcPr>
          <w:p w:rsidR="003372D3" w:rsidRPr="0037079C" w:rsidRDefault="003372D3" w:rsidP="00EF62AB">
            <w:pPr>
              <w:keepNext/>
              <w:keepLines/>
              <w:widowControl/>
              <w:jc w:val="center"/>
              <w:rPr>
                <w:rFonts w:ascii="Arial Narrow" w:hAnsi="Arial Narrow"/>
                <w:b/>
                <w:sz w:val="20"/>
              </w:rPr>
            </w:pPr>
            <w:r w:rsidRPr="0037079C">
              <w:rPr>
                <w:rFonts w:ascii="Arial Narrow" w:hAnsi="Arial Narrow"/>
                <w:b/>
                <w:sz w:val="20"/>
              </w:rPr>
              <w:t>№.of</w:t>
            </w:r>
          </w:p>
          <w:p w:rsidR="003372D3" w:rsidRPr="0037079C" w:rsidRDefault="003372D3" w:rsidP="00EF62AB">
            <w:pPr>
              <w:keepNext/>
              <w:keepLines/>
              <w:widowControl/>
              <w:jc w:val="center"/>
              <w:rPr>
                <w:rFonts w:ascii="Arial Narrow" w:hAnsi="Arial Narrow"/>
                <w:b/>
                <w:sz w:val="20"/>
              </w:rPr>
            </w:pPr>
            <w:r w:rsidRPr="0037079C">
              <w:rPr>
                <w:rFonts w:ascii="Arial Narrow" w:hAnsi="Arial Narrow"/>
                <w:b/>
                <w:sz w:val="20"/>
              </w:rPr>
              <w:t>Rpts</w:t>
            </w:r>
          </w:p>
        </w:tc>
        <w:tc>
          <w:tcPr>
            <w:tcW w:w="1047" w:type="pct"/>
            <w:tcBorders>
              <w:bottom w:val="single" w:sz="4" w:space="0" w:color="auto"/>
            </w:tcBorders>
          </w:tcPr>
          <w:p w:rsidR="003372D3" w:rsidRPr="0037079C" w:rsidRDefault="003372D3" w:rsidP="00EF62AB">
            <w:pPr>
              <w:keepNext/>
              <w:keepLines/>
              <w:widowControl/>
              <w:jc w:val="center"/>
              <w:rPr>
                <w:rFonts w:ascii="Arial Narrow" w:hAnsi="Arial Narrow"/>
                <w:b/>
                <w:sz w:val="20"/>
              </w:rPr>
            </w:pPr>
            <w:r w:rsidRPr="0037079C">
              <w:rPr>
                <w:rFonts w:ascii="Arial Narrow" w:hAnsi="Arial Narrow"/>
                <w:b/>
                <w:sz w:val="20"/>
              </w:rPr>
              <w:t>Dispensed Price for Max. Qty</w:t>
            </w:r>
          </w:p>
        </w:tc>
        <w:tc>
          <w:tcPr>
            <w:tcW w:w="1351" w:type="pct"/>
            <w:gridSpan w:val="2"/>
            <w:tcBorders>
              <w:bottom w:val="single" w:sz="4" w:space="0" w:color="auto"/>
            </w:tcBorders>
          </w:tcPr>
          <w:p w:rsidR="003372D3" w:rsidRPr="0037079C" w:rsidRDefault="003372D3" w:rsidP="00EF62AB">
            <w:pPr>
              <w:keepNext/>
              <w:keepLines/>
              <w:widowControl/>
              <w:jc w:val="center"/>
              <w:rPr>
                <w:rFonts w:ascii="Arial Narrow" w:hAnsi="Arial Narrow"/>
                <w:b/>
                <w:sz w:val="20"/>
                <w:lang w:val="fr-FR"/>
              </w:rPr>
            </w:pPr>
            <w:r w:rsidRPr="0037079C">
              <w:rPr>
                <w:rFonts w:ascii="Arial Narrow" w:hAnsi="Arial Narrow"/>
                <w:b/>
                <w:sz w:val="20"/>
              </w:rPr>
              <w:t>Proprietary Name and Manufacturer</w:t>
            </w:r>
          </w:p>
        </w:tc>
      </w:tr>
      <w:tr w:rsidR="003372D3" w:rsidRPr="0037079C" w:rsidTr="0037079C">
        <w:trPr>
          <w:trHeight w:val="577"/>
        </w:trPr>
        <w:tc>
          <w:tcPr>
            <w:tcW w:w="1865" w:type="pct"/>
            <w:vAlign w:val="center"/>
          </w:tcPr>
          <w:p w:rsidR="003372D3" w:rsidRPr="0037079C" w:rsidRDefault="003372D3" w:rsidP="00EF62AB">
            <w:pPr>
              <w:keepNext/>
              <w:widowControl/>
              <w:jc w:val="left"/>
              <w:rPr>
                <w:rFonts w:ascii="Arial Narrow" w:hAnsi="Arial Narrow"/>
                <w:sz w:val="20"/>
              </w:rPr>
            </w:pPr>
            <w:r w:rsidRPr="0037079C">
              <w:rPr>
                <w:rFonts w:ascii="Arial Narrow" w:hAnsi="Arial Narrow"/>
                <w:smallCaps/>
                <w:sz w:val="20"/>
              </w:rPr>
              <w:t>Empagliflozin</w:t>
            </w:r>
            <w:r w:rsidRPr="0037079C">
              <w:rPr>
                <w:rFonts w:ascii="Arial Narrow" w:hAnsi="Arial Narrow"/>
                <w:sz w:val="20"/>
              </w:rPr>
              <w:t xml:space="preserve"> 10</w:t>
            </w:r>
            <w:r w:rsidR="007452AD" w:rsidRPr="0037079C">
              <w:rPr>
                <w:rFonts w:ascii="Arial Narrow" w:hAnsi="Arial Narrow"/>
                <w:sz w:val="20"/>
              </w:rPr>
              <w:t xml:space="preserve"> mg</w:t>
            </w:r>
            <w:r w:rsidRPr="0037079C">
              <w:rPr>
                <w:rFonts w:ascii="Arial Narrow" w:hAnsi="Arial Narrow"/>
                <w:sz w:val="20"/>
              </w:rPr>
              <w:t xml:space="preserve"> / </w:t>
            </w:r>
            <w:r w:rsidR="001C1A3E" w:rsidRPr="0037079C">
              <w:rPr>
                <w:rFonts w:ascii="Arial Narrow" w:hAnsi="Arial Narrow"/>
                <w:smallCaps/>
                <w:sz w:val="20"/>
              </w:rPr>
              <w:t>l</w:t>
            </w:r>
            <w:r w:rsidRPr="0037079C">
              <w:rPr>
                <w:rFonts w:ascii="Arial Narrow" w:hAnsi="Arial Narrow"/>
                <w:smallCaps/>
                <w:sz w:val="20"/>
              </w:rPr>
              <w:t>inagliptin</w:t>
            </w:r>
            <w:r w:rsidRPr="0037079C">
              <w:rPr>
                <w:rFonts w:ascii="Arial Narrow" w:hAnsi="Arial Narrow"/>
                <w:sz w:val="20"/>
              </w:rPr>
              <w:t xml:space="preserve"> 5</w:t>
            </w:r>
            <w:r w:rsidR="007452AD" w:rsidRPr="0037079C">
              <w:rPr>
                <w:rFonts w:ascii="Arial Narrow" w:hAnsi="Arial Narrow"/>
                <w:sz w:val="20"/>
              </w:rPr>
              <w:t xml:space="preserve"> mg</w:t>
            </w:r>
          </w:p>
          <w:p w:rsidR="003372D3" w:rsidRPr="0037079C" w:rsidRDefault="003372D3" w:rsidP="00EF62AB">
            <w:pPr>
              <w:keepNext/>
              <w:widowControl/>
              <w:jc w:val="left"/>
              <w:rPr>
                <w:rFonts w:ascii="Arial Narrow" w:hAnsi="Arial Narrow"/>
                <w:sz w:val="20"/>
              </w:rPr>
            </w:pPr>
            <w:r w:rsidRPr="0037079C">
              <w:rPr>
                <w:rFonts w:ascii="Arial Narrow" w:hAnsi="Arial Narrow"/>
                <w:smallCaps/>
                <w:sz w:val="20"/>
              </w:rPr>
              <w:t>Empagliflozin</w:t>
            </w:r>
            <w:r w:rsidRPr="0037079C">
              <w:rPr>
                <w:rFonts w:ascii="Arial Narrow" w:hAnsi="Arial Narrow"/>
                <w:sz w:val="20"/>
              </w:rPr>
              <w:t xml:space="preserve"> 25</w:t>
            </w:r>
            <w:r w:rsidR="007452AD" w:rsidRPr="0037079C">
              <w:rPr>
                <w:rFonts w:ascii="Arial Narrow" w:hAnsi="Arial Narrow"/>
                <w:sz w:val="20"/>
              </w:rPr>
              <w:t xml:space="preserve"> mg</w:t>
            </w:r>
            <w:r w:rsidRPr="0037079C">
              <w:rPr>
                <w:rFonts w:ascii="Arial Narrow" w:hAnsi="Arial Narrow"/>
                <w:sz w:val="20"/>
              </w:rPr>
              <w:t xml:space="preserve"> / </w:t>
            </w:r>
            <w:r w:rsidRPr="0037079C">
              <w:rPr>
                <w:rFonts w:ascii="Arial Narrow" w:hAnsi="Arial Narrow"/>
                <w:smallCaps/>
                <w:sz w:val="20"/>
              </w:rPr>
              <w:t>linagliptin</w:t>
            </w:r>
            <w:r w:rsidRPr="0037079C">
              <w:rPr>
                <w:rFonts w:ascii="Arial Narrow" w:hAnsi="Arial Narrow"/>
                <w:sz w:val="20"/>
              </w:rPr>
              <w:t xml:space="preserve"> 5</w:t>
            </w:r>
            <w:r w:rsidR="007452AD" w:rsidRPr="0037079C">
              <w:rPr>
                <w:rFonts w:ascii="Arial Narrow" w:hAnsi="Arial Narrow"/>
                <w:sz w:val="20"/>
              </w:rPr>
              <w:t xml:space="preserve"> mg</w:t>
            </w:r>
          </w:p>
        </w:tc>
        <w:tc>
          <w:tcPr>
            <w:tcW w:w="369" w:type="pct"/>
            <w:vAlign w:val="center"/>
          </w:tcPr>
          <w:p w:rsidR="003372D3" w:rsidRPr="0037079C" w:rsidRDefault="003372D3" w:rsidP="00EF62AB">
            <w:pPr>
              <w:keepNext/>
              <w:widowControl/>
              <w:jc w:val="center"/>
              <w:rPr>
                <w:rFonts w:ascii="Arial Narrow" w:hAnsi="Arial Narrow"/>
                <w:sz w:val="20"/>
              </w:rPr>
            </w:pPr>
            <w:r w:rsidRPr="0037079C">
              <w:rPr>
                <w:rFonts w:ascii="Arial Narrow" w:hAnsi="Arial Narrow"/>
                <w:sz w:val="20"/>
              </w:rPr>
              <w:t>30</w:t>
            </w:r>
          </w:p>
          <w:p w:rsidR="003372D3" w:rsidRPr="0037079C" w:rsidRDefault="003372D3" w:rsidP="00EF62AB">
            <w:pPr>
              <w:keepNext/>
              <w:widowControl/>
              <w:jc w:val="center"/>
              <w:rPr>
                <w:rFonts w:ascii="Arial Narrow" w:hAnsi="Arial Narrow"/>
                <w:sz w:val="20"/>
              </w:rPr>
            </w:pPr>
            <w:r w:rsidRPr="0037079C">
              <w:rPr>
                <w:rFonts w:ascii="Arial Narrow" w:hAnsi="Arial Narrow"/>
                <w:sz w:val="20"/>
              </w:rPr>
              <w:t>30</w:t>
            </w:r>
          </w:p>
        </w:tc>
        <w:tc>
          <w:tcPr>
            <w:tcW w:w="368" w:type="pct"/>
            <w:vAlign w:val="center"/>
          </w:tcPr>
          <w:p w:rsidR="003372D3" w:rsidRPr="0037079C" w:rsidRDefault="003372D3" w:rsidP="00EF62AB">
            <w:pPr>
              <w:keepNext/>
              <w:widowControl/>
              <w:jc w:val="center"/>
              <w:rPr>
                <w:rFonts w:ascii="Arial Narrow" w:hAnsi="Arial Narrow"/>
                <w:sz w:val="20"/>
              </w:rPr>
            </w:pPr>
            <w:r w:rsidRPr="0037079C">
              <w:rPr>
                <w:rFonts w:ascii="Arial Narrow" w:hAnsi="Arial Narrow"/>
                <w:sz w:val="20"/>
              </w:rPr>
              <w:t>5</w:t>
            </w:r>
          </w:p>
          <w:p w:rsidR="003372D3" w:rsidRPr="0037079C" w:rsidRDefault="003372D3" w:rsidP="00EF62AB">
            <w:pPr>
              <w:keepNext/>
              <w:widowControl/>
              <w:jc w:val="center"/>
              <w:rPr>
                <w:rFonts w:ascii="Arial Narrow" w:hAnsi="Arial Narrow"/>
                <w:sz w:val="20"/>
              </w:rPr>
            </w:pPr>
            <w:r w:rsidRPr="0037079C">
              <w:rPr>
                <w:rFonts w:ascii="Arial Narrow" w:hAnsi="Arial Narrow"/>
                <w:sz w:val="20"/>
              </w:rPr>
              <w:t>5</w:t>
            </w:r>
          </w:p>
        </w:tc>
        <w:tc>
          <w:tcPr>
            <w:tcW w:w="1047" w:type="pct"/>
            <w:vAlign w:val="center"/>
          </w:tcPr>
          <w:p w:rsidR="003372D3" w:rsidRPr="0037079C" w:rsidRDefault="003372D3" w:rsidP="00EF62AB">
            <w:pPr>
              <w:keepNext/>
              <w:widowControl/>
              <w:jc w:val="center"/>
              <w:rPr>
                <w:rFonts w:ascii="Arial Narrow" w:hAnsi="Arial Narrow"/>
                <w:sz w:val="20"/>
              </w:rPr>
            </w:pPr>
            <w:r w:rsidRPr="0037079C">
              <w:rPr>
                <w:rFonts w:ascii="Arial Narrow" w:hAnsi="Arial Narrow"/>
                <w:sz w:val="20"/>
              </w:rPr>
              <w:t>$</w:t>
            </w:r>
            <w:r w:rsidR="00505399">
              <w:rPr>
                <w:rFonts w:ascii="Arial Narrow" w:hAnsi="Arial Narrow"/>
                <w:noProof/>
                <w:color w:val="000000"/>
                <w:sz w:val="20"/>
                <w:highlight w:val="black"/>
              </w:rPr>
              <w:t>''''''''''''''''</w:t>
            </w:r>
          </w:p>
          <w:p w:rsidR="003372D3" w:rsidRPr="0037079C" w:rsidRDefault="003372D3" w:rsidP="00EF62AB">
            <w:pPr>
              <w:keepNext/>
              <w:widowControl/>
              <w:jc w:val="center"/>
              <w:rPr>
                <w:rFonts w:ascii="Arial Narrow" w:hAnsi="Arial Narrow"/>
                <w:sz w:val="20"/>
              </w:rPr>
            </w:pPr>
            <w:r w:rsidRPr="0037079C">
              <w:rPr>
                <w:rFonts w:ascii="Arial Narrow" w:hAnsi="Arial Narrow"/>
                <w:sz w:val="20"/>
              </w:rPr>
              <w:t>$</w:t>
            </w:r>
            <w:r w:rsidR="00505399">
              <w:rPr>
                <w:rFonts w:ascii="Arial Narrow" w:hAnsi="Arial Narrow"/>
                <w:noProof/>
                <w:color w:val="000000"/>
                <w:sz w:val="20"/>
                <w:highlight w:val="black"/>
              </w:rPr>
              <w:t>'''''''''''''''</w:t>
            </w:r>
          </w:p>
        </w:tc>
        <w:tc>
          <w:tcPr>
            <w:tcW w:w="643" w:type="pct"/>
            <w:vAlign w:val="center"/>
          </w:tcPr>
          <w:p w:rsidR="003372D3" w:rsidRPr="0037079C" w:rsidRDefault="003372D3" w:rsidP="00EF62AB">
            <w:pPr>
              <w:keepNext/>
              <w:widowControl/>
              <w:jc w:val="center"/>
              <w:rPr>
                <w:rFonts w:ascii="Arial Narrow" w:hAnsi="Arial Narrow"/>
                <w:sz w:val="20"/>
              </w:rPr>
            </w:pPr>
            <w:r w:rsidRPr="0037079C">
              <w:rPr>
                <w:rFonts w:ascii="Arial Narrow" w:hAnsi="Arial Narrow"/>
                <w:sz w:val="20"/>
              </w:rPr>
              <w:t>Glyxambi</w:t>
            </w:r>
            <w:r w:rsidRPr="0037079C">
              <w:rPr>
                <w:rFonts w:ascii="Arial Narrow" w:hAnsi="Arial Narrow"/>
                <w:sz w:val="20"/>
                <w:vertAlign w:val="superscript"/>
              </w:rPr>
              <w:t>®</w:t>
            </w:r>
          </w:p>
        </w:tc>
        <w:tc>
          <w:tcPr>
            <w:tcW w:w="708" w:type="pct"/>
            <w:vAlign w:val="center"/>
          </w:tcPr>
          <w:p w:rsidR="003372D3" w:rsidRPr="0037079C" w:rsidRDefault="003372D3" w:rsidP="00EF62AB">
            <w:pPr>
              <w:keepNext/>
              <w:widowControl/>
              <w:jc w:val="center"/>
              <w:rPr>
                <w:rFonts w:ascii="Arial Narrow" w:hAnsi="Arial Narrow"/>
                <w:sz w:val="20"/>
              </w:rPr>
            </w:pPr>
            <w:r w:rsidRPr="0037079C">
              <w:rPr>
                <w:rFonts w:ascii="Arial Narrow" w:hAnsi="Arial Narrow"/>
                <w:sz w:val="20"/>
              </w:rPr>
              <w:t>Boehringer Ingelheim</w:t>
            </w:r>
          </w:p>
        </w:tc>
      </w:tr>
      <w:tr w:rsidR="00617E12" w:rsidRPr="0037079C" w:rsidTr="0037079C">
        <w:trPr>
          <w:cantSplit/>
          <w:trHeight w:val="1224"/>
        </w:trPr>
        <w:tc>
          <w:tcPr>
            <w:tcW w:w="5000" w:type="pct"/>
            <w:gridSpan w:val="6"/>
            <w:vAlign w:val="center"/>
          </w:tcPr>
          <w:p w:rsidR="00617E12" w:rsidRPr="0037079C" w:rsidRDefault="00617E12" w:rsidP="00EF62AB">
            <w:pPr>
              <w:widowControl/>
              <w:jc w:val="left"/>
              <w:rPr>
                <w:rFonts w:ascii="Arial Narrow" w:hAnsi="Arial Narrow"/>
                <w:b/>
                <w:sz w:val="20"/>
                <w:u w:val="single"/>
              </w:rPr>
            </w:pPr>
            <w:r w:rsidRPr="0037079C">
              <w:rPr>
                <w:rFonts w:ascii="Arial Narrow" w:hAnsi="Arial Narrow"/>
                <w:b/>
                <w:sz w:val="20"/>
                <w:u w:val="single"/>
              </w:rPr>
              <w:t>Authority required</w:t>
            </w:r>
            <w:r w:rsidR="003372D3" w:rsidRPr="0037079C">
              <w:rPr>
                <w:rFonts w:ascii="Arial Narrow" w:hAnsi="Arial Narrow"/>
                <w:b/>
                <w:sz w:val="20"/>
                <w:u w:val="single"/>
              </w:rPr>
              <w:t xml:space="preserve"> (Streamlined)</w:t>
            </w:r>
          </w:p>
          <w:p w:rsidR="003372D3" w:rsidRPr="0037079C" w:rsidRDefault="003372D3" w:rsidP="00EF62AB">
            <w:pPr>
              <w:widowControl/>
              <w:jc w:val="left"/>
              <w:rPr>
                <w:rFonts w:ascii="Arial Narrow" w:hAnsi="Arial Narrow"/>
                <w:sz w:val="20"/>
              </w:rPr>
            </w:pPr>
            <w:r w:rsidRPr="0037079C">
              <w:rPr>
                <w:rFonts w:ascii="Arial Narrow" w:hAnsi="Arial Narrow"/>
                <w:sz w:val="20"/>
              </w:rPr>
              <w:t xml:space="preserve">Triple </w:t>
            </w:r>
            <w:r w:rsidR="006C6E4A" w:rsidRPr="0037079C">
              <w:rPr>
                <w:rFonts w:ascii="Arial Narrow" w:hAnsi="Arial Narrow"/>
                <w:sz w:val="20"/>
              </w:rPr>
              <w:t xml:space="preserve">oral </w:t>
            </w:r>
            <w:r w:rsidRPr="0037079C">
              <w:rPr>
                <w:rFonts w:ascii="Arial Narrow" w:hAnsi="Arial Narrow"/>
                <w:sz w:val="20"/>
              </w:rPr>
              <w:t>therapy in type 2 diabetes mellitus in combination with metformin</w:t>
            </w:r>
          </w:p>
          <w:p w:rsidR="008072B2" w:rsidRPr="0037079C" w:rsidRDefault="008072B2" w:rsidP="00EF62AB">
            <w:pPr>
              <w:widowControl/>
              <w:jc w:val="left"/>
              <w:rPr>
                <w:rFonts w:ascii="Arial Narrow" w:hAnsi="Arial Narrow"/>
                <w:sz w:val="20"/>
              </w:rPr>
            </w:pPr>
            <w:r w:rsidRPr="0037079C">
              <w:rPr>
                <w:rFonts w:ascii="Arial Narrow" w:hAnsi="Arial Narrow"/>
                <w:sz w:val="20"/>
              </w:rPr>
              <w:t>AND</w:t>
            </w:r>
          </w:p>
          <w:p w:rsidR="008072B2" w:rsidRPr="0037079C" w:rsidRDefault="008072B2" w:rsidP="00EF62AB">
            <w:pPr>
              <w:widowControl/>
              <w:jc w:val="left"/>
              <w:rPr>
                <w:rFonts w:ascii="Arial Narrow" w:hAnsi="Arial Narrow"/>
                <w:sz w:val="20"/>
              </w:rPr>
            </w:pPr>
            <w:r w:rsidRPr="0037079C">
              <w:rPr>
                <w:rFonts w:ascii="Arial Narrow" w:hAnsi="Arial Narrow"/>
                <w:sz w:val="20"/>
              </w:rPr>
              <w:t xml:space="preserve">Patient must have a contraindication to a combination of metformin and a sulfonylurea; OR </w:t>
            </w:r>
          </w:p>
          <w:p w:rsidR="008072B2" w:rsidRPr="0037079C" w:rsidRDefault="008072B2" w:rsidP="00EF62AB">
            <w:pPr>
              <w:widowControl/>
              <w:jc w:val="left"/>
              <w:rPr>
                <w:rFonts w:ascii="Arial Narrow" w:hAnsi="Arial Narrow"/>
                <w:sz w:val="20"/>
              </w:rPr>
            </w:pPr>
            <w:r w:rsidRPr="0037079C">
              <w:rPr>
                <w:rFonts w:ascii="Arial Narrow" w:hAnsi="Arial Narrow"/>
                <w:sz w:val="20"/>
              </w:rPr>
              <w:t xml:space="preserve">Patient must not have tolerated a combination </w:t>
            </w:r>
            <w:r w:rsidR="00F527BE">
              <w:rPr>
                <w:rFonts w:ascii="Arial Narrow" w:hAnsi="Arial Narrow"/>
                <w:sz w:val="20"/>
              </w:rPr>
              <w:t>of metformin and a sulfonylurea</w:t>
            </w:r>
          </w:p>
        </w:tc>
      </w:tr>
    </w:tbl>
    <w:p w:rsidR="00B60939" w:rsidRPr="00C15E26" w:rsidRDefault="00B60939" w:rsidP="00EF62AB">
      <w:pPr>
        <w:widowControl/>
      </w:pPr>
    </w:p>
    <w:p w:rsidR="00B1182D" w:rsidRPr="00C15E26" w:rsidRDefault="00A318B5" w:rsidP="008F5BEE">
      <w:pPr>
        <w:pStyle w:val="ListParagraph"/>
        <w:widowControl/>
        <w:numPr>
          <w:ilvl w:val="1"/>
          <w:numId w:val="1"/>
        </w:numPr>
        <w:rPr>
          <w:szCs w:val="22"/>
        </w:rPr>
      </w:pPr>
      <w:r w:rsidRPr="00C15E26">
        <w:rPr>
          <w:szCs w:val="22"/>
        </w:rPr>
        <w:t xml:space="preserve">The submission did not request changes to the </w:t>
      </w:r>
      <w:r w:rsidR="000D03CE" w:rsidRPr="00C15E26">
        <w:rPr>
          <w:szCs w:val="22"/>
        </w:rPr>
        <w:t>existing</w:t>
      </w:r>
      <w:r w:rsidRPr="00C15E26">
        <w:rPr>
          <w:szCs w:val="22"/>
        </w:rPr>
        <w:t xml:space="preserve"> restriction for</w:t>
      </w:r>
      <w:r w:rsidR="00B1182D" w:rsidRPr="00C15E26">
        <w:rPr>
          <w:szCs w:val="22"/>
        </w:rPr>
        <w:t xml:space="preserve"> </w:t>
      </w:r>
      <w:r w:rsidR="00B1182D" w:rsidRPr="00C15E26">
        <w:t xml:space="preserve">the components, linagliptin and empagliflozin (see TGA </w:t>
      </w:r>
      <w:r w:rsidR="000D03CE" w:rsidRPr="00C15E26">
        <w:t>status</w:t>
      </w:r>
      <w:r w:rsidR="00B1182D" w:rsidRPr="00C15E26">
        <w:t xml:space="preserve">), but </w:t>
      </w:r>
      <w:r w:rsidR="00DD59A8">
        <w:t xml:space="preserve">indicated it </w:t>
      </w:r>
      <w:r w:rsidR="00B1182D" w:rsidRPr="00C15E26">
        <w:rPr>
          <w:rFonts w:cstheme="minorHAnsi"/>
        </w:rPr>
        <w:t>would welcome the PBAC’s advice with regards to extending any PBAC recommendation to the components</w:t>
      </w:r>
      <w:r w:rsidR="00F527BE" w:rsidRPr="00C15E26">
        <w:t>.</w:t>
      </w:r>
    </w:p>
    <w:p w:rsidR="00B1182D" w:rsidRPr="00C15E26" w:rsidRDefault="00B1182D" w:rsidP="00EF62AB">
      <w:pPr>
        <w:pStyle w:val="ListParagraph"/>
        <w:widowControl/>
        <w:rPr>
          <w:szCs w:val="22"/>
        </w:rPr>
      </w:pPr>
    </w:p>
    <w:p w:rsidR="003372D3" w:rsidRPr="00C15E26" w:rsidRDefault="003372D3" w:rsidP="008F5BEE">
      <w:pPr>
        <w:pStyle w:val="ListParagraph"/>
        <w:widowControl/>
        <w:numPr>
          <w:ilvl w:val="1"/>
          <w:numId w:val="1"/>
        </w:numPr>
        <w:rPr>
          <w:szCs w:val="22"/>
        </w:rPr>
      </w:pPr>
      <w:r w:rsidRPr="00C15E26">
        <w:rPr>
          <w:szCs w:val="22"/>
        </w:rPr>
        <w:t>The listing was requested on a cost-minimisation basis of empagliflozin 25</w:t>
      </w:r>
      <w:r w:rsidR="006C6E4A" w:rsidRPr="00C15E26">
        <w:rPr>
          <w:szCs w:val="22"/>
        </w:rPr>
        <w:t xml:space="preserve"> </w:t>
      </w:r>
      <w:r w:rsidRPr="00C15E26">
        <w:rPr>
          <w:szCs w:val="22"/>
        </w:rPr>
        <w:t>mg or 10</w:t>
      </w:r>
      <w:r w:rsidR="00930559">
        <w:rPr>
          <w:szCs w:val="22"/>
        </w:rPr>
        <w:t> </w:t>
      </w:r>
      <w:r w:rsidRPr="00C15E26">
        <w:rPr>
          <w:szCs w:val="22"/>
        </w:rPr>
        <w:t>mg with linagliptin 5</w:t>
      </w:r>
      <w:r w:rsidR="006C6E4A" w:rsidRPr="00C15E26">
        <w:rPr>
          <w:szCs w:val="22"/>
        </w:rPr>
        <w:t xml:space="preserve"> </w:t>
      </w:r>
      <w:r w:rsidRPr="00C15E26">
        <w:rPr>
          <w:szCs w:val="22"/>
        </w:rPr>
        <w:t xml:space="preserve">mg </w:t>
      </w:r>
      <w:r w:rsidR="003B69AA" w:rsidRPr="00C15E26">
        <w:rPr>
          <w:szCs w:val="22"/>
        </w:rPr>
        <w:t xml:space="preserve">FDC in combination with metformin </w:t>
      </w:r>
      <w:r w:rsidRPr="00C15E26">
        <w:rPr>
          <w:szCs w:val="22"/>
        </w:rPr>
        <w:t xml:space="preserve">compared to: </w:t>
      </w:r>
    </w:p>
    <w:p w:rsidR="003372D3" w:rsidRDefault="00864472" w:rsidP="008F5BEE">
      <w:pPr>
        <w:pStyle w:val="ListParagraph"/>
        <w:widowControl/>
        <w:numPr>
          <w:ilvl w:val="0"/>
          <w:numId w:val="3"/>
        </w:numPr>
        <w:rPr>
          <w:szCs w:val="22"/>
        </w:rPr>
      </w:pPr>
      <w:r w:rsidRPr="00C15E26">
        <w:rPr>
          <w:szCs w:val="22"/>
        </w:rPr>
        <w:t>E</w:t>
      </w:r>
      <w:r w:rsidR="004961C3" w:rsidRPr="00C15E26">
        <w:rPr>
          <w:szCs w:val="22"/>
        </w:rPr>
        <w:t xml:space="preserve">mpagliflozin </w:t>
      </w:r>
      <w:r w:rsidR="009C5BE5" w:rsidRPr="00C15E26">
        <w:rPr>
          <w:szCs w:val="22"/>
        </w:rPr>
        <w:t>(</w:t>
      </w:r>
      <w:r w:rsidR="004961C3" w:rsidRPr="00C15E26">
        <w:rPr>
          <w:szCs w:val="22"/>
        </w:rPr>
        <w:t>25 mg or 10 mg</w:t>
      </w:r>
      <w:r w:rsidR="009C5BE5" w:rsidRPr="00C15E26">
        <w:rPr>
          <w:szCs w:val="22"/>
        </w:rPr>
        <w:t>)</w:t>
      </w:r>
      <w:r w:rsidRPr="00C15E26">
        <w:rPr>
          <w:szCs w:val="22"/>
        </w:rPr>
        <w:t xml:space="preserve"> +</w:t>
      </w:r>
      <w:r w:rsidR="009C5BE5" w:rsidRPr="00C15E26">
        <w:rPr>
          <w:szCs w:val="22"/>
        </w:rPr>
        <w:t xml:space="preserve"> </w:t>
      </w:r>
      <w:r w:rsidR="003372D3" w:rsidRPr="00C15E26">
        <w:rPr>
          <w:szCs w:val="22"/>
        </w:rPr>
        <w:t>linagliptin 5</w:t>
      </w:r>
      <w:r w:rsidR="007452AD" w:rsidRPr="00C15E26">
        <w:rPr>
          <w:szCs w:val="22"/>
        </w:rPr>
        <w:t xml:space="preserve"> mg</w:t>
      </w:r>
      <w:r w:rsidRPr="00C15E26">
        <w:rPr>
          <w:szCs w:val="22"/>
        </w:rPr>
        <w:t xml:space="preserve"> in combination with metformin</w:t>
      </w:r>
      <w:r w:rsidR="003372D3" w:rsidRPr="00C15E26">
        <w:rPr>
          <w:szCs w:val="22"/>
        </w:rPr>
        <w:t xml:space="preserve">; </w:t>
      </w:r>
    </w:p>
    <w:p w:rsidR="00DD59A8" w:rsidRPr="00DD59A8" w:rsidRDefault="00DD59A8" w:rsidP="00DD59A8">
      <w:pPr>
        <w:widowControl/>
        <w:ind w:left="720"/>
        <w:rPr>
          <w:szCs w:val="22"/>
        </w:rPr>
      </w:pPr>
      <w:r>
        <w:rPr>
          <w:szCs w:val="22"/>
        </w:rPr>
        <w:t>The submission claimed that, if listed on this basis</w:t>
      </w:r>
      <w:r w:rsidR="00C47638">
        <w:rPr>
          <w:szCs w:val="22"/>
        </w:rPr>
        <w:t>,</w:t>
      </w:r>
      <w:r>
        <w:rPr>
          <w:szCs w:val="22"/>
        </w:rPr>
        <w:t xml:space="preserve"> the cost of the FDC would be less than the cost of</w:t>
      </w:r>
      <w:r w:rsidR="00197025">
        <w:rPr>
          <w:szCs w:val="22"/>
        </w:rPr>
        <w:t>:</w:t>
      </w:r>
      <w:r>
        <w:rPr>
          <w:szCs w:val="22"/>
        </w:rPr>
        <w:t xml:space="preserve"> </w:t>
      </w:r>
    </w:p>
    <w:p w:rsidR="003372D3" w:rsidRPr="00C15E26" w:rsidRDefault="00864472" w:rsidP="008F5BEE">
      <w:pPr>
        <w:pStyle w:val="ListParagraph"/>
        <w:widowControl/>
        <w:numPr>
          <w:ilvl w:val="0"/>
          <w:numId w:val="3"/>
        </w:numPr>
        <w:rPr>
          <w:szCs w:val="22"/>
        </w:rPr>
      </w:pPr>
      <w:r w:rsidRPr="00C15E26">
        <w:rPr>
          <w:szCs w:val="22"/>
        </w:rPr>
        <w:t>I</w:t>
      </w:r>
      <w:r w:rsidR="003372D3" w:rsidRPr="00C15E26">
        <w:rPr>
          <w:szCs w:val="22"/>
        </w:rPr>
        <w:t>nsulin glargine</w:t>
      </w:r>
      <w:r w:rsidRPr="00C15E26">
        <w:rPr>
          <w:szCs w:val="22"/>
        </w:rPr>
        <w:t xml:space="preserve"> in </w:t>
      </w:r>
      <w:r w:rsidR="000D03CE" w:rsidRPr="00C15E26">
        <w:rPr>
          <w:szCs w:val="22"/>
        </w:rPr>
        <w:t>combination</w:t>
      </w:r>
      <w:r w:rsidRPr="00C15E26">
        <w:rPr>
          <w:szCs w:val="22"/>
        </w:rPr>
        <w:t xml:space="preserve"> with metformin</w:t>
      </w:r>
      <w:r w:rsidR="003372D3" w:rsidRPr="00C15E26">
        <w:rPr>
          <w:szCs w:val="22"/>
        </w:rPr>
        <w:t xml:space="preserve">; </w:t>
      </w:r>
      <w:r w:rsidR="00426CA7">
        <w:rPr>
          <w:szCs w:val="22"/>
        </w:rPr>
        <w:t>or</w:t>
      </w:r>
      <w:r w:rsidR="00426CA7" w:rsidRPr="00C15E26">
        <w:rPr>
          <w:szCs w:val="22"/>
        </w:rPr>
        <w:t xml:space="preserve"> </w:t>
      </w:r>
    </w:p>
    <w:p w:rsidR="002C2775" w:rsidRDefault="00864472" w:rsidP="008F5BEE">
      <w:pPr>
        <w:pStyle w:val="ListParagraph"/>
        <w:widowControl/>
        <w:numPr>
          <w:ilvl w:val="0"/>
          <w:numId w:val="3"/>
        </w:numPr>
        <w:rPr>
          <w:szCs w:val="22"/>
        </w:rPr>
      </w:pPr>
      <w:r w:rsidRPr="00C15E26">
        <w:rPr>
          <w:szCs w:val="22"/>
        </w:rPr>
        <w:t>E</w:t>
      </w:r>
      <w:r w:rsidR="003372D3" w:rsidRPr="00C15E26">
        <w:rPr>
          <w:szCs w:val="22"/>
        </w:rPr>
        <w:t>xenatide 2</w:t>
      </w:r>
      <w:r w:rsidR="007452AD" w:rsidRPr="00C15E26">
        <w:rPr>
          <w:szCs w:val="22"/>
        </w:rPr>
        <w:t xml:space="preserve"> mg</w:t>
      </w:r>
      <w:r w:rsidR="003372D3" w:rsidRPr="00C15E26">
        <w:rPr>
          <w:szCs w:val="22"/>
        </w:rPr>
        <w:t xml:space="preserve"> weekly or exenatide 10</w:t>
      </w:r>
      <w:r w:rsidR="00335806" w:rsidRPr="00C15E26">
        <w:rPr>
          <w:szCs w:val="22"/>
        </w:rPr>
        <w:t xml:space="preserve"> </w:t>
      </w:r>
      <w:r w:rsidR="003372D3" w:rsidRPr="00C15E26">
        <w:rPr>
          <w:szCs w:val="22"/>
        </w:rPr>
        <w:t>µg twice daily</w:t>
      </w:r>
      <w:r w:rsidRPr="00C15E26">
        <w:rPr>
          <w:szCs w:val="22"/>
        </w:rPr>
        <w:t xml:space="preserve"> in combination with metformin</w:t>
      </w:r>
      <w:r w:rsidR="00933835" w:rsidRPr="00C15E26">
        <w:rPr>
          <w:szCs w:val="22"/>
        </w:rPr>
        <w:t>.</w:t>
      </w:r>
    </w:p>
    <w:p w:rsidR="00B25D3B" w:rsidRDefault="00B25D3B" w:rsidP="00795084">
      <w:pPr>
        <w:widowControl/>
        <w:rPr>
          <w:szCs w:val="22"/>
        </w:rPr>
      </w:pPr>
    </w:p>
    <w:p w:rsidR="009949C6" w:rsidRPr="00C47638" w:rsidRDefault="00197025" w:rsidP="008F5BEE">
      <w:pPr>
        <w:pStyle w:val="ListParagraph"/>
        <w:widowControl/>
        <w:numPr>
          <w:ilvl w:val="1"/>
          <w:numId w:val="1"/>
        </w:numPr>
        <w:rPr>
          <w:szCs w:val="22"/>
        </w:rPr>
      </w:pPr>
      <w:r w:rsidRPr="00C47638">
        <w:rPr>
          <w:szCs w:val="22"/>
        </w:rPr>
        <w:t xml:space="preserve">Both the ESC and the DUSC had concerns with the proposed restriction </w:t>
      </w:r>
      <w:r w:rsidR="006626E6" w:rsidRPr="00C47638">
        <w:rPr>
          <w:szCs w:val="22"/>
        </w:rPr>
        <w:t>including that</w:t>
      </w:r>
      <w:r w:rsidR="00795084" w:rsidRPr="00C47638">
        <w:rPr>
          <w:szCs w:val="22"/>
        </w:rPr>
        <w:t xml:space="preserve"> </w:t>
      </w:r>
      <w:r w:rsidRPr="00C47638">
        <w:rPr>
          <w:szCs w:val="22"/>
        </w:rPr>
        <w:t>it</w:t>
      </w:r>
      <w:r w:rsidR="00795084" w:rsidRPr="00C47638">
        <w:rPr>
          <w:szCs w:val="22"/>
        </w:rPr>
        <w:t xml:space="preserve"> would be difficult to implement in practice</w:t>
      </w:r>
      <w:r w:rsidR="00426CA7">
        <w:rPr>
          <w:szCs w:val="22"/>
        </w:rPr>
        <w:t>,</w:t>
      </w:r>
      <w:r w:rsidR="00795084" w:rsidRPr="00C47638">
        <w:rPr>
          <w:szCs w:val="22"/>
        </w:rPr>
        <w:t xml:space="preserve"> </w:t>
      </w:r>
      <w:r w:rsidR="009949C6" w:rsidRPr="00C47638">
        <w:rPr>
          <w:szCs w:val="22"/>
        </w:rPr>
        <w:t>that the PBS restrictions for diabetes medicines remain complex</w:t>
      </w:r>
      <w:r w:rsidR="00426CA7">
        <w:rPr>
          <w:szCs w:val="22"/>
        </w:rPr>
        <w:t>,</w:t>
      </w:r>
      <w:r w:rsidR="009949C6" w:rsidRPr="00C47638">
        <w:rPr>
          <w:szCs w:val="22"/>
        </w:rPr>
        <w:t xml:space="preserve"> and that the phrase </w:t>
      </w:r>
      <w:r w:rsidR="00426CA7">
        <w:rPr>
          <w:szCs w:val="22"/>
        </w:rPr>
        <w:t>“</w:t>
      </w:r>
      <w:r w:rsidR="009949C6" w:rsidRPr="00C47638">
        <w:rPr>
          <w:szCs w:val="22"/>
        </w:rPr>
        <w:t>must not have tolerated</w:t>
      </w:r>
      <w:r w:rsidR="00426CA7">
        <w:rPr>
          <w:szCs w:val="22"/>
        </w:rPr>
        <w:t>”</w:t>
      </w:r>
      <w:r w:rsidR="009949C6" w:rsidRPr="00C47638">
        <w:rPr>
          <w:szCs w:val="22"/>
        </w:rPr>
        <w:t xml:space="preserve"> is open to broad interpretation.</w:t>
      </w:r>
    </w:p>
    <w:p w:rsidR="009949C6" w:rsidRPr="00C47638" w:rsidRDefault="009949C6" w:rsidP="009949C6">
      <w:pPr>
        <w:pStyle w:val="ListParagraph"/>
        <w:widowControl/>
        <w:rPr>
          <w:szCs w:val="22"/>
        </w:rPr>
      </w:pPr>
    </w:p>
    <w:p w:rsidR="00795084" w:rsidRPr="00C47638" w:rsidRDefault="00795084" w:rsidP="008F5BEE">
      <w:pPr>
        <w:pStyle w:val="ListParagraph"/>
        <w:widowControl/>
        <w:numPr>
          <w:ilvl w:val="1"/>
          <w:numId w:val="1"/>
        </w:numPr>
        <w:rPr>
          <w:szCs w:val="22"/>
        </w:rPr>
      </w:pPr>
      <w:r w:rsidRPr="00C47638">
        <w:rPr>
          <w:szCs w:val="22"/>
        </w:rPr>
        <w:t xml:space="preserve">The Pre-PBAC </w:t>
      </w:r>
      <w:r w:rsidR="00426CA7">
        <w:rPr>
          <w:szCs w:val="22"/>
        </w:rPr>
        <w:t>R</w:t>
      </w:r>
      <w:r w:rsidRPr="00C47638">
        <w:rPr>
          <w:szCs w:val="22"/>
        </w:rPr>
        <w:t xml:space="preserve">esponse argued that the requirement for intolerance or contraindication to </w:t>
      </w:r>
      <w:r w:rsidR="00930559" w:rsidRPr="00C47638">
        <w:rPr>
          <w:szCs w:val="22"/>
        </w:rPr>
        <w:t xml:space="preserve">sulfonylureas </w:t>
      </w:r>
      <w:r w:rsidRPr="00C47638">
        <w:rPr>
          <w:szCs w:val="22"/>
        </w:rPr>
        <w:t>therapy is consistent with the PBS restriction for exenatide</w:t>
      </w:r>
      <w:r w:rsidR="00EC131B" w:rsidRPr="00C47638">
        <w:rPr>
          <w:szCs w:val="22"/>
        </w:rPr>
        <w:t>.</w:t>
      </w:r>
      <w:r w:rsidR="009C24ED" w:rsidRPr="00C47638">
        <w:rPr>
          <w:szCs w:val="22"/>
        </w:rPr>
        <w:t xml:space="preserve"> The Pre-PBAC </w:t>
      </w:r>
      <w:r w:rsidR="006626E6">
        <w:rPr>
          <w:szCs w:val="22"/>
        </w:rPr>
        <w:t>R</w:t>
      </w:r>
      <w:r w:rsidR="009C24ED" w:rsidRPr="00C47638">
        <w:rPr>
          <w:szCs w:val="22"/>
        </w:rPr>
        <w:t xml:space="preserve">esponse </w:t>
      </w:r>
      <w:r w:rsidR="00197025" w:rsidRPr="00C47638">
        <w:rPr>
          <w:szCs w:val="22"/>
        </w:rPr>
        <w:t xml:space="preserve">also </w:t>
      </w:r>
      <w:r w:rsidR="009C24ED" w:rsidRPr="00C47638">
        <w:rPr>
          <w:szCs w:val="22"/>
        </w:rPr>
        <w:t xml:space="preserve">stated that the sponsor would accept a written Authority Required restriction to address concerns regarding inappropriate prescribing outside the PBS restriction and ensure that patients who are </w:t>
      </w:r>
      <w:r w:rsidR="009C24ED" w:rsidRPr="00C47638">
        <w:rPr>
          <w:szCs w:val="22"/>
        </w:rPr>
        <w:lastRenderedPageBreak/>
        <w:t xml:space="preserve">contraindicated or intolerant to sulfonylureas have this treatment option available. </w:t>
      </w:r>
      <w:r w:rsidR="009334EB" w:rsidRPr="00C47638">
        <w:rPr>
          <w:szCs w:val="22"/>
        </w:rPr>
        <w:t xml:space="preserve">The Pre-PBAC </w:t>
      </w:r>
      <w:r w:rsidR="006626E6">
        <w:rPr>
          <w:szCs w:val="22"/>
        </w:rPr>
        <w:t>R</w:t>
      </w:r>
      <w:r w:rsidR="009334EB" w:rsidRPr="00C47638">
        <w:rPr>
          <w:szCs w:val="22"/>
        </w:rPr>
        <w:t xml:space="preserve">esponse </w:t>
      </w:r>
      <w:r w:rsidR="00197025" w:rsidRPr="00C47638">
        <w:rPr>
          <w:szCs w:val="22"/>
        </w:rPr>
        <w:t>argued</w:t>
      </w:r>
      <w:r w:rsidR="009334EB" w:rsidRPr="00C47638">
        <w:rPr>
          <w:szCs w:val="22"/>
        </w:rPr>
        <w:t xml:space="preserve"> </w:t>
      </w:r>
      <w:r w:rsidR="006626E6">
        <w:rPr>
          <w:szCs w:val="22"/>
        </w:rPr>
        <w:t xml:space="preserve">that </w:t>
      </w:r>
      <w:r w:rsidR="009334EB" w:rsidRPr="00C47638">
        <w:rPr>
          <w:szCs w:val="22"/>
        </w:rPr>
        <w:t>there are patients for whom</w:t>
      </w:r>
      <w:r w:rsidR="00197025" w:rsidRPr="00C47638">
        <w:rPr>
          <w:szCs w:val="22"/>
        </w:rPr>
        <w:t xml:space="preserve"> a trial of</w:t>
      </w:r>
      <w:r w:rsidR="009334EB" w:rsidRPr="00C47638">
        <w:rPr>
          <w:szCs w:val="22"/>
        </w:rPr>
        <w:t xml:space="preserve"> sulfonylurea treatment is not appropriate and could be justifiably considered by their physician as </w:t>
      </w:r>
      <w:r w:rsidR="006626E6">
        <w:rPr>
          <w:szCs w:val="22"/>
        </w:rPr>
        <w:t>“</w:t>
      </w:r>
      <w:r w:rsidR="009334EB" w:rsidRPr="006626E6">
        <w:rPr>
          <w:iCs/>
          <w:szCs w:val="22"/>
        </w:rPr>
        <w:t>intolerant</w:t>
      </w:r>
      <w:r w:rsidR="006626E6">
        <w:rPr>
          <w:iCs/>
          <w:szCs w:val="22"/>
        </w:rPr>
        <w:t>”</w:t>
      </w:r>
      <w:r w:rsidR="009334EB" w:rsidRPr="00C47638">
        <w:rPr>
          <w:i/>
          <w:iCs/>
          <w:szCs w:val="22"/>
        </w:rPr>
        <w:t xml:space="preserve"> </w:t>
      </w:r>
      <w:r w:rsidR="009334EB" w:rsidRPr="00C47638">
        <w:rPr>
          <w:szCs w:val="22"/>
        </w:rPr>
        <w:t xml:space="preserve">to sulfonylureas. </w:t>
      </w:r>
      <w:r w:rsidR="006626E6">
        <w:rPr>
          <w:szCs w:val="22"/>
        </w:rPr>
        <w:t>The Pre-PBAC Response also stated that t</w:t>
      </w:r>
      <w:r w:rsidR="009334EB" w:rsidRPr="00C47638">
        <w:rPr>
          <w:szCs w:val="22"/>
        </w:rPr>
        <w:t xml:space="preserve">he RACGP 2016-18 guidelines for management of T2DM note that special care needs to be taken with those at increased risk of hypoglycaemia, especially the elderly. </w:t>
      </w:r>
      <w:r w:rsidR="00197025" w:rsidRPr="00C47638">
        <w:rPr>
          <w:szCs w:val="22"/>
        </w:rPr>
        <w:t xml:space="preserve">The </w:t>
      </w:r>
      <w:r w:rsidR="006626E6">
        <w:rPr>
          <w:szCs w:val="22"/>
        </w:rPr>
        <w:t xml:space="preserve">Pre-PBAC Response identified </w:t>
      </w:r>
      <w:r w:rsidR="00197025" w:rsidRPr="00C47638">
        <w:rPr>
          <w:szCs w:val="22"/>
        </w:rPr>
        <w:t>o</w:t>
      </w:r>
      <w:r w:rsidR="009334EB" w:rsidRPr="00C47638">
        <w:rPr>
          <w:szCs w:val="22"/>
        </w:rPr>
        <w:t>ther examples</w:t>
      </w:r>
      <w:r w:rsidR="00197025" w:rsidRPr="00C47638">
        <w:rPr>
          <w:szCs w:val="22"/>
        </w:rPr>
        <w:t xml:space="preserve"> of situations</w:t>
      </w:r>
      <w:r w:rsidR="009334EB" w:rsidRPr="00C47638">
        <w:rPr>
          <w:szCs w:val="22"/>
        </w:rPr>
        <w:t xml:space="preserve"> in which sulfonylureas may be considered inappropriate</w:t>
      </w:r>
      <w:r w:rsidR="006626E6">
        <w:rPr>
          <w:szCs w:val="22"/>
        </w:rPr>
        <w:t>,</w:t>
      </w:r>
      <w:r w:rsidR="009334EB" w:rsidRPr="00C47638">
        <w:rPr>
          <w:szCs w:val="22"/>
        </w:rPr>
        <w:t xml:space="preserve"> </w:t>
      </w:r>
      <w:r w:rsidR="006626E6">
        <w:rPr>
          <w:szCs w:val="22"/>
        </w:rPr>
        <w:t>such as in</w:t>
      </w:r>
      <w:r w:rsidR="006626E6" w:rsidRPr="00C47638">
        <w:rPr>
          <w:szCs w:val="22"/>
        </w:rPr>
        <w:t xml:space="preserve"> </w:t>
      </w:r>
      <w:r w:rsidR="009334EB" w:rsidRPr="00C47638">
        <w:rPr>
          <w:szCs w:val="22"/>
        </w:rPr>
        <w:t>patients with jobs including driving, physical labour, heavy machinery or working at heights, or patients for whom weight gain is a problem (i.e. obese patients).</w:t>
      </w:r>
    </w:p>
    <w:p w:rsidR="0024485E" w:rsidRPr="00C47638" w:rsidRDefault="0024485E" w:rsidP="0024485E">
      <w:pPr>
        <w:pStyle w:val="ListParagraph"/>
        <w:widowControl/>
        <w:rPr>
          <w:szCs w:val="22"/>
        </w:rPr>
      </w:pPr>
    </w:p>
    <w:p w:rsidR="0024485E" w:rsidRPr="00C47638" w:rsidRDefault="0024485E" w:rsidP="008F5BEE">
      <w:pPr>
        <w:pStyle w:val="ListParagraph"/>
        <w:widowControl/>
        <w:numPr>
          <w:ilvl w:val="1"/>
          <w:numId w:val="1"/>
        </w:numPr>
        <w:rPr>
          <w:szCs w:val="22"/>
        </w:rPr>
      </w:pPr>
      <w:r w:rsidRPr="00C47638">
        <w:rPr>
          <w:bCs/>
          <w:szCs w:val="22"/>
          <w:lang w:val="en-GB"/>
        </w:rPr>
        <w:t xml:space="preserve">The PBAC noted </w:t>
      </w:r>
      <w:r w:rsidR="009334EB" w:rsidRPr="00C47638">
        <w:rPr>
          <w:bCs/>
          <w:szCs w:val="22"/>
          <w:lang w:val="en-GB"/>
        </w:rPr>
        <w:t xml:space="preserve">the sponsor </w:t>
      </w:r>
      <w:r w:rsidR="009334EB" w:rsidRPr="00C47638">
        <w:rPr>
          <w:szCs w:val="22"/>
        </w:rPr>
        <w:t xml:space="preserve">would accept any changes to the restriction wording which would which more clearly identify patients who are intolerant or contraindicated to sulfonylureas, but the sponsor did not provide suggestions about </w:t>
      </w:r>
      <w:r w:rsidRPr="00C47638">
        <w:rPr>
          <w:bCs/>
          <w:szCs w:val="22"/>
          <w:lang w:val="en-GB"/>
        </w:rPr>
        <w:t xml:space="preserve">the data </w:t>
      </w:r>
      <w:r w:rsidR="009334EB" w:rsidRPr="00C47638">
        <w:rPr>
          <w:bCs/>
          <w:szCs w:val="22"/>
          <w:lang w:val="en-GB"/>
        </w:rPr>
        <w:t xml:space="preserve">that could </w:t>
      </w:r>
      <w:r w:rsidRPr="00C47638">
        <w:rPr>
          <w:bCs/>
          <w:szCs w:val="22"/>
          <w:lang w:val="en-GB"/>
        </w:rPr>
        <w:t>be collected by a written Authority</w:t>
      </w:r>
      <w:r w:rsidR="006626E6">
        <w:rPr>
          <w:bCs/>
          <w:szCs w:val="22"/>
          <w:lang w:val="en-GB"/>
        </w:rPr>
        <w:t xml:space="preserve"> prescription</w:t>
      </w:r>
      <w:r w:rsidR="002E0AEA" w:rsidRPr="00C47638">
        <w:rPr>
          <w:bCs/>
          <w:szCs w:val="22"/>
          <w:lang w:val="en-GB"/>
        </w:rPr>
        <w:t>. The PBAC was concerned that implementation of a</w:t>
      </w:r>
      <w:r w:rsidR="00A77702" w:rsidRPr="00C47638">
        <w:rPr>
          <w:bCs/>
          <w:szCs w:val="22"/>
          <w:lang w:val="en-GB"/>
        </w:rPr>
        <w:t xml:space="preserve"> </w:t>
      </w:r>
      <w:r w:rsidR="004529FD" w:rsidRPr="00C47638">
        <w:rPr>
          <w:bCs/>
          <w:szCs w:val="22"/>
          <w:lang w:val="en-GB"/>
        </w:rPr>
        <w:t xml:space="preserve">restriction </w:t>
      </w:r>
      <w:r w:rsidR="002E0AEA" w:rsidRPr="00C47638">
        <w:rPr>
          <w:bCs/>
          <w:szCs w:val="22"/>
          <w:lang w:val="en-GB"/>
        </w:rPr>
        <w:t xml:space="preserve">based </w:t>
      </w:r>
      <w:r w:rsidR="004529FD" w:rsidRPr="00C47638">
        <w:rPr>
          <w:bCs/>
          <w:szCs w:val="22"/>
          <w:lang w:val="en-GB"/>
        </w:rPr>
        <w:t>on age</w:t>
      </w:r>
      <w:r w:rsidR="00B96412" w:rsidRPr="00C47638">
        <w:rPr>
          <w:bCs/>
          <w:szCs w:val="22"/>
          <w:lang w:val="en-GB"/>
        </w:rPr>
        <w:t>,</w:t>
      </w:r>
      <w:r w:rsidR="004529FD" w:rsidRPr="00C47638">
        <w:rPr>
          <w:bCs/>
          <w:szCs w:val="22"/>
          <w:lang w:val="en-GB"/>
        </w:rPr>
        <w:t xml:space="preserve"> weight </w:t>
      </w:r>
      <w:r w:rsidR="00A77702" w:rsidRPr="00C47638">
        <w:rPr>
          <w:bCs/>
          <w:szCs w:val="22"/>
          <w:lang w:val="en-GB"/>
        </w:rPr>
        <w:t>and patient</w:t>
      </w:r>
      <w:r w:rsidR="00B96412" w:rsidRPr="00C47638">
        <w:rPr>
          <w:bCs/>
          <w:szCs w:val="22"/>
          <w:lang w:val="en-GB"/>
        </w:rPr>
        <w:t>’</w:t>
      </w:r>
      <w:r w:rsidR="00A77702" w:rsidRPr="00C47638">
        <w:rPr>
          <w:bCs/>
          <w:szCs w:val="22"/>
          <w:lang w:val="en-GB"/>
        </w:rPr>
        <w:t xml:space="preserve">s employment would be problematic. </w:t>
      </w:r>
      <w:r w:rsidR="004529FD" w:rsidRPr="00C47638">
        <w:rPr>
          <w:bCs/>
          <w:szCs w:val="22"/>
          <w:lang w:val="en-GB"/>
        </w:rPr>
        <w:t xml:space="preserve">In addition, the PBAC noted the </w:t>
      </w:r>
      <w:r w:rsidRPr="00C47638">
        <w:rPr>
          <w:bCs/>
          <w:szCs w:val="22"/>
          <w:lang w:val="en-GB"/>
        </w:rPr>
        <w:t xml:space="preserve">substantial costs </w:t>
      </w:r>
      <w:r w:rsidR="00926940" w:rsidRPr="00C47638">
        <w:rPr>
          <w:bCs/>
          <w:szCs w:val="22"/>
          <w:lang w:val="en-GB"/>
        </w:rPr>
        <w:t>and res</w:t>
      </w:r>
      <w:r w:rsidR="00E073D9" w:rsidRPr="00C47638">
        <w:rPr>
          <w:bCs/>
          <w:szCs w:val="22"/>
          <w:lang w:val="en-GB"/>
        </w:rPr>
        <w:t>ources</w:t>
      </w:r>
      <w:r w:rsidR="00926940" w:rsidRPr="00C47638">
        <w:rPr>
          <w:bCs/>
          <w:szCs w:val="22"/>
          <w:lang w:val="en-GB"/>
        </w:rPr>
        <w:t xml:space="preserve"> </w:t>
      </w:r>
      <w:r w:rsidR="006626E6">
        <w:rPr>
          <w:bCs/>
          <w:szCs w:val="22"/>
          <w:lang w:val="en-GB"/>
        </w:rPr>
        <w:t>incurred by</w:t>
      </w:r>
      <w:r w:rsidR="006626E6" w:rsidRPr="00C47638">
        <w:rPr>
          <w:bCs/>
          <w:szCs w:val="22"/>
          <w:lang w:val="en-GB"/>
        </w:rPr>
        <w:t xml:space="preserve"> </w:t>
      </w:r>
      <w:r w:rsidR="00B96412" w:rsidRPr="00C47638">
        <w:rPr>
          <w:bCs/>
          <w:szCs w:val="22"/>
          <w:lang w:val="en-GB"/>
        </w:rPr>
        <w:t>clinicians</w:t>
      </w:r>
      <w:r w:rsidR="004529FD" w:rsidRPr="00C47638">
        <w:rPr>
          <w:bCs/>
          <w:szCs w:val="22"/>
          <w:lang w:val="en-GB"/>
        </w:rPr>
        <w:t xml:space="preserve"> and the Department of Human Services who would be</w:t>
      </w:r>
      <w:r w:rsidRPr="00C47638">
        <w:rPr>
          <w:bCs/>
          <w:szCs w:val="22"/>
          <w:lang w:val="en-GB"/>
        </w:rPr>
        <w:t xml:space="preserve"> administering </w:t>
      </w:r>
      <w:r w:rsidR="006626E6">
        <w:rPr>
          <w:bCs/>
          <w:szCs w:val="22"/>
          <w:lang w:val="en-GB"/>
        </w:rPr>
        <w:t xml:space="preserve">a </w:t>
      </w:r>
      <w:r w:rsidR="004529FD" w:rsidRPr="00C47638">
        <w:rPr>
          <w:bCs/>
          <w:szCs w:val="22"/>
          <w:lang w:val="en-GB"/>
        </w:rPr>
        <w:t xml:space="preserve">potentially large </w:t>
      </w:r>
      <w:r w:rsidRPr="00C47638">
        <w:rPr>
          <w:bCs/>
          <w:szCs w:val="22"/>
          <w:lang w:val="en-GB"/>
        </w:rPr>
        <w:t>volume of written Authority prescriptions under the requested listing.</w:t>
      </w:r>
    </w:p>
    <w:p w:rsidR="00242FF5" w:rsidRPr="00242FF5" w:rsidRDefault="00242FF5" w:rsidP="00242FF5">
      <w:pPr>
        <w:pStyle w:val="ListParagraph"/>
        <w:rPr>
          <w:bCs/>
          <w:szCs w:val="22"/>
          <w:highlight w:val="yellow"/>
          <w:lang w:val="en-GB"/>
        </w:rPr>
      </w:pPr>
    </w:p>
    <w:p w:rsidR="00242FF5" w:rsidRPr="00242FF5" w:rsidRDefault="00242FF5" w:rsidP="008F5BEE">
      <w:pPr>
        <w:pStyle w:val="ListParagraph"/>
        <w:widowControl/>
        <w:numPr>
          <w:ilvl w:val="1"/>
          <w:numId w:val="1"/>
        </w:numPr>
        <w:rPr>
          <w:bCs/>
          <w:szCs w:val="22"/>
          <w:lang w:val="en-GB"/>
        </w:rPr>
      </w:pPr>
      <w:r w:rsidRPr="00242FF5">
        <w:rPr>
          <w:bCs/>
          <w:szCs w:val="22"/>
          <w:lang w:val="en-GB"/>
        </w:rPr>
        <w:t xml:space="preserve">The PBAC </w:t>
      </w:r>
      <w:r w:rsidR="0017678D">
        <w:rPr>
          <w:bCs/>
          <w:szCs w:val="22"/>
          <w:lang w:val="en-GB"/>
        </w:rPr>
        <w:t xml:space="preserve">recalled it has </w:t>
      </w:r>
      <w:r w:rsidRPr="00242FF5">
        <w:rPr>
          <w:bCs/>
          <w:szCs w:val="22"/>
          <w:lang w:val="en-GB"/>
        </w:rPr>
        <w:t xml:space="preserve">previously considered that the requirement for intolerance to sulfonylureas has been interpreted less strictly than intended, and restrictions limiting use of oral diabetes medicines to patients intolerant to sulfonylureas were unlikely to be </w:t>
      </w:r>
      <w:r w:rsidR="00360A06">
        <w:rPr>
          <w:bCs/>
          <w:szCs w:val="22"/>
          <w:lang w:val="en-GB"/>
        </w:rPr>
        <w:t>followed in practice</w:t>
      </w:r>
      <w:r w:rsidRPr="00242FF5">
        <w:rPr>
          <w:bCs/>
          <w:szCs w:val="22"/>
          <w:lang w:val="en-GB"/>
        </w:rPr>
        <w:t xml:space="preserve"> (Alogliptin Public Summary Document (PSD) July 2013; Metformin and sitagliptin PSD November 2013). Subsequently, combination therapy restrictions for </w:t>
      </w:r>
      <w:r w:rsidR="00360A06" w:rsidRPr="00C15E26">
        <w:t xml:space="preserve">dipeptidyl peptidase 4 </w:t>
      </w:r>
      <w:r w:rsidR="00360A06">
        <w:t>(</w:t>
      </w:r>
      <w:r w:rsidR="00360A06" w:rsidRPr="00242FF5">
        <w:rPr>
          <w:bCs/>
          <w:szCs w:val="22"/>
          <w:lang w:val="en-GB"/>
        </w:rPr>
        <w:t>DPP4</w:t>
      </w:r>
      <w:r w:rsidR="00360A06">
        <w:rPr>
          <w:bCs/>
          <w:szCs w:val="22"/>
          <w:lang w:val="en-GB"/>
        </w:rPr>
        <w:t>)</w:t>
      </w:r>
      <w:r w:rsidR="00360A06" w:rsidRPr="00242FF5">
        <w:rPr>
          <w:bCs/>
          <w:szCs w:val="22"/>
          <w:lang w:val="en-GB"/>
        </w:rPr>
        <w:t xml:space="preserve"> </w:t>
      </w:r>
      <w:r w:rsidR="00360A06" w:rsidRPr="00C15E26">
        <w:t xml:space="preserve">inhibitor </w:t>
      </w:r>
      <w:r w:rsidRPr="00242FF5">
        <w:rPr>
          <w:bCs/>
          <w:szCs w:val="22"/>
          <w:lang w:val="en-GB"/>
        </w:rPr>
        <w:t xml:space="preserve">and </w:t>
      </w:r>
      <w:r w:rsidR="00360A06" w:rsidRPr="00C15E26">
        <w:rPr>
          <w:iCs/>
        </w:rPr>
        <w:t xml:space="preserve">sodium-glucose co-transporter 2 </w:t>
      </w:r>
      <w:r w:rsidR="00360A06">
        <w:rPr>
          <w:bCs/>
          <w:szCs w:val="22"/>
          <w:lang w:val="en-GB"/>
        </w:rPr>
        <w:t>(</w:t>
      </w:r>
      <w:r w:rsidR="00360A06" w:rsidRPr="00242FF5">
        <w:rPr>
          <w:bCs/>
          <w:szCs w:val="22"/>
          <w:lang w:val="en-GB"/>
        </w:rPr>
        <w:t>SGLT2</w:t>
      </w:r>
      <w:r w:rsidR="00360A06">
        <w:rPr>
          <w:bCs/>
          <w:szCs w:val="22"/>
          <w:lang w:val="en-GB"/>
        </w:rPr>
        <w:t>)</w:t>
      </w:r>
      <w:r w:rsidR="00360A06" w:rsidRPr="00242FF5">
        <w:rPr>
          <w:bCs/>
          <w:szCs w:val="22"/>
          <w:lang w:val="en-GB"/>
        </w:rPr>
        <w:t xml:space="preserve"> </w:t>
      </w:r>
      <w:r w:rsidR="00360A06" w:rsidRPr="00C15E26">
        <w:rPr>
          <w:iCs/>
        </w:rPr>
        <w:t>inhibitor</w:t>
      </w:r>
      <w:r w:rsidR="00360A06" w:rsidRPr="00242FF5">
        <w:rPr>
          <w:bCs/>
          <w:szCs w:val="22"/>
          <w:lang w:val="en-GB"/>
        </w:rPr>
        <w:t xml:space="preserve"> </w:t>
      </w:r>
      <w:r w:rsidRPr="00242FF5">
        <w:rPr>
          <w:bCs/>
          <w:szCs w:val="22"/>
          <w:lang w:val="en-GB"/>
        </w:rPr>
        <w:t>products were amended to remove the requirement for intolerance or contraindication to sulfonylureas.</w:t>
      </w:r>
    </w:p>
    <w:p w:rsidR="00242FF5" w:rsidRPr="00242FF5" w:rsidRDefault="00242FF5" w:rsidP="00242FF5">
      <w:pPr>
        <w:pStyle w:val="ListParagraph"/>
        <w:widowControl/>
        <w:rPr>
          <w:bCs/>
          <w:szCs w:val="22"/>
          <w:lang w:val="en-GB"/>
        </w:rPr>
      </w:pPr>
    </w:p>
    <w:p w:rsidR="00242FF5" w:rsidRPr="00242FF5" w:rsidRDefault="00F553E4" w:rsidP="008F5BEE">
      <w:pPr>
        <w:pStyle w:val="ListParagraph"/>
        <w:widowControl/>
        <w:numPr>
          <w:ilvl w:val="1"/>
          <w:numId w:val="1"/>
        </w:numPr>
        <w:rPr>
          <w:bCs/>
          <w:szCs w:val="22"/>
          <w:lang w:val="en-GB"/>
        </w:rPr>
      </w:pPr>
      <w:r>
        <w:rPr>
          <w:bCs/>
          <w:szCs w:val="22"/>
          <w:lang w:val="en-GB"/>
        </w:rPr>
        <w:t xml:space="preserve">Additionally, </w:t>
      </w:r>
      <w:r w:rsidR="000054E2">
        <w:rPr>
          <w:bCs/>
          <w:szCs w:val="22"/>
          <w:lang w:val="en-GB"/>
        </w:rPr>
        <w:t xml:space="preserve">as </w:t>
      </w:r>
      <w:r>
        <w:rPr>
          <w:bCs/>
          <w:szCs w:val="22"/>
          <w:lang w:val="en-GB"/>
        </w:rPr>
        <w:t>t</w:t>
      </w:r>
      <w:r w:rsidR="00242FF5" w:rsidRPr="00242FF5">
        <w:rPr>
          <w:bCs/>
          <w:szCs w:val="22"/>
          <w:lang w:val="en-GB"/>
        </w:rPr>
        <w:t>he current PBS restrictions for metformin with a DPP4 inhibitor or metformin with a</w:t>
      </w:r>
      <w:r w:rsidR="00360A06">
        <w:rPr>
          <w:bCs/>
          <w:szCs w:val="22"/>
          <w:lang w:val="en-GB"/>
        </w:rPr>
        <w:t>n</w:t>
      </w:r>
      <w:r w:rsidR="00242FF5" w:rsidRPr="00242FF5">
        <w:rPr>
          <w:bCs/>
          <w:szCs w:val="22"/>
          <w:lang w:val="en-GB"/>
        </w:rPr>
        <w:t xml:space="preserve"> SGLT2 inhibitor do not require patients to have a metformin + sulfonylurea contraindication or intolerance, a subset of patients will only be eligible for triple therapy with the FDC and metformin</w:t>
      </w:r>
      <w:r w:rsidR="00360A06">
        <w:rPr>
          <w:bCs/>
          <w:szCs w:val="22"/>
          <w:lang w:val="en-GB"/>
        </w:rPr>
        <w:t xml:space="preserve"> (met)</w:t>
      </w:r>
      <w:r w:rsidR="00242FF5" w:rsidRPr="00242FF5">
        <w:rPr>
          <w:bCs/>
          <w:szCs w:val="22"/>
          <w:lang w:val="en-GB"/>
        </w:rPr>
        <w:t xml:space="preserve">, if they first demonstrate </w:t>
      </w:r>
      <w:r w:rsidR="00930559" w:rsidRPr="00242FF5">
        <w:rPr>
          <w:bCs/>
          <w:szCs w:val="22"/>
          <w:lang w:val="en-GB"/>
        </w:rPr>
        <w:t xml:space="preserve">sulfonylurea </w:t>
      </w:r>
      <w:r w:rsidR="00360A06">
        <w:rPr>
          <w:bCs/>
          <w:szCs w:val="22"/>
          <w:lang w:val="en-GB"/>
        </w:rPr>
        <w:t xml:space="preserve">(SU) </w:t>
      </w:r>
      <w:r w:rsidR="00242FF5" w:rsidRPr="00242FF5">
        <w:rPr>
          <w:bCs/>
          <w:szCs w:val="22"/>
          <w:lang w:val="en-GB"/>
        </w:rPr>
        <w:t>intolerance by trying triple therapy with met</w:t>
      </w:r>
      <w:r w:rsidR="00360A06">
        <w:rPr>
          <w:bCs/>
          <w:szCs w:val="22"/>
          <w:lang w:val="en-GB"/>
        </w:rPr>
        <w:t xml:space="preserve"> </w:t>
      </w:r>
      <w:r w:rsidR="00242FF5" w:rsidRPr="00242FF5">
        <w:rPr>
          <w:bCs/>
          <w:szCs w:val="22"/>
          <w:lang w:val="en-GB"/>
        </w:rPr>
        <w:t>+</w:t>
      </w:r>
      <w:r w:rsidR="00360A06">
        <w:rPr>
          <w:bCs/>
          <w:szCs w:val="22"/>
          <w:lang w:val="en-GB"/>
        </w:rPr>
        <w:t xml:space="preserve"> </w:t>
      </w:r>
      <w:r w:rsidR="00242FF5" w:rsidRPr="00242FF5">
        <w:rPr>
          <w:bCs/>
          <w:szCs w:val="22"/>
          <w:lang w:val="en-GB"/>
        </w:rPr>
        <w:t>SU</w:t>
      </w:r>
      <w:r w:rsidR="00360A06">
        <w:rPr>
          <w:bCs/>
          <w:szCs w:val="22"/>
          <w:lang w:val="en-GB"/>
        </w:rPr>
        <w:t xml:space="preserve"> </w:t>
      </w:r>
      <w:r w:rsidR="00242FF5" w:rsidRPr="00242FF5">
        <w:rPr>
          <w:bCs/>
          <w:szCs w:val="22"/>
          <w:lang w:val="en-GB"/>
        </w:rPr>
        <w:t>+</w:t>
      </w:r>
      <w:r w:rsidR="00360A06">
        <w:rPr>
          <w:bCs/>
          <w:szCs w:val="22"/>
          <w:lang w:val="en-GB"/>
        </w:rPr>
        <w:t xml:space="preserve"> </w:t>
      </w:r>
      <w:r w:rsidR="00242FF5" w:rsidRPr="00242FF5">
        <w:rPr>
          <w:bCs/>
          <w:szCs w:val="22"/>
          <w:lang w:val="en-GB"/>
        </w:rPr>
        <w:t>DPP4</w:t>
      </w:r>
      <w:r w:rsidR="00360A06">
        <w:rPr>
          <w:bCs/>
          <w:szCs w:val="22"/>
          <w:lang w:val="en-GB"/>
        </w:rPr>
        <w:t xml:space="preserve"> inhibitor</w:t>
      </w:r>
      <w:r w:rsidR="00242FF5" w:rsidRPr="00242FF5">
        <w:rPr>
          <w:bCs/>
          <w:szCs w:val="22"/>
          <w:lang w:val="en-GB"/>
        </w:rPr>
        <w:t xml:space="preserve"> or met</w:t>
      </w:r>
      <w:r w:rsidR="00360A06">
        <w:rPr>
          <w:bCs/>
          <w:szCs w:val="22"/>
          <w:lang w:val="en-GB"/>
        </w:rPr>
        <w:t xml:space="preserve"> </w:t>
      </w:r>
      <w:r w:rsidR="00242FF5" w:rsidRPr="00242FF5">
        <w:rPr>
          <w:bCs/>
          <w:szCs w:val="22"/>
          <w:lang w:val="en-GB"/>
        </w:rPr>
        <w:t>+</w:t>
      </w:r>
      <w:r w:rsidR="00360A06">
        <w:rPr>
          <w:bCs/>
          <w:szCs w:val="22"/>
          <w:lang w:val="en-GB"/>
        </w:rPr>
        <w:t xml:space="preserve"> </w:t>
      </w:r>
      <w:r w:rsidR="00242FF5" w:rsidRPr="00242FF5">
        <w:rPr>
          <w:bCs/>
          <w:szCs w:val="22"/>
          <w:lang w:val="en-GB"/>
        </w:rPr>
        <w:t>SU</w:t>
      </w:r>
      <w:r w:rsidR="00360A06">
        <w:rPr>
          <w:bCs/>
          <w:szCs w:val="22"/>
          <w:lang w:val="en-GB"/>
        </w:rPr>
        <w:t xml:space="preserve"> </w:t>
      </w:r>
      <w:r w:rsidR="00242FF5" w:rsidRPr="00242FF5">
        <w:rPr>
          <w:bCs/>
          <w:szCs w:val="22"/>
          <w:lang w:val="en-GB"/>
        </w:rPr>
        <w:t>+</w:t>
      </w:r>
      <w:r w:rsidR="00360A06">
        <w:rPr>
          <w:bCs/>
          <w:szCs w:val="22"/>
          <w:lang w:val="en-GB"/>
        </w:rPr>
        <w:t xml:space="preserve"> </w:t>
      </w:r>
      <w:r w:rsidR="00242FF5" w:rsidRPr="00242FF5">
        <w:rPr>
          <w:bCs/>
          <w:szCs w:val="22"/>
          <w:lang w:val="en-GB"/>
        </w:rPr>
        <w:t>SGLT2</w:t>
      </w:r>
      <w:r w:rsidR="00360A06">
        <w:rPr>
          <w:bCs/>
          <w:szCs w:val="22"/>
          <w:lang w:val="en-GB"/>
        </w:rPr>
        <w:t xml:space="preserve"> inhibitor</w:t>
      </w:r>
      <w:r w:rsidR="00242FF5" w:rsidRPr="00242FF5">
        <w:rPr>
          <w:bCs/>
          <w:szCs w:val="22"/>
          <w:lang w:val="en-GB"/>
        </w:rPr>
        <w:t>.</w:t>
      </w:r>
      <w:r>
        <w:rPr>
          <w:bCs/>
          <w:szCs w:val="22"/>
          <w:lang w:val="en-GB"/>
        </w:rPr>
        <w:t xml:space="preserve"> The PBAC noted this would need to occur in the context where clinicians are considering adding a third oral treatment to a patient’s dual</w:t>
      </w:r>
      <w:r w:rsidR="000054E2">
        <w:rPr>
          <w:bCs/>
          <w:szCs w:val="22"/>
          <w:lang w:val="en-GB"/>
        </w:rPr>
        <w:t xml:space="preserve"> oral</w:t>
      </w:r>
      <w:r>
        <w:rPr>
          <w:bCs/>
          <w:szCs w:val="22"/>
          <w:lang w:val="en-GB"/>
        </w:rPr>
        <w:t xml:space="preserve"> therapy regimen, rather, than, as is with case with exenatide, considering replacing some oral therapies with an injectable</w:t>
      </w:r>
      <w:r w:rsidR="000054E2">
        <w:rPr>
          <w:bCs/>
          <w:szCs w:val="22"/>
          <w:lang w:val="en-GB"/>
        </w:rPr>
        <w:t xml:space="preserve"> increasing the like</w:t>
      </w:r>
      <w:r w:rsidR="00103DD6">
        <w:rPr>
          <w:bCs/>
          <w:szCs w:val="22"/>
          <w:lang w:val="en-GB"/>
        </w:rPr>
        <w:t>li</w:t>
      </w:r>
      <w:r w:rsidR="000054E2">
        <w:rPr>
          <w:bCs/>
          <w:szCs w:val="22"/>
          <w:lang w:val="en-GB"/>
        </w:rPr>
        <w:t>hood that the restriction would not be followed in practice.</w:t>
      </w:r>
    </w:p>
    <w:p w:rsidR="00C15E26" w:rsidRDefault="00C15E26" w:rsidP="00C15E26">
      <w:pPr>
        <w:widowControl/>
        <w:rPr>
          <w:szCs w:val="22"/>
        </w:rPr>
      </w:pPr>
    </w:p>
    <w:p w:rsidR="00C15E26" w:rsidRDefault="00C15E26" w:rsidP="00C15E26">
      <w:pPr>
        <w:ind w:firstLine="720"/>
        <w:rPr>
          <w:bCs/>
          <w:i/>
          <w:szCs w:val="22"/>
        </w:rPr>
      </w:pPr>
      <w:r w:rsidRPr="0097250C">
        <w:rPr>
          <w:bCs/>
          <w:i/>
          <w:szCs w:val="22"/>
        </w:rPr>
        <w:t>For more detail on PBAC’s view, see section 7 “PBAC outcome”</w:t>
      </w:r>
    </w:p>
    <w:p w:rsidR="0000068E" w:rsidRPr="0005234D" w:rsidRDefault="0000068E" w:rsidP="00C15E26">
      <w:pPr>
        <w:ind w:firstLine="720"/>
        <w:rPr>
          <w:bCs/>
          <w:szCs w:val="22"/>
        </w:rPr>
      </w:pPr>
    </w:p>
    <w:p w:rsidR="00B50DB8" w:rsidRPr="00C15E26" w:rsidRDefault="00B50DB8" w:rsidP="008F5BEE">
      <w:pPr>
        <w:pStyle w:val="Heading2"/>
        <w:widowControl/>
        <w:numPr>
          <w:ilvl w:val="0"/>
          <w:numId w:val="1"/>
        </w:numPr>
        <w:snapToGrid w:val="0"/>
        <w:jc w:val="left"/>
        <w:rPr>
          <w:snapToGrid/>
          <w:szCs w:val="22"/>
        </w:rPr>
      </w:pPr>
      <w:bookmarkStart w:id="4" w:name="_Toc472413202"/>
      <w:r w:rsidRPr="00C15E26">
        <w:rPr>
          <w:snapToGrid/>
          <w:szCs w:val="22"/>
        </w:rPr>
        <w:t>Background</w:t>
      </w:r>
      <w:bookmarkEnd w:id="4"/>
    </w:p>
    <w:p w:rsidR="00B60939" w:rsidRPr="00C15E26" w:rsidRDefault="00B60939" w:rsidP="00EF62AB">
      <w:pPr>
        <w:widowControl/>
        <w:rPr>
          <w:szCs w:val="22"/>
        </w:rPr>
      </w:pPr>
    </w:p>
    <w:p w:rsidR="00EC4DB4" w:rsidRPr="00C15E26" w:rsidRDefault="00286818" w:rsidP="008F5BEE">
      <w:pPr>
        <w:pStyle w:val="ListParagraph"/>
        <w:widowControl/>
        <w:numPr>
          <w:ilvl w:val="1"/>
          <w:numId w:val="1"/>
        </w:numPr>
      </w:pPr>
      <w:r w:rsidRPr="00132AC5">
        <w:rPr>
          <w:b/>
          <w:bCs/>
          <w:szCs w:val="22"/>
        </w:rPr>
        <w:t xml:space="preserve">TGA status at time of </w:t>
      </w:r>
      <w:r w:rsidR="00132AC5" w:rsidRPr="00132AC5">
        <w:rPr>
          <w:b/>
          <w:bCs/>
          <w:szCs w:val="22"/>
        </w:rPr>
        <w:t>PBAC consideration</w:t>
      </w:r>
      <w:r w:rsidRPr="00132AC5">
        <w:rPr>
          <w:b/>
          <w:bCs/>
          <w:szCs w:val="22"/>
        </w:rPr>
        <w:t>:</w:t>
      </w:r>
      <w:r w:rsidRPr="00132AC5">
        <w:rPr>
          <w:bCs/>
          <w:szCs w:val="22"/>
        </w:rPr>
        <w:t xml:space="preserve"> </w:t>
      </w:r>
      <w:r w:rsidR="00330DCA" w:rsidRPr="00132AC5">
        <w:t>Empagliflozin 25 mg or 10 mg with linagliptin 5 mg FDCs were listed on the Australian</w:t>
      </w:r>
      <w:r w:rsidR="00330DCA" w:rsidRPr="00C15E26">
        <w:t xml:space="preserve"> Register of Therapeutic Goods (ARTG)</w:t>
      </w:r>
      <w:r w:rsidR="00864472" w:rsidRPr="00C15E26">
        <w:t xml:space="preserve"> on</w:t>
      </w:r>
      <w:r w:rsidR="00330DCA" w:rsidRPr="00C15E26">
        <w:t xml:space="preserve"> 19</w:t>
      </w:r>
      <w:r w:rsidR="000810BB" w:rsidRPr="00C15E26">
        <w:t> </w:t>
      </w:r>
      <w:r w:rsidR="00330DCA" w:rsidRPr="00C15E26">
        <w:t>December 2016, as “an adjunct to diet and exercise to improve glycaemic control in adults with type 2 diabetes mellitus when treatment with both empagliflozin and linagliptin is appropriate”</w:t>
      </w:r>
      <w:r w:rsidR="00864472" w:rsidRPr="00C15E26">
        <w:t>.</w:t>
      </w:r>
    </w:p>
    <w:p w:rsidR="00EC4DB4" w:rsidRPr="00C15E26" w:rsidRDefault="00EC4DB4" w:rsidP="00EF62AB">
      <w:pPr>
        <w:pStyle w:val="ListParagraph"/>
        <w:widowControl/>
      </w:pPr>
    </w:p>
    <w:p w:rsidR="003B69AA" w:rsidRPr="00C15E26" w:rsidRDefault="003B69AA" w:rsidP="008F5BEE">
      <w:pPr>
        <w:pStyle w:val="ListParagraph"/>
        <w:widowControl/>
        <w:numPr>
          <w:ilvl w:val="1"/>
          <w:numId w:val="1"/>
        </w:numPr>
      </w:pPr>
      <w:r w:rsidRPr="00C15E26">
        <w:lastRenderedPageBreak/>
        <w:t>Empagliflozin 25</w:t>
      </w:r>
      <w:r w:rsidR="006C6E4A" w:rsidRPr="00C15E26">
        <w:t xml:space="preserve"> </w:t>
      </w:r>
      <w:r w:rsidRPr="00C15E26">
        <w:t>mg and 10</w:t>
      </w:r>
      <w:r w:rsidR="006C6E4A" w:rsidRPr="00C15E26">
        <w:t xml:space="preserve"> </w:t>
      </w:r>
      <w:r w:rsidRPr="00C15E26">
        <w:t xml:space="preserve">mg is registered for use in combination </w:t>
      </w:r>
      <w:r w:rsidR="00933835" w:rsidRPr="00C15E26">
        <w:t xml:space="preserve">therapy </w:t>
      </w:r>
      <w:r w:rsidRPr="00C15E26">
        <w:t xml:space="preserve">with a </w:t>
      </w:r>
      <w:r w:rsidR="00C5227F" w:rsidRPr="00C15E26">
        <w:t>DPP4</w:t>
      </w:r>
      <w:r w:rsidR="00360A06">
        <w:t xml:space="preserve"> inhibitor</w:t>
      </w:r>
      <w:r w:rsidRPr="00C15E26">
        <w:t xml:space="preserve">. </w:t>
      </w:r>
      <w:r w:rsidR="007D5B3C" w:rsidRPr="00C15E26">
        <w:t xml:space="preserve">The indication of </w:t>
      </w:r>
      <w:r w:rsidR="000A598F" w:rsidRPr="00C15E26">
        <w:t>empagliflozin</w:t>
      </w:r>
      <w:r w:rsidR="007D5B3C" w:rsidRPr="00C15E26">
        <w:t xml:space="preserve"> on the ARTG is </w:t>
      </w:r>
      <w:r w:rsidR="00360A06">
        <w:t>“</w:t>
      </w:r>
      <w:r w:rsidR="007D5B3C" w:rsidRPr="00C15E26">
        <w:t>in the treatment of type 2 diabetes mellitus…</w:t>
      </w:r>
      <w:r w:rsidR="00360A06">
        <w:t>”</w:t>
      </w:r>
      <w:r w:rsidR="007D5B3C" w:rsidRPr="00C15E26">
        <w:t xml:space="preserve"> and </w:t>
      </w:r>
      <w:r w:rsidR="00360A06">
        <w:t>“</w:t>
      </w:r>
      <w:r w:rsidR="007D5B3C" w:rsidRPr="00C15E26">
        <w:t>in patients with type 2 diabetes mellitus and established cardiovascular disease to reduce the risk of cardiovascular death</w:t>
      </w:r>
      <w:r w:rsidR="00360A06">
        <w:t>”</w:t>
      </w:r>
      <w:r w:rsidR="007D5B3C" w:rsidRPr="00C15E26">
        <w:t xml:space="preserve">. </w:t>
      </w:r>
    </w:p>
    <w:p w:rsidR="003B69AA" w:rsidRPr="00C15E26" w:rsidRDefault="003B69AA" w:rsidP="00EF62AB">
      <w:pPr>
        <w:pStyle w:val="ListParagraph"/>
        <w:widowControl/>
      </w:pPr>
    </w:p>
    <w:p w:rsidR="00B60939" w:rsidRPr="00C15E26" w:rsidRDefault="003B69AA" w:rsidP="008F5BEE">
      <w:pPr>
        <w:pStyle w:val="ListParagraph"/>
        <w:widowControl/>
        <w:numPr>
          <w:ilvl w:val="1"/>
          <w:numId w:val="1"/>
        </w:numPr>
        <w:rPr>
          <w:szCs w:val="22"/>
        </w:rPr>
      </w:pPr>
      <w:r w:rsidRPr="00C15E26">
        <w:t xml:space="preserve">Linagliptin </w:t>
      </w:r>
      <w:r w:rsidRPr="00C15E26">
        <w:rPr>
          <w:iCs/>
        </w:rPr>
        <w:t xml:space="preserve">is not TGA approved for use in combination therapy with </w:t>
      </w:r>
      <w:r w:rsidR="00933835" w:rsidRPr="00C15E26">
        <w:rPr>
          <w:iCs/>
        </w:rPr>
        <w:t>a</w:t>
      </w:r>
      <w:r w:rsidR="00360A06">
        <w:rPr>
          <w:iCs/>
        </w:rPr>
        <w:t>n</w:t>
      </w:r>
      <w:r w:rsidR="00933835" w:rsidRPr="00C15E26">
        <w:rPr>
          <w:iCs/>
        </w:rPr>
        <w:t xml:space="preserve"> </w:t>
      </w:r>
      <w:r w:rsidR="00337D1D" w:rsidRPr="00C15E26">
        <w:rPr>
          <w:iCs/>
        </w:rPr>
        <w:t>SGLT2</w:t>
      </w:r>
      <w:r w:rsidR="00360A06">
        <w:rPr>
          <w:iCs/>
        </w:rPr>
        <w:t xml:space="preserve"> inhibitor</w:t>
      </w:r>
      <w:r w:rsidRPr="00C15E26">
        <w:rPr>
          <w:iCs/>
        </w:rPr>
        <w:t>, and an application to extend its</w:t>
      </w:r>
      <w:r w:rsidR="00933835" w:rsidRPr="00C15E26">
        <w:rPr>
          <w:iCs/>
        </w:rPr>
        <w:t xml:space="preserve"> indication </w:t>
      </w:r>
      <w:r w:rsidR="00864472" w:rsidRPr="00C15E26">
        <w:rPr>
          <w:iCs/>
        </w:rPr>
        <w:t xml:space="preserve">was </w:t>
      </w:r>
      <w:r w:rsidRPr="00C15E26">
        <w:rPr>
          <w:iCs/>
        </w:rPr>
        <w:t xml:space="preserve">expected to have </w:t>
      </w:r>
      <w:r w:rsidR="00330DCA" w:rsidRPr="00C15E26">
        <w:rPr>
          <w:iCs/>
        </w:rPr>
        <w:t>a Clinical Evaluation Report by 31 December 2016 (not available during the evaluation) and TGA approval by mid-2017</w:t>
      </w:r>
      <w:r w:rsidRPr="00C15E26">
        <w:rPr>
          <w:iCs/>
        </w:rPr>
        <w:t>.</w:t>
      </w:r>
    </w:p>
    <w:p w:rsidR="001D6D88" w:rsidRPr="00C15E26" w:rsidRDefault="001D6D88" w:rsidP="00EF62AB">
      <w:pPr>
        <w:pStyle w:val="ListParagraph"/>
        <w:widowControl/>
        <w:rPr>
          <w:szCs w:val="22"/>
        </w:rPr>
      </w:pPr>
    </w:p>
    <w:p w:rsidR="002C2775" w:rsidRDefault="003B69AA" w:rsidP="008F5BEE">
      <w:pPr>
        <w:pStyle w:val="ListParagraph"/>
        <w:widowControl/>
        <w:numPr>
          <w:ilvl w:val="1"/>
          <w:numId w:val="1"/>
        </w:numPr>
        <w:rPr>
          <w:szCs w:val="22"/>
        </w:rPr>
      </w:pPr>
      <w:r w:rsidRPr="00C15E26">
        <w:rPr>
          <w:szCs w:val="22"/>
        </w:rPr>
        <w:t xml:space="preserve">This fixed dose combination medicine has not previously been considered by the PBAC. Concomitant use of empagliflozin and linagliptin </w:t>
      </w:r>
      <w:r w:rsidR="00FB271F" w:rsidRPr="00C15E26">
        <w:rPr>
          <w:szCs w:val="22"/>
        </w:rPr>
        <w:t xml:space="preserve">is not subsidised on the PBS, and the PBAC </w:t>
      </w:r>
      <w:r w:rsidRPr="00C15E26">
        <w:rPr>
          <w:szCs w:val="22"/>
        </w:rPr>
        <w:t>has not previously considered any combination of a DPP4 inhibitor with a SGLT2 inhibitor in dual or triple oral therapy.</w:t>
      </w:r>
    </w:p>
    <w:p w:rsidR="00741A5F" w:rsidRPr="00C15E26" w:rsidRDefault="00741A5F" w:rsidP="00EF62AB">
      <w:pPr>
        <w:widowControl/>
      </w:pPr>
    </w:p>
    <w:p w:rsidR="00B50DB8" w:rsidRPr="00C15E26" w:rsidRDefault="00B50DB8" w:rsidP="008F5BEE">
      <w:pPr>
        <w:pStyle w:val="Heading2"/>
        <w:widowControl/>
        <w:numPr>
          <w:ilvl w:val="0"/>
          <w:numId w:val="1"/>
        </w:numPr>
        <w:snapToGrid w:val="0"/>
        <w:jc w:val="left"/>
        <w:rPr>
          <w:snapToGrid/>
          <w:szCs w:val="22"/>
        </w:rPr>
      </w:pPr>
      <w:bookmarkStart w:id="5" w:name="_Toc472413203"/>
      <w:r w:rsidRPr="00C15E26">
        <w:rPr>
          <w:snapToGrid/>
          <w:szCs w:val="22"/>
        </w:rPr>
        <w:t>Clinical place for the proposed therapy</w:t>
      </w:r>
      <w:bookmarkEnd w:id="5"/>
    </w:p>
    <w:p w:rsidR="00B60939" w:rsidRPr="00C15E26" w:rsidRDefault="00B60939" w:rsidP="00EF62AB">
      <w:pPr>
        <w:widowControl/>
        <w:rPr>
          <w:szCs w:val="22"/>
        </w:rPr>
      </w:pPr>
    </w:p>
    <w:p w:rsidR="00B60939" w:rsidRPr="00C15E26" w:rsidRDefault="00A763EC" w:rsidP="008F5BEE">
      <w:pPr>
        <w:pStyle w:val="ListParagraph"/>
        <w:widowControl/>
        <w:numPr>
          <w:ilvl w:val="1"/>
          <w:numId w:val="1"/>
        </w:numPr>
        <w:rPr>
          <w:szCs w:val="22"/>
        </w:rPr>
      </w:pPr>
      <w:r>
        <w:t>The submission proposed that the FDC would be used for the t</w:t>
      </w:r>
      <w:r w:rsidR="006C6E4A" w:rsidRPr="00C15E26">
        <w:t>reatment of t</w:t>
      </w:r>
      <w:r w:rsidR="00933835" w:rsidRPr="00C15E26">
        <w:t>ype 2 diabetes</w:t>
      </w:r>
      <w:r w:rsidR="00DB583B" w:rsidRPr="00C15E26">
        <w:t>,</w:t>
      </w:r>
      <w:r w:rsidR="00933835" w:rsidRPr="00C15E26">
        <w:t xml:space="preserve"> as triple oral therapy with metformin in patients </w:t>
      </w:r>
      <w:r w:rsidR="00DB583B" w:rsidRPr="00C15E26">
        <w:t>unable to achieve glycaemic</w:t>
      </w:r>
      <w:r w:rsidR="006C6E4A" w:rsidRPr="00C15E26">
        <w:t xml:space="preserve"> control</w:t>
      </w:r>
      <w:r w:rsidR="00DB583B" w:rsidRPr="00C15E26">
        <w:t xml:space="preserve"> on </w:t>
      </w:r>
      <w:r w:rsidR="006C6E4A" w:rsidRPr="00C15E26">
        <w:t xml:space="preserve">oral </w:t>
      </w:r>
      <w:r w:rsidR="00933835" w:rsidRPr="00C15E26">
        <w:t xml:space="preserve">dual therapy which included a SGLT2 inhibitor </w:t>
      </w:r>
      <w:r w:rsidR="00DB583B" w:rsidRPr="00C15E26">
        <w:t>or</w:t>
      </w:r>
      <w:r w:rsidR="00933835" w:rsidRPr="00C15E26">
        <w:t xml:space="preserve"> a DPP4 inhibitor in combination with metformin, and who are intolerant or contraindicated to a combination of metformin and a sulfonylurea.</w:t>
      </w:r>
      <w:r w:rsidR="00517A06" w:rsidRPr="00C15E26">
        <w:t xml:space="preserve"> </w:t>
      </w:r>
    </w:p>
    <w:p w:rsidR="00894489" w:rsidRPr="00DB583B" w:rsidRDefault="00894489" w:rsidP="00EF62AB">
      <w:pPr>
        <w:widowControl/>
        <w:rPr>
          <w:szCs w:val="22"/>
        </w:rPr>
      </w:pPr>
    </w:p>
    <w:p w:rsidR="00B60939" w:rsidRPr="00C15E26" w:rsidRDefault="006C6E4A" w:rsidP="008F5BEE">
      <w:pPr>
        <w:pStyle w:val="ListParagraph"/>
        <w:widowControl/>
        <w:numPr>
          <w:ilvl w:val="1"/>
          <w:numId w:val="1"/>
        </w:numPr>
        <w:rPr>
          <w:szCs w:val="22"/>
        </w:rPr>
      </w:pPr>
      <w:r w:rsidRPr="00C15E26">
        <w:rPr>
          <w:szCs w:val="22"/>
        </w:rPr>
        <w:t>The s</w:t>
      </w:r>
      <w:r w:rsidR="00DB583B" w:rsidRPr="00C15E26">
        <w:rPr>
          <w:szCs w:val="22"/>
        </w:rPr>
        <w:t>ubmission proposed that empagliflozin with linagliptin FDC would be used prior to initiating dual therapy with metformin in combination with insulin glargine or exenatide 10</w:t>
      </w:r>
      <w:r w:rsidRPr="00C15E26">
        <w:rPr>
          <w:szCs w:val="22"/>
        </w:rPr>
        <w:t xml:space="preserve"> </w:t>
      </w:r>
      <w:r w:rsidR="00DB583B" w:rsidRPr="00C15E26">
        <w:rPr>
          <w:szCs w:val="22"/>
        </w:rPr>
        <w:t>µg twice daily or 2</w:t>
      </w:r>
      <w:r w:rsidRPr="00C15E26">
        <w:rPr>
          <w:szCs w:val="22"/>
        </w:rPr>
        <w:t xml:space="preserve"> </w:t>
      </w:r>
      <w:r w:rsidR="00DB583B" w:rsidRPr="00C15E26">
        <w:rPr>
          <w:szCs w:val="22"/>
        </w:rPr>
        <w:t xml:space="preserve">mg </w:t>
      </w:r>
      <w:r w:rsidR="000A598F" w:rsidRPr="00C15E26">
        <w:rPr>
          <w:szCs w:val="22"/>
        </w:rPr>
        <w:t>weekly. The</w:t>
      </w:r>
      <w:r w:rsidR="000661A5" w:rsidRPr="00C15E26">
        <w:rPr>
          <w:szCs w:val="22"/>
        </w:rPr>
        <w:t xml:space="preserve"> ESC noted that there would likely be a preference </w:t>
      </w:r>
      <w:r w:rsidR="004062B1" w:rsidRPr="00C15E26">
        <w:rPr>
          <w:szCs w:val="22"/>
        </w:rPr>
        <w:t xml:space="preserve">for an all oral regimen as it is easier to manage in practice. </w:t>
      </w:r>
    </w:p>
    <w:p w:rsidR="005A7341" w:rsidRPr="00C15E26" w:rsidRDefault="005A7341" w:rsidP="00EF62AB">
      <w:pPr>
        <w:pStyle w:val="ListParagraph"/>
        <w:widowControl/>
        <w:rPr>
          <w:szCs w:val="22"/>
        </w:rPr>
      </w:pPr>
    </w:p>
    <w:p w:rsidR="005A7341" w:rsidRPr="00C15E26" w:rsidRDefault="0096250C" w:rsidP="008F5BEE">
      <w:pPr>
        <w:pStyle w:val="ListParagraph"/>
        <w:widowControl/>
        <w:numPr>
          <w:ilvl w:val="1"/>
          <w:numId w:val="1"/>
        </w:numPr>
        <w:rPr>
          <w:lang w:val="en"/>
        </w:rPr>
      </w:pPr>
      <w:r>
        <w:t>The ESC noted that a</w:t>
      </w:r>
      <w:r w:rsidR="005A7341" w:rsidRPr="00C15E26">
        <w:t xml:space="preserve"> recent N</w:t>
      </w:r>
      <w:r w:rsidR="001C477D">
        <w:t xml:space="preserve">ational </w:t>
      </w:r>
      <w:r w:rsidR="005A7341" w:rsidRPr="00C15E26">
        <w:t>P</w:t>
      </w:r>
      <w:r w:rsidR="001C477D">
        <w:t xml:space="preserve">rescribing </w:t>
      </w:r>
      <w:r w:rsidR="005A7341" w:rsidRPr="00C15E26">
        <w:t>S</w:t>
      </w:r>
      <w:r w:rsidR="001C477D">
        <w:t>ervice</w:t>
      </w:r>
      <w:r w:rsidR="005A7341" w:rsidRPr="00C15E26">
        <w:t xml:space="preserve"> Medicinewise </w:t>
      </w:r>
      <w:r w:rsidR="00A763EC">
        <w:t xml:space="preserve">News </w:t>
      </w:r>
      <w:r w:rsidR="005A7341" w:rsidRPr="00C15E26">
        <w:t>article (</w:t>
      </w:r>
      <w:r w:rsidR="005A7341" w:rsidRPr="00C15E26">
        <w:rPr>
          <w:lang w:val="en"/>
        </w:rPr>
        <w:t>Type 2 diabetes: when metformin is not enough, June 2016</w:t>
      </w:r>
      <w:r w:rsidR="005A7341" w:rsidRPr="00C15E26">
        <w:rPr>
          <w:rStyle w:val="FootnoteReference"/>
          <w:lang w:val="en"/>
        </w:rPr>
        <w:footnoteReference w:id="1"/>
      </w:r>
      <w:r w:rsidR="005A7341" w:rsidRPr="00C15E26">
        <w:rPr>
          <w:lang w:val="en"/>
        </w:rPr>
        <w:t xml:space="preserve">,) included a </w:t>
      </w:r>
      <w:r w:rsidR="0094039B" w:rsidRPr="00C15E26">
        <w:rPr>
          <w:lang w:val="en"/>
        </w:rPr>
        <w:t>figure comparing a number of glucose-lowering medicines</w:t>
      </w:r>
      <w:r>
        <w:rPr>
          <w:lang w:val="en"/>
        </w:rPr>
        <w:t xml:space="preserve"> in the second</w:t>
      </w:r>
      <w:r w:rsidR="008F5BEE">
        <w:rPr>
          <w:lang w:val="en"/>
        </w:rPr>
        <w:t>-</w:t>
      </w:r>
      <w:r>
        <w:rPr>
          <w:lang w:val="en"/>
        </w:rPr>
        <w:t>line setting</w:t>
      </w:r>
      <w:r w:rsidR="0094039B" w:rsidRPr="00C15E26">
        <w:rPr>
          <w:lang w:val="en"/>
        </w:rPr>
        <w:t>.</w:t>
      </w:r>
      <w:r w:rsidR="00C51793" w:rsidRPr="00C15E26">
        <w:rPr>
          <w:lang w:val="en"/>
        </w:rPr>
        <w:t xml:space="preserve"> </w:t>
      </w:r>
      <w:r w:rsidR="0094039B" w:rsidRPr="00C15E26">
        <w:rPr>
          <w:lang w:val="en"/>
        </w:rPr>
        <w:t xml:space="preserve">While the article stated </w:t>
      </w:r>
      <w:r w:rsidR="001C477D">
        <w:rPr>
          <w:lang w:val="en"/>
        </w:rPr>
        <w:t>“</w:t>
      </w:r>
      <w:r w:rsidR="0094039B" w:rsidRPr="00C15E26">
        <w:rPr>
          <w:lang w:val="en"/>
        </w:rPr>
        <w:t>For most patients with type 2 diabetes, sulfonylureas achieve similar reductions in HbA1c compared to other second-line oral agents</w:t>
      </w:r>
      <w:r w:rsidR="001C477D">
        <w:rPr>
          <w:lang w:val="en"/>
        </w:rPr>
        <w:t>”</w:t>
      </w:r>
      <w:r w:rsidR="0094039B" w:rsidRPr="00C15E26">
        <w:rPr>
          <w:lang w:val="en"/>
        </w:rPr>
        <w:t xml:space="preserve"> the ESC noted this figure</w:t>
      </w:r>
      <w:r w:rsidR="006D02D7" w:rsidRPr="00C15E26">
        <w:rPr>
          <w:lang w:val="en"/>
        </w:rPr>
        <w:t xml:space="preserve"> in this treatment setting</w:t>
      </w:r>
      <w:r w:rsidR="0094039B" w:rsidRPr="00C15E26">
        <w:rPr>
          <w:lang w:val="en"/>
        </w:rPr>
        <w:t xml:space="preserve"> suggested the efficacy of </w:t>
      </w:r>
      <w:r w:rsidR="0094039B" w:rsidRPr="00C15E26">
        <w:t>SGLT2 inhibitors and DPP4 inhibitors was less than the efficacy of sulfonylureas for HbA1c reduction.</w:t>
      </w:r>
    </w:p>
    <w:p w:rsidR="005A7341" w:rsidRDefault="005A7341" w:rsidP="00EF62AB">
      <w:pPr>
        <w:widowControl/>
        <w:rPr>
          <w:szCs w:val="22"/>
        </w:rPr>
      </w:pPr>
    </w:p>
    <w:p w:rsidR="00A6159D" w:rsidRPr="009D0081" w:rsidRDefault="00A6159D" w:rsidP="008F5BEE">
      <w:pPr>
        <w:pStyle w:val="ListParagraph"/>
        <w:widowControl/>
        <w:numPr>
          <w:ilvl w:val="1"/>
          <w:numId w:val="1"/>
        </w:numPr>
        <w:rPr>
          <w:szCs w:val="22"/>
        </w:rPr>
      </w:pPr>
      <w:r w:rsidRPr="009D0081">
        <w:rPr>
          <w:szCs w:val="22"/>
        </w:rPr>
        <w:t xml:space="preserve">The Pre-PBAC </w:t>
      </w:r>
      <w:r w:rsidR="006626E6">
        <w:rPr>
          <w:szCs w:val="22"/>
        </w:rPr>
        <w:t>R</w:t>
      </w:r>
      <w:r w:rsidRPr="009D0081">
        <w:rPr>
          <w:szCs w:val="22"/>
        </w:rPr>
        <w:t xml:space="preserve">esponse argued that this figure was based on a narrative review with a comparison of efficacy from different information </w:t>
      </w:r>
      <w:r w:rsidR="00B96412" w:rsidRPr="009D0081">
        <w:rPr>
          <w:szCs w:val="22"/>
        </w:rPr>
        <w:t>sources</w:t>
      </w:r>
      <w:r w:rsidRPr="009D0081">
        <w:rPr>
          <w:szCs w:val="22"/>
        </w:rPr>
        <w:t xml:space="preserve"> with different levels of evidence and different patient populations. </w:t>
      </w:r>
      <w:r w:rsidR="00B96412" w:rsidRPr="009D0081">
        <w:rPr>
          <w:szCs w:val="22"/>
        </w:rPr>
        <w:t>Moreover</w:t>
      </w:r>
      <w:r w:rsidRPr="009D0081">
        <w:rPr>
          <w:szCs w:val="22"/>
        </w:rPr>
        <w:t>,</w:t>
      </w:r>
      <w:r w:rsidR="001C477D">
        <w:rPr>
          <w:szCs w:val="22"/>
        </w:rPr>
        <w:t xml:space="preserve"> it argued that</w:t>
      </w:r>
      <w:r w:rsidRPr="009D0081">
        <w:rPr>
          <w:szCs w:val="22"/>
        </w:rPr>
        <w:t xml:space="preserve"> the data presented was based on second-line therapy and is not applicable to the triple oral therapy third-line setting. </w:t>
      </w:r>
    </w:p>
    <w:p w:rsidR="00197025" w:rsidRPr="009D0081" w:rsidRDefault="00197025" w:rsidP="00197025">
      <w:pPr>
        <w:pStyle w:val="ListParagraph"/>
        <w:widowControl/>
        <w:rPr>
          <w:szCs w:val="22"/>
        </w:rPr>
      </w:pPr>
    </w:p>
    <w:p w:rsidR="00197025" w:rsidRPr="009D0081" w:rsidRDefault="00197025" w:rsidP="008F5BEE">
      <w:pPr>
        <w:pStyle w:val="ListParagraph"/>
        <w:widowControl/>
        <w:numPr>
          <w:ilvl w:val="1"/>
          <w:numId w:val="1"/>
        </w:numPr>
        <w:rPr>
          <w:szCs w:val="22"/>
        </w:rPr>
      </w:pPr>
      <w:r w:rsidRPr="009D0081">
        <w:rPr>
          <w:szCs w:val="22"/>
        </w:rPr>
        <w:t>The PBAC was concerned that the submission had not adequately defined the place in therapy of the FDC.</w:t>
      </w:r>
    </w:p>
    <w:p w:rsidR="00A6159D" w:rsidRDefault="00A6159D" w:rsidP="00EF62AB">
      <w:pPr>
        <w:widowControl/>
        <w:rPr>
          <w:szCs w:val="22"/>
        </w:rPr>
      </w:pPr>
    </w:p>
    <w:p w:rsidR="00C15E26" w:rsidRPr="0005234D" w:rsidRDefault="00C15E26" w:rsidP="00C15E26">
      <w:pPr>
        <w:ind w:firstLine="720"/>
        <w:rPr>
          <w:bCs/>
          <w:szCs w:val="22"/>
        </w:rPr>
      </w:pPr>
      <w:r w:rsidRPr="00F6456B">
        <w:rPr>
          <w:bCs/>
          <w:i/>
          <w:szCs w:val="22"/>
        </w:rPr>
        <w:t>For more detail on PBAC’s view, see section 7 “PBAC outcome”</w:t>
      </w:r>
    </w:p>
    <w:p w:rsidR="003B2DFC" w:rsidRPr="00C15E26" w:rsidRDefault="003B2DFC" w:rsidP="00EF62AB">
      <w:pPr>
        <w:widowControl/>
        <w:rPr>
          <w:szCs w:val="22"/>
        </w:rPr>
      </w:pPr>
    </w:p>
    <w:p w:rsidR="00B50DB8" w:rsidRPr="00C15E26" w:rsidRDefault="00B50DB8" w:rsidP="008F01EC">
      <w:pPr>
        <w:pStyle w:val="Heading2"/>
        <w:keepNext/>
        <w:widowControl/>
        <w:numPr>
          <w:ilvl w:val="0"/>
          <w:numId w:val="1"/>
        </w:numPr>
        <w:snapToGrid w:val="0"/>
        <w:jc w:val="left"/>
        <w:rPr>
          <w:snapToGrid/>
          <w:szCs w:val="22"/>
        </w:rPr>
      </w:pPr>
      <w:bookmarkStart w:id="6" w:name="_Toc472413204"/>
      <w:r w:rsidRPr="00C15E26">
        <w:rPr>
          <w:snapToGrid/>
          <w:szCs w:val="22"/>
        </w:rPr>
        <w:lastRenderedPageBreak/>
        <w:t>Comparator</w:t>
      </w:r>
      <w:bookmarkEnd w:id="6"/>
    </w:p>
    <w:p w:rsidR="00B60939" w:rsidRPr="00C15E26" w:rsidRDefault="00B60939" w:rsidP="008F01EC">
      <w:pPr>
        <w:keepNext/>
        <w:widowControl/>
      </w:pPr>
    </w:p>
    <w:p w:rsidR="00197025" w:rsidRDefault="00197025" w:rsidP="008F5BEE">
      <w:pPr>
        <w:pStyle w:val="ListParagraph"/>
        <w:widowControl/>
        <w:numPr>
          <w:ilvl w:val="1"/>
          <w:numId w:val="1"/>
        </w:numPr>
        <w:rPr>
          <w:szCs w:val="22"/>
        </w:rPr>
      </w:pPr>
      <w:r>
        <w:rPr>
          <w:szCs w:val="22"/>
        </w:rPr>
        <w:t xml:space="preserve">The PBAC, </w:t>
      </w:r>
      <w:r w:rsidRPr="00197025">
        <w:rPr>
          <w:szCs w:val="22"/>
        </w:rPr>
        <w:t xml:space="preserve">noting the various treatment options for patients listed on the PBS, considered that it was challenging to determine a suitable comparator </w:t>
      </w:r>
      <w:r w:rsidR="00F008FA">
        <w:rPr>
          <w:szCs w:val="22"/>
        </w:rPr>
        <w:t>for the FDC</w:t>
      </w:r>
      <w:r>
        <w:rPr>
          <w:szCs w:val="22"/>
        </w:rPr>
        <w:t xml:space="preserve"> </w:t>
      </w:r>
      <w:r w:rsidRPr="00197025">
        <w:rPr>
          <w:szCs w:val="22"/>
        </w:rPr>
        <w:t>without an adequately justified place in clinical therapy</w:t>
      </w:r>
      <w:r>
        <w:rPr>
          <w:szCs w:val="22"/>
        </w:rPr>
        <w:t>.</w:t>
      </w:r>
    </w:p>
    <w:p w:rsidR="00197025" w:rsidRPr="00197025" w:rsidRDefault="00197025" w:rsidP="00197025">
      <w:pPr>
        <w:pStyle w:val="ListParagraph"/>
        <w:widowControl/>
        <w:rPr>
          <w:szCs w:val="22"/>
        </w:rPr>
      </w:pPr>
    </w:p>
    <w:p w:rsidR="00F109F9" w:rsidRPr="00F008FA" w:rsidRDefault="00C5227F" w:rsidP="008F5BEE">
      <w:pPr>
        <w:pStyle w:val="ListParagraph"/>
        <w:widowControl/>
        <w:numPr>
          <w:ilvl w:val="1"/>
          <w:numId w:val="1"/>
        </w:numPr>
        <w:rPr>
          <w:szCs w:val="22"/>
        </w:rPr>
      </w:pPr>
      <w:r w:rsidRPr="00C15E26">
        <w:t xml:space="preserve">The </w:t>
      </w:r>
      <w:r w:rsidR="00F008FA">
        <w:t xml:space="preserve">PBAC noted the </w:t>
      </w:r>
      <w:r w:rsidRPr="00C15E26">
        <w:t>submission nominated the individual components of the FDC (empagliflozin 25</w:t>
      </w:r>
      <w:r w:rsidR="006C6E4A" w:rsidRPr="00C15E26">
        <w:t xml:space="preserve"> </w:t>
      </w:r>
      <w:r w:rsidRPr="00C15E26">
        <w:t>mg or 10</w:t>
      </w:r>
      <w:r w:rsidR="006C6E4A" w:rsidRPr="00C15E26">
        <w:t xml:space="preserve"> </w:t>
      </w:r>
      <w:r w:rsidRPr="00C15E26">
        <w:t>mg and linagliptin 5</w:t>
      </w:r>
      <w:r w:rsidR="006C6E4A" w:rsidRPr="00C15E26">
        <w:t xml:space="preserve"> </w:t>
      </w:r>
      <w:r w:rsidRPr="00C15E26">
        <w:t xml:space="preserve">mg) </w:t>
      </w:r>
      <w:r w:rsidR="00E51ED6" w:rsidRPr="00F008FA">
        <w:rPr>
          <w:szCs w:val="22"/>
        </w:rPr>
        <w:t xml:space="preserve">as </w:t>
      </w:r>
      <w:r w:rsidR="00F06D7F" w:rsidRPr="00F008FA">
        <w:rPr>
          <w:szCs w:val="22"/>
        </w:rPr>
        <w:t xml:space="preserve">a </w:t>
      </w:r>
      <w:r w:rsidR="00E51ED6" w:rsidRPr="00F008FA">
        <w:rPr>
          <w:szCs w:val="22"/>
        </w:rPr>
        <w:t>main comparator.</w:t>
      </w:r>
      <w:r w:rsidR="00F008FA" w:rsidRPr="00F008FA">
        <w:rPr>
          <w:szCs w:val="22"/>
        </w:rPr>
        <w:t xml:space="preserve"> In the </w:t>
      </w:r>
      <w:r w:rsidR="001C477D">
        <w:rPr>
          <w:szCs w:val="22"/>
        </w:rPr>
        <w:t>P</w:t>
      </w:r>
      <w:r w:rsidR="001C477D" w:rsidRPr="00F008FA">
        <w:rPr>
          <w:szCs w:val="22"/>
        </w:rPr>
        <w:t>re</w:t>
      </w:r>
      <w:r w:rsidR="00F008FA" w:rsidRPr="00F008FA">
        <w:rPr>
          <w:szCs w:val="22"/>
        </w:rPr>
        <w:t xml:space="preserve">-PBAC </w:t>
      </w:r>
      <w:r w:rsidR="006626E6">
        <w:rPr>
          <w:szCs w:val="22"/>
        </w:rPr>
        <w:t>R</w:t>
      </w:r>
      <w:r w:rsidR="00F008FA" w:rsidRPr="00F008FA">
        <w:rPr>
          <w:szCs w:val="22"/>
        </w:rPr>
        <w:t>esponse, the sponsor argued that this</w:t>
      </w:r>
      <w:r w:rsidR="00E51ED6" w:rsidRPr="00F008FA">
        <w:rPr>
          <w:szCs w:val="22"/>
        </w:rPr>
        <w:t xml:space="preserve"> </w:t>
      </w:r>
      <w:r w:rsidR="00F008FA">
        <w:rPr>
          <w:szCs w:val="22"/>
        </w:rPr>
        <w:t>should be the main</w:t>
      </w:r>
      <w:r w:rsidR="00F109F9" w:rsidRPr="00F008FA">
        <w:rPr>
          <w:szCs w:val="22"/>
        </w:rPr>
        <w:t xml:space="preserve"> comparator, in</w:t>
      </w:r>
      <w:r w:rsidR="00F008FA">
        <w:rPr>
          <w:szCs w:val="22"/>
        </w:rPr>
        <w:t xml:space="preserve">cluding in the circumstance </w:t>
      </w:r>
      <w:r w:rsidR="00F109F9" w:rsidRPr="00F008FA">
        <w:rPr>
          <w:szCs w:val="22"/>
        </w:rPr>
        <w:t xml:space="preserve">where sulfonylurea contraindication/intolerance is removed from the restriction, on the basis that concomitant use of a DPP4 </w:t>
      </w:r>
      <w:r w:rsidR="001C477D">
        <w:rPr>
          <w:szCs w:val="22"/>
        </w:rPr>
        <w:t xml:space="preserve">inhibitor </w:t>
      </w:r>
      <w:r w:rsidR="00F109F9" w:rsidRPr="00F008FA">
        <w:rPr>
          <w:szCs w:val="22"/>
        </w:rPr>
        <w:t xml:space="preserve">and a SGLT2 </w:t>
      </w:r>
      <w:r w:rsidR="001C477D">
        <w:rPr>
          <w:szCs w:val="22"/>
        </w:rPr>
        <w:t xml:space="preserve">inhibitor </w:t>
      </w:r>
      <w:r w:rsidR="00F109F9" w:rsidRPr="00F008FA">
        <w:rPr>
          <w:szCs w:val="22"/>
        </w:rPr>
        <w:t xml:space="preserve">with metformin is already </w:t>
      </w:r>
      <w:r w:rsidR="001C477D">
        <w:rPr>
          <w:szCs w:val="22"/>
        </w:rPr>
        <w:t>being prescribed</w:t>
      </w:r>
      <w:r w:rsidR="001C477D" w:rsidRPr="00F008FA">
        <w:rPr>
          <w:szCs w:val="22"/>
        </w:rPr>
        <w:t xml:space="preserve"> </w:t>
      </w:r>
      <w:r w:rsidR="00F109F9" w:rsidRPr="00F008FA">
        <w:rPr>
          <w:szCs w:val="22"/>
        </w:rPr>
        <w:t>through the PBS to such an extent that this is the therapy most lik</w:t>
      </w:r>
      <w:r w:rsidR="001C477D">
        <w:rPr>
          <w:szCs w:val="22"/>
        </w:rPr>
        <w:t>ely to be replaced in practice.</w:t>
      </w:r>
    </w:p>
    <w:p w:rsidR="00F109F9" w:rsidRPr="00F109F9" w:rsidRDefault="00F109F9" w:rsidP="00F109F9">
      <w:pPr>
        <w:rPr>
          <w:szCs w:val="22"/>
        </w:rPr>
      </w:pPr>
    </w:p>
    <w:p w:rsidR="00087D6C" w:rsidRPr="00C15E26" w:rsidRDefault="0096250C" w:rsidP="008F5BEE">
      <w:pPr>
        <w:pStyle w:val="ListParagraph"/>
        <w:widowControl/>
        <w:numPr>
          <w:ilvl w:val="1"/>
          <w:numId w:val="1"/>
        </w:numPr>
        <w:rPr>
          <w:szCs w:val="22"/>
        </w:rPr>
      </w:pPr>
      <w:r>
        <w:rPr>
          <w:szCs w:val="22"/>
        </w:rPr>
        <w:t>The PBAC agreed</w:t>
      </w:r>
      <w:r w:rsidR="00F109F9">
        <w:rPr>
          <w:szCs w:val="22"/>
        </w:rPr>
        <w:t xml:space="preserve"> a comparison against the individual components of the FDC</w:t>
      </w:r>
      <w:r w:rsidR="00FB271F" w:rsidRPr="00C15E26">
        <w:t xml:space="preserve"> is appropriate </w:t>
      </w:r>
      <w:r w:rsidR="00087D6C" w:rsidRPr="00C15E26">
        <w:t xml:space="preserve">to demonstrate the </w:t>
      </w:r>
      <w:r w:rsidR="00F06D7F" w:rsidRPr="00C15E26">
        <w:t xml:space="preserve">additional </w:t>
      </w:r>
      <w:r w:rsidR="00087D6C" w:rsidRPr="00C15E26">
        <w:t xml:space="preserve">benefit of </w:t>
      </w:r>
      <w:r w:rsidR="00E51ED6" w:rsidRPr="00C15E26">
        <w:t xml:space="preserve">empagliflozin 25 mg or 10 mg and linagliptin 5 mg </w:t>
      </w:r>
      <w:r w:rsidR="00087D6C" w:rsidRPr="00C15E26">
        <w:t>FDC</w:t>
      </w:r>
      <w:r w:rsidR="00E51ED6" w:rsidRPr="00C15E26">
        <w:t>s</w:t>
      </w:r>
      <w:r w:rsidR="00087D6C" w:rsidRPr="00C15E26">
        <w:t xml:space="preserve"> compared to </w:t>
      </w:r>
      <w:r w:rsidR="00FB271F" w:rsidRPr="00C15E26">
        <w:t xml:space="preserve">each of </w:t>
      </w:r>
      <w:r w:rsidR="00E51ED6" w:rsidRPr="00C15E26">
        <w:t>the</w:t>
      </w:r>
      <w:r w:rsidR="00087D6C" w:rsidRPr="00C15E26">
        <w:t xml:space="preserve"> components. </w:t>
      </w:r>
      <w:r w:rsidR="00FB271F" w:rsidRPr="00C15E26">
        <w:t xml:space="preserve">However, concomitant use of empagliflozin and linagliptin is not subsidised on the PBS, and the </w:t>
      </w:r>
      <w:r w:rsidR="00087D6C" w:rsidRPr="00C15E26">
        <w:t>cost-effectiveness of empagliflozin with linagliptin</w:t>
      </w:r>
      <w:r w:rsidR="00322D50" w:rsidRPr="00C15E26">
        <w:t xml:space="preserve"> in triple therapy </w:t>
      </w:r>
      <w:r w:rsidR="00E51ED6" w:rsidRPr="00C15E26">
        <w:t>w</w:t>
      </w:r>
      <w:r w:rsidR="00322D50" w:rsidRPr="00C15E26">
        <w:t>ith metformin</w:t>
      </w:r>
      <w:r w:rsidR="00087D6C" w:rsidRPr="00C15E26">
        <w:t xml:space="preserve"> has not been established. </w:t>
      </w:r>
    </w:p>
    <w:p w:rsidR="00087D6C" w:rsidRPr="00087D6C" w:rsidRDefault="00087D6C" w:rsidP="00EF62AB">
      <w:pPr>
        <w:pStyle w:val="ListParagraph"/>
        <w:widowControl/>
        <w:rPr>
          <w:szCs w:val="22"/>
        </w:rPr>
      </w:pPr>
    </w:p>
    <w:p w:rsidR="00C5227F" w:rsidRPr="0096250C" w:rsidRDefault="00087D6C" w:rsidP="008F5BEE">
      <w:pPr>
        <w:pStyle w:val="ListParagraph"/>
        <w:widowControl/>
        <w:numPr>
          <w:ilvl w:val="1"/>
          <w:numId w:val="1"/>
        </w:numPr>
        <w:rPr>
          <w:szCs w:val="22"/>
        </w:rPr>
      </w:pPr>
      <w:r w:rsidRPr="00092783">
        <w:rPr>
          <w:szCs w:val="22"/>
        </w:rPr>
        <w:t>The submission also nominated</w:t>
      </w:r>
      <w:r w:rsidR="00E51ED6" w:rsidRPr="00092783">
        <w:rPr>
          <w:szCs w:val="22"/>
        </w:rPr>
        <w:t xml:space="preserve"> </w:t>
      </w:r>
      <w:r w:rsidR="00C5227F" w:rsidRPr="00092783">
        <w:rPr>
          <w:szCs w:val="22"/>
        </w:rPr>
        <w:t>i</w:t>
      </w:r>
      <w:r w:rsidR="00DB583B" w:rsidRPr="00092783">
        <w:rPr>
          <w:szCs w:val="22"/>
        </w:rPr>
        <w:t xml:space="preserve">nsulin glargine in combination with metformin and </w:t>
      </w:r>
      <w:r w:rsidR="00DB583B" w:rsidRPr="00F008FA">
        <w:rPr>
          <w:szCs w:val="22"/>
        </w:rPr>
        <w:t>exenatide 10</w:t>
      </w:r>
      <w:r w:rsidR="006C6E4A" w:rsidRPr="00F008FA">
        <w:rPr>
          <w:szCs w:val="22"/>
        </w:rPr>
        <w:t xml:space="preserve"> </w:t>
      </w:r>
      <w:r w:rsidR="00DB583B" w:rsidRPr="00F008FA">
        <w:rPr>
          <w:szCs w:val="22"/>
        </w:rPr>
        <w:t>µg twice daily or 2</w:t>
      </w:r>
      <w:r w:rsidR="006C6E4A" w:rsidRPr="00F008FA">
        <w:rPr>
          <w:szCs w:val="22"/>
        </w:rPr>
        <w:t xml:space="preserve"> </w:t>
      </w:r>
      <w:r w:rsidR="00DB583B" w:rsidRPr="00F008FA">
        <w:rPr>
          <w:szCs w:val="22"/>
        </w:rPr>
        <w:t>mg weekly in combination with metformin</w:t>
      </w:r>
      <w:r w:rsidR="00C5227F" w:rsidRPr="00F008FA">
        <w:rPr>
          <w:szCs w:val="22"/>
        </w:rPr>
        <w:t>, as main comparators</w:t>
      </w:r>
      <w:r w:rsidR="00DB583B" w:rsidRPr="00092783">
        <w:rPr>
          <w:szCs w:val="22"/>
        </w:rPr>
        <w:t xml:space="preserve">. </w:t>
      </w:r>
      <w:r w:rsidR="0096250C" w:rsidRPr="00092783">
        <w:rPr>
          <w:szCs w:val="22"/>
        </w:rPr>
        <w:t>The PBAC agreed t</w:t>
      </w:r>
      <w:r w:rsidR="00DB583B" w:rsidRPr="00092783">
        <w:rPr>
          <w:szCs w:val="22"/>
        </w:rPr>
        <w:t>hese</w:t>
      </w:r>
      <w:r w:rsidR="00F067A2" w:rsidRPr="00092783">
        <w:rPr>
          <w:szCs w:val="22"/>
        </w:rPr>
        <w:t xml:space="preserve"> </w:t>
      </w:r>
      <w:r w:rsidR="00F109F9" w:rsidRPr="00092783">
        <w:rPr>
          <w:szCs w:val="22"/>
        </w:rPr>
        <w:t xml:space="preserve">may </w:t>
      </w:r>
      <w:r w:rsidR="0096250C" w:rsidRPr="00092783">
        <w:rPr>
          <w:szCs w:val="22"/>
        </w:rPr>
        <w:t>also</w:t>
      </w:r>
      <w:r w:rsidR="00F067A2" w:rsidRPr="00092783">
        <w:rPr>
          <w:szCs w:val="22"/>
        </w:rPr>
        <w:t xml:space="preserve"> </w:t>
      </w:r>
      <w:r w:rsidR="00F109F9" w:rsidRPr="00092783">
        <w:rPr>
          <w:szCs w:val="22"/>
        </w:rPr>
        <w:t xml:space="preserve">be </w:t>
      </w:r>
      <w:r w:rsidR="00F067A2" w:rsidRPr="00092783">
        <w:rPr>
          <w:szCs w:val="22"/>
        </w:rPr>
        <w:t>appropriate comparator</w:t>
      </w:r>
      <w:r w:rsidR="00DB583B" w:rsidRPr="00092783">
        <w:rPr>
          <w:szCs w:val="22"/>
        </w:rPr>
        <w:t>s</w:t>
      </w:r>
      <w:r w:rsidR="00803779" w:rsidRPr="00092783">
        <w:rPr>
          <w:szCs w:val="22"/>
        </w:rPr>
        <w:t xml:space="preserve"> to demonstrate the cost-</w:t>
      </w:r>
      <w:r w:rsidR="00E51ED6" w:rsidRPr="00092783">
        <w:rPr>
          <w:szCs w:val="22"/>
        </w:rPr>
        <w:t>effectiveness of empagliflozin 25 mg or 10 mg and linagliptin 5 mg FDCs in triple oral therapy with metformin</w:t>
      </w:r>
      <w:r w:rsidR="00F008FA" w:rsidRPr="00092783">
        <w:rPr>
          <w:szCs w:val="22"/>
        </w:rPr>
        <w:t>, but this again depended on there being a better definition of the place in therapy of the FDC.</w:t>
      </w:r>
      <w:r w:rsidR="00B14238" w:rsidRPr="00092783">
        <w:rPr>
          <w:szCs w:val="22"/>
        </w:rPr>
        <w:t xml:space="preserve"> </w:t>
      </w:r>
    </w:p>
    <w:p w:rsidR="00FD5928" w:rsidRPr="00C15E26" w:rsidRDefault="00FD5928" w:rsidP="00FD5928">
      <w:pPr>
        <w:pStyle w:val="ListParagraph"/>
      </w:pPr>
    </w:p>
    <w:p w:rsidR="002E0AEA" w:rsidRDefault="00470E31" w:rsidP="008F5BEE">
      <w:pPr>
        <w:pStyle w:val="ListParagraph"/>
        <w:widowControl/>
        <w:numPr>
          <w:ilvl w:val="1"/>
          <w:numId w:val="1"/>
        </w:numPr>
      </w:pPr>
      <w:r w:rsidRPr="00C15E26">
        <w:t xml:space="preserve">The </w:t>
      </w:r>
      <w:r w:rsidR="00242FF5">
        <w:t xml:space="preserve">PBAC agreed with its </w:t>
      </w:r>
      <w:r w:rsidRPr="00C15E26">
        <w:t xml:space="preserve">ESC that, </w:t>
      </w:r>
      <w:r w:rsidR="001C477D">
        <w:t>if</w:t>
      </w:r>
      <w:r w:rsidR="001C477D" w:rsidRPr="00C15E26">
        <w:t xml:space="preserve"> </w:t>
      </w:r>
      <w:r w:rsidRPr="00C15E26">
        <w:t xml:space="preserve">the restriction </w:t>
      </w:r>
      <w:r w:rsidR="001C477D">
        <w:t xml:space="preserve">was </w:t>
      </w:r>
      <w:r w:rsidRPr="00C15E26">
        <w:t xml:space="preserve">amended as described </w:t>
      </w:r>
      <w:r w:rsidR="00F008FA">
        <w:t>in Section 2</w:t>
      </w:r>
      <w:r w:rsidR="001C477D">
        <w:t xml:space="preserve"> (to remove the requirement for sulfonylu</w:t>
      </w:r>
      <w:r w:rsidR="00103DD6">
        <w:t>re</w:t>
      </w:r>
      <w:r w:rsidR="001C477D">
        <w:t>a contraindication/intolerance)</w:t>
      </w:r>
      <w:r w:rsidRPr="00C15E26">
        <w:t xml:space="preserve">, </w:t>
      </w:r>
      <w:r w:rsidR="001C477D">
        <w:t xml:space="preserve">then </w:t>
      </w:r>
      <w:r w:rsidRPr="00C15E26">
        <w:t>metformin + sulfonylurea + DPP4 and metformin + sulfonylurea + SGLT2 inhibitor may also be appropriate comparators.</w:t>
      </w:r>
      <w:r w:rsidR="005B7E3B">
        <w:t xml:space="preserve"> </w:t>
      </w:r>
    </w:p>
    <w:p w:rsidR="00741A5F" w:rsidRDefault="00741A5F" w:rsidP="00EF62AB">
      <w:pPr>
        <w:widowControl/>
        <w:rPr>
          <w:szCs w:val="22"/>
        </w:rPr>
      </w:pPr>
    </w:p>
    <w:p w:rsidR="00C15E26" w:rsidRDefault="00C15E26" w:rsidP="00C15E26">
      <w:pPr>
        <w:ind w:firstLine="720"/>
        <w:rPr>
          <w:bCs/>
          <w:i/>
          <w:szCs w:val="22"/>
        </w:rPr>
      </w:pPr>
      <w:r w:rsidRPr="00164D7C">
        <w:rPr>
          <w:bCs/>
          <w:i/>
          <w:szCs w:val="22"/>
        </w:rPr>
        <w:t>For more detail on PBAC’s view, see section 7 “PBAC outcome”</w:t>
      </w:r>
    </w:p>
    <w:p w:rsidR="00995565" w:rsidRPr="00DF5D2B" w:rsidRDefault="00995565" w:rsidP="00EF62AB">
      <w:pPr>
        <w:widowControl/>
        <w:rPr>
          <w:szCs w:val="22"/>
        </w:rPr>
      </w:pPr>
    </w:p>
    <w:p w:rsidR="00B50DB8" w:rsidRDefault="00BD6CF3" w:rsidP="008F5BEE">
      <w:pPr>
        <w:pStyle w:val="Heading2"/>
        <w:widowControl/>
        <w:numPr>
          <w:ilvl w:val="0"/>
          <w:numId w:val="1"/>
        </w:numPr>
        <w:snapToGrid w:val="0"/>
        <w:jc w:val="left"/>
        <w:rPr>
          <w:snapToGrid/>
          <w:szCs w:val="22"/>
        </w:rPr>
      </w:pPr>
      <w:bookmarkStart w:id="7" w:name="_Toc472413205"/>
      <w:r w:rsidRPr="00B73349">
        <w:rPr>
          <w:snapToGrid/>
          <w:szCs w:val="22"/>
        </w:rPr>
        <w:t>C</w:t>
      </w:r>
      <w:r w:rsidR="00B50DB8" w:rsidRPr="00B73349">
        <w:rPr>
          <w:snapToGrid/>
          <w:szCs w:val="22"/>
        </w:rPr>
        <w:t>onsideration of the evidence</w:t>
      </w:r>
      <w:bookmarkEnd w:id="7"/>
    </w:p>
    <w:p w:rsidR="00C15E26" w:rsidRDefault="00C15E26" w:rsidP="00C15E26"/>
    <w:p w:rsidR="00C15E26" w:rsidRPr="006853B8" w:rsidRDefault="00C15E26" w:rsidP="006853B8">
      <w:pPr>
        <w:pStyle w:val="Heading3"/>
        <w:widowControl/>
      </w:pPr>
      <w:r w:rsidRPr="006853B8">
        <w:t>Sponsor hearing</w:t>
      </w:r>
    </w:p>
    <w:p w:rsidR="00C15E26" w:rsidRPr="00817EFB" w:rsidRDefault="00C15E26" w:rsidP="00C15E26">
      <w:pPr>
        <w:rPr>
          <w:b/>
          <w:bCs/>
          <w:szCs w:val="22"/>
          <w:highlight w:val="yellow"/>
        </w:rPr>
      </w:pPr>
    </w:p>
    <w:p w:rsidR="00C15E26" w:rsidRDefault="00C15E26" w:rsidP="008F5BEE">
      <w:pPr>
        <w:widowControl/>
        <w:numPr>
          <w:ilvl w:val="1"/>
          <w:numId w:val="1"/>
        </w:numPr>
        <w:jc w:val="left"/>
        <w:rPr>
          <w:bCs/>
          <w:szCs w:val="22"/>
        </w:rPr>
      </w:pPr>
      <w:r w:rsidRPr="006C6091">
        <w:rPr>
          <w:bCs/>
          <w:szCs w:val="22"/>
        </w:rPr>
        <w:t>The</w:t>
      </w:r>
      <w:r w:rsidR="006C6091" w:rsidRPr="006C6091">
        <w:rPr>
          <w:bCs/>
          <w:szCs w:val="22"/>
        </w:rPr>
        <w:t>re was no hearing for this item</w:t>
      </w:r>
      <w:r w:rsidRPr="006C6091">
        <w:rPr>
          <w:bCs/>
          <w:szCs w:val="22"/>
        </w:rPr>
        <w:t>.</w:t>
      </w:r>
    </w:p>
    <w:p w:rsidR="003B2DFC" w:rsidRPr="006C6091" w:rsidRDefault="003B2DFC" w:rsidP="003B2DFC">
      <w:pPr>
        <w:widowControl/>
        <w:ind w:left="720"/>
        <w:jc w:val="left"/>
        <w:rPr>
          <w:bCs/>
          <w:szCs w:val="22"/>
        </w:rPr>
      </w:pPr>
    </w:p>
    <w:p w:rsidR="00C15E26" w:rsidRPr="006853B8" w:rsidRDefault="00C15E26" w:rsidP="00103DD6">
      <w:pPr>
        <w:pStyle w:val="Heading3"/>
        <w:keepNext/>
        <w:widowControl/>
      </w:pPr>
      <w:r w:rsidRPr="006853B8">
        <w:t>Consumer comments</w:t>
      </w:r>
    </w:p>
    <w:p w:rsidR="00C15E26" w:rsidRPr="00817EFB" w:rsidRDefault="00C15E26" w:rsidP="00C15E26">
      <w:pPr>
        <w:rPr>
          <w:b/>
          <w:bCs/>
          <w:szCs w:val="22"/>
          <w:highlight w:val="yellow"/>
        </w:rPr>
      </w:pPr>
    </w:p>
    <w:p w:rsidR="00C15E26" w:rsidRPr="006C7709" w:rsidRDefault="00C15E26" w:rsidP="008F5BEE">
      <w:pPr>
        <w:widowControl/>
        <w:numPr>
          <w:ilvl w:val="1"/>
          <w:numId w:val="1"/>
        </w:numPr>
        <w:jc w:val="left"/>
        <w:rPr>
          <w:bCs/>
          <w:szCs w:val="22"/>
        </w:rPr>
      </w:pPr>
      <w:r w:rsidRPr="006C7709">
        <w:rPr>
          <w:bCs/>
          <w:szCs w:val="22"/>
        </w:rPr>
        <w:t>The PBAC noted that no consumer comments were received for this item.</w:t>
      </w:r>
    </w:p>
    <w:p w:rsidR="00B60939" w:rsidRPr="00882085" w:rsidRDefault="00B60939" w:rsidP="00EF62AB">
      <w:pPr>
        <w:widowControl/>
      </w:pPr>
    </w:p>
    <w:p w:rsidR="00B60939" w:rsidRPr="002C2775" w:rsidRDefault="00B60939" w:rsidP="00EF62AB">
      <w:pPr>
        <w:pStyle w:val="Heading3"/>
        <w:widowControl/>
      </w:pPr>
      <w:bookmarkStart w:id="8" w:name="_Toc472413206"/>
      <w:r w:rsidRPr="005F253D">
        <w:t>Clinical</w:t>
      </w:r>
      <w:r w:rsidRPr="002C2775">
        <w:t xml:space="preserve"> trials</w:t>
      </w:r>
      <w:bookmarkEnd w:id="8"/>
    </w:p>
    <w:p w:rsidR="00B60939" w:rsidRPr="00882085" w:rsidRDefault="00B60939" w:rsidP="00EF62AB">
      <w:pPr>
        <w:widowControl/>
        <w:rPr>
          <w:szCs w:val="22"/>
        </w:rPr>
      </w:pPr>
    </w:p>
    <w:p w:rsidR="008B3696" w:rsidRPr="00C15E26" w:rsidRDefault="008B4B4A" w:rsidP="008F5BEE">
      <w:pPr>
        <w:pStyle w:val="ListParagraph"/>
        <w:widowControl/>
        <w:numPr>
          <w:ilvl w:val="1"/>
          <w:numId w:val="1"/>
        </w:numPr>
      </w:pPr>
      <w:r>
        <w:t xml:space="preserve">The </w:t>
      </w:r>
      <w:r w:rsidR="00E14A01">
        <w:t>submission presented the following discrete comparisons:</w:t>
      </w:r>
    </w:p>
    <w:p w:rsidR="008B3696" w:rsidRPr="00C15E26" w:rsidRDefault="008B3696" w:rsidP="00EF62AB">
      <w:pPr>
        <w:pStyle w:val="ListParagraph"/>
        <w:widowControl/>
      </w:pPr>
    </w:p>
    <w:p w:rsidR="008B3696" w:rsidRPr="00C15E26" w:rsidRDefault="008B3696" w:rsidP="00EF62AB">
      <w:pPr>
        <w:pStyle w:val="ListParagraph"/>
        <w:widowControl/>
        <w:tabs>
          <w:tab w:val="left" w:pos="1134"/>
        </w:tabs>
        <w:ind w:left="1134" w:hanging="414"/>
      </w:pPr>
      <w:r w:rsidRPr="00C15E26">
        <w:t xml:space="preserve">1. </w:t>
      </w:r>
      <w:r w:rsidRPr="00C15E26">
        <w:tab/>
        <w:t>Empagliflozin with linagliptin FDC vs linagliptin or empagliflozin: both in combination wi</w:t>
      </w:r>
      <w:r w:rsidR="007D026F" w:rsidRPr="00C15E26">
        <w:t>th metformin, based on two head-to-</w:t>
      </w:r>
      <w:r w:rsidRPr="00C15E26">
        <w:t>head comparisons:</w:t>
      </w:r>
    </w:p>
    <w:p w:rsidR="008B3696" w:rsidRPr="00C15E26" w:rsidRDefault="008B3696" w:rsidP="00EF62AB">
      <w:pPr>
        <w:pStyle w:val="ListParagraph"/>
        <w:widowControl/>
        <w:tabs>
          <w:tab w:val="left" w:pos="1418"/>
        </w:tabs>
        <w:ind w:left="1418" w:hanging="284"/>
      </w:pPr>
      <w:r w:rsidRPr="00C15E26">
        <w:t xml:space="preserve">a. </w:t>
      </w:r>
      <w:r w:rsidRPr="00C15E26">
        <w:tab/>
        <w:t>Metformin + empagliflozin with linagliptin FDC vs metformin + linagliptin (1275.9); and</w:t>
      </w:r>
    </w:p>
    <w:p w:rsidR="008B3696" w:rsidRPr="00C15E26" w:rsidRDefault="008B3696" w:rsidP="00EF62AB">
      <w:pPr>
        <w:pStyle w:val="ListParagraph"/>
        <w:widowControl/>
        <w:tabs>
          <w:tab w:val="left" w:pos="1418"/>
        </w:tabs>
        <w:ind w:left="1418" w:hanging="284"/>
      </w:pPr>
      <w:r w:rsidRPr="00C15E26">
        <w:t>b.</w:t>
      </w:r>
      <w:r w:rsidRPr="00C15E26">
        <w:tab/>
        <w:t>Metformin + empagliflozin with linagliptin FDC vs metformin + empagliflozin (1275.10).</w:t>
      </w:r>
    </w:p>
    <w:p w:rsidR="008B3696" w:rsidRPr="00C15E26" w:rsidRDefault="008B3696" w:rsidP="00EF62AB">
      <w:pPr>
        <w:pStyle w:val="ListParagraph"/>
        <w:widowControl/>
      </w:pPr>
    </w:p>
    <w:p w:rsidR="008B3696" w:rsidRPr="00C15E26" w:rsidRDefault="008B3696" w:rsidP="00EF62AB">
      <w:pPr>
        <w:pStyle w:val="ListParagraph"/>
        <w:widowControl/>
        <w:tabs>
          <w:tab w:val="left" w:pos="1134"/>
        </w:tabs>
        <w:ind w:left="1134" w:hanging="414"/>
      </w:pPr>
      <w:r w:rsidRPr="00C15E26">
        <w:t>2.</w:t>
      </w:r>
      <w:r w:rsidRPr="00C15E26">
        <w:tab/>
        <w:t>Empagliflozin with linagliptin FDC vs insulin: both in combination with metformin, based on:</w:t>
      </w:r>
    </w:p>
    <w:p w:rsidR="008B3696" w:rsidRPr="00C15E26" w:rsidRDefault="008B3696" w:rsidP="00EF62AB">
      <w:pPr>
        <w:pStyle w:val="ListParagraph"/>
        <w:widowControl/>
        <w:tabs>
          <w:tab w:val="left" w:pos="1418"/>
        </w:tabs>
        <w:ind w:left="1418" w:hanging="284"/>
      </w:pPr>
      <w:r w:rsidRPr="00C15E26">
        <w:t>a.</w:t>
      </w:r>
      <w:r w:rsidRPr="00C15E26">
        <w:tab/>
        <w:t xml:space="preserve">one formal indirect comparison (metformin + DPP4 inhibitor as common </w:t>
      </w:r>
      <w:r w:rsidR="007745DB" w:rsidRPr="00C15E26">
        <w:t>reference arm</w:t>
      </w:r>
      <w:r w:rsidRPr="00C15E26">
        <w:t>):</w:t>
      </w:r>
    </w:p>
    <w:p w:rsidR="008B3696" w:rsidRPr="00C15E26" w:rsidRDefault="008B3696" w:rsidP="00EF62AB">
      <w:pPr>
        <w:pStyle w:val="ListParagraph"/>
        <w:widowControl/>
        <w:tabs>
          <w:tab w:val="left" w:pos="1418"/>
        </w:tabs>
        <w:ind w:left="1418"/>
      </w:pPr>
      <w:r w:rsidRPr="00C15E26">
        <w:t>Metformin + empagliflozin with linagliptin FDC vs metformin + linagliptin (1275.1);</w:t>
      </w:r>
      <w:r w:rsidR="00A30236">
        <w:t xml:space="preserve"> and</w:t>
      </w:r>
    </w:p>
    <w:p w:rsidR="008B3696" w:rsidRPr="00E14A01" w:rsidRDefault="008B3696" w:rsidP="00EF62AB">
      <w:pPr>
        <w:pStyle w:val="ListParagraph"/>
        <w:widowControl/>
        <w:tabs>
          <w:tab w:val="left" w:pos="1418"/>
        </w:tabs>
        <w:ind w:left="1418"/>
      </w:pPr>
      <w:r w:rsidRPr="00E14A01">
        <w:t>Metformin + insulin glargine vs metformin + sitagliptin (EASIE).</w:t>
      </w:r>
    </w:p>
    <w:p w:rsidR="008B3696" w:rsidRPr="00E14A01" w:rsidRDefault="008B3696" w:rsidP="00EF62AB">
      <w:pPr>
        <w:pStyle w:val="ListParagraph"/>
        <w:widowControl/>
        <w:tabs>
          <w:tab w:val="left" w:pos="1418"/>
        </w:tabs>
        <w:ind w:left="1418" w:hanging="284"/>
      </w:pPr>
      <w:r w:rsidRPr="00E14A01">
        <w:t>b.</w:t>
      </w:r>
      <w:r w:rsidRPr="00E14A01">
        <w:tab/>
        <w:t xml:space="preserve">one informal indirect comparison (no common </w:t>
      </w:r>
      <w:r w:rsidR="007745DB" w:rsidRPr="00E14A01">
        <w:t>reference arm</w:t>
      </w:r>
      <w:r w:rsidRPr="00E14A01">
        <w:t>):</w:t>
      </w:r>
    </w:p>
    <w:p w:rsidR="008B3696" w:rsidRPr="00E14A01" w:rsidRDefault="008B3696" w:rsidP="00EF62AB">
      <w:pPr>
        <w:pStyle w:val="ListParagraph"/>
        <w:widowControl/>
        <w:tabs>
          <w:tab w:val="left" w:pos="1418"/>
        </w:tabs>
        <w:ind w:left="1418"/>
      </w:pPr>
      <w:r w:rsidRPr="00E14A01">
        <w:t>Metformin + empagliflozin with linagliptin FDC vs metformin + linagliptin (1275.9);</w:t>
      </w:r>
      <w:r w:rsidR="00A30236" w:rsidRPr="00E14A01">
        <w:t xml:space="preserve"> and</w:t>
      </w:r>
    </w:p>
    <w:p w:rsidR="008B3696" w:rsidRPr="00E14A01" w:rsidRDefault="008B3696" w:rsidP="00EF62AB">
      <w:pPr>
        <w:pStyle w:val="ListParagraph"/>
        <w:widowControl/>
        <w:tabs>
          <w:tab w:val="left" w:pos="1418"/>
        </w:tabs>
        <w:ind w:left="1418"/>
      </w:pPr>
      <w:r w:rsidRPr="00E14A01">
        <w:t>Metformin + sitagliptin + insulin glargine (EASIE Ext)</w:t>
      </w:r>
      <w:r w:rsidR="00A30236" w:rsidRPr="00E14A01">
        <w:t>.</w:t>
      </w:r>
    </w:p>
    <w:p w:rsidR="00475D87" w:rsidRPr="00E14A01" w:rsidRDefault="00475D87" w:rsidP="00EF62AB">
      <w:pPr>
        <w:pStyle w:val="ListParagraph"/>
        <w:widowControl/>
      </w:pPr>
    </w:p>
    <w:p w:rsidR="008B3696" w:rsidRPr="00E14A01" w:rsidRDefault="008B3696" w:rsidP="00EF62AB">
      <w:pPr>
        <w:pStyle w:val="ListParagraph"/>
        <w:widowControl/>
        <w:tabs>
          <w:tab w:val="left" w:pos="1134"/>
        </w:tabs>
        <w:ind w:left="1134" w:hanging="414"/>
      </w:pPr>
      <w:r w:rsidRPr="00E14A01">
        <w:t>3.</w:t>
      </w:r>
      <w:r w:rsidRPr="00E14A01">
        <w:tab/>
        <w:t>Empagliflozin with linagliptin FDC vs exenatide: both in combination with metformin, based on:</w:t>
      </w:r>
    </w:p>
    <w:p w:rsidR="008B3696" w:rsidRPr="00E14A01" w:rsidRDefault="008B3696" w:rsidP="00EF62AB">
      <w:pPr>
        <w:pStyle w:val="ListParagraph"/>
        <w:widowControl/>
        <w:tabs>
          <w:tab w:val="left" w:pos="1418"/>
        </w:tabs>
        <w:ind w:left="1418" w:hanging="284"/>
      </w:pPr>
      <w:r w:rsidRPr="00E14A01">
        <w:t>a.</w:t>
      </w:r>
      <w:r w:rsidRPr="00E14A01">
        <w:tab/>
        <w:t xml:space="preserve">one formal indirect comparison (metformin + DPP4 inhibitor as common </w:t>
      </w:r>
      <w:r w:rsidR="007745DB" w:rsidRPr="00E14A01">
        <w:t>reference arm</w:t>
      </w:r>
      <w:r w:rsidRPr="00E14A01">
        <w:t>):</w:t>
      </w:r>
    </w:p>
    <w:p w:rsidR="008B3696" w:rsidRPr="00E14A01" w:rsidRDefault="008B3696" w:rsidP="00EF62AB">
      <w:pPr>
        <w:pStyle w:val="ListParagraph"/>
        <w:widowControl/>
        <w:tabs>
          <w:tab w:val="left" w:pos="1418"/>
        </w:tabs>
        <w:ind w:left="1418"/>
      </w:pPr>
      <w:r w:rsidRPr="00E14A01">
        <w:t>Metformin + empagliflozin with linagliptin FDC vs metformin + linagliptin (1275.1);</w:t>
      </w:r>
      <w:r w:rsidR="00A30236" w:rsidRPr="00E14A01">
        <w:t xml:space="preserve"> and</w:t>
      </w:r>
    </w:p>
    <w:p w:rsidR="008B3696" w:rsidRPr="00E14A01" w:rsidRDefault="008B3696" w:rsidP="00EF62AB">
      <w:pPr>
        <w:pStyle w:val="ListParagraph"/>
        <w:widowControl/>
        <w:tabs>
          <w:tab w:val="left" w:pos="1418"/>
        </w:tabs>
        <w:ind w:left="1418"/>
      </w:pPr>
      <w:r w:rsidRPr="00E14A01">
        <w:t>Metformin + exenatide weekly vs metformin + sitagliptin (Duration 2, Duration Neo</w:t>
      </w:r>
      <w:r w:rsidR="00DA7A42" w:rsidRPr="00E14A01">
        <w:t xml:space="preserve"> </w:t>
      </w:r>
      <w:r w:rsidRPr="00E14A01">
        <w:t>2).</w:t>
      </w:r>
    </w:p>
    <w:p w:rsidR="008B3696" w:rsidRPr="00E14A01" w:rsidRDefault="008B3696" w:rsidP="00EF62AB">
      <w:pPr>
        <w:pStyle w:val="ListParagraph"/>
        <w:widowControl/>
        <w:tabs>
          <w:tab w:val="left" w:pos="1418"/>
        </w:tabs>
        <w:ind w:left="1418" w:hanging="284"/>
      </w:pPr>
      <w:r w:rsidRPr="00E14A01">
        <w:t>b.</w:t>
      </w:r>
      <w:r w:rsidRPr="00E14A01">
        <w:tab/>
        <w:t xml:space="preserve">one informal indirect comparison (no common </w:t>
      </w:r>
      <w:r w:rsidR="007745DB" w:rsidRPr="00E14A01">
        <w:t>reference arm</w:t>
      </w:r>
      <w:r w:rsidRPr="00E14A01">
        <w:t>):</w:t>
      </w:r>
    </w:p>
    <w:p w:rsidR="008B3696" w:rsidRPr="00E14A01" w:rsidRDefault="008B3696" w:rsidP="00EF62AB">
      <w:pPr>
        <w:pStyle w:val="ListParagraph"/>
        <w:widowControl/>
        <w:tabs>
          <w:tab w:val="left" w:pos="1418"/>
        </w:tabs>
        <w:ind w:left="1418"/>
      </w:pPr>
      <w:r w:rsidRPr="00E14A01">
        <w:t>Metformin + empagliflozin with linagliptin FDC vs metformin + linagliptin (1275.1);</w:t>
      </w:r>
      <w:r w:rsidR="00A30236" w:rsidRPr="00E14A01">
        <w:t xml:space="preserve"> and</w:t>
      </w:r>
    </w:p>
    <w:p w:rsidR="008B3696" w:rsidRPr="00C15E26" w:rsidRDefault="008B3696" w:rsidP="00EF62AB">
      <w:pPr>
        <w:pStyle w:val="ListParagraph"/>
        <w:widowControl/>
        <w:tabs>
          <w:tab w:val="left" w:pos="1418"/>
        </w:tabs>
        <w:ind w:left="1418"/>
      </w:pPr>
      <w:r w:rsidRPr="00E14A01">
        <w:t xml:space="preserve">Metformin + exenatide </w:t>
      </w:r>
      <w:r w:rsidR="00725E45" w:rsidRPr="00E14A01">
        <w:t xml:space="preserve">twice daily </w:t>
      </w:r>
      <w:r w:rsidRPr="00E14A01">
        <w:t xml:space="preserve">vs metformin + exenatide </w:t>
      </w:r>
      <w:r w:rsidR="00725E45" w:rsidRPr="00E14A01">
        <w:t xml:space="preserve">twice daily </w:t>
      </w:r>
      <w:r w:rsidRPr="00E14A01">
        <w:t>+ sitagliptin (Violante 2012).</w:t>
      </w:r>
    </w:p>
    <w:p w:rsidR="008B3696" w:rsidRPr="00C15E26" w:rsidRDefault="008B3696" w:rsidP="00EF62AB">
      <w:pPr>
        <w:pStyle w:val="ListParagraph"/>
        <w:widowControl/>
      </w:pPr>
    </w:p>
    <w:p w:rsidR="00470E31" w:rsidRPr="00C15E26" w:rsidRDefault="0041342D" w:rsidP="008F5BEE">
      <w:pPr>
        <w:pStyle w:val="ListParagraph"/>
        <w:widowControl/>
        <w:numPr>
          <w:ilvl w:val="1"/>
          <w:numId w:val="1"/>
        </w:numPr>
      </w:pPr>
      <w:r w:rsidRPr="00C15E26">
        <w:t xml:space="preserve">Both formal indirect comparisons assumed that </w:t>
      </w:r>
      <w:r w:rsidR="004B2312" w:rsidRPr="00C15E26">
        <w:t xml:space="preserve">the outcomes of the </w:t>
      </w:r>
      <w:r w:rsidR="00F44244" w:rsidRPr="00C15E26">
        <w:t>common reference</w:t>
      </w:r>
      <w:r w:rsidR="004B2312" w:rsidRPr="00C15E26">
        <w:t xml:space="preserve"> arms with </w:t>
      </w:r>
      <w:r w:rsidRPr="00C15E26">
        <w:t>linagliptin 5</w:t>
      </w:r>
      <w:r w:rsidR="006343A4" w:rsidRPr="00C15E26">
        <w:t xml:space="preserve"> </w:t>
      </w:r>
      <w:r w:rsidRPr="00C15E26">
        <w:t>mg and sitagliptin 100</w:t>
      </w:r>
      <w:r w:rsidR="006343A4" w:rsidRPr="00C15E26">
        <w:t xml:space="preserve"> </w:t>
      </w:r>
      <w:r w:rsidRPr="00C15E26">
        <w:t>mg were interchangeable.</w:t>
      </w:r>
      <w:r w:rsidR="00B70E9A" w:rsidRPr="00C15E26">
        <w:t xml:space="preserve"> </w:t>
      </w:r>
      <w:r w:rsidR="00470E31" w:rsidRPr="00C15E26">
        <w:t xml:space="preserve">The ESC noted that in recommending subsidisation, the PBAC </w:t>
      </w:r>
      <w:r w:rsidR="00762ECB">
        <w:t xml:space="preserve">had previously </w:t>
      </w:r>
      <w:r w:rsidR="00470E31" w:rsidRPr="00C15E26">
        <w:t xml:space="preserve">considered linagliptin 5 mg and sitagliptin 100 mg as equivalent, but that in the trial based indirect </w:t>
      </w:r>
      <w:r w:rsidR="000A598F" w:rsidRPr="00C15E26">
        <w:t>comparison</w:t>
      </w:r>
      <w:r w:rsidR="00470E31" w:rsidRPr="00C15E26">
        <w:t xml:space="preserve"> of the FDC and insulin glargine</w:t>
      </w:r>
      <w:r w:rsidR="00762ECB">
        <w:t xml:space="preserve"> in this submission</w:t>
      </w:r>
      <w:r w:rsidR="00470E31" w:rsidRPr="00C15E26">
        <w:t>, there were large differences in the common reference treatment effects</w:t>
      </w:r>
      <w:r w:rsidR="00FD5928" w:rsidRPr="00C15E26">
        <w:t>.</w:t>
      </w:r>
    </w:p>
    <w:p w:rsidR="00470E31" w:rsidRPr="00C15E26" w:rsidRDefault="00470E31" w:rsidP="00EF62AB">
      <w:pPr>
        <w:widowControl/>
      </w:pPr>
    </w:p>
    <w:p w:rsidR="00BA05CE" w:rsidRDefault="00BA05CE" w:rsidP="008F5BEE">
      <w:pPr>
        <w:pStyle w:val="ListParagraph"/>
        <w:widowControl/>
        <w:numPr>
          <w:ilvl w:val="1"/>
          <w:numId w:val="1"/>
        </w:numPr>
      </w:pPr>
      <w:r w:rsidRPr="00C15E26">
        <w:t xml:space="preserve">The EASIE Extension </w:t>
      </w:r>
      <w:r w:rsidR="009F4250" w:rsidRPr="00C15E26">
        <w:t xml:space="preserve">(EASIE Ext) </w:t>
      </w:r>
      <w:r w:rsidRPr="00C15E26">
        <w:t>study was a single arm extension of the EASIE insulin glargine trial and was neither randomised nor blinded, included change in HbA1c</w:t>
      </w:r>
      <w:r w:rsidR="00E92FD7" w:rsidRPr="00C15E26">
        <w:t xml:space="preserve"> only</w:t>
      </w:r>
      <w:r w:rsidRPr="00C15E26">
        <w:t xml:space="preserve"> as a secondary outcome, was of short duration and subject to a very high risk of selection bias. Its inclusion in an informal indirect comparison</w:t>
      </w:r>
      <w:r w:rsidR="007745DB" w:rsidRPr="00C15E26">
        <w:t xml:space="preserve"> w</w:t>
      </w:r>
      <w:r w:rsidRPr="00C15E26">
        <w:t xml:space="preserve">as inappropriate and the results of the analysis should not be relied on and </w:t>
      </w:r>
      <w:r w:rsidR="00FD5928" w:rsidRPr="00C15E26">
        <w:t>were</w:t>
      </w:r>
      <w:r w:rsidRPr="00C15E26">
        <w:t xml:space="preserve"> not presented in the </w:t>
      </w:r>
      <w:r w:rsidR="00E92FD7" w:rsidRPr="00C15E26">
        <w:t>C</w:t>
      </w:r>
      <w:r w:rsidRPr="00C15E26">
        <w:t>ommentary</w:t>
      </w:r>
      <w:r w:rsidR="009A5AC5">
        <w:t xml:space="preserve"> of the submission</w:t>
      </w:r>
      <w:r w:rsidR="00475D87">
        <w:t>.</w:t>
      </w:r>
    </w:p>
    <w:p w:rsidR="00475D87" w:rsidRPr="00C15E26" w:rsidRDefault="00475D87" w:rsidP="00EF62AB">
      <w:pPr>
        <w:pStyle w:val="ListParagraph"/>
        <w:widowControl/>
      </w:pPr>
    </w:p>
    <w:p w:rsidR="00976CD6" w:rsidRDefault="004F4E2B" w:rsidP="008F5BEE">
      <w:pPr>
        <w:pStyle w:val="ListParagraph"/>
        <w:widowControl/>
        <w:numPr>
          <w:ilvl w:val="1"/>
          <w:numId w:val="1"/>
        </w:numPr>
      </w:pPr>
      <w:r w:rsidRPr="00C15E26">
        <w:t>Differences between Trial 1275.</w:t>
      </w:r>
      <w:r w:rsidR="00725E45">
        <w:t>1</w:t>
      </w:r>
      <w:r w:rsidR="00725E45" w:rsidRPr="00C15E26">
        <w:t xml:space="preserve"> </w:t>
      </w:r>
      <w:r w:rsidRPr="00C15E26">
        <w:t>and Violante (2012) in terms of sex, race, BMI and mean baseline metformin dose as well as definition of glycaemic control suggest the trials may not be comparable, and a single arm, informal indirect comparison using these studies was inappropriate</w:t>
      </w:r>
      <w:r w:rsidR="00BA05CE" w:rsidRPr="00C15E26">
        <w:t>.</w:t>
      </w:r>
      <w:r w:rsidRPr="00C15E26">
        <w:t xml:space="preserve"> This compa</w:t>
      </w:r>
      <w:r w:rsidR="007D026F" w:rsidRPr="00C15E26">
        <w:t>rison was</w:t>
      </w:r>
      <w:r w:rsidR="00475D87">
        <w:t xml:space="preserve"> also</w:t>
      </w:r>
      <w:r w:rsidR="007D026F" w:rsidRPr="00C15E26">
        <w:t xml:space="preserve"> not presented in the C</w:t>
      </w:r>
      <w:r w:rsidRPr="00C15E26">
        <w:t>ommentary</w:t>
      </w:r>
      <w:r w:rsidR="00976CD6">
        <w:t>.</w:t>
      </w:r>
    </w:p>
    <w:p w:rsidR="00B14238" w:rsidRPr="00C15E26" w:rsidRDefault="00B14238" w:rsidP="009A5AC5">
      <w:pPr>
        <w:pStyle w:val="ListParagraph"/>
        <w:widowControl/>
      </w:pPr>
    </w:p>
    <w:p w:rsidR="00B14238" w:rsidRPr="00C15E26" w:rsidRDefault="00B14238" w:rsidP="008F5BEE">
      <w:pPr>
        <w:pStyle w:val="ListParagraph"/>
        <w:widowControl/>
        <w:numPr>
          <w:ilvl w:val="1"/>
          <w:numId w:val="1"/>
        </w:numPr>
      </w:pPr>
      <w:r w:rsidRPr="00C15E26">
        <w:t>The ESC noted the P</w:t>
      </w:r>
      <w:r w:rsidR="00FE1967" w:rsidRPr="00C15E26">
        <w:t xml:space="preserve">re-Sub-Committee Response </w:t>
      </w:r>
      <w:r w:rsidRPr="00C15E26">
        <w:t>(</w:t>
      </w:r>
      <w:r w:rsidR="00FE1967" w:rsidRPr="00C15E26">
        <w:t xml:space="preserve">PSCR, </w:t>
      </w:r>
      <w:r w:rsidRPr="00C15E26">
        <w:t xml:space="preserve">) stated that the sponsor </w:t>
      </w:r>
      <w:r w:rsidR="00725E45">
        <w:t>“</w:t>
      </w:r>
      <w:r w:rsidRPr="00C15E26">
        <w:rPr>
          <w:szCs w:val="22"/>
        </w:rPr>
        <w:t>does not believe it is appropriate for the Commentary to dismiss and not evaluate the best available evidence, especially when it is highly applicable to the proposed PBS population.</w:t>
      </w:r>
      <w:r w:rsidR="00725E45">
        <w:rPr>
          <w:szCs w:val="22"/>
        </w:rPr>
        <w:t>”</w:t>
      </w:r>
      <w:r w:rsidRPr="00C15E26">
        <w:rPr>
          <w:szCs w:val="22"/>
        </w:rPr>
        <w:t xml:space="preserve"> </w:t>
      </w:r>
      <w:r w:rsidR="001C1687" w:rsidRPr="00C15E26">
        <w:rPr>
          <w:szCs w:val="22"/>
        </w:rPr>
        <w:t xml:space="preserve">The </w:t>
      </w:r>
      <w:r w:rsidR="00976CD6">
        <w:rPr>
          <w:szCs w:val="22"/>
        </w:rPr>
        <w:t xml:space="preserve">PBAC agreed with the </w:t>
      </w:r>
      <w:r w:rsidR="001C1687" w:rsidRPr="00C15E26">
        <w:rPr>
          <w:szCs w:val="22"/>
        </w:rPr>
        <w:t xml:space="preserve">ESC </w:t>
      </w:r>
      <w:r w:rsidR="00976CD6">
        <w:rPr>
          <w:szCs w:val="22"/>
        </w:rPr>
        <w:t>that</w:t>
      </w:r>
      <w:r w:rsidR="001C1687" w:rsidRPr="00C15E26">
        <w:rPr>
          <w:szCs w:val="22"/>
        </w:rPr>
        <w:t xml:space="preserve"> the approach</w:t>
      </w:r>
      <w:r w:rsidR="00976CD6">
        <w:rPr>
          <w:szCs w:val="22"/>
        </w:rPr>
        <w:t xml:space="preserve"> taken</w:t>
      </w:r>
      <w:r w:rsidR="001C1687" w:rsidRPr="00C15E26">
        <w:rPr>
          <w:szCs w:val="22"/>
        </w:rPr>
        <w:t xml:space="preserve"> in the Commentary was reasonable </w:t>
      </w:r>
      <w:r w:rsidR="00976CD6">
        <w:rPr>
          <w:szCs w:val="22"/>
        </w:rPr>
        <w:t xml:space="preserve">and did not consider the two indirect comparisons excluded from the Commentary to be </w:t>
      </w:r>
      <w:r w:rsidR="00725E45">
        <w:rPr>
          <w:szCs w:val="22"/>
        </w:rPr>
        <w:t xml:space="preserve">sufficiently reliable </w:t>
      </w:r>
      <w:r w:rsidR="00976CD6">
        <w:rPr>
          <w:szCs w:val="22"/>
        </w:rPr>
        <w:t>for decision making</w:t>
      </w:r>
      <w:r w:rsidR="001C1687" w:rsidRPr="00C15E26">
        <w:rPr>
          <w:szCs w:val="22"/>
        </w:rPr>
        <w:t xml:space="preserve">. </w:t>
      </w:r>
    </w:p>
    <w:p w:rsidR="00D96FA6" w:rsidRPr="00C15E26" w:rsidRDefault="00D96FA6" w:rsidP="00EF62AB">
      <w:pPr>
        <w:pStyle w:val="ListParagraph"/>
        <w:widowControl/>
      </w:pPr>
    </w:p>
    <w:p w:rsidR="008B3696" w:rsidRPr="00C15E26" w:rsidRDefault="008B3696" w:rsidP="008F5BEE">
      <w:pPr>
        <w:pStyle w:val="ListParagraph"/>
        <w:widowControl/>
        <w:numPr>
          <w:ilvl w:val="1"/>
          <w:numId w:val="1"/>
        </w:numPr>
      </w:pPr>
      <w:r w:rsidRPr="00C15E26">
        <w:t>Bioequivalence of empagliflozin 25</w:t>
      </w:r>
      <w:r w:rsidR="002B4D77" w:rsidRPr="00C15E26">
        <w:t xml:space="preserve"> </w:t>
      </w:r>
      <w:r w:rsidRPr="00C15E26">
        <w:t>mg or 10</w:t>
      </w:r>
      <w:r w:rsidR="002B4D77" w:rsidRPr="00C15E26">
        <w:t xml:space="preserve"> </w:t>
      </w:r>
      <w:r w:rsidRPr="00C15E26">
        <w:t>mg with linagliptin 5</w:t>
      </w:r>
      <w:r w:rsidR="002B4D77" w:rsidRPr="00C15E26">
        <w:t xml:space="preserve"> </w:t>
      </w:r>
      <w:r w:rsidRPr="00C15E26">
        <w:t xml:space="preserve">mg FDC </w:t>
      </w:r>
      <w:r w:rsidR="00907725" w:rsidRPr="00C15E26">
        <w:t xml:space="preserve">to the component products </w:t>
      </w:r>
      <w:r w:rsidRPr="00C15E26">
        <w:t xml:space="preserve">was </w:t>
      </w:r>
      <w:r w:rsidR="00D96FA6" w:rsidRPr="00C15E26">
        <w:t>also presented</w:t>
      </w:r>
      <w:r w:rsidRPr="00C15E26">
        <w:t xml:space="preserve"> in the phase 1 Trial 1275.3.</w:t>
      </w:r>
    </w:p>
    <w:p w:rsidR="00862502" w:rsidRPr="00C15E26" w:rsidRDefault="00862502" w:rsidP="00EF62AB">
      <w:pPr>
        <w:widowControl/>
        <w:rPr>
          <w:szCs w:val="22"/>
        </w:rPr>
      </w:pPr>
    </w:p>
    <w:p w:rsidR="00976CD6" w:rsidRDefault="00862502" w:rsidP="008F5BEE">
      <w:pPr>
        <w:pStyle w:val="ListParagraph"/>
        <w:widowControl/>
        <w:numPr>
          <w:ilvl w:val="1"/>
          <w:numId w:val="1"/>
        </w:numPr>
        <w:rPr>
          <w:szCs w:val="22"/>
        </w:rPr>
      </w:pPr>
      <w:r w:rsidRPr="00C15E26">
        <w:rPr>
          <w:szCs w:val="22"/>
        </w:rPr>
        <w:t>Details of the trials presented in the submission are provided in the table below.</w:t>
      </w:r>
    </w:p>
    <w:p w:rsidR="00862502" w:rsidRPr="00C15E26" w:rsidRDefault="00862502" w:rsidP="00976CD6">
      <w:pPr>
        <w:pStyle w:val="ListParagraph"/>
        <w:widowControl/>
        <w:rPr>
          <w:szCs w:val="22"/>
        </w:rPr>
      </w:pPr>
      <w:r w:rsidRPr="00C15E26">
        <w:rPr>
          <w:szCs w:val="22"/>
        </w:rPr>
        <w:t xml:space="preserve"> </w:t>
      </w:r>
    </w:p>
    <w:p w:rsidR="008F120A" w:rsidRDefault="008F120A" w:rsidP="00EF62AB">
      <w:pPr>
        <w:widowControl/>
        <w:ind w:firstLine="720"/>
        <w:rPr>
          <w:rStyle w:val="CommentReference"/>
        </w:rPr>
      </w:pPr>
      <w:r w:rsidRPr="000812CA">
        <w:rPr>
          <w:rStyle w:val="CommentReference"/>
        </w:rPr>
        <w:t xml:space="preserve">Table </w:t>
      </w:r>
      <w:r w:rsidR="00EF62AB">
        <w:rPr>
          <w:rStyle w:val="CommentReference"/>
        </w:rPr>
        <w:t>2</w:t>
      </w:r>
      <w:r w:rsidRPr="000812CA">
        <w:rPr>
          <w:rStyle w:val="CommentReference"/>
        </w:rPr>
        <w:t>: Trials and associated reports presented in the submission</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61"/>
        <w:gridCol w:w="5245"/>
        <w:gridCol w:w="1557"/>
      </w:tblGrid>
      <w:tr w:rsidR="00337D1D" w:rsidRPr="004E2ADC" w:rsidTr="00F50F4B">
        <w:trPr>
          <w:tblHeader/>
        </w:trPr>
        <w:tc>
          <w:tcPr>
            <w:tcW w:w="933" w:type="pct"/>
          </w:tcPr>
          <w:p w:rsidR="00337D1D" w:rsidRPr="004E2ADC" w:rsidRDefault="00337D1D" w:rsidP="00EF62AB">
            <w:pPr>
              <w:widowControl/>
              <w:jc w:val="left"/>
              <w:rPr>
                <w:rFonts w:ascii="Arial Narrow" w:hAnsi="Arial Narrow"/>
                <w:b/>
                <w:sz w:val="20"/>
              </w:rPr>
            </w:pPr>
            <w:r w:rsidRPr="004E2ADC">
              <w:rPr>
                <w:rFonts w:ascii="Arial Narrow" w:hAnsi="Arial Narrow"/>
                <w:b/>
                <w:sz w:val="20"/>
              </w:rPr>
              <w:t>Trial ID</w:t>
            </w:r>
          </w:p>
        </w:tc>
        <w:tc>
          <w:tcPr>
            <w:tcW w:w="3136" w:type="pct"/>
          </w:tcPr>
          <w:p w:rsidR="00337D1D" w:rsidRPr="004E2ADC" w:rsidRDefault="00337D1D" w:rsidP="00EF62AB">
            <w:pPr>
              <w:widowControl/>
              <w:jc w:val="center"/>
              <w:rPr>
                <w:rFonts w:ascii="Arial Narrow" w:hAnsi="Arial Narrow"/>
                <w:b/>
                <w:sz w:val="20"/>
              </w:rPr>
            </w:pPr>
            <w:r w:rsidRPr="004E2ADC">
              <w:rPr>
                <w:rFonts w:ascii="Arial Narrow" w:hAnsi="Arial Narrow"/>
                <w:b/>
                <w:sz w:val="20"/>
              </w:rPr>
              <w:t>Protocol title/ Publication title</w:t>
            </w:r>
          </w:p>
        </w:tc>
        <w:tc>
          <w:tcPr>
            <w:tcW w:w="931" w:type="pct"/>
          </w:tcPr>
          <w:p w:rsidR="00337D1D" w:rsidRPr="004E2ADC" w:rsidRDefault="00337D1D" w:rsidP="00EF62AB">
            <w:pPr>
              <w:widowControl/>
              <w:jc w:val="center"/>
              <w:rPr>
                <w:rFonts w:ascii="Arial Narrow" w:hAnsi="Arial Narrow"/>
                <w:b/>
                <w:sz w:val="20"/>
              </w:rPr>
            </w:pPr>
            <w:r w:rsidRPr="004E2ADC">
              <w:rPr>
                <w:rFonts w:ascii="Arial Narrow" w:hAnsi="Arial Narrow"/>
                <w:b/>
                <w:sz w:val="20"/>
              </w:rPr>
              <w:t>Publication citation</w:t>
            </w:r>
          </w:p>
        </w:tc>
      </w:tr>
      <w:tr w:rsidR="00337D1D" w:rsidRPr="004E2ADC" w:rsidTr="00337D1D">
        <w:tc>
          <w:tcPr>
            <w:tcW w:w="5000" w:type="pct"/>
            <w:gridSpan w:val="3"/>
          </w:tcPr>
          <w:p w:rsidR="00337D1D" w:rsidRPr="004E2ADC" w:rsidRDefault="00337D1D" w:rsidP="00EF62AB">
            <w:pPr>
              <w:widowControl/>
              <w:jc w:val="left"/>
              <w:rPr>
                <w:rFonts w:ascii="Arial Narrow" w:hAnsi="Arial Narrow"/>
                <w:b/>
                <w:sz w:val="20"/>
              </w:rPr>
            </w:pPr>
            <w:r>
              <w:rPr>
                <w:rFonts w:ascii="Arial Narrow" w:hAnsi="Arial Narrow"/>
                <w:b/>
                <w:sz w:val="20"/>
              </w:rPr>
              <w:t>Empagliflozin with linagliptin FDC randomised trials</w:t>
            </w:r>
          </w:p>
        </w:tc>
      </w:tr>
      <w:tr w:rsidR="00337D1D" w:rsidRPr="004E2ADC" w:rsidTr="00337D1D">
        <w:tc>
          <w:tcPr>
            <w:tcW w:w="933" w:type="pct"/>
          </w:tcPr>
          <w:p w:rsidR="00337D1D" w:rsidRDefault="00337D1D" w:rsidP="00EF62AB">
            <w:pPr>
              <w:widowControl/>
              <w:jc w:val="left"/>
              <w:rPr>
                <w:rFonts w:ascii="Arial Narrow" w:hAnsi="Arial Narrow"/>
                <w:sz w:val="20"/>
              </w:rPr>
            </w:pPr>
            <w:r>
              <w:rPr>
                <w:rFonts w:ascii="Arial Narrow" w:hAnsi="Arial Narrow"/>
                <w:sz w:val="20"/>
              </w:rPr>
              <w:t>Trial 1275.9</w:t>
            </w:r>
          </w:p>
          <w:p w:rsidR="00337D1D" w:rsidRPr="007255E3" w:rsidRDefault="00337D1D" w:rsidP="00EF62AB">
            <w:pPr>
              <w:widowControl/>
              <w:jc w:val="left"/>
              <w:rPr>
                <w:rFonts w:ascii="Arial Narrow" w:hAnsi="Arial Narrow"/>
                <w:b/>
                <w:sz w:val="20"/>
              </w:rPr>
            </w:pPr>
            <w:r>
              <w:rPr>
                <w:rFonts w:ascii="Arial Narrow" w:hAnsi="Arial Narrow"/>
                <w:sz w:val="20"/>
              </w:rPr>
              <w:t>(</w:t>
            </w:r>
            <w:r w:rsidRPr="003A54D9">
              <w:rPr>
                <w:rFonts w:ascii="Arial Narrow" w:hAnsi="Arial Narrow"/>
                <w:sz w:val="20"/>
              </w:rPr>
              <w:t>NCT01734785</w:t>
            </w:r>
            <w:r>
              <w:rPr>
                <w:rFonts w:ascii="Arial Narrow" w:hAnsi="Arial Narrow"/>
                <w:sz w:val="20"/>
              </w:rPr>
              <w:t>)</w:t>
            </w:r>
          </w:p>
        </w:tc>
        <w:tc>
          <w:tcPr>
            <w:tcW w:w="3136" w:type="pct"/>
          </w:tcPr>
          <w:p w:rsidR="00337D1D" w:rsidRPr="003A54D9" w:rsidRDefault="00337D1D" w:rsidP="00EF62AB">
            <w:pPr>
              <w:widowControl/>
              <w:jc w:val="left"/>
              <w:rPr>
                <w:rFonts w:ascii="Arial Narrow" w:hAnsi="Arial Narrow"/>
                <w:sz w:val="20"/>
              </w:rPr>
            </w:pPr>
            <w:r w:rsidRPr="003A54D9">
              <w:rPr>
                <w:rFonts w:ascii="Arial Narrow" w:hAnsi="Arial Narrow"/>
                <w:sz w:val="20"/>
              </w:rPr>
              <w:t xml:space="preserve">A phase III, randomised, double-blind, parallel group, 24 week study to evaluate efficacy and safety of once daily empagliflozin 10 mg and 25 mg compared to placebo, all administered as oral fixed dose combinations with linagliptin 5 mg, in patients with type 2 diabetes mellitus and insufficient glycaemic control after 16 weeks treatment with linagliptin 5 mg once daily on metformin background therapy. </w:t>
            </w:r>
          </w:p>
        </w:tc>
        <w:tc>
          <w:tcPr>
            <w:tcW w:w="931" w:type="pct"/>
          </w:tcPr>
          <w:p w:rsidR="00337D1D" w:rsidRPr="00BF4E4E" w:rsidRDefault="00337D1D" w:rsidP="00EF62AB">
            <w:pPr>
              <w:widowControl/>
              <w:jc w:val="left"/>
              <w:rPr>
                <w:rFonts w:ascii="Arial Narrow" w:hAnsi="Arial Narrow"/>
                <w:sz w:val="20"/>
              </w:rPr>
            </w:pPr>
            <w:r w:rsidRPr="004E2ADC">
              <w:rPr>
                <w:rFonts w:ascii="Arial Narrow" w:hAnsi="Arial Narrow"/>
                <w:sz w:val="20"/>
              </w:rPr>
              <w:t>Dat</w:t>
            </w:r>
            <w:r>
              <w:rPr>
                <w:rFonts w:ascii="Arial Narrow" w:hAnsi="Arial Narrow"/>
                <w:sz w:val="20"/>
              </w:rPr>
              <w:t>e: 3 Sept 2015.</w:t>
            </w:r>
          </w:p>
        </w:tc>
      </w:tr>
      <w:tr w:rsidR="00337D1D" w:rsidRPr="004E2ADC" w:rsidTr="00FC7CCB">
        <w:tc>
          <w:tcPr>
            <w:tcW w:w="933" w:type="pct"/>
            <w:tcBorders>
              <w:bottom w:val="single" w:sz="4" w:space="0" w:color="auto"/>
            </w:tcBorders>
          </w:tcPr>
          <w:p w:rsidR="00337D1D" w:rsidRDefault="00337D1D" w:rsidP="00EF62AB">
            <w:pPr>
              <w:widowControl/>
              <w:jc w:val="left"/>
              <w:rPr>
                <w:rFonts w:ascii="Arial Narrow" w:hAnsi="Arial Narrow"/>
                <w:sz w:val="20"/>
              </w:rPr>
            </w:pPr>
            <w:r>
              <w:rPr>
                <w:rFonts w:ascii="Arial Narrow" w:hAnsi="Arial Narrow"/>
                <w:sz w:val="20"/>
              </w:rPr>
              <w:t>Trial 1275.10</w:t>
            </w:r>
          </w:p>
          <w:p w:rsidR="00337D1D" w:rsidRPr="007255E3" w:rsidRDefault="00337D1D" w:rsidP="00EF62AB">
            <w:pPr>
              <w:widowControl/>
              <w:jc w:val="left"/>
              <w:rPr>
                <w:rFonts w:ascii="Arial Narrow" w:hAnsi="Arial Narrow"/>
                <w:b/>
                <w:sz w:val="20"/>
              </w:rPr>
            </w:pPr>
            <w:r>
              <w:rPr>
                <w:rFonts w:ascii="Arial Narrow" w:hAnsi="Arial Narrow"/>
                <w:sz w:val="20"/>
              </w:rPr>
              <w:t>(</w:t>
            </w:r>
            <w:r w:rsidRPr="003A54D9">
              <w:rPr>
                <w:rFonts w:ascii="Arial Narrow" w:hAnsi="Arial Narrow"/>
                <w:sz w:val="20"/>
              </w:rPr>
              <w:t>NCT01778049</w:t>
            </w:r>
            <w:r>
              <w:rPr>
                <w:rFonts w:ascii="Arial Narrow" w:hAnsi="Arial Narrow"/>
                <w:sz w:val="20"/>
              </w:rPr>
              <w:t>)</w:t>
            </w:r>
          </w:p>
        </w:tc>
        <w:tc>
          <w:tcPr>
            <w:tcW w:w="3136" w:type="pct"/>
          </w:tcPr>
          <w:p w:rsidR="00337D1D" w:rsidRPr="004E2ADC" w:rsidRDefault="00337D1D" w:rsidP="00EF62AB">
            <w:pPr>
              <w:widowControl/>
              <w:jc w:val="left"/>
              <w:rPr>
                <w:rFonts w:ascii="Arial Narrow" w:hAnsi="Arial Narrow"/>
                <w:b/>
                <w:sz w:val="20"/>
              </w:rPr>
            </w:pPr>
            <w:r w:rsidRPr="003A54D9">
              <w:rPr>
                <w:rFonts w:ascii="Arial Narrow" w:hAnsi="Arial Narrow"/>
                <w:sz w:val="20"/>
              </w:rPr>
              <w:t>A phase III, randomised, double-blind, parallel group study to evaluate efficacy and safety of linagliptin 5 mg compared to placebo, administered as oral fixed dose combinations with empagliflozin 10 mg or 25 mg for 24 weeks, in patients with type 2 diabetes mellitus and insufficient glycaemic control after 16 weeks treatment with empagliflozin 10 mg or 25 mg once daily on metformin background therapy.</w:t>
            </w:r>
            <w:r>
              <w:t xml:space="preserve"> </w:t>
            </w:r>
          </w:p>
        </w:tc>
        <w:tc>
          <w:tcPr>
            <w:tcW w:w="931" w:type="pct"/>
            <w:tcBorders>
              <w:bottom w:val="single" w:sz="4" w:space="0" w:color="auto"/>
            </w:tcBorders>
          </w:tcPr>
          <w:p w:rsidR="00337D1D" w:rsidRPr="00BF4E4E" w:rsidRDefault="00337D1D" w:rsidP="00EF62AB">
            <w:pPr>
              <w:widowControl/>
              <w:jc w:val="left"/>
              <w:rPr>
                <w:rFonts w:ascii="Arial Narrow" w:hAnsi="Arial Narrow"/>
                <w:sz w:val="20"/>
              </w:rPr>
            </w:pPr>
            <w:r w:rsidRPr="004E2ADC">
              <w:rPr>
                <w:rFonts w:ascii="Arial Narrow" w:hAnsi="Arial Narrow"/>
                <w:sz w:val="20"/>
              </w:rPr>
              <w:t>Dat</w:t>
            </w:r>
            <w:r>
              <w:rPr>
                <w:rFonts w:ascii="Arial Narrow" w:hAnsi="Arial Narrow"/>
                <w:sz w:val="20"/>
              </w:rPr>
              <w:t>e: 3 Sept 2015.</w:t>
            </w:r>
          </w:p>
        </w:tc>
      </w:tr>
      <w:tr w:rsidR="00337D1D" w:rsidRPr="004E2ADC" w:rsidTr="00FC7CCB">
        <w:tc>
          <w:tcPr>
            <w:tcW w:w="933" w:type="pct"/>
            <w:tcBorders>
              <w:bottom w:val="nil"/>
            </w:tcBorders>
          </w:tcPr>
          <w:p w:rsidR="00337D1D" w:rsidRDefault="00337D1D" w:rsidP="00EF62AB">
            <w:pPr>
              <w:widowControl/>
              <w:jc w:val="left"/>
              <w:rPr>
                <w:rFonts w:ascii="Arial Narrow" w:hAnsi="Arial Narrow"/>
                <w:sz w:val="20"/>
              </w:rPr>
            </w:pPr>
            <w:r>
              <w:rPr>
                <w:rFonts w:ascii="Arial Narrow" w:hAnsi="Arial Narrow"/>
                <w:sz w:val="20"/>
              </w:rPr>
              <w:t>Trial 1275.1</w:t>
            </w:r>
          </w:p>
          <w:p w:rsidR="00337D1D" w:rsidRDefault="00337D1D" w:rsidP="00EF62AB">
            <w:pPr>
              <w:widowControl/>
              <w:jc w:val="left"/>
              <w:rPr>
                <w:rFonts w:ascii="Arial Narrow" w:hAnsi="Arial Narrow"/>
                <w:sz w:val="20"/>
              </w:rPr>
            </w:pPr>
            <w:r>
              <w:rPr>
                <w:rFonts w:ascii="Arial Narrow" w:hAnsi="Arial Narrow"/>
                <w:sz w:val="20"/>
              </w:rPr>
              <w:t xml:space="preserve">(NCT014 </w:t>
            </w:r>
            <w:r w:rsidRPr="003A54D9">
              <w:rPr>
                <w:rFonts w:ascii="Arial Narrow" w:hAnsi="Arial Narrow"/>
                <w:sz w:val="20"/>
              </w:rPr>
              <w:t>2876</w:t>
            </w:r>
            <w:r>
              <w:rPr>
                <w:rFonts w:ascii="Arial Narrow" w:hAnsi="Arial Narrow"/>
                <w:sz w:val="20"/>
              </w:rPr>
              <w:t>)</w:t>
            </w:r>
          </w:p>
        </w:tc>
        <w:tc>
          <w:tcPr>
            <w:tcW w:w="3136" w:type="pct"/>
          </w:tcPr>
          <w:p w:rsidR="00337D1D" w:rsidRPr="003A54D9" w:rsidRDefault="00337D1D" w:rsidP="00EF62AB">
            <w:pPr>
              <w:widowControl/>
              <w:jc w:val="left"/>
              <w:rPr>
                <w:rFonts w:ascii="Arial Narrow" w:hAnsi="Arial Narrow"/>
                <w:sz w:val="20"/>
              </w:rPr>
            </w:pPr>
            <w:r w:rsidRPr="003A54D9">
              <w:rPr>
                <w:rFonts w:ascii="Arial Narrow" w:hAnsi="Arial Narrow"/>
                <w:sz w:val="20"/>
              </w:rPr>
              <w:t>A phase III randomized, double-blind, parallel group study to evaluate the efficacy and safety of once daily oral administration of BI 10773 25 mg/linagliptin 5 mg and BI 10773 10 mg/linagliptin 5 mg Fixed Dose Combination tablets compared with the individual components (BI 10773 25 mg, BI 10773 10 mg, and linagliptin 5 mg) for 52 weeks in treatment naïve and metformin treated patients with type 2 diabetes mellitus with insufficient glycaemic control.</w:t>
            </w:r>
          </w:p>
        </w:tc>
        <w:tc>
          <w:tcPr>
            <w:tcW w:w="931" w:type="pct"/>
            <w:tcBorders>
              <w:bottom w:val="single" w:sz="4" w:space="0" w:color="auto"/>
            </w:tcBorders>
          </w:tcPr>
          <w:p w:rsidR="00337D1D" w:rsidRPr="004E2ADC" w:rsidRDefault="00337D1D" w:rsidP="00EF62AB">
            <w:pPr>
              <w:widowControl/>
              <w:jc w:val="left"/>
              <w:rPr>
                <w:rFonts w:ascii="Arial Narrow" w:hAnsi="Arial Narrow"/>
                <w:sz w:val="20"/>
              </w:rPr>
            </w:pPr>
            <w:r>
              <w:rPr>
                <w:rFonts w:ascii="Arial Narrow" w:hAnsi="Arial Narrow"/>
                <w:sz w:val="20"/>
              </w:rPr>
              <w:t>Date: 23 Dec 2013.</w:t>
            </w:r>
          </w:p>
        </w:tc>
      </w:tr>
      <w:tr w:rsidR="00337D1D" w:rsidRPr="004E2ADC" w:rsidTr="00FC7CCB">
        <w:tc>
          <w:tcPr>
            <w:tcW w:w="933" w:type="pct"/>
            <w:tcBorders>
              <w:top w:val="nil"/>
              <w:bottom w:val="nil"/>
            </w:tcBorders>
          </w:tcPr>
          <w:p w:rsidR="00337D1D" w:rsidRDefault="00337D1D" w:rsidP="00EF62AB">
            <w:pPr>
              <w:widowControl/>
              <w:jc w:val="left"/>
              <w:rPr>
                <w:rFonts w:ascii="Arial Narrow" w:hAnsi="Arial Narrow"/>
                <w:sz w:val="20"/>
              </w:rPr>
            </w:pPr>
          </w:p>
        </w:tc>
        <w:tc>
          <w:tcPr>
            <w:tcW w:w="3136" w:type="pct"/>
          </w:tcPr>
          <w:p w:rsidR="00337D1D" w:rsidRPr="003A54D9" w:rsidRDefault="00337D1D" w:rsidP="00EF62AB">
            <w:pPr>
              <w:widowControl/>
              <w:jc w:val="left"/>
              <w:rPr>
                <w:rFonts w:ascii="Arial Narrow" w:hAnsi="Arial Narrow"/>
                <w:sz w:val="20"/>
              </w:rPr>
            </w:pPr>
            <w:r w:rsidRPr="003A54D9">
              <w:rPr>
                <w:rFonts w:ascii="Arial Narrow" w:hAnsi="Arial Narrow"/>
                <w:sz w:val="20"/>
              </w:rPr>
              <w:t xml:space="preserve">DeFronzo RA, Lewin A, Patel S et al. Combination of empagliflozin and linagliptin as second-line therapy in subjects with type 2 diabetes inadequately controlled on metformin. </w:t>
            </w:r>
          </w:p>
        </w:tc>
        <w:tc>
          <w:tcPr>
            <w:tcW w:w="931" w:type="pct"/>
            <w:tcBorders>
              <w:top w:val="single" w:sz="4" w:space="0" w:color="auto"/>
              <w:bottom w:val="single" w:sz="4" w:space="0" w:color="auto"/>
            </w:tcBorders>
          </w:tcPr>
          <w:p w:rsidR="00337D1D" w:rsidRPr="006F0A4F" w:rsidRDefault="00337D1D" w:rsidP="00EF62AB">
            <w:pPr>
              <w:widowControl/>
              <w:jc w:val="left"/>
              <w:rPr>
                <w:rFonts w:ascii="Arial Narrow" w:hAnsi="Arial Narrow"/>
                <w:sz w:val="20"/>
              </w:rPr>
            </w:pPr>
            <w:r w:rsidRPr="006F0A4F">
              <w:rPr>
                <w:rFonts w:ascii="Arial Narrow" w:hAnsi="Arial Narrow"/>
                <w:sz w:val="20"/>
              </w:rPr>
              <w:t>Diabetes Care 2015; 38(3):384-393.</w:t>
            </w:r>
          </w:p>
        </w:tc>
      </w:tr>
      <w:tr w:rsidR="00337D1D" w:rsidRPr="004E2ADC" w:rsidTr="00FC7CCB">
        <w:tc>
          <w:tcPr>
            <w:tcW w:w="933" w:type="pct"/>
            <w:tcBorders>
              <w:top w:val="nil"/>
            </w:tcBorders>
          </w:tcPr>
          <w:p w:rsidR="00337D1D" w:rsidRDefault="00337D1D" w:rsidP="00EF62AB">
            <w:pPr>
              <w:widowControl/>
              <w:jc w:val="left"/>
              <w:rPr>
                <w:rFonts w:ascii="Arial Narrow" w:hAnsi="Arial Narrow"/>
                <w:sz w:val="20"/>
              </w:rPr>
            </w:pPr>
          </w:p>
        </w:tc>
        <w:tc>
          <w:tcPr>
            <w:tcW w:w="3136" w:type="pct"/>
          </w:tcPr>
          <w:p w:rsidR="00337D1D" w:rsidRPr="003A54D9" w:rsidRDefault="00337D1D" w:rsidP="00EF62AB">
            <w:pPr>
              <w:widowControl/>
              <w:jc w:val="left"/>
              <w:rPr>
                <w:rFonts w:ascii="Arial Narrow" w:hAnsi="Arial Narrow"/>
                <w:sz w:val="20"/>
              </w:rPr>
            </w:pPr>
            <w:r w:rsidRPr="003A54D9">
              <w:rPr>
                <w:rFonts w:ascii="Arial Narrow" w:hAnsi="Arial Narrow"/>
                <w:sz w:val="20"/>
              </w:rPr>
              <w:t xml:space="preserve">Lewin A, DeFronzo RA, Patel S et al. Initial combination of empagliflozin and linagliptin in subjects with type 2 diabetes. </w:t>
            </w:r>
          </w:p>
        </w:tc>
        <w:tc>
          <w:tcPr>
            <w:tcW w:w="931" w:type="pct"/>
            <w:tcBorders>
              <w:top w:val="single" w:sz="4" w:space="0" w:color="auto"/>
            </w:tcBorders>
          </w:tcPr>
          <w:p w:rsidR="00337D1D" w:rsidRPr="006F0A4F" w:rsidRDefault="00337D1D" w:rsidP="00EF62AB">
            <w:pPr>
              <w:widowControl/>
              <w:jc w:val="left"/>
              <w:rPr>
                <w:rFonts w:ascii="Arial Narrow" w:hAnsi="Arial Narrow"/>
                <w:sz w:val="20"/>
              </w:rPr>
            </w:pPr>
            <w:r w:rsidRPr="006F0A4F">
              <w:rPr>
                <w:rFonts w:ascii="Arial Narrow" w:hAnsi="Arial Narrow"/>
                <w:sz w:val="20"/>
              </w:rPr>
              <w:t>Diabetes Care 2015; 38(3):394-402.</w:t>
            </w:r>
          </w:p>
        </w:tc>
      </w:tr>
      <w:tr w:rsidR="00337D1D" w:rsidRPr="004E2ADC" w:rsidTr="00337D1D">
        <w:tc>
          <w:tcPr>
            <w:tcW w:w="5000" w:type="pct"/>
            <w:gridSpan w:val="3"/>
          </w:tcPr>
          <w:p w:rsidR="00337D1D" w:rsidRPr="006F0A4F" w:rsidRDefault="00337D1D" w:rsidP="00EF62AB">
            <w:pPr>
              <w:widowControl/>
              <w:jc w:val="left"/>
              <w:rPr>
                <w:rFonts w:ascii="Arial Narrow" w:hAnsi="Arial Narrow"/>
                <w:b/>
                <w:sz w:val="20"/>
              </w:rPr>
            </w:pPr>
            <w:r w:rsidRPr="006F0A4F">
              <w:rPr>
                <w:rFonts w:ascii="Arial Narrow" w:hAnsi="Arial Narrow"/>
                <w:b/>
                <w:sz w:val="20"/>
              </w:rPr>
              <w:t>Insulin glargine randomised trials</w:t>
            </w:r>
          </w:p>
        </w:tc>
      </w:tr>
      <w:tr w:rsidR="00337D1D" w:rsidRPr="004E2ADC" w:rsidTr="00337D1D">
        <w:tc>
          <w:tcPr>
            <w:tcW w:w="933" w:type="pct"/>
            <w:tcBorders>
              <w:bottom w:val="single" w:sz="4" w:space="0" w:color="auto"/>
            </w:tcBorders>
          </w:tcPr>
          <w:p w:rsidR="00337D1D" w:rsidRPr="00BF4E4E" w:rsidRDefault="00337D1D" w:rsidP="00EF62AB">
            <w:pPr>
              <w:widowControl/>
              <w:jc w:val="left"/>
              <w:rPr>
                <w:rFonts w:ascii="Arial Narrow" w:hAnsi="Arial Narrow"/>
                <w:sz w:val="20"/>
              </w:rPr>
            </w:pPr>
            <w:r w:rsidRPr="00BF4E4E">
              <w:rPr>
                <w:rFonts w:ascii="Arial Narrow" w:hAnsi="Arial Narrow"/>
                <w:sz w:val="20"/>
              </w:rPr>
              <w:t>EASIE</w:t>
            </w:r>
          </w:p>
          <w:p w:rsidR="00337D1D" w:rsidRPr="00E44CB1" w:rsidRDefault="00337D1D" w:rsidP="00EF62AB">
            <w:pPr>
              <w:widowControl/>
              <w:jc w:val="left"/>
              <w:rPr>
                <w:rFonts w:ascii="Arial Narrow" w:hAnsi="Arial Narrow"/>
                <w:sz w:val="20"/>
              </w:rPr>
            </w:pPr>
            <w:r w:rsidRPr="00BF4E4E">
              <w:rPr>
                <w:rFonts w:ascii="Arial Narrow" w:hAnsi="Arial Narrow"/>
                <w:sz w:val="20"/>
              </w:rPr>
              <w:t>(</w:t>
            </w:r>
            <w:r w:rsidRPr="00BF4E4E">
              <w:rPr>
                <w:rFonts w:ascii="Arial Narrow" w:hAnsi="Arial Narrow"/>
                <w:sz w:val="20"/>
                <w:lang w:val="de-DE"/>
              </w:rPr>
              <w:t>NCT00751114)</w:t>
            </w:r>
          </w:p>
        </w:tc>
        <w:tc>
          <w:tcPr>
            <w:tcW w:w="3136" w:type="pct"/>
          </w:tcPr>
          <w:p w:rsidR="00337D1D" w:rsidRDefault="00337D1D" w:rsidP="00EF62AB">
            <w:pPr>
              <w:widowControl/>
              <w:jc w:val="left"/>
              <w:rPr>
                <w:rFonts w:ascii="Arial Narrow" w:hAnsi="Arial Narrow"/>
                <w:sz w:val="20"/>
              </w:rPr>
            </w:pPr>
            <w:r w:rsidRPr="00E44CB1">
              <w:rPr>
                <w:rFonts w:ascii="Arial Narrow" w:hAnsi="Arial Narrow"/>
                <w:sz w:val="20"/>
              </w:rPr>
              <w:t>Aschner</w:t>
            </w:r>
            <w:r>
              <w:rPr>
                <w:rFonts w:ascii="Arial Narrow" w:hAnsi="Arial Narrow"/>
                <w:sz w:val="20"/>
              </w:rPr>
              <w:t xml:space="preserve"> </w:t>
            </w:r>
            <w:r w:rsidRPr="00E44CB1">
              <w:rPr>
                <w:rFonts w:ascii="Arial Narrow" w:hAnsi="Arial Narrow"/>
                <w:sz w:val="20"/>
              </w:rPr>
              <w:t>P, Chan J, Owens DR, Picard S, Wang E, Dain M-P et al. Insulin glargine versus sitagliptin in insulin-naïve patients with type 2 diabetes mellitus uncontrolled on metformin (EASIE): A multicentre, randomised open-label trial.</w:t>
            </w:r>
          </w:p>
        </w:tc>
        <w:tc>
          <w:tcPr>
            <w:tcW w:w="931" w:type="pct"/>
            <w:tcBorders>
              <w:bottom w:val="single" w:sz="4" w:space="0" w:color="auto"/>
            </w:tcBorders>
          </w:tcPr>
          <w:p w:rsidR="00337D1D" w:rsidRPr="006F0A4F" w:rsidRDefault="00337D1D" w:rsidP="00EF62AB">
            <w:pPr>
              <w:widowControl/>
              <w:jc w:val="left"/>
              <w:rPr>
                <w:rFonts w:ascii="Arial Narrow" w:hAnsi="Arial Narrow"/>
                <w:sz w:val="20"/>
              </w:rPr>
            </w:pPr>
            <w:r w:rsidRPr="006F0A4F">
              <w:rPr>
                <w:rFonts w:ascii="Arial Narrow" w:hAnsi="Arial Narrow"/>
                <w:sz w:val="20"/>
              </w:rPr>
              <w:t>Lancet 2012; 379(9833):2262-2269.</w:t>
            </w:r>
          </w:p>
        </w:tc>
      </w:tr>
      <w:tr w:rsidR="00337D1D" w:rsidRPr="004E2ADC" w:rsidTr="00337D1D">
        <w:tc>
          <w:tcPr>
            <w:tcW w:w="933" w:type="pct"/>
            <w:tcBorders>
              <w:bottom w:val="single" w:sz="4" w:space="0" w:color="auto"/>
            </w:tcBorders>
          </w:tcPr>
          <w:p w:rsidR="00337D1D" w:rsidRDefault="00337D1D" w:rsidP="00EF62AB">
            <w:pPr>
              <w:widowControl/>
              <w:jc w:val="left"/>
              <w:rPr>
                <w:rFonts w:ascii="Arial Narrow" w:hAnsi="Arial Narrow"/>
                <w:sz w:val="20"/>
              </w:rPr>
            </w:pPr>
            <w:r>
              <w:rPr>
                <w:rFonts w:ascii="Arial Narrow" w:hAnsi="Arial Narrow"/>
                <w:sz w:val="20"/>
              </w:rPr>
              <w:t>EASIE Ext</w:t>
            </w:r>
          </w:p>
          <w:p w:rsidR="00337D1D" w:rsidRDefault="00337D1D" w:rsidP="00EF62AB">
            <w:pPr>
              <w:widowControl/>
              <w:jc w:val="left"/>
              <w:rPr>
                <w:rFonts w:ascii="Arial Narrow" w:hAnsi="Arial Narrow"/>
                <w:sz w:val="20"/>
              </w:rPr>
            </w:pPr>
            <w:r>
              <w:rPr>
                <w:rFonts w:ascii="Arial Narrow" w:hAnsi="Arial Narrow"/>
                <w:sz w:val="20"/>
              </w:rPr>
              <w:t>(</w:t>
            </w:r>
            <w:r w:rsidRPr="00BF4E4E">
              <w:rPr>
                <w:rFonts w:ascii="Arial Narrow" w:hAnsi="Arial Narrow"/>
                <w:sz w:val="20"/>
              </w:rPr>
              <w:t>NCT00851903</w:t>
            </w:r>
            <w:r>
              <w:rPr>
                <w:rFonts w:ascii="Arial Narrow" w:hAnsi="Arial Narrow"/>
                <w:sz w:val="20"/>
              </w:rPr>
              <w:t>)</w:t>
            </w:r>
          </w:p>
        </w:tc>
        <w:tc>
          <w:tcPr>
            <w:tcW w:w="3136" w:type="pct"/>
          </w:tcPr>
          <w:p w:rsidR="00337D1D" w:rsidRDefault="00337D1D" w:rsidP="00EF62AB">
            <w:pPr>
              <w:widowControl/>
              <w:jc w:val="left"/>
              <w:rPr>
                <w:rFonts w:ascii="Arial Narrow" w:hAnsi="Arial Narrow"/>
                <w:sz w:val="20"/>
              </w:rPr>
            </w:pPr>
            <w:r w:rsidRPr="00E44CB1">
              <w:rPr>
                <w:rFonts w:ascii="Arial Narrow" w:hAnsi="Arial Narrow"/>
                <w:sz w:val="20"/>
              </w:rPr>
              <w:t>Chan JCN, Aschner P, Owens DR, Picard S, Vincent M, Dain MP et al. Triple combination of insulin glargine, sitagliptin and metformin in type 2 diabetes: the EASIE post hoc analysis and extension trial.</w:t>
            </w:r>
          </w:p>
        </w:tc>
        <w:tc>
          <w:tcPr>
            <w:tcW w:w="931" w:type="pct"/>
            <w:tcBorders>
              <w:bottom w:val="single" w:sz="4" w:space="0" w:color="auto"/>
            </w:tcBorders>
          </w:tcPr>
          <w:p w:rsidR="00337D1D" w:rsidRPr="006F0A4F" w:rsidRDefault="00337D1D" w:rsidP="00EF62AB">
            <w:pPr>
              <w:widowControl/>
              <w:jc w:val="left"/>
              <w:rPr>
                <w:rFonts w:ascii="Arial Narrow" w:hAnsi="Arial Narrow"/>
                <w:sz w:val="20"/>
              </w:rPr>
            </w:pPr>
            <w:r w:rsidRPr="006F0A4F">
              <w:rPr>
                <w:rFonts w:ascii="Arial Narrow" w:hAnsi="Arial Narrow"/>
                <w:sz w:val="20"/>
              </w:rPr>
              <w:t>Journal of Diabetes and its Complications 2015; 29(1):134-41.</w:t>
            </w:r>
          </w:p>
        </w:tc>
      </w:tr>
      <w:tr w:rsidR="00337D1D" w:rsidRPr="004E2ADC" w:rsidTr="00337D1D">
        <w:tc>
          <w:tcPr>
            <w:tcW w:w="5000" w:type="pct"/>
            <w:gridSpan w:val="3"/>
          </w:tcPr>
          <w:p w:rsidR="00337D1D" w:rsidRPr="006F0A4F" w:rsidRDefault="00337D1D" w:rsidP="00EF62AB">
            <w:pPr>
              <w:widowControl/>
              <w:jc w:val="left"/>
              <w:rPr>
                <w:rFonts w:ascii="Arial Narrow" w:hAnsi="Arial Narrow"/>
                <w:b/>
                <w:sz w:val="20"/>
              </w:rPr>
            </w:pPr>
            <w:r w:rsidRPr="006F0A4F">
              <w:rPr>
                <w:rFonts w:ascii="Arial Narrow" w:hAnsi="Arial Narrow"/>
                <w:b/>
                <w:sz w:val="20"/>
              </w:rPr>
              <w:t>Exenatide randomised trials</w:t>
            </w:r>
          </w:p>
        </w:tc>
      </w:tr>
      <w:tr w:rsidR="00337D1D" w:rsidRPr="004E2ADC" w:rsidTr="00337D1D">
        <w:tc>
          <w:tcPr>
            <w:tcW w:w="933" w:type="pct"/>
          </w:tcPr>
          <w:p w:rsidR="00337D1D" w:rsidRPr="00BF4E4E" w:rsidRDefault="00337D1D" w:rsidP="00EF62AB">
            <w:pPr>
              <w:widowControl/>
              <w:jc w:val="left"/>
              <w:rPr>
                <w:rFonts w:ascii="Arial Narrow" w:hAnsi="Arial Narrow"/>
                <w:sz w:val="20"/>
              </w:rPr>
            </w:pPr>
            <w:r w:rsidRPr="00BF4E4E">
              <w:rPr>
                <w:rFonts w:ascii="Arial Narrow" w:hAnsi="Arial Narrow"/>
                <w:sz w:val="20"/>
              </w:rPr>
              <w:t>Violante 2012</w:t>
            </w:r>
          </w:p>
          <w:p w:rsidR="00337D1D" w:rsidRPr="00BF4E4E" w:rsidRDefault="00337D1D" w:rsidP="00EF62AB">
            <w:pPr>
              <w:widowControl/>
              <w:jc w:val="left"/>
              <w:rPr>
                <w:rFonts w:ascii="Arial Narrow" w:hAnsi="Arial Narrow"/>
                <w:sz w:val="20"/>
              </w:rPr>
            </w:pPr>
            <w:r w:rsidRPr="00BF4E4E">
              <w:rPr>
                <w:rFonts w:ascii="Arial Narrow" w:hAnsi="Arial Narrow"/>
                <w:sz w:val="20"/>
              </w:rPr>
              <w:t>(NCT00870194)</w:t>
            </w:r>
          </w:p>
        </w:tc>
        <w:tc>
          <w:tcPr>
            <w:tcW w:w="3136" w:type="pct"/>
          </w:tcPr>
          <w:p w:rsidR="00337D1D" w:rsidRDefault="00337D1D" w:rsidP="00EF62AB">
            <w:pPr>
              <w:widowControl/>
              <w:jc w:val="left"/>
              <w:rPr>
                <w:rFonts w:ascii="Arial Narrow" w:hAnsi="Arial Narrow"/>
                <w:sz w:val="20"/>
              </w:rPr>
            </w:pPr>
            <w:r w:rsidRPr="00BF4E4E">
              <w:rPr>
                <w:rFonts w:ascii="Arial Narrow" w:hAnsi="Arial Narrow"/>
                <w:sz w:val="20"/>
              </w:rPr>
              <w:t>Violante R, Oliveira JHA, Yoon KH, Reed VA, Yu MB, Bachmann OP et al. A randomized non-inferiority study comparing the addition of exenatide twice daily to sitagliptin or switching from sitagliptin to exenatide twice daily in patients with type 2 diabetes experiencing inadequate glycaemic control on metformin and sitagliptin.</w:t>
            </w:r>
          </w:p>
        </w:tc>
        <w:tc>
          <w:tcPr>
            <w:tcW w:w="931" w:type="pct"/>
          </w:tcPr>
          <w:p w:rsidR="00337D1D" w:rsidRPr="006F0A4F" w:rsidRDefault="00337D1D" w:rsidP="00EF62AB">
            <w:pPr>
              <w:pStyle w:val="TableText1"/>
              <w:keepNext/>
              <w:keepLines/>
              <w:jc w:val="left"/>
              <w:rPr>
                <w:rFonts w:ascii="Arial Narrow" w:hAnsi="Arial Narrow"/>
                <w:lang w:val="de-DE"/>
              </w:rPr>
            </w:pPr>
            <w:r w:rsidRPr="006F0A4F">
              <w:rPr>
                <w:rFonts w:ascii="Arial Narrow" w:hAnsi="Arial Narrow"/>
                <w:lang w:val="de-DE"/>
              </w:rPr>
              <w:t>Diabet Med 2012; 29(11):e417-e424.</w:t>
            </w:r>
          </w:p>
        </w:tc>
      </w:tr>
      <w:tr w:rsidR="00337D1D" w:rsidRPr="004E2ADC" w:rsidTr="00337D1D">
        <w:tc>
          <w:tcPr>
            <w:tcW w:w="933" w:type="pct"/>
            <w:tcBorders>
              <w:bottom w:val="nil"/>
            </w:tcBorders>
          </w:tcPr>
          <w:p w:rsidR="00337D1D" w:rsidRDefault="00337D1D" w:rsidP="00EF62AB">
            <w:pPr>
              <w:widowControl/>
              <w:jc w:val="left"/>
              <w:rPr>
                <w:rFonts w:ascii="Arial Narrow" w:hAnsi="Arial Narrow"/>
                <w:sz w:val="20"/>
              </w:rPr>
            </w:pPr>
            <w:r>
              <w:rPr>
                <w:rFonts w:ascii="Arial Narrow" w:hAnsi="Arial Narrow"/>
                <w:sz w:val="20"/>
              </w:rPr>
              <w:t>Duration 2</w:t>
            </w:r>
          </w:p>
          <w:p w:rsidR="00337D1D" w:rsidRDefault="00337D1D" w:rsidP="00EF62AB">
            <w:pPr>
              <w:widowControl/>
              <w:jc w:val="left"/>
              <w:rPr>
                <w:rFonts w:ascii="Arial Narrow" w:hAnsi="Arial Narrow"/>
                <w:sz w:val="20"/>
              </w:rPr>
            </w:pPr>
            <w:r>
              <w:rPr>
                <w:rFonts w:ascii="Arial Narrow" w:hAnsi="Arial Narrow"/>
                <w:sz w:val="20"/>
              </w:rPr>
              <w:t>(</w:t>
            </w:r>
            <w:r w:rsidRPr="007255E3">
              <w:rPr>
                <w:rFonts w:ascii="Arial Narrow" w:hAnsi="Arial Narrow"/>
                <w:sz w:val="20"/>
              </w:rPr>
              <w:t>NCT00637273</w:t>
            </w:r>
            <w:r>
              <w:rPr>
                <w:rFonts w:ascii="Arial Narrow" w:hAnsi="Arial Narrow"/>
                <w:sz w:val="20"/>
              </w:rPr>
              <w:t>)</w:t>
            </w:r>
          </w:p>
        </w:tc>
        <w:tc>
          <w:tcPr>
            <w:tcW w:w="3136" w:type="pct"/>
          </w:tcPr>
          <w:p w:rsidR="00337D1D" w:rsidRPr="003A54D9" w:rsidRDefault="00337D1D" w:rsidP="00EF62AB">
            <w:pPr>
              <w:widowControl/>
              <w:jc w:val="left"/>
              <w:rPr>
                <w:rFonts w:ascii="Arial Narrow" w:hAnsi="Arial Narrow"/>
                <w:sz w:val="20"/>
              </w:rPr>
            </w:pPr>
            <w:r w:rsidRPr="007255E3">
              <w:rPr>
                <w:rFonts w:ascii="Arial Narrow" w:hAnsi="Arial Narrow"/>
                <w:sz w:val="20"/>
              </w:rPr>
              <w:t>Bergenstal RM, Wysham C, Macconell L, Malloy J, Walsh B, Yan P et al. Efficacy and safety of exenatide once weekly versus sitagliptin or pioglitazone as an adjunct to metformin for treatment of type 2 diabetes (DURATION-2): A randomised trial.</w:t>
            </w:r>
          </w:p>
        </w:tc>
        <w:tc>
          <w:tcPr>
            <w:tcW w:w="931" w:type="pct"/>
            <w:tcBorders>
              <w:bottom w:val="nil"/>
            </w:tcBorders>
          </w:tcPr>
          <w:p w:rsidR="00337D1D" w:rsidRPr="006F0A4F" w:rsidRDefault="00337D1D" w:rsidP="00EF62AB">
            <w:pPr>
              <w:pStyle w:val="TableText1"/>
              <w:keepNext/>
              <w:keepLines/>
              <w:jc w:val="left"/>
              <w:rPr>
                <w:rFonts w:ascii="Arial Narrow" w:hAnsi="Arial Narrow"/>
                <w:lang w:val="de-DE"/>
              </w:rPr>
            </w:pPr>
            <w:r w:rsidRPr="006F0A4F">
              <w:rPr>
                <w:rFonts w:ascii="Arial Narrow" w:hAnsi="Arial Narrow"/>
                <w:lang w:val="de-DE"/>
              </w:rPr>
              <w:t>Lancet 2010; 376(9739):431-439.</w:t>
            </w:r>
          </w:p>
        </w:tc>
      </w:tr>
      <w:tr w:rsidR="00337D1D" w:rsidRPr="004E2ADC" w:rsidTr="00337D1D">
        <w:tc>
          <w:tcPr>
            <w:tcW w:w="933" w:type="pct"/>
            <w:tcBorders>
              <w:top w:val="nil"/>
            </w:tcBorders>
          </w:tcPr>
          <w:p w:rsidR="00337D1D" w:rsidRDefault="00337D1D" w:rsidP="00EF62AB">
            <w:pPr>
              <w:widowControl/>
              <w:jc w:val="left"/>
              <w:rPr>
                <w:rFonts w:ascii="Arial Narrow" w:hAnsi="Arial Narrow"/>
                <w:sz w:val="20"/>
              </w:rPr>
            </w:pPr>
          </w:p>
        </w:tc>
        <w:tc>
          <w:tcPr>
            <w:tcW w:w="3136" w:type="pct"/>
          </w:tcPr>
          <w:p w:rsidR="00337D1D" w:rsidRPr="007255E3" w:rsidRDefault="00337D1D" w:rsidP="00EF62AB">
            <w:pPr>
              <w:widowControl/>
              <w:jc w:val="left"/>
              <w:rPr>
                <w:rFonts w:ascii="Arial Narrow" w:hAnsi="Arial Narrow"/>
                <w:sz w:val="20"/>
              </w:rPr>
            </w:pPr>
            <w:r w:rsidRPr="007255E3">
              <w:rPr>
                <w:rFonts w:ascii="Arial Narrow" w:hAnsi="Arial Narrow"/>
                <w:sz w:val="20"/>
              </w:rPr>
              <w:t>Best JH, Rubin RR, Peyrot M, Li Y, Yan P, Malloy J et al. Weight-related quality of life, health utility, psychological well-being, and satisfaction with exenatide once weekly compared with sitagliptin or pioglitazone after 26 weeks of treatment.</w:t>
            </w:r>
          </w:p>
        </w:tc>
        <w:tc>
          <w:tcPr>
            <w:tcW w:w="931" w:type="pct"/>
          </w:tcPr>
          <w:p w:rsidR="00337D1D" w:rsidRPr="006F0A4F" w:rsidRDefault="00337D1D" w:rsidP="00EF62AB">
            <w:pPr>
              <w:pStyle w:val="TableText1"/>
              <w:keepNext/>
              <w:keepLines/>
              <w:jc w:val="left"/>
              <w:rPr>
                <w:rFonts w:ascii="Arial Narrow" w:hAnsi="Arial Narrow"/>
                <w:lang w:val="de-DE"/>
              </w:rPr>
            </w:pPr>
            <w:r w:rsidRPr="006F0A4F">
              <w:rPr>
                <w:rFonts w:ascii="Arial Narrow" w:hAnsi="Arial Narrow"/>
                <w:lang w:val="de-DE"/>
              </w:rPr>
              <w:t>Diabetes Care 2011; 34(2):314-319.</w:t>
            </w:r>
          </w:p>
        </w:tc>
      </w:tr>
      <w:tr w:rsidR="00337D1D" w:rsidRPr="004E2ADC" w:rsidTr="00337D1D">
        <w:tc>
          <w:tcPr>
            <w:tcW w:w="933" w:type="pct"/>
          </w:tcPr>
          <w:p w:rsidR="00337D1D" w:rsidRPr="00BF4E4E" w:rsidRDefault="00337D1D" w:rsidP="00EF62AB">
            <w:pPr>
              <w:widowControl/>
              <w:jc w:val="left"/>
              <w:rPr>
                <w:rFonts w:ascii="Arial Narrow" w:hAnsi="Arial Narrow"/>
                <w:sz w:val="20"/>
              </w:rPr>
            </w:pPr>
            <w:r w:rsidRPr="00BF4E4E">
              <w:rPr>
                <w:rFonts w:ascii="Arial Narrow" w:hAnsi="Arial Narrow"/>
                <w:sz w:val="20"/>
              </w:rPr>
              <w:t>Duration</w:t>
            </w:r>
            <w:r>
              <w:rPr>
                <w:rFonts w:ascii="Arial Narrow" w:hAnsi="Arial Narrow"/>
                <w:sz w:val="20"/>
              </w:rPr>
              <w:t xml:space="preserve"> </w:t>
            </w:r>
            <w:r w:rsidRPr="00BF4E4E">
              <w:rPr>
                <w:rFonts w:ascii="Arial Narrow" w:hAnsi="Arial Narrow"/>
                <w:sz w:val="20"/>
              </w:rPr>
              <w:t>Neo</w:t>
            </w:r>
            <w:r>
              <w:rPr>
                <w:rFonts w:ascii="Arial Narrow" w:hAnsi="Arial Narrow"/>
                <w:sz w:val="20"/>
              </w:rPr>
              <w:t xml:space="preserve"> </w:t>
            </w:r>
            <w:r w:rsidRPr="00BF4E4E">
              <w:rPr>
                <w:rFonts w:ascii="Arial Narrow" w:hAnsi="Arial Narrow"/>
                <w:sz w:val="20"/>
              </w:rPr>
              <w:t>2</w:t>
            </w:r>
          </w:p>
          <w:p w:rsidR="00337D1D" w:rsidRDefault="00337D1D" w:rsidP="00EF62AB">
            <w:pPr>
              <w:widowControl/>
              <w:jc w:val="left"/>
              <w:rPr>
                <w:rFonts w:ascii="Arial Narrow" w:hAnsi="Arial Narrow"/>
                <w:sz w:val="20"/>
              </w:rPr>
            </w:pPr>
            <w:r w:rsidRPr="00BF4E4E">
              <w:rPr>
                <w:rFonts w:ascii="Arial Narrow" w:hAnsi="Arial Narrow"/>
                <w:sz w:val="20"/>
              </w:rPr>
              <w:t>(NCT01652729)</w:t>
            </w:r>
          </w:p>
        </w:tc>
        <w:tc>
          <w:tcPr>
            <w:tcW w:w="3136" w:type="pct"/>
          </w:tcPr>
          <w:p w:rsidR="00337D1D" w:rsidRPr="007255E3" w:rsidRDefault="00337D1D" w:rsidP="00EF62AB">
            <w:pPr>
              <w:widowControl/>
              <w:jc w:val="left"/>
              <w:rPr>
                <w:rFonts w:ascii="Arial Narrow" w:hAnsi="Arial Narrow"/>
                <w:sz w:val="20"/>
              </w:rPr>
            </w:pPr>
            <w:r>
              <w:rPr>
                <w:rFonts w:ascii="Arial Narrow" w:hAnsi="Arial Narrow"/>
                <w:sz w:val="20"/>
              </w:rPr>
              <w:t>C</w:t>
            </w:r>
            <w:r w:rsidRPr="00BF4E4E">
              <w:rPr>
                <w:rFonts w:ascii="Arial Narrow" w:hAnsi="Arial Narrow"/>
                <w:sz w:val="20"/>
              </w:rPr>
              <w:t>omparison study of the glycemic effects, safety, and tolerability of exenatide once weekly suspension to sitagliptin and placebo in subjects with type 2 diabetes mellitus (DURATION-NEO-2)</w:t>
            </w:r>
            <w:r>
              <w:rPr>
                <w:rFonts w:ascii="Arial Narrow" w:hAnsi="Arial Narrow"/>
                <w:sz w:val="20"/>
              </w:rPr>
              <w:t>.</w:t>
            </w:r>
          </w:p>
        </w:tc>
        <w:tc>
          <w:tcPr>
            <w:tcW w:w="931" w:type="pct"/>
          </w:tcPr>
          <w:p w:rsidR="00337D1D" w:rsidRPr="006F0A4F" w:rsidRDefault="00337D1D" w:rsidP="00EF62AB">
            <w:pPr>
              <w:pStyle w:val="TableText1"/>
              <w:keepNext/>
              <w:keepLines/>
              <w:jc w:val="left"/>
              <w:rPr>
                <w:rFonts w:ascii="Arial Narrow" w:hAnsi="Arial Narrow"/>
                <w:lang w:val="de-DE"/>
              </w:rPr>
            </w:pPr>
            <w:r w:rsidRPr="006F0A4F">
              <w:rPr>
                <w:rFonts w:ascii="Arial Narrow" w:hAnsi="Arial Narrow"/>
                <w:lang w:val="de-DE"/>
              </w:rPr>
              <w:t>Available from: https://clinicaltrials.gov/ct2/show/study/NCT01652729?sect=X70156</w:t>
            </w:r>
          </w:p>
        </w:tc>
      </w:tr>
      <w:tr w:rsidR="00337D1D" w:rsidRPr="004E2ADC" w:rsidTr="00337D1D">
        <w:tc>
          <w:tcPr>
            <w:tcW w:w="5000" w:type="pct"/>
            <w:gridSpan w:val="3"/>
          </w:tcPr>
          <w:p w:rsidR="00337D1D" w:rsidRPr="006F0A4F" w:rsidRDefault="00337D1D" w:rsidP="00EF62AB">
            <w:pPr>
              <w:widowControl/>
              <w:jc w:val="left"/>
              <w:rPr>
                <w:rFonts w:ascii="Arial Narrow" w:hAnsi="Arial Narrow"/>
                <w:b/>
                <w:sz w:val="20"/>
              </w:rPr>
            </w:pPr>
            <w:r w:rsidRPr="006F0A4F">
              <w:rPr>
                <w:rFonts w:ascii="Arial Narrow" w:hAnsi="Arial Narrow"/>
                <w:b/>
                <w:sz w:val="20"/>
              </w:rPr>
              <w:t>Supplementary bioequivalence trial</w:t>
            </w:r>
          </w:p>
        </w:tc>
      </w:tr>
      <w:tr w:rsidR="00337D1D" w:rsidRPr="004E2ADC" w:rsidTr="00337D1D">
        <w:tc>
          <w:tcPr>
            <w:tcW w:w="933" w:type="pct"/>
          </w:tcPr>
          <w:p w:rsidR="00337D1D" w:rsidRDefault="00337D1D" w:rsidP="00EF62AB">
            <w:pPr>
              <w:widowControl/>
              <w:jc w:val="left"/>
              <w:rPr>
                <w:rFonts w:ascii="Arial Narrow" w:hAnsi="Arial Narrow"/>
                <w:sz w:val="20"/>
              </w:rPr>
            </w:pPr>
            <w:r>
              <w:rPr>
                <w:rFonts w:ascii="Arial Narrow" w:hAnsi="Arial Narrow"/>
                <w:sz w:val="20"/>
              </w:rPr>
              <w:t>Trial 1275.3</w:t>
            </w:r>
          </w:p>
          <w:p w:rsidR="00337D1D" w:rsidRDefault="00337D1D" w:rsidP="00EF62AB">
            <w:pPr>
              <w:widowControl/>
              <w:jc w:val="left"/>
              <w:rPr>
                <w:rFonts w:ascii="Arial Narrow" w:hAnsi="Arial Narrow"/>
                <w:sz w:val="20"/>
              </w:rPr>
            </w:pPr>
            <w:r>
              <w:rPr>
                <w:rFonts w:ascii="Arial Narrow" w:hAnsi="Arial Narrow"/>
                <w:sz w:val="20"/>
              </w:rPr>
              <w:t>(</w:t>
            </w:r>
            <w:r w:rsidRPr="00626CCA">
              <w:rPr>
                <w:rFonts w:ascii="Arial Narrow" w:hAnsi="Arial Narrow"/>
                <w:sz w:val="20"/>
              </w:rPr>
              <w:t>NCT01189201</w:t>
            </w:r>
            <w:r>
              <w:rPr>
                <w:rFonts w:ascii="Arial Narrow" w:hAnsi="Arial Narrow"/>
                <w:sz w:val="20"/>
              </w:rPr>
              <w:t>)</w:t>
            </w:r>
          </w:p>
        </w:tc>
        <w:tc>
          <w:tcPr>
            <w:tcW w:w="3136" w:type="pct"/>
          </w:tcPr>
          <w:p w:rsidR="00337D1D" w:rsidRPr="003A54D9" w:rsidRDefault="00337D1D" w:rsidP="00EF62AB">
            <w:pPr>
              <w:widowControl/>
              <w:jc w:val="left"/>
              <w:rPr>
                <w:rFonts w:ascii="Arial Narrow" w:hAnsi="Arial Narrow"/>
                <w:sz w:val="20"/>
              </w:rPr>
            </w:pPr>
            <w:r w:rsidRPr="00626CCA">
              <w:rPr>
                <w:rFonts w:ascii="Arial Narrow" w:hAnsi="Arial Narrow"/>
                <w:sz w:val="20"/>
              </w:rPr>
              <w:t>Relative bioavailability investigations of a 25 mg BI 10773 / 5 mg linagliptin fixed dose combination (FDC) tablet (formulation A1) including the comparison with its mono-components, the comparison with a second FDC tablet (formulation A3), and the investigation of food (an open-label, randomised, single dose, crossover, Phase I trial in healthy male and female volunteers).</w:t>
            </w:r>
          </w:p>
        </w:tc>
        <w:tc>
          <w:tcPr>
            <w:tcW w:w="931" w:type="pct"/>
          </w:tcPr>
          <w:p w:rsidR="00337D1D" w:rsidRPr="006F0A4F" w:rsidRDefault="00337D1D" w:rsidP="00EF62AB">
            <w:pPr>
              <w:widowControl/>
              <w:jc w:val="left"/>
              <w:rPr>
                <w:rFonts w:ascii="Arial Narrow" w:hAnsi="Arial Narrow"/>
                <w:sz w:val="20"/>
              </w:rPr>
            </w:pPr>
            <w:r w:rsidRPr="006F0A4F">
              <w:rPr>
                <w:rFonts w:ascii="Arial Narrow" w:hAnsi="Arial Narrow"/>
                <w:sz w:val="20"/>
              </w:rPr>
              <w:t>Date: 20 May 2011.</w:t>
            </w:r>
          </w:p>
        </w:tc>
      </w:tr>
    </w:tbl>
    <w:p w:rsidR="00862502" w:rsidRPr="00F50F4B" w:rsidRDefault="00337D1D" w:rsidP="00EF62AB">
      <w:pPr>
        <w:widowControl/>
        <w:ind w:firstLine="720"/>
        <w:rPr>
          <w:rFonts w:ascii="Arial Narrow" w:hAnsi="Arial Narrow"/>
          <w:sz w:val="18"/>
          <w:szCs w:val="18"/>
        </w:rPr>
      </w:pPr>
      <w:r w:rsidRPr="00F50F4B">
        <w:rPr>
          <w:rFonts w:ascii="Arial Narrow" w:hAnsi="Arial Narrow"/>
          <w:sz w:val="18"/>
          <w:szCs w:val="18"/>
        </w:rPr>
        <w:t>Source: Table B2, pp.61-62; Table B3, p.63; Table B72, p.223; Table B73, p.224; Table B114, pp.317-318 of the submission.</w:t>
      </w:r>
    </w:p>
    <w:p w:rsidR="00DC05E8" w:rsidRPr="008F120A" w:rsidRDefault="00DC05E8" w:rsidP="00EF62AB">
      <w:pPr>
        <w:widowControl/>
        <w:rPr>
          <w:szCs w:val="22"/>
        </w:rPr>
      </w:pPr>
    </w:p>
    <w:p w:rsidR="008B3696" w:rsidRDefault="008F120A" w:rsidP="008F5BEE">
      <w:pPr>
        <w:pStyle w:val="ListParagraph"/>
        <w:widowControl/>
        <w:numPr>
          <w:ilvl w:val="1"/>
          <w:numId w:val="1"/>
        </w:numPr>
        <w:rPr>
          <w:szCs w:val="22"/>
        </w:rPr>
      </w:pPr>
      <w:r w:rsidRPr="00337D1D">
        <w:rPr>
          <w:szCs w:val="22"/>
        </w:rPr>
        <w:t>The key features o</w:t>
      </w:r>
      <w:r w:rsidR="008B3696">
        <w:rPr>
          <w:szCs w:val="22"/>
        </w:rPr>
        <w:t>f the randomised trials</w:t>
      </w:r>
      <w:r w:rsidRPr="00337D1D">
        <w:rPr>
          <w:szCs w:val="22"/>
        </w:rPr>
        <w:t xml:space="preserve"> are summarised in the table below. </w:t>
      </w:r>
    </w:p>
    <w:p w:rsidR="008B3696" w:rsidRDefault="008B3696" w:rsidP="00EF62AB">
      <w:pPr>
        <w:pStyle w:val="ListParagraph"/>
        <w:widowControl/>
        <w:rPr>
          <w:szCs w:val="22"/>
        </w:rPr>
      </w:pPr>
    </w:p>
    <w:p w:rsidR="00337D1D" w:rsidRPr="008B3696" w:rsidRDefault="008B3696" w:rsidP="00EF62AB">
      <w:pPr>
        <w:widowControl/>
        <w:ind w:left="709" w:firstLine="11"/>
        <w:rPr>
          <w:rFonts w:ascii="Arial Narrow" w:hAnsi="Arial Narrow"/>
          <w:b/>
          <w:sz w:val="20"/>
          <w:szCs w:val="16"/>
        </w:rPr>
      </w:pPr>
      <w:r w:rsidRPr="00E2771E">
        <w:rPr>
          <w:rStyle w:val="CommentReference"/>
        </w:rPr>
        <w:t xml:space="preserve">Table </w:t>
      </w:r>
      <w:r w:rsidR="00EF62AB">
        <w:rPr>
          <w:rStyle w:val="CommentReference"/>
        </w:rPr>
        <w:t>3</w:t>
      </w:r>
      <w:r>
        <w:rPr>
          <w:rStyle w:val="CommentReference"/>
        </w:rPr>
        <w:t>:</w:t>
      </w:r>
      <w:r w:rsidRPr="00E2771E">
        <w:rPr>
          <w:rStyle w:val="CommentReference"/>
        </w:rPr>
        <w:t xml:space="preserve"> Key features of the included evidence</w:t>
      </w:r>
    </w:p>
    <w:tbl>
      <w:tblPr>
        <w:tblW w:w="4680"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94"/>
        <w:gridCol w:w="643"/>
        <w:gridCol w:w="364"/>
        <w:gridCol w:w="2814"/>
        <w:gridCol w:w="1513"/>
        <w:gridCol w:w="855"/>
        <w:gridCol w:w="1190"/>
        <w:gridCol w:w="428"/>
      </w:tblGrid>
      <w:tr w:rsidR="00337D1D" w:rsidRPr="00E574BA" w:rsidTr="00B270BA">
        <w:trPr>
          <w:cantSplit/>
          <w:tblHeader/>
        </w:trPr>
        <w:tc>
          <w:tcPr>
            <w:tcW w:w="408" w:type="pct"/>
            <w:shd w:val="clear" w:color="auto" w:fill="auto"/>
            <w:vAlign w:val="center"/>
          </w:tcPr>
          <w:p w:rsidR="00337D1D" w:rsidRPr="00E574BA" w:rsidRDefault="00337D1D" w:rsidP="00EF62AB">
            <w:pPr>
              <w:pStyle w:val="COMtbl-HEADLeftAligned"/>
              <w:keepNext/>
              <w:keepLines/>
              <w:widowControl/>
              <w:rPr>
                <w:lang w:val="en-US"/>
              </w:rPr>
            </w:pPr>
            <w:r w:rsidRPr="00E574BA">
              <w:rPr>
                <w:lang w:val="en-US"/>
              </w:rPr>
              <w:t>Trial</w:t>
            </w:r>
          </w:p>
        </w:tc>
        <w:tc>
          <w:tcPr>
            <w:tcW w:w="378" w:type="pct"/>
            <w:shd w:val="clear" w:color="auto" w:fill="auto"/>
            <w:vAlign w:val="center"/>
          </w:tcPr>
          <w:p w:rsidR="00337D1D" w:rsidRPr="00E574BA" w:rsidRDefault="00337D1D" w:rsidP="00EF62AB">
            <w:pPr>
              <w:pStyle w:val="COMtbl-HEADCentred"/>
              <w:keepNext/>
              <w:keepLines/>
              <w:widowControl/>
              <w:rPr>
                <w:vertAlign w:val="superscript"/>
                <w:lang w:val="en-US"/>
              </w:rPr>
            </w:pPr>
            <w:r w:rsidRPr="00E574BA">
              <w:rPr>
                <w:lang w:val="en-US"/>
              </w:rPr>
              <w:t>Design</w:t>
            </w:r>
          </w:p>
        </w:tc>
        <w:tc>
          <w:tcPr>
            <w:tcW w:w="214" w:type="pct"/>
            <w:shd w:val="clear" w:color="auto" w:fill="auto"/>
            <w:vAlign w:val="center"/>
          </w:tcPr>
          <w:p w:rsidR="00337D1D" w:rsidRDefault="00337D1D" w:rsidP="00EF62AB">
            <w:pPr>
              <w:pStyle w:val="COMtbl-HEADCentred"/>
              <w:keepNext/>
              <w:keepLines/>
              <w:widowControl/>
              <w:rPr>
                <w:lang w:val="en-US"/>
              </w:rPr>
            </w:pPr>
            <w:r>
              <w:rPr>
                <w:lang w:val="en-US"/>
              </w:rPr>
              <w:t>N</w:t>
            </w:r>
          </w:p>
        </w:tc>
        <w:tc>
          <w:tcPr>
            <w:tcW w:w="1655" w:type="pct"/>
            <w:shd w:val="clear" w:color="auto" w:fill="auto"/>
            <w:vAlign w:val="center"/>
          </w:tcPr>
          <w:p w:rsidR="00337D1D" w:rsidRPr="00E574BA" w:rsidRDefault="00337D1D" w:rsidP="00EF62AB">
            <w:pPr>
              <w:pStyle w:val="COMtbl-HEADCentred"/>
              <w:keepNext/>
              <w:keepLines/>
              <w:widowControl/>
              <w:rPr>
                <w:lang w:val="en-US"/>
              </w:rPr>
            </w:pPr>
            <w:r>
              <w:rPr>
                <w:lang w:val="en-US"/>
              </w:rPr>
              <w:t>Compared interventions</w:t>
            </w:r>
          </w:p>
        </w:tc>
        <w:tc>
          <w:tcPr>
            <w:tcW w:w="890" w:type="pct"/>
            <w:shd w:val="clear" w:color="auto" w:fill="auto"/>
            <w:vAlign w:val="center"/>
          </w:tcPr>
          <w:p w:rsidR="00337D1D" w:rsidRPr="00E574BA" w:rsidRDefault="00337D1D" w:rsidP="00EF62AB">
            <w:pPr>
              <w:pStyle w:val="COMtbl-HEADCentred"/>
              <w:keepNext/>
              <w:keepLines/>
              <w:widowControl/>
              <w:rPr>
                <w:lang w:val="en-US"/>
              </w:rPr>
            </w:pPr>
            <w:r>
              <w:rPr>
                <w:lang w:val="en-US"/>
              </w:rPr>
              <w:t>Flow</w:t>
            </w:r>
          </w:p>
        </w:tc>
        <w:tc>
          <w:tcPr>
            <w:tcW w:w="503" w:type="pct"/>
            <w:shd w:val="clear" w:color="auto" w:fill="auto"/>
            <w:vAlign w:val="center"/>
          </w:tcPr>
          <w:p w:rsidR="00337D1D" w:rsidRPr="00E574BA" w:rsidRDefault="00337D1D" w:rsidP="00EF62AB">
            <w:pPr>
              <w:pStyle w:val="COMtbl-HEADCentred"/>
              <w:keepNext/>
              <w:keepLines/>
              <w:widowControl/>
              <w:rPr>
                <w:lang w:val="en-US"/>
              </w:rPr>
            </w:pPr>
            <w:r>
              <w:rPr>
                <w:lang w:val="en-US"/>
              </w:rPr>
              <w:t>Primary outcomes</w:t>
            </w:r>
          </w:p>
        </w:tc>
        <w:tc>
          <w:tcPr>
            <w:tcW w:w="700" w:type="pct"/>
            <w:shd w:val="clear" w:color="auto" w:fill="auto"/>
            <w:vAlign w:val="center"/>
          </w:tcPr>
          <w:p w:rsidR="00337D1D" w:rsidRPr="00E574BA" w:rsidRDefault="00337D1D" w:rsidP="00EF62AB">
            <w:pPr>
              <w:pStyle w:val="COMtbl-HEADCentred"/>
              <w:keepNext/>
              <w:keepLines/>
              <w:widowControl/>
              <w:rPr>
                <w:lang w:val="en-US"/>
              </w:rPr>
            </w:pPr>
            <w:r>
              <w:rPr>
                <w:lang w:val="en-US"/>
              </w:rPr>
              <w:t>Patient population</w:t>
            </w:r>
          </w:p>
        </w:tc>
        <w:tc>
          <w:tcPr>
            <w:tcW w:w="253" w:type="pct"/>
          </w:tcPr>
          <w:p w:rsidR="00337D1D" w:rsidRPr="00E574BA" w:rsidRDefault="00337D1D" w:rsidP="00EF62AB">
            <w:pPr>
              <w:pStyle w:val="COMtbl-HEADCentred"/>
              <w:keepNext/>
              <w:keepLines/>
              <w:widowControl/>
              <w:rPr>
                <w:lang w:val="en-US"/>
              </w:rPr>
            </w:pPr>
            <w:r>
              <w:rPr>
                <w:lang w:val="en-US"/>
              </w:rPr>
              <w:t>Risk of bias</w:t>
            </w:r>
          </w:p>
        </w:tc>
      </w:tr>
      <w:tr w:rsidR="00337D1D" w:rsidRPr="00E67B99" w:rsidTr="00B270BA">
        <w:trPr>
          <w:cantSplit/>
        </w:trPr>
        <w:tc>
          <w:tcPr>
            <w:tcW w:w="5000" w:type="pct"/>
            <w:gridSpan w:val="8"/>
            <w:shd w:val="clear" w:color="auto" w:fill="auto"/>
            <w:vAlign w:val="center"/>
          </w:tcPr>
          <w:p w:rsidR="00337D1D" w:rsidRPr="00E67B99" w:rsidRDefault="00337D1D" w:rsidP="00EF62AB">
            <w:pPr>
              <w:widowControl/>
              <w:jc w:val="left"/>
              <w:rPr>
                <w:rFonts w:ascii="Arial Narrow" w:hAnsi="Arial Narrow"/>
                <w:b/>
                <w:sz w:val="20"/>
                <w:lang w:val="en-US"/>
              </w:rPr>
            </w:pPr>
            <w:r>
              <w:rPr>
                <w:rFonts w:ascii="Arial Narrow" w:hAnsi="Arial Narrow"/>
                <w:b/>
                <w:sz w:val="20"/>
                <w:lang w:val="en-US"/>
              </w:rPr>
              <w:t>Empagliflozin with linagliptin FDC (with metformin) trials</w:t>
            </w:r>
          </w:p>
        </w:tc>
      </w:tr>
      <w:tr w:rsidR="00337D1D" w:rsidRPr="00E574BA" w:rsidTr="00B270BA">
        <w:trPr>
          <w:cantSplit/>
        </w:trPr>
        <w:tc>
          <w:tcPr>
            <w:tcW w:w="408" w:type="pct"/>
            <w:shd w:val="clear" w:color="auto" w:fill="auto"/>
            <w:vAlign w:val="center"/>
          </w:tcPr>
          <w:p w:rsidR="00337D1D" w:rsidRPr="00787721" w:rsidRDefault="00337D1D" w:rsidP="00EF62AB">
            <w:pPr>
              <w:widowControl/>
              <w:jc w:val="left"/>
              <w:rPr>
                <w:rFonts w:ascii="Arial Narrow" w:hAnsi="Arial Narrow"/>
                <w:iCs/>
                <w:sz w:val="20"/>
                <w:lang w:val="en-US"/>
              </w:rPr>
            </w:pPr>
            <w:r>
              <w:rPr>
                <w:rFonts w:ascii="Arial Narrow" w:hAnsi="Arial Narrow"/>
                <w:sz w:val="20"/>
              </w:rPr>
              <w:t>1275.9</w:t>
            </w:r>
          </w:p>
        </w:tc>
        <w:tc>
          <w:tcPr>
            <w:tcW w:w="378" w:type="pct"/>
            <w:shd w:val="clear" w:color="auto" w:fill="auto"/>
            <w:vAlign w:val="center"/>
          </w:tcPr>
          <w:p w:rsidR="00337D1D" w:rsidRDefault="00337D1D" w:rsidP="00EF62AB">
            <w:pPr>
              <w:widowControl/>
              <w:jc w:val="center"/>
              <w:rPr>
                <w:rFonts w:ascii="Arial Narrow" w:hAnsi="Arial Narrow"/>
                <w:sz w:val="20"/>
              </w:rPr>
            </w:pPr>
            <w:r>
              <w:rPr>
                <w:rFonts w:ascii="Arial Narrow" w:hAnsi="Arial Narrow"/>
                <w:sz w:val="20"/>
              </w:rPr>
              <w:t>R, DB, PC, MC</w:t>
            </w:r>
          </w:p>
          <w:p w:rsidR="00337D1D" w:rsidRDefault="00337D1D" w:rsidP="00EF62AB">
            <w:pPr>
              <w:widowControl/>
              <w:jc w:val="center"/>
              <w:rPr>
                <w:rFonts w:ascii="Arial Narrow" w:hAnsi="Arial Narrow"/>
                <w:sz w:val="20"/>
              </w:rPr>
            </w:pPr>
            <w:r>
              <w:rPr>
                <w:rFonts w:ascii="Arial Narrow" w:hAnsi="Arial Narrow"/>
                <w:sz w:val="20"/>
              </w:rPr>
              <w:t>FAS OC*</w:t>
            </w:r>
          </w:p>
          <w:p w:rsidR="00337D1D" w:rsidRPr="009102AB" w:rsidRDefault="00337D1D" w:rsidP="00EF62AB">
            <w:pPr>
              <w:widowControl/>
              <w:jc w:val="center"/>
              <w:rPr>
                <w:rFonts w:ascii="Arial Narrow" w:hAnsi="Arial Narrow"/>
                <w:sz w:val="20"/>
              </w:rPr>
            </w:pPr>
            <w:r>
              <w:rPr>
                <w:rFonts w:ascii="Arial Narrow" w:hAnsi="Arial Narrow"/>
                <w:sz w:val="20"/>
              </w:rPr>
              <w:t>MMRM</w:t>
            </w:r>
          </w:p>
        </w:tc>
        <w:tc>
          <w:tcPr>
            <w:tcW w:w="214" w:type="pct"/>
            <w:shd w:val="clear" w:color="auto" w:fill="auto"/>
            <w:vAlign w:val="center"/>
          </w:tcPr>
          <w:p w:rsidR="00337D1D" w:rsidRDefault="00337D1D" w:rsidP="00EF62AB">
            <w:pPr>
              <w:widowControl/>
              <w:jc w:val="center"/>
              <w:rPr>
                <w:rFonts w:ascii="Arial Narrow" w:hAnsi="Arial Narrow"/>
                <w:sz w:val="20"/>
                <w:lang w:val="en-US"/>
              </w:rPr>
            </w:pPr>
            <w:r>
              <w:rPr>
                <w:rFonts w:ascii="Arial Narrow" w:hAnsi="Arial Narrow"/>
                <w:sz w:val="20"/>
                <w:lang w:val="en-US"/>
              </w:rPr>
              <w:t>111</w:t>
            </w:r>
          </w:p>
          <w:p w:rsidR="00337D1D" w:rsidRDefault="00337D1D" w:rsidP="00EF62AB">
            <w:pPr>
              <w:widowControl/>
              <w:jc w:val="center"/>
              <w:rPr>
                <w:rFonts w:ascii="Arial Narrow" w:hAnsi="Arial Narrow"/>
                <w:sz w:val="20"/>
                <w:lang w:val="en-US"/>
              </w:rPr>
            </w:pPr>
            <w:r>
              <w:rPr>
                <w:rFonts w:ascii="Arial Narrow" w:hAnsi="Arial Narrow"/>
                <w:sz w:val="20"/>
                <w:lang w:val="en-US"/>
              </w:rPr>
              <w:t>112</w:t>
            </w:r>
          </w:p>
          <w:p w:rsidR="00337D1D" w:rsidRDefault="00337D1D" w:rsidP="00EF62AB">
            <w:pPr>
              <w:widowControl/>
              <w:jc w:val="center"/>
              <w:rPr>
                <w:rFonts w:ascii="Arial Narrow" w:hAnsi="Arial Narrow"/>
                <w:sz w:val="20"/>
                <w:lang w:val="en-US"/>
              </w:rPr>
            </w:pPr>
            <w:r>
              <w:rPr>
                <w:rFonts w:ascii="Arial Narrow" w:hAnsi="Arial Narrow"/>
                <w:sz w:val="20"/>
                <w:lang w:val="en-US"/>
              </w:rPr>
              <w:t>110</w:t>
            </w:r>
          </w:p>
        </w:tc>
        <w:tc>
          <w:tcPr>
            <w:tcW w:w="1655" w:type="pct"/>
            <w:shd w:val="clear" w:color="auto" w:fill="auto"/>
            <w:vAlign w:val="center"/>
          </w:tcPr>
          <w:p w:rsidR="00337D1D" w:rsidRDefault="00337D1D" w:rsidP="00EF62AB">
            <w:pPr>
              <w:widowControl/>
              <w:jc w:val="left"/>
              <w:rPr>
                <w:rFonts w:ascii="Arial Narrow" w:hAnsi="Arial Narrow"/>
                <w:sz w:val="20"/>
                <w:lang w:val="en-US"/>
              </w:rPr>
            </w:pPr>
            <w:r>
              <w:rPr>
                <w:rFonts w:ascii="Arial Narrow" w:hAnsi="Arial Narrow"/>
                <w:sz w:val="20"/>
                <w:lang w:val="en-US"/>
              </w:rPr>
              <w:t>MET+EMPA 25</w:t>
            </w:r>
            <w:r w:rsidR="007452AD">
              <w:rPr>
                <w:rFonts w:ascii="Arial Narrow" w:hAnsi="Arial Narrow"/>
                <w:sz w:val="20"/>
                <w:lang w:val="en-US"/>
              </w:rPr>
              <w:t xml:space="preserve"> mg</w:t>
            </w:r>
            <w:r>
              <w:rPr>
                <w:rFonts w:ascii="Arial Narrow" w:hAnsi="Arial Narrow"/>
                <w:sz w:val="20"/>
                <w:lang w:val="en-US"/>
              </w:rPr>
              <w:t>+LINA 5</w:t>
            </w:r>
            <w:r w:rsidR="007452AD">
              <w:rPr>
                <w:rFonts w:ascii="Arial Narrow" w:hAnsi="Arial Narrow"/>
                <w:sz w:val="20"/>
                <w:lang w:val="en-US"/>
              </w:rPr>
              <w:t xml:space="preserve"> mg</w:t>
            </w:r>
            <w:r>
              <w:rPr>
                <w:rFonts w:ascii="Arial Narrow" w:hAnsi="Arial Narrow"/>
                <w:sz w:val="20"/>
                <w:lang w:val="en-US"/>
              </w:rPr>
              <w:t xml:space="preserve"> FDC MET+EMPA 10</w:t>
            </w:r>
            <w:r w:rsidR="007452AD">
              <w:rPr>
                <w:rFonts w:ascii="Arial Narrow" w:hAnsi="Arial Narrow"/>
                <w:sz w:val="20"/>
                <w:lang w:val="en-US"/>
              </w:rPr>
              <w:t xml:space="preserve"> mg</w:t>
            </w:r>
            <w:r>
              <w:rPr>
                <w:rFonts w:ascii="Arial Narrow" w:hAnsi="Arial Narrow"/>
                <w:sz w:val="20"/>
                <w:lang w:val="en-US"/>
              </w:rPr>
              <w:t>+LINA 5</w:t>
            </w:r>
            <w:r w:rsidR="007452AD">
              <w:rPr>
                <w:rFonts w:ascii="Arial Narrow" w:hAnsi="Arial Narrow"/>
                <w:sz w:val="20"/>
                <w:lang w:val="en-US"/>
              </w:rPr>
              <w:t xml:space="preserve"> mg</w:t>
            </w:r>
            <w:r>
              <w:rPr>
                <w:rFonts w:ascii="Arial Narrow" w:hAnsi="Arial Narrow"/>
                <w:sz w:val="20"/>
                <w:lang w:val="en-US"/>
              </w:rPr>
              <w:t xml:space="preserve"> FDC</w:t>
            </w:r>
          </w:p>
          <w:p w:rsidR="00337D1D" w:rsidRDefault="00337D1D" w:rsidP="00EF62AB">
            <w:pPr>
              <w:widowControl/>
              <w:jc w:val="left"/>
              <w:rPr>
                <w:rFonts w:ascii="Arial Narrow" w:hAnsi="Arial Narrow"/>
                <w:sz w:val="20"/>
                <w:lang w:val="en-US"/>
              </w:rPr>
            </w:pPr>
            <w:r>
              <w:rPr>
                <w:rFonts w:ascii="Arial Narrow" w:hAnsi="Arial Narrow"/>
                <w:sz w:val="20"/>
                <w:lang w:val="en-US"/>
              </w:rPr>
              <w:t>MET+LINA 5</w:t>
            </w:r>
            <w:r w:rsidR="007452AD">
              <w:rPr>
                <w:rFonts w:ascii="Arial Narrow" w:hAnsi="Arial Narrow"/>
                <w:sz w:val="20"/>
                <w:lang w:val="en-US"/>
              </w:rPr>
              <w:t xml:space="preserve"> mg</w:t>
            </w:r>
            <w:r>
              <w:rPr>
                <w:rFonts w:ascii="Arial Narrow" w:hAnsi="Arial Narrow"/>
                <w:sz w:val="20"/>
                <w:lang w:val="en-US"/>
              </w:rPr>
              <w:t>+Pbo</w:t>
            </w:r>
          </w:p>
        </w:tc>
        <w:tc>
          <w:tcPr>
            <w:tcW w:w="890" w:type="pct"/>
            <w:shd w:val="clear" w:color="auto" w:fill="auto"/>
            <w:vAlign w:val="center"/>
          </w:tcPr>
          <w:p w:rsidR="00337D1D" w:rsidRDefault="00337D1D" w:rsidP="00EF62AB">
            <w:pPr>
              <w:widowControl/>
              <w:tabs>
                <w:tab w:val="right" w:pos="3105"/>
              </w:tabs>
              <w:jc w:val="center"/>
              <w:rPr>
                <w:rFonts w:ascii="Arial Narrow" w:hAnsi="Arial Narrow"/>
                <w:sz w:val="20"/>
                <w:lang w:val="en-US"/>
              </w:rPr>
            </w:pPr>
            <w:r>
              <w:rPr>
                <w:rFonts w:ascii="Arial Narrow" w:hAnsi="Arial Narrow"/>
                <w:sz w:val="20"/>
                <w:lang w:val="en-US"/>
              </w:rPr>
              <w:t>16 week OL run in</w:t>
            </w:r>
          </w:p>
          <w:p w:rsidR="00337D1D" w:rsidRDefault="00337D1D" w:rsidP="00EF62AB">
            <w:pPr>
              <w:widowControl/>
              <w:tabs>
                <w:tab w:val="right" w:pos="3105"/>
              </w:tabs>
              <w:jc w:val="center"/>
              <w:rPr>
                <w:rFonts w:ascii="Arial Narrow" w:hAnsi="Arial Narrow"/>
                <w:sz w:val="20"/>
                <w:lang w:val="en-US"/>
              </w:rPr>
            </w:pPr>
            <w:r>
              <w:rPr>
                <w:rFonts w:ascii="Arial Narrow" w:hAnsi="Arial Narrow"/>
                <w:sz w:val="20"/>
                <w:lang w:val="en-US"/>
              </w:rPr>
              <w:t>MET+LINA 5</w:t>
            </w:r>
            <w:r w:rsidR="007452AD">
              <w:rPr>
                <w:rFonts w:ascii="Arial Narrow" w:hAnsi="Arial Narrow"/>
                <w:sz w:val="20"/>
                <w:lang w:val="en-US"/>
              </w:rPr>
              <w:t xml:space="preserve"> mg</w:t>
            </w:r>
            <w:r>
              <w:rPr>
                <w:rFonts w:ascii="Arial Narrow" w:hAnsi="Arial Narrow"/>
                <w:sz w:val="20"/>
                <w:lang w:val="en-US"/>
              </w:rPr>
              <w:t>,</w:t>
            </w:r>
          </w:p>
          <w:p w:rsidR="00337D1D" w:rsidRDefault="00337D1D" w:rsidP="00EF62AB">
            <w:pPr>
              <w:widowControl/>
              <w:tabs>
                <w:tab w:val="right" w:pos="3105"/>
              </w:tabs>
              <w:jc w:val="center"/>
              <w:rPr>
                <w:rFonts w:ascii="Arial Narrow" w:hAnsi="Arial Narrow"/>
                <w:sz w:val="20"/>
                <w:lang w:val="en-US"/>
              </w:rPr>
            </w:pPr>
            <w:r>
              <w:rPr>
                <w:rFonts w:ascii="Arial Narrow" w:hAnsi="Arial Narrow"/>
                <w:sz w:val="20"/>
                <w:lang w:val="en-US"/>
              </w:rPr>
              <w:t>+1 week OL</w:t>
            </w:r>
          </w:p>
          <w:p w:rsidR="00337D1D" w:rsidRDefault="00337D1D" w:rsidP="00EF62AB">
            <w:pPr>
              <w:widowControl/>
              <w:tabs>
                <w:tab w:val="right" w:pos="3105"/>
              </w:tabs>
              <w:jc w:val="center"/>
              <w:rPr>
                <w:rFonts w:ascii="Arial Narrow" w:hAnsi="Arial Narrow"/>
                <w:sz w:val="20"/>
                <w:lang w:val="en-US"/>
              </w:rPr>
            </w:pPr>
            <w:r>
              <w:rPr>
                <w:rFonts w:ascii="Arial Narrow" w:hAnsi="Arial Narrow"/>
                <w:sz w:val="20"/>
                <w:lang w:val="en-US"/>
              </w:rPr>
              <w:t xml:space="preserve">Pbo added, </w:t>
            </w:r>
          </w:p>
          <w:p w:rsidR="00337D1D" w:rsidRDefault="00337D1D" w:rsidP="00EF62AB">
            <w:pPr>
              <w:widowControl/>
              <w:tabs>
                <w:tab w:val="right" w:pos="3105"/>
              </w:tabs>
              <w:jc w:val="center"/>
              <w:rPr>
                <w:rFonts w:ascii="Arial Narrow" w:hAnsi="Arial Narrow"/>
                <w:sz w:val="20"/>
                <w:lang w:val="en-US"/>
              </w:rPr>
            </w:pPr>
            <w:r>
              <w:rPr>
                <w:rFonts w:ascii="Arial Narrow" w:hAnsi="Arial Narrow"/>
                <w:sz w:val="20"/>
                <w:lang w:val="en-US"/>
              </w:rPr>
              <w:t>+</w:t>
            </w:r>
            <w:r w:rsidRPr="00F111B7">
              <w:rPr>
                <w:rFonts w:ascii="Arial Narrow" w:hAnsi="Arial Narrow"/>
                <w:sz w:val="20"/>
                <w:u w:val="single"/>
                <w:lang w:val="en-US"/>
              </w:rPr>
              <w:t>24 week RCT</w:t>
            </w:r>
          </w:p>
          <w:p w:rsidR="00337D1D" w:rsidRPr="00E574BA" w:rsidRDefault="00337D1D" w:rsidP="00EF62AB">
            <w:pPr>
              <w:widowControl/>
              <w:tabs>
                <w:tab w:val="right" w:pos="3105"/>
              </w:tabs>
              <w:jc w:val="center"/>
              <w:rPr>
                <w:rFonts w:ascii="Arial Narrow" w:hAnsi="Arial Narrow"/>
                <w:sz w:val="20"/>
                <w:lang w:val="en-US"/>
              </w:rPr>
            </w:pPr>
            <w:r>
              <w:rPr>
                <w:rFonts w:ascii="Arial Narrow" w:hAnsi="Arial Narrow"/>
                <w:sz w:val="20"/>
                <w:lang w:val="en-US"/>
              </w:rPr>
              <w:t>+1 week follow up</w:t>
            </w:r>
          </w:p>
        </w:tc>
        <w:tc>
          <w:tcPr>
            <w:tcW w:w="503" w:type="pct"/>
            <w:shd w:val="clear" w:color="auto" w:fill="auto"/>
            <w:vAlign w:val="center"/>
          </w:tcPr>
          <w:p w:rsidR="00337D1D" w:rsidRPr="00E574BA" w:rsidRDefault="00337D1D" w:rsidP="00EF62AB">
            <w:pPr>
              <w:widowControl/>
              <w:jc w:val="center"/>
              <w:rPr>
                <w:rFonts w:ascii="Arial Narrow" w:hAnsi="Arial Narrow"/>
                <w:sz w:val="20"/>
                <w:lang w:val="en-US"/>
              </w:rPr>
            </w:pPr>
            <w:r>
              <w:rPr>
                <w:rFonts w:ascii="Arial Narrow" w:hAnsi="Arial Narrow"/>
                <w:sz w:val="20"/>
              </w:rPr>
              <w:t>Mean change in HbA1c</w:t>
            </w:r>
          </w:p>
        </w:tc>
        <w:tc>
          <w:tcPr>
            <w:tcW w:w="700" w:type="pct"/>
            <w:shd w:val="clear" w:color="auto" w:fill="auto"/>
            <w:vAlign w:val="center"/>
          </w:tcPr>
          <w:p w:rsidR="00337D1D" w:rsidRDefault="00337D1D" w:rsidP="00EF62AB">
            <w:pPr>
              <w:widowControl/>
              <w:jc w:val="center"/>
              <w:rPr>
                <w:rFonts w:ascii="Arial Narrow" w:hAnsi="Arial Narrow"/>
                <w:sz w:val="20"/>
                <w:lang w:val="en-US"/>
              </w:rPr>
            </w:pPr>
            <w:r>
              <w:rPr>
                <w:rFonts w:ascii="Arial Narrow" w:hAnsi="Arial Narrow"/>
                <w:sz w:val="20"/>
                <w:lang w:val="en-US"/>
              </w:rPr>
              <w:t>Adult ≥18yrs</w:t>
            </w:r>
          </w:p>
          <w:p w:rsidR="00337D1D" w:rsidRDefault="00337D1D" w:rsidP="00EF62AB">
            <w:pPr>
              <w:widowControl/>
              <w:jc w:val="center"/>
              <w:rPr>
                <w:rFonts w:ascii="Arial Narrow" w:hAnsi="Arial Narrow"/>
                <w:sz w:val="20"/>
                <w:lang w:val="en-US"/>
              </w:rPr>
            </w:pPr>
            <w:r>
              <w:rPr>
                <w:rFonts w:ascii="Arial Narrow" w:hAnsi="Arial Narrow"/>
                <w:sz w:val="20"/>
                <w:lang w:val="en-US"/>
              </w:rPr>
              <w:t xml:space="preserve">HbA1c </w:t>
            </w:r>
          </w:p>
          <w:p w:rsidR="00337D1D" w:rsidRPr="00536FA3" w:rsidRDefault="00337D1D" w:rsidP="00EF62AB">
            <w:pPr>
              <w:widowControl/>
              <w:jc w:val="center"/>
              <w:rPr>
                <w:rFonts w:ascii="Arial Narrow" w:hAnsi="Arial Narrow"/>
                <w:sz w:val="20"/>
                <w:lang w:val="en-US"/>
              </w:rPr>
            </w:pPr>
            <w:r>
              <w:rPr>
                <w:rFonts w:ascii="Arial Narrow" w:hAnsi="Arial Narrow"/>
                <w:sz w:val="20"/>
                <w:lang w:val="en-US"/>
              </w:rPr>
              <w:t>7.0%</w:t>
            </w:r>
            <w:r w:rsidR="00FC7CCB">
              <w:rPr>
                <w:rFonts w:ascii="Arial Narrow" w:hAnsi="Arial Narrow"/>
                <w:sz w:val="20"/>
                <w:lang w:val="en-US"/>
              </w:rPr>
              <w:t>-</w:t>
            </w:r>
            <w:r w:rsidRPr="001D6253">
              <w:rPr>
                <w:rFonts w:ascii="Arial Narrow" w:hAnsi="Arial Narrow"/>
                <w:sz w:val="20"/>
                <w:lang w:val="en-US"/>
              </w:rPr>
              <w:t>10.5%</w:t>
            </w:r>
            <w:r>
              <w:rPr>
                <w:rFonts w:ascii="Arial Narrow" w:hAnsi="Arial Narrow"/>
                <w:sz w:val="20"/>
                <w:lang w:val="en-US"/>
              </w:rPr>
              <w:t xml:space="preserve"> (post 7 week OL run in)</w:t>
            </w:r>
          </w:p>
        </w:tc>
        <w:tc>
          <w:tcPr>
            <w:tcW w:w="253" w:type="pct"/>
            <w:vAlign w:val="center"/>
          </w:tcPr>
          <w:p w:rsidR="00337D1D" w:rsidRPr="00755D9C" w:rsidRDefault="00337D1D" w:rsidP="00EF62AB">
            <w:pPr>
              <w:widowControl/>
              <w:jc w:val="center"/>
              <w:rPr>
                <w:rFonts w:ascii="Arial Narrow" w:hAnsi="Arial Narrow"/>
                <w:sz w:val="20"/>
                <w:lang w:val="en-US"/>
              </w:rPr>
            </w:pPr>
            <w:r>
              <w:rPr>
                <w:rFonts w:ascii="Arial Narrow" w:hAnsi="Arial Narrow"/>
                <w:sz w:val="20"/>
                <w:lang w:val="en-US"/>
              </w:rPr>
              <w:t>Low</w:t>
            </w:r>
          </w:p>
        </w:tc>
      </w:tr>
      <w:tr w:rsidR="00337D1D" w:rsidRPr="00E574BA" w:rsidTr="00B270BA">
        <w:trPr>
          <w:cantSplit/>
        </w:trPr>
        <w:tc>
          <w:tcPr>
            <w:tcW w:w="408" w:type="pct"/>
            <w:shd w:val="clear" w:color="auto" w:fill="auto"/>
            <w:vAlign w:val="center"/>
          </w:tcPr>
          <w:p w:rsidR="00337D1D" w:rsidRDefault="00337D1D" w:rsidP="00EF62AB">
            <w:pPr>
              <w:widowControl/>
              <w:jc w:val="left"/>
              <w:rPr>
                <w:rFonts w:ascii="Arial Narrow" w:hAnsi="Arial Narrow"/>
                <w:sz w:val="20"/>
              </w:rPr>
            </w:pPr>
            <w:r>
              <w:rPr>
                <w:rFonts w:ascii="Arial Narrow" w:hAnsi="Arial Narrow"/>
                <w:sz w:val="20"/>
              </w:rPr>
              <w:t>1275.10</w:t>
            </w:r>
          </w:p>
        </w:tc>
        <w:tc>
          <w:tcPr>
            <w:tcW w:w="378" w:type="pct"/>
            <w:shd w:val="clear" w:color="auto" w:fill="auto"/>
            <w:vAlign w:val="center"/>
          </w:tcPr>
          <w:p w:rsidR="00337D1D" w:rsidRDefault="00337D1D" w:rsidP="00EF62AB">
            <w:pPr>
              <w:widowControl/>
              <w:jc w:val="center"/>
              <w:rPr>
                <w:rFonts w:ascii="Arial Narrow" w:hAnsi="Arial Narrow"/>
                <w:sz w:val="20"/>
              </w:rPr>
            </w:pPr>
            <w:r>
              <w:rPr>
                <w:rFonts w:ascii="Arial Narrow" w:hAnsi="Arial Narrow"/>
                <w:sz w:val="20"/>
              </w:rPr>
              <w:t>R, DB, PC, MC</w:t>
            </w:r>
          </w:p>
          <w:p w:rsidR="00337D1D" w:rsidRDefault="00337D1D" w:rsidP="00EF62AB">
            <w:pPr>
              <w:widowControl/>
              <w:jc w:val="center"/>
              <w:rPr>
                <w:rFonts w:ascii="Arial Narrow" w:hAnsi="Arial Narrow"/>
                <w:sz w:val="20"/>
              </w:rPr>
            </w:pPr>
            <w:r>
              <w:rPr>
                <w:rFonts w:ascii="Arial Narrow" w:hAnsi="Arial Narrow"/>
                <w:sz w:val="20"/>
              </w:rPr>
              <w:t>FAS OC*</w:t>
            </w:r>
          </w:p>
          <w:p w:rsidR="00337D1D" w:rsidRPr="009102AB" w:rsidRDefault="00337D1D" w:rsidP="00EF62AB">
            <w:pPr>
              <w:widowControl/>
              <w:jc w:val="center"/>
              <w:rPr>
                <w:rFonts w:ascii="Arial Narrow" w:hAnsi="Arial Narrow"/>
                <w:sz w:val="20"/>
              </w:rPr>
            </w:pPr>
            <w:r>
              <w:rPr>
                <w:rFonts w:ascii="Arial Narrow" w:hAnsi="Arial Narrow"/>
                <w:sz w:val="20"/>
              </w:rPr>
              <w:t>MMRM</w:t>
            </w:r>
          </w:p>
        </w:tc>
        <w:tc>
          <w:tcPr>
            <w:tcW w:w="214" w:type="pct"/>
            <w:shd w:val="clear" w:color="auto" w:fill="auto"/>
            <w:vAlign w:val="center"/>
          </w:tcPr>
          <w:p w:rsidR="00337D1D" w:rsidRDefault="00337D1D" w:rsidP="00EF62AB">
            <w:pPr>
              <w:widowControl/>
              <w:jc w:val="center"/>
              <w:rPr>
                <w:rFonts w:ascii="Arial Narrow" w:hAnsi="Arial Narrow"/>
                <w:sz w:val="20"/>
                <w:lang w:val="en-US"/>
              </w:rPr>
            </w:pPr>
            <w:r>
              <w:rPr>
                <w:rFonts w:ascii="Arial Narrow" w:hAnsi="Arial Narrow"/>
                <w:sz w:val="20"/>
                <w:lang w:val="en-US"/>
              </w:rPr>
              <w:t>114</w:t>
            </w:r>
          </w:p>
          <w:p w:rsidR="00337D1D" w:rsidRDefault="00337D1D" w:rsidP="00EF62AB">
            <w:pPr>
              <w:widowControl/>
              <w:jc w:val="center"/>
              <w:rPr>
                <w:rFonts w:ascii="Arial Narrow" w:hAnsi="Arial Narrow"/>
                <w:sz w:val="20"/>
                <w:lang w:val="en-US"/>
              </w:rPr>
            </w:pPr>
            <w:r>
              <w:rPr>
                <w:rFonts w:ascii="Arial Narrow" w:hAnsi="Arial Narrow"/>
                <w:sz w:val="20"/>
                <w:lang w:val="en-US"/>
              </w:rPr>
              <w:t>126</w:t>
            </w:r>
          </w:p>
          <w:p w:rsidR="00337D1D" w:rsidRDefault="00337D1D" w:rsidP="00EF62AB">
            <w:pPr>
              <w:widowControl/>
              <w:jc w:val="center"/>
              <w:rPr>
                <w:rFonts w:ascii="Arial Narrow" w:hAnsi="Arial Narrow"/>
                <w:sz w:val="20"/>
                <w:lang w:val="en-US"/>
              </w:rPr>
            </w:pPr>
            <w:r>
              <w:rPr>
                <w:rFonts w:ascii="Arial Narrow" w:hAnsi="Arial Narrow"/>
                <w:sz w:val="20"/>
                <w:lang w:val="en-US"/>
              </w:rPr>
              <w:t>112</w:t>
            </w:r>
          </w:p>
          <w:p w:rsidR="00337D1D" w:rsidRDefault="00337D1D" w:rsidP="00EF62AB">
            <w:pPr>
              <w:widowControl/>
              <w:jc w:val="center"/>
              <w:rPr>
                <w:rFonts w:ascii="Arial Narrow" w:hAnsi="Arial Narrow"/>
                <w:sz w:val="20"/>
                <w:lang w:val="en-US"/>
              </w:rPr>
            </w:pPr>
            <w:r>
              <w:rPr>
                <w:rFonts w:ascii="Arial Narrow" w:hAnsi="Arial Narrow"/>
                <w:sz w:val="20"/>
                <w:lang w:val="en-US"/>
              </w:rPr>
              <w:t>130</w:t>
            </w:r>
          </w:p>
        </w:tc>
        <w:tc>
          <w:tcPr>
            <w:tcW w:w="1655" w:type="pct"/>
            <w:shd w:val="clear" w:color="auto" w:fill="auto"/>
            <w:vAlign w:val="center"/>
          </w:tcPr>
          <w:p w:rsidR="00337D1D" w:rsidRDefault="00337D1D" w:rsidP="00EF62AB">
            <w:pPr>
              <w:widowControl/>
              <w:jc w:val="left"/>
              <w:rPr>
                <w:rFonts w:ascii="Arial Narrow" w:hAnsi="Arial Narrow"/>
                <w:sz w:val="20"/>
                <w:lang w:val="en-US"/>
              </w:rPr>
            </w:pPr>
            <w:r>
              <w:rPr>
                <w:rFonts w:ascii="Arial Narrow" w:hAnsi="Arial Narrow"/>
                <w:sz w:val="20"/>
                <w:lang w:val="en-US"/>
              </w:rPr>
              <w:t>MET+EMPA 25</w:t>
            </w:r>
            <w:r w:rsidR="007452AD">
              <w:rPr>
                <w:rFonts w:ascii="Arial Narrow" w:hAnsi="Arial Narrow"/>
                <w:sz w:val="20"/>
                <w:lang w:val="en-US"/>
              </w:rPr>
              <w:t xml:space="preserve"> mg</w:t>
            </w:r>
            <w:r>
              <w:rPr>
                <w:rFonts w:ascii="Arial Narrow" w:hAnsi="Arial Narrow"/>
                <w:sz w:val="20"/>
                <w:lang w:val="en-US"/>
              </w:rPr>
              <w:t>+LINA 5</w:t>
            </w:r>
            <w:r w:rsidR="007452AD">
              <w:rPr>
                <w:rFonts w:ascii="Arial Narrow" w:hAnsi="Arial Narrow"/>
                <w:sz w:val="20"/>
                <w:lang w:val="en-US"/>
              </w:rPr>
              <w:t xml:space="preserve"> mg</w:t>
            </w:r>
            <w:r>
              <w:rPr>
                <w:rFonts w:ascii="Arial Narrow" w:hAnsi="Arial Narrow"/>
                <w:sz w:val="20"/>
                <w:lang w:val="en-US"/>
              </w:rPr>
              <w:t xml:space="preserve"> FDC </w:t>
            </w:r>
          </w:p>
          <w:p w:rsidR="00337D1D" w:rsidRDefault="00337D1D" w:rsidP="00EF62AB">
            <w:pPr>
              <w:widowControl/>
              <w:jc w:val="left"/>
              <w:rPr>
                <w:rFonts w:ascii="Arial Narrow" w:hAnsi="Arial Narrow"/>
                <w:sz w:val="20"/>
                <w:lang w:val="en-US"/>
              </w:rPr>
            </w:pPr>
            <w:r>
              <w:rPr>
                <w:rFonts w:ascii="Arial Narrow" w:hAnsi="Arial Narrow"/>
                <w:sz w:val="20"/>
                <w:lang w:val="en-US"/>
              </w:rPr>
              <w:t>MET+EMPA 10</w:t>
            </w:r>
            <w:r w:rsidR="007452AD">
              <w:rPr>
                <w:rFonts w:ascii="Arial Narrow" w:hAnsi="Arial Narrow"/>
                <w:sz w:val="20"/>
                <w:lang w:val="en-US"/>
              </w:rPr>
              <w:t xml:space="preserve"> mg</w:t>
            </w:r>
            <w:r>
              <w:rPr>
                <w:rFonts w:ascii="Arial Narrow" w:hAnsi="Arial Narrow"/>
                <w:sz w:val="20"/>
                <w:lang w:val="en-US"/>
              </w:rPr>
              <w:t>+LINA 5</w:t>
            </w:r>
            <w:r w:rsidR="007452AD">
              <w:rPr>
                <w:rFonts w:ascii="Arial Narrow" w:hAnsi="Arial Narrow"/>
                <w:sz w:val="20"/>
                <w:lang w:val="en-US"/>
              </w:rPr>
              <w:t xml:space="preserve"> mg</w:t>
            </w:r>
            <w:r>
              <w:rPr>
                <w:rFonts w:ascii="Arial Narrow" w:hAnsi="Arial Narrow"/>
                <w:sz w:val="20"/>
                <w:lang w:val="en-US"/>
              </w:rPr>
              <w:t xml:space="preserve"> FDC MET+EMPA 25</w:t>
            </w:r>
            <w:r w:rsidR="007452AD">
              <w:rPr>
                <w:rFonts w:ascii="Arial Narrow" w:hAnsi="Arial Narrow"/>
                <w:sz w:val="20"/>
                <w:lang w:val="en-US"/>
              </w:rPr>
              <w:t xml:space="preserve"> mg</w:t>
            </w:r>
            <w:r>
              <w:rPr>
                <w:rFonts w:ascii="Arial Narrow" w:hAnsi="Arial Narrow"/>
                <w:sz w:val="20"/>
                <w:lang w:val="en-US"/>
              </w:rPr>
              <w:t>+Pbo</w:t>
            </w:r>
          </w:p>
          <w:p w:rsidR="00337D1D" w:rsidRDefault="00337D1D" w:rsidP="00EF62AB">
            <w:pPr>
              <w:widowControl/>
              <w:jc w:val="left"/>
              <w:rPr>
                <w:rFonts w:ascii="Arial Narrow" w:hAnsi="Arial Narrow"/>
                <w:sz w:val="20"/>
                <w:lang w:val="en-US"/>
              </w:rPr>
            </w:pPr>
            <w:r>
              <w:rPr>
                <w:rFonts w:ascii="Arial Narrow" w:hAnsi="Arial Narrow"/>
                <w:sz w:val="20"/>
                <w:lang w:val="en-US"/>
              </w:rPr>
              <w:t>MET+EMPA 10</w:t>
            </w:r>
            <w:r w:rsidR="007452AD">
              <w:rPr>
                <w:rFonts w:ascii="Arial Narrow" w:hAnsi="Arial Narrow"/>
                <w:sz w:val="20"/>
                <w:lang w:val="en-US"/>
              </w:rPr>
              <w:t xml:space="preserve"> mg</w:t>
            </w:r>
            <w:r>
              <w:rPr>
                <w:rFonts w:ascii="Arial Narrow" w:hAnsi="Arial Narrow"/>
                <w:sz w:val="20"/>
                <w:lang w:val="en-US"/>
              </w:rPr>
              <w:t>+Pbo</w:t>
            </w:r>
          </w:p>
        </w:tc>
        <w:tc>
          <w:tcPr>
            <w:tcW w:w="890" w:type="pct"/>
            <w:shd w:val="clear" w:color="auto" w:fill="auto"/>
            <w:vAlign w:val="center"/>
          </w:tcPr>
          <w:p w:rsidR="00337D1D" w:rsidRDefault="00337D1D" w:rsidP="00EF62AB">
            <w:pPr>
              <w:widowControl/>
              <w:tabs>
                <w:tab w:val="right" w:pos="3105"/>
              </w:tabs>
              <w:jc w:val="center"/>
              <w:rPr>
                <w:rFonts w:ascii="Arial Narrow" w:hAnsi="Arial Narrow"/>
                <w:sz w:val="20"/>
                <w:lang w:val="en-US"/>
              </w:rPr>
            </w:pPr>
            <w:r>
              <w:rPr>
                <w:rFonts w:ascii="Arial Narrow" w:hAnsi="Arial Narrow"/>
                <w:sz w:val="20"/>
                <w:lang w:val="en-US"/>
              </w:rPr>
              <w:t>16 week OL run in</w:t>
            </w:r>
          </w:p>
          <w:p w:rsidR="00337D1D" w:rsidRDefault="00337D1D" w:rsidP="00EF62AB">
            <w:pPr>
              <w:widowControl/>
              <w:tabs>
                <w:tab w:val="right" w:pos="3105"/>
              </w:tabs>
              <w:jc w:val="center"/>
              <w:rPr>
                <w:rFonts w:ascii="Arial Narrow" w:hAnsi="Arial Narrow"/>
                <w:sz w:val="20"/>
                <w:lang w:val="en-US"/>
              </w:rPr>
            </w:pPr>
            <w:r>
              <w:rPr>
                <w:rFonts w:ascii="Arial Narrow" w:hAnsi="Arial Narrow"/>
                <w:sz w:val="20"/>
                <w:lang w:val="en-US"/>
              </w:rPr>
              <w:t>MET+EMPA 10</w:t>
            </w:r>
            <w:r w:rsidR="007452AD">
              <w:rPr>
                <w:rFonts w:ascii="Arial Narrow" w:hAnsi="Arial Narrow"/>
                <w:sz w:val="20"/>
                <w:lang w:val="en-US"/>
              </w:rPr>
              <w:t xml:space="preserve"> mg</w:t>
            </w:r>
          </w:p>
          <w:p w:rsidR="00337D1D" w:rsidRDefault="00337D1D" w:rsidP="00EF62AB">
            <w:pPr>
              <w:widowControl/>
              <w:tabs>
                <w:tab w:val="right" w:pos="3105"/>
              </w:tabs>
              <w:jc w:val="center"/>
              <w:rPr>
                <w:rFonts w:ascii="Arial Narrow" w:hAnsi="Arial Narrow"/>
                <w:sz w:val="20"/>
                <w:lang w:val="en-US"/>
              </w:rPr>
            </w:pPr>
            <w:r>
              <w:rPr>
                <w:rFonts w:ascii="Arial Narrow" w:hAnsi="Arial Narrow"/>
                <w:sz w:val="20"/>
                <w:lang w:val="en-US"/>
              </w:rPr>
              <w:t>MET+EMPA 25</w:t>
            </w:r>
            <w:r w:rsidR="007452AD">
              <w:rPr>
                <w:rFonts w:ascii="Arial Narrow" w:hAnsi="Arial Narrow"/>
                <w:sz w:val="20"/>
                <w:lang w:val="en-US"/>
              </w:rPr>
              <w:t xml:space="preserve"> mg</w:t>
            </w:r>
          </w:p>
          <w:p w:rsidR="00337D1D" w:rsidRDefault="00337D1D" w:rsidP="00EF62AB">
            <w:pPr>
              <w:widowControl/>
              <w:tabs>
                <w:tab w:val="right" w:pos="3105"/>
              </w:tabs>
              <w:jc w:val="center"/>
              <w:rPr>
                <w:rFonts w:ascii="Arial Narrow" w:hAnsi="Arial Narrow"/>
                <w:sz w:val="20"/>
                <w:lang w:val="en-US"/>
              </w:rPr>
            </w:pPr>
            <w:r>
              <w:rPr>
                <w:rFonts w:ascii="Arial Narrow" w:hAnsi="Arial Narrow"/>
                <w:sz w:val="20"/>
                <w:lang w:val="en-US"/>
              </w:rPr>
              <w:t>+1 week OL</w:t>
            </w:r>
          </w:p>
          <w:p w:rsidR="00337D1D" w:rsidRDefault="00337D1D" w:rsidP="00EF62AB">
            <w:pPr>
              <w:widowControl/>
              <w:tabs>
                <w:tab w:val="right" w:pos="3105"/>
              </w:tabs>
              <w:jc w:val="center"/>
              <w:rPr>
                <w:rFonts w:ascii="Arial Narrow" w:hAnsi="Arial Narrow"/>
                <w:sz w:val="20"/>
                <w:lang w:val="en-US"/>
              </w:rPr>
            </w:pPr>
            <w:r>
              <w:rPr>
                <w:rFonts w:ascii="Arial Narrow" w:hAnsi="Arial Narrow"/>
                <w:sz w:val="20"/>
                <w:lang w:val="en-US"/>
              </w:rPr>
              <w:t xml:space="preserve">Pbo added </w:t>
            </w:r>
          </w:p>
          <w:p w:rsidR="00337D1D" w:rsidRDefault="00337D1D" w:rsidP="00EF62AB">
            <w:pPr>
              <w:widowControl/>
              <w:tabs>
                <w:tab w:val="right" w:pos="3105"/>
              </w:tabs>
              <w:jc w:val="center"/>
              <w:rPr>
                <w:rFonts w:ascii="Arial Narrow" w:hAnsi="Arial Narrow"/>
                <w:sz w:val="20"/>
                <w:lang w:val="en-US"/>
              </w:rPr>
            </w:pPr>
            <w:r>
              <w:rPr>
                <w:rFonts w:ascii="Arial Narrow" w:hAnsi="Arial Narrow"/>
                <w:sz w:val="20"/>
                <w:lang w:val="en-US"/>
              </w:rPr>
              <w:t>+</w:t>
            </w:r>
            <w:r w:rsidRPr="00F111B7">
              <w:rPr>
                <w:rFonts w:ascii="Arial Narrow" w:hAnsi="Arial Narrow"/>
                <w:sz w:val="20"/>
                <w:u w:val="single"/>
                <w:lang w:val="en-US"/>
              </w:rPr>
              <w:t>24 week RCT</w:t>
            </w:r>
          </w:p>
          <w:p w:rsidR="00337D1D" w:rsidRPr="00E574BA" w:rsidRDefault="00337D1D" w:rsidP="00EF62AB">
            <w:pPr>
              <w:widowControl/>
              <w:tabs>
                <w:tab w:val="right" w:pos="3105"/>
              </w:tabs>
              <w:jc w:val="center"/>
              <w:rPr>
                <w:rFonts w:ascii="Arial Narrow" w:hAnsi="Arial Narrow"/>
                <w:sz w:val="20"/>
                <w:lang w:val="en-US"/>
              </w:rPr>
            </w:pPr>
            <w:r>
              <w:rPr>
                <w:rFonts w:ascii="Arial Narrow" w:hAnsi="Arial Narrow"/>
                <w:sz w:val="20"/>
                <w:lang w:val="en-US"/>
              </w:rPr>
              <w:t>+1 week follow up</w:t>
            </w:r>
          </w:p>
        </w:tc>
        <w:tc>
          <w:tcPr>
            <w:tcW w:w="503" w:type="pct"/>
            <w:shd w:val="clear" w:color="auto" w:fill="auto"/>
            <w:vAlign w:val="center"/>
          </w:tcPr>
          <w:p w:rsidR="00337D1D" w:rsidRPr="00E574BA" w:rsidRDefault="00337D1D" w:rsidP="00EF62AB">
            <w:pPr>
              <w:widowControl/>
              <w:jc w:val="center"/>
              <w:rPr>
                <w:rFonts w:ascii="Arial Narrow" w:hAnsi="Arial Narrow"/>
                <w:sz w:val="20"/>
                <w:lang w:val="en-US"/>
              </w:rPr>
            </w:pPr>
            <w:r>
              <w:rPr>
                <w:rFonts w:ascii="Arial Narrow" w:hAnsi="Arial Narrow"/>
                <w:sz w:val="20"/>
              </w:rPr>
              <w:t>Mean change in HbA1c</w:t>
            </w:r>
          </w:p>
        </w:tc>
        <w:tc>
          <w:tcPr>
            <w:tcW w:w="700" w:type="pct"/>
            <w:shd w:val="clear" w:color="auto" w:fill="auto"/>
            <w:vAlign w:val="center"/>
          </w:tcPr>
          <w:p w:rsidR="00337D1D" w:rsidRDefault="00337D1D" w:rsidP="00EF62AB">
            <w:pPr>
              <w:widowControl/>
              <w:jc w:val="center"/>
              <w:rPr>
                <w:rFonts w:ascii="Arial Narrow" w:hAnsi="Arial Narrow"/>
                <w:sz w:val="20"/>
                <w:lang w:val="en-US"/>
              </w:rPr>
            </w:pPr>
            <w:r>
              <w:rPr>
                <w:rFonts w:ascii="Arial Narrow" w:hAnsi="Arial Narrow"/>
                <w:sz w:val="20"/>
                <w:lang w:val="en-US"/>
              </w:rPr>
              <w:t>Adult ≥18yrs</w:t>
            </w:r>
          </w:p>
          <w:p w:rsidR="00337D1D" w:rsidRDefault="00337D1D" w:rsidP="00EF62AB">
            <w:pPr>
              <w:widowControl/>
              <w:jc w:val="center"/>
              <w:rPr>
                <w:rFonts w:ascii="Arial Narrow" w:hAnsi="Arial Narrow"/>
                <w:sz w:val="20"/>
                <w:lang w:val="en-US"/>
              </w:rPr>
            </w:pPr>
            <w:r>
              <w:rPr>
                <w:rFonts w:ascii="Arial Narrow" w:hAnsi="Arial Narrow"/>
                <w:sz w:val="20"/>
                <w:lang w:val="en-US"/>
              </w:rPr>
              <w:t xml:space="preserve">HbA1c </w:t>
            </w:r>
          </w:p>
          <w:p w:rsidR="00337D1D" w:rsidRPr="00536FA3" w:rsidRDefault="00337D1D" w:rsidP="00EF62AB">
            <w:pPr>
              <w:widowControl/>
              <w:jc w:val="center"/>
              <w:rPr>
                <w:rFonts w:ascii="Arial Narrow" w:hAnsi="Arial Narrow"/>
                <w:sz w:val="20"/>
                <w:lang w:val="en-US"/>
              </w:rPr>
            </w:pPr>
            <w:r>
              <w:rPr>
                <w:rFonts w:ascii="Arial Narrow" w:hAnsi="Arial Narrow"/>
                <w:sz w:val="20"/>
                <w:lang w:val="en-US"/>
              </w:rPr>
              <w:t>7.0%</w:t>
            </w:r>
            <w:r w:rsidR="00FC7CCB">
              <w:rPr>
                <w:rFonts w:ascii="Arial Narrow" w:hAnsi="Arial Narrow"/>
                <w:sz w:val="20"/>
                <w:lang w:val="en-US"/>
              </w:rPr>
              <w:t>-</w:t>
            </w:r>
            <w:r w:rsidRPr="001D6253">
              <w:rPr>
                <w:rFonts w:ascii="Arial Narrow" w:hAnsi="Arial Narrow"/>
                <w:sz w:val="20"/>
                <w:lang w:val="en-US"/>
              </w:rPr>
              <w:t>10.5%</w:t>
            </w:r>
            <w:r>
              <w:rPr>
                <w:rFonts w:ascii="Arial Narrow" w:hAnsi="Arial Narrow"/>
                <w:sz w:val="20"/>
                <w:lang w:val="en-US"/>
              </w:rPr>
              <w:t xml:space="preserve"> (post 7 week OL run in)</w:t>
            </w:r>
          </w:p>
        </w:tc>
        <w:tc>
          <w:tcPr>
            <w:tcW w:w="253" w:type="pct"/>
            <w:vAlign w:val="center"/>
          </w:tcPr>
          <w:p w:rsidR="00337D1D" w:rsidRPr="00755D9C" w:rsidRDefault="00337D1D" w:rsidP="00EF62AB">
            <w:pPr>
              <w:widowControl/>
              <w:jc w:val="center"/>
              <w:rPr>
                <w:rFonts w:ascii="Arial Narrow" w:hAnsi="Arial Narrow"/>
                <w:sz w:val="20"/>
                <w:lang w:val="en-US"/>
              </w:rPr>
            </w:pPr>
            <w:r>
              <w:rPr>
                <w:rFonts w:ascii="Arial Narrow" w:hAnsi="Arial Narrow"/>
                <w:sz w:val="20"/>
                <w:lang w:val="en-US"/>
              </w:rPr>
              <w:t>Low</w:t>
            </w:r>
          </w:p>
        </w:tc>
      </w:tr>
      <w:tr w:rsidR="00337D1D" w:rsidRPr="00E574BA" w:rsidTr="00B270BA">
        <w:trPr>
          <w:cantSplit/>
        </w:trPr>
        <w:tc>
          <w:tcPr>
            <w:tcW w:w="408" w:type="pct"/>
            <w:shd w:val="clear" w:color="auto" w:fill="auto"/>
            <w:vAlign w:val="center"/>
          </w:tcPr>
          <w:p w:rsidR="00337D1D" w:rsidRDefault="00337D1D" w:rsidP="00EF62AB">
            <w:pPr>
              <w:widowControl/>
              <w:jc w:val="left"/>
              <w:rPr>
                <w:rFonts w:ascii="Arial Narrow" w:hAnsi="Arial Narrow"/>
                <w:sz w:val="20"/>
              </w:rPr>
            </w:pPr>
            <w:r>
              <w:rPr>
                <w:rFonts w:ascii="Arial Narrow" w:hAnsi="Arial Narrow"/>
                <w:sz w:val="20"/>
              </w:rPr>
              <w:t>1275.1</w:t>
            </w:r>
          </w:p>
        </w:tc>
        <w:tc>
          <w:tcPr>
            <w:tcW w:w="378" w:type="pct"/>
            <w:shd w:val="clear" w:color="auto" w:fill="auto"/>
            <w:vAlign w:val="center"/>
          </w:tcPr>
          <w:p w:rsidR="00337D1D" w:rsidRDefault="00337D1D" w:rsidP="00EF62AB">
            <w:pPr>
              <w:widowControl/>
              <w:jc w:val="center"/>
              <w:rPr>
                <w:rFonts w:ascii="Arial Narrow" w:hAnsi="Arial Narrow"/>
                <w:sz w:val="20"/>
              </w:rPr>
            </w:pPr>
            <w:r>
              <w:rPr>
                <w:rFonts w:ascii="Arial Narrow" w:hAnsi="Arial Narrow"/>
                <w:sz w:val="20"/>
              </w:rPr>
              <w:t>R, DB, PC, MC</w:t>
            </w:r>
          </w:p>
          <w:p w:rsidR="00337D1D" w:rsidRDefault="00337D1D" w:rsidP="00EF62AB">
            <w:pPr>
              <w:widowControl/>
              <w:jc w:val="center"/>
              <w:rPr>
                <w:rFonts w:ascii="Arial Narrow" w:hAnsi="Arial Narrow"/>
                <w:sz w:val="20"/>
              </w:rPr>
            </w:pPr>
            <w:r>
              <w:rPr>
                <w:rFonts w:ascii="Arial Narrow" w:hAnsi="Arial Narrow"/>
                <w:sz w:val="20"/>
              </w:rPr>
              <w:t>FAS LOCF</w:t>
            </w:r>
          </w:p>
        </w:tc>
        <w:tc>
          <w:tcPr>
            <w:tcW w:w="214" w:type="pct"/>
            <w:shd w:val="clear" w:color="auto" w:fill="auto"/>
            <w:vAlign w:val="center"/>
          </w:tcPr>
          <w:p w:rsidR="00337D1D" w:rsidRDefault="00337D1D" w:rsidP="00EF62AB">
            <w:pPr>
              <w:widowControl/>
              <w:jc w:val="center"/>
              <w:rPr>
                <w:rFonts w:ascii="Arial Narrow" w:hAnsi="Arial Narrow"/>
                <w:sz w:val="20"/>
                <w:lang w:val="en-US"/>
              </w:rPr>
            </w:pPr>
            <w:r>
              <w:rPr>
                <w:rFonts w:ascii="Arial Narrow" w:hAnsi="Arial Narrow"/>
                <w:sz w:val="20"/>
                <w:lang w:val="en-US"/>
              </w:rPr>
              <w:t>137</w:t>
            </w:r>
          </w:p>
          <w:p w:rsidR="00337D1D" w:rsidRDefault="00337D1D" w:rsidP="00EF62AB">
            <w:pPr>
              <w:widowControl/>
              <w:jc w:val="center"/>
              <w:rPr>
                <w:rFonts w:ascii="Arial Narrow" w:hAnsi="Arial Narrow"/>
                <w:sz w:val="20"/>
                <w:lang w:val="en-US"/>
              </w:rPr>
            </w:pPr>
            <w:r>
              <w:rPr>
                <w:rFonts w:ascii="Arial Narrow" w:hAnsi="Arial Narrow"/>
                <w:sz w:val="20"/>
                <w:lang w:val="en-US"/>
              </w:rPr>
              <w:t>136</w:t>
            </w:r>
          </w:p>
          <w:p w:rsidR="00337D1D" w:rsidRDefault="00337D1D" w:rsidP="00EF62AB">
            <w:pPr>
              <w:widowControl/>
              <w:jc w:val="center"/>
              <w:rPr>
                <w:rFonts w:ascii="Arial Narrow" w:hAnsi="Arial Narrow"/>
                <w:sz w:val="20"/>
                <w:lang w:val="en-US"/>
              </w:rPr>
            </w:pPr>
            <w:r>
              <w:rPr>
                <w:rFonts w:ascii="Arial Narrow" w:hAnsi="Arial Narrow"/>
                <w:sz w:val="20"/>
                <w:lang w:val="en-US"/>
              </w:rPr>
              <w:t>141</w:t>
            </w:r>
          </w:p>
          <w:p w:rsidR="00337D1D" w:rsidRDefault="00337D1D" w:rsidP="00EF62AB">
            <w:pPr>
              <w:widowControl/>
              <w:jc w:val="center"/>
              <w:rPr>
                <w:rFonts w:ascii="Arial Narrow" w:hAnsi="Arial Narrow"/>
                <w:sz w:val="20"/>
                <w:lang w:val="en-US"/>
              </w:rPr>
            </w:pPr>
            <w:r>
              <w:rPr>
                <w:rFonts w:ascii="Arial Narrow" w:hAnsi="Arial Narrow"/>
                <w:sz w:val="20"/>
                <w:lang w:val="en-US"/>
              </w:rPr>
              <w:t>140</w:t>
            </w:r>
          </w:p>
          <w:p w:rsidR="00337D1D" w:rsidRDefault="00337D1D" w:rsidP="00EF62AB">
            <w:pPr>
              <w:widowControl/>
              <w:jc w:val="center"/>
              <w:rPr>
                <w:rFonts w:ascii="Arial Narrow" w:hAnsi="Arial Narrow"/>
                <w:sz w:val="20"/>
                <w:lang w:val="en-US"/>
              </w:rPr>
            </w:pPr>
            <w:r>
              <w:rPr>
                <w:rFonts w:ascii="Arial Narrow" w:hAnsi="Arial Narrow"/>
                <w:sz w:val="20"/>
                <w:lang w:val="en-US"/>
              </w:rPr>
              <w:t>132</w:t>
            </w:r>
          </w:p>
        </w:tc>
        <w:tc>
          <w:tcPr>
            <w:tcW w:w="1655" w:type="pct"/>
            <w:shd w:val="clear" w:color="auto" w:fill="auto"/>
            <w:vAlign w:val="center"/>
          </w:tcPr>
          <w:p w:rsidR="00337D1D" w:rsidRDefault="00337D1D" w:rsidP="00EF62AB">
            <w:pPr>
              <w:widowControl/>
              <w:jc w:val="left"/>
              <w:rPr>
                <w:rFonts w:ascii="Arial Narrow" w:hAnsi="Arial Narrow"/>
                <w:sz w:val="20"/>
                <w:lang w:val="en-US"/>
              </w:rPr>
            </w:pPr>
            <w:r>
              <w:rPr>
                <w:rFonts w:ascii="Arial Narrow" w:hAnsi="Arial Narrow"/>
                <w:sz w:val="20"/>
                <w:lang w:val="en-US"/>
              </w:rPr>
              <w:t>MET+EMPA 25</w:t>
            </w:r>
            <w:r w:rsidR="007452AD">
              <w:rPr>
                <w:rFonts w:ascii="Arial Narrow" w:hAnsi="Arial Narrow"/>
                <w:sz w:val="20"/>
                <w:lang w:val="en-US"/>
              </w:rPr>
              <w:t xml:space="preserve"> mg</w:t>
            </w:r>
            <w:r>
              <w:rPr>
                <w:rFonts w:ascii="Arial Narrow" w:hAnsi="Arial Narrow"/>
                <w:sz w:val="20"/>
                <w:lang w:val="en-US"/>
              </w:rPr>
              <w:t>+LINA 5</w:t>
            </w:r>
            <w:r w:rsidR="007452AD">
              <w:rPr>
                <w:rFonts w:ascii="Arial Narrow" w:hAnsi="Arial Narrow"/>
                <w:sz w:val="20"/>
                <w:lang w:val="en-US"/>
              </w:rPr>
              <w:t xml:space="preserve"> mg</w:t>
            </w:r>
            <w:r>
              <w:rPr>
                <w:rFonts w:ascii="Arial Narrow" w:hAnsi="Arial Narrow"/>
                <w:sz w:val="20"/>
                <w:lang w:val="en-US"/>
              </w:rPr>
              <w:t xml:space="preserve"> FDC</w:t>
            </w:r>
          </w:p>
          <w:p w:rsidR="00337D1D" w:rsidRDefault="00337D1D" w:rsidP="00EF62AB">
            <w:pPr>
              <w:widowControl/>
              <w:jc w:val="left"/>
              <w:rPr>
                <w:rFonts w:ascii="Arial Narrow" w:hAnsi="Arial Narrow"/>
                <w:sz w:val="20"/>
                <w:lang w:val="en-US"/>
              </w:rPr>
            </w:pPr>
            <w:r>
              <w:rPr>
                <w:rFonts w:ascii="Arial Narrow" w:hAnsi="Arial Narrow"/>
                <w:sz w:val="20"/>
                <w:lang w:val="en-US"/>
              </w:rPr>
              <w:t>MET+EMPA 10</w:t>
            </w:r>
            <w:r w:rsidR="007452AD">
              <w:rPr>
                <w:rFonts w:ascii="Arial Narrow" w:hAnsi="Arial Narrow"/>
                <w:sz w:val="20"/>
                <w:lang w:val="en-US"/>
              </w:rPr>
              <w:t xml:space="preserve"> mg</w:t>
            </w:r>
            <w:r>
              <w:rPr>
                <w:rFonts w:ascii="Arial Narrow" w:hAnsi="Arial Narrow"/>
                <w:sz w:val="20"/>
                <w:lang w:val="en-US"/>
              </w:rPr>
              <w:t>+LINA 5</w:t>
            </w:r>
            <w:r w:rsidR="007452AD">
              <w:rPr>
                <w:rFonts w:ascii="Arial Narrow" w:hAnsi="Arial Narrow"/>
                <w:sz w:val="20"/>
                <w:lang w:val="en-US"/>
              </w:rPr>
              <w:t xml:space="preserve"> mg</w:t>
            </w:r>
            <w:r>
              <w:rPr>
                <w:rFonts w:ascii="Arial Narrow" w:hAnsi="Arial Narrow"/>
                <w:sz w:val="20"/>
                <w:lang w:val="en-US"/>
              </w:rPr>
              <w:t xml:space="preserve"> FDC </w:t>
            </w:r>
          </w:p>
          <w:p w:rsidR="00337D1D" w:rsidRDefault="00337D1D" w:rsidP="00EF62AB">
            <w:pPr>
              <w:widowControl/>
              <w:jc w:val="left"/>
              <w:rPr>
                <w:rFonts w:ascii="Arial Narrow" w:hAnsi="Arial Narrow"/>
                <w:sz w:val="20"/>
                <w:lang w:val="en-US"/>
              </w:rPr>
            </w:pPr>
            <w:r>
              <w:rPr>
                <w:rFonts w:ascii="Arial Narrow" w:hAnsi="Arial Narrow"/>
                <w:sz w:val="20"/>
                <w:lang w:val="en-US"/>
              </w:rPr>
              <w:t>MET+EMPA 25</w:t>
            </w:r>
            <w:r w:rsidR="007452AD">
              <w:rPr>
                <w:rFonts w:ascii="Arial Narrow" w:hAnsi="Arial Narrow"/>
                <w:sz w:val="20"/>
                <w:lang w:val="en-US"/>
              </w:rPr>
              <w:t xml:space="preserve"> mg</w:t>
            </w:r>
            <w:r>
              <w:rPr>
                <w:rFonts w:ascii="Arial Narrow" w:hAnsi="Arial Narrow"/>
                <w:sz w:val="20"/>
                <w:lang w:val="en-US"/>
              </w:rPr>
              <w:t>+Pbo</w:t>
            </w:r>
          </w:p>
          <w:p w:rsidR="00337D1D" w:rsidRDefault="00337D1D" w:rsidP="00EF62AB">
            <w:pPr>
              <w:widowControl/>
              <w:jc w:val="left"/>
              <w:rPr>
                <w:rFonts w:ascii="Arial Narrow" w:hAnsi="Arial Narrow"/>
                <w:sz w:val="20"/>
                <w:lang w:val="en-US"/>
              </w:rPr>
            </w:pPr>
            <w:r>
              <w:rPr>
                <w:rFonts w:ascii="Arial Narrow" w:hAnsi="Arial Narrow"/>
                <w:sz w:val="20"/>
                <w:lang w:val="en-US"/>
              </w:rPr>
              <w:t>MET+EMPA 10</w:t>
            </w:r>
            <w:r w:rsidR="007452AD">
              <w:rPr>
                <w:rFonts w:ascii="Arial Narrow" w:hAnsi="Arial Narrow"/>
                <w:sz w:val="20"/>
                <w:lang w:val="en-US"/>
              </w:rPr>
              <w:t xml:space="preserve"> mg</w:t>
            </w:r>
            <w:r>
              <w:rPr>
                <w:rFonts w:ascii="Arial Narrow" w:hAnsi="Arial Narrow"/>
                <w:sz w:val="20"/>
                <w:lang w:val="en-US"/>
              </w:rPr>
              <w:t>+Pbo</w:t>
            </w:r>
          </w:p>
          <w:p w:rsidR="00337D1D" w:rsidRDefault="00337D1D" w:rsidP="00EF62AB">
            <w:pPr>
              <w:widowControl/>
              <w:jc w:val="left"/>
              <w:rPr>
                <w:rFonts w:ascii="Arial Narrow" w:hAnsi="Arial Narrow"/>
                <w:sz w:val="20"/>
                <w:lang w:val="en-US"/>
              </w:rPr>
            </w:pPr>
            <w:r>
              <w:rPr>
                <w:rFonts w:ascii="Arial Narrow" w:hAnsi="Arial Narrow"/>
                <w:sz w:val="20"/>
                <w:lang w:val="en-US"/>
              </w:rPr>
              <w:t>MET+LINA 5</w:t>
            </w:r>
            <w:r w:rsidR="007452AD">
              <w:rPr>
                <w:rFonts w:ascii="Arial Narrow" w:hAnsi="Arial Narrow"/>
                <w:sz w:val="20"/>
                <w:lang w:val="en-US"/>
              </w:rPr>
              <w:t xml:space="preserve"> mg</w:t>
            </w:r>
            <w:r>
              <w:rPr>
                <w:rFonts w:ascii="Arial Narrow" w:hAnsi="Arial Narrow"/>
                <w:sz w:val="20"/>
                <w:lang w:val="en-US"/>
              </w:rPr>
              <w:t>+Pbo</w:t>
            </w:r>
          </w:p>
        </w:tc>
        <w:tc>
          <w:tcPr>
            <w:tcW w:w="890" w:type="pct"/>
            <w:shd w:val="clear" w:color="auto" w:fill="auto"/>
            <w:vAlign w:val="center"/>
          </w:tcPr>
          <w:p w:rsidR="00337D1D" w:rsidRDefault="00337D1D" w:rsidP="00EF62AB">
            <w:pPr>
              <w:widowControl/>
              <w:tabs>
                <w:tab w:val="right" w:pos="3105"/>
              </w:tabs>
              <w:jc w:val="center"/>
              <w:rPr>
                <w:rFonts w:ascii="Arial Narrow" w:hAnsi="Arial Narrow"/>
                <w:sz w:val="20"/>
                <w:lang w:val="en-US"/>
              </w:rPr>
            </w:pPr>
            <w:r>
              <w:rPr>
                <w:rFonts w:ascii="Arial Narrow" w:hAnsi="Arial Narrow"/>
                <w:sz w:val="20"/>
                <w:lang w:val="en-US"/>
              </w:rPr>
              <w:t>2 week SB run in</w:t>
            </w:r>
          </w:p>
          <w:p w:rsidR="00337D1D" w:rsidRDefault="00337D1D" w:rsidP="00EF62AB">
            <w:pPr>
              <w:widowControl/>
              <w:tabs>
                <w:tab w:val="right" w:pos="3105"/>
              </w:tabs>
              <w:jc w:val="center"/>
              <w:rPr>
                <w:rFonts w:ascii="Arial Narrow" w:hAnsi="Arial Narrow"/>
                <w:sz w:val="20"/>
                <w:lang w:val="en-US"/>
              </w:rPr>
            </w:pPr>
            <w:r>
              <w:rPr>
                <w:rFonts w:ascii="Arial Narrow" w:hAnsi="Arial Narrow"/>
                <w:sz w:val="20"/>
                <w:lang w:val="en-US"/>
              </w:rPr>
              <w:t>+</w:t>
            </w:r>
            <w:r w:rsidRPr="009E0ECC">
              <w:rPr>
                <w:rFonts w:ascii="Arial Narrow" w:hAnsi="Arial Narrow"/>
                <w:sz w:val="20"/>
                <w:u w:val="single"/>
                <w:lang w:val="en-US"/>
              </w:rPr>
              <w:t>24/52 week RCT</w:t>
            </w:r>
          </w:p>
          <w:p w:rsidR="00337D1D" w:rsidRDefault="00337D1D" w:rsidP="00EF62AB">
            <w:pPr>
              <w:widowControl/>
              <w:tabs>
                <w:tab w:val="right" w:pos="3105"/>
              </w:tabs>
              <w:jc w:val="center"/>
              <w:rPr>
                <w:rFonts w:ascii="Arial Narrow" w:hAnsi="Arial Narrow"/>
                <w:sz w:val="20"/>
                <w:lang w:val="en-US"/>
              </w:rPr>
            </w:pPr>
            <w:r>
              <w:rPr>
                <w:rFonts w:ascii="Arial Narrow" w:hAnsi="Arial Narrow"/>
                <w:sz w:val="20"/>
                <w:lang w:val="en-US"/>
              </w:rPr>
              <w:t>+4 week follow up</w:t>
            </w:r>
          </w:p>
        </w:tc>
        <w:tc>
          <w:tcPr>
            <w:tcW w:w="503" w:type="pct"/>
            <w:shd w:val="clear" w:color="auto" w:fill="auto"/>
            <w:vAlign w:val="center"/>
          </w:tcPr>
          <w:p w:rsidR="00337D1D" w:rsidRPr="00E574BA" w:rsidRDefault="00337D1D" w:rsidP="00EF62AB">
            <w:pPr>
              <w:widowControl/>
              <w:jc w:val="center"/>
              <w:rPr>
                <w:rFonts w:ascii="Arial Narrow" w:hAnsi="Arial Narrow"/>
                <w:sz w:val="20"/>
                <w:lang w:val="en-US"/>
              </w:rPr>
            </w:pPr>
            <w:r>
              <w:rPr>
                <w:rFonts w:ascii="Arial Narrow" w:hAnsi="Arial Narrow"/>
                <w:sz w:val="20"/>
              </w:rPr>
              <w:t>Mean change in HbA1c</w:t>
            </w:r>
          </w:p>
        </w:tc>
        <w:tc>
          <w:tcPr>
            <w:tcW w:w="700" w:type="pct"/>
            <w:shd w:val="clear" w:color="auto" w:fill="auto"/>
            <w:vAlign w:val="center"/>
          </w:tcPr>
          <w:p w:rsidR="00337D1D" w:rsidRDefault="00337D1D" w:rsidP="00EF62AB">
            <w:pPr>
              <w:widowControl/>
              <w:jc w:val="center"/>
              <w:rPr>
                <w:rFonts w:ascii="Arial Narrow" w:hAnsi="Arial Narrow"/>
                <w:sz w:val="20"/>
                <w:lang w:val="en-US"/>
              </w:rPr>
            </w:pPr>
            <w:r>
              <w:rPr>
                <w:rFonts w:ascii="Arial Narrow" w:hAnsi="Arial Narrow"/>
                <w:sz w:val="20"/>
                <w:lang w:val="en-US"/>
              </w:rPr>
              <w:t>Adult ≥18yrs</w:t>
            </w:r>
          </w:p>
          <w:p w:rsidR="00337D1D" w:rsidRDefault="00337D1D" w:rsidP="00EF62AB">
            <w:pPr>
              <w:widowControl/>
              <w:jc w:val="center"/>
              <w:rPr>
                <w:rFonts w:ascii="Arial Narrow" w:hAnsi="Arial Narrow"/>
                <w:sz w:val="20"/>
                <w:lang w:val="en-US"/>
              </w:rPr>
            </w:pPr>
            <w:r>
              <w:rPr>
                <w:rFonts w:ascii="Arial Narrow" w:hAnsi="Arial Narrow"/>
                <w:sz w:val="20"/>
                <w:lang w:val="en-US"/>
              </w:rPr>
              <w:t xml:space="preserve">HbA1c </w:t>
            </w:r>
          </w:p>
          <w:p w:rsidR="00337D1D" w:rsidRDefault="00337D1D" w:rsidP="00EF62AB">
            <w:pPr>
              <w:widowControl/>
              <w:jc w:val="center"/>
              <w:rPr>
                <w:rFonts w:ascii="Arial Narrow" w:hAnsi="Arial Narrow"/>
                <w:sz w:val="20"/>
                <w:lang w:val="en-US"/>
              </w:rPr>
            </w:pPr>
            <w:r>
              <w:rPr>
                <w:rFonts w:ascii="Arial Narrow" w:hAnsi="Arial Narrow"/>
                <w:sz w:val="20"/>
                <w:lang w:val="en-US"/>
              </w:rPr>
              <w:t>7.0%</w:t>
            </w:r>
            <w:r w:rsidR="00FC7CCB">
              <w:rPr>
                <w:rFonts w:ascii="Arial Narrow" w:hAnsi="Arial Narrow"/>
                <w:sz w:val="20"/>
                <w:lang w:val="en-US"/>
              </w:rPr>
              <w:t>-</w:t>
            </w:r>
            <w:r w:rsidRPr="001D6253">
              <w:rPr>
                <w:rFonts w:ascii="Arial Narrow" w:hAnsi="Arial Narrow"/>
                <w:sz w:val="20"/>
                <w:lang w:val="en-US"/>
              </w:rPr>
              <w:t>10.5%</w:t>
            </w:r>
            <w:r>
              <w:rPr>
                <w:rFonts w:ascii="Arial Narrow" w:hAnsi="Arial Narrow"/>
                <w:sz w:val="20"/>
                <w:lang w:val="en-US"/>
              </w:rPr>
              <w:t xml:space="preserve"> (post 2 week SB run in)</w:t>
            </w:r>
          </w:p>
        </w:tc>
        <w:tc>
          <w:tcPr>
            <w:tcW w:w="253" w:type="pct"/>
            <w:vAlign w:val="center"/>
          </w:tcPr>
          <w:p w:rsidR="00337D1D" w:rsidRDefault="00337D1D" w:rsidP="00EF62AB">
            <w:pPr>
              <w:widowControl/>
              <w:jc w:val="center"/>
              <w:rPr>
                <w:rFonts w:ascii="Arial Narrow" w:hAnsi="Arial Narrow"/>
                <w:sz w:val="20"/>
                <w:lang w:val="en-US"/>
              </w:rPr>
            </w:pPr>
            <w:r>
              <w:rPr>
                <w:rFonts w:ascii="Arial Narrow" w:hAnsi="Arial Narrow"/>
                <w:sz w:val="20"/>
                <w:lang w:val="en-US"/>
              </w:rPr>
              <w:t>Low</w:t>
            </w:r>
          </w:p>
        </w:tc>
      </w:tr>
      <w:tr w:rsidR="00337D1D" w:rsidRPr="00E67B99" w:rsidTr="00B270BA">
        <w:trPr>
          <w:cantSplit/>
        </w:trPr>
        <w:tc>
          <w:tcPr>
            <w:tcW w:w="5000" w:type="pct"/>
            <w:gridSpan w:val="8"/>
            <w:shd w:val="clear" w:color="auto" w:fill="auto"/>
            <w:vAlign w:val="center"/>
          </w:tcPr>
          <w:p w:rsidR="00337D1D" w:rsidRPr="00E67B99" w:rsidRDefault="00337D1D" w:rsidP="00EF62AB">
            <w:pPr>
              <w:widowControl/>
              <w:jc w:val="left"/>
              <w:rPr>
                <w:rFonts w:ascii="Arial Narrow" w:hAnsi="Arial Narrow"/>
                <w:b/>
                <w:sz w:val="20"/>
                <w:lang w:val="en-US"/>
              </w:rPr>
            </w:pPr>
            <w:r>
              <w:rPr>
                <w:rFonts w:ascii="Arial Narrow" w:hAnsi="Arial Narrow"/>
                <w:b/>
                <w:sz w:val="20"/>
                <w:lang w:val="en-US"/>
              </w:rPr>
              <w:t>Insulin glargine (with metformin) trials</w:t>
            </w:r>
          </w:p>
        </w:tc>
      </w:tr>
      <w:tr w:rsidR="00337D1D" w:rsidRPr="00E574BA" w:rsidTr="00B270BA">
        <w:trPr>
          <w:cantSplit/>
        </w:trPr>
        <w:tc>
          <w:tcPr>
            <w:tcW w:w="408" w:type="pct"/>
            <w:shd w:val="clear" w:color="auto" w:fill="auto"/>
            <w:vAlign w:val="center"/>
          </w:tcPr>
          <w:p w:rsidR="00337D1D" w:rsidRDefault="00337D1D" w:rsidP="00EF62AB">
            <w:pPr>
              <w:widowControl/>
              <w:jc w:val="left"/>
              <w:rPr>
                <w:rFonts w:ascii="Arial Narrow" w:hAnsi="Arial Narrow"/>
                <w:sz w:val="20"/>
              </w:rPr>
            </w:pPr>
            <w:r>
              <w:rPr>
                <w:rFonts w:ascii="Arial Narrow" w:hAnsi="Arial Narrow"/>
                <w:sz w:val="20"/>
              </w:rPr>
              <w:t>EASIE</w:t>
            </w:r>
          </w:p>
        </w:tc>
        <w:tc>
          <w:tcPr>
            <w:tcW w:w="378" w:type="pct"/>
            <w:shd w:val="clear" w:color="auto" w:fill="auto"/>
            <w:vAlign w:val="center"/>
          </w:tcPr>
          <w:p w:rsidR="00337D1D" w:rsidRDefault="00337D1D" w:rsidP="00EF62AB">
            <w:pPr>
              <w:widowControl/>
              <w:jc w:val="center"/>
              <w:rPr>
                <w:rFonts w:ascii="Arial Narrow" w:hAnsi="Arial Narrow"/>
                <w:sz w:val="20"/>
              </w:rPr>
            </w:pPr>
            <w:r>
              <w:rPr>
                <w:rFonts w:ascii="Arial Narrow" w:hAnsi="Arial Narrow"/>
                <w:sz w:val="20"/>
              </w:rPr>
              <w:t>R, OL</w:t>
            </w:r>
          </w:p>
          <w:p w:rsidR="00337D1D" w:rsidRDefault="00337D1D" w:rsidP="00EF62AB">
            <w:pPr>
              <w:widowControl/>
              <w:jc w:val="center"/>
              <w:rPr>
                <w:rFonts w:ascii="Arial Narrow" w:hAnsi="Arial Narrow"/>
                <w:sz w:val="20"/>
              </w:rPr>
            </w:pPr>
            <w:r>
              <w:rPr>
                <w:rFonts w:ascii="Arial Narrow" w:hAnsi="Arial Narrow"/>
                <w:sz w:val="20"/>
              </w:rPr>
              <w:t>FAS LOCF</w:t>
            </w:r>
          </w:p>
        </w:tc>
        <w:tc>
          <w:tcPr>
            <w:tcW w:w="214" w:type="pct"/>
            <w:shd w:val="clear" w:color="auto" w:fill="auto"/>
            <w:vAlign w:val="center"/>
          </w:tcPr>
          <w:p w:rsidR="00337D1D" w:rsidRDefault="00337D1D" w:rsidP="00EF62AB">
            <w:pPr>
              <w:widowControl/>
              <w:jc w:val="center"/>
              <w:rPr>
                <w:rFonts w:ascii="Arial Narrow" w:hAnsi="Arial Narrow"/>
                <w:sz w:val="20"/>
                <w:lang w:val="en-US"/>
              </w:rPr>
            </w:pPr>
            <w:r>
              <w:rPr>
                <w:rFonts w:ascii="Arial Narrow" w:hAnsi="Arial Narrow"/>
                <w:sz w:val="20"/>
                <w:lang w:val="en-US"/>
              </w:rPr>
              <w:t>250</w:t>
            </w:r>
          </w:p>
          <w:p w:rsidR="00337D1D" w:rsidRDefault="00337D1D" w:rsidP="00EF62AB">
            <w:pPr>
              <w:widowControl/>
              <w:jc w:val="center"/>
              <w:rPr>
                <w:rFonts w:ascii="Arial Narrow" w:hAnsi="Arial Narrow"/>
                <w:sz w:val="20"/>
                <w:lang w:val="en-US"/>
              </w:rPr>
            </w:pPr>
            <w:r>
              <w:rPr>
                <w:rFonts w:ascii="Arial Narrow" w:hAnsi="Arial Narrow"/>
                <w:sz w:val="20"/>
                <w:lang w:val="en-US"/>
              </w:rPr>
              <w:t>265</w:t>
            </w:r>
          </w:p>
        </w:tc>
        <w:tc>
          <w:tcPr>
            <w:tcW w:w="1655" w:type="pct"/>
            <w:shd w:val="clear" w:color="auto" w:fill="auto"/>
            <w:vAlign w:val="center"/>
          </w:tcPr>
          <w:p w:rsidR="00337D1D" w:rsidRDefault="00337D1D" w:rsidP="00EF62AB">
            <w:pPr>
              <w:widowControl/>
              <w:jc w:val="left"/>
              <w:rPr>
                <w:rFonts w:ascii="Arial Narrow" w:hAnsi="Arial Narrow"/>
                <w:sz w:val="20"/>
                <w:lang w:val="en-US"/>
              </w:rPr>
            </w:pPr>
            <w:r>
              <w:rPr>
                <w:rFonts w:ascii="Arial Narrow" w:hAnsi="Arial Narrow"/>
                <w:sz w:val="20"/>
                <w:lang w:val="en-US"/>
              </w:rPr>
              <w:t>MET+insulin glargine</w:t>
            </w:r>
            <w:r w:rsidRPr="00221F8C">
              <w:rPr>
                <w:rFonts w:ascii="Arial Narrow" w:hAnsi="Arial Narrow"/>
                <w:sz w:val="20"/>
                <w:vertAlign w:val="superscript"/>
                <w:lang w:val="en-US"/>
              </w:rPr>
              <w:t xml:space="preserve">† </w:t>
            </w:r>
          </w:p>
          <w:p w:rsidR="00337D1D" w:rsidRDefault="00337D1D" w:rsidP="00EF62AB">
            <w:pPr>
              <w:widowControl/>
              <w:jc w:val="left"/>
              <w:rPr>
                <w:rFonts w:ascii="Arial Narrow" w:hAnsi="Arial Narrow"/>
                <w:sz w:val="20"/>
                <w:lang w:val="en-US"/>
              </w:rPr>
            </w:pPr>
            <w:r>
              <w:rPr>
                <w:rFonts w:ascii="Arial Narrow" w:hAnsi="Arial Narrow"/>
                <w:sz w:val="20"/>
                <w:lang w:val="en-US"/>
              </w:rPr>
              <w:t>MET+SITA 100</w:t>
            </w:r>
            <w:r w:rsidR="007452AD">
              <w:rPr>
                <w:rFonts w:ascii="Arial Narrow" w:hAnsi="Arial Narrow"/>
                <w:sz w:val="20"/>
                <w:lang w:val="en-US"/>
              </w:rPr>
              <w:t xml:space="preserve"> mg</w:t>
            </w:r>
            <w:r>
              <w:rPr>
                <w:rFonts w:ascii="Arial Narrow" w:hAnsi="Arial Narrow"/>
                <w:sz w:val="20"/>
                <w:lang w:val="en-US"/>
              </w:rPr>
              <w:t xml:space="preserve"> </w:t>
            </w:r>
          </w:p>
        </w:tc>
        <w:tc>
          <w:tcPr>
            <w:tcW w:w="890" w:type="pct"/>
            <w:shd w:val="clear" w:color="auto" w:fill="auto"/>
            <w:vAlign w:val="center"/>
          </w:tcPr>
          <w:p w:rsidR="00337D1D" w:rsidRPr="009E0ECC" w:rsidRDefault="00337D1D" w:rsidP="00EF62AB">
            <w:pPr>
              <w:widowControl/>
              <w:tabs>
                <w:tab w:val="right" w:pos="3105"/>
              </w:tabs>
              <w:jc w:val="center"/>
              <w:rPr>
                <w:rFonts w:ascii="Arial Narrow" w:hAnsi="Arial Narrow"/>
                <w:sz w:val="20"/>
                <w:u w:val="single"/>
                <w:lang w:val="en-US"/>
              </w:rPr>
            </w:pPr>
            <w:r w:rsidRPr="009E0ECC">
              <w:rPr>
                <w:rFonts w:ascii="Arial Narrow" w:hAnsi="Arial Narrow"/>
                <w:sz w:val="20"/>
                <w:u w:val="single"/>
                <w:lang w:val="en-US"/>
              </w:rPr>
              <w:t>24 week OL</w:t>
            </w:r>
          </w:p>
          <w:p w:rsidR="00337D1D" w:rsidRDefault="00337D1D" w:rsidP="00EF62AB">
            <w:pPr>
              <w:widowControl/>
              <w:tabs>
                <w:tab w:val="right" w:pos="3105"/>
              </w:tabs>
              <w:jc w:val="center"/>
              <w:rPr>
                <w:rFonts w:ascii="Arial Narrow" w:hAnsi="Arial Narrow"/>
                <w:sz w:val="20"/>
                <w:lang w:val="en-US"/>
              </w:rPr>
            </w:pPr>
            <w:r>
              <w:rPr>
                <w:rFonts w:ascii="Arial Narrow" w:hAnsi="Arial Narrow"/>
                <w:sz w:val="20"/>
                <w:lang w:val="en-US"/>
              </w:rPr>
              <w:t>+1-7 days follow up</w:t>
            </w:r>
          </w:p>
        </w:tc>
        <w:tc>
          <w:tcPr>
            <w:tcW w:w="503" w:type="pct"/>
            <w:shd w:val="clear" w:color="auto" w:fill="auto"/>
            <w:vAlign w:val="center"/>
          </w:tcPr>
          <w:p w:rsidR="00337D1D" w:rsidRPr="00E574BA" w:rsidRDefault="00337D1D" w:rsidP="00EF62AB">
            <w:pPr>
              <w:widowControl/>
              <w:jc w:val="center"/>
              <w:rPr>
                <w:rFonts w:ascii="Arial Narrow" w:hAnsi="Arial Narrow"/>
                <w:sz w:val="20"/>
                <w:lang w:val="en-US"/>
              </w:rPr>
            </w:pPr>
            <w:r>
              <w:rPr>
                <w:rFonts w:ascii="Arial Narrow" w:hAnsi="Arial Narrow"/>
                <w:sz w:val="20"/>
              </w:rPr>
              <w:t>Mean change in HbA1c</w:t>
            </w:r>
          </w:p>
        </w:tc>
        <w:tc>
          <w:tcPr>
            <w:tcW w:w="700" w:type="pct"/>
            <w:shd w:val="clear" w:color="auto" w:fill="auto"/>
            <w:vAlign w:val="center"/>
          </w:tcPr>
          <w:p w:rsidR="00337D1D" w:rsidRDefault="00337D1D" w:rsidP="00EF62AB">
            <w:pPr>
              <w:widowControl/>
              <w:jc w:val="center"/>
              <w:rPr>
                <w:rFonts w:ascii="Arial Narrow" w:hAnsi="Arial Narrow"/>
                <w:sz w:val="20"/>
                <w:lang w:val="en-US"/>
              </w:rPr>
            </w:pPr>
            <w:r>
              <w:rPr>
                <w:rFonts w:ascii="Arial Narrow" w:hAnsi="Arial Narrow"/>
                <w:sz w:val="20"/>
                <w:lang w:val="en-US"/>
              </w:rPr>
              <w:t>Adult 35-70yrs</w:t>
            </w:r>
          </w:p>
          <w:p w:rsidR="00337D1D" w:rsidRDefault="00337D1D" w:rsidP="00EF62AB">
            <w:pPr>
              <w:widowControl/>
              <w:jc w:val="center"/>
              <w:rPr>
                <w:rFonts w:ascii="Arial Narrow" w:hAnsi="Arial Narrow"/>
                <w:sz w:val="20"/>
                <w:lang w:val="en-US"/>
              </w:rPr>
            </w:pPr>
            <w:r>
              <w:rPr>
                <w:rFonts w:ascii="Arial Narrow" w:hAnsi="Arial Narrow"/>
                <w:sz w:val="20"/>
                <w:lang w:val="en-US"/>
              </w:rPr>
              <w:t xml:space="preserve">HbA1c </w:t>
            </w:r>
          </w:p>
          <w:p w:rsidR="00337D1D" w:rsidRDefault="00337D1D" w:rsidP="00EF62AB">
            <w:pPr>
              <w:widowControl/>
              <w:jc w:val="center"/>
              <w:rPr>
                <w:rFonts w:ascii="Arial Narrow" w:hAnsi="Arial Narrow"/>
                <w:sz w:val="20"/>
                <w:lang w:val="en-US"/>
              </w:rPr>
            </w:pPr>
            <w:r>
              <w:rPr>
                <w:rFonts w:ascii="Arial Narrow" w:hAnsi="Arial Narrow"/>
                <w:sz w:val="20"/>
                <w:lang w:val="en-US"/>
              </w:rPr>
              <w:t>7%</w:t>
            </w:r>
            <w:r w:rsidR="00FC7CCB">
              <w:rPr>
                <w:rFonts w:ascii="Arial Narrow" w:hAnsi="Arial Narrow"/>
                <w:sz w:val="20"/>
                <w:lang w:val="en-US"/>
              </w:rPr>
              <w:t xml:space="preserve"> to</w:t>
            </w:r>
            <w:r>
              <w:rPr>
                <w:rFonts w:ascii="Arial Narrow" w:hAnsi="Arial Narrow"/>
                <w:sz w:val="20"/>
                <w:lang w:val="en-US"/>
              </w:rPr>
              <w:t xml:space="preserve"> &lt;11</w:t>
            </w:r>
            <w:r w:rsidRPr="001D6253">
              <w:rPr>
                <w:rFonts w:ascii="Arial Narrow" w:hAnsi="Arial Narrow"/>
                <w:sz w:val="20"/>
                <w:lang w:val="en-US"/>
              </w:rPr>
              <w:t>%</w:t>
            </w:r>
            <w:r>
              <w:rPr>
                <w:rFonts w:ascii="Arial Narrow" w:hAnsi="Arial Narrow"/>
                <w:sz w:val="20"/>
                <w:lang w:val="en-US"/>
              </w:rPr>
              <w:t xml:space="preserve"> </w:t>
            </w:r>
          </w:p>
        </w:tc>
        <w:tc>
          <w:tcPr>
            <w:tcW w:w="253" w:type="pct"/>
            <w:vAlign w:val="center"/>
          </w:tcPr>
          <w:p w:rsidR="00337D1D" w:rsidRDefault="00337D1D" w:rsidP="00EF62AB">
            <w:pPr>
              <w:widowControl/>
              <w:jc w:val="center"/>
              <w:rPr>
                <w:rFonts w:ascii="Arial Narrow" w:hAnsi="Arial Narrow"/>
                <w:sz w:val="20"/>
                <w:lang w:val="en-US"/>
              </w:rPr>
            </w:pPr>
            <w:r>
              <w:rPr>
                <w:rFonts w:ascii="Arial Narrow" w:hAnsi="Arial Narrow"/>
                <w:sz w:val="20"/>
                <w:lang w:val="en-US"/>
              </w:rPr>
              <w:t>High</w:t>
            </w:r>
          </w:p>
        </w:tc>
      </w:tr>
      <w:tr w:rsidR="00337D1D" w:rsidRPr="00E574BA" w:rsidTr="00B270BA">
        <w:trPr>
          <w:cantSplit/>
        </w:trPr>
        <w:tc>
          <w:tcPr>
            <w:tcW w:w="408" w:type="pct"/>
            <w:shd w:val="clear" w:color="auto" w:fill="auto"/>
            <w:vAlign w:val="center"/>
          </w:tcPr>
          <w:p w:rsidR="00337D1D" w:rsidRDefault="00337D1D" w:rsidP="00EF62AB">
            <w:pPr>
              <w:widowControl/>
              <w:jc w:val="left"/>
              <w:rPr>
                <w:rFonts w:ascii="Arial Narrow" w:hAnsi="Arial Narrow"/>
                <w:sz w:val="20"/>
              </w:rPr>
            </w:pPr>
            <w:r>
              <w:rPr>
                <w:rFonts w:ascii="Arial Narrow" w:hAnsi="Arial Narrow"/>
                <w:sz w:val="20"/>
              </w:rPr>
              <w:t>EASIE Ext</w:t>
            </w:r>
          </w:p>
        </w:tc>
        <w:tc>
          <w:tcPr>
            <w:tcW w:w="378" w:type="pct"/>
            <w:shd w:val="clear" w:color="auto" w:fill="auto"/>
            <w:vAlign w:val="center"/>
          </w:tcPr>
          <w:p w:rsidR="00337D1D" w:rsidRDefault="00337D1D" w:rsidP="00EF62AB">
            <w:pPr>
              <w:widowControl/>
              <w:jc w:val="center"/>
              <w:rPr>
                <w:rFonts w:ascii="Arial Narrow" w:hAnsi="Arial Narrow"/>
                <w:sz w:val="20"/>
              </w:rPr>
            </w:pPr>
            <w:r>
              <w:rPr>
                <w:rFonts w:ascii="Arial Narrow" w:hAnsi="Arial Narrow"/>
                <w:sz w:val="20"/>
              </w:rPr>
              <w:t>OL, SA</w:t>
            </w:r>
          </w:p>
          <w:p w:rsidR="00337D1D" w:rsidRDefault="00337D1D" w:rsidP="00EF62AB">
            <w:pPr>
              <w:widowControl/>
              <w:jc w:val="center"/>
              <w:rPr>
                <w:rFonts w:ascii="Arial Narrow" w:hAnsi="Arial Narrow"/>
                <w:sz w:val="20"/>
              </w:rPr>
            </w:pPr>
            <w:r>
              <w:rPr>
                <w:rFonts w:ascii="Arial Narrow" w:hAnsi="Arial Narrow"/>
                <w:sz w:val="20"/>
              </w:rPr>
              <w:t>MITT</w:t>
            </w:r>
          </w:p>
        </w:tc>
        <w:tc>
          <w:tcPr>
            <w:tcW w:w="214" w:type="pct"/>
            <w:shd w:val="clear" w:color="auto" w:fill="auto"/>
            <w:vAlign w:val="center"/>
          </w:tcPr>
          <w:p w:rsidR="00337D1D" w:rsidRDefault="00337D1D" w:rsidP="00EF62AB">
            <w:pPr>
              <w:widowControl/>
              <w:jc w:val="center"/>
              <w:rPr>
                <w:rFonts w:ascii="Arial Narrow" w:hAnsi="Arial Narrow"/>
                <w:sz w:val="20"/>
                <w:lang w:val="en-US"/>
              </w:rPr>
            </w:pPr>
            <w:r>
              <w:rPr>
                <w:rFonts w:ascii="Arial Narrow" w:hAnsi="Arial Narrow"/>
                <w:sz w:val="20"/>
                <w:lang w:val="en-US"/>
              </w:rPr>
              <w:t>74</w:t>
            </w:r>
          </w:p>
          <w:p w:rsidR="00337D1D" w:rsidRDefault="00337D1D" w:rsidP="00EF62AB">
            <w:pPr>
              <w:widowControl/>
              <w:jc w:val="center"/>
              <w:rPr>
                <w:rFonts w:ascii="Arial Narrow" w:hAnsi="Arial Narrow"/>
                <w:sz w:val="20"/>
                <w:lang w:val="en-US"/>
              </w:rPr>
            </w:pPr>
          </w:p>
          <w:p w:rsidR="00337D1D" w:rsidRDefault="00337D1D" w:rsidP="00EF62AB">
            <w:pPr>
              <w:widowControl/>
              <w:jc w:val="center"/>
              <w:rPr>
                <w:rFonts w:ascii="Arial Narrow" w:hAnsi="Arial Narrow"/>
                <w:sz w:val="20"/>
                <w:lang w:val="en-US"/>
              </w:rPr>
            </w:pPr>
          </w:p>
        </w:tc>
        <w:tc>
          <w:tcPr>
            <w:tcW w:w="1655" w:type="pct"/>
            <w:shd w:val="clear" w:color="auto" w:fill="auto"/>
            <w:vAlign w:val="center"/>
          </w:tcPr>
          <w:p w:rsidR="00337D1D" w:rsidRDefault="00337D1D" w:rsidP="00EF62AB">
            <w:pPr>
              <w:widowControl/>
              <w:tabs>
                <w:tab w:val="right" w:pos="3105"/>
              </w:tabs>
              <w:jc w:val="left"/>
              <w:rPr>
                <w:rFonts w:ascii="Arial Narrow" w:hAnsi="Arial Narrow"/>
                <w:sz w:val="20"/>
                <w:lang w:val="en-US"/>
              </w:rPr>
            </w:pPr>
            <w:r>
              <w:rPr>
                <w:rFonts w:ascii="Arial Narrow" w:hAnsi="Arial Narrow"/>
                <w:sz w:val="20"/>
                <w:lang w:val="en-US"/>
              </w:rPr>
              <w:t>MET+insulin glargine</w:t>
            </w:r>
            <w:r w:rsidRPr="00221F8C">
              <w:rPr>
                <w:rFonts w:ascii="Arial Narrow" w:hAnsi="Arial Narrow"/>
                <w:sz w:val="20"/>
                <w:vertAlign w:val="superscript"/>
                <w:lang w:val="en-US"/>
              </w:rPr>
              <w:t>†</w:t>
            </w:r>
            <w:r>
              <w:rPr>
                <w:rFonts w:ascii="Arial Narrow" w:hAnsi="Arial Narrow"/>
                <w:sz w:val="20"/>
                <w:lang w:val="en-US"/>
              </w:rPr>
              <w:t xml:space="preserve">+SITA </w:t>
            </w:r>
          </w:p>
          <w:p w:rsidR="00337D1D" w:rsidRDefault="00337D1D" w:rsidP="00EF62AB">
            <w:pPr>
              <w:widowControl/>
              <w:tabs>
                <w:tab w:val="right" w:pos="3105"/>
              </w:tabs>
              <w:jc w:val="left"/>
              <w:rPr>
                <w:rFonts w:ascii="Arial Narrow" w:hAnsi="Arial Narrow"/>
                <w:sz w:val="20"/>
                <w:lang w:val="en-US"/>
              </w:rPr>
            </w:pPr>
            <w:r>
              <w:rPr>
                <w:rFonts w:ascii="Arial Narrow" w:hAnsi="Arial Narrow"/>
                <w:sz w:val="20"/>
                <w:lang w:val="en-US"/>
              </w:rPr>
              <w:t>(insulin added to MET+SITA or SITA added to MET+insulin)</w:t>
            </w:r>
          </w:p>
        </w:tc>
        <w:tc>
          <w:tcPr>
            <w:tcW w:w="890" w:type="pct"/>
            <w:shd w:val="clear" w:color="auto" w:fill="auto"/>
            <w:vAlign w:val="center"/>
          </w:tcPr>
          <w:p w:rsidR="00337D1D" w:rsidRDefault="00337D1D" w:rsidP="00EF62AB">
            <w:pPr>
              <w:widowControl/>
              <w:tabs>
                <w:tab w:val="right" w:pos="3105"/>
              </w:tabs>
              <w:jc w:val="center"/>
              <w:rPr>
                <w:rFonts w:ascii="Arial Narrow" w:hAnsi="Arial Narrow"/>
                <w:sz w:val="20"/>
                <w:lang w:val="en-US"/>
              </w:rPr>
            </w:pPr>
            <w:r>
              <w:rPr>
                <w:rFonts w:ascii="Arial Narrow" w:hAnsi="Arial Narrow"/>
                <w:sz w:val="20"/>
                <w:lang w:val="en-US"/>
              </w:rPr>
              <w:t>12 week follow up to EASIE trial</w:t>
            </w:r>
          </w:p>
        </w:tc>
        <w:tc>
          <w:tcPr>
            <w:tcW w:w="503" w:type="pct"/>
            <w:shd w:val="clear" w:color="auto" w:fill="auto"/>
            <w:vAlign w:val="center"/>
          </w:tcPr>
          <w:p w:rsidR="00337D1D" w:rsidRDefault="00337D1D" w:rsidP="00EF62AB">
            <w:pPr>
              <w:widowControl/>
              <w:jc w:val="center"/>
              <w:rPr>
                <w:rFonts w:ascii="Arial Narrow" w:hAnsi="Arial Narrow"/>
                <w:sz w:val="20"/>
              </w:rPr>
            </w:pPr>
            <w:r>
              <w:rPr>
                <w:rFonts w:ascii="Arial Narrow" w:hAnsi="Arial Narrow"/>
                <w:sz w:val="20"/>
              </w:rPr>
              <w:t>Proportion achieving HbA1c &lt;7%</w:t>
            </w:r>
          </w:p>
        </w:tc>
        <w:tc>
          <w:tcPr>
            <w:tcW w:w="700" w:type="pct"/>
            <w:shd w:val="clear" w:color="auto" w:fill="auto"/>
            <w:vAlign w:val="center"/>
          </w:tcPr>
          <w:p w:rsidR="00337D1D" w:rsidRDefault="00337D1D" w:rsidP="00EF62AB">
            <w:pPr>
              <w:widowControl/>
              <w:jc w:val="center"/>
              <w:rPr>
                <w:rFonts w:ascii="Arial Narrow" w:hAnsi="Arial Narrow"/>
                <w:sz w:val="20"/>
                <w:lang w:val="en-US"/>
              </w:rPr>
            </w:pPr>
            <w:r>
              <w:rPr>
                <w:rFonts w:ascii="Arial Narrow" w:hAnsi="Arial Narrow"/>
                <w:sz w:val="20"/>
                <w:lang w:val="en-US"/>
              </w:rPr>
              <w:t>Uncontrolled after MET+ insulin or SITA in EASIE</w:t>
            </w:r>
          </w:p>
        </w:tc>
        <w:tc>
          <w:tcPr>
            <w:tcW w:w="253" w:type="pct"/>
            <w:vAlign w:val="center"/>
          </w:tcPr>
          <w:p w:rsidR="00337D1D" w:rsidRDefault="00337D1D" w:rsidP="00EF62AB">
            <w:pPr>
              <w:widowControl/>
              <w:jc w:val="center"/>
              <w:rPr>
                <w:rFonts w:ascii="Arial Narrow" w:hAnsi="Arial Narrow"/>
                <w:sz w:val="20"/>
                <w:lang w:val="en-US"/>
              </w:rPr>
            </w:pPr>
            <w:r>
              <w:rPr>
                <w:rFonts w:ascii="Arial Narrow" w:hAnsi="Arial Narrow"/>
                <w:sz w:val="20"/>
                <w:lang w:val="en-US"/>
              </w:rPr>
              <w:t>High</w:t>
            </w:r>
          </w:p>
        </w:tc>
      </w:tr>
      <w:tr w:rsidR="00337D1D" w:rsidRPr="00E67B99" w:rsidTr="00B270BA">
        <w:trPr>
          <w:cantSplit/>
        </w:trPr>
        <w:tc>
          <w:tcPr>
            <w:tcW w:w="5000" w:type="pct"/>
            <w:gridSpan w:val="8"/>
            <w:shd w:val="clear" w:color="auto" w:fill="auto"/>
            <w:vAlign w:val="center"/>
          </w:tcPr>
          <w:p w:rsidR="00337D1D" w:rsidRPr="00E67B99" w:rsidRDefault="00337D1D" w:rsidP="00EF62AB">
            <w:pPr>
              <w:widowControl/>
              <w:jc w:val="left"/>
              <w:rPr>
                <w:rFonts w:ascii="Arial Narrow" w:hAnsi="Arial Narrow"/>
                <w:b/>
                <w:sz w:val="20"/>
                <w:lang w:val="en-US"/>
              </w:rPr>
            </w:pPr>
            <w:r>
              <w:rPr>
                <w:rFonts w:ascii="Arial Narrow" w:hAnsi="Arial Narrow"/>
                <w:b/>
                <w:sz w:val="20"/>
                <w:lang w:val="en-US"/>
              </w:rPr>
              <w:t>Exenatide (with metformin) trials</w:t>
            </w:r>
          </w:p>
        </w:tc>
      </w:tr>
      <w:tr w:rsidR="00337D1D" w:rsidRPr="00E574BA" w:rsidTr="00B270BA">
        <w:trPr>
          <w:cantSplit/>
        </w:trPr>
        <w:tc>
          <w:tcPr>
            <w:tcW w:w="408" w:type="pct"/>
            <w:shd w:val="clear" w:color="auto" w:fill="auto"/>
            <w:vAlign w:val="center"/>
          </w:tcPr>
          <w:p w:rsidR="00337D1D" w:rsidRDefault="00337D1D" w:rsidP="00EF62AB">
            <w:pPr>
              <w:widowControl/>
              <w:jc w:val="left"/>
              <w:rPr>
                <w:rFonts w:ascii="Arial Narrow" w:hAnsi="Arial Narrow"/>
                <w:sz w:val="20"/>
              </w:rPr>
            </w:pPr>
            <w:r>
              <w:rPr>
                <w:rFonts w:ascii="Arial Narrow" w:hAnsi="Arial Narrow"/>
                <w:sz w:val="20"/>
              </w:rPr>
              <w:t>Violante 2012</w:t>
            </w:r>
          </w:p>
        </w:tc>
        <w:tc>
          <w:tcPr>
            <w:tcW w:w="378" w:type="pct"/>
            <w:shd w:val="clear" w:color="auto" w:fill="auto"/>
            <w:vAlign w:val="center"/>
          </w:tcPr>
          <w:p w:rsidR="00337D1D" w:rsidRDefault="00337D1D" w:rsidP="00EF62AB">
            <w:pPr>
              <w:widowControl/>
              <w:jc w:val="center"/>
              <w:rPr>
                <w:rFonts w:ascii="Arial Narrow" w:hAnsi="Arial Narrow"/>
                <w:sz w:val="20"/>
              </w:rPr>
            </w:pPr>
            <w:r>
              <w:rPr>
                <w:rFonts w:ascii="Arial Narrow" w:hAnsi="Arial Narrow"/>
                <w:sz w:val="20"/>
              </w:rPr>
              <w:t>R, DB, MC</w:t>
            </w:r>
          </w:p>
          <w:p w:rsidR="00337D1D" w:rsidRDefault="00337D1D" w:rsidP="00EF62AB">
            <w:pPr>
              <w:widowControl/>
              <w:jc w:val="center"/>
              <w:rPr>
                <w:rFonts w:ascii="Arial Narrow" w:hAnsi="Arial Narrow"/>
                <w:sz w:val="20"/>
              </w:rPr>
            </w:pPr>
            <w:r>
              <w:rPr>
                <w:rFonts w:ascii="Arial Narrow" w:hAnsi="Arial Narrow"/>
                <w:sz w:val="20"/>
              </w:rPr>
              <w:t>MMRM</w:t>
            </w:r>
          </w:p>
        </w:tc>
        <w:tc>
          <w:tcPr>
            <w:tcW w:w="214" w:type="pct"/>
            <w:shd w:val="clear" w:color="auto" w:fill="auto"/>
            <w:vAlign w:val="center"/>
          </w:tcPr>
          <w:p w:rsidR="00337D1D" w:rsidRDefault="00337D1D" w:rsidP="00EF62AB">
            <w:pPr>
              <w:widowControl/>
              <w:jc w:val="center"/>
              <w:rPr>
                <w:rFonts w:ascii="Arial Narrow" w:hAnsi="Arial Narrow"/>
                <w:sz w:val="20"/>
                <w:lang w:val="en-US"/>
              </w:rPr>
            </w:pPr>
            <w:r>
              <w:rPr>
                <w:rFonts w:ascii="Arial Narrow" w:hAnsi="Arial Narrow"/>
                <w:sz w:val="20"/>
                <w:lang w:val="en-US"/>
              </w:rPr>
              <w:t>127</w:t>
            </w:r>
          </w:p>
          <w:p w:rsidR="00337D1D" w:rsidRDefault="00337D1D" w:rsidP="00EF62AB">
            <w:pPr>
              <w:widowControl/>
              <w:jc w:val="center"/>
              <w:rPr>
                <w:rFonts w:ascii="Arial Narrow" w:hAnsi="Arial Narrow"/>
                <w:sz w:val="20"/>
                <w:lang w:val="en-US"/>
              </w:rPr>
            </w:pPr>
            <w:r>
              <w:rPr>
                <w:rFonts w:ascii="Arial Narrow" w:hAnsi="Arial Narrow"/>
                <w:sz w:val="20"/>
                <w:lang w:val="en-US"/>
              </w:rPr>
              <w:t>128</w:t>
            </w:r>
          </w:p>
        </w:tc>
        <w:tc>
          <w:tcPr>
            <w:tcW w:w="1655" w:type="pct"/>
            <w:shd w:val="clear" w:color="auto" w:fill="auto"/>
            <w:vAlign w:val="center"/>
          </w:tcPr>
          <w:p w:rsidR="00337D1D" w:rsidRDefault="00337D1D" w:rsidP="00EF62AB">
            <w:pPr>
              <w:widowControl/>
              <w:jc w:val="left"/>
              <w:rPr>
                <w:rFonts w:ascii="Arial Narrow" w:hAnsi="Arial Narrow"/>
                <w:sz w:val="20"/>
                <w:lang w:val="en-US"/>
              </w:rPr>
            </w:pPr>
            <w:r>
              <w:rPr>
                <w:rFonts w:ascii="Arial Narrow" w:hAnsi="Arial Narrow"/>
                <w:sz w:val="20"/>
                <w:lang w:val="en-US"/>
              </w:rPr>
              <w:t>MET+EXE 10</w:t>
            </w:r>
            <w:r w:rsidR="00335806">
              <w:rPr>
                <w:rFonts w:ascii="Arial Narrow" w:hAnsi="Arial Narrow"/>
                <w:sz w:val="20"/>
                <w:lang w:val="en-US"/>
              </w:rPr>
              <w:t xml:space="preserve"> µg</w:t>
            </w:r>
            <w:r>
              <w:rPr>
                <w:rFonts w:ascii="Arial Narrow" w:hAnsi="Arial Narrow"/>
                <w:sz w:val="20"/>
                <w:lang w:val="en-US"/>
              </w:rPr>
              <w:t xml:space="preserve"> BD</w:t>
            </w:r>
          </w:p>
          <w:p w:rsidR="00337D1D" w:rsidRDefault="00337D1D" w:rsidP="00EF62AB">
            <w:pPr>
              <w:widowControl/>
              <w:jc w:val="left"/>
              <w:rPr>
                <w:rFonts w:ascii="Arial Narrow" w:hAnsi="Arial Narrow"/>
                <w:sz w:val="20"/>
                <w:lang w:val="en-US"/>
              </w:rPr>
            </w:pPr>
            <w:r w:rsidRPr="00227C62">
              <w:rPr>
                <w:rFonts w:ascii="Arial Narrow" w:hAnsi="Arial Narrow"/>
                <w:sz w:val="20"/>
                <w:lang w:val="en-US"/>
              </w:rPr>
              <w:t>MET+EXE 10</w:t>
            </w:r>
            <w:r w:rsidR="00335806">
              <w:rPr>
                <w:rFonts w:ascii="Arial Narrow" w:hAnsi="Arial Narrow"/>
                <w:sz w:val="20"/>
                <w:lang w:val="en-US"/>
              </w:rPr>
              <w:t xml:space="preserve"> µg</w:t>
            </w:r>
            <w:r w:rsidRPr="00227C62">
              <w:rPr>
                <w:rFonts w:ascii="Arial Narrow" w:hAnsi="Arial Narrow"/>
                <w:sz w:val="20"/>
                <w:lang w:val="en-US"/>
              </w:rPr>
              <w:t xml:space="preserve"> BD+SITA 100</w:t>
            </w:r>
            <w:r w:rsidR="007452AD">
              <w:rPr>
                <w:rFonts w:ascii="Arial Narrow" w:hAnsi="Arial Narrow"/>
                <w:sz w:val="20"/>
                <w:lang w:val="en-US"/>
              </w:rPr>
              <w:t xml:space="preserve"> mg</w:t>
            </w:r>
            <w:r w:rsidRPr="00227C62">
              <w:rPr>
                <w:rFonts w:ascii="Arial Narrow" w:hAnsi="Arial Narrow"/>
                <w:sz w:val="20"/>
                <w:lang w:val="en-US"/>
              </w:rPr>
              <w:t xml:space="preserve"> </w:t>
            </w:r>
          </w:p>
        </w:tc>
        <w:tc>
          <w:tcPr>
            <w:tcW w:w="890" w:type="pct"/>
            <w:shd w:val="clear" w:color="auto" w:fill="auto"/>
            <w:vAlign w:val="center"/>
          </w:tcPr>
          <w:p w:rsidR="00337D1D" w:rsidRPr="009E0ECC" w:rsidRDefault="00337D1D" w:rsidP="00EF62AB">
            <w:pPr>
              <w:widowControl/>
              <w:tabs>
                <w:tab w:val="right" w:pos="3105"/>
              </w:tabs>
              <w:jc w:val="center"/>
              <w:rPr>
                <w:rFonts w:ascii="Arial Narrow" w:hAnsi="Arial Narrow"/>
                <w:sz w:val="20"/>
                <w:u w:val="single"/>
                <w:lang w:val="en-US"/>
              </w:rPr>
            </w:pPr>
            <w:r w:rsidRPr="009E0ECC">
              <w:rPr>
                <w:rFonts w:ascii="Arial Narrow" w:hAnsi="Arial Narrow"/>
                <w:sz w:val="20"/>
                <w:u w:val="single"/>
                <w:lang w:val="en-US"/>
              </w:rPr>
              <w:t>20 week RCT</w:t>
            </w:r>
          </w:p>
          <w:p w:rsidR="00337D1D" w:rsidRDefault="00337D1D" w:rsidP="00EF62AB">
            <w:pPr>
              <w:widowControl/>
              <w:tabs>
                <w:tab w:val="right" w:pos="3105"/>
              </w:tabs>
              <w:jc w:val="center"/>
              <w:rPr>
                <w:rFonts w:ascii="Arial Narrow" w:hAnsi="Arial Narrow"/>
                <w:sz w:val="20"/>
                <w:lang w:val="en-US"/>
              </w:rPr>
            </w:pPr>
            <w:r>
              <w:rPr>
                <w:rFonts w:ascii="Arial Narrow" w:hAnsi="Arial Narrow"/>
                <w:sz w:val="20"/>
                <w:lang w:val="en-US"/>
              </w:rPr>
              <w:t>(first 4 weeks EXE 5</w:t>
            </w:r>
            <w:r w:rsidR="00335806">
              <w:rPr>
                <w:rFonts w:ascii="Arial Narrow" w:hAnsi="Arial Narrow"/>
                <w:sz w:val="20"/>
                <w:lang w:val="en-US"/>
              </w:rPr>
              <w:t xml:space="preserve"> µg</w:t>
            </w:r>
            <w:r>
              <w:rPr>
                <w:rFonts w:ascii="Arial Narrow" w:hAnsi="Arial Narrow"/>
                <w:sz w:val="20"/>
                <w:lang w:val="en-US"/>
              </w:rPr>
              <w:t xml:space="preserve"> BD titration)</w:t>
            </w:r>
          </w:p>
        </w:tc>
        <w:tc>
          <w:tcPr>
            <w:tcW w:w="503" w:type="pct"/>
            <w:shd w:val="clear" w:color="auto" w:fill="auto"/>
            <w:vAlign w:val="center"/>
          </w:tcPr>
          <w:p w:rsidR="00337D1D" w:rsidRPr="00E574BA" w:rsidRDefault="00337D1D" w:rsidP="00EF62AB">
            <w:pPr>
              <w:widowControl/>
              <w:jc w:val="center"/>
              <w:rPr>
                <w:rFonts w:ascii="Arial Narrow" w:hAnsi="Arial Narrow"/>
                <w:sz w:val="20"/>
                <w:lang w:val="en-US"/>
              </w:rPr>
            </w:pPr>
            <w:r>
              <w:rPr>
                <w:rFonts w:ascii="Arial Narrow" w:hAnsi="Arial Narrow"/>
                <w:sz w:val="20"/>
              </w:rPr>
              <w:t>Mean change in HbA1c</w:t>
            </w:r>
          </w:p>
        </w:tc>
        <w:tc>
          <w:tcPr>
            <w:tcW w:w="700" w:type="pct"/>
            <w:shd w:val="clear" w:color="auto" w:fill="auto"/>
            <w:vAlign w:val="center"/>
          </w:tcPr>
          <w:p w:rsidR="00337D1D" w:rsidRDefault="00337D1D" w:rsidP="00EF62AB">
            <w:pPr>
              <w:widowControl/>
              <w:jc w:val="center"/>
              <w:rPr>
                <w:rFonts w:ascii="Arial Narrow" w:hAnsi="Arial Narrow"/>
                <w:sz w:val="20"/>
                <w:lang w:val="en-US"/>
              </w:rPr>
            </w:pPr>
            <w:r>
              <w:rPr>
                <w:rFonts w:ascii="Arial Narrow" w:hAnsi="Arial Narrow"/>
                <w:sz w:val="20"/>
                <w:lang w:val="en-US"/>
              </w:rPr>
              <w:t>Adult 18-75yrs</w:t>
            </w:r>
          </w:p>
          <w:p w:rsidR="00337D1D" w:rsidRDefault="00337D1D" w:rsidP="00EF62AB">
            <w:pPr>
              <w:widowControl/>
              <w:jc w:val="center"/>
              <w:rPr>
                <w:rFonts w:ascii="Arial Narrow" w:hAnsi="Arial Narrow"/>
                <w:sz w:val="20"/>
                <w:lang w:val="en-US"/>
              </w:rPr>
            </w:pPr>
            <w:r>
              <w:rPr>
                <w:rFonts w:ascii="Arial Narrow" w:hAnsi="Arial Narrow"/>
                <w:sz w:val="20"/>
                <w:lang w:val="en-US"/>
              </w:rPr>
              <w:t xml:space="preserve">HbA1c </w:t>
            </w:r>
          </w:p>
          <w:p w:rsidR="00337D1D" w:rsidRDefault="00337D1D" w:rsidP="00EF62AB">
            <w:pPr>
              <w:widowControl/>
              <w:jc w:val="center"/>
              <w:rPr>
                <w:rFonts w:ascii="Arial Narrow" w:hAnsi="Arial Narrow"/>
                <w:sz w:val="20"/>
                <w:lang w:val="en-US"/>
              </w:rPr>
            </w:pPr>
            <w:r>
              <w:rPr>
                <w:rFonts w:ascii="Arial Narrow" w:hAnsi="Arial Narrow"/>
                <w:sz w:val="20"/>
                <w:lang w:val="en-US"/>
              </w:rPr>
              <w:t>7%</w:t>
            </w:r>
            <w:r w:rsidR="00FC7CCB">
              <w:rPr>
                <w:rFonts w:ascii="Arial Narrow" w:hAnsi="Arial Narrow"/>
                <w:sz w:val="20"/>
                <w:lang w:val="en-US"/>
              </w:rPr>
              <w:t>-</w:t>
            </w:r>
            <w:r>
              <w:rPr>
                <w:rFonts w:ascii="Arial Narrow" w:hAnsi="Arial Narrow"/>
                <w:sz w:val="20"/>
                <w:lang w:val="en-US"/>
              </w:rPr>
              <w:t>9</w:t>
            </w:r>
            <w:r w:rsidRPr="001D6253">
              <w:rPr>
                <w:rFonts w:ascii="Arial Narrow" w:hAnsi="Arial Narrow"/>
                <w:sz w:val="20"/>
                <w:lang w:val="en-US"/>
              </w:rPr>
              <w:t>%</w:t>
            </w:r>
            <w:r>
              <w:rPr>
                <w:rFonts w:ascii="Arial Narrow" w:hAnsi="Arial Narrow"/>
                <w:sz w:val="20"/>
                <w:lang w:val="en-US"/>
              </w:rPr>
              <w:t xml:space="preserve"> </w:t>
            </w:r>
          </w:p>
        </w:tc>
        <w:tc>
          <w:tcPr>
            <w:tcW w:w="253" w:type="pct"/>
            <w:vAlign w:val="center"/>
          </w:tcPr>
          <w:p w:rsidR="00D96FA6" w:rsidRDefault="00337D1D" w:rsidP="00EF62AB">
            <w:pPr>
              <w:widowControl/>
              <w:jc w:val="center"/>
              <w:rPr>
                <w:rFonts w:ascii="Arial Narrow" w:hAnsi="Arial Narrow"/>
                <w:sz w:val="20"/>
                <w:lang w:val="en-US"/>
              </w:rPr>
            </w:pPr>
            <w:r>
              <w:rPr>
                <w:rFonts w:ascii="Arial Narrow" w:hAnsi="Arial Narrow"/>
                <w:sz w:val="20"/>
                <w:lang w:val="en-US"/>
              </w:rPr>
              <w:t>Un</w:t>
            </w:r>
          </w:p>
          <w:p w:rsidR="00337D1D" w:rsidRDefault="00337D1D" w:rsidP="00EF62AB">
            <w:pPr>
              <w:widowControl/>
              <w:jc w:val="center"/>
              <w:rPr>
                <w:rFonts w:ascii="Arial Narrow" w:hAnsi="Arial Narrow"/>
                <w:sz w:val="20"/>
                <w:lang w:val="en-US"/>
              </w:rPr>
            </w:pPr>
            <w:r>
              <w:rPr>
                <w:rFonts w:ascii="Arial Narrow" w:hAnsi="Arial Narrow"/>
                <w:sz w:val="20"/>
                <w:lang w:val="en-US"/>
              </w:rPr>
              <w:t>clear</w:t>
            </w:r>
          </w:p>
        </w:tc>
      </w:tr>
      <w:tr w:rsidR="00337D1D" w:rsidRPr="00E574BA" w:rsidTr="00B270BA">
        <w:trPr>
          <w:cantSplit/>
        </w:trPr>
        <w:tc>
          <w:tcPr>
            <w:tcW w:w="408" w:type="pct"/>
            <w:shd w:val="clear" w:color="auto" w:fill="auto"/>
            <w:vAlign w:val="center"/>
          </w:tcPr>
          <w:p w:rsidR="00337D1D" w:rsidRDefault="00337D1D" w:rsidP="00EF62AB">
            <w:pPr>
              <w:widowControl/>
              <w:jc w:val="left"/>
              <w:rPr>
                <w:rFonts w:ascii="Arial Narrow" w:hAnsi="Arial Narrow"/>
                <w:sz w:val="20"/>
              </w:rPr>
            </w:pPr>
            <w:r>
              <w:rPr>
                <w:rFonts w:ascii="Arial Narrow" w:hAnsi="Arial Narrow"/>
                <w:sz w:val="20"/>
              </w:rPr>
              <w:t>Duration 2</w:t>
            </w:r>
          </w:p>
        </w:tc>
        <w:tc>
          <w:tcPr>
            <w:tcW w:w="378" w:type="pct"/>
            <w:shd w:val="clear" w:color="auto" w:fill="auto"/>
            <w:vAlign w:val="center"/>
          </w:tcPr>
          <w:p w:rsidR="00337D1D" w:rsidRDefault="00337D1D" w:rsidP="00EF62AB">
            <w:pPr>
              <w:widowControl/>
              <w:jc w:val="center"/>
              <w:rPr>
                <w:rFonts w:ascii="Arial Narrow" w:hAnsi="Arial Narrow"/>
                <w:sz w:val="20"/>
              </w:rPr>
            </w:pPr>
            <w:r>
              <w:rPr>
                <w:rFonts w:ascii="Arial Narrow" w:hAnsi="Arial Narrow"/>
                <w:sz w:val="20"/>
              </w:rPr>
              <w:t>R, DB, AC, MC</w:t>
            </w:r>
          </w:p>
          <w:p w:rsidR="00337D1D" w:rsidRDefault="00337D1D" w:rsidP="00EF62AB">
            <w:pPr>
              <w:widowControl/>
              <w:jc w:val="center"/>
              <w:rPr>
                <w:rFonts w:ascii="Arial Narrow" w:hAnsi="Arial Narrow"/>
                <w:sz w:val="20"/>
              </w:rPr>
            </w:pPr>
            <w:r>
              <w:rPr>
                <w:rFonts w:ascii="Arial Narrow" w:hAnsi="Arial Narrow"/>
                <w:sz w:val="20"/>
              </w:rPr>
              <w:t>PP LOCF</w:t>
            </w:r>
          </w:p>
        </w:tc>
        <w:tc>
          <w:tcPr>
            <w:tcW w:w="214" w:type="pct"/>
            <w:shd w:val="clear" w:color="auto" w:fill="auto"/>
            <w:vAlign w:val="center"/>
          </w:tcPr>
          <w:p w:rsidR="00337D1D" w:rsidRDefault="00337D1D" w:rsidP="00EF62AB">
            <w:pPr>
              <w:widowControl/>
              <w:jc w:val="center"/>
              <w:rPr>
                <w:rFonts w:ascii="Arial Narrow" w:hAnsi="Arial Narrow"/>
                <w:sz w:val="20"/>
                <w:lang w:val="en-US"/>
              </w:rPr>
            </w:pPr>
            <w:r>
              <w:rPr>
                <w:rFonts w:ascii="Arial Narrow" w:hAnsi="Arial Narrow"/>
                <w:sz w:val="20"/>
                <w:lang w:val="en-US"/>
              </w:rPr>
              <w:t>170</w:t>
            </w:r>
          </w:p>
          <w:p w:rsidR="00337D1D" w:rsidRDefault="00337D1D" w:rsidP="00EF62AB">
            <w:pPr>
              <w:widowControl/>
              <w:jc w:val="center"/>
              <w:rPr>
                <w:rFonts w:ascii="Arial Narrow" w:hAnsi="Arial Narrow"/>
                <w:sz w:val="20"/>
                <w:lang w:val="en-US"/>
              </w:rPr>
            </w:pPr>
            <w:r>
              <w:rPr>
                <w:rFonts w:ascii="Arial Narrow" w:hAnsi="Arial Narrow"/>
                <w:sz w:val="20"/>
                <w:lang w:val="en-US"/>
              </w:rPr>
              <w:t>172</w:t>
            </w:r>
          </w:p>
          <w:p w:rsidR="00337D1D" w:rsidRDefault="00337D1D" w:rsidP="00EF62AB">
            <w:pPr>
              <w:widowControl/>
              <w:jc w:val="center"/>
              <w:rPr>
                <w:rFonts w:ascii="Arial Narrow" w:hAnsi="Arial Narrow"/>
                <w:sz w:val="20"/>
                <w:lang w:val="en-US"/>
              </w:rPr>
            </w:pPr>
            <w:r>
              <w:rPr>
                <w:rFonts w:ascii="Arial Narrow" w:hAnsi="Arial Narrow"/>
                <w:sz w:val="20"/>
                <w:lang w:val="en-US"/>
              </w:rPr>
              <w:t>172</w:t>
            </w:r>
          </w:p>
        </w:tc>
        <w:tc>
          <w:tcPr>
            <w:tcW w:w="1655" w:type="pct"/>
            <w:shd w:val="clear" w:color="auto" w:fill="auto"/>
            <w:vAlign w:val="center"/>
          </w:tcPr>
          <w:p w:rsidR="00337D1D" w:rsidRDefault="00337D1D" w:rsidP="00EF62AB">
            <w:pPr>
              <w:widowControl/>
              <w:jc w:val="left"/>
              <w:rPr>
                <w:rFonts w:ascii="Arial Narrow" w:hAnsi="Arial Narrow"/>
                <w:sz w:val="20"/>
                <w:lang w:val="en-US"/>
              </w:rPr>
            </w:pPr>
            <w:r>
              <w:rPr>
                <w:rFonts w:ascii="Arial Narrow" w:hAnsi="Arial Narrow"/>
                <w:sz w:val="20"/>
                <w:lang w:val="en-US"/>
              </w:rPr>
              <w:t>MET+EXE 2</w:t>
            </w:r>
            <w:r w:rsidR="007452AD">
              <w:rPr>
                <w:rFonts w:ascii="Arial Narrow" w:hAnsi="Arial Narrow"/>
                <w:sz w:val="20"/>
                <w:lang w:val="en-US"/>
              </w:rPr>
              <w:t xml:space="preserve"> mg</w:t>
            </w:r>
            <w:r>
              <w:rPr>
                <w:rFonts w:ascii="Arial Narrow" w:hAnsi="Arial Narrow"/>
                <w:sz w:val="20"/>
                <w:lang w:val="en-US"/>
              </w:rPr>
              <w:t xml:space="preserve"> wkly+Pbo (oral) </w:t>
            </w:r>
          </w:p>
          <w:p w:rsidR="00337D1D" w:rsidRDefault="00337D1D" w:rsidP="00EF62AB">
            <w:pPr>
              <w:widowControl/>
              <w:jc w:val="left"/>
              <w:rPr>
                <w:rFonts w:ascii="Arial Narrow" w:hAnsi="Arial Narrow"/>
                <w:sz w:val="20"/>
                <w:lang w:val="en-US"/>
              </w:rPr>
            </w:pPr>
            <w:r>
              <w:rPr>
                <w:rFonts w:ascii="Arial Narrow" w:hAnsi="Arial Narrow"/>
                <w:sz w:val="20"/>
                <w:lang w:val="en-US"/>
              </w:rPr>
              <w:t>MET+SITA 100</w:t>
            </w:r>
            <w:r w:rsidR="007452AD">
              <w:rPr>
                <w:rFonts w:ascii="Arial Narrow" w:hAnsi="Arial Narrow"/>
                <w:sz w:val="20"/>
                <w:lang w:val="en-US"/>
              </w:rPr>
              <w:t xml:space="preserve"> mg</w:t>
            </w:r>
            <w:r>
              <w:rPr>
                <w:rFonts w:ascii="Arial Narrow" w:hAnsi="Arial Narrow"/>
                <w:sz w:val="20"/>
                <w:lang w:val="en-US"/>
              </w:rPr>
              <w:t xml:space="preserve">+Pbo (injected) </w:t>
            </w:r>
          </w:p>
          <w:p w:rsidR="00337D1D" w:rsidRDefault="00337D1D" w:rsidP="00EF62AB">
            <w:pPr>
              <w:widowControl/>
              <w:jc w:val="left"/>
              <w:rPr>
                <w:rFonts w:ascii="Arial Narrow" w:hAnsi="Arial Narrow"/>
                <w:sz w:val="20"/>
                <w:lang w:val="en-US"/>
              </w:rPr>
            </w:pPr>
            <w:r>
              <w:rPr>
                <w:rFonts w:ascii="Arial Narrow" w:hAnsi="Arial Narrow"/>
                <w:sz w:val="20"/>
                <w:lang w:val="en-US"/>
              </w:rPr>
              <w:t>MET+PIO 45</w:t>
            </w:r>
            <w:r w:rsidR="007452AD">
              <w:rPr>
                <w:rFonts w:ascii="Arial Narrow" w:hAnsi="Arial Narrow"/>
                <w:sz w:val="20"/>
                <w:lang w:val="en-US"/>
              </w:rPr>
              <w:t xml:space="preserve"> mg</w:t>
            </w:r>
            <w:r>
              <w:rPr>
                <w:rFonts w:ascii="Arial Narrow" w:hAnsi="Arial Narrow"/>
                <w:sz w:val="20"/>
                <w:lang w:val="en-US"/>
              </w:rPr>
              <w:t xml:space="preserve">+Pbo (injected) </w:t>
            </w:r>
          </w:p>
        </w:tc>
        <w:tc>
          <w:tcPr>
            <w:tcW w:w="890" w:type="pct"/>
            <w:shd w:val="clear" w:color="auto" w:fill="auto"/>
            <w:vAlign w:val="center"/>
          </w:tcPr>
          <w:p w:rsidR="00337D1D" w:rsidRPr="009E0ECC" w:rsidRDefault="00337D1D" w:rsidP="00EF62AB">
            <w:pPr>
              <w:widowControl/>
              <w:tabs>
                <w:tab w:val="right" w:pos="3105"/>
              </w:tabs>
              <w:jc w:val="center"/>
              <w:rPr>
                <w:rFonts w:ascii="Arial Narrow" w:hAnsi="Arial Narrow"/>
                <w:sz w:val="20"/>
                <w:u w:val="single"/>
                <w:lang w:val="en-US"/>
              </w:rPr>
            </w:pPr>
            <w:r w:rsidRPr="009E0ECC">
              <w:rPr>
                <w:rFonts w:ascii="Arial Narrow" w:hAnsi="Arial Narrow"/>
                <w:sz w:val="20"/>
                <w:u w:val="single"/>
                <w:lang w:val="en-US"/>
              </w:rPr>
              <w:t>26 week RCT</w:t>
            </w:r>
          </w:p>
        </w:tc>
        <w:tc>
          <w:tcPr>
            <w:tcW w:w="503" w:type="pct"/>
            <w:shd w:val="clear" w:color="auto" w:fill="auto"/>
            <w:vAlign w:val="center"/>
          </w:tcPr>
          <w:p w:rsidR="00337D1D" w:rsidRPr="00E574BA" w:rsidRDefault="00337D1D" w:rsidP="00EF62AB">
            <w:pPr>
              <w:widowControl/>
              <w:jc w:val="center"/>
              <w:rPr>
                <w:rFonts w:ascii="Arial Narrow" w:hAnsi="Arial Narrow"/>
                <w:sz w:val="20"/>
                <w:lang w:val="en-US"/>
              </w:rPr>
            </w:pPr>
            <w:r>
              <w:rPr>
                <w:rFonts w:ascii="Arial Narrow" w:hAnsi="Arial Narrow"/>
                <w:sz w:val="20"/>
              </w:rPr>
              <w:t>Mean change in HbA1c</w:t>
            </w:r>
          </w:p>
        </w:tc>
        <w:tc>
          <w:tcPr>
            <w:tcW w:w="700" w:type="pct"/>
            <w:shd w:val="clear" w:color="auto" w:fill="auto"/>
            <w:vAlign w:val="center"/>
          </w:tcPr>
          <w:p w:rsidR="00337D1D" w:rsidRDefault="00337D1D" w:rsidP="00EF62AB">
            <w:pPr>
              <w:widowControl/>
              <w:jc w:val="center"/>
              <w:rPr>
                <w:rFonts w:ascii="Arial Narrow" w:hAnsi="Arial Narrow"/>
                <w:sz w:val="20"/>
                <w:lang w:val="en-US"/>
              </w:rPr>
            </w:pPr>
            <w:r>
              <w:rPr>
                <w:rFonts w:ascii="Arial Narrow" w:hAnsi="Arial Narrow"/>
                <w:sz w:val="20"/>
                <w:lang w:val="en-US"/>
              </w:rPr>
              <w:t>Adult ≥18yrs</w:t>
            </w:r>
          </w:p>
          <w:p w:rsidR="00337D1D" w:rsidRDefault="00337D1D" w:rsidP="00EF62AB">
            <w:pPr>
              <w:widowControl/>
              <w:jc w:val="center"/>
              <w:rPr>
                <w:rFonts w:ascii="Arial Narrow" w:hAnsi="Arial Narrow"/>
                <w:sz w:val="20"/>
                <w:lang w:val="en-US"/>
              </w:rPr>
            </w:pPr>
            <w:r>
              <w:rPr>
                <w:rFonts w:ascii="Arial Narrow" w:hAnsi="Arial Narrow"/>
                <w:sz w:val="20"/>
                <w:lang w:val="en-US"/>
              </w:rPr>
              <w:t xml:space="preserve">HbA1c </w:t>
            </w:r>
          </w:p>
          <w:p w:rsidR="00337D1D" w:rsidRDefault="00337D1D" w:rsidP="00EF62AB">
            <w:pPr>
              <w:widowControl/>
              <w:jc w:val="center"/>
              <w:rPr>
                <w:rFonts w:ascii="Arial Narrow" w:hAnsi="Arial Narrow"/>
                <w:sz w:val="20"/>
                <w:lang w:val="en-US"/>
              </w:rPr>
            </w:pPr>
            <w:r>
              <w:rPr>
                <w:rFonts w:ascii="Arial Narrow" w:hAnsi="Arial Narrow"/>
                <w:sz w:val="20"/>
                <w:lang w:val="en-US"/>
              </w:rPr>
              <w:t xml:space="preserve">7.1% </w:t>
            </w:r>
            <w:r w:rsidR="00FC7CCB">
              <w:rPr>
                <w:rFonts w:ascii="Arial Narrow" w:hAnsi="Arial Narrow"/>
                <w:sz w:val="20"/>
                <w:lang w:val="en-US"/>
              </w:rPr>
              <w:t xml:space="preserve">to </w:t>
            </w:r>
            <w:r>
              <w:rPr>
                <w:rFonts w:ascii="Arial Narrow" w:hAnsi="Arial Narrow"/>
                <w:sz w:val="20"/>
                <w:lang w:val="en-US"/>
              </w:rPr>
              <w:t>&lt;11</w:t>
            </w:r>
            <w:r w:rsidRPr="001D6253">
              <w:rPr>
                <w:rFonts w:ascii="Arial Narrow" w:hAnsi="Arial Narrow"/>
                <w:sz w:val="20"/>
                <w:lang w:val="en-US"/>
              </w:rPr>
              <w:t>%</w:t>
            </w:r>
            <w:r>
              <w:rPr>
                <w:rFonts w:ascii="Arial Narrow" w:hAnsi="Arial Narrow"/>
                <w:sz w:val="20"/>
                <w:lang w:val="en-US"/>
              </w:rPr>
              <w:t xml:space="preserve"> </w:t>
            </w:r>
          </w:p>
        </w:tc>
        <w:tc>
          <w:tcPr>
            <w:tcW w:w="253" w:type="pct"/>
            <w:vAlign w:val="center"/>
          </w:tcPr>
          <w:p w:rsidR="00D96FA6" w:rsidRDefault="00337D1D" w:rsidP="00EF62AB">
            <w:pPr>
              <w:widowControl/>
              <w:ind w:left="-14"/>
              <w:jc w:val="center"/>
              <w:rPr>
                <w:rFonts w:ascii="Arial Narrow" w:hAnsi="Arial Narrow"/>
                <w:sz w:val="20"/>
                <w:lang w:val="en-US"/>
              </w:rPr>
            </w:pPr>
            <w:r>
              <w:rPr>
                <w:rFonts w:ascii="Arial Narrow" w:hAnsi="Arial Narrow"/>
                <w:sz w:val="20"/>
                <w:lang w:val="en-US"/>
              </w:rPr>
              <w:t>Un</w:t>
            </w:r>
          </w:p>
          <w:p w:rsidR="00337D1D" w:rsidRDefault="00337D1D" w:rsidP="00EF62AB">
            <w:pPr>
              <w:widowControl/>
              <w:ind w:left="-14"/>
              <w:jc w:val="center"/>
              <w:rPr>
                <w:rFonts w:ascii="Arial Narrow" w:hAnsi="Arial Narrow"/>
                <w:sz w:val="20"/>
                <w:lang w:val="en-US"/>
              </w:rPr>
            </w:pPr>
            <w:r>
              <w:rPr>
                <w:rFonts w:ascii="Arial Narrow" w:hAnsi="Arial Narrow"/>
                <w:sz w:val="20"/>
                <w:lang w:val="en-US"/>
              </w:rPr>
              <w:t>clear</w:t>
            </w:r>
          </w:p>
        </w:tc>
      </w:tr>
      <w:tr w:rsidR="00337D1D" w:rsidRPr="00E574BA" w:rsidTr="00B270BA">
        <w:trPr>
          <w:cantSplit/>
        </w:trPr>
        <w:tc>
          <w:tcPr>
            <w:tcW w:w="408" w:type="pct"/>
            <w:shd w:val="clear" w:color="auto" w:fill="auto"/>
            <w:vAlign w:val="center"/>
          </w:tcPr>
          <w:p w:rsidR="00337D1D" w:rsidRDefault="00337D1D" w:rsidP="00EF62AB">
            <w:pPr>
              <w:widowControl/>
              <w:jc w:val="left"/>
              <w:rPr>
                <w:rFonts w:ascii="Arial Narrow" w:hAnsi="Arial Narrow"/>
                <w:sz w:val="20"/>
              </w:rPr>
            </w:pPr>
            <w:r>
              <w:rPr>
                <w:rFonts w:ascii="Arial Narrow" w:hAnsi="Arial Narrow"/>
                <w:sz w:val="20"/>
              </w:rPr>
              <w:t>Duration Neo 2</w:t>
            </w:r>
          </w:p>
        </w:tc>
        <w:tc>
          <w:tcPr>
            <w:tcW w:w="378" w:type="pct"/>
            <w:shd w:val="clear" w:color="auto" w:fill="auto"/>
            <w:vAlign w:val="center"/>
          </w:tcPr>
          <w:p w:rsidR="00337D1D" w:rsidRDefault="00337D1D" w:rsidP="00EF62AB">
            <w:pPr>
              <w:widowControl/>
              <w:jc w:val="center"/>
              <w:rPr>
                <w:rFonts w:ascii="Arial Narrow" w:hAnsi="Arial Narrow"/>
                <w:sz w:val="20"/>
              </w:rPr>
            </w:pPr>
            <w:r>
              <w:rPr>
                <w:rFonts w:ascii="Arial Narrow" w:hAnsi="Arial Narrow"/>
                <w:sz w:val="20"/>
              </w:rPr>
              <w:t>R, OL, PC, MC</w:t>
            </w:r>
          </w:p>
          <w:p w:rsidR="00337D1D" w:rsidRDefault="00337D1D" w:rsidP="00EF62AB">
            <w:pPr>
              <w:widowControl/>
              <w:jc w:val="center"/>
              <w:rPr>
                <w:rFonts w:ascii="Arial Narrow" w:hAnsi="Arial Narrow"/>
                <w:sz w:val="20"/>
              </w:rPr>
            </w:pPr>
            <w:r>
              <w:rPr>
                <w:rFonts w:ascii="Arial Narrow" w:hAnsi="Arial Narrow"/>
                <w:sz w:val="20"/>
              </w:rPr>
              <w:t>MMRM</w:t>
            </w:r>
          </w:p>
        </w:tc>
        <w:tc>
          <w:tcPr>
            <w:tcW w:w="214" w:type="pct"/>
            <w:shd w:val="clear" w:color="auto" w:fill="auto"/>
            <w:vAlign w:val="center"/>
          </w:tcPr>
          <w:p w:rsidR="00337D1D" w:rsidRDefault="00337D1D" w:rsidP="00EF62AB">
            <w:pPr>
              <w:widowControl/>
              <w:jc w:val="center"/>
              <w:rPr>
                <w:rFonts w:ascii="Arial Narrow" w:hAnsi="Arial Narrow"/>
                <w:sz w:val="20"/>
                <w:lang w:val="en-US"/>
              </w:rPr>
            </w:pPr>
            <w:r>
              <w:rPr>
                <w:rFonts w:ascii="Arial Narrow" w:hAnsi="Arial Narrow"/>
                <w:sz w:val="20"/>
                <w:lang w:val="en-US"/>
              </w:rPr>
              <w:t>182</w:t>
            </w:r>
          </w:p>
          <w:p w:rsidR="00337D1D" w:rsidRDefault="00337D1D" w:rsidP="00EF62AB">
            <w:pPr>
              <w:widowControl/>
              <w:jc w:val="center"/>
              <w:rPr>
                <w:rFonts w:ascii="Arial Narrow" w:hAnsi="Arial Narrow"/>
                <w:sz w:val="20"/>
                <w:lang w:val="en-US"/>
              </w:rPr>
            </w:pPr>
            <w:r>
              <w:rPr>
                <w:rFonts w:ascii="Arial Narrow" w:hAnsi="Arial Narrow"/>
                <w:sz w:val="20"/>
                <w:lang w:val="en-US"/>
              </w:rPr>
              <w:t>122</w:t>
            </w:r>
          </w:p>
          <w:p w:rsidR="00337D1D" w:rsidRDefault="00337D1D" w:rsidP="00EF62AB">
            <w:pPr>
              <w:widowControl/>
              <w:jc w:val="center"/>
              <w:rPr>
                <w:rFonts w:ascii="Arial Narrow" w:hAnsi="Arial Narrow"/>
                <w:sz w:val="20"/>
                <w:lang w:val="en-US"/>
              </w:rPr>
            </w:pPr>
            <w:r>
              <w:rPr>
                <w:rFonts w:ascii="Arial Narrow" w:hAnsi="Arial Narrow"/>
                <w:sz w:val="20"/>
                <w:lang w:val="en-US"/>
              </w:rPr>
              <w:t>61</w:t>
            </w:r>
          </w:p>
        </w:tc>
        <w:tc>
          <w:tcPr>
            <w:tcW w:w="1655" w:type="pct"/>
            <w:shd w:val="clear" w:color="auto" w:fill="auto"/>
            <w:vAlign w:val="center"/>
          </w:tcPr>
          <w:p w:rsidR="00337D1D" w:rsidRDefault="00337D1D" w:rsidP="00EF62AB">
            <w:pPr>
              <w:widowControl/>
              <w:jc w:val="left"/>
              <w:rPr>
                <w:rFonts w:ascii="Arial Narrow" w:hAnsi="Arial Narrow"/>
                <w:sz w:val="20"/>
                <w:lang w:val="en-US"/>
              </w:rPr>
            </w:pPr>
            <w:r>
              <w:rPr>
                <w:rFonts w:ascii="Arial Narrow" w:hAnsi="Arial Narrow"/>
                <w:sz w:val="20"/>
                <w:lang w:val="en-US"/>
              </w:rPr>
              <w:t>MET+EXE 2</w:t>
            </w:r>
            <w:r w:rsidR="007452AD">
              <w:rPr>
                <w:rFonts w:ascii="Arial Narrow" w:hAnsi="Arial Narrow"/>
                <w:sz w:val="20"/>
                <w:lang w:val="en-US"/>
              </w:rPr>
              <w:t xml:space="preserve"> mg</w:t>
            </w:r>
            <w:r>
              <w:rPr>
                <w:rFonts w:ascii="Arial Narrow" w:hAnsi="Arial Narrow"/>
                <w:sz w:val="20"/>
                <w:lang w:val="en-US"/>
              </w:rPr>
              <w:t xml:space="preserve"> wkly</w:t>
            </w:r>
          </w:p>
          <w:p w:rsidR="00337D1D" w:rsidRDefault="00337D1D" w:rsidP="00EF62AB">
            <w:pPr>
              <w:widowControl/>
              <w:jc w:val="left"/>
              <w:rPr>
                <w:rFonts w:ascii="Arial Narrow" w:hAnsi="Arial Narrow"/>
                <w:sz w:val="20"/>
                <w:lang w:val="en-US"/>
              </w:rPr>
            </w:pPr>
            <w:r>
              <w:rPr>
                <w:rFonts w:ascii="Arial Narrow" w:hAnsi="Arial Narrow"/>
                <w:sz w:val="20"/>
                <w:lang w:val="en-US"/>
              </w:rPr>
              <w:t>MET+SITA 100</w:t>
            </w:r>
            <w:r w:rsidR="007452AD">
              <w:rPr>
                <w:rFonts w:ascii="Arial Narrow" w:hAnsi="Arial Narrow"/>
                <w:sz w:val="20"/>
                <w:lang w:val="en-US"/>
              </w:rPr>
              <w:t xml:space="preserve"> mg</w:t>
            </w:r>
            <w:r>
              <w:rPr>
                <w:rFonts w:ascii="Arial Narrow" w:hAnsi="Arial Narrow"/>
                <w:sz w:val="20"/>
                <w:lang w:val="en-US"/>
              </w:rPr>
              <w:t xml:space="preserve"> </w:t>
            </w:r>
          </w:p>
          <w:p w:rsidR="00337D1D" w:rsidRDefault="00337D1D" w:rsidP="00EF62AB">
            <w:pPr>
              <w:widowControl/>
              <w:jc w:val="left"/>
              <w:rPr>
                <w:rFonts w:ascii="Arial Narrow" w:hAnsi="Arial Narrow"/>
                <w:sz w:val="20"/>
                <w:lang w:val="en-US"/>
              </w:rPr>
            </w:pPr>
            <w:r>
              <w:rPr>
                <w:rFonts w:ascii="Arial Narrow" w:hAnsi="Arial Narrow"/>
                <w:sz w:val="20"/>
                <w:lang w:val="en-US"/>
              </w:rPr>
              <w:t>MET+Pbo</w:t>
            </w:r>
          </w:p>
        </w:tc>
        <w:tc>
          <w:tcPr>
            <w:tcW w:w="890" w:type="pct"/>
            <w:shd w:val="clear" w:color="auto" w:fill="auto"/>
            <w:vAlign w:val="center"/>
          </w:tcPr>
          <w:p w:rsidR="00337D1D" w:rsidRPr="009E0ECC" w:rsidRDefault="00337D1D" w:rsidP="00EF62AB">
            <w:pPr>
              <w:widowControl/>
              <w:tabs>
                <w:tab w:val="right" w:pos="3105"/>
              </w:tabs>
              <w:jc w:val="center"/>
              <w:rPr>
                <w:rFonts w:ascii="Arial Narrow" w:hAnsi="Arial Narrow"/>
                <w:sz w:val="20"/>
                <w:u w:val="single"/>
                <w:lang w:val="en-US"/>
              </w:rPr>
            </w:pPr>
            <w:r w:rsidRPr="009E0ECC">
              <w:rPr>
                <w:rFonts w:ascii="Arial Narrow" w:hAnsi="Arial Narrow"/>
                <w:sz w:val="20"/>
                <w:u w:val="single"/>
                <w:lang w:val="en-US"/>
              </w:rPr>
              <w:t>28 week OL</w:t>
            </w:r>
          </w:p>
        </w:tc>
        <w:tc>
          <w:tcPr>
            <w:tcW w:w="503" w:type="pct"/>
            <w:shd w:val="clear" w:color="auto" w:fill="auto"/>
            <w:vAlign w:val="center"/>
          </w:tcPr>
          <w:p w:rsidR="00337D1D" w:rsidRPr="00E574BA" w:rsidRDefault="00337D1D" w:rsidP="00EF62AB">
            <w:pPr>
              <w:widowControl/>
              <w:jc w:val="center"/>
              <w:rPr>
                <w:rFonts w:ascii="Arial Narrow" w:hAnsi="Arial Narrow"/>
                <w:sz w:val="20"/>
                <w:lang w:val="en-US"/>
              </w:rPr>
            </w:pPr>
            <w:r>
              <w:rPr>
                <w:rFonts w:ascii="Arial Narrow" w:hAnsi="Arial Narrow"/>
                <w:sz w:val="20"/>
              </w:rPr>
              <w:t>Mean change in HbA1c</w:t>
            </w:r>
          </w:p>
        </w:tc>
        <w:tc>
          <w:tcPr>
            <w:tcW w:w="700" w:type="pct"/>
            <w:shd w:val="clear" w:color="auto" w:fill="auto"/>
            <w:vAlign w:val="center"/>
          </w:tcPr>
          <w:p w:rsidR="00337D1D" w:rsidRDefault="00337D1D" w:rsidP="00EF62AB">
            <w:pPr>
              <w:widowControl/>
              <w:jc w:val="center"/>
              <w:rPr>
                <w:rFonts w:ascii="Arial Narrow" w:hAnsi="Arial Narrow"/>
                <w:sz w:val="20"/>
                <w:lang w:val="en-US"/>
              </w:rPr>
            </w:pPr>
            <w:r>
              <w:rPr>
                <w:rFonts w:ascii="Arial Narrow" w:hAnsi="Arial Narrow"/>
                <w:sz w:val="20"/>
                <w:lang w:val="en-US"/>
              </w:rPr>
              <w:t>Adult ≥18yrs</w:t>
            </w:r>
          </w:p>
          <w:p w:rsidR="00337D1D" w:rsidRDefault="00337D1D" w:rsidP="00EF62AB">
            <w:pPr>
              <w:widowControl/>
              <w:jc w:val="center"/>
              <w:rPr>
                <w:rFonts w:ascii="Arial Narrow" w:hAnsi="Arial Narrow"/>
                <w:sz w:val="20"/>
                <w:lang w:val="en-US"/>
              </w:rPr>
            </w:pPr>
            <w:r>
              <w:rPr>
                <w:rFonts w:ascii="Arial Narrow" w:hAnsi="Arial Narrow"/>
                <w:sz w:val="20"/>
                <w:lang w:val="en-US"/>
              </w:rPr>
              <w:t xml:space="preserve">HbA1c </w:t>
            </w:r>
          </w:p>
          <w:p w:rsidR="00337D1D" w:rsidRDefault="00337D1D" w:rsidP="00EF62AB">
            <w:pPr>
              <w:widowControl/>
              <w:jc w:val="center"/>
              <w:rPr>
                <w:rFonts w:ascii="Arial Narrow" w:hAnsi="Arial Narrow"/>
                <w:sz w:val="20"/>
                <w:lang w:val="en-US"/>
              </w:rPr>
            </w:pPr>
            <w:r>
              <w:rPr>
                <w:rFonts w:ascii="Arial Narrow" w:hAnsi="Arial Narrow"/>
                <w:sz w:val="20"/>
                <w:lang w:val="en-US"/>
              </w:rPr>
              <w:t xml:space="preserve">7.1% </w:t>
            </w:r>
            <w:r w:rsidR="00FC7CCB">
              <w:rPr>
                <w:rFonts w:ascii="Arial Narrow" w:hAnsi="Arial Narrow"/>
                <w:sz w:val="20"/>
                <w:lang w:val="en-US"/>
              </w:rPr>
              <w:t xml:space="preserve">to </w:t>
            </w:r>
            <w:r>
              <w:rPr>
                <w:rFonts w:ascii="Arial Narrow" w:hAnsi="Arial Narrow"/>
                <w:sz w:val="20"/>
                <w:lang w:val="en-US"/>
              </w:rPr>
              <w:t>&lt;11</w:t>
            </w:r>
            <w:r w:rsidRPr="001D6253">
              <w:rPr>
                <w:rFonts w:ascii="Arial Narrow" w:hAnsi="Arial Narrow"/>
                <w:sz w:val="20"/>
                <w:lang w:val="en-US"/>
              </w:rPr>
              <w:t>%</w:t>
            </w:r>
            <w:r>
              <w:rPr>
                <w:rFonts w:ascii="Arial Narrow" w:hAnsi="Arial Narrow"/>
                <w:sz w:val="20"/>
                <w:lang w:val="en-US"/>
              </w:rPr>
              <w:t xml:space="preserve"> </w:t>
            </w:r>
          </w:p>
        </w:tc>
        <w:tc>
          <w:tcPr>
            <w:tcW w:w="253" w:type="pct"/>
            <w:vAlign w:val="center"/>
          </w:tcPr>
          <w:p w:rsidR="00337D1D" w:rsidRDefault="00337D1D" w:rsidP="00EF62AB">
            <w:pPr>
              <w:widowControl/>
              <w:jc w:val="center"/>
              <w:rPr>
                <w:rFonts w:ascii="Arial Narrow" w:hAnsi="Arial Narrow"/>
                <w:sz w:val="20"/>
                <w:lang w:val="en-US"/>
              </w:rPr>
            </w:pPr>
            <w:r>
              <w:rPr>
                <w:rFonts w:ascii="Arial Narrow" w:hAnsi="Arial Narrow"/>
                <w:sz w:val="20"/>
                <w:lang w:val="en-US"/>
              </w:rPr>
              <w:t>High</w:t>
            </w:r>
          </w:p>
        </w:tc>
      </w:tr>
      <w:tr w:rsidR="00337D1D" w:rsidRPr="00E67B99" w:rsidTr="00B270BA">
        <w:trPr>
          <w:cantSplit/>
        </w:trPr>
        <w:tc>
          <w:tcPr>
            <w:tcW w:w="5000" w:type="pct"/>
            <w:gridSpan w:val="8"/>
            <w:shd w:val="clear" w:color="auto" w:fill="auto"/>
            <w:vAlign w:val="center"/>
          </w:tcPr>
          <w:p w:rsidR="00337D1D" w:rsidRPr="00E67B99" w:rsidRDefault="00337D1D" w:rsidP="00EF62AB">
            <w:pPr>
              <w:widowControl/>
              <w:jc w:val="left"/>
              <w:rPr>
                <w:rFonts w:ascii="Arial Narrow" w:hAnsi="Arial Narrow"/>
                <w:b/>
                <w:sz w:val="20"/>
                <w:lang w:val="en-US"/>
              </w:rPr>
            </w:pPr>
            <w:r>
              <w:rPr>
                <w:rFonts w:ascii="Arial Narrow" w:hAnsi="Arial Narrow"/>
                <w:b/>
                <w:sz w:val="20"/>
                <w:lang w:val="en-US"/>
              </w:rPr>
              <w:t>Bioequivalence</w:t>
            </w:r>
          </w:p>
        </w:tc>
      </w:tr>
      <w:tr w:rsidR="00337D1D" w:rsidRPr="00E574BA" w:rsidTr="00B270BA">
        <w:trPr>
          <w:cantSplit/>
        </w:trPr>
        <w:tc>
          <w:tcPr>
            <w:tcW w:w="408" w:type="pct"/>
            <w:shd w:val="clear" w:color="auto" w:fill="auto"/>
            <w:vAlign w:val="center"/>
          </w:tcPr>
          <w:p w:rsidR="00337D1D" w:rsidRDefault="00337D1D" w:rsidP="00EF62AB">
            <w:pPr>
              <w:widowControl/>
              <w:jc w:val="left"/>
              <w:rPr>
                <w:rFonts w:ascii="Arial Narrow" w:hAnsi="Arial Narrow"/>
                <w:sz w:val="20"/>
              </w:rPr>
            </w:pPr>
            <w:r>
              <w:rPr>
                <w:rFonts w:ascii="Arial Narrow" w:hAnsi="Arial Narrow"/>
                <w:sz w:val="20"/>
              </w:rPr>
              <w:t>1275.3</w:t>
            </w:r>
          </w:p>
        </w:tc>
        <w:tc>
          <w:tcPr>
            <w:tcW w:w="378" w:type="pct"/>
            <w:shd w:val="clear" w:color="auto" w:fill="auto"/>
            <w:vAlign w:val="center"/>
          </w:tcPr>
          <w:p w:rsidR="00337D1D" w:rsidRDefault="00337D1D" w:rsidP="00EF62AB">
            <w:pPr>
              <w:widowControl/>
              <w:ind w:left="-30"/>
              <w:jc w:val="center"/>
              <w:rPr>
                <w:rFonts w:ascii="Arial Narrow" w:hAnsi="Arial Narrow"/>
                <w:sz w:val="20"/>
              </w:rPr>
            </w:pPr>
            <w:r>
              <w:rPr>
                <w:rFonts w:ascii="Arial Narrow" w:hAnsi="Arial Narrow"/>
                <w:sz w:val="20"/>
              </w:rPr>
              <w:t>R, OL, Phase 1</w:t>
            </w:r>
          </w:p>
        </w:tc>
        <w:tc>
          <w:tcPr>
            <w:tcW w:w="214" w:type="pct"/>
            <w:shd w:val="clear" w:color="auto" w:fill="auto"/>
            <w:vAlign w:val="center"/>
          </w:tcPr>
          <w:p w:rsidR="00337D1D" w:rsidRDefault="00337D1D" w:rsidP="00EF62AB">
            <w:pPr>
              <w:widowControl/>
              <w:jc w:val="center"/>
              <w:rPr>
                <w:rFonts w:ascii="Arial Narrow" w:hAnsi="Arial Narrow"/>
                <w:sz w:val="20"/>
                <w:lang w:val="en-US"/>
              </w:rPr>
            </w:pPr>
            <w:r>
              <w:rPr>
                <w:rFonts w:ascii="Arial Narrow" w:hAnsi="Arial Narrow"/>
                <w:sz w:val="20"/>
                <w:lang w:val="en-US"/>
              </w:rPr>
              <w:t>42</w:t>
            </w:r>
          </w:p>
        </w:tc>
        <w:tc>
          <w:tcPr>
            <w:tcW w:w="1655" w:type="pct"/>
            <w:shd w:val="clear" w:color="auto" w:fill="auto"/>
            <w:vAlign w:val="center"/>
          </w:tcPr>
          <w:p w:rsidR="00337D1D" w:rsidRDefault="00337D1D" w:rsidP="00EF62AB">
            <w:pPr>
              <w:widowControl/>
              <w:jc w:val="left"/>
              <w:rPr>
                <w:rFonts w:ascii="Arial Narrow" w:hAnsi="Arial Narrow"/>
                <w:sz w:val="20"/>
                <w:lang w:val="en-US"/>
              </w:rPr>
            </w:pPr>
            <w:r>
              <w:rPr>
                <w:rFonts w:ascii="Arial Narrow" w:hAnsi="Arial Narrow"/>
                <w:sz w:val="20"/>
                <w:lang w:val="en-US"/>
              </w:rPr>
              <w:t>EMPA 25</w:t>
            </w:r>
            <w:r w:rsidR="007452AD">
              <w:rPr>
                <w:rFonts w:ascii="Arial Narrow" w:hAnsi="Arial Narrow"/>
                <w:sz w:val="20"/>
                <w:lang w:val="en-US"/>
              </w:rPr>
              <w:t xml:space="preserve"> mg</w:t>
            </w:r>
            <w:r>
              <w:rPr>
                <w:rFonts w:ascii="Arial Narrow" w:hAnsi="Arial Narrow"/>
                <w:sz w:val="20"/>
                <w:lang w:val="en-US"/>
              </w:rPr>
              <w:t>+LINA 5</w:t>
            </w:r>
            <w:r w:rsidR="007452AD">
              <w:rPr>
                <w:rFonts w:ascii="Arial Narrow" w:hAnsi="Arial Narrow"/>
                <w:sz w:val="20"/>
                <w:lang w:val="en-US"/>
              </w:rPr>
              <w:t xml:space="preserve"> mg</w:t>
            </w:r>
            <w:r>
              <w:rPr>
                <w:rFonts w:ascii="Arial Narrow" w:hAnsi="Arial Narrow"/>
                <w:sz w:val="20"/>
                <w:lang w:val="en-US"/>
              </w:rPr>
              <w:t xml:space="preserve"> FDC (normal)</w:t>
            </w:r>
          </w:p>
          <w:p w:rsidR="00337D1D" w:rsidRDefault="00337D1D" w:rsidP="00EF62AB">
            <w:pPr>
              <w:widowControl/>
              <w:jc w:val="left"/>
              <w:rPr>
                <w:rFonts w:ascii="Arial Narrow" w:hAnsi="Arial Narrow"/>
                <w:sz w:val="20"/>
                <w:lang w:val="en-US"/>
              </w:rPr>
            </w:pPr>
            <w:r>
              <w:rPr>
                <w:rFonts w:ascii="Arial Narrow" w:hAnsi="Arial Narrow"/>
                <w:sz w:val="20"/>
                <w:lang w:val="en-US"/>
              </w:rPr>
              <w:t>EMPA 25</w:t>
            </w:r>
            <w:r w:rsidR="007452AD">
              <w:rPr>
                <w:rFonts w:ascii="Arial Narrow" w:hAnsi="Arial Narrow"/>
                <w:sz w:val="20"/>
                <w:lang w:val="en-US"/>
              </w:rPr>
              <w:t xml:space="preserve"> mg</w:t>
            </w:r>
            <w:r>
              <w:rPr>
                <w:rFonts w:ascii="Arial Narrow" w:hAnsi="Arial Narrow"/>
                <w:sz w:val="20"/>
                <w:lang w:val="en-US"/>
              </w:rPr>
              <w:t>+LINA 5</w:t>
            </w:r>
            <w:r w:rsidR="007452AD">
              <w:rPr>
                <w:rFonts w:ascii="Arial Narrow" w:hAnsi="Arial Narrow"/>
                <w:sz w:val="20"/>
                <w:lang w:val="en-US"/>
              </w:rPr>
              <w:t xml:space="preserve"> mg</w:t>
            </w:r>
            <w:r>
              <w:rPr>
                <w:rFonts w:ascii="Arial Narrow" w:hAnsi="Arial Narrow"/>
                <w:sz w:val="20"/>
                <w:lang w:val="en-US"/>
              </w:rPr>
              <w:t xml:space="preserve"> concomitant</w:t>
            </w:r>
          </w:p>
          <w:p w:rsidR="00337D1D" w:rsidRDefault="00337D1D" w:rsidP="00EF62AB">
            <w:pPr>
              <w:widowControl/>
              <w:jc w:val="left"/>
              <w:rPr>
                <w:rFonts w:ascii="Arial Narrow" w:hAnsi="Arial Narrow"/>
                <w:sz w:val="20"/>
                <w:lang w:val="en-US"/>
              </w:rPr>
            </w:pPr>
            <w:r>
              <w:rPr>
                <w:rFonts w:ascii="Arial Narrow" w:hAnsi="Arial Narrow"/>
                <w:sz w:val="20"/>
                <w:lang w:val="en-US"/>
              </w:rPr>
              <w:t>EMPA 25</w:t>
            </w:r>
            <w:r w:rsidR="007452AD">
              <w:rPr>
                <w:rFonts w:ascii="Arial Narrow" w:hAnsi="Arial Narrow"/>
                <w:sz w:val="20"/>
                <w:lang w:val="en-US"/>
              </w:rPr>
              <w:t xml:space="preserve"> mg</w:t>
            </w:r>
            <w:r>
              <w:rPr>
                <w:rFonts w:ascii="Arial Narrow" w:hAnsi="Arial Narrow"/>
                <w:sz w:val="20"/>
                <w:lang w:val="en-US"/>
              </w:rPr>
              <w:t>+LINA 5</w:t>
            </w:r>
            <w:r w:rsidR="007452AD">
              <w:rPr>
                <w:rFonts w:ascii="Arial Narrow" w:hAnsi="Arial Narrow"/>
                <w:sz w:val="20"/>
                <w:lang w:val="en-US"/>
              </w:rPr>
              <w:t xml:space="preserve"> mg</w:t>
            </w:r>
            <w:r>
              <w:rPr>
                <w:rFonts w:ascii="Arial Narrow" w:hAnsi="Arial Narrow"/>
                <w:sz w:val="20"/>
                <w:lang w:val="en-US"/>
              </w:rPr>
              <w:t xml:space="preserve"> FDC (high fat)</w:t>
            </w:r>
          </w:p>
          <w:p w:rsidR="00337D1D" w:rsidRDefault="00337D1D" w:rsidP="00EF62AB">
            <w:pPr>
              <w:widowControl/>
              <w:jc w:val="left"/>
              <w:rPr>
                <w:rFonts w:ascii="Arial Narrow" w:hAnsi="Arial Narrow"/>
                <w:sz w:val="20"/>
                <w:lang w:val="en-US"/>
              </w:rPr>
            </w:pPr>
            <w:r>
              <w:rPr>
                <w:rFonts w:ascii="Arial Narrow" w:hAnsi="Arial Narrow"/>
                <w:sz w:val="20"/>
                <w:lang w:val="en-US"/>
              </w:rPr>
              <w:t>EMPA 25</w:t>
            </w:r>
            <w:r w:rsidR="007452AD">
              <w:rPr>
                <w:rFonts w:ascii="Arial Narrow" w:hAnsi="Arial Narrow"/>
                <w:sz w:val="20"/>
                <w:lang w:val="en-US"/>
              </w:rPr>
              <w:t xml:space="preserve"> mg</w:t>
            </w:r>
            <w:r>
              <w:rPr>
                <w:rFonts w:ascii="Arial Narrow" w:hAnsi="Arial Narrow"/>
                <w:sz w:val="20"/>
                <w:lang w:val="en-US"/>
              </w:rPr>
              <w:t>+LINA 5</w:t>
            </w:r>
            <w:r w:rsidR="007452AD">
              <w:rPr>
                <w:rFonts w:ascii="Arial Narrow" w:hAnsi="Arial Narrow"/>
                <w:sz w:val="20"/>
                <w:lang w:val="en-US"/>
              </w:rPr>
              <w:t xml:space="preserve"> mg</w:t>
            </w:r>
            <w:r>
              <w:rPr>
                <w:rFonts w:ascii="Arial Narrow" w:hAnsi="Arial Narrow"/>
                <w:sz w:val="20"/>
                <w:lang w:val="en-US"/>
              </w:rPr>
              <w:t xml:space="preserve"> FDC (slow)</w:t>
            </w:r>
          </w:p>
        </w:tc>
        <w:tc>
          <w:tcPr>
            <w:tcW w:w="890" w:type="pct"/>
            <w:shd w:val="clear" w:color="auto" w:fill="auto"/>
            <w:vAlign w:val="center"/>
          </w:tcPr>
          <w:p w:rsidR="00337D1D" w:rsidRPr="009E0ECC" w:rsidRDefault="00337D1D" w:rsidP="00EF62AB">
            <w:pPr>
              <w:widowControl/>
              <w:tabs>
                <w:tab w:val="right" w:pos="3105"/>
              </w:tabs>
              <w:jc w:val="center"/>
              <w:rPr>
                <w:rFonts w:ascii="Arial Narrow" w:hAnsi="Arial Narrow"/>
                <w:sz w:val="20"/>
                <w:u w:val="single"/>
                <w:lang w:val="en-US"/>
              </w:rPr>
            </w:pPr>
            <w:r>
              <w:rPr>
                <w:rFonts w:ascii="Arial Narrow" w:hAnsi="Arial Narrow"/>
                <w:sz w:val="20"/>
                <w:u w:val="single"/>
                <w:lang w:val="en-US"/>
              </w:rPr>
              <w:t>Single dose</w:t>
            </w:r>
          </w:p>
        </w:tc>
        <w:tc>
          <w:tcPr>
            <w:tcW w:w="503" w:type="pct"/>
            <w:shd w:val="clear" w:color="auto" w:fill="auto"/>
            <w:vAlign w:val="center"/>
          </w:tcPr>
          <w:p w:rsidR="00337D1D" w:rsidRPr="00736B3C" w:rsidRDefault="00337D1D" w:rsidP="00EF62AB">
            <w:pPr>
              <w:widowControl/>
              <w:jc w:val="center"/>
              <w:rPr>
                <w:rFonts w:ascii="Arial Narrow" w:hAnsi="Arial Narrow"/>
                <w:sz w:val="20"/>
              </w:rPr>
            </w:pPr>
            <w:r w:rsidRPr="00736B3C">
              <w:rPr>
                <w:rFonts w:ascii="Arial Narrow" w:hAnsi="Arial Narrow"/>
                <w:sz w:val="20"/>
              </w:rPr>
              <w:t>AUC</w:t>
            </w:r>
            <w:r w:rsidRPr="00736B3C">
              <w:rPr>
                <w:rFonts w:ascii="Arial Narrow" w:hAnsi="Arial Narrow"/>
                <w:sz w:val="20"/>
                <w:vertAlign w:val="subscript"/>
              </w:rPr>
              <w:t>0-tz</w:t>
            </w:r>
            <w:r w:rsidRPr="00736B3C">
              <w:rPr>
                <w:rFonts w:ascii="Arial Narrow" w:hAnsi="Arial Narrow"/>
                <w:sz w:val="20"/>
              </w:rPr>
              <w:t xml:space="preserve"> </w:t>
            </w:r>
          </w:p>
          <w:p w:rsidR="00337D1D" w:rsidRPr="00736B3C" w:rsidRDefault="00337D1D" w:rsidP="00EF62AB">
            <w:pPr>
              <w:widowControl/>
              <w:jc w:val="center"/>
              <w:rPr>
                <w:rFonts w:ascii="Arial Narrow" w:hAnsi="Arial Narrow" w:cstheme="minorHAnsi"/>
                <w:sz w:val="20"/>
                <w:vertAlign w:val="subscript"/>
              </w:rPr>
            </w:pPr>
            <w:r w:rsidRPr="00736B3C">
              <w:rPr>
                <w:rFonts w:ascii="Arial Narrow" w:hAnsi="Arial Narrow" w:cstheme="minorHAnsi"/>
                <w:sz w:val="20"/>
              </w:rPr>
              <w:t>AUC</w:t>
            </w:r>
            <w:r w:rsidRPr="00736B3C">
              <w:rPr>
                <w:rFonts w:ascii="Arial Narrow" w:hAnsi="Arial Narrow" w:cstheme="minorHAnsi"/>
                <w:sz w:val="20"/>
                <w:vertAlign w:val="subscript"/>
              </w:rPr>
              <w:t xml:space="preserve">0-72 </w:t>
            </w:r>
          </w:p>
          <w:p w:rsidR="00337D1D" w:rsidRPr="00736B3C" w:rsidRDefault="00337D1D" w:rsidP="00EF62AB">
            <w:pPr>
              <w:widowControl/>
              <w:jc w:val="center"/>
              <w:rPr>
                <w:rFonts w:ascii="Arial Narrow" w:hAnsi="Arial Narrow"/>
                <w:sz w:val="20"/>
                <w:lang w:val="en-US"/>
              </w:rPr>
            </w:pPr>
            <w:r w:rsidRPr="00736B3C">
              <w:rPr>
                <w:rFonts w:ascii="Arial Narrow" w:hAnsi="Arial Narrow" w:cstheme="minorHAnsi"/>
                <w:sz w:val="20"/>
              </w:rPr>
              <w:t>C</w:t>
            </w:r>
            <w:r w:rsidRPr="00736B3C">
              <w:rPr>
                <w:rFonts w:ascii="Arial Narrow" w:hAnsi="Arial Narrow" w:cstheme="minorHAnsi"/>
                <w:sz w:val="20"/>
                <w:vertAlign w:val="subscript"/>
              </w:rPr>
              <w:t>max</w:t>
            </w:r>
          </w:p>
        </w:tc>
        <w:tc>
          <w:tcPr>
            <w:tcW w:w="700" w:type="pct"/>
            <w:shd w:val="clear" w:color="auto" w:fill="auto"/>
            <w:vAlign w:val="center"/>
          </w:tcPr>
          <w:p w:rsidR="00337D1D" w:rsidRPr="00736B3C" w:rsidRDefault="00337D1D" w:rsidP="00EF62AB">
            <w:pPr>
              <w:widowControl/>
              <w:jc w:val="center"/>
              <w:rPr>
                <w:rFonts w:ascii="Arial Narrow" w:hAnsi="Arial Narrow"/>
                <w:sz w:val="20"/>
                <w:lang w:val="en-US"/>
              </w:rPr>
            </w:pPr>
            <w:r w:rsidRPr="00736B3C">
              <w:rPr>
                <w:rFonts w:ascii="Arial Narrow" w:hAnsi="Arial Narrow"/>
                <w:sz w:val="20"/>
                <w:lang w:val="en-US"/>
              </w:rPr>
              <w:t>Adult 18-55yrs</w:t>
            </w:r>
          </w:p>
          <w:p w:rsidR="00337D1D" w:rsidRPr="00736B3C" w:rsidRDefault="00337D1D" w:rsidP="00EF62AB">
            <w:pPr>
              <w:widowControl/>
              <w:jc w:val="center"/>
              <w:rPr>
                <w:rFonts w:ascii="Arial Narrow" w:hAnsi="Arial Narrow"/>
                <w:sz w:val="20"/>
                <w:lang w:val="en-US"/>
              </w:rPr>
            </w:pPr>
            <w:r w:rsidRPr="00736B3C">
              <w:rPr>
                <w:rFonts w:ascii="Arial Narrow" w:hAnsi="Arial Narrow"/>
                <w:sz w:val="20"/>
                <w:lang w:val="en-US"/>
              </w:rPr>
              <w:t xml:space="preserve">BMI </w:t>
            </w:r>
          </w:p>
          <w:p w:rsidR="00337D1D" w:rsidRDefault="00337D1D" w:rsidP="00EF62AB">
            <w:pPr>
              <w:widowControl/>
              <w:jc w:val="center"/>
              <w:rPr>
                <w:rFonts w:ascii="Arial Narrow" w:hAnsi="Arial Narrow"/>
                <w:sz w:val="20"/>
                <w:lang w:val="en-US"/>
              </w:rPr>
            </w:pPr>
            <w:r w:rsidRPr="00736B3C">
              <w:rPr>
                <w:rFonts w:ascii="Arial Narrow" w:hAnsi="Arial Narrow" w:cstheme="minorHAnsi"/>
                <w:sz w:val="20"/>
              </w:rPr>
              <w:t>18.5</w:t>
            </w:r>
            <w:r w:rsidR="00FC7CCB">
              <w:rPr>
                <w:rFonts w:ascii="Arial Narrow" w:hAnsi="Arial Narrow" w:cstheme="minorHAnsi"/>
                <w:sz w:val="20"/>
              </w:rPr>
              <w:t>-</w:t>
            </w:r>
            <w:r w:rsidRPr="00736B3C">
              <w:rPr>
                <w:rFonts w:ascii="Arial Narrow" w:hAnsi="Arial Narrow" w:cstheme="minorHAnsi"/>
                <w:sz w:val="20"/>
              </w:rPr>
              <w:t>29.9</w:t>
            </w:r>
            <w:r w:rsidR="00FC7CCB">
              <w:rPr>
                <w:rFonts w:ascii="Arial Narrow" w:hAnsi="Arial Narrow" w:cstheme="minorHAnsi"/>
                <w:sz w:val="20"/>
              </w:rPr>
              <w:t xml:space="preserve"> </w:t>
            </w:r>
            <w:r w:rsidRPr="00736B3C">
              <w:rPr>
                <w:rFonts w:ascii="Arial Narrow" w:hAnsi="Arial Narrow" w:cstheme="minorHAnsi"/>
                <w:sz w:val="20"/>
              </w:rPr>
              <w:t>kg/m</w:t>
            </w:r>
            <w:r w:rsidRPr="00736B3C">
              <w:rPr>
                <w:rFonts w:ascii="Arial Narrow" w:hAnsi="Arial Narrow" w:cstheme="minorHAnsi"/>
                <w:sz w:val="20"/>
                <w:vertAlign w:val="superscript"/>
              </w:rPr>
              <w:t>2</w:t>
            </w:r>
            <w:r>
              <w:rPr>
                <w:rFonts w:asciiTheme="minorHAnsi" w:hAnsiTheme="minorHAnsi" w:cstheme="minorHAnsi"/>
                <w:vertAlign w:val="superscript"/>
              </w:rPr>
              <w:t xml:space="preserve"> </w:t>
            </w:r>
          </w:p>
        </w:tc>
        <w:tc>
          <w:tcPr>
            <w:tcW w:w="253" w:type="pct"/>
            <w:vAlign w:val="center"/>
          </w:tcPr>
          <w:p w:rsidR="00337D1D" w:rsidRDefault="00337D1D" w:rsidP="00EF62AB">
            <w:pPr>
              <w:widowControl/>
              <w:jc w:val="center"/>
              <w:rPr>
                <w:rFonts w:ascii="Arial Narrow" w:hAnsi="Arial Narrow"/>
                <w:sz w:val="20"/>
                <w:lang w:val="en-US"/>
              </w:rPr>
            </w:pPr>
            <w:r>
              <w:rPr>
                <w:rFonts w:ascii="Arial Narrow" w:hAnsi="Arial Narrow"/>
                <w:sz w:val="20"/>
                <w:lang w:val="en-US"/>
              </w:rPr>
              <w:t>NA</w:t>
            </w:r>
          </w:p>
        </w:tc>
      </w:tr>
    </w:tbl>
    <w:p w:rsidR="00337D1D" w:rsidRPr="00693EB5" w:rsidRDefault="00337D1D" w:rsidP="00EF62AB">
      <w:pPr>
        <w:widowControl/>
        <w:ind w:left="709"/>
        <w:rPr>
          <w:rFonts w:ascii="Arial Narrow" w:hAnsi="Arial Narrow"/>
          <w:sz w:val="18"/>
          <w:szCs w:val="18"/>
        </w:rPr>
      </w:pPr>
      <w:r w:rsidRPr="00693EB5">
        <w:rPr>
          <w:rFonts w:ascii="Arial Narrow" w:hAnsi="Arial Narrow"/>
          <w:sz w:val="18"/>
          <w:szCs w:val="18"/>
        </w:rPr>
        <w:t>Source:</w:t>
      </w:r>
      <w:r>
        <w:rPr>
          <w:rFonts w:ascii="Arial Narrow" w:hAnsi="Arial Narrow"/>
          <w:sz w:val="18"/>
          <w:szCs w:val="18"/>
        </w:rPr>
        <w:t xml:space="preserve"> Table B.4, p.66; Table B.12, p.83; Table 76, pp.231-233; Table B.86, p.254; Table B.117, pp.327-330; Table B.122, p.342; Table B.124, p.344; Table B.125, p.346; Table B.126, p.347; Table 127, 348; 128, p.349 of the submission; </w:t>
      </w:r>
      <w:r w:rsidRPr="00736B3C">
        <w:rPr>
          <w:rFonts w:ascii="Arial Narrow" w:hAnsi="Arial Narrow"/>
          <w:sz w:val="18"/>
          <w:szCs w:val="18"/>
        </w:rPr>
        <w:t>Empalina Bioequivalence</w:t>
      </w:r>
      <w:r>
        <w:rPr>
          <w:rFonts w:ascii="Arial Narrow" w:hAnsi="Arial Narrow"/>
          <w:sz w:val="18"/>
          <w:szCs w:val="18"/>
        </w:rPr>
        <w:t>, Appendix 7 to the submission.</w:t>
      </w:r>
    </w:p>
    <w:p w:rsidR="00337D1D" w:rsidRDefault="00337D1D" w:rsidP="00EF62AB">
      <w:pPr>
        <w:widowControl/>
        <w:ind w:left="709"/>
        <w:rPr>
          <w:rFonts w:ascii="Arial Narrow" w:hAnsi="Arial Narrow"/>
          <w:sz w:val="18"/>
          <w:szCs w:val="18"/>
        </w:rPr>
      </w:pPr>
      <w:r w:rsidRPr="00693EB5">
        <w:rPr>
          <w:rFonts w:ascii="Arial Narrow" w:hAnsi="Arial Narrow"/>
          <w:sz w:val="18"/>
          <w:szCs w:val="18"/>
        </w:rPr>
        <w:t>Abbreviations</w:t>
      </w:r>
      <w:r w:rsidRPr="00EE0CE2">
        <w:rPr>
          <w:rFonts w:ascii="Arial Narrow" w:hAnsi="Arial Narrow"/>
          <w:sz w:val="18"/>
          <w:szCs w:val="18"/>
        </w:rPr>
        <w:t xml:space="preserve"> </w:t>
      </w:r>
      <w:r>
        <w:rPr>
          <w:rFonts w:ascii="Arial Narrow" w:hAnsi="Arial Narrow"/>
          <w:sz w:val="18"/>
          <w:szCs w:val="18"/>
        </w:rPr>
        <w:t xml:space="preserve">AC, active control; BD, twice daily; DB, double blind; EMPA, empagliflozin; EXE, exenatide; FAS, full analysis set; FDC, fixed dose combination; </w:t>
      </w:r>
      <w:r w:rsidRPr="00397F9C">
        <w:rPr>
          <w:rFonts w:ascii="Arial Narrow" w:hAnsi="Arial Narrow"/>
          <w:sz w:val="18"/>
          <w:szCs w:val="18"/>
        </w:rPr>
        <w:t>HbA1c, glycosylated haemoglobin</w:t>
      </w:r>
      <w:r>
        <w:rPr>
          <w:rFonts w:ascii="Arial Narrow" w:hAnsi="Arial Narrow"/>
          <w:sz w:val="18"/>
          <w:szCs w:val="18"/>
        </w:rPr>
        <w:t xml:space="preserve">; LINA, linagliptin; LOCF, </w:t>
      </w:r>
      <w:r w:rsidRPr="00397F9C">
        <w:rPr>
          <w:rFonts w:ascii="Arial Narrow" w:hAnsi="Arial Narrow"/>
          <w:sz w:val="18"/>
          <w:szCs w:val="18"/>
        </w:rPr>
        <w:t>last observation carried forward</w:t>
      </w:r>
      <w:r>
        <w:rPr>
          <w:rFonts w:ascii="Arial Narrow" w:hAnsi="Arial Narrow"/>
          <w:sz w:val="18"/>
          <w:szCs w:val="18"/>
        </w:rPr>
        <w:t>; MC, multi-centre; MET, metformin;</w:t>
      </w:r>
      <w:r w:rsidR="005159CD" w:rsidRPr="005159CD">
        <w:rPr>
          <w:szCs w:val="16"/>
        </w:rPr>
        <w:t xml:space="preserve"> </w:t>
      </w:r>
      <w:r w:rsidR="005159CD" w:rsidRPr="005159CD">
        <w:rPr>
          <w:rFonts w:ascii="Arial Narrow" w:hAnsi="Arial Narrow"/>
          <w:sz w:val="18"/>
          <w:szCs w:val="18"/>
        </w:rPr>
        <w:t>MITT, modified intention-to-treat</w:t>
      </w:r>
      <w:r w:rsidR="005159CD">
        <w:rPr>
          <w:rFonts w:ascii="Arial Narrow" w:hAnsi="Arial Narrow"/>
          <w:sz w:val="18"/>
          <w:szCs w:val="18"/>
        </w:rPr>
        <w:t>;</w:t>
      </w:r>
      <w:r>
        <w:rPr>
          <w:rFonts w:ascii="Arial Narrow" w:hAnsi="Arial Narrow"/>
          <w:sz w:val="18"/>
          <w:szCs w:val="18"/>
        </w:rPr>
        <w:t xml:space="preserve"> MMRM, </w:t>
      </w:r>
      <w:r w:rsidRPr="00397F9C">
        <w:rPr>
          <w:rFonts w:ascii="Arial Narrow" w:hAnsi="Arial Narrow"/>
          <w:sz w:val="18"/>
          <w:szCs w:val="18"/>
        </w:rPr>
        <w:t>mixed model repeated measures</w:t>
      </w:r>
      <w:r>
        <w:rPr>
          <w:rFonts w:ascii="Arial Narrow" w:hAnsi="Arial Narrow"/>
          <w:sz w:val="18"/>
          <w:szCs w:val="18"/>
        </w:rPr>
        <w:t>; NA, not applicable; OC, observed cases; OL, open label; Pbo, placebo; PC, placebo controlled; PIO, pioglitazone; PP, per protocol; R, randomised; RCT, randomised controlled trial; SA, single arm; SB, single blind; SITA, sitagliptin; wkly, weekly; wks, weeks.</w:t>
      </w:r>
    </w:p>
    <w:p w:rsidR="00337D1D" w:rsidRDefault="00337D1D" w:rsidP="00EF62AB">
      <w:pPr>
        <w:widowControl/>
        <w:ind w:left="709"/>
        <w:rPr>
          <w:rFonts w:ascii="Arial Narrow" w:hAnsi="Arial Narrow"/>
          <w:sz w:val="18"/>
          <w:szCs w:val="18"/>
        </w:rPr>
      </w:pPr>
      <w:r>
        <w:rPr>
          <w:rFonts w:ascii="Arial Narrow" w:hAnsi="Arial Narrow"/>
          <w:sz w:val="18"/>
          <w:szCs w:val="18"/>
        </w:rPr>
        <w:t>* Last observation carried forward (LOCF) as sensitivity analysis.</w:t>
      </w:r>
    </w:p>
    <w:p w:rsidR="00337D1D" w:rsidRDefault="00337D1D" w:rsidP="00EF62AB">
      <w:pPr>
        <w:widowControl/>
        <w:ind w:left="709"/>
        <w:rPr>
          <w:rFonts w:ascii="Arial Narrow" w:hAnsi="Arial Narrow"/>
          <w:sz w:val="18"/>
          <w:szCs w:val="18"/>
        </w:rPr>
      </w:pPr>
      <w:r w:rsidRPr="00221F8C">
        <w:rPr>
          <w:rFonts w:ascii="Arial Narrow" w:hAnsi="Arial Narrow"/>
          <w:sz w:val="18"/>
          <w:szCs w:val="18"/>
          <w:vertAlign w:val="superscript"/>
          <w:lang w:val="en-US"/>
        </w:rPr>
        <w:t xml:space="preserve">† </w:t>
      </w:r>
      <w:r w:rsidRPr="00221F8C">
        <w:rPr>
          <w:rFonts w:ascii="Arial Narrow" w:hAnsi="Arial Narrow"/>
          <w:sz w:val="18"/>
          <w:szCs w:val="18"/>
        </w:rPr>
        <w:t>Insulin glargine titrated from an initial subcutaneous dose of 0</w:t>
      </w:r>
      <w:r w:rsidR="007A659F">
        <w:rPr>
          <w:rFonts w:ascii="Arial Narrow" w:hAnsi="Arial Narrow"/>
          <w:sz w:val="18"/>
          <w:szCs w:val="18"/>
        </w:rPr>
        <w:t>.</w:t>
      </w:r>
      <w:r w:rsidRPr="00221F8C">
        <w:rPr>
          <w:rFonts w:ascii="Arial Narrow" w:hAnsi="Arial Narrow"/>
          <w:sz w:val="18"/>
          <w:szCs w:val="18"/>
        </w:rPr>
        <w:t>2 IU/kg bodyweight to attain fasting p</w:t>
      </w:r>
      <w:r>
        <w:rPr>
          <w:rFonts w:ascii="Arial Narrow" w:hAnsi="Arial Narrow"/>
          <w:sz w:val="18"/>
          <w:szCs w:val="18"/>
        </w:rPr>
        <w:t>lasma glucose of 4</w:t>
      </w:r>
      <w:r w:rsidR="007A659F">
        <w:rPr>
          <w:rFonts w:ascii="Arial Narrow" w:hAnsi="Arial Narrow"/>
          <w:sz w:val="18"/>
          <w:szCs w:val="18"/>
        </w:rPr>
        <w:t>.</w:t>
      </w:r>
      <w:r>
        <w:rPr>
          <w:rFonts w:ascii="Arial Narrow" w:hAnsi="Arial Narrow"/>
          <w:sz w:val="18"/>
          <w:szCs w:val="18"/>
        </w:rPr>
        <w:t>0–5</w:t>
      </w:r>
      <w:r w:rsidR="007A659F">
        <w:rPr>
          <w:rFonts w:ascii="Arial Narrow" w:hAnsi="Arial Narrow"/>
          <w:sz w:val="18"/>
          <w:szCs w:val="18"/>
        </w:rPr>
        <w:t>.</w:t>
      </w:r>
      <w:r>
        <w:rPr>
          <w:rFonts w:ascii="Arial Narrow" w:hAnsi="Arial Narrow"/>
          <w:sz w:val="18"/>
          <w:szCs w:val="18"/>
        </w:rPr>
        <w:t>5 mmol/L.</w:t>
      </w:r>
    </w:p>
    <w:p w:rsidR="00337D1D" w:rsidRPr="00337D1D" w:rsidRDefault="00337D1D" w:rsidP="00EF62AB">
      <w:pPr>
        <w:widowControl/>
        <w:ind w:left="709"/>
      </w:pPr>
    </w:p>
    <w:p w:rsidR="008F01EC" w:rsidRDefault="008F01EC">
      <w:pPr>
        <w:widowControl/>
        <w:jc w:val="left"/>
        <w:rPr>
          <w:b/>
          <w:i/>
        </w:rPr>
      </w:pPr>
      <w:bookmarkStart w:id="9" w:name="_Toc472413207"/>
      <w:r>
        <w:br w:type="page"/>
      </w:r>
    </w:p>
    <w:p w:rsidR="00E22404" w:rsidRPr="00415376" w:rsidRDefault="00B60939" w:rsidP="00103DD6">
      <w:pPr>
        <w:pStyle w:val="Heading3"/>
        <w:keepNext/>
        <w:widowControl/>
      </w:pPr>
      <w:r w:rsidRPr="00415376">
        <w:t>Comparative effectiveness</w:t>
      </w:r>
      <w:bookmarkEnd w:id="9"/>
    </w:p>
    <w:p w:rsidR="00B60939" w:rsidRPr="00882085" w:rsidRDefault="00B60939" w:rsidP="00103DD6">
      <w:pPr>
        <w:keepNext/>
        <w:widowControl/>
        <w:ind w:left="709"/>
        <w:rPr>
          <w:szCs w:val="22"/>
        </w:rPr>
      </w:pPr>
    </w:p>
    <w:p w:rsidR="002C2775" w:rsidRPr="00B50DB8" w:rsidRDefault="00A13F04" w:rsidP="008F5BEE">
      <w:pPr>
        <w:pStyle w:val="ListParagraph"/>
        <w:widowControl/>
        <w:numPr>
          <w:ilvl w:val="1"/>
          <w:numId w:val="1"/>
        </w:numPr>
        <w:rPr>
          <w:szCs w:val="22"/>
        </w:rPr>
      </w:pPr>
      <w:r w:rsidRPr="009F4250">
        <w:rPr>
          <w:u w:val="single"/>
        </w:rPr>
        <w:t>1. Empagliflozin with linagliptin FDC vs linagliptin or empagliflozin, both in combination with metformin</w:t>
      </w:r>
    </w:p>
    <w:p w:rsidR="007F1017" w:rsidRDefault="007F1017" w:rsidP="00EF62AB">
      <w:pPr>
        <w:widowControl/>
        <w:rPr>
          <w:szCs w:val="22"/>
        </w:rPr>
      </w:pPr>
    </w:p>
    <w:p w:rsidR="00A13F04" w:rsidRPr="00A13F04" w:rsidRDefault="007F1017" w:rsidP="00976CD6">
      <w:pPr>
        <w:widowControl/>
        <w:ind w:left="720"/>
        <w:jc w:val="left"/>
        <w:rPr>
          <w:rFonts w:ascii="Arial Narrow" w:hAnsi="Arial Narrow"/>
          <w:b/>
          <w:sz w:val="20"/>
          <w:szCs w:val="16"/>
        </w:rPr>
      </w:pPr>
      <w:r w:rsidRPr="001F7361">
        <w:rPr>
          <w:rStyle w:val="CommentReference"/>
        </w:rPr>
        <w:t xml:space="preserve">Table </w:t>
      </w:r>
      <w:r w:rsidR="00EF62AB">
        <w:rPr>
          <w:rStyle w:val="CommentReference"/>
        </w:rPr>
        <w:t>4</w:t>
      </w:r>
      <w:r w:rsidR="00A13F04">
        <w:rPr>
          <w:rStyle w:val="CommentReference"/>
        </w:rPr>
        <w:t>: Mean</w:t>
      </w:r>
      <w:r w:rsidR="00A13F04" w:rsidRPr="00F17581">
        <w:rPr>
          <w:rStyle w:val="CommentReference"/>
        </w:rPr>
        <w:t xml:space="preserve"> change in HbA1c from baseline</w:t>
      </w:r>
      <w:r w:rsidR="00A13F04">
        <w:rPr>
          <w:rFonts w:ascii="Arial Narrow" w:hAnsi="Arial Narrow"/>
          <w:b/>
          <w:sz w:val="20"/>
        </w:rPr>
        <w:t xml:space="preserve">; </w:t>
      </w:r>
      <w:r w:rsidR="001B030D" w:rsidRPr="004370BA">
        <w:rPr>
          <w:rStyle w:val="CommentReference"/>
        </w:rPr>
        <w:t>head-to-head</w:t>
      </w:r>
      <w:r w:rsidR="001B030D">
        <w:rPr>
          <w:rStyle w:val="CommentReference"/>
        </w:rPr>
        <w:t xml:space="preserve"> </w:t>
      </w:r>
      <w:r w:rsidR="00A13F04">
        <w:rPr>
          <w:rStyle w:val="CommentReference"/>
        </w:rPr>
        <w:t xml:space="preserve">comparisons of </w:t>
      </w:r>
      <w:r w:rsidR="00A13F04">
        <w:rPr>
          <w:rFonts w:ascii="Arial Narrow" w:hAnsi="Arial Narrow"/>
          <w:b/>
          <w:sz w:val="20"/>
        </w:rPr>
        <w:t>empagliflozin with linagliptin FDC</w:t>
      </w:r>
      <w:r w:rsidR="00A13F04" w:rsidRPr="00332662">
        <w:rPr>
          <w:rFonts w:ascii="Arial Narrow" w:hAnsi="Arial Narrow"/>
          <w:b/>
          <w:sz w:val="20"/>
        </w:rPr>
        <w:t xml:space="preserve"> vs </w:t>
      </w:r>
      <w:r w:rsidR="00A13F04">
        <w:rPr>
          <w:rFonts w:ascii="Arial Narrow" w:hAnsi="Arial Narrow"/>
          <w:b/>
          <w:sz w:val="20"/>
        </w:rPr>
        <w:t>linagliptin or empagliflozin (with</w:t>
      </w:r>
      <w:r w:rsidR="00A13F04" w:rsidRPr="002235C9">
        <w:rPr>
          <w:rFonts w:ascii="Arial Narrow" w:hAnsi="Arial Narrow"/>
          <w:b/>
          <w:sz w:val="20"/>
        </w:rPr>
        <w:t xml:space="preserve"> metformin</w:t>
      </w:r>
      <w:r w:rsidR="00A13F04">
        <w:rPr>
          <w:rFonts w:ascii="Arial Narrow" w:hAnsi="Arial Narrow"/>
          <w:b/>
          <w:sz w:val="20"/>
        </w:rPr>
        <w:t>; FAS, MMRM, OC)</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13"/>
        <w:gridCol w:w="2268"/>
        <w:gridCol w:w="423"/>
        <w:gridCol w:w="1397"/>
        <w:gridCol w:w="492"/>
        <w:gridCol w:w="1373"/>
        <w:gridCol w:w="1497"/>
      </w:tblGrid>
      <w:tr w:rsidR="00CF31D0" w:rsidRPr="00FF22C9" w:rsidTr="00021872">
        <w:trPr>
          <w:trHeight w:val="458"/>
          <w:tblHeader/>
        </w:trPr>
        <w:tc>
          <w:tcPr>
            <w:tcW w:w="546" w:type="pct"/>
            <w:vAlign w:val="center"/>
          </w:tcPr>
          <w:p w:rsidR="00A13F04" w:rsidRPr="00FF22C9" w:rsidRDefault="00A13F04" w:rsidP="00EF62AB">
            <w:pPr>
              <w:widowControl/>
              <w:ind w:right="-108"/>
              <w:contextualSpacing/>
              <w:jc w:val="left"/>
              <w:rPr>
                <w:rFonts w:ascii="Arial Narrow" w:hAnsi="Arial Narrow" w:cs="Times New Roman"/>
                <w:b/>
                <w:sz w:val="20"/>
              </w:rPr>
            </w:pPr>
            <w:r w:rsidRPr="00FF22C9">
              <w:rPr>
                <w:rFonts w:ascii="Arial Narrow" w:hAnsi="Arial Narrow" w:cs="Times New Roman"/>
                <w:b/>
                <w:sz w:val="20"/>
              </w:rPr>
              <w:t>Trial ID</w:t>
            </w:r>
          </w:p>
        </w:tc>
        <w:tc>
          <w:tcPr>
            <w:tcW w:w="1356" w:type="pct"/>
            <w:vAlign w:val="center"/>
          </w:tcPr>
          <w:p w:rsidR="00A13F04" w:rsidRDefault="00A13F04" w:rsidP="00EF62AB">
            <w:pPr>
              <w:widowControl/>
              <w:jc w:val="left"/>
              <w:rPr>
                <w:rFonts w:ascii="Arial Narrow" w:hAnsi="Arial Narrow"/>
                <w:b/>
                <w:sz w:val="20"/>
              </w:rPr>
            </w:pPr>
            <w:r>
              <w:rPr>
                <w:rFonts w:ascii="Arial Narrow" w:hAnsi="Arial Narrow"/>
                <w:b/>
                <w:sz w:val="20"/>
              </w:rPr>
              <w:t>Comparison</w:t>
            </w:r>
          </w:p>
          <w:p w:rsidR="00A13F04" w:rsidRPr="00FF22C9" w:rsidRDefault="00A13F04" w:rsidP="00EF62AB">
            <w:pPr>
              <w:widowControl/>
              <w:ind w:right="-108"/>
              <w:contextualSpacing/>
              <w:jc w:val="left"/>
              <w:rPr>
                <w:rFonts w:ascii="Arial Narrow" w:hAnsi="Arial Narrow" w:cs="Times New Roman"/>
                <w:b/>
                <w:sz w:val="20"/>
              </w:rPr>
            </w:pPr>
            <w:r>
              <w:rPr>
                <w:rFonts w:ascii="Arial Narrow" w:hAnsi="Arial Narrow"/>
                <w:b/>
                <w:sz w:val="20"/>
              </w:rPr>
              <w:t>(with metformin)</w:t>
            </w:r>
          </w:p>
        </w:tc>
        <w:tc>
          <w:tcPr>
            <w:tcW w:w="2203" w:type="pct"/>
            <w:gridSpan w:val="4"/>
            <w:vAlign w:val="center"/>
          </w:tcPr>
          <w:p w:rsidR="00A13F04" w:rsidRDefault="00A13F04" w:rsidP="00EF62AB">
            <w:pPr>
              <w:widowControl/>
              <w:contextualSpacing/>
              <w:jc w:val="center"/>
              <w:rPr>
                <w:rFonts w:ascii="Arial Narrow" w:hAnsi="Arial Narrow"/>
                <w:b/>
                <w:sz w:val="20"/>
              </w:rPr>
            </w:pPr>
            <w:r>
              <w:rPr>
                <w:rFonts w:ascii="Arial Narrow" w:hAnsi="Arial Narrow"/>
                <w:b/>
                <w:sz w:val="20"/>
              </w:rPr>
              <w:t>M</w:t>
            </w:r>
            <w:r w:rsidRPr="006C7FA0">
              <w:rPr>
                <w:rFonts w:ascii="Arial Narrow" w:hAnsi="Arial Narrow"/>
                <w:b/>
                <w:sz w:val="20"/>
              </w:rPr>
              <w:t xml:space="preserve">ean change </w:t>
            </w:r>
            <w:r>
              <w:rPr>
                <w:rFonts w:ascii="Arial Narrow" w:hAnsi="Arial Narrow"/>
                <w:b/>
                <w:sz w:val="20"/>
              </w:rPr>
              <w:t>in HbA1c, % (SD</w:t>
            </w:r>
            <w:r w:rsidRPr="006C7FA0">
              <w:rPr>
                <w:rFonts w:ascii="Arial Narrow" w:hAnsi="Arial Narrow"/>
                <w:b/>
                <w:sz w:val="20"/>
              </w:rPr>
              <w:t>)</w:t>
            </w:r>
          </w:p>
          <w:p w:rsidR="00A13F04" w:rsidRPr="00EB02C6" w:rsidRDefault="00A13F04" w:rsidP="00EF62AB">
            <w:pPr>
              <w:widowControl/>
              <w:contextualSpacing/>
              <w:jc w:val="center"/>
              <w:rPr>
                <w:rFonts w:ascii="Arial Narrow" w:hAnsi="Arial Narrow"/>
                <w:b/>
                <w:sz w:val="20"/>
              </w:rPr>
            </w:pPr>
            <w:r>
              <w:rPr>
                <w:rFonts w:ascii="Arial Narrow" w:hAnsi="Arial Narrow"/>
                <w:b/>
                <w:sz w:val="20"/>
              </w:rPr>
              <w:t>(with metformin)</w:t>
            </w:r>
          </w:p>
        </w:tc>
        <w:tc>
          <w:tcPr>
            <w:tcW w:w="895" w:type="pct"/>
            <w:vMerge w:val="restart"/>
            <w:vAlign w:val="center"/>
          </w:tcPr>
          <w:p w:rsidR="00A13F04" w:rsidRPr="00FF22C9" w:rsidRDefault="00A13F04" w:rsidP="00EF62AB">
            <w:pPr>
              <w:widowControl/>
              <w:contextualSpacing/>
              <w:jc w:val="center"/>
              <w:rPr>
                <w:rFonts w:ascii="Arial Narrow" w:hAnsi="Arial Narrow" w:cs="Times New Roman"/>
                <w:b/>
                <w:sz w:val="20"/>
              </w:rPr>
            </w:pPr>
            <w:r w:rsidRPr="00FF22C9">
              <w:rPr>
                <w:rFonts w:ascii="Arial Narrow" w:hAnsi="Arial Narrow" w:cs="Times New Roman"/>
                <w:b/>
                <w:sz w:val="20"/>
              </w:rPr>
              <w:t>Difference in</w:t>
            </w:r>
          </w:p>
          <w:p w:rsidR="00A13F04" w:rsidRDefault="00A13F04" w:rsidP="00EF62AB">
            <w:pPr>
              <w:widowControl/>
              <w:contextualSpacing/>
              <w:jc w:val="center"/>
              <w:rPr>
                <w:rFonts w:ascii="Arial Narrow" w:hAnsi="Arial Narrow" w:cs="Times New Roman"/>
                <w:b/>
                <w:sz w:val="20"/>
              </w:rPr>
            </w:pPr>
            <w:r>
              <w:rPr>
                <w:rFonts w:ascii="Arial Narrow" w:hAnsi="Arial Narrow" w:cs="Times New Roman"/>
                <w:b/>
                <w:sz w:val="20"/>
              </w:rPr>
              <w:t>m</w:t>
            </w:r>
            <w:r w:rsidRPr="00FF22C9">
              <w:rPr>
                <w:rFonts w:ascii="Arial Narrow" w:hAnsi="Arial Narrow" w:cs="Times New Roman"/>
                <w:b/>
                <w:sz w:val="20"/>
              </w:rPr>
              <w:t xml:space="preserve">ean change </w:t>
            </w:r>
          </w:p>
          <w:p w:rsidR="00A13F04" w:rsidRPr="00FF22C9" w:rsidRDefault="00A13F04" w:rsidP="00EF62AB">
            <w:pPr>
              <w:widowControl/>
              <w:contextualSpacing/>
              <w:jc w:val="center"/>
              <w:rPr>
                <w:rFonts w:ascii="Arial Narrow" w:hAnsi="Arial Narrow" w:cs="Times New Roman"/>
                <w:b/>
                <w:sz w:val="20"/>
              </w:rPr>
            </w:pPr>
            <w:r w:rsidRPr="00FF22C9">
              <w:rPr>
                <w:rFonts w:ascii="Arial Narrow" w:hAnsi="Arial Narrow" w:cs="Times New Roman"/>
                <w:b/>
                <w:sz w:val="20"/>
              </w:rPr>
              <w:t>(95% CI)</w:t>
            </w:r>
          </w:p>
        </w:tc>
      </w:tr>
      <w:tr w:rsidR="00CF31D0" w:rsidRPr="00FF22C9" w:rsidTr="00021872">
        <w:trPr>
          <w:trHeight w:val="64"/>
          <w:tblHeader/>
        </w:trPr>
        <w:tc>
          <w:tcPr>
            <w:tcW w:w="546" w:type="pct"/>
            <w:vMerge w:val="restart"/>
            <w:vAlign w:val="center"/>
          </w:tcPr>
          <w:p w:rsidR="00A13F04" w:rsidRDefault="00A13F04" w:rsidP="00EF62AB">
            <w:pPr>
              <w:widowControl/>
              <w:contextualSpacing/>
              <w:jc w:val="left"/>
              <w:rPr>
                <w:rFonts w:ascii="Arial Narrow" w:hAnsi="Arial Narrow" w:cs="Times New Roman"/>
                <w:sz w:val="20"/>
              </w:rPr>
            </w:pPr>
            <w:r>
              <w:rPr>
                <w:rFonts w:ascii="Arial Narrow" w:hAnsi="Arial Narrow" w:cs="Times New Roman"/>
                <w:sz w:val="20"/>
              </w:rPr>
              <w:t>1275.9</w:t>
            </w:r>
          </w:p>
          <w:p w:rsidR="00A13F04" w:rsidRDefault="00A13F04" w:rsidP="00EF62AB">
            <w:pPr>
              <w:widowControl/>
              <w:contextualSpacing/>
              <w:jc w:val="left"/>
              <w:rPr>
                <w:rFonts w:ascii="Arial Narrow" w:hAnsi="Arial Narrow" w:cs="Times New Roman"/>
                <w:sz w:val="20"/>
              </w:rPr>
            </w:pPr>
            <w:r>
              <w:rPr>
                <w:rFonts w:ascii="Arial Narrow" w:hAnsi="Arial Narrow" w:cs="Times New Roman"/>
                <w:sz w:val="20"/>
              </w:rPr>
              <w:t>(24 wks)</w:t>
            </w:r>
          </w:p>
        </w:tc>
        <w:tc>
          <w:tcPr>
            <w:tcW w:w="1356" w:type="pct"/>
            <w:vAlign w:val="center"/>
          </w:tcPr>
          <w:p w:rsidR="00A13F04" w:rsidRPr="00FF22C9" w:rsidRDefault="00A13F04" w:rsidP="00EF62AB">
            <w:pPr>
              <w:widowControl/>
              <w:contextualSpacing/>
              <w:jc w:val="left"/>
              <w:rPr>
                <w:rFonts w:ascii="Arial Narrow" w:hAnsi="Arial Narrow" w:cs="Times New Roman"/>
                <w:b/>
                <w:sz w:val="20"/>
              </w:rPr>
            </w:pPr>
          </w:p>
        </w:tc>
        <w:tc>
          <w:tcPr>
            <w:tcW w:w="253" w:type="pct"/>
            <w:tcBorders>
              <w:bottom w:val="single" w:sz="4" w:space="0" w:color="auto"/>
            </w:tcBorders>
            <w:vAlign w:val="center"/>
          </w:tcPr>
          <w:p w:rsidR="00A13F04" w:rsidRPr="00FF22C9" w:rsidRDefault="00A13F04" w:rsidP="00EF62AB">
            <w:pPr>
              <w:widowControl/>
              <w:ind w:right="-28"/>
              <w:contextualSpacing/>
              <w:jc w:val="center"/>
              <w:rPr>
                <w:rFonts w:ascii="Arial Narrow" w:hAnsi="Arial Narrow" w:cs="Times New Roman"/>
                <w:b/>
                <w:sz w:val="20"/>
              </w:rPr>
            </w:pPr>
            <w:r>
              <w:rPr>
                <w:rFonts w:ascii="Arial Narrow" w:hAnsi="Arial Narrow" w:cs="Times New Roman"/>
                <w:b/>
                <w:sz w:val="20"/>
              </w:rPr>
              <w:t>n</w:t>
            </w:r>
          </w:p>
        </w:tc>
        <w:tc>
          <w:tcPr>
            <w:tcW w:w="835" w:type="pct"/>
            <w:tcBorders>
              <w:bottom w:val="single" w:sz="4" w:space="0" w:color="auto"/>
            </w:tcBorders>
            <w:vAlign w:val="center"/>
          </w:tcPr>
          <w:p w:rsidR="00A13F04" w:rsidRPr="00FF22C9" w:rsidRDefault="00A13F04" w:rsidP="00EF62AB">
            <w:pPr>
              <w:widowControl/>
              <w:ind w:right="67"/>
              <w:contextualSpacing/>
              <w:jc w:val="center"/>
              <w:rPr>
                <w:rFonts w:ascii="Arial Narrow" w:hAnsi="Arial Narrow" w:cs="Times New Roman"/>
                <w:b/>
                <w:sz w:val="20"/>
              </w:rPr>
            </w:pPr>
            <w:r>
              <w:rPr>
                <w:rFonts w:ascii="Arial Narrow" w:hAnsi="Arial Narrow" w:cs="Times New Roman"/>
                <w:b/>
                <w:sz w:val="20"/>
              </w:rPr>
              <w:t>EMPA + LINA FDC</w:t>
            </w:r>
          </w:p>
        </w:tc>
        <w:tc>
          <w:tcPr>
            <w:tcW w:w="294" w:type="pct"/>
            <w:tcBorders>
              <w:bottom w:val="single" w:sz="4" w:space="0" w:color="auto"/>
            </w:tcBorders>
            <w:vAlign w:val="center"/>
          </w:tcPr>
          <w:p w:rsidR="00A13F04" w:rsidRPr="00FF22C9" w:rsidRDefault="00A13F04" w:rsidP="00EF62AB">
            <w:pPr>
              <w:widowControl/>
              <w:ind w:right="-28"/>
              <w:contextualSpacing/>
              <w:jc w:val="center"/>
              <w:rPr>
                <w:rFonts w:ascii="Arial Narrow" w:hAnsi="Arial Narrow" w:cs="Times New Roman"/>
                <w:b/>
                <w:sz w:val="20"/>
              </w:rPr>
            </w:pPr>
            <w:r>
              <w:rPr>
                <w:rFonts w:ascii="Arial Narrow" w:hAnsi="Arial Narrow" w:cs="Times New Roman"/>
                <w:b/>
                <w:sz w:val="20"/>
              </w:rPr>
              <w:t>n</w:t>
            </w:r>
          </w:p>
        </w:tc>
        <w:tc>
          <w:tcPr>
            <w:tcW w:w="821" w:type="pct"/>
            <w:tcBorders>
              <w:bottom w:val="single" w:sz="4" w:space="0" w:color="auto"/>
            </w:tcBorders>
            <w:vAlign w:val="center"/>
          </w:tcPr>
          <w:p w:rsidR="00A13F04" w:rsidRPr="00FF22C9" w:rsidRDefault="00A13F04" w:rsidP="00EF62AB">
            <w:pPr>
              <w:widowControl/>
              <w:ind w:right="13"/>
              <w:contextualSpacing/>
              <w:jc w:val="center"/>
              <w:rPr>
                <w:rFonts w:ascii="Arial Narrow" w:hAnsi="Arial Narrow" w:cs="Times New Roman"/>
                <w:b/>
                <w:sz w:val="20"/>
              </w:rPr>
            </w:pPr>
            <w:r>
              <w:rPr>
                <w:rFonts w:ascii="Arial Narrow" w:hAnsi="Arial Narrow" w:cs="Times New Roman"/>
                <w:b/>
                <w:sz w:val="20"/>
              </w:rPr>
              <w:t>LINA + Pbo</w:t>
            </w:r>
          </w:p>
        </w:tc>
        <w:tc>
          <w:tcPr>
            <w:tcW w:w="895" w:type="pct"/>
            <w:vMerge/>
            <w:tcBorders>
              <w:bottom w:val="single" w:sz="4" w:space="0" w:color="auto"/>
            </w:tcBorders>
            <w:vAlign w:val="center"/>
          </w:tcPr>
          <w:p w:rsidR="00A13F04" w:rsidRPr="00FF22C9" w:rsidRDefault="00A13F04" w:rsidP="00EF62AB">
            <w:pPr>
              <w:widowControl/>
              <w:contextualSpacing/>
              <w:jc w:val="center"/>
              <w:rPr>
                <w:rFonts w:ascii="Arial Narrow" w:hAnsi="Arial Narrow" w:cs="Times New Roman"/>
                <w:b/>
                <w:sz w:val="20"/>
              </w:rPr>
            </w:pPr>
          </w:p>
        </w:tc>
      </w:tr>
      <w:tr w:rsidR="00CF31D0" w:rsidRPr="00FF22C9" w:rsidTr="00021872">
        <w:trPr>
          <w:trHeight w:val="167"/>
        </w:trPr>
        <w:tc>
          <w:tcPr>
            <w:tcW w:w="546" w:type="pct"/>
            <w:vMerge/>
            <w:vAlign w:val="center"/>
          </w:tcPr>
          <w:p w:rsidR="00A13F04" w:rsidRPr="00FF22C9" w:rsidRDefault="00A13F04" w:rsidP="00EF62AB">
            <w:pPr>
              <w:widowControl/>
              <w:contextualSpacing/>
              <w:jc w:val="left"/>
              <w:rPr>
                <w:rFonts w:ascii="Arial Narrow" w:hAnsi="Arial Narrow" w:cs="Times New Roman"/>
                <w:sz w:val="20"/>
              </w:rPr>
            </w:pPr>
          </w:p>
        </w:tc>
        <w:tc>
          <w:tcPr>
            <w:tcW w:w="1356" w:type="pct"/>
            <w:vAlign w:val="center"/>
          </w:tcPr>
          <w:p w:rsidR="00A13F04" w:rsidRDefault="00A13F04" w:rsidP="00EF62AB">
            <w:pPr>
              <w:widowControl/>
              <w:contextualSpacing/>
              <w:jc w:val="left"/>
              <w:rPr>
                <w:rFonts w:ascii="Arial Narrow" w:hAnsi="Arial Narrow" w:cs="Times New Roman"/>
                <w:sz w:val="20"/>
              </w:rPr>
            </w:pPr>
            <w:r>
              <w:rPr>
                <w:rFonts w:ascii="Arial Narrow" w:hAnsi="Arial Narrow" w:cs="Times New Roman"/>
                <w:sz w:val="20"/>
              </w:rPr>
              <w:t>EMPA</w:t>
            </w:r>
            <w:r w:rsidRPr="00AA732D">
              <w:rPr>
                <w:rFonts w:ascii="Arial Narrow" w:hAnsi="Arial Narrow" w:cs="Times New Roman"/>
                <w:sz w:val="20"/>
              </w:rPr>
              <w:t xml:space="preserve"> 25</w:t>
            </w:r>
            <w:r w:rsidR="00211938">
              <w:rPr>
                <w:rFonts w:ascii="Arial Narrow" w:hAnsi="Arial Narrow" w:cs="Times New Roman"/>
                <w:sz w:val="20"/>
              </w:rPr>
              <w:t xml:space="preserve"> </w:t>
            </w:r>
            <w:r w:rsidRPr="00AA732D">
              <w:rPr>
                <w:rFonts w:ascii="Arial Narrow" w:hAnsi="Arial Narrow" w:cs="Times New Roman"/>
                <w:sz w:val="20"/>
              </w:rPr>
              <w:t xml:space="preserve">mg </w:t>
            </w:r>
            <w:r>
              <w:rPr>
                <w:rFonts w:ascii="Arial Narrow" w:hAnsi="Arial Narrow" w:cs="Times New Roman"/>
                <w:sz w:val="20"/>
              </w:rPr>
              <w:t>+</w:t>
            </w:r>
            <w:r w:rsidRPr="00AA732D">
              <w:rPr>
                <w:rFonts w:ascii="Arial Narrow" w:hAnsi="Arial Narrow" w:cs="Times New Roman"/>
                <w:sz w:val="20"/>
              </w:rPr>
              <w:t xml:space="preserve"> </w:t>
            </w:r>
            <w:r>
              <w:rPr>
                <w:rFonts w:ascii="Arial Narrow" w:hAnsi="Arial Narrow" w:cs="Times New Roman"/>
                <w:sz w:val="20"/>
              </w:rPr>
              <w:t>LINA</w:t>
            </w:r>
            <w:r w:rsidRPr="00AA732D">
              <w:rPr>
                <w:rFonts w:ascii="Arial Narrow" w:hAnsi="Arial Narrow" w:cs="Times New Roman"/>
                <w:sz w:val="20"/>
              </w:rPr>
              <w:t xml:space="preserve"> </w:t>
            </w:r>
          </w:p>
          <w:p w:rsidR="00A13F04" w:rsidRPr="00FF22C9" w:rsidRDefault="00A13F04" w:rsidP="00EF62AB">
            <w:pPr>
              <w:widowControl/>
              <w:contextualSpacing/>
              <w:jc w:val="left"/>
              <w:rPr>
                <w:rFonts w:ascii="Arial Narrow" w:hAnsi="Arial Narrow" w:cs="Times New Roman"/>
                <w:sz w:val="20"/>
              </w:rPr>
            </w:pPr>
            <w:r w:rsidRPr="00AA732D">
              <w:rPr>
                <w:rFonts w:ascii="Arial Narrow" w:hAnsi="Arial Narrow" w:cs="Times New Roman"/>
                <w:sz w:val="20"/>
              </w:rPr>
              <w:t xml:space="preserve">vs </w:t>
            </w:r>
            <w:r>
              <w:rPr>
                <w:rFonts w:ascii="Arial Narrow" w:hAnsi="Arial Narrow" w:cs="Times New Roman"/>
                <w:sz w:val="20"/>
              </w:rPr>
              <w:t>LINA + P</w:t>
            </w:r>
            <w:r w:rsidRPr="00AA732D">
              <w:rPr>
                <w:rFonts w:ascii="Arial Narrow" w:hAnsi="Arial Narrow" w:cs="Times New Roman"/>
                <w:sz w:val="20"/>
              </w:rPr>
              <w:t>bo</w:t>
            </w:r>
          </w:p>
        </w:tc>
        <w:tc>
          <w:tcPr>
            <w:tcW w:w="253" w:type="pct"/>
            <w:vAlign w:val="center"/>
          </w:tcPr>
          <w:p w:rsidR="00A13F04" w:rsidRPr="00FF22C9" w:rsidRDefault="00A13F04" w:rsidP="00EF62AB">
            <w:pPr>
              <w:widowControl/>
              <w:contextualSpacing/>
              <w:jc w:val="center"/>
              <w:rPr>
                <w:rFonts w:ascii="Arial Narrow" w:hAnsi="Arial Narrow" w:cs="Times New Roman"/>
                <w:sz w:val="20"/>
              </w:rPr>
            </w:pPr>
            <w:r>
              <w:rPr>
                <w:rFonts w:ascii="Arial Narrow" w:hAnsi="Arial Narrow" w:cs="Times New Roman"/>
                <w:sz w:val="20"/>
              </w:rPr>
              <w:t>110</w:t>
            </w:r>
          </w:p>
        </w:tc>
        <w:tc>
          <w:tcPr>
            <w:tcW w:w="835" w:type="pct"/>
            <w:vAlign w:val="center"/>
          </w:tcPr>
          <w:p w:rsidR="00A13F04" w:rsidRPr="00FF22C9" w:rsidRDefault="00A13F04" w:rsidP="00EF62AB">
            <w:pPr>
              <w:widowControl/>
              <w:contextualSpacing/>
              <w:jc w:val="center"/>
              <w:rPr>
                <w:rFonts w:ascii="Arial Narrow" w:hAnsi="Arial Narrow" w:cs="Times New Roman"/>
                <w:sz w:val="20"/>
              </w:rPr>
            </w:pPr>
            <w:r w:rsidRPr="006C7FA0">
              <w:rPr>
                <w:rFonts w:ascii="Arial Narrow" w:hAnsi="Arial Narrow"/>
                <w:sz w:val="20"/>
              </w:rPr>
              <w:t>-0.</w:t>
            </w:r>
            <w:r>
              <w:rPr>
                <w:rFonts w:ascii="Arial Narrow" w:hAnsi="Arial Narrow"/>
                <w:sz w:val="20"/>
              </w:rPr>
              <w:t>56 (0.84</w:t>
            </w:r>
            <w:r w:rsidRPr="006C7FA0">
              <w:rPr>
                <w:rFonts w:ascii="Arial Narrow" w:hAnsi="Arial Narrow"/>
                <w:sz w:val="20"/>
              </w:rPr>
              <w:t>)</w:t>
            </w:r>
          </w:p>
        </w:tc>
        <w:tc>
          <w:tcPr>
            <w:tcW w:w="294" w:type="pct"/>
            <w:vAlign w:val="center"/>
          </w:tcPr>
          <w:p w:rsidR="00A13F04" w:rsidRPr="00FF22C9" w:rsidRDefault="00A13F04" w:rsidP="00EF62AB">
            <w:pPr>
              <w:widowControl/>
              <w:contextualSpacing/>
              <w:jc w:val="center"/>
              <w:rPr>
                <w:rFonts w:ascii="Arial Narrow" w:hAnsi="Arial Narrow" w:cs="Times New Roman"/>
                <w:sz w:val="20"/>
              </w:rPr>
            </w:pPr>
            <w:r>
              <w:rPr>
                <w:rFonts w:ascii="Arial Narrow" w:hAnsi="Arial Narrow" w:cs="Times New Roman"/>
                <w:sz w:val="20"/>
              </w:rPr>
              <w:t>106</w:t>
            </w:r>
          </w:p>
        </w:tc>
        <w:tc>
          <w:tcPr>
            <w:tcW w:w="821" w:type="pct"/>
            <w:vAlign w:val="center"/>
          </w:tcPr>
          <w:p w:rsidR="00A13F04" w:rsidRPr="00FF22C9" w:rsidRDefault="00A13F04" w:rsidP="00EF62AB">
            <w:pPr>
              <w:widowControl/>
              <w:contextualSpacing/>
              <w:jc w:val="center"/>
              <w:rPr>
                <w:rFonts w:ascii="Arial Narrow" w:hAnsi="Arial Narrow" w:cs="Times New Roman"/>
                <w:sz w:val="20"/>
              </w:rPr>
            </w:pPr>
            <w:r w:rsidRPr="006C7FA0">
              <w:rPr>
                <w:rFonts w:ascii="Arial Narrow" w:hAnsi="Arial Narrow"/>
                <w:sz w:val="20"/>
              </w:rPr>
              <w:t>0.</w:t>
            </w:r>
            <w:r>
              <w:rPr>
                <w:rFonts w:ascii="Arial Narrow" w:hAnsi="Arial Narrow"/>
                <w:sz w:val="20"/>
              </w:rPr>
              <w:t>14</w:t>
            </w:r>
            <w:r w:rsidRPr="006C7FA0">
              <w:rPr>
                <w:rFonts w:ascii="Arial Narrow" w:hAnsi="Arial Narrow"/>
                <w:sz w:val="20"/>
              </w:rPr>
              <w:t xml:space="preserve"> (0.</w:t>
            </w:r>
            <w:r>
              <w:rPr>
                <w:rFonts w:ascii="Arial Narrow" w:hAnsi="Arial Narrow"/>
                <w:sz w:val="20"/>
              </w:rPr>
              <w:t>93</w:t>
            </w:r>
            <w:r w:rsidRPr="006C7FA0">
              <w:rPr>
                <w:rFonts w:ascii="Arial Narrow" w:hAnsi="Arial Narrow"/>
                <w:sz w:val="20"/>
              </w:rPr>
              <w:t>)</w:t>
            </w:r>
          </w:p>
        </w:tc>
        <w:tc>
          <w:tcPr>
            <w:tcW w:w="895" w:type="pct"/>
            <w:vAlign w:val="center"/>
          </w:tcPr>
          <w:p w:rsidR="00A13F04" w:rsidRPr="00953BD1" w:rsidRDefault="00A13F04" w:rsidP="00EF62AB">
            <w:pPr>
              <w:widowControl/>
              <w:contextualSpacing/>
              <w:jc w:val="center"/>
              <w:rPr>
                <w:rFonts w:ascii="Arial Narrow" w:hAnsi="Arial Narrow" w:cs="Times New Roman"/>
                <w:b/>
                <w:sz w:val="20"/>
              </w:rPr>
            </w:pPr>
            <w:r w:rsidRPr="00953BD1">
              <w:rPr>
                <w:rFonts w:ascii="Arial Narrow" w:hAnsi="Arial Narrow"/>
                <w:b/>
                <w:sz w:val="20"/>
              </w:rPr>
              <w:t>-0.</w:t>
            </w:r>
            <w:r>
              <w:rPr>
                <w:rFonts w:ascii="Arial Narrow" w:hAnsi="Arial Narrow"/>
                <w:b/>
                <w:sz w:val="20"/>
              </w:rPr>
              <w:t>70</w:t>
            </w:r>
            <w:r w:rsidRPr="00953BD1">
              <w:rPr>
                <w:rFonts w:ascii="Arial Narrow" w:hAnsi="Arial Narrow"/>
                <w:b/>
                <w:sz w:val="20"/>
              </w:rPr>
              <w:t xml:space="preserve"> (-0.</w:t>
            </w:r>
            <w:r>
              <w:rPr>
                <w:rFonts w:ascii="Arial Narrow" w:hAnsi="Arial Narrow"/>
                <w:b/>
                <w:sz w:val="20"/>
              </w:rPr>
              <w:t>94</w:t>
            </w:r>
            <w:r w:rsidRPr="00953BD1">
              <w:rPr>
                <w:rFonts w:ascii="Arial Narrow" w:hAnsi="Arial Narrow"/>
                <w:b/>
                <w:sz w:val="20"/>
              </w:rPr>
              <w:t>, -0.</w:t>
            </w:r>
            <w:r>
              <w:rPr>
                <w:rFonts w:ascii="Arial Narrow" w:hAnsi="Arial Narrow"/>
                <w:b/>
                <w:sz w:val="20"/>
              </w:rPr>
              <w:t>46</w:t>
            </w:r>
            <w:r w:rsidRPr="00953BD1">
              <w:rPr>
                <w:rFonts w:ascii="Arial Narrow" w:hAnsi="Arial Narrow"/>
                <w:b/>
                <w:sz w:val="20"/>
              </w:rPr>
              <w:t>)</w:t>
            </w:r>
          </w:p>
        </w:tc>
      </w:tr>
      <w:tr w:rsidR="00CF31D0" w:rsidRPr="00FF22C9" w:rsidTr="00021872">
        <w:trPr>
          <w:trHeight w:val="217"/>
        </w:trPr>
        <w:tc>
          <w:tcPr>
            <w:tcW w:w="546" w:type="pct"/>
            <w:vMerge/>
            <w:tcBorders>
              <w:bottom w:val="double" w:sz="4" w:space="0" w:color="auto"/>
            </w:tcBorders>
            <w:vAlign w:val="center"/>
          </w:tcPr>
          <w:p w:rsidR="00A13F04" w:rsidRPr="00FF22C9" w:rsidRDefault="00A13F04" w:rsidP="00EF62AB">
            <w:pPr>
              <w:widowControl/>
              <w:contextualSpacing/>
              <w:jc w:val="left"/>
              <w:rPr>
                <w:rFonts w:ascii="Arial Narrow" w:hAnsi="Arial Narrow" w:cs="Times New Roman"/>
                <w:sz w:val="20"/>
              </w:rPr>
            </w:pPr>
          </w:p>
        </w:tc>
        <w:tc>
          <w:tcPr>
            <w:tcW w:w="1356" w:type="pct"/>
            <w:tcBorders>
              <w:bottom w:val="double" w:sz="4" w:space="0" w:color="auto"/>
            </w:tcBorders>
            <w:vAlign w:val="center"/>
          </w:tcPr>
          <w:p w:rsidR="00A13F04" w:rsidRDefault="00A13F04" w:rsidP="00EF62AB">
            <w:pPr>
              <w:widowControl/>
              <w:contextualSpacing/>
              <w:jc w:val="left"/>
              <w:rPr>
                <w:rFonts w:ascii="Arial Narrow" w:hAnsi="Arial Narrow" w:cs="Times New Roman"/>
                <w:sz w:val="20"/>
              </w:rPr>
            </w:pPr>
            <w:r>
              <w:rPr>
                <w:rFonts w:ascii="Arial Narrow" w:hAnsi="Arial Narrow" w:cs="Times New Roman"/>
                <w:sz w:val="20"/>
              </w:rPr>
              <w:t>EMPA</w:t>
            </w:r>
            <w:r w:rsidRPr="00AA732D">
              <w:rPr>
                <w:rFonts w:ascii="Arial Narrow" w:hAnsi="Arial Narrow" w:cs="Times New Roman"/>
                <w:sz w:val="20"/>
              </w:rPr>
              <w:t xml:space="preserve"> 10</w:t>
            </w:r>
            <w:r w:rsidR="00211938">
              <w:rPr>
                <w:rFonts w:ascii="Arial Narrow" w:hAnsi="Arial Narrow" w:cs="Times New Roman"/>
                <w:sz w:val="20"/>
              </w:rPr>
              <w:t xml:space="preserve"> </w:t>
            </w:r>
            <w:r w:rsidRPr="00AA732D">
              <w:rPr>
                <w:rFonts w:ascii="Arial Narrow" w:hAnsi="Arial Narrow" w:cs="Times New Roman"/>
                <w:sz w:val="20"/>
              </w:rPr>
              <w:t xml:space="preserve">mg </w:t>
            </w:r>
            <w:r>
              <w:rPr>
                <w:rFonts w:ascii="Arial Narrow" w:hAnsi="Arial Narrow" w:cs="Times New Roman"/>
                <w:sz w:val="20"/>
              </w:rPr>
              <w:t>+</w:t>
            </w:r>
            <w:r w:rsidRPr="00AA732D">
              <w:rPr>
                <w:rFonts w:ascii="Arial Narrow" w:hAnsi="Arial Narrow" w:cs="Times New Roman"/>
                <w:sz w:val="20"/>
              </w:rPr>
              <w:t xml:space="preserve"> </w:t>
            </w:r>
            <w:r>
              <w:rPr>
                <w:rFonts w:ascii="Arial Narrow" w:hAnsi="Arial Narrow" w:cs="Times New Roman"/>
                <w:sz w:val="20"/>
              </w:rPr>
              <w:t>LINA</w:t>
            </w:r>
            <w:r w:rsidRPr="00AA732D">
              <w:rPr>
                <w:rFonts w:ascii="Arial Narrow" w:hAnsi="Arial Narrow" w:cs="Times New Roman"/>
                <w:sz w:val="20"/>
              </w:rPr>
              <w:t xml:space="preserve"> </w:t>
            </w:r>
          </w:p>
          <w:p w:rsidR="00A13F04" w:rsidRPr="00FF22C9" w:rsidRDefault="00A13F04" w:rsidP="00EF62AB">
            <w:pPr>
              <w:widowControl/>
              <w:contextualSpacing/>
              <w:jc w:val="left"/>
              <w:rPr>
                <w:rFonts w:ascii="Arial Narrow" w:hAnsi="Arial Narrow" w:cs="Times New Roman"/>
                <w:sz w:val="20"/>
              </w:rPr>
            </w:pPr>
            <w:r w:rsidRPr="00AA732D">
              <w:rPr>
                <w:rFonts w:ascii="Arial Narrow" w:hAnsi="Arial Narrow" w:cs="Times New Roman"/>
                <w:sz w:val="20"/>
              </w:rPr>
              <w:t xml:space="preserve">vs </w:t>
            </w:r>
            <w:r>
              <w:rPr>
                <w:rFonts w:ascii="Arial Narrow" w:hAnsi="Arial Narrow" w:cs="Times New Roman"/>
                <w:sz w:val="20"/>
              </w:rPr>
              <w:t>LINA + P</w:t>
            </w:r>
            <w:r w:rsidRPr="00AA732D">
              <w:rPr>
                <w:rFonts w:ascii="Arial Narrow" w:hAnsi="Arial Narrow" w:cs="Times New Roman"/>
                <w:sz w:val="20"/>
              </w:rPr>
              <w:t xml:space="preserve">bo </w:t>
            </w:r>
          </w:p>
        </w:tc>
        <w:tc>
          <w:tcPr>
            <w:tcW w:w="253" w:type="pct"/>
            <w:vAlign w:val="center"/>
          </w:tcPr>
          <w:p w:rsidR="00A13F04" w:rsidRPr="00FF22C9" w:rsidRDefault="00A13F04" w:rsidP="00EF62AB">
            <w:pPr>
              <w:widowControl/>
              <w:contextualSpacing/>
              <w:jc w:val="center"/>
              <w:rPr>
                <w:rFonts w:ascii="Arial Narrow" w:hAnsi="Arial Narrow" w:cs="Times New Roman"/>
                <w:sz w:val="20"/>
              </w:rPr>
            </w:pPr>
            <w:r>
              <w:rPr>
                <w:rFonts w:ascii="Arial Narrow" w:hAnsi="Arial Narrow" w:cs="Times New Roman"/>
                <w:sz w:val="20"/>
              </w:rPr>
              <w:t>109</w:t>
            </w:r>
          </w:p>
        </w:tc>
        <w:tc>
          <w:tcPr>
            <w:tcW w:w="835" w:type="pct"/>
            <w:vAlign w:val="center"/>
          </w:tcPr>
          <w:p w:rsidR="00A13F04" w:rsidRPr="00FF22C9" w:rsidRDefault="00A13F04" w:rsidP="00EF62AB">
            <w:pPr>
              <w:widowControl/>
              <w:contextualSpacing/>
              <w:jc w:val="center"/>
              <w:rPr>
                <w:rFonts w:ascii="Arial Narrow" w:hAnsi="Arial Narrow" w:cs="Times New Roman"/>
                <w:sz w:val="20"/>
              </w:rPr>
            </w:pPr>
            <w:r w:rsidRPr="006C7FA0">
              <w:rPr>
                <w:rFonts w:ascii="Arial Narrow" w:hAnsi="Arial Narrow"/>
                <w:sz w:val="20"/>
              </w:rPr>
              <w:t>-0.</w:t>
            </w:r>
            <w:r>
              <w:rPr>
                <w:rFonts w:ascii="Arial Narrow" w:hAnsi="Arial Narrow"/>
                <w:sz w:val="20"/>
              </w:rPr>
              <w:t>65 (0.84</w:t>
            </w:r>
            <w:r w:rsidRPr="006C7FA0">
              <w:rPr>
                <w:rFonts w:ascii="Arial Narrow" w:hAnsi="Arial Narrow"/>
                <w:sz w:val="20"/>
              </w:rPr>
              <w:t>)</w:t>
            </w:r>
          </w:p>
        </w:tc>
        <w:tc>
          <w:tcPr>
            <w:tcW w:w="294" w:type="pct"/>
            <w:vAlign w:val="center"/>
          </w:tcPr>
          <w:p w:rsidR="00A13F04" w:rsidRPr="00FF22C9" w:rsidRDefault="00A13F04" w:rsidP="00EF62AB">
            <w:pPr>
              <w:widowControl/>
              <w:contextualSpacing/>
              <w:jc w:val="center"/>
              <w:rPr>
                <w:rFonts w:ascii="Arial Narrow" w:hAnsi="Arial Narrow" w:cs="Times New Roman"/>
                <w:sz w:val="20"/>
              </w:rPr>
            </w:pPr>
            <w:r>
              <w:rPr>
                <w:rFonts w:ascii="Arial Narrow" w:hAnsi="Arial Narrow" w:cs="Times New Roman"/>
                <w:sz w:val="20"/>
              </w:rPr>
              <w:t>106</w:t>
            </w:r>
          </w:p>
        </w:tc>
        <w:tc>
          <w:tcPr>
            <w:tcW w:w="821" w:type="pct"/>
            <w:vAlign w:val="center"/>
          </w:tcPr>
          <w:p w:rsidR="00A13F04" w:rsidRPr="00FF22C9" w:rsidRDefault="00A13F04" w:rsidP="00EF62AB">
            <w:pPr>
              <w:widowControl/>
              <w:contextualSpacing/>
              <w:jc w:val="center"/>
              <w:rPr>
                <w:rFonts w:ascii="Arial Narrow" w:hAnsi="Arial Narrow" w:cs="Times New Roman"/>
                <w:sz w:val="20"/>
              </w:rPr>
            </w:pPr>
            <w:r w:rsidRPr="006C7FA0">
              <w:rPr>
                <w:rFonts w:ascii="Arial Narrow" w:hAnsi="Arial Narrow"/>
                <w:sz w:val="20"/>
              </w:rPr>
              <w:t>0.</w:t>
            </w:r>
            <w:r>
              <w:rPr>
                <w:rFonts w:ascii="Arial Narrow" w:hAnsi="Arial Narrow"/>
                <w:sz w:val="20"/>
              </w:rPr>
              <w:t>14</w:t>
            </w:r>
            <w:r w:rsidRPr="006C7FA0">
              <w:rPr>
                <w:rFonts w:ascii="Arial Narrow" w:hAnsi="Arial Narrow"/>
                <w:sz w:val="20"/>
              </w:rPr>
              <w:t xml:space="preserve"> (0.</w:t>
            </w:r>
            <w:r>
              <w:rPr>
                <w:rFonts w:ascii="Arial Narrow" w:hAnsi="Arial Narrow"/>
                <w:sz w:val="20"/>
              </w:rPr>
              <w:t>93</w:t>
            </w:r>
            <w:r w:rsidRPr="006C7FA0">
              <w:rPr>
                <w:rFonts w:ascii="Arial Narrow" w:hAnsi="Arial Narrow"/>
                <w:sz w:val="20"/>
              </w:rPr>
              <w:t>)</w:t>
            </w:r>
          </w:p>
        </w:tc>
        <w:tc>
          <w:tcPr>
            <w:tcW w:w="895" w:type="pct"/>
            <w:vAlign w:val="center"/>
          </w:tcPr>
          <w:p w:rsidR="00A13F04" w:rsidRPr="00953BD1" w:rsidRDefault="00A13F04" w:rsidP="00EF62AB">
            <w:pPr>
              <w:widowControl/>
              <w:contextualSpacing/>
              <w:jc w:val="center"/>
              <w:rPr>
                <w:rFonts w:ascii="Arial Narrow" w:hAnsi="Arial Narrow" w:cs="Times New Roman"/>
                <w:b/>
                <w:sz w:val="20"/>
              </w:rPr>
            </w:pPr>
            <w:r w:rsidRPr="00953BD1">
              <w:rPr>
                <w:rFonts w:ascii="Arial Narrow" w:hAnsi="Arial Narrow"/>
                <w:b/>
                <w:sz w:val="20"/>
              </w:rPr>
              <w:t>-0.</w:t>
            </w:r>
            <w:r>
              <w:rPr>
                <w:rFonts w:ascii="Arial Narrow" w:hAnsi="Arial Narrow"/>
                <w:b/>
                <w:sz w:val="20"/>
              </w:rPr>
              <w:t>79</w:t>
            </w:r>
            <w:r w:rsidRPr="00953BD1">
              <w:rPr>
                <w:rFonts w:ascii="Arial Narrow" w:hAnsi="Arial Narrow"/>
                <w:b/>
                <w:sz w:val="20"/>
              </w:rPr>
              <w:t xml:space="preserve"> (-</w:t>
            </w:r>
            <w:r>
              <w:rPr>
                <w:rFonts w:ascii="Arial Narrow" w:hAnsi="Arial Narrow"/>
                <w:b/>
                <w:sz w:val="20"/>
              </w:rPr>
              <w:t>1.03</w:t>
            </w:r>
            <w:r w:rsidRPr="00953BD1">
              <w:rPr>
                <w:rFonts w:ascii="Arial Narrow" w:hAnsi="Arial Narrow"/>
                <w:b/>
                <w:sz w:val="20"/>
              </w:rPr>
              <w:t>, -0.</w:t>
            </w:r>
            <w:r>
              <w:rPr>
                <w:rFonts w:ascii="Arial Narrow" w:hAnsi="Arial Narrow"/>
                <w:b/>
                <w:sz w:val="20"/>
              </w:rPr>
              <w:t>55</w:t>
            </w:r>
            <w:r w:rsidRPr="00953BD1">
              <w:rPr>
                <w:rFonts w:ascii="Arial Narrow" w:hAnsi="Arial Narrow"/>
                <w:b/>
                <w:sz w:val="20"/>
              </w:rPr>
              <w:t>)</w:t>
            </w:r>
          </w:p>
        </w:tc>
      </w:tr>
      <w:tr w:rsidR="00CF31D0" w:rsidRPr="00FF22C9" w:rsidTr="00021872">
        <w:trPr>
          <w:trHeight w:val="189"/>
          <w:tblHeader/>
        </w:trPr>
        <w:tc>
          <w:tcPr>
            <w:tcW w:w="546" w:type="pct"/>
            <w:vMerge w:val="restart"/>
            <w:tcBorders>
              <w:top w:val="double" w:sz="4" w:space="0" w:color="auto"/>
            </w:tcBorders>
            <w:vAlign w:val="center"/>
          </w:tcPr>
          <w:p w:rsidR="00A13F04" w:rsidRDefault="00A13F04" w:rsidP="00EF62AB">
            <w:pPr>
              <w:widowControl/>
              <w:contextualSpacing/>
              <w:jc w:val="left"/>
              <w:rPr>
                <w:rFonts w:ascii="Arial Narrow" w:hAnsi="Arial Narrow" w:cs="Times New Roman"/>
                <w:sz w:val="20"/>
              </w:rPr>
            </w:pPr>
            <w:r>
              <w:rPr>
                <w:rFonts w:ascii="Arial Narrow" w:hAnsi="Arial Narrow" w:cs="Times New Roman"/>
                <w:sz w:val="20"/>
              </w:rPr>
              <w:t>1275.10</w:t>
            </w:r>
          </w:p>
          <w:p w:rsidR="00A13F04" w:rsidRDefault="00A13F04" w:rsidP="00EF62AB">
            <w:pPr>
              <w:widowControl/>
              <w:contextualSpacing/>
              <w:jc w:val="left"/>
              <w:rPr>
                <w:rFonts w:ascii="Arial Narrow" w:hAnsi="Arial Narrow" w:cs="Times New Roman"/>
                <w:sz w:val="20"/>
              </w:rPr>
            </w:pPr>
            <w:r>
              <w:rPr>
                <w:rFonts w:ascii="Arial Narrow" w:hAnsi="Arial Narrow" w:cs="Times New Roman"/>
                <w:sz w:val="20"/>
              </w:rPr>
              <w:t>(24 wks)</w:t>
            </w:r>
          </w:p>
        </w:tc>
        <w:tc>
          <w:tcPr>
            <w:tcW w:w="1356" w:type="pct"/>
            <w:tcBorders>
              <w:top w:val="double" w:sz="4" w:space="0" w:color="auto"/>
            </w:tcBorders>
            <w:vAlign w:val="center"/>
          </w:tcPr>
          <w:p w:rsidR="00A13F04" w:rsidRPr="00FF22C9" w:rsidRDefault="00A13F04" w:rsidP="00EF62AB">
            <w:pPr>
              <w:widowControl/>
              <w:contextualSpacing/>
              <w:jc w:val="left"/>
              <w:rPr>
                <w:rFonts w:ascii="Arial Narrow" w:hAnsi="Arial Narrow" w:cs="Times New Roman"/>
                <w:b/>
                <w:sz w:val="20"/>
              </w:rPr>
            </w:pPr>
          </w:p>
        </w:tc>
        <w:tc>
          <w:tcPr>
            <w:tcW w:w="253" w:type="pct"/>
            <w:tcBorders>
              <w:top w:val="double" w:sz="4" w:space="0" w:color="auto"/>
              <w:bottom w:val="single" w:sz="4" w:space="0" w:color="auto"/>
            </w:tcBorders>
            <w:vAlign w:val="center"/>
          </w:tcPr>
          <w:p w:rsidR="00A13F04" w:rsidRPr="00EB02C6" w:rsidRDefault="00A13F04" w:rsidP="00EF62AB">
            <w:pPr>
              <w:widowControl/>
              <w:ind w:right="-28"/>
              <w:contextualSpacing/>
              <w:jc w:val="center"/>
              <w:rPr>
                <w:rFonts w:ascii="Arial Narrow" w:hAnsi="Arial Narrow"/>
                <w:b/>
                <w:sz w:val="20"/>
              </w:rPr>
            </w:pPr>
            <w:r>
              <w:rPr>
                <w:rFonts w:ascii="Arial Narrow" w:hAnsi="Arial Narrow" w:cs="Times New Roman"/>
                <w:b/>
                <w:sz w:val="20"/>
              </w:rPr>
              <w:t>n</w:t>
            </w:r>
          </w:p>
        </w:tc>
        <w:tc>
          <w:tcPr>
            <w:tcW w:w="835" w:type="pct"/>
            <w:tcBorders>
              <w:top w:val="double" w:sz="4" w:space="0" w:color="auto"/>
              <w:bottom w:val="single" w:sz="4" w:space="0" w:color="auto"/>
            </w:tcBorders>
            <w:vAlign w:val="center"/>
          </w:tcPr>
          <w:p w:rsidR="00A13F04" w:rsidRPr="00D61DCA" w:rsidRDefault="00A13F04" w:rsidP="00EF62AB">
            <w:pPr>
              <w:widowControl/>
              <w:ind w:right="67"/>
              <w:contextualSpacing/>
              <w:jc w:val="center"/>
              <w:rPr>
                <w:rFonts w:ascii="Arial Narrow" w:hAnsi="Arial Narrow" w:cs="Times New Roman"/>
                <w:b/>
                <w:sz w:val="20"/>
              </w:rPr>
            </w:pPr>
            <w:r>
              <w:rPr>
                <w:rFonts w:ascii="Arial Narrow" w:hAnsi="Arial Narrow" w:cs="Times New Roman"/>
                <w:b/>
                <w:sz w:val="20"/>
              </w:rPr>
              <w:t>EMPA + LINA FDC</w:t>
            </w:r>
          </w:p>
        </w:tc>
        <w:tc>
          <w:tcPr>
            <w:tcW w:w="294" w:type="pct"/>
            <w:tcBorders>
              <w:top w:val="double" w:sz="4" w:space="0" w:color="auto"/>
              <w:bottom w:val="single" w:sz="4" w:space="0" w:color="auto"/>
            </w:tcBorders>
            <w:vAlign w:val="center"/>
          </w:tcPr>
          <w:p w:rsidR="00A13F04" w:rsidRPr="00EB02C6" w:rsidRDefault="00A13F04" w:rsidP="00EF62AB">
            <w:pPr>
              <w:widowControl/>
              <w:ind w:right="-28"/>
              <w:contextualSpacing/>
              <w:jc w:val="center"/>
              <w:rPr>
                <w:rFonts w:ascii="Arial Narrow" w:hAnsi="Arial Narrow"/>
                <w:b/>
                <w:sz w:val="20"/>
              </w:rPr>
            </w:pPr>
            <w:r>
              <w:rPr>
                <w:rFonts w:ascii="Arial Narrow" w:hAnsi="Arial Narrow" w:cs="Times New Roman"/>
                <w:b/>
                <w:sz w:val="20"/>
              </w:rPr>
              <w:t>n</w:t>
            </w:r>
          </w:p>
        </w:tc>
        <w:tc>
          <w:tcPr>
            <w:tcW w:w="821" w:type="pct"/>
            <w:tcBorders>
              <w:top w:val="double" w:sz="4" w:space="0" w:color="auto"/>
              <w:bottom w:val="single" w:sz="4" w:space="0" w:color="auto"/>
            </w:tcBorders>
            <w:vAlign w:val="center"/>
          </w:tcPr>
          <w:p w:rsidR="00A13F04" w:rsidRPr="00EB02C6" w:rsidRDefault="00A13F04" w:rsidP="00EF62AB">
            <w:pPr>
              <w:widowControl/>
              <w:ind w:right="13"/>
              <w:contextualSpacing/>
              <w:jc w:val="center"/>
              <w:rPr>
                <w:rFonts w:ascii="Arial Narrow" w:hAnsi="Arial Narrow"/>
                <w:b/>
                <w:sz w:val="20"/>
              </w:rPr>
            </w:pPr>
            <w:r>
              <w:rPr>
                <w:rFonts w:ascii="Arial Narrow" w:hAnsi="Arial Narrow" w:cs="Times New Roman"/>
                <w:b/>
                <w:sz w:val="20"/>
              </w:rPr>
              <w:t>EMPA + Pbo</w:t>
            </w:r>
          </w:p>
        </w:tc>
        <w:tc>
          <w:tcPr>
            <w:tcW w:w="895" w:type="pct"/>
            <w:tcBorders>
              <w:top w:val="double" w:sz="4" w:space="0" w:color="auto"/>
              <w:bottom w:val="single" w:sz="4" w:space="0" w:color="auto"/>
            </w:tcBorders>
            <w:vAlign w:val="center"/>
          </w:tcPr>
          <w:p w:rsidR="00A13F04" w:rsidRPr="00FF22C9" w:rsidRDefault="00A13F04" w:rsidP="00EF62AB">
            <w:pPr>
              <w:widowControl/>
              <w:contextualSpacing/>
              <w:jc w:val="center"/>
              <w:rPr>
                <w:rFonts w:ascii="Arial Narrow" w:hAnsi="Arial Narrow" w:cs="Times New Roman"/>
                <w:b/>
                <w:sz w:val="20"/>
              </w:rPr>
            </w:pPr>
          </w:p>
        </w:tc>
      </w:tr>
      <w:tr w:rsidR="00CF31D0" w:rsidRPr="00FF22C9" w:rsidTr="00021872">
        <w:trPr>
          <w:trHeight w:val="187"/>
        </w:trPr>
        <w:tc>
          <w:tcPr>
            <w:tcW w:w="546" w:type="pct"/>
            <w:vMerge/>
            <w:vAlign w:val="center"/>
          </w:tcPr>
          <w:p w:rsidR="00A13F04" w:rsidRPr="00FF22C9" w:rsidRDefault="00A13F04" w:rsidP="00EF62AB">
            <w:pPr>
              <w:widowControl/>
              <w:contextualSpacing/>
              <w:jc w:val="left"/>
              <w:rPr>
                <w:rFonts w:ascii="Arial Narrow" w:hAnsi="Arial Narrow" w:cs="Times New Roman"/>
                <w:sz w:val="20"/>
              </w:rPr>
            </w:pPr>
          </w:p>
        </w:tc>
        <w:tc>
          <w:tcPr>
            <w:tcW w:w="1356" w:type="pct"/>
            <w:vAlign w:val="center"/>
          </w:tcPr>
          <w:p w:rsidR="00A13F04" w:rsidRDefault="00A13F04" w:rsidP="00EF62AB">
            <w:pPr>
              <w:widowControl/>
              <w:contextualSpacing/>
              <w:jc w:val="left"/>
              <w:rPr>
                <w:rFonts w:ascii="Arial Narrow" w:hAnsi="Arial Narrow" w:cs="Times New Roman"/>
                <w:sz w:val="20"/>
              </w:rPr>
            </w:pPr>
            <w:r>
              <w:rPr>
                <w:rFonts w:ascii="Arial Narrow" w:hAnsi="Arial Narrow" w:cs="Times New Roman"/>
                <w:sz w:val="20"/>
              </w:rPr>
              <w:t>EMPA</w:t>
            </w:r>
            <w:r w:rsidRPr="00AA732D">
              <w:rPr>
                <w:rFonts w:ascii="Arial Narrow" w:hAnsi="Arial Narrow" w:cs="Times New Roman"/>
                <w:sz w:val="20"/>
              </w:rPr>
              <w:t xml:space="preserve"> 25</w:t>
            </w:r>
            <w:r w:rsidR="00211938">
              <w:rPr>
                <w:rFonts w:ascii="Arial Narrow" w:hAnsi="Arial Narrow" w:cs="Times New Roman"/>
                <w:sz w:val="20"/>
              </w:rPr>
              <w:t xml:space="preserve"> </w:t>
            </w:r>
            <w:r w:rsidRPr="00AA732D">
              <w:rPr>
                <w:rFonts w:ascii="Arial Narrow" w:hAnsi="Arial Narrow" w:cs="Times New Roman"/>
                <w:sz w:val="20"/>
              </w:rPr>
              <w:t xml:space="preserve">mg </w:t>
            </w:r>
            <w:r>
              <w:rPr>
                <w:rFonts w:ascii="Arial Narrow" w:hAnsi="Arial Narrow" w:cs="Times New Roman"/>
                <w:sz w:val="20"/>
              </w:rPr>
              <w:t>+</w:t>
            </w:r>
            <w:r w:rsidRPr="00AA732D">
              <w:rPr>
                <w:rFonts w:ascii="Arial Narrow" w:hAnsi="Arial Narrow" w:cs="Times New Roman"/>
                <w:sz w:val="20"/>
              </w:rPr>
              <w:t xml:space="preserve"> </w:t>
            </w:r>
            <w:r>
              <w:rPr>
                <w:rFonts w:ascii="Arial Narrow" w:hAnsi="Arial Narrow" w:cs="Times New Roman"/>
                <w:sz w:val="20"/>
              </w:rPr>
              <w:t>LINA</w:t>
            </w:r>
            <w:r w:rsidRPr="00AA732D">
              <w:rPr>
                <w:rFonts w:ascii="Arial Narrow" w:hAnsi="Arial Narrow" w:cs="Times New Roman"/>
                <w:sz w:val="20"/>
              </w:rPr>
              <w:t xml:space="preserve"> </w:t>
            </w:r>
          </w:p>
          <w:p w:rsidR="00A13F04" w:rsidRPr="00FF22C9" w:rsidRDefault="00A13F04" w:rsidP="00EF62AB">
            <w:pPr>
              <w:widowControl/>
              <w:contextualSpacing/>
              <w:jc w:val="left"/>
              <w:rPr>
                <w:rFonts w:ascii="Arial Narrow" w:hAnsi="Arial Narrow" w:cs="Times New Roman"/>
                <w:sz w:val="20"/>
              </w:rPr>
            </w:pPr>
            <w:r w:rsidRPr="00AA732D">
              <w:rPr>
                <w:rFonts w:ascii="Arial Narrow" w:hAnsi="Arial Narrow" w:cs="Times New Roman"/>
                <w:sz w:val="20"/>
              </w:rPr>
              <w:t xml:space="preserve">vs </w:t>
            </w:r>
            <w:r>
              <w:rPr>
                <w:rFonts w:ascii="Arial Narrow" w:hAnsi="Arial Narrow" w:cs="Times New Roman"/>
                <w:sz w:val="20"/>
              </w:rPr>
              <w:t>EMPA 25</w:t>
            </w:r>
            <w:r w:rsidR="00211938">
              <w:rPr>
                <w:rFonts w:ascii="Arial Narrow" w:hAnsi="Arial Narrow" w:cs="Times New Roman"/>
                <w:sz w:val="20"/>
              </w:rPr>
              <w:t xml:space="preserve"> </w:t>
            </w:r>
            <w:r>
              <w:rPr>
                <w:rFonts w:ascii="Arial Narrow" w:hAnsi="Arial Narrow" w:cs="Times New Roman"/>
                <w:sz w:val="20"/>
              </w:rPr>
              <w:t>mg + P</w:t>
            </w:r>
            <w:r w:rsidRPr="00AA732D">
              <w:rPr>
                <w:rFonts w:ascii="Arial Narrow" w:hAnsi="Arial Narrow" w:cs="Times New Roman"/>
                <w:sz w:val="20"/>
              </w:rPr>
              <w:t>bo</w:t>
            </w:r>
          </w:p>
        </w:tc>
        <w:tc>
          <w:tcPr>
            <w:tcW w:w="253" w:type="pct"/>
            <w:vAlign w:val="center"/>
          </w:tcPr>
          <w:p w:rsidR="00A13F04" w:rsidRPr="00FF22C9" w:rsidRDefault="00A13F04" w:rsidP="00EF62AB">
            <w:pPr>
              <w:widowControl/>
              <w:contextualSpacing/>
              <w:jc w:val="center"/>
              <w:rPr>
                <w:rFonts w:ascii="Arial Narrow" w:hAnsi="Arial Narrow" w:cs="Times New Roman"/>
                <w:sz w:val="20"/>
              </w:rPr>
            </w:pPr>
            <w:r>
              <w:rPr>
                <w:rFonts w:ascii="Arial Narrow" w:hAnsi="Arial Narrow" w:cs="Times New Roman"/>
                <w:sz w:val="20"/>
              </w:rPr>
              <w:t>109</w:t>
            </w:r>
          </w:p>
        </w:tc>
        <w:tc>
          <w:tcPr>
            <w:tcW w:w="835" w:type="pct"/>
            <w:vAlign w:val="center"/>
          </w:tcPr>
          <w:p w:rsidR="00A13F04" w:rsidRPr="00FF22C9" w:rsidRDefault="00A13F04" w:rsidP="00EF62AB">
            <w:pPr>
              <w:widowControl/>
              <w:contextualSpacing/>
              <w:jc w:val="center"/>
              <w:rPr>
                <w:rFonts w:ascii="Arial Narrow" w:hAnsi="Arial Narrow" w:cs="Times New Roman"/>
                <w:sz w:val="20"/>
              </w:rPr>
            </w:pPr>
            <w:r>
              <w:rPr>
                <w:rFonts w:ascii="Arial Narrow" w:hAnsi="Arial Narrow" w:cs="Times New Roman"/>
                <w:sz w:val="20"/>
              </w:rPr>
              <w:t>-0.58 (0.73)</w:t>
            </w:r>
          </w:p>
        </w:tc>
        <w:tc>
          <w:tcPr>
            <w:tcW w:w="294" w:type="pct"/>
            <w:vAlign w:val="center"/>
          </w:tcPr>
          <w:p w:rsidR="00A13F04" w:rsidRPr="00FF22C9" w:rsidRDefault="00A13F04" w:rsidP="00EF62AB">
            <w:pPr>
              <w:widowControl/>
              <w:contextualSpacing/>
              <w:jc w:val="center"/>
              <w:rPr>
                <w:rFonts w:ascii="Arial Narrow" w:hAnsi="Arial Narrow" w:cs="Times New Roman"/>
                <w:sz w:val="20"/>
              </w:rPr>
            </w:pPr>
            <w:r>
              <w:rPr>
                <w:rFonts w:ascii="Arial Narrow" w:hAnsi="Arial Narrow" w:cs="Times New Roman"/>
                <w:sz w:val="20"/>
              </w:rPr>
              <w:t>108</w:t>
            </w:r>
          </w:p>
        </w:tc>
        <w:tc>
          <w:tcPr>
            <w:tcW w:w="821" w:type="pct"/>
            <w:vAlign w:val="center"/>
          </w:tcPr>
          <w:p w:rsidR="00A13F04" w:rsidRPr="00FF22C9" w:rsidRDefault="00A13F04" w:rsidP="00EF62AB">
            <w:pPr>
              <w:widowControl/>
              <w:contextualSpacing/>
              <w:jc w:val="center"/>
              <w:rPr>
                <w:rFonts w:ascii="Arial Narrow" w:hAnsi="Arial Narrow" w:cs="Times New Roman"/>
                <w:sz w:val="20"/>
              </w:rPr>
            </w:pPr>
            <w:r>
              <w:rPr>
                <w:rFonts w:ascii="Arial Narrow" w:hAnsi="Arial Narrow" w:cs="Times New Roman"/>
                <w:sz w:val="20"/>
              </w:rPr>
              <w:t>-0.10 (0.73)</w:t>
            </w:r>
          </w:p>
        </w:tc>
        <w:tc>
          <w:tcPr>
            <w:tcW w:w="895" w:type="pct"/>
            <w:vAlign w:val="center"/>
          </w:tcPr>
          <w:p w:rsidR="00A13F04" w:rsidRPr="00953BD1" w:rsidRDefault="00A13F04" w:rsidP="00EF62AB">
            <w:pPr>
              <w:widowControl/>
              <w:contextualSpacing/>
              <w:jc w:val="center"/>
              <w:rPr>
                <w:rFonts w:ascii="Arial Narrow" w:hAnsi="Arial Narrow" w:cs="Times New Roman"/>
                <w:b/>
                <w:sz w:val="20"/>
              </w:rPr>
            </w:pPr>
            <w:r w:rsidRPr="00953BD1">
              <w:rPr>
                <w:rFonts w:ascii="Arial Narrow" w:hAnsi="Arial Narrow" w:cs="Times New Roman"/>
                <w:b/>
                <w:sz w:val="20"/>
              </w:rPr>
              <w:t>-</w:t>
            </w:r>
            <w:r>
              <w:rPr>
                <w:rFonts w:ascii="Arial Narrow" w:hAnsi="Arial Narrow" w:cs="Times New Roman"/>
                <w:b/>
                <w:sz w:val="20"/>
              </w:rPr>
              <w:t>0.48</w:t>
            </w:r>
            <w:r w:rsidRPr="00953BD1">
              <w:rPr>
                <w:rFonts w:ascii="Arial Narrow" w:hAnsi="Arial Narrow" w:cs="Times New Roman"/>
                <w:b/>
                <w:sz w:val="20"/>
              </w:rPr>
              <w:t xml:space="preserve"> (-</w:t>
            </w:r>
            <w:r>
              <w:rPr>
                <w:rFonts w:ascii="Arial Narrow" w:hAnsi="Arial Narrow" w:cs="Times New Roman"/>
                <w:b/>
                <w:sz w:val="20"/>
              </w:rPr>
              <w:t>0.67</w:t>
            </w:r>
            <w:r w:rsidRPr="00953BD1">
              <w:rPr>
                <w:rFonts w:ascii="Arial Narrow" w:hAnsi="Arial Narrow" w:cs="Times New Roman"/>
                <w:b/>
                <w:sz w:val="20"/>
              </w:rPr>
              <w:t>, -0.</w:t>
            </w:r>
            <w:r>
              <w:rPr>
                <w:rFonts w:ascii="Arial Narrow" w:hAnsi="Arial Narrow" w:cs="Times New Roman"/>
                <w:b/>
                <w:sz w:val="20"/>
              </w:rPr>
              <w:t>29</w:t>
            </w:r>
            <w:r w:rsidRPr="00953BD1">
              <w:rPr>
                <w:rFonts w:ascii="Arial Narrow" w:hAnsi="Arial Narrow" w:cs="Times New Roman"/>
                <w:b/>
                <w:sz w:val="20"/>
              </w:rPr>
              <w:t>)</w:t>
            </w:r>
          </w:p>
        </w:tc>
      </w:tr>
      <w:tr w:rsidR="00021872" w:rsidRPr="00FF22C9" w:rsidTr="00021872">
        <w:trPr>
          <w:trHeight w:val="137"/>
        </w:trPr>
        <w:tc>
          <w:tcPr>
            <w:tcW w:w="546" w:type="pct"/>
            <w:vMerge/>
            <w:vAlign w:val="center"/>
          </w:tcPr>
          <w:p w:rsidR="00021872" w:rsidRPr="00FF22C9" w:rsidRDefault="00021872" w:rsidP="00EF62AB">
            <w:pPr>
              <w:widowControl/>
              <w:contextualSpacing/>
              <w:jc w:val="left"/>
              <w:rPr>
                <w:rFonts w:ascii="Arial Narrow" w:hAnsi="Arial Narrow" w:cs="Times New Roman"/>
                <w:sz w:val="20"/>
              </w:rPr>
            </w:pPr>
          </w:p>
        </w:tc>
        <w:tc>
          <w:tcPr>
            <w:tcW w:w="1356" w:type="pct"/>
            <w:vAlign w:val="center"/>
          </w:tcPr>
          <w:p w:rsidR="00021872" w:rsidRDefault="00021872" w:rsidP="00EF62AB">
            <w:pPr>
              <w:widowControl/>
              <w:contextualSpacing/>
              <w:jc w:val="left"/>
              <w:rPr>
                <w:rFonts w:ascii="Arial Narrow" w:hAnsi="Arial Narrow" w:cs="Times New Roman"/>
                <w:sz w:val="20"/>
              </w:rPr>
            </w:pPr>
            <w:r>
              <w:rPr>
                <w:rFonts w:ascii="Arial Narrow" w:hAnsi="Arial Narrow" w:cs="Times New Roman"/>
                <w:sz w:val="20"/>
              </w:rPr>
              <w:t xml:space="preserve">EMPA 10 </w:t>
            </w:r>
            <w:r w:rsidRPr="002F492E">
              <w:rPr>
                <w:rFonts w:ascii="Arial Narrow" w:hAnsi="Arial Narrow" w:cs="Times New Roman"/>
                <w:sz w:val="20"/>
              </w:rPr>
              <w:t xml:space="preserve">mg </w:t>
            </w:r>
            <w:r>
              <w:rPr>
                <w:rFonts w:ascii="Arial Narrow" w:hAnsi="Arial Narrow" w:cs="Times New Roman"/>
                <w:sz w:val="20"/>
              </w:rPr>
              <w:t>+</w:t>
            </w:r>
            <w:r w:rsidRPr="002F492E">
              <w:rPr>
                <w:rFonts w:ascii="Arial Narrow" w:hAnsi="Arial Narrow" w:cs="Times New Roman"/>
                <w:sz w:val="20"/>
              </w:rPr>
              <w:t xml:space="preserve"> </w:t>
            </w:r>
            <w:r>
              <w:rPr>
                <w:rFonts w:ascii="Arial Narrow" w:hAnsi="Arial Narrow" w:cs="Times New Roman"/>
                <w:sz w:val="20"/>
              </w:rPr>
              <w:t>LINA</w:t>
            </w:r>
            <w:r w:rsidRPr="002F492E">
              <w:rPr>
                <w:rFonts w:ascii="Arial Narrow" w:hAnsi="Arial Narrow" w:cs="Times New Roman"/>
                <w:sz w:val="20"/>
              </w:rPr>
              <w:t xml:space="preserve"> </w:t>
            </w:r>
          </w:p>
          <w:p w:rsidR="00021872" w:rsidRPr="00FF22C9" w:rsidRDefault="00021872" w:rsidP="00EF62AB">
            <w:pPr>
              <w:widowControl/>
              <w:contextualSpacing/>
              <w:jc w:val="left"/>
              <w:rPr>
                <w:rFonts w:ascii="Arial Narrow" w:hAnsi="Arial Narrow" w:cs="Times New Roman"/>
                <w:sz w:val="20"/>
              </w:rPr>
            </w:pPr>
            <w:r w:rsidRPr="002F492E">
              <w:rPr>
                <w:rFonts w:ascii="Arial Narrow" w:hAnsi="Arial Narrow" w:cs="Times New Roman"/>
                <w:sz w:val="20"/>
              </w:rPr>
              <w:t xml:space="preserve">vs </w:t>
            </w:r>
            <w:r>
              <w:rPr>
                <w:rFonts w:ascii="Arial Narrow" w:hAnsi="Arial Narrow" w:cs="Times New Roman"/>
                <w:sz w:val="20"/>
              </w:rPr>
              <w:t>EMPA 10 mg</w:t>
            </w:r>
            <w:r w:rsidRPr="002F492E">
              <w:rPr>
                <w:rFonts w:ascii="Arial Narrow" w:hAnsi="Arial Narrow" w:cs="Times New Roman"/>
                <w:sz w:val="20"/>
              </w:rPr>
              <w:t xml:space="preserve"> + </w:t>
            </w:r>
            <w:r>
              <w:rPr>
                <w:rFonts w:ascii="Arial Narrow" w:hAnsi="Arial Narrow" w:cs="Times New Roman"/>
                <w:sz w:val="20"/>
              </w:rPr>
              <w:t>Pbo</w:t>
            </w:r>
            <w:r w:rsidRPr="002F492E">
              <w:rPr>
                <w:rFonts w:ascii="Arial Narrow" w:hAnsi="Arial Narrow" w:cs="Times New Roman"/>
                <w:sz w:val="20"/>
              </w:rPr>
              <w:t xml:space="preserve">  </w:t>
            </w:r>
          </w:p>
        </w:tc>
        <w:tc>
          <w:tcPr>
            <w:tcW w:w="253" w:type="pct"/>
            <w:vAlign w:val="center"/>
          </w:tcPr>
          <w:p w:rsidR="00021872" w:rsidRPr="00021872" w:rsidRDefault="00021872" w:rsidP="00EF62AB">
            <w:pPr>
              <w:widowControl/>
              <w:contextualSpacing/>
              <w:jc w:val="center"/>
              <w:rPr>
                <w:rFonts w:ascii="Arial Narrow" w:hAnsi="Arial Narrow" w:cs="Times New Roman"/>
                <w:sz w:val="20"/>
              </w:rPr>
            </w:pPr>
            <w:r w:rsidRPr="00021872">
              <w:rPr>
                <w:rFonts w:ascii="Arial Narrow" w:hAnsi="Arial Narrow" w:cs="Times New Roman"/>
                <w:sz w:val="20"/>
              </w:rPr>
              <w:t>122</w:t>
            </w:r>
          </w:p>
        </w:tc>
        <w:tc>
          <w:tcPr>
            <w:tcW w:w="835" w:type="pct"/>
            <w:vAlign w:val="center"/>
          </w:tcPr>
          <w:p w:rsidR="00021872" w:rsidRPr="004370BA" w:rsidRDefault="00021872" w:rsidP="00EF62AB">
            <w:pPr>
              <w:widowControl/>
              <w:contextualSpacing/>
              <w:jc w:val="center"/>
              <w:rPr>
                <w:rFonts w:ascii="Arial Narrow" w:hAnsi="Arial Narrow" w:cs="Times New Roman"/>
                <w:sz w:val="20"/>
              </w:rPr>
            </w:pPr>
            <w:r w:rsidRPr="004370BA">
              <w:rPr>
                <w:rFonts w:ascii="Arial Narrow" w:hAnsi="Arial Narrow"/>
                <w:sz w:val="20"/>
              </w:rPr>
              <w:t>-0.53 (0.77)</w:t>
            </w:r>
          </w:p>
        </w:tc>
        <w:tc>
          <w:tcPr>
            <w:tcW w:w="294" w:type="pct"/>
            <w:vAlign w:val="center"/>
          </w:tcPr>
          <w:p w:rsidR="00021872" w:rsidRPr="004370BA" w:rsidRDefault="00021872" w:rsidP="00EF62AB">
            <w:pPr>
              <w:widowControl/>
              <w:contextualSpacing/>
              <w:jc w:val="center"/>
              <w:rPr>
                <w:rFonts w:ascii="Arial Narrow" w:hAnsi="Arial Narrow" w:cs="Times New Roman"/>
                <w:sz w:val="20"/>
              </w:rPr>
            </w:pPr>
            <w:r w:rsidRPr="004370BA">
              <w:rPr>
                <w:rFonts w:ascii="Arial Narrow" w:hAnsi="Arial Narrow"/>
                <w:sz w:val="20"/>
              </w:rPr>
              <w:t>125</w:t>
            </w:r>
          </w:p>
        </w:tc>
        <w:tc>
          <w:tcPr>
            <w:tcW w:w="821" w:type="pct"/>
            <w:vAlign w:val="center"/>
          </w:tcPr>
          <w:p w:rsidR="00021872" w:rsidRPr="004370BA" w:rsidRDefault="00021872" w:rsidP="00EF62AB">
            <w:pPr>
              <w:widowControl/>
              <w:contextualSpacing/>
              <w:jc w:val="center"/>
              <w:rPr>
                <w:rFonts w:ascii="Arial Narrow" w:hAnsi="Arial Narrow" w:cs="Times New Roman"/>
                <w:sz w:val="20"/>
              </w:rPr>
            </w:pPr>
            <w:r w:rsidRPr="004370BA">
              <w:rPr>
                <w:rFonts w:ascii="Arial Narrow" w:hAnsi="Arial Narrow"/>
                <w:sz w:val="20"/>
              </w:rPr>
              <w:t>-0.21 (0.78)</w:t>
            </w:r>
          </w:p>
        </w:tc>
        <w:tc>
          <w:tcPr>
            <w:tcW w:w="895" w:type="pct"/>
            <w:vAlign w:val="center"/>
          </w:tcPr>
          <w:p w:rsidR="00021872" w:rsidRPr="00953BD1" w:rsidRDefault="00021872" w:rsidP="00EF62AB">
            <w:pPr>
              <w:widowControl/>
              <w:contextualSpacing/>
              <w:jc w:val="center"/>
              <w:rPr>
                <w:rFonts w:ascii="Arial Narrow" w:hAnsi="Arial Narrow" w:cs="Times New Roman"/>
                <w:b/>
                <w:sz w:val="20"/>
              </w:rPr>
            </w:pPr>
            <w:r w:rsidRPr="00953BD1">
              <w:rPr>
                <w:rFonts w:ascii="Arial Narrow" w:hAnsi="Arial Narrow"/>
                <w:b/>
                <w:sz w:val="20"/>
              </w:rPr>
              <w:t>-0.</w:t>
            </w:r>
            <w:r>
              <w:rPr>
                <w:rFonts w:ascii="Arial Narrow" w:hAnsi="Arial Narrow"/>
                <w:b/>
                <w:sz w:val="20"/>
              </w:rPr>
              <w:t>32</w:t>
            </w:r>
            <w:r w:rsidRPr="00953BD1">
              <w:rPr>
                <w:rFonts w:ascii="Arial Narrow" w:hAnsi="Arial Narrow"/>
                <w:b/>
                <w:sz w:val="20"/>
              </w:rPr>
              <w:t xml:space="preserve"> (-0.</w:t>
            </w:r>
            <w:r>
              <w:rPr>
                <w:rFonts w:ascii="Arial Narrow" w:hAnsi="Arial Narrow"/>
                <w:b/>
                <w:sz w:val="20"/>
              </w:rPr>
              <w:t>51</w:t>
            </w:r>
            <w:r w:rsidRPr="00953BD1">
              <w:rPr>
                <w:rFonts w:ascii="Arial Narrow" w:hAnsi="Arial Narrow"/>
                <w:b/>
                <w:sz w:val="20"/>
              </w:rPr>
              <w:t>, -0.</w:t>
            </w:r>
            <w:r>
              <w:rPr>
                <w:rFonts w:ascii="Arial Narrow" w:hAnsi="Arial Narrow"/>
                <w:b/>
                <w:sz w:val="20"/>
              </w:rPr>
              <w:t>13</w:t>
            </w:r>
            <w:r w:rsidRPr="00953BD1">
              <w:rPr>
                <w:rFonts w:ascii="Arial Narrow" w:hAnsi="Arial Narrow"/>
                <w:b/>
                <w:sz w:val="20"/>
              </w:rPr>
              <w:t>)</w:t>
            </w:r>
          </w:p>
        </w:tc>
      </w:tr>
    </w:tbl>
    <w:p w:rsidR="00A13F04" w:rsidRPr="004370BA" w:rsidRDefault="00A13F04" w:rsidP="00EF62AB">
      <w:pPr>
        <w:pStyle w:val="TableFooter"/>
        <w:widowControl/>
        <w:ind w:left="709"/>
        <w:rPr>
          <w:szCs w:val="16"/>
        </w:rPr>
      </w:pPr>
      <w:r w:rsidRPr="004370BA">
        <w:rPr>
          <w:szCs w:val="16"/>
        </w:rPr>
        <w:t xml:space="preserve">Source: </w:t>
      </w:r>
      <w:r w:rsidR="00021872" w:rsidRPr="004370BA">
        <w:rPr>
          <w:szCs w:val="16"/>
        </w:rPr>
        <w:t>Tables B.19, p.97 and B.20, p.100</w:t>
      </w:r>
      <w:r w:rsidR="00FF05C8" w:rsidRPr="004370BA">
        <w:rPr>
          <w:szCs w:val="16"/>
        </w:rPr>
        <w:t>. (S</w:t>
      </w:r>
      <w:r w:rsidRPr="004370BA">
        <w:rPr>
          <w:szCs w:val="16"/>
        </w:rPr>
        <w:t>tatistically significant results in bold</w:t>
      </w:r>
      <w:r w:rsidR="005D67A8" w:rsidRPr="004370BA">
        <w:rPr>
          <w:szCs w:val="16"/>
        </w:rPr>
        <w:t>)</w:t>
      </w:r>
      <w:r w:rsidRPr="004370BA">
        <w:rPr>
          <w:szCs w:val="16"/>
        </w:rPr>
        <w:t>.</w:t>
      </w:r>
    </w:p>
    <w:p w:rsidR="00A13F04" w:rsidRPr="003E2CFF" w:rsidRDefault="00A13F04" w:rsidP="00EF62AB">
      <w:pPr>
        <w:pStyle w:val="TableFooter"/>
        <w:widowControl/>
        <w:ind w:left="709"/>
        <w:rPr>
          <w:szCs w:val="16"/>
        </w:rPr>
      </w:pPr>
      <w:r>
        <w:rPr>
          <w:szCs w:val="16"/>
        </w:rPr>
        <w:t>Abbreviations:  CI, c</w:t>
      </w:r>
      <w:r w:rsidRPr="00000239">
        <w:rPr>
          <w:szCs w:val="16"/>
        </w:rPr>
        <w:t>onfi</w:t>
      </w:r>
      <w:r>
        <w:rPr>
          <w:szCs w:val="16"/>
        </w:rPr>
        <w:t>dence interval; EMPA, empagliflozin; FAS, f</w:t>
      </w:r>
      <w:r w:rsidRPr="00000239">
        <w:rPr>
          <w:szCs w:val="16"/>
        </w:rPr>
        <w:t xml:space="preserve">ull analysis set; </w:t>
      </w:r>
      <w:r>
        <w:rPr>
          <w:szCs w:val="16"/>
        </w:rPr>
        <w:t xml:space="preserve">FDC, fixed dose combination; </w:t>
      </w:r>
      <w:r w:rsidRPr="00000239">
        <w:rPr>
          <w:szCs w:val="16"/>
        </w:rPr>
        <w:t xml:space="preserve">HbA1c, Glycosylated haemoglobin; </w:t>
      </w:r>
      <w:r>
        <w:rPr>
          <w:szCs w:val="16"/>
        </w:rPr>
        <w:t xml:space="preserve">LINA, linagliptin; MMRM, </w:t>
      </w:r>
      <w:r w:rsidRPr="00397F9C">
        <w:rPr>
          <w:szCs w:val="18"/>
        </w:rPr>
        <w:t>mixed model repeated measures</w:t>
      </w:r>
      <w:r>
        <w:rPr>
          <w:szCs w:val="18"/>
        </w:rPr>
        <w:t xml:space="preserve">; </w:t>
      </w:r>
      <w:r>
        <w:rPr>
          <w:szCs w:val="16"/>
        </w:rPr>
        <w:t>OC, observed cases; Pbo, placebo; SD, standard deviation; wks, weeks.</w:t>
      </w:r>
    </w:p>
    <w:p w:rsidR="004F4E2B" w:rsidRPr="004F4E2B" w:rsidRDefault="004F4E2B" w:rsidP="00EF62AB">
      <w:pPr>
        <w:pStyle w:val="ListParagraph"/>
        <w:widowControl/>
        <w:rPr>
          <w:szCs w:val="22"/>
        </w:rPr>
      </w:pPr>
    </w:p>
    <w:p w:rsidR="00EB6052" w:rsidRPr="00C15E26" w:rsidRDefault="004F4E2B" w:rsidP="008F5BEE">
      <w:pPr>
        <w:pStyle w:val="ListParagraph"/>
        <w:widowControl/>
        <w:numPr>
          <w:ilvl w:val="1"/>
          <w:numId w:val="1"/>
        </w:numPr>
        <w:rPr>
          <w:szCs w:val="22"/>
        </w:rPr>
      </w:pPr>
      <w:r w:rsidRPr="00C15E26">
        <w:t>In the direct head-to-head trials (1275.9 and 1275.10), empagliflozin 25</w:t>
      </w:r>
      <w:r w:rsidR="00B24BD4" w:rsidRPr="00C15E26">
        <w:t xml:space="preserve"> </w:t>
      </w:r>
      <w:r w:rsidRPr="00C15E26">
        <w:t>mg or 10</w:t>
      </w:r>
      <w:r w:rsidR="00B24BD4" w:rsidRPr="00C15E26">
        <w:t xml:space="preserve"> </w:t>
      </w:r>
      <w:r w:rsidRPr="00C15E26">
        <w:t>mg with linagliptin 5</w:t>
      </w:r>
      <w:r w:rsidR="00B24BD4" w:rsidRPr="00C15E26">
        <w:t xml:space="preserve"> </w:t>
      </w:r>
      <w:r w:rsidRPr="00C15E26">
        <w:t>mg FDCs in combination with metformin demonstrated statistically significantly larger reductions in HbA1c from baseline compared</w:t>
      </w:r>
      <w:r w:rsidR="00747D7D" w:rsidRPr="00C15E26">
        <w:t xml:space="preserve"> to linagliptin 5</w:t>
      </w:r>
      <w:r w:rsidR="00B24BD4" w:rsidRPr="00C15E26">
        <w:t xml:space="preserve"> </w:t>
      </w:r>
      <w:r w:rsidR="00747D7D" w:rsidRPr="00C15E26">
        <w:t>mg</w:t>
      </w:r>
      <w:r w:rsidRPr="00C15E26">
        <w:t xml:space="preserve"> or empagliflozin 25</w:t>
      </w:r>
      <w:r w:rsidR="00B24BD4" w:rsidRPr="00C15E26">
        <w:t xml:space="preserve"> </w:t>
      </w:r>
      <w:r w:rsidRPr="00C15E26">
        <w:t>mg or 10</w:t>
      </w:r>
      <w:r w:rsidR="00B24BD4" w:rsidRPr="00C15E26">
        <w:t xml:space="preserve"> </w:t>
      </w:r>
      <w:r w:rsidRPr="00C15E26">
        <w:t xml:space="preserve">mg in combination with metformin over 24 weeks. </w:t>
      </w:r>
      <w:r w:rsidR="00EB6052" w:rsidRPr="00C15E26">
        <w:t>Results favouring empagliflozin with linagliptin FDC were also reported for change in fasting plasma glucose from baseline, change in body weight from baseline and the proportion of patients achieving a HbA1c &lt;7% (responders).</w:t>
      </w:r>
    </w:p>
    <w:p w:rsidR="00EB6052" w:rsidRPr="00C15E26" w:rsidRDefault="00EB6052" w:rsidP="00EF62AB">
      <w:pPr>
        <w:pStyle w:val="ListParagraph"/>
        <w:widowControl/>
        <w:rPr>
          <w:szCs w:val="22"/>
        </w:rPr>
      </w:pPr>
    </w:p>
    <w:p w:rsidR="004370BA" w:rsidRDefault="00E64BD3" w:rsidP="008F5BEE">
      <w:pPr>
        <w:pStyle w:val="ListParagraph"/>
        <w:widowControl/>
        <w:numPr>
          <w:ilvl w:val="1"/>
          <w:numId w:val="1"/>
        </w:numPr>
      </w:pPr>
      <w:r w:rsidRPr="00C7337F">
        <w:t>The ESC noted that e</w:t>
      </w:r>
      <w:r w:rsidR="00747D7D" w:rsidRPr="00C7337F">
        <w:t xml:space="preserve">mpagliflozin with linagliptin FDC demonstrated </w:t>
      </w:r>
      <w:r w:rsidR="003D3679" w:rsidRPr="00C7337F">
        <w:t xml:space="preserve">superior efficacy </w:t>
      </w:r>
      <w:r w:rsidR="00747D7D" w:rsidRPr="00C7337F">
        <w:t>compared to linagliptin 5</w:t>
      </w:r>
      <w:r w:rsidR="00B24BD4" w:rsidRPr="00C7337F">
        <w:t xml:space="preserve"> </w:t>
      </w:r>
      <w:r w:rsidR="00747D7D" w:rsidRPr="00C7337F">
        <w:t>mg or empagliflozin 25</w:t>
      </w:r>
      <w:r w:rsidR="00B24BD4" w:rsidRPr="00C7337F">
        <w:t xml:space="preserve"> </w:t>
      </w:r>
      <w:r w:rsidR="00747D7D" w:rsidRPr="00C7337F">
        <w:t>mg or 10</w:t>
      </w:r>
      <w:r w:rsidR="00B24BD4" w:rsidRPr="00C7337F">
        <w:t xml:space="preserve"> </w:t>
      </w:r>
      <w:r w:rsidR="00747D7D" w:rsidRPr="00C7337F">
        <w:t xml:space="preserve">mg in combination with metformin. </w:t>
      </w:r>
      <w:r w:rsidR="004E016D" w:rsidRPr="00C7337F">
        <w:t>The outcomes of</w:t>
      </w:r>
      <w:r w:rsidR="00B04F00" w:rsidRPr="00C7337F">
        <w:t xml:space="preserve"> trials </w:t>
      </w:r>
      <w:r w:rsidR="004E016D" w:rsidRPr="00C7337F">
        <w:t>1275.9 and 1275.10</w:t>
      </w:r>
      <w:r w:rsidR="008B5378" w:rsidRPr="00C7337F">
        <w:t xml:space="preserve"> </w:t>
      </w:r>
      <w:r w:rsidR="00B04F00" w:rsidRPr="00C7337F">
        <w:t xml:space="preserve">suggested the </w:t>
      </w:r>
      <w:r w:rsidR="004F4E2B" w:rsidRPr="00C7337F">
        <w:t>benefits of adding linagliptin 5</w:t>
      </w:r>
      <w:r w:rsidR="00B24BD4" w:rsidRPr="00C7337F">
        <w:t xml:space="preserve"> </w:t>
      </w:r>
      <w:r w:rsidR="004F4E2B" w:rsidRPr="00C7337F">
        <w:t>mg to empagliflozin in combination with metformin were smaller than the benefits of adding empagliflozin to linagliptin in combination with metformin.</w:t>
      </w:r>
      <w:r w:rsidR="00805216" w:rsidRPr="00C7337F">
        <w:t xml:space="preserve"> </w:t>
      </w:r>
      <w:r w:rsidR="004E016D" w:rsidRPr="00C7337F">
        <w:t xml:space="preserve"> </w:t>
      </w:r>
      <w:r w:rsidR="005E7147" w:rsidRPr="00C7337F">
        <w:t>T</w:t>
      </w:r>
      <w:r w:rsidR="009A5AC5" w:rsidRPr="00C7337F">
        <w:t>he PBAC noted t</w:t>
      </w:r>
      <w:r w:rsidR="005E7147" w:rsidRPr="00C7337F">
        <w:t xml:space="preserve">he </w:t>
      </w:r>
      <w:r w:rsidR="004E016D" w:rsidRPr="00C7337F">
        <w:t>publications of Trial 1275.1 by DeFronzo et a</w:t>
      </w:r>
      <w:r w:rsidR="008B5378" w:rsidRPr="00C7337F">
        <w:t xml:space="preserve">l, </w:t>
      </w:r>
      <w:r w:rsidR="004E016D" w:rsidRPr="00C7337F">
        <w:t>2015 and Lewin et al, 2015</w:t>
      </w:r>
      <w:r w:rsidR="005E7147" w:rsidRPr="00C7337F">
        <w:t xml:space="preserve"> ha</w:t>
      </w:r>
      <w:r w:rsidR="00FE07D7" w:rsidRPr="00C7337F">
        <w:t>d</w:t>
      </w:r>
      <w:r w:rsidR="008B5378" w:rsidRPr="00C7337F">
        <w:t xml:space="preserve"> </w:t>
      </w:r>
      <w:r w:rsidR="005E7147" w:rsidRPr="00C7337F">
        <w:t>treatment arms of patients receiving</w:t>
      </w:r>
      <w:r w:rsidR="004370BA">
        <w:t>:</w:t>
      </w:r>
    </w:p>
    <w:p w:rsidR="004370BA" w:rsidRDefault="005E7147" w:rsidP="008F5BEE">
      <w:pPr>
        <w:pStyle w:val="ListParagraph"/>
        <w:widowControl/>
        <w:numPr>
          <w:ilvl w:val="0"/>
          <w:numId w:val="7"/>
        </w:numPr>
      </w:pPr>
      <w:r w:rsidRPr="00C7337F">
        <w:t xml:space="preserve">empagliflozin 25 mg/linagliptin 5 mg </w:t>
      </w:r>
      <w:r w:rsidR="008B5378" w:rsidRPr="00C7337F">
        <w:t>FDC</w:t>
      </w:r>
      <w:r w:rsidRPr="00C7337F">
        <w:t xml:space="preserve">, </w:t>
      </w:r>
    </w:p>
    <w:p w:rsidR="004370BA" w:rsidRDefault="005E7147" w:rsidP="008F5BEE">
      <w:pPr>
        <w:pStyle w:val="ListParagraph"/>
        <w:widowControl/>
        <w:numPr>
          <w:ilvl w:val="0"/>
          <w:numId w:val="7"/>
        </w:numPr>
      </w:pPr>
      <w:r w:rsidRPr="00C7337F">
        <w:t>empagliflozin 10 mg/linagliptin 5 mg FDC tablet,</w:t>
      </w:r>
    </w:p>
    <w:p w:rsidR="004370BA" w:rsidRDefault="005E7147" w:rsidP="008F5BEE">
      <w:pPr>
        <w:pStyle w:val="ListParagraph"/>
        <w:widowControl/>
        <w:numPr>
          <w:ilvl w:val="0"/>
          <w:numId w:val="7"/>
        </w:numPr>
      </w:pPr>
      <w:r w:rsidRPr="00C7337F">
        <w:t>empagliflozin 25 mg,</w:t>
      </w:r>
    </w:p>
    <w:p w:rsidR="004370BA" w:rsidRDefault="005E7147" w:rsidP="008F5BEE">
      <w:pPr>
        <w:pStyle w:val="ListParagraph"/>
        <w:widowControl/>
        <w:numPr>
          <w:ilvl w:val="0"/>
          <w:numId w:val="7"/>
        </w:numPr>
      </w:pPr>
      <w:r w:rsidRPr="00C7337F">
        <w:t xml:space="preserve">empagliflozin 10 mg, or </w:t>
      </w:r>
    </w:p>
    <w:p w:rsidR="004370BA" w:rsidRDefault="005E7147" w:rsidP="008F5BEE">
      <w:pPr>
        <w:pStyle w:val="ListParagraph"/>
        <w:widowControl/>
        <w:numPr>
          <w:ilvl w:val="0"/>
          <w:numId w:val="7"/>
        </w:numPr>
      </w:pPr>
      <w:r w:rsidRPr="00C7337F">
        <w:t>linagliptin 5 mg</w:t>
      </w:r>
      <w:r w:rsidR="00FE07D7" w:rsidRPr="00C7337F">
        <w:t xml:space="preserve">. </w:t>
      </w:r>
    </w:p>
    <w:p w:rsidR="004370BA" w:rsidRDefault="00FE07D7" w:rsidP="004370BA">
      <w:pPr>
        <w:pStyle w:val="ListParagraph"/>
        <w:widowControl/>
      </w:pPr>
      <w:r w:rsidRPr="00C7337F">
        <w:t>The difference in mean change in HbA1c (%) was not consistently smaller when calculating the difference in the groups receiving empagliflozin</w:t>
      </w:r>
      <w:r w:rsidR="008B5378" w:rsidRPr="00C7337F">
        <w:t xml:space="preserve"> (Groups 3 and 4)</w:t>
      </w:r>
      <w:r w:rsidRPr="00C7337F">
        <w:t xml:space="preserve"> and the FDCs</w:t>
      </w:r>
      <w:r w:rsidR="008B5378" w:rsidRPr="00C7337F">
        <w:t xml:space="preserve"> (Groups 1 and 2) </w:t>
      </w:r>
      <w:r w:rsidRPr="00C7337F">
        <w:t xml:space="preserve"> and the groups receiving linagliptin</w:t>
      </w:r>
      <w:r w:rsidR="008B5378" w:rsidRPr="00C7337F">
        <w:t xml:space="preserve"> (Group 5)</w:t>
      </w:r>
      <w:r w:rsidRPr="00C7337F">
        <w:t xml:space="preserve"> and the FDCs</w:t>
      </w:r>
      <w:r w:rsidR="008B5378" w:rsidRPr="00C7337F">
        <w:t xml:space="preserve"> (Groups 1 and 2)</w:t>
      </w:r>
      <w:r w:rsidRPr="00C7337F">
        <w:t xml:space="preserve">. </w:t>
      </w:r>
    </w:p>
    <w:p w:rsidR="004370BA" w:rsidRDefault="004370BA" w:rsidP="004370BA">
      <w:pPr>
        <w:pStyle w:val="ListParagraph"/>
        <w:widowControl/>
      </w:pPr>
    </w:p>
    <w:p w:rsidR="00805216" w:rsidRPr="00C7337F" w:rsidRDefault="00FE07D7" w:rsidP="008F5BEE">
      <w:pPr>
        <w:pStyle w:val="ListParagraph"/>
        <w:widowControl/>
        <w:numPr>
          <w:ilvl w:val="1"/>
          <w:numId w:val="1"/>
        </w:numPr>
      </w:pPr>
      <w:r w:rsidRPr="00C7337F">
        <w:t>In all trial</w:t>
      </w:r>
      <w:r w:rsidR="008B5378" w:rsidRPr="00C7337F">
        <w:t>s</w:t>
      </w:r>
      <w:r w:rsidRPr="00C7337F">
        <w:t>, t</w:t>
      </w:r>
      <w:r w:rsidR="00493077" w:rsidRPr="00C7337F">
        <w:t xml:space="preserve">he </w:t>
      </w:r>
      <w:r w:rsidR="00BB1EA3" w:rsidRPr="00C7337F">
        <w:t xml:space="preserve">effect of the combination on HbA1c was less than </w:t>
      </w:r>
      <w:r w:rsidR="00805216" w:rsidRPr="00C7337F">
        <w:t>c</w:t>
      </w:r>
      <w:r w:rsidR="00BB1EA3" w:rsidRPr="00C7337F">
        <w:t xml:space="preserve">ould be expected if the gains observed in the monotherapy submissions for the </w:t>
      </w:r>
      <w:r w:rsidR="00257D39" w:rsidRPr="00C7337F">
        <w:t>SGLT2 inhibitors</w:t>
      </w:r>
      <w:r w:rsidR="00BB1EA3" w:rsidRPr="00C7337F">
        <w:t xml:space="preserve"> and the DPP4 inhibitors were summed together. </w:t>
      </w:r>
      <w:r w:rsidR="00B04F00" w:rsidRPr="00C7337F">
        <w:t xml:space="preserve">For </w:t>
      </w:r>
      <w:r w:rsidR="004E016D" w:rsidRPr="00C7337F">
        <w:t>trials 1275.9 and 1275.10</w:t>
      </w:r>
      <w:r w:rsidR="00B04F00" w:rsidRPr="00C7337F">
        <w:t>, t</w:t>
      </w:r>
      <w:r w:rsidR="00BB1EA3" w:rsidRPr="00C7337F">
        <w:t>his is not unexpected as the entry criteria for the</w:t>
      </w:r>
      <w:r w:rsidR="00257D39" w:rsidRPr="00C7337F">
        <w:t xml:space="preserve"> combination drug</w:t>
      </w:r>
      <w:r w:rsidR="00BE10FF" w:rsidRPr="00C7337F">
        <w:t xml:space="preserve"> studies was non-</w:t>
      </w:r>
      <w:r w:rsidR="00BB1EA3" w:rsidRPr="00C7337F">
        <w:t>responsiveness to monotherapy</w:t>
      </w:r>
      <w:r w:rsidR="00257D39" w:rsidRPr="00C7337F">
        <w:t xml:space="preserve"> (in combination with metformin)</w:t>
      </w:r>
      <w:r w:rsidR="00493077" w:rsidRPr="00C7337F">
        <w:t>.</w:t>
      </w:r>
    </w:p>
    <w:p w:rsidR="00A13F04" w:rsidRDefault="00A13F04" w:rsidP="00EF62AB">
      <w:pPr>
        <w:widowControl/>
        <w:rPr>
          <w:rStyle w:val="CommentReference"/>
        </w:rPr>
      </w:pPr>
    </w:p>
    <w:p w:rsidR="00A13F04" w:rsidRPr="00B50DB8" w:rsidRDefault="00A13F04" w:rsidP="008F5BEE">
      <w:pPr>
        <w:pStyle w:val="ListParagraph"/>
        <w:widowControl/>
        <w:numPr>
          <w:ilvl w:val="1"/>
          <w:numId w:val="1"/>
        </w:numPr>
        <w:rPr>
          <w:szCs w:val="22"/>
        </w:rPr>
      </w:pPr>
      <w:r w:rsidRPr="009F4250">
        <w:rPr>
          <w:u w:val="single"/>
        </w:rPr>
        <w:t>2. Empagliflozin with linagliptin FDC vs insulin glargine, both in combination with metformin</w:t>
      </w:r>
    </w:p>
    <w:p w:rsidR="00A13F04" w:rsidRDefault="00A13F04" w:rsidP="00EF62AB">
      <w:pPr>
        <w:widowControl/>
        <w:jc w:val="left"/>
        <w:rPr>
          <w:szCs w:val="22"/>
        </w:rPr>
      </w:pPr>
    </w:p>
    <w:p w:rsidR="00A13F04" w:rsidRDefault="00A13F04" w:rsidP="00EF62AB">
      <w:pPr>
        <w:widowControl/>
        <w:ind w:left="709"/>
      </w:pPr>
      <w:r w:rsidRPr="001F7361">
        <w:rPr>
          <w:rStyle w:val="CommentReference"/>
        </w:rPr>
        <w:t xml:space="preserve">Table </w:t>
      </w:r>
      <w:r w:rsidR="00EF62AB">
        <w:rPr>
          <w:rStyle w:val="CommentReference"/>
        </w:rPr>
        <w:t>5</w:t>
      </w:r>
      <w:r>
        <w:rPr>
          <w:rStyle w:val="CommentReference"/>
        </w:rPr>
        <w:t xml:space="preserve">: </w:t>
      </w:r>
      <w:r w:rsidR="002346FC">
        <w:rPr>
          <w:rStyle w:val="CommentReference"/>
        </w:rPr>
        <w:t>Mean</w:t>
      </w:r>
      <w:r w:rsidR="002346FC" w:rsidRPr="00F17581">
        <w:rPr>
          <w:rStyle w:val="CommentReference"/>
        </w:rPr>
        <w:t xml:space="preserve"> change in HbA1c from baseline</w:t>
      </w:r>
      <w:r w:rsidR="002346FC">
        <w:rPr>
          <w:rFonts w:ascii="Arial Narrow" w:hAnsi="Arial Narrow"/>
          <w:b/>
          <w:sz w:val="20"/>
        </w:rPr>
        <w:t xml:space="preserve">; </w:t>
      </w:r>
      <w:r w:rsidR="002346FC">
        <w:rPr>
          <w:rStyle w:val="CommentReference"/>
        </w:rPr>
        <w:t xml:space="preserve">indirect comparisons of </w:t>
      </w:r>
      <w:r w:rsidR="002346FC">
        <w:rPr>
          <w:rFonts w:ascii="Arial Narrow" w:hAnsi="Arial Narrow"/>
          <w:b/>
          <w:sz w:val="20"/>
        </w:rPr>
        <w:t>empagliflozin with linagliptin FDC</w:t>
      </w:r>
      <w:r w:rsidR="002346FC" w:rsidRPr="00332662">
        <w:rPr>
          <w:rFonts w:ascii="Arial Narrow" w:hAnsi="Arial Narrow"/>
          <w:b/>
          <w:sz w:val="20"/>
        </w:rPr>
        <w:t xml:space="preserve"> vs </w:t>
      </w:r>
      <w:r w:rsidR="002346FC">
        <w:rPr>
          <w:rFonts w:ascii="Arial Narrow" w:hAnsi="Arial Narrow"/>
          <w:b/>
          <w:sz w:val="20"/>
        </w:rPr>
        <w:t>insulin glargine (with</w:t>
      </w:r>
      <w:r w:rsidR="002346FC" w:rsidRPr="002235C9">
        <w:rPr>
          <w:rFonts w:ascii="Arial Narrow" w:hAnsi="Arial Narrow"/>
          <w:b/>
          <w:sz w:val="20"/>
        </w:rPr>
        <w:t xml:space="preserve"> metformin</w:t>
      </w:r>
      <w:r w:rsidR="002346FC">
        <w:rPr>
          <w:rFonts w:ascii="Arial Narrow" w:hAnsi="Arial Narrow"/>
          <w:b/>
          <w:sz w:val="20"/>
        </w:rPr>
        <w:t xml:space="preserve">; linagliptin/sitagliptin as interchangeable common </w:t>
      </w:r>
      <w:r w:rsidR="00076688">
        <w:rPr>
          <w:rFonts w:ascii="Arial Narrow" w:hAnsi="Arial Narrow"/>
          <w:b/>
          <w:sz w:val="20"/>
        </w:rPr>
        <w:t>reference</w:t>
      </w:r>
      <w:r w:rsidR="001511F0">
        <w:rPr>
          <w:rFonts w:ascii="Arial Narrow" w:hAnsi="Arial Narrow"/>
          <w:b/>
          <w:sz w:val="20"/>
        </w:rPr>
        <w:t>; FAS, LOCF</w:t>
      </w:r>
      <w:r w:rsidR="002346FC">
        <w:rPr>
          <w:rFonts w:ascii="Arial Narrow" w:hAnsi="Arial Narrow"/>
          <w:b/>
          <w:sz w:val="20"/>
        </w:rPr>
        <w:t>)</w:t>
      </w:r>
    </w:p>
    <w:tbl>
      <w:tblPr>
        <w:tblStyle w:val="TableGrid"/>
        <w:tblW w:w="8371" w:type="dxa"/>
        <w:tblInd w:w="817" w:type="dxa"/>
        <w:tblLayout w:type="fixed"/>
        <w:tblLook w:val="04A0" w:firstRow="1" w:lastRow="0" w:firstColumn="1" w:lastColumn="0" w:noHBand="0" w:noVBand="1"/>
        <w:tblCaption w:val="Table 4: Mean change in HbA1c from baseline; indirect comparisons of empagliflozin with linagliptin FDC vs insulin glargine (with metformin; linagliptin/sitagliptin as interchangeable common reference; FAS, LOCF)"/>
        <w:tblDescription w:val="Table 4: Mean change in HbA1c from baseline; indirect comparisons of empagliflozin with linagliptin FDC vs insulin glargine (with metformin; linagliptin/sitagliptin as interchangeable common reference; FAS, LOCF)"/>
      </w:tblPr>
      <w:tblGrid>
        <w:gridCol w:w="1349"/>
        <w:gridCol w:w="462"/>
        <w:gridCol w:w="1358"/>
        <w:gridCol w:w="463"/>
        <w:gridCol w:w="1391"/>
        <w:gridCol w:w="461"/>
        <w:gridCol w:w="1370"/>
        <w:gridCol w:w="1517"/>
      </w:tblGrid>
      <w:tr w:rsidR="00A13F04" w:rsidRPr="00655EFF" w:rsidTr="00D25546">
        <w:trPr>
          <w:tblHeader/>
        </w:trPr>
        <w:tc>
          <w:tcPr>
            <w:tcW w:w="1349" w:type="dxa"/>
            <w:vMerge w:val="restart"/>
            <w:vAlign w:val="center"/>
          </w:tcPr>
          <w:p w:rsidR="00A13F04" w:rsidRPr="00655EFF" w:rsidRDefault="00A13F04" w:rsidP="00EF62AB">
            <w:pPr>
              <w:widowControl/>
              <w:ind w:left="-80"/>
              <w:jc w:val="left"/>
              <w:rPr>
                <w:rFonts w:ascii="Arial Narrow" w:hAnsi="Arial Narrow"/>
                <w:sz w:val="20"/>
              </w:rPr>
            </w:pPr>
            <w:r w:rsidRPr="00655EFF">
              <w:rPr>
                <w:rFonts w:ascii="Arial Narrow" w:hAnsi="Arial Narrow" w:cs="Times New Roman"/>
                <w:b/>
                <w:sz w:val="20"/>
              </w:rPr>
              <w:t>Trial ID</w:t>
            </w:r>
          </w:p>
        </w:tc>
        <w:tc>
          <w:tcPr>
            <w:tcW w:w="5505" w:type="dxa"/>
            <w:gridSpan w:val="6"/>
            <w:vAlign w:val="center"/>
          </w:tcPr>
          <w:p w:rsidR="00A13F04" w:rsidRDefault="00A13F04" w:rsidP="00EF62AB">
            <w:pPr>
              <w:widowControl/>
              <w:contextualSpacing/>
              <w:jc w:val="center"/>
              <w:rPr>
                <w:rFonts w:ascii="Arial Narrow" w:hAnsi="Arial Narrow"/>
                <w:b/>
                <w:sz w:val="20"/>
              </w:rPr>
            </w:pPr>
            <w:r w:rsidRPr="00655EFF">
              <w:rPr>
                <w:rFonts w:ascii="Arial Narrow" w:hAnsi="Arial Narrow"/>
                <w:b/>
                <w:sz w:val="20"/>
              </w:rPr>
              <w:t>Mean change in HbA1c from baseline % (SD)</w:t>
            </w:r>
          </w:p>
          <w:p w:rsidR="00A13F04" w:rsidRPr="00655EFF" w:rsidRDefault="00A13F04" w:rsidP="00EF62AB">
            <w:pPr>
              <w:widowControl/>
              <w:contextualSpacing/>
              <w:jc w:val="center"/>
              <w:rPr>
                <w:rFonts w:ascii="Arial Narrow" w:hAnsi="Arial Narrow"/>
                <w:b/>
                <w:sz w:val="20"/>
              </w:rPr>
            </w:pPr>
            <w:r>
              <w:rPr>
                <w:rFonts w:ascii="Arial Narrow" w:hAnsi="Arial Narrow"/>
                <w:b/>
                <w:sz w:val="20"/>
              </w:rPr>
              <w:t>(in combination with metformin)</w:t>
            </w:r>
          </w:p>
        </w:tc>
        <w:tc>
          <w:tcPr>
            <w:tcW w:w="1517" w:type="dxa"/>
            <w:vMerge w:val="restart"/>
            <w:vAlign w:val="center"/>
          </w:tcPr>
          <w:p w:rsidR="00A13F04" w:rsidRPr="00FF22C9" w:rsidRDefault="00A13F04" w:rsidP="00EF62AB">
            <w:pPr>
              <w:widowControl/>
              <w:contextualSpacing/>
              <w:jc w:val="center"/>
              <w:rPr>
                <w:rFonts w:ascii="Arial Narrow" w:hAnsi="Arial Narrow" w:cs="Times New Roman"/>
                <w:b/>
                <w:sz w:val="20"/>
              </w:rPr>
            </w:pPr>
            <w:r w:rsidRPr="00FF22C9">
              <w:rPr>
                <w:rFonts w:ascii="Arial Narrow" w:hAnsi="Arial Narrow" w:cs="Times New Roman"/>
                <w:b/>
                <w:sz w:val="20"/>
              </w:rPr>
              <w:t>Difference in</w:t>
            </w:r>
          </w:p>
          <w:p w:rsidR="00A13F04" w:rsidRDefault="00A13F04" w:rsidP="00EF62AB">
            <w:pPr>
              <w:widowControl/>
              <w:contextualSpacing/>
              <w:jc w:val="center"/>
              <w:rPr>
                <w:rFonts w:ascii="Arial Narrow" w:hAnsi="Arial Narrow" w:cs="Times New Roman"/>
                <w:b/>
                <w:sz w:val="20"/>
              </w:rPr>
            </w:pPr>
            <w:r>
              <w:rPr>
                <w:rFonts w:ascii="Arial Narrow" w:hAnsi="Arial Narrow" w:cs="Times New Roman"/>
                <w:b/>
                <w:sz w:val="20"/>
              </w:rPr>
              <w:t>m</w:t>
            </w:r>
            <w:r w:rsidRPr="00FF22C9">
              <w:rPr>
                <w:rFonts w:ascii="Arial Narrow" w:hAnsi="Arial Narrow" w:cs="Times New Roman"/>
                <w:b/>
                <w:sz w:val="20"/>
              </w:rPr>
              <w:t xml:space="preserve">ean change </w:t>
            </w:r>
          </w:p>
          <w:p w:rsidR="00A13F04" w:rsidRPr="00655EFF" w:rsidRDefault="00A13F04" w:rsidP="00EF62AB">
            <w:pPr>
              <w:widowControl/>
              <w:ind w:left="-66" w:right="-66"/>
              <w:jc w:val="center"/>
              <w:rPr>
                <w:rFonts w:ascii="Arial Narrow" w:hAnsi="Arial Narrow"/>
                <w:sz w:val="20"/>
              </w:rPr>
            </w:pPr>
            <w:r w:rsidRPr="00FF22C9">
              <w:rPr>
                <w:rFonts w:ascii="Arial Narrow" w:hAnsi="Arial Narrow" w:cs="Times New Roman"/>
                <w:b/>
                <w:sz w:val="20"/>
              </w:rPr>
              <w:t>(95% CI)</w:t>
            </w:r>
          </w:p>
        </w:tc>
      </w:tr>
      <w:tr w:rsidR="00A13F04" w:rsidRPr="00655EFF" w:rsidTr="00D25546">
        <w:trPr>
          <w:tblHeader/>
        </w:trPr>
        <w:tc>
          <w:tcPr>
            <w:tcW w:w="1349" w:type="dxa"/>
            <w:vMerge/>
          </w:tcPr>
          <w:p w:rsidR="00A13F04" w:rsidRPr="00655EFF" w:rsidRDefault="00A13F04" w:rsidP="00EF62AB">
            <w:pPr>
              <w:widowControl/>
              <w:ind w:left="-80"/>
              <w:rPr>
                <w:rFonts w:ascii="Arial Narrow" w:hAnsi="Arial Narrow"/>
                <w:b/>
                <w:sz w:val="20"/>
              </w:rPr>
            </w:pPr>
          </w:p>
        </w:tc>
        <w:tc>
          <w:tcPr>
            <w:tcW w:w="462" w:type="dxa"/>
            <w:vAlign w:val="center"/>
          </w:tcPr>
          <w:p w:rsidR="00A13F04" w:rsidRPr="00655EFF" w:rsidRDefault="00A13F04" w:rsidP="00EF62AB">
            <w:pPr>
              <w:widowControl/>
              <w:ind w:left="-66" w:right="-66"/>
              <w:jc w:val="center"/>
              <w:rPr>
                <w:rFonts w:ascii="Arial Narrow" w:hAnsi="Arial Narrow"/>
                <w:b/>
                <w:sz w:val="20"/>
              </w:rPr>
            </w:pPr>
            <w:r w:rsidRPr="00655EFF">
              <w:rPr>
                <w:rFonts w:ascii="Arial Narrow" w:hAnsi="Arial Narrow"/>
                <w:b/>
                <w:sz w:val="20"/>
              </w:rPr>
              <w:t>n</w:t>
            </w:r>
          </w:p>
        </w:tc>
        <w:tc>
          <w:tcPr>
            <w:tcW w:w="1358" w:type="dxa"/>
            <w:vAlign w:val="center"/>
          </w:tcPr>
          <w:p w:rsidR="00A13F04" w:rsidRDefault="00A13F04" w:rsidP="00EF62AB">
            <w:pPr>
              <w:widowControl/>
              <w:ind w:left="-66" w:right="-66"/>
              <w:jc w:val="center"/>
              <w:rPr>
                <w:rFonts w:ascii="Arial Narrow" w:hAnsi="Arial Narrow" w:cs="Times New Roman"/>
                <w:b/>
                <w:sz w:val="20"/>
              </w:rPr>
            </w:pPr>
            <w:r>
              <w:rPr>
                <w:rFonts w:ascii="Arial Narrow" w:hAnsi="Arial Narrow" w:cs="Times New Roman"/>
                <w:b/>
                <w:sz w:val="20"/>
              </w:rPr>
              <w:t>EMPA</w:t>
            </w:r>
            <w:r w:rsidRPr="00655EFF">
              <w:rPr>
                <w:rFonts w:ascii="Arial Narrow" w:hAnsi="Arial Narrow" w:cs="Times New Roman"/>
                <w:b/>
                <w:sz w:val="20"/>
              </w:rPr>
              <w:t xml:space="preserve"> 25</w:t>
            </w:r>
            <w:r w:rsidR="00211938">
              <w:rPr>
                <w:rFonts w:ascii="Arial Narrow" w:hAnsi="Arial Narrow" w:cs="Times New Roman"/>
                <w:b/>
                <w:sz w:val="20"/>
              </w:rPr>
              <w:t xml:space="preserve"> </w:t>
            </w:r>
            <w:r w:rsidRPr="00655EFF">
              <w:rPr>
                <w:rFonts w:ascii="Arial Narrow" w:hAnsi="Arial Narrow" w:cs="Times New Roman"/>
                <w:b/>
                <w:sz w:val="20"/>
              </w:rPr>
              <w:t xml:space="preserve">mg </w:t>
            </w:r>
          </w:p>
          <w:p w:rsidR="00A13F04" w:rsidRPr="00655EFF" w:rsidRDefault="00A13F04" w:rsidP="00EF62AB">
            <w:pPr>
              <w:widowControl/>
              <w:ind w:left="-66" w:right="-66"/>
              <w:jc w:val="center"/>
              <w:rPr>
                <w:rFonts w:ascii="Arial Narrow" w:hAnsi="Arial Narrow"/>
                <w:b/>
                <w:sz w:val="20"/>
              </w:rPr>
            </w:pPr>
            <w:r w:rsidRPr="00655EFF">
              <w:rPr>
                <w:rFonts w:ascii="Arial Narrow" w:hAnsi="Arial Narrow" w:cs="Times New Roman"/>
                <w:b/>
                <w:sz w:val="20"/>
              </w:rPr>
              <w:t xml:space="preserve">+ </w:t>
            </w:r>
            <w:r>
              <w:rPr>
                <w:rFonts w:ascii="Arial Narrow" w:hAnsi="Arial Narrow" w:cs="Times New Roman"/>
                <w:b/>
                <w:sz w:val="20"/>
              </w:rPr>
              <w:t>LINA</w:t>
            </w:r>
            <w:r w:rsidRPr="00655EFF">
              <w:rPr>
                <w:rFonts w:ascii="Arial Narrow" w:hAnsi="Arial Narrow" w:cs="Times New Roman"/>
                <w:b/>
                <w:sz w:val="20"/>
              </w:rPr>
              <w:t xml:space="preserve"> 5</w:t>
            </w:r>
            <w:r w:rsidR="00211938">
              <w:rPr>
                <w:rFonts w:ascii="Arial Narrow" w:hAnsi="Arial Narrow" w:cs="Times New Roman"/>
                <w:b/>
                <w:sz w:val="20"/>
              </w:rPr>
              <w:t xml:space="preserve"> </w:t>
            </w:r>
            <w:r w:rsidRPr="00655EFF">
              <w:rPr>
                <w:rFonts w:ascii="Arial Narrow" w:hAnsi="Arial Narrow" w:cs="Times New Roman"/>
                <w:b/>
                <w:sz w:val="20"/>
              </w:rPr>
              <w:t>mg</w:t>
            </w:r>
          </w:p>
        </w:tc>
        <w:tc>
          <w:tcPr>
            <w:tcW w:w="463" w:type="dxa"/>
            <w:vAlign w:val="center"/>
          </w:tcPr>
          <w:p w:rsidR="00A13F04" w:rsidRPr="00655EFF" w:rsidRDefault="00A13F04" w:rsidP="00EF62AB">
            <w:pPr>
              <w:widowControl/>
              <w:ind w:left="-66" w:right="-66"/>
              <w:jc w:val="center"/>
              <w:rPr>
                <w:rFonts w:ascii="Arial Narrow" w:hAnsi="Arial Narrow"/>
                <w:b/>
                <w:sz w:val="20"/>
              </w:rPr>
            </w:pPr>
            <w:r w:rsidRPr="00655EFF">
              <w:rPr>
                <w:rFonts w:ascii="Arial Narrow" w:hAnsi="Arial Narrow"/>
                <w:b/>
                <w:sz w:val="20"/>
              </w:rPr>
              <w:t>n</w:t>
            </w:r>
          </w:p>
        </w:tc>
        <w:tc>
          <w:tcPr>
            <w:tcW w:w="1391" w:type="dxa"/>
            <w:vAlign w:val="center"/>
          </w:tcPr>
          <w:p w:rsidR="00A13F04" w:rsidRPr="00655EFF" w:rsidRDefault="00A13F04" w:rsidP="00EF62AB">
            <w:pPr>
              <w:widowControl/>
              <w:ind w:right="67"/>
              <w:contextualSpacing/>
              <w:jc w:val="center"/>
              <w:rPr>
                <w:rFonts w:ascii="Arial Narrow" w:hAnsi="Arial Narrow" w:cs="Times New Roman"/>
                <w:b/>
                <w:sz w:val="20"/>
              </w:rPr>
            </w:pPr>
            <w:r>
              <w:rPr>
                <w:rFonts w:ascii="Arial Narrow" w:hAnsi="Arial Narrow" w:cs="Times New Roman"/>
                <w:b/>
                <w:sz w:val="20"/>
              </w:rPr>
              <w:t>LINA 5</w:t>
            </w:r>
            <w:r w:rsidR="00211938">
              <w:rPr>
                <w:rFonts w:ascii="Arial Narrow" w:hAnsi="Arial Narrow" w:cs="Times New Roman"/>
                <w:b/>
                <w:sz w:val="20"/>
              </w:rPr>
              <w:t xml:space="preserve"> </w:t>
            </w:r>
            <w:r>
              <w:rPr>
                <w:rFonts w:ascii="Arial Narrow" w:hAnsi="Arial Narrow" w:cs="Times New Roman"/>
                <w:b/>
                <w:sz w:val="20"/>
              </w:rPr>
              <w:t>mg</w:t>
            </w:r>
            <w:r w:rsidR="003D3679">
              <w:rPr>
                <w:rFonts w:ascii="Arial Narrow" w:hAnsi="Arial Narrow" w:cs="Times New Roman"/>
                <w:b/>
                <w:sz w:val="20"/>
              </w:rPr>
              <w:t>*</w:t>
            </w:r>
            <w:r>
              <w:rPr>
                <w:rFonts w:ascii="Arial Narrow" w:hAnsi="Arial Narrow" w:cs="Times New Roman"/>
                <w:b/>
                <w:sz w:val="20"/>
              </w:rPr>
              <w:t xml:space="preserve"> or</w:t>
            </w:r>
          </w:p>
          <w:p w:rsidR="00A13F04" w:rsidRPr="00655EFF" w:rsidRDefault="00A13F04" w:rsidP="00EF62AB">
            <w:pPr>
              <w:widowControl/>
              <w:ind w:left="-66" w:right="-66"/>
              <w:jc w:val="center"/>
              <w:rPr>
                <w:rFonts w:ascii="Arial Narrow" w:hAnsi="Arial Narrow"/>
                <w:b/>
                <w:sz w:val="20"/>
              </w:rPr>
            </w:pPr>
            <w:r>
              <w:rPr>
                <w:rFonts w:ascii="Arial Narrow" w:hAnsi="Arial Narrow" w:cs="Times New Roman"/>
                <w:b/>
                <w:sz w:val="20"/>
              </w:rPr>
              <w:t>SITA</w:t>
            </w:r>
            <w:r w:rsidRPr="00655EFF">
              <w:rPr>
                <w:rFonts w:ascii="Arial Narrow" w:hAnsi="Arial Narrow" w:cs="Times New Roman"/>
                <w:b/>
                <w:sz w:val="20"/>
              </w:rPr>
              <w:t xml:space="preserve"> 100</w:t>
            </w:r>
            <w:r w:rsidR="00211938">
              <w:rPr>
                <w:rFonts w:ascii="Arial Narrow" w:hAnsi="Arial Narrow" w:cs="Times New Roman"/>
                <w:b/>
                <w:sz w:val="20"/>
              </w:rPr>
              <w:t xml:space="preserve"> </w:t>
            </w:r>
            <w:r w:rsidRPr="00655EFF">
              <w:rPr>
                <w:rFonts w:ascii="Arial Narrow" w:hAnsi="Arial Narrow" w:cs="Times New Roman"/>
                <w:b/>
                <w:sz w:val="20"/>
              </w:rPr>
              <w:t>mg</w:t>
            </w:r>
            <w:r w:rsidR="003D3679">
              <w:rPr>
                <w:rFonts w:ascii="Arial Narrow" w:hAnsi="Arial Narrow" w:cs="Times New Roman"/>
                <w:b/>
                <w:sz w:val="20"/>
              </w:rPr>
              <w:t>*</w:t>
            </w:r>
          </w:p>
        </w:tc>
        <w:tc>
          <w:tcPr>
            <w:tcW w:w="461" w:type="dxa"/>
            <w:vAlign w:val="center"/>
          </w:tcPr>
          <w:p w:rsidR="00A13F04" w:rsidRPr="00655EFF" w:rsidRDefault="00A13F04" w:rsidP="00EF62AB">
            <w:pPr>
              <w:widowControl/>
              <w:ind w:left="-66" w:right="-66"/>
              <w:jc w:val="center"/>
              <w:rPr>
                <w:rFonts w:ascii="Arial Narrow" w:hAnsi="Arial Narrow"/>
                <w:b/>
                <w:sz w:val="20"/>
              </w:rPr>
            </w:pPr>
            <w:r w:rsidRPr="00655EFF">
              <w:rPr>
                <w:rFonts w:ascii="Arial Narrow" w:hAnsi="Arial Narrow"/>
                <w:b/>
                <w:sz w:val="20"/>
              </w:rPr>
              <w:t>n</w:t>
            </w:r>
          </w:p>
        </w:tc>
        <w:tc>
          <w:tcPr>
            <w:tcW w:w="1370" w:type="dxa"/>
            <w:vAlign w:val="center"/>
          </w:tcPr>
          <w:p w:rsidR="00A13F04" w:rsidRPr="00655EFF" w:rsidRDefault="00A13F04" w:rsidP="00EF62AB">
            <w:pPr>
              <w:widowControl/>
              <w:ind w:left="-66" w:right="-66"/>
              <w:jc w:val="center"/>
              <w:rPr>
                <w:rFonts w:ascii="Arial Narrow" w:hAnsi="Arial Narrow"/>
                <w:b/>
                <w:sz w:val="20"/>
              </w:rPr>
            </w:pPr>
            <w:r w:rsidRPr="00655EFF">
              <w:rPr>
                <w:rFonts w:ascii="Arial Narrow" w:hAnsi="Arial Narrow" w:cs="Times New Roman"/>
                <w:b/>
                <w:sz w:val="20"/>
              </w:rPr>
              <w:t>Insulin glargine</w:t>
            </w:r>
          </w:p>
        </w:tc>
        <w:tc>
          <w:tcPr>
            <w:tcW w:w="1517" w:type="dxa"/>
            <w:vMerge/>
            <w:vAlign w:val="center"/>
          </w:tcPr>
          <w:p w:rsidR="00A13F04" w:rsidRPr="00655EFF" w:rsidRDefault="00A13F04" w:rsidP="00EF62AB">
            <w:pPr>
              <w:widowControl/>
              <w:ind w:left="-66" w:right="-66"/>
              <w:jc w:val="center"/>
              <w:rPr>
                <w:rFonts w:ascii="Arial Narrow" w:hAnsi="Arial Narrow"/>
                <w:b/>
                <w:sz w:val="20"/>
              </w:rPr>
            </w:pPr>
          </w:p>
        </w:tc>
      </w:tr>
      <w:tr w:rsidR="00A13F04" w:rsidRPr="00655EFF" w:rsidTr="002346FC">
        <w:tc>
          <w:tcPr>
            <w:tcW w:w="1349" w:type="dxa"/>
          </w:tcPr>
          <w:p w:rsidR="00A13F04" w:rsidRPr="00655EFF" w:rsidRDefault="00A13F04" w:rsidP="00EF62AB">
            <w:pPr>
              <w:widowControl/>
              <w:ind w:left="-80" w:right="-66"/>
              <w:rPr>
                <w:rFonts w:ascii="Arial Narrow" w:hAnsi="Arial Narrow"/>
                <w:sz w:val="20"/>
              </w:rPr>
            </w:pPr>
            <w:r w:rsidRPr="00655EFF">
              <w:rPr>
                <w:rFonts w:ascii="Arial Narrow" w:hAnsi="Arial Narrow"/>
                <w:sz w:val="20"/>
              </w:rPr>
              <w:t>1275.1</w:t>
            </w:r>
            <w:r>
              <w:rPr>
                <w:rFonts w:ascii="Arial Narrow" w:hAnsi="Arial Narrow"/>
                <w:sz w:val="20"/>
              </w:rPr>
              <w:t xml:space="preserve"> (24 wks)</w:t>
            </w:r>
          </w:p>
        </w:tc>
        <w:tc>
          <w:tcPr>
            <w:tcW w:w="462" w:type="dxa"/>
            <w:vAlign w:val="center"/>
          </w:tcPr>
          <w:p w:rsidR="00A13F04" w:rsidRPr="00655EFF" w:rsidRDefault="00A13F04" w:rsidP="00EF62AB">
            <w:pPr>
              <w:widowControl/>
              <w:ind w:left="-66" w:right="-66"/>
              <w:jc w:val="center"/>
              <w:rPr>
                <w:rFonts w:ascii="Arial Narrow" w:hAnsi="Arial Narrow"/>
                <w:sz w:val="20"/>
              </w:rPr>
            </w:pPr>
            <w:r w:rsidRPr="00655EFF">
              <w:rPr>
                <w:rFonts w:ascii="Arial Narrow" w:hAnsi="Arial Narrow"/>
                <w:sz w:val="20"/>
              </w:rPr>
              <w:t>134</w:t>
            </w:r>
          </w:p>
        </w:tc>
        <w:tc>
          <w:tcPr>
            <w:tcW w:w="1358" w:type="dxa"/>
            <w:vAlign w:val="center"/>
          </w:tcPr>
          <w:p w:rsidR="00A13F04" w:rsidRPr="00655EFF" w:rsidRDefault="00A13F04" w:rsidP="00EF62AB">
            <w:pPr>
              <w:widowControl/>
              <w:ind w:left="-66" w:right="-66"/>
              <w:jc w:val="center"/>
              <w:rPr>
                <w:rFonts w:ascii="Arial Narrow" w:hAnsi="Arial Narrow"/>
                <w:sz w:val="20"/>
              </w:rPr>
            </w:pPr>
            <w:r w:rsidRPr="00655EFF">
              <w:rPr>
                <w:rFonts w:ascii="Arial Narrow" w:hAnsi="Arial Narrow"/>
                <w:sz w:val="20"/>
              </w:rPr>
              <w:t>-1.19 (0.69)</w:t>
            </w:r>
          </w:p>
        </w:tc>
        <w:tc>
          <w:tcPr>
            <w:tcW w:w="463" w:type="dxa"/>
            <w:vAlign w:val="center"/>
          </w:tcPr>
          <w:p w:rsidR="00A13F04" w:rsidRPr="00655EFF" w:rsidRDefault="00A13F04" w:rsidP="00EF62AB">
            <w:pPr>
              <w:widowControl/>
              <w:ind w:left="-66" w:right="-66"/>
              <w:jc w:val="center"/>
              <w:rPr>
                <w:rFonts w:ascii="Arial Narrow" w:hAnsi="Arial Narrow"/>
                <w:sz w:val="20"/>
              </w:rPr>
            </w:pPr>
            <w:r w:rsidRPr="00655EFF">
              <w:rPr>
                <w:rFonts w:ascii="Arial Narrow" w:hAnsi="Arial Narrow" w:cs="Times New Roman"/>
                <w:sz w:val="20"/>
              </w:rPr>
              <w:t>128</w:t>
            </w:r>
          </w:p>
        </w:tc>
        <w:tc>
          <w:tcPr>
            <w:tcW w:w="1391" w:type="dxa"/>
            <w:vAlign w:val="center"/>
          </w:tcPr>
          <w:p w:rsidR="00A13F04" w:rsidRPr="00655EFF" w:rsidRDefault="00A13F04" w:rsidP="00EF62AB">
            <w:pPr>
              <w:widowControl/>
              <w:ind w:left="-66" w:right="-66"/>
              <w:jc w:val="center"/>
              <w:rPr>
                <w:rFonts w:ascii="Arial Narrow" w:hAnsi="Arial Narrow"/>
                <w:sz w:val="20"/>
              </w:rPr>
            </w:pPr>
            <w:r w:rsidRPr="00655EFF">
              <w:rPr>
                <w:rFonts w:ascii="Arial Narrow" w:hAnsi="Arial Narrow"/>
                <w:sz w:val="20"/>
              </w:rPr>
              <w:t>-0.70 (0.68)</w:t>
            </w:r>
          </w:p>
        </w:tc>
        <w:tc>
          <w:tcPr>
            <w:tcW w:w="461" w:type="dxa"/>
            <w:vAlign w:val="center"/>
          </w:tcPr>
          <w:p w:rsidR="00A13F04" w:rsidRPr="00655EFF" w:rsidRDefault="00A13F04" w:rsidP="00EF62AB">
            <w:pPr>
              <w:widowControl/>
              <w:ind w:left="-66" w:right="-66"/>
              <w:jc w:val="center"/>
              <w:rPr>
                <w:rFonts w:ascii="Arial Narrow" w:hAnsi="Arial Narrow"/>
                <w:sz w:val="20"/>
              </w:rPr>
            </w:pPr>
            <w:r w:rsidRPr="00655EFF">
              <w:rPr>
                <w:rFonts w:ascii="Arial Narrow" w:hAnsi="Arial Narrow"/>
                <w:sz w:val="20"/>
              </w:rPr>
              <w:t>-</w:t>
            </w:r>
          </w:p>
        </w:tc>
        <w:tc>
          <w:tcPr>
            <w:tcW w:w="1370" w:type="dxa"/>
            <w:vAlign w:val="center"/>
          </w:tcPr>
          <w:p w:rsidR="00A13F04" w:rsidRPr="00655EFF" w:rsidRDefault="00A13F04" w:rsidP="00EF62AB">
            <w:pPr>
              <w:widowControl/>
              <w:ind w:left="-66" w:right="-66"/>
              <w:jc w:val="center"/>
              <w:rPr>
                <w:rFonts w:ascii="Arial Narrow" w:hAnsi="Arial Narrow"/>
                <w:sz w:val="20"/>
              </w:rPr>
            </w:pPr>
            <w:r w:rsidRPr="00655EFF">
              <w:rPr>
                <w:rFonts w:ascii="Arial Narrow" w:hAnsi="Arial Narrow"/>
                <w:sz w:val="20"/>
              </w:rPr>
              <w:t>-</w:t>
            </w:r>
          </w:p>
        </w:tc>
        <w:tc>
          <w:tcPr>
            <w:tcW w:w="1517" w:type="dxa"/>
            <w:vAlign w:val="center"/>
          </w:tcPr>
          <w:p w:rsidR="00A13F04" w:rsidRPr="00655EFF" w:rsidRDefault="00A13F04" w:rsidP="00EF62AB">
            <w:pPr>
              <w:widowControl/>
              <w:ind w:left="-66" w:right="-66"/>
              <w:jc w:val="center"/>
              <w:rPr>
                <w:rFonts w:ascii="Arial Narrow" w:hAnsi="Arial Narrow"/>
                <w:sz w:val="20"/>
              </w:rPr>
            </w:pPr>
            <w:r w:rsidRPr="00953BD1">
              <w:rPr>
                <w:rFonts w:ascii="Arial Narrow" w:hAnsi="Arial Narrow"/>
                <w:b/>
                <w:sz w:val="20"/>
              </w:rPr>
              <w:t>-0.</w:t>
            </w:r>
            <w:r>
              <w:rPr>
                <w:rFonts w:ascii="Arial Narrow" w:hAnsi="Arial Narrow"/>
                <w:b/>
                <w:sz w:val="20"/>
              </w:rPr>
              <w:t>49</w:t>
            </w:r>
            <w:r w:rsidRPr="00953BD1">
              <w:rPr>
                <w:rFonts w:ascii="Arial Narrow" w:hAnsi="Arial Narrow"/>
                <w:b/>
                <w:sz w:val="20"/>
              </w:rPr>
              <w:t xml:space="preserve"> (-0.</w:t>
            </w:r>
            <w:r>
              <w:rPr>
                <w:rFonts w:ascii="Arial Narrow" w:hAnsi="Arial Narrow"/>
                <w:b/>
                <w:sz w:val="20"/>
              </w:rPr>
              <w:t>6</w:t>
            </w:r>
            <w:r w:rsidR="00EF176B">
              <w:rPr>
                <w:rFonts w:ascii="Arial Narrow" w:hAnsi="Arial Narrow"/>
                <w:b/>
                <w:sz w:val="20"/>
              </w:rPr>
              <w:t>6</w:t>
            </w:r>
            <w:r w:rsidRPr="00953BD1">
              <w:rPr>
                <w:rFonts w:ascii="Arial Narrow" w:hAnsi="Arial Narrow"/>
                <w:b/>
                <w:sz w:val="20"/>
              </w:rPr>
              <w:t>, -0.</w:t>
            </w:r>
            <w:r>
              <w:rPr>
                <w:rFonts w:ascii="Arial Narrow" w:hAnsi="Arial Narrow"/>
                <w:b/>
                <w:sz w:val="20"/>
              </w:rPr>
              <w:t>3</w:t>
            </w:r>
            <w:r w:rsidR="00EF176B">
              <w:rPr>
                <w:rFonts w:ascii="Arial Narrow" w:hAnsi="Arial Narrow"/>
                <w:b/>
                <w:sz w:val="20"/>
              </w:rPr>
              <w:t>2</w:t>
            </w:r>
            <w:r w:rsidRPr="00953BD1">
              <w:rPr>
                <w:rFonts w:ascii="Arial Narrow" w:hAnsi="Arial Narrow"/>
                <w:b/>
                <w:sz w:val="20"/>
              </w:rPr>
              <w:t>)</w:t>
            </w:r>
          </w:p>
        </w:tc>
      </w:tr>
      <w:tr w:rsidR="00A13F04" w:rsidRPr="00655EFF" w:rsidTr="002346FC">
        <w:tc>
          <w:tcPr>
            <w:tcW w:w="1349" w:type="dxa"/>
          </w:tcPr>
          <w:p w:rsidR="00A13F04" w:rsidRPr="00655EFF" w:rsidRDefault="00A13F04" w:rsidP="00EF62AB">
            <w:pPr>
              <w:widowControl/>
              <w:ind w:left="-80"/>
              <w:rPr>
                <w:rFonts w:ascii="Arial Narrow" w:hAnsi="Arial Narrow"/>
                <w:sz w:val="20"/>
              </w:rPr>
            </w:pPr>
            <w:r w:rsidRPr="00655EFF">
              <w:rPr>
                <w:rFonts w:ascii="Arial Narrow" w:hAnsi="Arial Narrow"/>
                <w:sz w:val="20"/>
              </w:rPr>
              <w:t>EASIE</w:t>
            </w:r>
            <w:r>
              <w:rPr>
                <w:rFonts w:ascii="Arial Narrow" w:hAnsi="Arial Narrow"/>
                <w:sz w:val="20"/>
              </w:rPr>
              <w:t xml:space="preserve"> (24 wks)</w:t>
            </w:r>
          </w:p>
        </w:tc>
        <w:tc>
          <w:tcPr>
            <w:tcW w:w="462" w:type="dxa"/>
            <w:vAlign w:val="center"/>
          </w:tcPr>
          <w:p w:rsidR="00A13F04" w:rsidRPr="00655EFF" w:rsidRDefault="00A13F04" w:rsidP="00EF62AB">
            <w:pPr>
              <w:widowControl/>
              <w:ind w:left="-66" w:right="-66"/>
              <w:jc w:val="center"/>
              <w:rPr>
                <w:rFonts w:ascii="Arial Narrow" w:hAnsi="Arial Narrow"/>
                <w:sz w:val="20"/>
              </w:rPr>
            </w:pPr>
            <w:r w:rsidRPr="00655EFF">
              <w:rPr>
                <w:rFonts w:ascii="Arial Narrow" w:hAnsi="Arial Narrow"/>
                <w:sz w:val="20"/>
              </w:rPr>
              <w:t>-</w:t>
            </w:r>
          </w:p>
        </w:tc>
        <w:tc>
          <w:tcPr>
            <w:tcW w:w="1358" w:type="dxa"/>
            <w:vAlign w:val="center"/>
          </w:tcPr>
          <w:p w:rsidR="00A13F04" w:rsidRPr="00655EFF" w:rsidRDefault="00A13F04" w:rsidP="00EF62AB">
            <w:pPr>
              <w:widowControl/>
              <w:ind w:left="-66" w:right="-66"/>
              <w:jc w:val="center"/>
              <w:rPr>
                <w:rFonts w:ascii="Arial Narrow" w:hAnsi="Arial Narrow"/>
                <w:sz w:val="20"/>
              </w:rPr>
            </w:pPr>
            <w:r w:rsidRPr="00655EFF">
              <w:rPr>
                <w:rFonts w:ascii="Arial Narrow" w:hAnsi="Arial Narrow"/>
                <w:sz w:val="20"/>
              </w:rPr>
              <w:t>-</w:t>
            </w:r>
          </w:p>
        </w:tc>
        <w:tc>
          <w:tcPr>
            <w:tcW w:w="463" w:type="dxa"/>
            <w:vAlign w:val="center"/>
          </w:tcPr>
          <w:p w:rsidR="00A13F04" w:rsidRPr="00655EFF" w:rsidRDefault="00A13F04" w:rsidP="00EF62AB">
            <w:pPr>
              <w:widowControl/>
              <w:ind w:left="-66" w:right="-66"/>
              <w:jc w:val="center"/>
              <w:rPr>
                <w:rFonts w:ascii="Arial Narrow" w:hAnsi="Arial Narrow"/>
                <w:sz w:val="20"/>
              </w:rPr>
            </w:pPr>
            <w:r w:rsidRPr="00655EFF">
              <w:rPr>
                <w:rFonts w:ascii="Arial Narrow" w:hAnsi="Arial Narrow" w:cs="Times New Roman"/>
                <w:sz w:val="20"/>
              </w:rPr>
              <w:t>248</w:t>
            </w:r>
          </w:p>
        </w:tc>
        <w:tc>
          <w:tcPr>
            <w:tcW w:w="1391" w:type="dxa"/>
            <w:vAlign w:val="center"/>
          </w:tcPr>
          <w:p w:rsidR="00A13F04" w:rsidRPr="00655EFF" w:rsidRDefault="00A13F04" w:rsidP="00EF62AB">
            <w:pPr>
              <w:widowControl/>
              <w:ind w:left="-66" w:right="-66"/>
              <w:jc w:val="center"/>
              <w:rPr>
                <w:rFonts w:ascii="Arial Narrow" w:hAnsi="Arial Narrow"/>
                <w:sz w:val="20"/>
              </w:rPr>
            </w:pPr>
            <w:r w:rsidRPr="00655EFF">
              <w:rPr>
                <w:rFonts w:ascii="Arial Narrow" w:hAnsi="Arial Narrow" w:cs="Times New Roman"/>
                <w:sz w:val="20"/>
              </w:rPr>
              <w:t>-1.13 (0.94)</w:t>
            </w:r>
          </w:p>
        </w:tc>
        <w:tc>
          <w:tcPr>
            <w:tcW w:w="461" w:type="dxa"/>
            <w:vAlign w:val="center"/>
          </w:tcPr>
          <w:p w:rsidR="00A13F04" w:rsidRPr="00655EFF" w:rsidRDefault="00A13F04" w:rsidP="00EF62AB">
            <w:pPr>
              <w:widowControl/>
              <w:ind w:left="-66" w:right="-66"/>
              <w:jc w:val="center"/>
              <w:rPr>
                <w:rFonts w:ascii="Arial Narrow" w:hAnsi="Arial Narrow"/>
                <w:sz w:val="20"/>
              </w:rPr>
            </w:pPr>
            <w:r w:rsidRPr="00655EFF">
              <w:rPr>
                <w:rFonts w:ascii="Arial Narrow" w:hAnsi="Arial Narrow" w:cs="Times New Roman"/>
                <w:sz w:val="20"/>
              </w:rPr>
              <w:t>224</w:t>
            </w:r>
          </w:p>
        </w:tc>
        <w:tc>
          <w:tcPr>
            <w:tcW w:w="1370" w:type="dxa"/>
            <w:vAlign w:val="center"/>
          </w:tcPr>
          <w:p w:rsidR="00A13F04" w:rsidRPr="00655EFF" w:rsidRDefault="00A13F04" w:rsidP="00EF62AB">
            <w:pPr>
              <w:widowControl/>
              <w:ind w:left="-66" w:right="-66"/>
              <w:jc w:val="center"/>
              <w:rPr>
                <w:rFonts w:ascii="Arial Narrow" w:hAnsi="Arial Narrow"/>
                <w:sz w:val="20"/>
              </w:rPr>
            </w:pPr>
            <w:r w:rsidRPr="00655EFF">
              <w:rPr>
                <w:rFonts w:ascii="Arial Narrow" w:hAnsi="Arial Narrow" w:cs="Times New Roman"/>
                <w:sz w:val="20"/>
              </w:rPr>
              <w:t>-1.72 (0.90)</w:t>
            </w:r>
          </w:p>
        </w:tc>
        <w:tc>
          <w:tcPr>
            <w:tcW w:w="1517" w:type="dxa"/>
            <w:vAlign w:val="center"/>
          </w:tcPr>
          <w:p w:rsidR="00A13F04" w:rsidRPr="00655EFF" w:rsidRDefault="00A13F04" w:rsidP="00EF62AB">
            <w:pPr>
              <w:widowControl/>
              <w:ind w:left="-66" w:right="-66"/>
              <w:jc w:val="center"/>
              <w:rPr>
                <w:rFonts w:ascii="Arial Narrow" w:hAnsi="Arial Narrow"/>
                <w:sz w:val="20"/>
              </w:rPr>
            </w:pPr>
            <w:r w:rsidRPr="00953BD1">
              <w:rPr>
                <w:rFonts w:ascii="Arial Narrow" w:hAnsi="Arial Narrow" w:cs="Times New Roman"/>
                <w:b/>
                <w:sz w:val="20"/>
              </w:rPr>
              <w:t>-</w:t>
            </w:r>
            <w:r>
              <w:rPr>
                <w:rFonts w:ascii="Arial Narrow" w:hAnsi="Arial Narrow" w:cs="Times New Roman"/>
                <w:b/>
                <w:sz w:val="20"/>
              </w:rPr>
              <w:t>0.59</w:t>
            </w:r>
            <w:r w:rsidRPr="00953BD1">
              <w:rPr>
                <w:rFonts w:ascii="Arial Narrow" w:hAnsi="Arial Narrow" w:cs="Times New Roman"/>
                <w:b/>
                <w:sz w:val="20"/>
              </w:rPr>
              <w:t xml:space="preserve"> (-</w:t>
            </w:r>
            <w:r>
              <w:rPr>
                <w:rFonts w:ascii="Arial Narrow" w:hAnsi="Arial Narrow" w:cs="Times New Roman"/>
                <w:b/>
                <w:sz w:val="20"/>
              </w:rPr>
              <w:t>0.76</w:t>
            </w:r>
            <w:r w:rsidRPr="00953BD1">
              <w:rPr>
                <w:rFonts w:ascii="Arial Narrow" w:hAnsi="Arial Narrow" w:cs="Times New Roman"/>
                <w:b/>
                <w:sz w:val="20"/>
              </w:rPr>
              <w:t>, -0.</w:t>
            </w:r>
            <w:r>
              <w:rPr>
                <w:rFonts w:ascii="Arial Narrow" w:hAnsi="Arial Narrow" w:cs="Times New Roman"/>
                <w:b/>
                <w:sz w:val="20"/>
              </w:rPr>
              <w:t>42</w:t>
            </w:r>
            <w:r w:rsidRPr="00953BD1">
              <w:rPr>
                <w:rFonts w:ascii="Arial Narrow" w:hAnsi="Arial Narrow" w:cs="Times New Roman"/>
                <w:b/>
                <w:sz w:val="20"/>
              </w:rPr>
              <w:t>)</w:t>
            </w:r>
          </w:p>
        </w:tc>
      </w:tr>
      <w:tr w:rsidR="00A13F04" w:rsidRPr="00655EFF" w:rsidTr="002346FC">
        <w:tc>
          <w:tcPr>
            <w:tcW w:w="6854" w:type="dxa"/>
            <w:gridSpan w:val="7"/>
          </w:tcPr>
          <w:p w:rsidR="00A13F04" w:rsidRPr="00655EFF" w:rsidRDefault="00A13F04" w:rsidP="00EF62AB">
            <w:pPr>
              <w:widowControl/>
              <w:tabs>
                <w:tab w:val="right" w:pos="6736"/>
              </w:tabs>
              <w:ind w:left="-80"/>
              <w:contextualSpacing/>
              <w:jc w:val="left"/>
              <w:rPr>
                <w:rFonts w:ascii="Arial Narrow" w:hAnsi="Arial Narrow" w:cs="Times New Roman"/>
                <w:b/>
                <w:sz w:val="20"/>
              </w:rPr>
            </w:pPr>
            <w:r w:rsidRPr="00351381">
              <w:rPr>
                <w:rFonts w:ascii="Arial Narrow" w:hAnsi="Arial Narrow" w:cs="Times New Roman"/>
                <w:sz w:val="20"/>
              </w:rPr>
              <w:t>Indirect comparison (24 wks)</w:t>
            </w:r>
            <w:r>
              <w:rPr>
                <w:rFonts w:ascii="Arial Narrow" w:hAnsi="Arial Narrow" w:cs="Times New Roman"/>
                <w:b/>
                <w:sz w:val="20"/>
              </w:rPr>
              <w:tab/>
            </w:r>
            <w:r>
              <w:rPr>
                <w:rFonts w:ascii="Arial Narrow" w:hAnsi="Arial Narrow" w:cs="Times New Roman"/>
                <w:sz w:val="20"/>
              </w:rPr>
              <w:t>empagliflozin 25</w:t>
            </w:r>
            <w:r w:rsidR="00211938">
              <w:rPr>
                <w:rFonts w:ascii="Arial Narrow" w:hAnsi="Arial Narrow" w:cs="Times New Roman"/>
                <w:sz w:val="20"/>
              </w:rPr>
              <w:t xml:space="preserve"> </w:t>
            </w:r>
            <w:r>
              <w:rPr>
                <w:rFonts w:ascii="Arial Narrow" w:hAnsi="Arial Narrow" w:cs="Times New Roman"/>
                <w:sz w:val="20"/>
              </w:rPr>
              <w:t>mg + linagliptin 5</w:t>
            </w:r>
            <w:r w:rsidR="00211938">
              <w:rPr>
                <w:rFonts w:ascii="Arial Narrow" w:hAnsi="Arial Narrow" w:cs="Times New Roman"/>
                <w:sz w:val="20"/>
              </w:rPr>
              <w:t xml:space="preserve"> </w:t>
            </w:r>
            <w:r>
              <w:rPr>
                <w:rFonts w:ascii="Arial Narrow" w:hAnsi="Arial Narrow" w:cs="Times New Roman"/>
                <w:sz w:val="20"/>
              </w:rPr>
              <w:t>mg vs insulin glargine</w:t>
            </w:r>
          </w:p>
        </w:tc>
        <w:tc>
          <w:tcPr>
            <w:tcW w:w="1517" w:type="dxa"/>
            <w:vAlign w:val="center"/>
          </w:tcPr>
          <w:p w:rsidR="00A13F04" w:rsidRPr="00505399" w:rsidRDefault="00505399" w:rsidP="00EF62AB">
            <w:pPr>
              <w:widowControl/>
              <w:ind w:left="-66" w:right="-66"/>
              <w:jc w:val="center"/>
              <w:rPr>
                <w:rFonts w:ascii="Arial Narrow" w:hAnsi="Arial Narrow"/>
                <w:sz w:val="20"/>
                <w:highlight w:val="black"/>
              </w:rPr>
            </w:pPr>
            <w:r>
              <w:rPr>
                <w:rFonts w:ascii="Arial Narrow" w:hAnsi="Arial Narrow" w:cs="Times New Roman"/>
                <w:noProof/>
                <w:color w:val="000000"/>
                <w:sz w:val="20"/>
                <w:highlight w:val="black"/>
              </w:rPr>
              <w:t>'''''''''' '''''''''''''''' '''''''''''''</w:t>
            </w:r>
          </w:p>
        </w:tc>
      </w:tr>
    </w:tbl>
    <w:p w:rsidR="00A13F04" w:rsidRPr="00655EFF" w:rsidRDefault="00A13F04" w:rsidP="00EF62AB">
      <w:pPr>
        <w:widowControl/>
        <w:tabs>
          <w:tab w:val="left" w:pos="1242"/>
          <w:tab w:val="left" w:pos="1704"/>
          <w:tab w:val="left" w:pos="3369"/>
          <w:tab w:val="left" w:pos="3832"/>
          <w:tab w:val="left" w:pos="5428"/>
          <w:tab w:val="left" w:pos="5889"/>
          <w:tab w:val="left" w:pos="7521"/>
        </w:tabs>
        <w:ind w:left="80" w:right="-66"/>
        <w:jc w:val="left"/>
        <w:rPr>
          <w:rFonts w:ascii="Arial Narrow" w:hAnsi="Arial Narrow"/>
          <w:sz w:val="2"/>
          <w:szCs w:val="2"/>
        </w:rPr>
      </w:pPr>
    </w:p>
    <w:tbl>
      <w:tblPr>
        <w:tblStyle w:val="TableGrid"/>
        <w:tblW w:w="8367" w:type="dxa"/>
        <w:tblInd w:w="817" w:type="dxa"/>
        <w:tblLayout w:type="fixed"/>
        <w:tblLook w:val="04A0" w:firstRow="1" w:lastRow="0" w:firstColumn="1" w:lastColumn="0" w:noHBand="0" w:noVBand="1"/>
        <w:tblCaption w:val="Table 4: Mean change in HbA1c from baseline; indirect comparisons of empagliflozin with linagliptin FDC vs insulin glargine (with metformin; linagliptin/sitagliptin as interchangeable common reference; FAS, LOCF)"/>
        <w:tblDescription w:val="Table 4: Mean change in HbA1c from baseline; indirect comparisons of empagliflozin with linagliptin FDC vs insulin glargine (with metformin; linagliptin/sitagliptin as interchangeable common reference; FAS, LOCF)"/>
      </w:tblPr>
      <w:tblGrid>
        <w:gridCol w:w="1349"/>
        <w:gridCol w:w="462"/>
        <w:gridCol w:w="1372"/>
        <w:gridCol w:w="448"/>
        <w:gridCol w:w="1371"/>
        <w:gridCol w:w="490"/>
        <w:gridCol w:w="1358"/>
        <w:gridCol w:w="1517"/>
      </w:tblGrid>
      <w:tr w:rsidR="00A13F04" w:rsidRPr="00655EFF" w:rsidTr="00D25546">
        <w:trPr>
          <w:tblHeader/>
        </w:trPr>
        <w:tc>
          <w:tcPr>
            <w:tcW w:w="1349" w:type="dxa"/>
          </w:tcPr>
          <w:p w:rsidR="00A13F04" w:rsidRPr="00655EFF" w:rsidRDefault="00A13F04" w:rsidP="00EF62AB">
            <w:pPr>
              <w:widowControl/>
              <w:ind w:left="-80"/>
              <w:rPr>
                <w:rFonts w:ascii="Arial Narrow" w:hAnsi="Arial Narrow"/>
                <w:sz w:val="20"/>
              </w:rPr>
            </w:pPr>
          </w:p>
        </w:tc>
        <w:tc>
          <w:tcPr>
            <w:tcW w:w="462" w:type="dxa"/>
            <w:vAlign w:val="center"/>
          </w:tcPr>
          <w:p w:rsidR="00A13F04" w:rsidRPr="00655EFF" w:rsidRDefault="00A13F04" w:rsidP="00EF62AB">
            <w:pPr>
              <w:widowControl/>
              <w:ind w:left="-66" w:right="-66"/>
              <w:jc w:val="center"/>
              <w:rPr>
                <w:rFonts w:ascii="Arial Narrow" w:hAnsi="Arial Narrow"/>
                <w:b/>
                <w:sz w:val="20"/>
              </w:rPr>
            </w:pPr>
            <w:r w:rsidRPr="00655EFF">
              <w:rPr>
                <w:rFonts w:ascii="Arial Narrow" w:hAnsi="Arial Narrow"/>
                <w:b/>
                <w:sz w:val="20"/>
              </w:rPr>
              <w:t>n</w:t>
            </w:r>
          </w:p>
        </w:tc>
        <w:tc>
          <w:tcPr>
            <w:tcW w:w="1372" w:type="dxa"/>
            <w:vAlign w:val="center"/>
          </w:tcPr>
          <w:p w:rsidR="00A13F04" w:rsidRDefault="00A13F04" w:rsidP="00EF62AB">
            <w:pPr>
              <w:widowControl/>
              <w:ind w:left="-66" w:right="-66"/>
              <w:jc w:val="center"/>
              <w:rPr>
                <w:rFonts w:ascii="Arial Narrow" w:hAnsi="Arial Narrow" w:cs="Times New Roman"/>
                <w:b/>
                <w:sz w:val="20"/>
              </w:rPr>
            </w:pPr>
            <w:r>
              <w:rPr>
                <w:rFonts w:ascii="Arial Narrow" w:hAnsi="Arial Narrow" w:cs="Times New Roman"/>
                <w:b/>
                <w:sz w:val="20"/>
              </w:rPr>
              <w:t>EMPA 10</w:t>
            </w:r>
            <w:r w:rsidR="00211938">
              <w:rPr>
                <w:rFonts w:ascii="Arial Narrow" w:hAnsi="Arial Narrow" w:cs="Times New Roman"/>
                <w:b/>
                <w:sz w:val="20"/>
              </w:rPr>
              <w:t xml:space="preserve"> </w:t>
            </w:r>
            <w:r w:rsidRPr="00655EFF">
              <w:rPr>
                <w:rFonts w:ascii="Arial Narrow" w:hAnsi="Arial Narrow" w:cs="Times New Roman"/>
                <w:b/>
                <w:sz w:val="20"/>
              </w:rPr>
              <w:t xml:space="preserve">mg </w:t>
            </w:r>
          </w:p>
          <w:p w:rsidR="00A13F04" w:rsidRPr="00655EFF" w:rsidRDefault="00A13F04" w:rsidP="00EF62AB">
            <w:pPr>
              <w:widowControl/>
              <w:ind w:left="-66" w:right="-66"/>
              <w:jc w:val="center"/>
              <w:rPr>
                <w:rFonts w:ascii="Arial Narrow" w:hAnsi="Arial Narrow"/>
                <w:b/>
                <w:sz w:val="20"/>
              </w:rPr>
            </w:pPr>
            <w:r w:rsidRPr="00655EFF">
              <w:rPr>
                <w:rFonts w:ascii="Arial Narrow" w:hAnsi="Arial Narrow" w:cs="Times New Roman"/>
                <w:b/>
                <w:sz w:val="20"/>
              </w:rPr>
              <w:t xml:space="preserve">+ </w:t>
            </w:r>
            <w:r>
              <w:rPr>
                <w:rFonts w:ascii="Arial Narrow" w:hAnsi="Arial Narrow" w:cs="Times New Roman"/>
                <w:b/>
                <w:sz w:val="20"/>
              </w:rPr>
              <w:t>LINA</w:t>
            </w:r>
            <w:r w:rsidRPr="00655EFF">
              <w:rPr>
                <w:rFonts w:ascii="Arial Narrow" w:hAnsi="Arial Narrow" w:cs="Times New Roman"/>
                <w:b/>
                <w:sz w:val="20"/>
              </w:rPr>
              <w:t xml:space="preserve"> 5</w:t>
            </w:r>
            <w:r w:rsidR="00211938">
              <w:rPr>
                <w:rFonts w:ascii="Arial Narrow" w:hAnsi="Arial Narrow" w:cs="Times New Roman"/>
                <w:b/>
                <w:sz w:val="20"/>
              </w:rPr>
              <w:t xml:space="preserve"> </w:t>
            </w:r>
            <w:r w:rsidRPr="00655EFF">
              <w:rPr>
                <w:rFonts w:ascii="Arial Narrow" w:hAnsi="Arial Narrow" w:cs="Times New Roman"/>
                <w:b/>
                <w:sz w:val="20"/>
              </w:rPr>
              <w:t>mg</w:t>
            </w:r>
          </w:p>
        </w:tc>
        <w:tc>
          <w:tcPr>
            <w:tcW w:w="448" w:type="dxa"/>
            <w:vAlign w:val="center"/>
          </w:tcPr>
          <w:p w:rsidR="00A13F04" w:rsidRPr="00655EFF" w:rsidRDefault="00A13F04" w:rsidP="00EF62AB">
            <w:pPr>
              <w:widowControl/>
              <w:ind w:left="-66" w:right="-66"/>
              <w:jc w:val="center"/>
              <w:rPr>
                <w:rFonts w:ascii="Arial Narrow" w:hAnsi="Arial Narrow"/>
                <w:b/>
                <w:sz w:val="20"/>
              </w:rPr>
            </w:pPr>
            <w:r w:rsidRPr="00655EFF">
              <w:rPr>
                <w:rFonts w:ascii="Arial Narrow" w:hAnsi="Arial Narrow"/>
                <w:b/>
                <w:sz w:val="20"/>
              </w:rPr>
              <w:t>n</w:t>
            </w:r>
          </w:p>
        </w:tc>
        <w:tc>
          <w:tcPr>
            <w:tcW w:w="1371" w:type="dxa"/>
            <w:vAlign w:val="center"/>
          </w:tcPr>
          <w:p w:rsidR="00A13F04" w:rsidRPr="00655EFF" w:rsidRDefault="00A13F04" w:rsidP="00EF62AB">
            <w:pPr>
              <w:widowControl/>
              <w:ind w:right="67"/>
              <w:contextualSpacing/>
              <w:jc w:val="center"/>
              <w:rPr>
                <w:rFonts w:ascii="Arial Narrow" w:hAnsi="Arial Narrow" w:cs="Times New Roman"/>
                <w:b/>
                <w:sz w:val="20"/>
              </w:rPr>
            </w:pPr>
            <w:r>
              <w:rPr>
                <w:rFonts w:ascii="Arial Narrow" w:hAnsi="Arial Narrow" w:cs="Times New Roman"/>
                <w:b/>
                <w:sz w:val="20"/>
              </w:rPr>
              <w:t>LINA 5</w:t>
            </w:r>
            <w:r w:rsidR="00211938">
              <w:rPr>
                <w:rFonts w:ascii="Arial Narrow" w:hAnsi="Arial Narrow" w:cs="Times New Roman"/>
                <w:b/>
                <w:sz w:val="20"/>
              </w:rPr>
              <w:t xml:space="preserve"> </w:t>
            </w:r>
            <w:r>
              <w:rPr>
                <w:rFonts w:ascii="Arial Narrow" w:hAnsi="Arial Narrow" w:cs="Times New Roman"/>
                <w:b/>
                <w:sz w:val="20"/>
              </w:rPr>
              <w:t>mg</w:t>
            </w:r>
            <w:r w:rsidR="003D3679">
              <w:rPr>
                <w:rFonts w:ascii="Arial Narrow" w:hAnsi="Arial Narrow" w:cs="Times New Roman"/>
                <w:b/>
                <w:sz w:val="20"/>
              </w:rPr>
              <w:t>*</w:t>
            </w:r>
            <w:r>
              <w:rPr>
                <w:rFonts w:ascii="Arial Narrow" w:hAnsi="Arial Narrow" w:cs="Times New Roman"/>
                <w:b/>
                <w:sz w:val="20"/>
              </w:rPr>
              <w:t xml:space="preserve"> or</w:t>
            </w:r>
          </w:p>
          <w:p w:rsidR="00A13F04" w:rsidRPr="00655EFF" w:rsidRDefault="00A13F04" w:rsidP="00EF62AB">
            <w:pPr>
              <w:widowControl/>
              <w:ind w:left="-66" w:right="-66"/>
              <w:jc w:val="center"/>
              <w:rPr>
                <w:rFonts w:ascii="Arial Narrow" w:hAnsi="Arial Narrow"/>
                <w:b/>
                <w:sz w:val="20"/>
              </w:rPr>
            </w:pPr>
            <w:r>
              <w:rPr>
                <w:rFonts w:ascii="Arial Narrow" w:hAnsi="Arial Narrow" w:cs="Times New Roman"/>
                <w:b/>
                <w:sz w:val="20"/>
              </w:rPr>
              <w:t>SITA</w:t>
            </w:r>
            <w:r w:rsidRPr="00655EFF">
              <w:rPr>
                <w:rFonts w:ascii="Arial Narrow" w:hAnsi="Arial Narrow" w:cs="Times New Roman"/>
                <w:b/>
                <w:sz w:val="20"/>
              </w:rPr>
              <w:t xml:space="preserve"> 100</w:t>
            </w:r>
            <w:r w:rsidR="00211938">
              <w:rPr>
                <w:rFonts w:ascii="Arial Narrow" w:hAnsi="Arial Narrow" w:cs="Times New Roman"/>
                <w:b/>
                <w:sz w:val="20"/>
              </w:rPr>
              <w:t xml:space="preserve"> </w:t>
            </w:r>
            <w:r w:rsidRPr="00655EFF">
              <w:rPr>
                <w:rFonts w:ascii="Arial Narrow" w:hAnsi="Arial Narrow" w:cs="Times New Roman"/>
                <w:b/>
                <w:sz w:val="20"/>
              </w:rPr>
              <w:t>mg</w:t>
            </w:r>
            <w:r w:rsidR="003D3679">
              <w:rPr>
                <w:rFonts w:ascii="Arial Narrow" w:hAnsi="Arial Narrow" w:cs="Times New Roman"/>
                <w:b/>
                <w:sz w:val="20"/>
              </w:rPr>
              <w:t>*</w:t>
            </w:r>
          </w:p>
        </w:tc>
        <w:tc>
          <w:tcPr>
            <w:tcW w:w="490" w:type="dxa"/>
            <w:vAlign w:val="center"/>
          </w:tcPr>
          <w:p w:rsidR="00A13F04" w:rsidRPr="00655EFF" w:rsidRDefault="00A13F04" w:rsidP="00EF62AB">
            <w:pPr>
              <w:widowControl/>
              <w:ind w:left="-66" w:right="-66"/>
              <w:jc w:val="center"/>
              <w:rPr>
                <w:rFonts w:ascii="Arial Narrow" w:hAnsi="Arial Narrow"/>
                <w:b/>
                <w:sz w:val="20"/>
              </w:rPr>
            </w:pPr>
            <w:r w:rsidRPr="00655EFF">
              <w:rPr>
                <w:rFonts w:ascii="Arial Narrow" w:hAnsi="Arial Narrow"/>
                <w:b/>
                <w:sz w:val="20"/>
              </w:rPr>
              <w:t>n</w:t>
            </w:r>
          </w:p>
        </w:tc>
        <w:tc>
          <w:tcPr>
            <w:tcW w:w="1358" w:type="dxa"/>
            <w:vAlign w:val="center"/>
          </w:tcPr>
          <w:p w:rsidR="00A13F04" w:rsidRPr="00655EFF" w:rsidRDefault="00A13F04" w:rsidP="00EF62AB">
            <w:pPr>
              <w:widowControl/>
              <w:ind w:left="-66" w:right="-66"/>
              <w:jc w:val="center"/>
              <w:rPr>
                <w:rFonts w:ascii="Arial Narrow" w:hAnsi="Arial Narrow"/>
                <w:b/>
                <w:sz w:val="20"/>
              </w:rPr>
            </w:pPr>
            <w:r w:rsidRPr="00655EFF">
              <w:rPr>
                <w:rFonts w:ascii="Arial Narrow" w:hAnsi="Arial Narrow" w:cs="Times New Roman"/>
                <w:b/>
                <w:sz w:val="20"/>
              </w:rPr>
              <w:t>Insulin glargine</w:t>
            </w:r>
          </w:p>
        </w:tc>
        <w:tc>
          <w:tcPr>
            <w:tcW w:w="1517" w:type="dxa"/>
            <w:vAlign w:val="center"/>
          </w:tcPr>
          <w:p w:rsidR="00A13F04" w:rsidRPr="00655EFF" w:rsidRDefault="00A13F04" w:rsidP="00EF62AB">
            <w:pPr>
              <w:widowControl/>
              <w:ind w:left="-66" w:right="-66"/>
              <w:jc w:val="center"/>
              <w:rPr>
                <w:rFonts w:ascii="Arial Narrow" w:hAnsi="Arial Narrow"/>
                <w:sz w:val="20"/>
              </w:rPr>
            </w:pPr>
          </w:p>
        </w:tc>
      </w:tr>
      <w:tr w:rsidR="00A13F04" w:rsidRPr="00655EFF" w:rsidTr="00D25546">
        <w:tc>
          <w:tcPr>
            <w:tcW w:w="1349" w:type="dxa"/>
          </w:tcPr>
          <w:p w:rsidR="00A13F04" w:rsidRPr="00655EFF" w:rsidRDefault="00A13F04" w:rsidP="00EF62AB">
            <w:pPr>
              <w:widowControl/>
              <w:ind w:left="-80"/>
              <w:rPr>
                <w:rFonts w:ascii="Arial Narrow" w:hAnsi="Arial Narrow"/>
                <w:sz w:val="20"/>
              </w:rPr>
            </w:pPr>
            <w:r w:rsidRPr="00655EFF">
              <w:rPr>
                <w:rFonts w:ascii="Arial Narrow" w:hAnsi="Arial Narrow"/>
                <w:sz w:val="20"/>
              </w:rPr>
              <w:t>1275.1</w:t>
            </w:r>
            <w:r>
              <w:rPr>
                <w:rFonts w:ascii="Arial Narrow" w:hAnsi="Arial Narrow"/>
                <w:sz w:val="20"/>
              </w:rPr>
              <w:t xml:space="preserve"> (24 wks)</w:t>
            </w:r>
          </w:p>
        </w:tc>
        <w:tc>
          <w:tcPr>
            <w:tcW w:w="462" w:type="dxa"/>
            <w:vAlign w:val="bottom"/>
          </w:tcPr>
          <w:p w:rsidR="00A13F04" w:rsidRPr="00655EFF" w:rsidRDefault="00A13F04" w:rsidP="00EF62AB">
            <w:pPr>
              <w:widowControl/>
              <w:ind w:left="-66" w:right="-66"/>
              <w:jc w:val="center"/>
              <w:rPr>
                <w:rFonts w:ascii="Arial Narrow" w:hAnsi="Arial Narrow"/>
                <w:sz w:val="20"/>
              </w:rPr>
            </w:pPr>
            <w:r w:rsidRPr="00655EFF">
              <w:rPr>
                <w:rFonts w:ascii="Arial Narrow" w:hAnsi="Arial Narrow"/>
                <w:sz w:val="20"/>
              </w:rPr>
              <w:t>135</w:t>
            </w:r>
          </w:p>
        </w:tc>
        <w:tc>
          <w:tcPr>
            <w:tcW w:w="1372" w:type="dxa"/>
            <w:vAlign w:val="bottom"/>
          </w:tcPr>
          <w:p w:rsidR="00A13F04" w:rsidRPr="00655EFF" w:rsidRDefault="00A13F04" w:rsidP="00EF62AB">
            <w:pPr>
              <w:widowControl/>
              <w:ind w:left="-66" w:right="-66"/>
              <w:jc w:val="center"/>
              <w:rPr>
                <w:rFonts w:ascii="Arial Narrow" w:hAnsi="Arial Narrow"/>
                <w:sz w:val="20"/>
              </w:rPr>
            </w:pPr>
            <w:r w:rsidRPr="006C7FA0">
              <w:rPr>
                <w:rFonts w:ascii="Arial Narrow" w:hAnsi="Arial Narrow"/>
                <w:sz w:val="20"/>
              </w:rPr>
              <w:t>-</w:t>
            </w:r>
            <w:r>
              <w:rPr>
                <w:rFonts w:ascii="Arial Narrow" w:hAnsi="Arial Narrow"/>
                <w:sz w:val="20"/>
              </w:rPr>
              <w:t>1.08 (0.70</w:t>
            </w:r>
            <w:r w:rsidRPr="006C7FA0">
              <w:rPr>
                <w:rFonts w:ascii="Arial Narrow" w:hAnsi="Arial Narrow"/>
                <w:sz w:val="20"/>
              </w:rPr>
              <w:t>)</w:t>
            </w:r>
          </w:p>
        </w:tc>
        <w:tc>
          <w:tcPr>
            <w:tcW w:w="448" w:type="dxa"/>
            <w:vAlign w:val="bottom"/>
          </w:tcPr>
          <w:p w:rsidR="00A13F04" w:rsidRPr="00655EFF" w:rsidRDefault="00A13F04" w:rsidP="00EF62AB">
            <w:pPr>
              <w:widowControl/>
              <w:ind w:left="-66" w:right="-66"/>
              <w:jc w:val="center"/>
              <w:rPr>
                <w:rFonts w:ascii="Arial Narrow" w:hAnsi="Arial Narrow"/>
                <w:sz w:val="20"/>
              </w:rPr>
            </w:pPr>
            <w:r w:rsidRPr="00655EFF">
              <w:rPr>
                <w:rFonts w:ascii="Arial Narrow" w:hAnsi="Arial Narrow"/>
                <w:sz w:val="20"/>
              </w:rPr>
              <w:t>128</w:t>
            </w:r>
          </w:p>
        </w:tc>
        <w:tc>
          <w:tcPr>
            <w:tcW w:w="1371" w:type="dxa"/>
            <w:vAlign w:val="bottom"/>
          </w:tcPr>
          <w:p w:rsidR="00A13F04" w:rsidRPr="00655EFF" w:rsidRDefault="00A13F04" w:rsidP="00EF62AB">
            <w:pPr>
              <w:widowControl/>
              <w:ind w:left="-66" w:right="-66"/>
              <w:jc w:val="center"/>
              <w:rPr>
                <w:rFonts w:ascii="Arial Narrow" w:hAnsi="Arial Narrow"/>
                <w:sz w:val="20"/>
              </w:rPr>
            </w:pPr>
            <w:r>
              <w:rPr>
                <w:rFonts w:ascii="Arial Narrow" w:hAnsi="Arial Narrow"/>
                <w:sz w:val="20"/>
              </w:rPr>
              <w:t>-0.70</w:t>
            </w:r>
            <w:r w:rsidRPr="006C7FA0">
              <w:rPr>
                <w:rFonts w:ascii="Arial Narrow" w:hAnsi="Arial Narrow"/>
                <w:sz w:val="20"/>
              </w:rPr>
              <w:t xml:space="preserve"> (0.</w:t>
            </w:r>
            <w:r>
              <w:rPr>
                <w:rFonts w:ascii="Arial Narrow" w:hAnsi="Arial Narrow"/>
                <w:sz w:val="20"/>
              </w:rPr>
              <w:t>68</w:t>
            </w:r>
            <w:r w:rsidRPr="006C7FA0">
              <w:rPr>
                <w:rFonts w:ascii="Arial Narrow" w:hAnsi="Arial Narrow"/>
                <w:sz w:val="20"/>
              </w:rPr>
              <w:t>)</w:t>
            </w:r>
          </w:p>
        </w:tc>
        <w:tc>
          <w:tcPr>
            <w:tcW w:w="490" w:type="dxa"/>
            <w:vAlign w:val="center"/>
          </w:tcPr>
          <w:p w:rsidR="00A13F04" w:rsidRPr="00655EFF" w:rsidRDefault="00A13F04" w:rsidP="00EF62AB">
            <w:pPr>
              <w:widowControl/>
              <w:ind w:left="-66" w:right="-66"/>
              <w:jc w:val="center"/>
              <w:rPr>
                <w:rFonts w:ascii="Arial Narrow" w:hAnsi="Arial Narrow"/>
                <w:sz w:val="20"/>
              </w:rPr>
            </w:pPr>
            <w:r w:rsidRPr="00655EFF">
              <w:rPr>
                <w:rFonts w:ascii="Arial Narrow" w:hAnsi="Arial Narrow"/>
                <w:sz w:val="20"/>
              </w:rPr>
              <w:t>-</w:t>
            </w:r>
          </w:p>
        </w:tc>
        <w:tc>
          <w:tcPr>
            <w:tcW w:w="1358" w:type="dxa"/>
            <w:vAlign w:val="center"/>
          </w:tcPr>
          <w:p w:rsidR="00A13F04" w:rsidRPr="00655EFF" w:rsidRDefault="00A13F04" w:rsidP="00EF62AB">
            <w:pPr>
              <w:widowControl/>
              <w:ind w:left="-66" w:right="-66"/>
              <w:jc w:val="center"/>
              <w:rPr>
                <w:rFonts w:ascii="Arial Narrow" w:hAnsi="Arial Narrow"/>
                <w:sz w:val="20"/>
              </w:rPr>
            </w:pPr>
            <w:r w:rsidRPr="00655EFF">
              <w:rPr>
                <w:rFonts w:ascii="Arial Narrow" w:hAnsi="Arial Narrow"/>
                <w:sz w:val="20"/>
              </w:rPr>
              <w:t>-</w:t>
            </w:r>
          </w:p>
        </w:tc>
        <w:tc>
          <w:tcPr>
            <w:tcW w:w="1517" w:type="dxa"/>
            <w:vAlign w:val="center"/>
          </w:tcPr>
          <w:p w:rsidR="00A13F04" w:rsidRPr="00655EFF" w:rsidRDefault="00A13F04" w:rsidP="00EF62AB">
            <w:pPr>
              <w:widowControl/>
              <w:ind w:left="-66" w:right="-66"/>
              <w:jc w:val="center"/>
              <w:rPr>
                <w:rFonts w:ascii="Arial Narrow" w:hAnsi="Arial Narrow"/>
                <w:sz w:val="20"/>
              </w:rPr>
            </w:pPr>
            <w:r w:rsidRPr="00953BD1">
              <w:rPr>
                <w:rFonts w:ascii="Arial Narrow" w:hAnsi="Arial Narrow"/>
                <w:b/>
                <w:sz w:val="20"/>
              </w:rPr>
              <w:t>-0.</w:t>
            </w:r>
            <w:r>
              <w:rPr>
                <w:rFonts w:ascii="Arial Narrow" w:hAnsi="Arial Narrow"/>
                <w:b/>
                <w:sz w:val="20"/>
              </w:rPr>
              <w:t>38</w:t>
            </w:r>
            <w:r w:rsidRPr="00953BD1">
              <w:rPr>
                <w:rFonts w:ascii="Arial Narrow" w:hAnsi="Arial Narrow"/>
                <w:b/>
                <w:sz w:val="20"/>
              </w:rPr>
              <w:t xml:space="preserve"> (-</w:t>
            </w:r>
            <w:r>
              <w:rPr>
                <w:rFonts w:ascii="Arial Narrow" w:hAnsi="Arial Narrow"/>
                <w:b/>
                <w:sz w:val="20"/>
              </w:rPr>
              <w:t>0.55</w:t>
            </w:r>
            <w:r w:rsidRPr="00953BD1">
              <w:rPr>
                <w:rFonts w:ascii="Arial Narrow" w:hAnsi="Arial Narrow"/>
                <w:b/>
                <w:sz w:val="20"/>
              </w:rPr>
              <w:t>, -0.</w:t>
            </w:r>
            <w:r>
              <w:rPr>
                <w:rFonts w:ascii="Arial Narrow" w:hAnsi="Arial Narrow"/>
                <w:b/>
                <w:sz w:val="20"/>
              </w:rPr>
              <w:t>21</w:t>
            </w:r>
            <w:r w:rsidRPr="00953BD1">
              <w:rPr>
                <w:rFonts w:ascii="Arial Narrow" w:hAnsi="Arial Narrow"/>
                <w:b/>
                <w:sz w:val="20"/>
              </w:rPr>
              <w:t>)</w:t>
            </w:r>
          </w:p>
        </w:tc>
      </w:tr>
      <w:tr w:rsidR="00A13F04" w:rsidRPr="00655EFF" w:rsidTr="00D25546">
        <w:tc>
          <w:tcPr>
            <w:tcW w:w="1349" w:type="dxa"/>
          </w:tcPr>
          <w:p w:rsidR="00A13F04" w:rsidRPr="00655EFF" w:rsidRDefault="00A13F04" w:rsidP="00EF62AB">
            <w:pPr>
              <w:widowControl/>
              <w:ind w:left="-80"/>
              <w:rPr>
                <w:rFonts w:ascii="Arial Narrow" w:hAnsi="Arial Narrow"/>
                <w:sz w:val="20"/>
              </w:rPr>
            </w:pPr>
            <w:r w:rsidRPr="00655EFF">
              <w:rPr>
                <w:rFonts w:ascii="Arial Narrow" w:hAnsi="Arial Narrow"/>
                <w:sz w:val="20"/>
              </w:rPr>
              <w:t>EASIE</w:t>
            </w:r>
            <w:r>
              <w:rPr>
                <w:rFonts w:ascii="Arial Narrow" w:hAnsi="Arial Narrow"/>
                <w:sz w:val="20"/>
              </w:rPr>
              <w:t xml:space="preserve"> (24 wks)</w:t>
            </w:r>
          </w:p>
        </w:tc>
        <w:tc>
          <w:tcPr>
            <w:tcW w:w="462" w:type="dxa"/>
            <w:vAlign w:val="center"/>
          </w:tcPr>
          <w:p w:rsidR="00A13F04" w:rsidRPr="00655EFF" w:rsidRDefault="00A13F04" w:rsidP="00EF62AB">
            <w:pPr>
              <w:widowControl/>
              <w:ind w:left="-66" w:right="-66"/>
              <w:jc w:val="center"/>
              <w:rPr>
                <w:rFonts w:ascii="Arial Narrow" w:hAnsi="Arial Narrow"/>
                <w:sz w:val="20"/>
              </w:rPr>
            </w:pPr>
            <w:r w:rsidRPr="00655EFF">
              <w:rPr>
                <w:rFonts w:ascii="Arial Narrow" w:hAnsi="Arial Narrow"/>
                <w:sz w:val="20"/>
              </w:rPr>
              <w:t>-</w:t>
            </w:r>
          </w:p>
        </w:tc>
        <w:tc>
          <w:tcPr>
            <w:tcW w:w="1372" w:type="dxa"/>
            <w:vAlign w:val="center"/>
          </w:tcPr>
          <w:p w:rsidR="00A13F04" w:rsidRPr="00655EFF" w:rsidRDefault="00A13F04" w:rsidP="00EF62AB">
            <w:pPr>
              <w:widowControl/>
              <w:ind w:left="-66" w:right="-66"/>
              <w:jc w:val="center"/>
              <w:rPr>
                <w:rFonts w:ascii="Arial Narrow" w:hAnsi="Arial Narrow"/>
                <w:sz w:val="20"/>
              </w:rPr>
            </w:pPr>
            <w:r w:rsidRPr="00655EFF">
              <w:rPr>
                <w:rFonts w:ascii="Arial Narrow" w:hAnsi="Arial Narrow"/>
                <w:sz w:val="20"/>
              </w:rPr>
              <w:t>-</w:t>
            </w:r>
          </w:p>
        </w:tc>
        <w:tc>
          <w:tcPr>
            <w:tcW w:w="448" w:type="dxa"/>
            <w:vAlign w:val="center"/>
          </w:tcPr>
          <w:p w:rsidR="00A13F04" w:rsidRPr="00655EFF" w:rsidRDefault="00A13F04" w:rsidP="00EF62AB">
            <w:pPr>
              <w:widowControl/>
              <w:ind w:left="-66" w:right="-66"/>
              <w:jc w:val="center"/>
              <w:rPr>
                <w:rFonts w:ascii="Arial Narrow" w:hAnsi="Arial Narrow"/>
                <w:sz w:val="20"/>
              </w:rPr>
            </w:pPr>
            <w:r w:rsidRPr="00655EFF">
              <w:rPr>
                <w:rFonts w:ascii="Arial Narrow" w:hAnsi="Arial Narrow" w:cs="Times New Roman"/>
                <w:sz w:val="20"/>
              </w:rPr>
              <w:t>248</w:t>
            </w:r>
          </w:p>
        </w:tc>
        <w:tc>
          <w:tcPr>
            <w:tcW w:w="1371" w:type="dxa"/>
            <w:vAlign w:val="center"/>
          </w:tcPr>
          <w:p w:rsidR="00A13F04" w:rsidRPr="00655EFF" w:rsidRDefault="00A13F04" w:rsidP="00EF62AB">
            <w:pPr>
              <w:widowControl/>
              <w:ind w:left="-66" w:right="-66"/>
              <w:jc w:val="center"/>
              <w:rPr>
                <w:rFonts w:ascii="Arial Narrow" w:hAnsi="Arial Narrow"/>
                <w:sz w:val="20"/>
              </w:rPr>
            </w:pPr>
            <w:r w:rsidRPr="00655EFF">
              <w:rPr>
                <w:rFonts w:ascii="Arial Narrow" w:hAnsi="Arial Narrow" w:cs="Times New Roman"/>
                <w:sz w:val="20"/>
              </w:rPr>
              <w:t>-1.13 (0.94)</w:t>
            </w:r>
          </w:p>
        </w:tc>
        <w:tc>
          <w:tcPr>
            <w:tcW w:w="490" w:type="dxa"/>
            <w:vAlign w:val="center"/>
          </w:tcPr>
          <w:p w:rsidR="00A13F04" w:rsidRPr="00655EFF" w:rsidRDefault="00A13F04" w:rsidP="00EF62AB">
            <w:pPr>
              <w:widowControl/>
              <w:ind w:left="-66" w:right="-66"/>
              <w:jc w:val="center"/>
              <w:rPr>
                <w:rFonts w:ascii="Arial Narrow" w:hAnsi="Arial Narrow"/>
                <w:sz w:val="20"/>
              </w:rPr>
            </w:pPr>
            <w:r w:rsidRPr="00655EFF">
              <w:rPr>
                <w:rFonts w:ascii="Arial Narrow" w:hAnsi="Arial Narrow" w:cs="Times New Roman"/>
                <w:sz w:val="20"/>
              </w:rPr>
              <w:t>224</w:t>
            </w:r>
          </w:p>
        </w:tc>
        <w:tc>
          <w:tcPr>
            <w:tcW w:w="1358" w:type="dxa"/>
            <w:vAlign w:val="center"/>
          </w:tcPr>
          <w:p w:rsidR="00A13F04" w:rsidRPr="00655EFF" w:rsidRDefault="00A13F04" w:rsidP="00EF62AB">
            <w:pPr>
              <w:widowControl/>
              <w:ind w:left="-66" w:right="-66"/>
              <w:jc w:val="center"/>
              <w:rPr>
                <w:rFonts w:ascii="Arial Narrow" w:hAnsi="Arial Narrow"/>
                <w:sz w:val="20"/>
              </w:rPr>
            </w:pPr>
            <w:r w:rsidRPr="00655EFF">
              <w:rPr>
                <w:rFonts w:ascii="Arial Narrow" w:hAnsi="Arial Narrow" w:cs="Times New Roman"/>
                <w:sz w:val="20"/>
              </w:rPr>
              <w:t>-1.72 (0.90)</w:t>
            </w:r>
          </w:p>
        </w:tc>
        <w:tc>
          <w:tcPr>
            <w:tcW w:w="1517" w:type="dxa"/>
            <w:vAlign w:val="center"/>
          </w:tcPr>
          <w:p w:rsidR="00A13F04" w:rsidRPr="00655EFF" w:rsidRDefault="00A13F04" w:rsidP="00EF62AB">
            <w:pPr>
              <w:widowControl/>
              <w:ind w:left="-66" w:right="-66"/>
              <w:jc w:val="center"/>
              <w:rPr>
                <w:rFonts w:ascii="Arial Narrow" w:hAnsi="Arial Narrow"/>
                <w:sz w:val="20"/>
              </w:rPr>
            </w:pPr>
            <w:r w:rsidRPr="00953BD1">
              <w:rPr>
                <w:rFonts w:ascii="Arial Narrow" w:hAnsi="Arial Narrow" w:cs="Times New Roman"/>
                <w:b/>
                <w:sz w:val="20"/>
              </w:rPr>
              <w:t>-</w:t>
            </w:r>
            <w:r>
              <w:rPr>
                <w:rFonts w:ascii="Arial Narrow" w:hAnsi="Arial Narrow" w:cs="Times New Roman"/>
                <w:b/>
                <w:sz w:val="20"/>
              </w:rPr>
              <w:t>0.59</w:t>
            </w:r>
            <w:r w:rsidRPr="00953BD1">
              <w:rPr>
                <w:rFonts w:ascii="Arial Narrow" w:hAnsi="Arial Narrow" w:cs="Times New Roman"/>
                <w:b/>
                <w:sz w:val="20"/>
              </w:rPr>
              <w:t xml:space="preserve"> (-</w:t>
            </w:r>
            <w:r>
              <w:rPr>
                <w:rFonts w:ascii="Arial Narrow" w:hAnsi="Arial Narrow" w:cs="Times New Roman"/>
                <w:b/>
                <w:sz w:val="20"/>
              </w:rPr>
              <w:t>0.76</w:t>
            </w:r>
            <w:r w:rsidRPr="00953BD1">
              <w:rPr>
                <w:rFonts w:ascii="Arial Narrow" w:hAnsi="Arial Narrow" w:cs="Times New Roman"/>
                <w:b/>
                <w:sz w:val="20"/>
              </w:rPr>
              <w:t>, -0.</w:t>
            </w:r>
            <w:r>
              <w:rPr>
                <w:rFonts w:ascii="Arial Narrow" w:hAnsi="Arial Narrow" w:cs="Times New Roman"/>
                <w:b/>
                <w:sz w:val="20"/>
              </w:rPr>
              <w:t>42</w:t>
            </w:r>
            <w:r w:rsidRPr="00953BD1">
              <w:rPr>
                <w:rFonts w:ascii="Arial Narrow" w:hAnsi="Arial Narrow" w:cs="Times New Roman"/>
                <w:b/>
                <w:sz w:val="20"/>
              </w:rPr>
              <w:t>)</w:t>
            </w:r>
          </w:p>
        </w:tc>
      </w:tr>
      <w:tr w:rsidR="00A13F04" w:rsidRPr="00655EFF" w:rsidTr="00D25546">
        <w:tc>
          <w:tcPr>
            <w:tcW w:w="6850" w:type="dxa"/>
            <w:gridSpan w:val="7"/>
          </w:tcPr>
          <w:p w:rsidR="00A13F04" w:rsidRPr="00655EFF" w:rsidRDefault="00A13F04" w:rsidP="00EF62AB">
            <w:pPr>
              <w:widowControl/>
              <w:tabs>
                <w:tab w:val="right" w:pos="6634"/>
              </w:tabs>
              <w:ind w:left="-80"/>
              <w:contextualSpacing/>
              <w:jc w:val="left"/>
              <w:rPr>
                <w:rFonts w:ascii="Arial Narrow" w:hAnsi="Arial Narrow" w:cs="Times New Roman"/>
                <w:b/>
                <w:sz w:val="20"/>
              </w:rPr>
            </w:pPr>
            <w:r w:rsidRPr="00351381">
              <w:rPr>
                <w:rFonts w:ascii="Arial Narrow" w:hAnsi="Arial Narrow" w:cs="Times New Roman"/>
                <w:sz w:val="20"/>
              </w:rPr>
              <w:t>Indirect comparison (24 wks)</w:t>
            </w:r>
            <w:r>
              <w:rPr>
                <w:rFonts w:ascii="Arial Narrow" w:hAnsi="Arial Narrow" w:cs="Times New Roman"/>
                <w:b/>
                <w:sz w:val="20"/>
              </w:rPr>
              <w:tab/>
            </w:r>
            <w:r>
              <w:rPr>
                <w:rFonts w:ascii="Arial Narrow" w:hAnsi="Arial Narrow" w:cs="Times New Roman"/>
                <w:sz w:val="20"/>
              </w:rPr>
              <w:t>empagliflozin 10</w:t>
            </w:r>
            <w:r w:rsidR="00211938">
              <w:rPr>
                <w:rFonts w:ascii="Arial Narrow" w:hAnsi="Arial Narrow" w:cs="Times New Roman"/>
                <w:sz w:val="20"/>
              </w:rPr>
              <w:t xml:space="preserve"> </w:t>
            </w:r>
            <w:r>
              <w:rPr>
                <w:rFonts w:ascii="Arial Narrow" w:hAnsi="Arial Narrow" w:cs="Times New Roman"/>
                <w:sz w:val="20"/>
              </w:rPr>
              <w:t>mg + linagliptin 5</w:t>
            </w:r>
            <w:r w:rsidR="00211938">
              <w:rPr>
                <w:rFonts w:ascii="Arial Narrow" w:hAnsi="Arial Narrow" w:cs="Times New Roman"/>
                <w:sz w:val="20"/>
              </w:rPr>
              <w:t xml:space="preserve"> </w:t>
            </w:r>
            <w:r>
              <w:rPr>
                <w:rFonts w:ascii="Arial Narrow" w:hAnsi="Arial Narrow" w:cs="Times New Roman"/>
                <w:sz w:val="20"/>
              </w:rPr>
              <w:t>mg vs insulin glargine</w:t>
            </w:r>
          </w:p>
        </w:tc>
        <w:tc>
          <w:tcPr>
            <w:tcW w:w="1517" w:type="dxa"/>
            <w:vAlign w:val="center"/>
          </w:tcPr>
          <w:p w:rsidR="00A13F04" w:rsidRPr="00505399" w:rsidRDefault="00505399" w:rsidP="00EF62AB">
            <w:pPr>
              <w:widowControl/>
              <w:ind w:left="-66" w:right="-66"/>
              <w:jc w:val="center"/>
              <w:rPr>
                <w:rFonts w:ascii="Arial Narrow" w:hAnsi="Arial Narrow"/>
                <w:sz w:val="20"/>
                <w:highlight w:val="black"/>
              </w:rPr>
            </w:pPr>
            <w:r>
              <w:rPr>
                <w:rFonts w:ascii="Arial Narrow" w:hAnsi="Arial Narrow" w:cs="Times New Roman"/>
                <w:noProof/>
                <w:color w:val="000000"/>
                <w:sz w:val="20"/>
                <w:highlight w:val="black"/>
              </w:rPr>
              <w:t>'''''''''' '''''''''''''''' ''''''''''''''</w:t>
            </w:r>
          </w:p>
        </w:tc>
      </w:tr>
    </w:tbl>
    <w:p w:rsidR="00A13F04" w:rsidRPr="00254DBC" w:rsidRDefault="00A13F04" w:rsidP="00EF62AB">
      <w:pPr>
        <w:pStyle w:val="TableFooter"/>
        <w:widowControl/>
        <w:ind w:left="709"/>
        <w:rPr>
          <w:szCs w:val="16"/>
        </w:rPr>
      </w:pPr>
      <w:r w:rsidRPr="00000239">
        <w:rPr>
          <w:szCs w:val="16"/>
        </w:rPr>
        <w:t xml:space="preserve">Source: </w:t>
      </w:r>
      <w:r>
        <w:rPr>
          <w:szCs w:val="16"/>
        </w:rPr>
        <w:t>Table B.95, p.275 of the submission. (</w:t>
      </w:r>
      <w:r w:rsidR="00327E4C">
        <w:rPr>
          <w:szCs w:val="16"/>
        </w:rPr>
        <w:t>S</w:t>
      </w:r>
      <w:r w:rsidRPr="00254DBC">
        <w:rPr>
          <w:szCs w:val="16"/>
        </w:rPr>
        <w:t>tatistically significant results in bo</w:t>
      </w:r>
      <w:r>
        <w:rPr>
          <w:szCs w:val="16"/>
        </w:rPr>
        <w:t>ld</w:t>
      </w:r>
      <w:r w:rsidR="00FF05C8">
        <w:rPr>
          <w:szCs w:val="16"/>
        </w:rPr>
        <w:t>).</w:t>
      </w:r>
    </w:p>
    <w:p w:rsidR="00A13F04" w:rsidRDefault="00A13F04" w:rsidP="00EF62AB">
      <w:pPr>
        <w:pStyle w:val="TableFooter"/>
        <w:widowControl/>
        <w:ind w:left="709"/>
        <w:rPr>
          <w:szCs w:val="16"/>
        </w:rPr>
      </w:pPr>
      <w:r>
        <w:rPr>
          <w:szCs w:val="16"/>
        </w:rPr>
        <w:t>Abbreviations:  CI, c</w:t>
      </w:r>
      <w:r w:rsidRPr="00000239">
        <w:rPr>
          <w:szCs w:val="16"/>
        </w:rPr>
        <w:t>onfi</w:t>
      </w:r>
      <w:r>
        <w:rPr>
          <w:szCs w:val="16"/>
        </w:rPr>
        <w:t>dence interval; EMPA, empagliflozin; FAS, f</w:t>
      </w:r>
      <w:r w:rsidRPr="00000239">
        <w:rPr>
          <w:szCs w:val="16"/>
        </w:rPr>
        <w:t xml:space="preserve">ull analysis set; </w:t>
      </w:r>
      <w:r w:rsidR="001511F0">
        <w:rPr>
          <w:szCs w:val="16"/>
        </w:rPr>
        <w:t xml:space="preserve">FAS, full analysis set; </w:t>
      </w:r>
      <w:r>
        <w:rPr>
          <w:szCs w:val="16"/>
        </w:rPr>
        <w:t xml:space="preserve">FDC, fixed dose combination; </w:t>
      </w:r>
      <w:r w:rsidRPr="00000239">
        <w:rPr>
          <w:szCs w:val="16"/>
        </w:rPr>
        <w:t xml:space="preserve">HbA1c, Glycosylated haemoglobin; </w:t>
      </w:r>
      <w:r>
        <w:rPr>
          <w:szCs w:val="16"/>
        </w:rPr>
        <w:t xml:space="preserve">LINA, linagliptin; </w:t>
      </w:r>
      <w:r w:rsidR="001511F0">
        <w:rPr>
          <w:szCs w:val="16"/>
        </w:rPr>
        <w:t xml:space="preserve">LOCF, last observation carried forward; </w:t>
      </w:r>
      <w:r>
        <w:rPr>
          <w:szCs w:val="16"/>
        </w:rPr>
        <w:t>SD, standard deviation; SITA, sitagliptin; wks, weeks.</w:t>
      </w:r>
    </w:p>
    <w:p w:rsidR="003D3679" w:rsidRPr="005668F8" w:rsidRDefault="003D3679" w:rsidP="00EF62AB">
      <w:pPr>
        <w:pStyle w:val="TableFooter"/>
        <w:widowControl/>
        <w:ind w:left="709"/>
        <w:rPr>
          <w:szCs w:val="16"/>
        </w:rPr>
      </w:pPr>
      <w:r>
        <w:rPr>
          <w:szCs w:val="16"/>
        </w:rPr>
        <w:t xml:space="preserve">* Common reference linagliptin 5 mg in Trial 1275.1 and sitagliptin 100 </w:t>
      </w:r>
      <w:r w:rsidR="00472650">
        <w:rPr>
          <w:szCs w:val="16"/>
        </w:rPr>
        <w:t>mg in the EASIE trial</w:t>
      </w:r>
      <w:r>
        <w:rPr>
          <w:szCs w:val="16"/>
        </w:rPr>
        <w:t>.</w:t>
      </w:r>
    </w:p>
    <w:p w:rsidR="00A13F04" w:rsidRDefault="00A13F04" w:rsidP="00EF62AB">
      <w:pPr>
        <w:widowControl/>
      </w:pPr>
    </w:p>
    <w:p w:rsidR="00747D7D" w:rsidRPr="00C15E26" w:rsidRDefault="00EB6052" w:rsidP="008F5BEE">
      <w:pPr>
        <w:pStyle w:val="ListParagraph"/>
        <w:widowControl/>
        <w:numPr>
          <w:ilvl w:val="1"/>
          <w:numId w:val="1"/>
        </w:numPr>
        <w:rPr>
          <w:szCs w:val="22"/>
        </w:rPr>
      </w:pPr>
      <w:r w:rsidRPr="00C15E26">
        <w:rPr>
          <w:szCs w:val="22"/>
        </w:rPr>
        <w:t>In the indirect comparison of change in HbA1c over 24 weeks, empagliflozin 25</w:t>
      </w:r>
      <w:r w:rsidR="00211938" w:rsidRPr="00C15E26">
        <w:rPr>
          <w:szCs w:val="22"/>
        </w:rPr>
        <w:t xml:space="preserve"> </w:t>
      </w:r>
      <w:r w:rsidRPr="00C15E26">
        <w:rPr>
          <w:szCs w:val="22"/>
        </w:rPr>
        <w:t>mg or 10</w:t>
      </w:r>
      <w:r w:rsidR="00211938" w:rsidRPr="00C15E26">
        <w:rPr>
          <w:szCs w:val="22"/>
        </w:rPr>
        <w:t xml:space="preserve"> </w:t>
      </w:r>
      <w:r w:rsidRPr="00C15E26">
        <w:rPr>
          <w:szCs w:val="22"/>
        </w:rPr>
        <w:t>mg with linagliptin 5</w:t>
      </w:r>
      <w:r w:rsidR="00211938" w:rsidRPr="00C15E26">
        <w:rPr>
          <w:szCs w:val="22"/>
        </w:rPr>
        <w:t xml:space="preserve"> </w:t>
      </w:r>
      <w:r w:rsidRPr="00C15E26">
        <w:rPr>
          <w:szCs w:val="22"/>
        </w:rPr>
        <w:t xml:space="preserve">mg FDCs showed no statistically significant difference compared to insulin glargine, in combination with metformin. </w:t>
      </w:r>
    </w:p>
    <w:p w:rsidR="00747D7D" w:rsidRPr="00C15E26" w:rsidRDefault="00747D7D" w:rsidP="00EF62AB">
      <w:pPr>
        <w:pStyle w:val="ListParagraph"/>
        <w:widowControl/>
        <w:rPr>
          <w:szCs w:val="22"/>
        </w:rPr>
      </w:pPr>
    </w:p>
    <w:p w:rsidR="00EB6052" w:rsidRPr="00C15E26" w:rsidRDefault="00EB6052" w:rsidP="008F5BEE">
      <w:pPr>
        <w:pStyle w:val="ListParagraph"/>
        <w:widowControl/>
        <w:numPr>
          <w:ilvl w:val="1"/>
          <w:numId w:val="1"/>
        </w:numPr>
        <w:rPr>
          <w:szCs w:val="22"/>
        </w:rPr>
      </w:pPr>
      <w:r w:rsidRPr="00C15E26">
        <w:rPr>
          <w:szCs w:val="22"/>
        </w:rPr>
        <w:t>Empagliflozin 25</w:t>
      </w:r>
      <w:r w:rsidR="00211938" w:rsidRPr="00C15E26">
        <w:rPr>
          <w:szCs w:val="22"/>
        </w:rPr>
        <w:t xml:space="preserve"> </w:t>
      </w:r>
      <w:r w:rsidRPr="00C15E26">
        <w:rPr>
          <w:szCs w:val="22"/>
        </w:rPr>
        <w:t>mg with linagliptin 5</w:t>
      </w:r>
      <w:r w:rsidR="00211938" w:rsidRPr="00C15E26">
        <w:rPr>
          <w:szCs w:val="22"/>
        </w:rPr>
        <w:t xml:space="preserve"> </w:t>
      </w:r>
      <w:r w:rsidRPr="00C15E26">
        <w:rPr>
          <w:szCs w:val="22"/>
        </w:rPr>
        <w:t xml:space="preserve">mg FDC demonstrated noninferiority with insulin glargine in combination with metformin (upper 95% CI of </w:t>
      </w:r>
      <w:r w:rsidR="00505399">
        <w:rPr>
          <w:noProof/>
          <w:color w:val="000000"/>
          <w:szCs w:val="22"/>
          <w:highlight w:val="black"/>
        </w:rPr>
        <w:t>''''''''''</w:t>
      </w:r>
      <w:r w:rsidRPr="00C15E26">
        <w:rPr>
          <w:szCs w:val="22"/>
        </w:rPr>
        <w:t>% less than the MCID of 0.40%). However, empagliflozin 10</w:t>
      </w:r>
      <w:r w:rsidR="008D06A9" w:rsidRPr="00C15E26">
        <w:rPr>
          <w:szCs w:val="22"/>
        </w:rPr>
        <w:t xml:space="preserve"> </w:t>
      </w:r>
      <w:r w:rsidRPr="00C15E26">
        <w:rPr>
          <w:szCs w:val="22"/>
        </w:rPr>
        <w:t>mg with linagliptin 5</w:t>
      </w:r>
      <w:r w:rsidR="008D06A9" w:rsidRPr="00C15E26">
        <w:rPr>
          <w:szCs w:val="22"/>
        </w:rPr>
        <w:t xml:space="preserve"> </w:t>
      </w:r>
      <w:r w:rsidRPr="00C15E26">
        <w:rPr>
          <w:szCs w:val="22"/>
        </w:rPr>
        <w:t xml:space="preserve">mg FDC did not demonstrate </w:t>
      </w:r>
      <w:r w:rsidR="00354833" w:rsidRPr="00C15E26">
        <w:rPr>
          <w:szCs w:val="22"/>
        </w:rPr>
        <w:t>non</w:t>
      </w:r>
      <w:r w:rsidRPr="00C15E26">
        <w:rPr>
          <w:szCs w:val="22"/>
        </w:rPr>
        <w:t xml:space="preserve">inferiority (upper 95% CI of the indirect comparison </w:t>
      </w:r>
      <w:r w:rsidR="00505399">
        <w:rPr>
          <w:noProof/>
          <w:color w:val="000000"/>
          <w:szCs w:val="22"/>
          <w:highlight w:val="black"/>
        </w:rPr>
        <w:t>'''''''''''</w:t>
      </w:r>
      <w:r w:rsidRPr="00C15E26">
        <w:rPr>
          <w:szCs w:val="22"/>
        </w:rPr>
        <w:t>%, exceeded the MCID of 0.40%).</w:t>
      </w:r>
      <w:r w:rsidR="003D3679" w:rsidRPr="00C15E26">
        <w:rPr>
          <w:szCs w:val="22"/>
        </w:rPr>
        <w:t xml:space="preserve"> The MCID of 0.40% HbA1c has previously been accepted by the PBAC (</w:t>
      </w:r>
      <w:r w:rsidR="005D3398" w:rsidRPr="00C15E26">
        <w:rPr>
          <w:szCs w:val="22"/>
        </w:rPr>
        <w:t xml:space="preserve">e.g. </w:t>
      </w:r>
      <w:r w:rsidR="003D3679" w:rsidRPr="00C15E26">
        <w:rPr>
          <w:szCs w:val="22"/>
        </w:rPr>
        <w:t>Dapagliflozin PSD, March 2015; Linagliptin PSD March 2016).</w:t>
      </w:r>
    </w:p>
    <w:p w:rsidR="00EB6052" w:rsidRPr="00C15E26" w:rsidRDefault="00EB6052" w:rsidP="00EF62AB">
      <w:pPr>
        <w:pStyle w:val="ListParagraph"/>
        <w:widowControl/>
        <w:rPr>
          <w:szCs w:val="22"/>
        </w:rPr>
      </w:pPr>
    </w:p>
    <w:p w:rsidR="00960534" w:rsidRPr="00E14A01" w:rsidRDefault="00EB6052" w:rsidP="00960534">
      <w:pPr>
        <w:pStyle w:val="ListParagraph"/>
        <w:widowControl/>
        <w:numPr>
          <w:ilvl w:val="1"/>
          <w:numId w:val="1"/>
        </w:numPr>
        <w:rPr>
          <w:szCs w:val="22"/>
        </w:rPr>
      </w:pPr>
      <w:r w:rsidRPr="00E14A01">
        <w:rPr>
          <w:szCs w:val="22"/>
        </w:rPr>
        <w:t xml:space="preserve">Large differences in the common </w:t>
      </w:r>
      <w:r w:rsidR="003D3679" w:rsidRPr="00E14A01">
        <w:rPr>
          <w:szCs w:val="22"/>
        </w:rPr>
        <w:t xml:space="preserve">reference </w:t>
      </w:r>
      <w:r w:rsidRPr="00E14A01">
        <w:rPr>
          <w:szCs w:val="22"/>
        </w:rPr>
        <w:t xml:space="preserve">treatment effects (&gt;0.40%) suggest substantial differences between trial populations or efficacy of the common </w:t>
      </w:r>
      <w:r w:rsidR="00076688" w:rsidRPr="00E14A01">
        <w:rPr>
          <w:szCs w:val="22"/>
        </w:rPr>
        <w:t xml:space="preserve">reference arms </w:t>
      </w:r>
      <w:r w:rsidRPr="00E14A01">
        <w:rPr>
          <w:szCs w:val="22"/>
        </w:rPr>
        <w:t>(i.e. linagliptin 5</w:t>
      </w:r>
      <w:r w:rsidR="002D59D5" w:rsidRPr="00E14A01">
        <w:rPr>
          <w:szCs w:val="22"/>
        </w:rPr>
        <w:t xml:space="preserve"> </w:t>
      </w:r>
      <w:r w:rsidRPr="00E14A01">
        <w:rPr>
          <w:szCs w:val="22"/>
        </w:rPr>
        <w:t>mg and sitagliptin 100</w:t>
      </w:r>
      <w:r w:rsidR="002D59D5" w:rsidRPr="00E14A01">
        <w:rPr>
          <w:szCs w:val="22"/>
        </w:rPr>
        <w:t xml:space="preserve"> </w:t>
      </w:r>
      <w:r w:rsidRPr="00E14A01">
        <w:rPr>
          <w:szCs w:val="22"/>
        </w:rPr>
        <w:t>mg). The indirect comparison may have underestimated the comparative efficacy of insulin glargine.</w:t>
      </w:r>
    </w:p>
    <w:p w:rsidR="0038471A" w:rsidRDefault="0038471A">
      <w:pPr>
        <w:widowControl/>
        <w:jc w:val="left"/>
        <w:rPr>
          <w:szCs w:val="22"/>
        </w:rPr>
      </w:pPr>
      <w:r>
        <w:rPr>
          <w:szCs w:val="22"/>
        </w:rPr>
        <w:br w:type="page"/>
      </w:r>
    </w:p>
    <w:p w:rsidR="00A13F04" w:rsidRDefault="00A13F04" w:rsidP="00EF62AB">
      <w:pPr>
        <w:widowControl/>
        <w:rPr>
          <w:szCs w:val="22"/>
        </w:rPr>
      </w:pPr>
    </w:p>
    <w:p w:rsidR="002346FC" w:rsidRPr="00974DDD" w:rsidRDefault="00CF31D0" w:rsidP="008F5BEE">
      <w:pPr>
        <w:pStyle w:val="ListParagraph"/>
        <w:widowControl/>
        <w:numPr>
          <w:ilvl w:val="1"/>
          <w:numId w:val="1"/>
        </w:numPr>
        <w:rPr>
          <w:szCs w:val="22"/>
          <w:u w:val="single"/>
        </w:rPr>
      </w:pPr>
      <w:r w:rsidRPr="00974DDD">
        <w:rPr>
          <w:u w:val="single"/>
        </w:rPr>
        <w:t>3</w:t>
      </w:r>
      <w:r w:rsidR="002346FC" w:rsidRPr="00974DDD">
        <w:rPr>
          <w:u w:val="single"/>
        </w:rPr>
        <w:t xml:space="preserve">. </w:t>
      </w:r>
      <w:r w:rsidRPr="00974DDD">
        <w:rPr>
          <w:u w:val="single"/>
        </w:rPr>
        <w:t>Empagliflozin with linagliptin FDC vs exenatide: both in combination with metformin</w:t>
      </w:r>
    </w:p>
    <w:p w:rsidR="002346FC" w:rsidRDefault="002346FC" w:rsidP="00EF62AB">
      <w:pPr>
        <w:widowControl/>
        <w:jc w:val="left"/>
        <w:rPr>
          <w:szCs w:val="22"/>
        </w:rPr>
      </w:pPr>
    </w:p>
    <w:p w:rsidR="002346FC" w:rsidRDefault="00CF31D0" w:rsidP="00EF62AB">
      <w:pPr>
        <w:keepNext/>
        <w:keepLines/>
        <w:widowControl/>
        <w:ind w:left="709"/>
        <w:rPr>
          <w:rFonts w:ascii="Arial Narrow" w:hAnsi="Arial Narrow"/>
          <w:b/>
          <w:sz w:val="20"/>
        </w:rPr>
      </w:pPr>
      <w:r>
        <w:rPr>
          <w:rStyle w:val="CommentReference"/>
        </w:rPr>
        <w:t xml:space="preserve">Table </w:t>
      </w:r>
      <w:r w:rsidR="00EF62AB">
        <w:rPr>
          <w:rStyle w:val="CommentReference"/>
        </w:rPr>
        <w:t>6</w:t>
      </w:r>
      <w:r w:rsidR="002346FC">
        <w:rPr>
          <w:rStyle w:val="CommentReference"/>
        </w:rPr>
        <w:t>:</w:t>
      </w:r>
      <w:r w:rsidR="002346FC" w:rsidRPr="00F851CE">
        <w:rPr>
          <w:rStyle w:val="CommentReference"/>
        </w:rPr>
        <w:t xml:space="preserve"> </w:t>
      </w:r>
      <w:r w:rsidR="002346FC">
        <w:rPr>
          <w:rStyle w:val="CommentReference"/>
        </w:rPr>
        <w:t>Mean</w:t>
      </w:r>
      <w:r w:rsidR="002346FC" w:rsidRPr="00F17581">
        <w:rPr>
          <w:rStyle w:val="CommentReference"/>
        </w:rPr>
        <w:t xml:space="preserve"> change in HbA1c from baseline</w:t>
      </w:r>
      <w:r w:rsidR="002346FC">
        <w:rPr>
          <w:rFonts w:ascii="Arial Narrow" w:hAnsi="Arial Narrow"/>
          <w:b/>
          <w:sz w:val="20"/>
        </w:rPr>
        <w:t xml:space="preserve">; </w:t>
      </w:r>
      <w:r w:rsidR="002346FC">
        <w:rPr>
          <w:rStyle w:val="CommentReference"/>
        </w:rPr>
        <w:t xml:space="preserve">indirect comparisons of </w:t>
      </w:r>
      <w:r w:rsidR="002346FC">
        <w:rPr>
          <w:rFonts w:ascii="Arial Narrow" w:hAnsi="Arial Narrow"/>
          <w:b/>
          <w:sz w:val="20"/>
        </w:rPr>
        <w:t>empagliflozin with linagliptin FDC</w:t>
      </w:r>
      <w:r w:rsidR="002346FC" w:rsidRPr="00332662">
        <w:rPr>
          <w:rFonts w:ascii="Arial Narrow" w:hAnsi="Arial Narrow"/>
          <w:b/>
          <w:sz w:val="20"/>
        </w:rPr>
        <w:t xml:space="preserve"> vs </w:t>
      </w:r>
      <w:r w:rsidR="002346FC">
        <w:rPr>
          <w:rFonts w:ascii="Arial Narrow" w:hAnsi="Arial Narrow"/>
          <w:b/>
          <w:sz w:val="20"/>
        </w:rPr>
        <w:t>exenatide 2</w:t>
      </w:r>
      <w:r w:rsidR="002D59D5">
        <w:rPr>
          <w:rFonts w:ascii="Arial Narrow" w:hAnsi="Arial Narrow"/>
          <w:b/>
          <w:sz w:val="20"/>
        </w:rPr>
        <w:t xml:space="preserve"> </w:t>
      </w:r>
      <w:r w:rsidR="002346FC">
        <w:rPr>
          <w:rFonts w:ascii="Arial Narrow" w:hAnsi="Arial Narrow"/>
          <w:b/>
          <w:sz w:val="20"/>
        </w:rPr>
        <w:t>mg weekly (with</w:t>
      </w:r>
      <w:r w:rsidR="002346FC" w:rsidRPr="002235C9">
        <w:rPr>
          <w:rFonts w:ascii="Arial Narrow" w:hAnsi="Arial Narrow"/>
          <w:b/>
          <w:sz w:val="20"/>
        </w:rPr>
        <w:t xml:space="preserve"> metformin</w:t>
      </w:r>
      <w:r w:rsidR="002346FC">
        <w:rPr>
          <w:rFonts w:ascii="Arial Narrow" w:hAnsi="Arial Narrow"/>
          <w:b/>
          <w:sz w:val="20"/>
        </w:rPr>
        <w:t xml:space="preserve">; linagliptin/sitagliptin as interchangeable common </w:t>
      </w:r>
      <w:r w:rsidR="00076688">
        <w:rPr>
          <w:rFonts w:ascii="Arial Narrow" w:hAnsi="Arial Narrow"/>
          <w:b/>
          <w:sz w:val="20"/>
        </w:rPr>
        <w:t>reference</w:t>
      </w:r>
      <w:r w:rsidR="001511F0">
        <w:rPr>
          <w:rFonts w:ascii="Arial Narrow" w:hAnsi="Arial Narrow"/>
          <w:b/>
          <w:sz w:val="20"/>
        </w:rPr>
        <w:t>; FAS, OC</w:t>
      </w:r>
      <w:r w:rsidR="002346FC">
        <w:rPr>
          <w:rFonts w:ascii="Arial Narrow" w:hAnsi="Arial Narrow"/>
          <w:b/>
          <w:sz w:val="20"/>
        </w:rPr>
        <w:t>)</w:t>
      </w:r>
    </w:p>
    <w:tbl>
      <w:tblPr>
        <w:tblStyle w:val="TableGrid"/>
        <w:tblW w:w="8367" w:type="dxa"/>
        <w:tblInd w:w="817" w:type="dxa"/>
        <w:tblLayout w:type="fixed"/>
        <w:tblLook w:val="04A0" w:firstRow="1" w:lastRow="0" w:firstColumn="1" w:lastColumn="0" w:noHBand="0" w:noVBand="1"/>
        <w:tblCaption w:val="Table 5: Mean change in HbA1c from baseline; indirect comparisons of empagliflozin with linagliptin FDC vs exenatide 2 mg weekly (with metformin; linagliptin/sitagliptin as interchangeable common reference; FAS, OC)"/>
        <w:tblDescription w:val="Table 5: Mean change in HbA1c from baseline; indirect comparisons of empagliflozin with linagliptin FDC vs exenatide 2 mg weekly (with metformin; linagliptin/sitagliptin as interchangeable common reference; FAS, OC)"/>
      </w:tblPr>
      <w:tblGrid>
        <w:gridCol w:w="1363"/>
        <w:gridCol w:w="462"/>
        <w:gridCol w:w="1358"/>
        <w:gridCol w:w="463"/>
        <w:gridCol w:w="1384"/>
        <w:gridCol w:w="461"/>
        <w:gridCol w:w="1359"/>
        <w:gridCol w:w="1517"/>
      </w:tblGrid>
      <w:tr w:rsidR="002346FC" w:rsidRPr="00655EFF" w:rsidTr="00D25546">
        <w:trPr>
          <w:tblHeader/>
        </w:trPr>
        <w:tc>
          <w:tcPr>
            <w:tcW w:w="1363" w:type="dxa"/>
            <w:vMerge w:val="restart"/>
            <w:vAlign w:val="center"/>
          </w:tcPr>
          <w:p w:rsidR="002346FC" w:rsidRPr="00655EFF" w:rsidRDefault="002346FC" w:rsidP="00EF62AB">
            <w:pPr>
              <w:widowControl/>
              <w:ind w:left="-80"/>
              <w:jc w:val="left"/>
              <w:rPr>
                <w:rFonts w:ascii="Arial Narrow" w:hAnsi="Arial Narrow"/>
                <w:sz w:val="20"/>
              </w:rPr>
            </w:pPr>
            <w:r w:rsidRPr="00655EFF">
              <w:rPr>
                <w:rFonts w:ascii="Arial Narrow" w:hAnsi="Arial Narrow" w:cs="Times New Roman"/>
                <w:b/>
                <w:sz w:val="20"/>
              </w:rPr>
              <w:t>Trial ID</w:t>
            </w:r>
          </w:p>
        </w:tc>
        <w:tc>
          <w:tcPr>
            <w:tcW w:w="5487" w:type="dxa"/>
            <w:gridSpan w:val="6"/>
            <w:vAlign w:val="center"/>
          </w:tcPr>
          <w:p w:rsidR="002346FC" w:rsidRDefault="002346FC" w:rsidP="00EF62AB">
            <w:pPr>
              <w:widowControl/>
              <w:contextualSpacing/>
              <w:jc w:val="center"/>
              <w:rPr>
                <w:rFonts w:ascii="Arial Narrow" w:hAnsi="Arial Narrow"/>
                <w:b/>
                <w:sz w:val="20"/>
              </w:rPr>
            </w:pPr>
            <w:r w:rsidRPr="00655EFF">
              <w:rPr>
                <w:rFonts w:ascii="Arial Narrow" w:hAnsi="Arial Narrow"/>
                <w:b/>
                <w:sz w:val="20"/>
              </w:rPr>
              <w:t>Mean change in HbA1c from baseline % (SD)</w:t>
            </w:r>
          </w:p>
          <w:p w:rsidR="002346FC" w:rsidRPr="00655EFF" w:rsidRDefault="002346FC" w:rsidP="00EF62AB">
            <w:pPr>
              <w:widowControl/>
              <w:contextualSpacing/>
              <w:jc w:val="center"/>
              <w:rPr>
                <w:rFonts w:ascii="Arial Narrow" w:hAnsi="Arial Narrow"/>
                <w:b/>
                <w:sz w:val="20"/>
              </w:rPr>
            </w:pPr>
            <w:r>
              <w:rPr>
                <w:rFonts w:ascii="Arial Narrow" w:hAnsi="Arial Narrow"/>
                <w:b/>
                <w:sz w:val="20"/>
              </w:rPr>
              <w:t>(in combination with metformin)</w:t>
            </w:r>
          </w:p>
        </w:tc>
        <w:tc>
          <w:tcPr>
            <w:tcW w:w="1517" w:type="dxa"/>
            <w:vMerge w:val="restart"/>
            <w:vAlign w:val="center"/>
          </w:tcPr>
          <w:p w:rsidR="002346FC" w:rsidRPr="00FF22C9" w:rsidRDefault="002346FC" w:rsidP="00EF62AB">
            <w:pPr>
              <w:widowControl/>
              <w:contextualSpacing/>
              <w:jc w:val="center"/>
              <w:rPr>
                <w:rFonts w:ascii="Arial Narrow" w:hAnsi="Arial Narrow" w:cs="Times New Roman"/>
                <w:b/>
                <w:sz w:val="20"/>
              </w:rPr>
            </w:pPr>
            <w:r w:rsidRPr="00FF22C9">
              <w:rPr>
                <w:rFonts w:ascii="Arial Narrow" w:hAnsi="Arial Narrow" w:cs="Times New Roman"/>
                <w:b/>
                <w:sz w:val="20"/>
              </w:rPr>
              <w:t>Difference in</w:t>
            </w:r>
          </w:p>
          <w:p w:rsidR="002346FC" w:rsidRDefault="002346FC" w:rsidP="00EF62AB">
            <w:pPr>
              <w:widowControl/>
              <w:contextualSpacing/>
              <w:jc w:val="center"/>
              <w:rPr>
                <w:rFonts w:ascii="Arial Narrow" w:hAnsi="Arial Narrow" w:cs="Times New Roman"/>
                <w:b/>
                <w:sz w:val="20"/>
              </w:rPr>
            </w:pPr>
            <w:r>
              <w:rPr>
                <w:rFonts w:ascii="Arial Narrow" w:hAnsi="Arial Narrow" w:cs="Times New Roman"/>
                <w:b/>
                <w:sz w:val="20"/>
              </w:rPr>
              <w:t>m</w:t>
            </w:r>
            <w:r w:rsidRPr="00FF22C9">
              <w:rPr>
                <w:rFonts w:ascii="Arial Narrow" w:hAnsi="Arial Narrow" w:cs="Times New Roman"/>
                <w:b/>
                <w:sz w:val="20"/>
              </w:rPr>
              <w:t xml:space="preserve">ean change </w:t>
            </w:r>
          </w:p>
          <w:p w:rsidR="002346FC" w:rsidRPr="00655EFF" w:rsidRDefault="002346FC" w:rsidP="00EF62AB">
            <w:pPr>
              <w:widowControl/>
              <w:ind w:left="-66" w:right="-66"/>
              <w:jc w:val="center"/>
              <w:rPr>
                <w:rFonts w:ascii="Arial Narrow" w:hAnsi="Arial Narrow"/>
                <w:sz w:val="20"/>
              </w:rPr>
            </w:pPr>
            <w:r w:rsidRPr="00FF22C9">
              <w:rPr>
                <w:rFonts w:ascii="Arial Narrow" w:hAnsi="Arial Narrow" w:cs="Times New Roman"/>
                <w:b/>
                <w:sz w:val="20"/>
              </w:rPr>
              <w:t>(95% CI)</w:t>
            </w:r>
          </w:p>
        </w:tc>
      </w:tr>
      <w:tr w:rsidR="002346FC" w:rsidRPr="00655EFF" w:rsidTr="00D25546">
        <w:trPr>
          <w:tblHeader/>
        </w:trPr>
        <w:tc>
          <w:tcPr>
            <w:tcW w:w="1363" w:type="dxa"/>
            <w:vMerge/>
          </w:tcPr>
          <w:p w:rsidR="002346FC" w:rsidRPr="00655EFF" w:rsidRDefault="002346FC" w:rsidP="00EF62AB">
            <w:pPr>
              <w:widowControl/>
              <w:ind w:left="-80"/>
              <w:rPr>
                <w:rFonts w:ascii="Arial Narrow" w:hAnsi="Arial Narrow"/>
                <w:b/>
                <w:sz w:val="20"/>
              </w:rPr>
            </w:pPr>
          </w:p>
        </w:tc>
        <w:tc>
          <w:tcPr>
            <w:tcW w:w="462" w:type="dxa"/>
            <w:vAlign w:val="center"/>
          </w:tcPr>
          <w:p w:rsidR="002346FC" w:rsidRPr="00655EFF" w:rsidRDefault="002346FC" w:rsidP="00EF62AB">
            <w:pPr>
              <w:widowControl/>
              <w:ind w:left="-66" w:right="-66"/>
              <w:jc w:val="center"/>
              <w:rPr>
                <w:rFonts w:ascii="Arial Narrow" w:hAnsi="Arial Narrow"/>
                <w:b/>
                <w:sz w:val="20"/>
              </w:rPr>
            </w:pPr>
            <w:r w:rsidRPr="00655EFF">
              <w:rPr>
                <w:rFonts w:ascii="Arial Narrow" w:hAnsi="Arial Narrow"/>
                <w:b/>
                <w:sz w:val="20"/>
              </w:rPr>
              <w:t>n</w:t>
            </w:r>
          </w:p>
        </w:tc>
        <w:tc>
          <w:tcPr>
            <w:tcW w:w="1358" w:type="dxa"/>
            <w:vAlign w:val="center"/>
          </w:tcPr>
          <w:p w:rsidR="002346FC" w:rsidRDefault="002346FC" w:rsidP="00EF62AB">
            <w:pPr>
              <w:widowControl/>
              <w:ind w:left="-66" w:right="-66"/>
              <w:jc w:val="center"/>
              <w:rPr>
                <w:rFonts w:ascii="Arial Narrow" w:hAnsi="Arial Narrow" w:cs="Times New Roman"/>
                <w:b/>
                <w:sz w:val="20"/>
              </w:rPr>
            </w:pPr>
            <w:r>
              <w:rPr>
                <w:rFonts w:ascii="Arial Narrow" w:hAnsi="Arial Narrow" w:cs="Times New Roman"/>
                <w:b/>
                <w:sz w:val="20"/>
              </w:rPr>
              <w:t>EMPA</w:t>
            </w:r>
            <w:r w:rsidRPr="00655EFF">
              <w:rPr>
                <w:rFonts w:ascii="Arial Narrow" w:hAnsi="Arial Narrow" w:cs="Times New Roman"/>
                <w:b/>
                <w:sz w:val="20"/>
              </w:rPr>
              <w:t xml:space="preserve"> 25</w:t>
            </w:r>
            <w:r w:rsidR="002D59D5">
              <w:rPr>
                <w:rFonts w:ascii="Arial Narrow" w:hAnsi="Arial Narrow" w:cs="Times New Roman"/>
                <w:b/>
                <w:sz w:val="20"/>
              </w:rPr>
              <w:t xml:space="preserve"> </w:t>
            </w:r>
            <w:r w:rsidRPr="00655EFF">
              <w:rPr>
                <w:rFonts w:ascii="Arial Narrow" w:hAnsi="Arial Narrow" w:cs="Times New Roman"/>
                <w:b/>
                <w:sz w:val="20"/>
              </w:rPr>
              <w:t xml:space="preserve">mg </w:t>
            </w:r>
          </w:p>
          <w:p w:rsidR="002346FC" w:rsidRPr="00655EFF" w:rsidRDefault="002346FC" w:rsidP="00EF62AB">
            <w:pPr>
              <w:widowControl/>
              <w:ind w:left="-66" w:right="-66"/>
              <w:jc w:val="center"/>
              <w:rPr>
                <w:rFonts w:ascii="Arial Narrow" w:hAnsi="Arial Narrow"/>
                <w:b/>
                <w:sz w:val="20"/>
              </w:rPr>
            </w:pPr>
            <w:r w:rsidRPr="00655EFF">
              <w:rPr>
                <w:rFonts w:ascii="Arial Narrow" w:hAnsi="Arial Narrow" w:cs="Times New Roman"/>
                <w:b/>
                <w:sz w:val="20"/>
              </w:rPr>
              <w:t xml:space="preserve">+ </w:t>
            </w:r>
            <w:r>
              <w:rPr>
                <w:rFonts w:ascii="Arial Narrow" w:hAnsi="Arial Narrow" w:cs="Times New Roman"/>
                <w:b/>
                <w:sz w:val="20"/>
              </w:rPr>
              <w:t>LINA</w:t>
            </w:r>
            <w:r w:rsidRPr="00655EFF">
              <w:rPr>
                <w:rFonts w:ascii="Arial Narrow" w:hAnsi="Arial Narrow" w:cs="Times New Roman"/>
                <w:b/>
                <w:sz w:val="20"/>
              </w:rPr>
              <w:t xml:space="preserve"> 5</w:t>
            </w:r>
            <w:r w:rsidR="002D59D5">
              <w:rPr>
                <w:rFonts w:ascii="Arial Narrow" w:hAnsi="Arial Narrow" w:cs="Times New Roman"/>
                <w:b/>
                <w:sz w:val="20"/>
              </w:rPr>
              <w:t xml:space="preserve"> </w:t>
            </w:r>
            <w:r w:rsidRPr="00655EFF">
              <w:rPr>
                <w:rFonts w:ascii="Arial Narrow" w:hAnsi="Arial Narrow" w:cs="Times New Roman"/>
                <w:b/>
                <w:sz w:val="20"/>
              </w:rPr>
              <w:t>mg</w:t>
            </w:r>
          </w:p>
        </w:tc>
        <w:tc>
          <w:tcPr>
            <w:tcW w:w="463" w:type="dxa"/>
            <w:vAlign w:val="center"/>
          </w:tcPr>
          <w:p w:rsidR="002346FC" w:rsidRPr="00655EFF" w:rsidRDefault="002346FC" w:rsidP="00EF62AB">
            <w:pPr>
              <w:widowControl/>
              <w:ind w:left="-66" w:right="-66"/>
              <w:jc w:val="center"/>
              <w:rPr>
                <w:rFonts w:ascii="Arial Narrow" w:hAnsi="Arial Narrow"/>
                <w:b/>
                <w:sz w:val="20"/>
              </w:rPr>
            </w:pPr>
            <w:r w:rsidRPr="00655EFF">
              <w:rPr>
                <w:rFonts w:ascii="Arial Narrow" w:hAnsi="Arial Narrow"/>
                <w:b/>
                <w:sz w:val="20"/>
              </w:rPr>
              <w:t>n</w:t>
            </w:r>
          </w:p>
        </w:tc>
        <w:tc>
          <w:tcPr>
            <w:tcW w:w="1384" w:type="dxa"/>
            <w:vAlign w:val="center"/>
          </w:tcPr>
          <w:p w:rsidR="002346FC" w:rsidRPr="00655EFF" w:rsidRDefault="002346FC" w:rsidP="00EF62AB">
            <w:pPr>
              <w:widowControl/>
              <w:ind w:right="67"/>
              <w:contextualSpacing/>
              <w:jc w:val="center"/>
              <w:rPr>
                <w:rFonts w:ascii="Arial Narrow" w:hAnsi="Arial Narrow" w:cs="Times New Roman"/>
                <w:b/>
                <w:sz w:val="20"/>
              </w:rPr>
            </w:pPr>
            <w:r>
              <w:rPr>
                <w:rFonts w:ascii="Arial Narrow" w:hAnsi="Arial Narrow" w:cs="Times New Roman"/>
                <w:b/>
                <w:sz w:val="20"/>
              </w:rPr>
              <w:t>LINA 5</w:t>
            </w:r>
            <w:r w:rsidR="002D59D5">
              <w:rPr>
                <w:rFonts w:ascii="Arial Narrow" w:hAnsi="Arial Narrow" w:cs="Times New Roman"/>
                <w:b/>
                <w:sz w:val="20"/>
              </w:rPr>
              <w:t xml:space="preserve"> </w:t>
            </w:r>
            <w:r>
              <w:rPr>
                <w:rFonts w:ascii="Arial Narrow" w:hAnsi="Arial Narrow" w:cs="Times New Roman"/>
                <w:b/>
                <w:sz w:val="20"/>
              </w:rPr>
              <w:t>mg</w:t>
            </w:r>
            <w:r w:rsidR="00837B98">
              <w:rPr>
                <w:rFonts w:ascii="Arial Narrow" w:hAnsi="Arial Narrow" w:cs="Times New Roman"/>
                <w:b/>
                <w:sz w:val="20"/>
              </w:rPr>
              <w:t>*</w:t>
            </w:r>
            <w:r>
              <w:rPr>
                <w:rFonts w:ascii="Arial Narrow" w:hAnsi="Arial Narrow" w:cs="Times New Roman"/>
                <w:b/>
                <w:sz w:val="20"/>
              </w:rPr>
              <w:t xml:space="preserve"> or</w:t>
            </w:r>
          </w:p>
          <w:p w:rsidR="002346FC" w:rsidRPr="00655EFF" w:rsidRDefault="002346FC" w:rsidP="00EF62AB">
            <w:pPr>
              <w:widowControl/>
              <w:ind w:left="-66" w:right="-66"/>
              <w:jc w:val="center"/>
              <w:rPr>
                <w:rFonts w:ascii="Arial Narrow" w:hAnsi="Arial Narrow"/>
                <w:b/>
                <w:sz w:val="20"/>
              </w:rPr>
            </w:pPr>
            <w:r>
              <w:rPr>
                <w:rFonts w:ascii="Arial Narrow" w:hAnsi="Arial Narrow" w:cs="Times New Roman"/>
                <w:b/>
                <w:sz w:val="20"/>
              </w:rPr>
              <w:t>SITA</w:t>
            </w:r>
            <w:r w:rsidRPr="00655EFF">
              <w:rPr>
                <w:rFonts w:ascii="Arial Narrow" w:hAnsi="Arial Narrow" w:cs="Times New Roman"/>
                <w:b/>
                <w:sz w:val="20"/>
              </w:rPr>
              <w:t xml:space="preserve"> 100</w:t>
            </w:r>
            <w:r w:rsidR="002D59D5">
              <w:rPr>
                <w:rFonts w:ascii="Arial Narrow" w:hAnsi="Arial Narrow" w:cs="Times New Roman"/>
                <w:b/>
                <w:sz w:val="20"/>
              </w:rPr>
              <w:t xml:space="preserve"> </w:t>
            </w:r>
            <w:r w:rsidRPr="00655EFF">
              <w:rPr>
                <w:rFonts w:ascii="Arial Narrow" w:hAnsi="Arial Narrow" w:cs="Times New Roman"/>
                <w:b/>
                <w:sz w:val="20"/>
              </w:rPr>
              <w:t>mg</w:t>
            </w:r>
            <w:r w:rsidR="00837B98">
              <w:rPr>
                <w:rFonts w:ascii="Arial Narrow" w:hAnsi="Arial Narrow" w:cs="Times New Roman"/>
                <w:b/>
                <w:sz w:val="20"/>
              </w:rPr>
              <w:t>*</w:t>
            </w:r>
          </w:p>
        </w:tc>
        <w:tc>
          <w:tcPr>
            <w:tcW w:w="461" w:type="dxa"/>
            <w:vAlign w:val="center"/>
          </w:tcPr>
          <w:p w:rsidR="002346FC" w:rsidRPr="00655EFF" w:rsidRDefault="002346FC" w:rsidP="00EF62AB">
            <w:pPr>
              <w:widowControl/>
              <w:ind w:left="-66" w:right="-66"/>
              <w:jc w:val="center"/>
              <w:rPr>
                <w:rFonts w:ascii="Arial Narrow" w:hAnsi="Arial Narrow"/>
                <w:b/>
                <w:sz w:val="20"/>
              </w:rPr>
            </w:pPr>
            <w:r w:rsidRPr="00655EFF">
              <w:rPr>
                <w:rFonts w:ascii="Arial Narrow" w:hAnsi="Arial Narrow"/>
                <w:b/>
                <w:sz w:val="20"/>
              </w:rPr>
              <w:t>n</w:t>
            </w:r>
          </w:p>
        </w:tc>
        <w:tc>
          <w:tcPr>
            <w:tcW w:w="1359" w:type="dxa"/>
            <w:vAlign w:val="center"/>
          </w:tcPr>
          <w:p w:rsidR="002346FC" w:rsidRPr="00655EFF" w:rsidRDefault="002346FC" w:rsidP="00EF62AB">
            <w:pPr>
              <w:widowControl/>
              <w:ind w:left="-66" w:right="-66"/>
              <w:jc w:val="center"/>
              <w:rPr>
                <w:rFonts w:ascii="Arial Narrow" w:hAnsi="Arial Narrow"/>
                <w:b/>
                <w:sz w:val="20"/>
              </w:rPr>
            </w:pPr>
            <w:r>
              <w:rPr>
                <w:rFonts w:ascii="Arial Narrow" w:hAnsi="Arial Narrow" w:cs="Times New Roman"/>
                <w:b/>
                <w:sz w:val="20"/>
              </w:rPr>
              <w:t>Exenatide 2</w:t>
            </w:r>
            <w:r w:rsidR="002D59D5">
              <w:rPr>
                <w:rFonts w:ascii="Arial Narrow" w:hAnsi="Arial Narrow" w:cs="Times New Roman"/>
                <w:b/>
                <w:sz w:val="20"/>
              </w:rPr>
              <w:t xml:space="preserve"> </w:t>
            </w:r>
            <w:r>
              <w:rPr>
                <w:rFonts w:ascii="Arial Narrow" w:hAnsi="Arial Narrow" w:cs="Times New Roman"/>
                <w:b/>
                <w:sz w:val="20"/>
              </w:rPr>
              <w:t>mg</w:t>
            </w:r>
          </w:p>
        </w:tc>
        <w:tc>
          <w:tcPr>
            <w:tcW w:w="1517" w:type="dxa"/>
            <w:vMerge/>
            <w:vAlign w:val="center"/>
          </w:tcPr>
          <w:p w:rsidR="002346FC" w:rsidRPr="00655EFF" w:rsidRDefault="002346FC" w:rsidP="00EF62AB">
            <w:pPr>
              <w:widowControl/>
              <w:ind w:left="-66" w:right="-66"/>
              <w:jc w:val="center"/>
              <w:rPr>
                <w:rFonts w:ascii="Arial Narrow" w:hAnsi="Arial Narrow"/>
                <w:b/>
                <w:sz w:val="20"/>
              </w:rPr>
            </w:pPr>
          </w:p>
        </w:tc>
      </w:tr>
      <w:tr w:rsidR="002346FC" w:rsidRPr="00655EFF" w:rsidTr="00D25546">
        <w:tc>
          <w:tcPr>
            <w:tcW w:w="1363" w:type="dxa"/>
            <w:shd w:val="clear" w:color="auto" w:fill="auto"/>
          </w:tcPr>
          <w:p w:rsidR="002346FC" w:rsidRPr="00655EFF" w:rsidRDefault="002346FC" w:rsidP="00EF62AB">
            <w:pPr>
              <w:widowControl/>
              <w:ind w:left="-80" w:right="-66"/>
              <w:jc w:val="left"/>
              <w:rPr>
                <w:rFonts w:ascii="Arial Narrow" w:hAnsi="Arial Narrow"/>
                <w:sz w:val="20"/>
              </w:rPr>
            </w:pPr>
            <w:r w:rsidRPr="00655EFF">
              <w:rPr>
                <w:rFonts w:ascii="Arial Narrow" w:hAnsi="Arial Narrow"/>
                <w:sz w:val="20"/>
              </w:rPr>
              <w:t>1275.1</w:t>
            </w:r>
            <w:r>
              <w:rPr>
                <w:rFonts w:ascii="Arial Narrow" w:hAnsi="Arial Narrow"/>
                <w:sz w:val="20"/>
              </w:rPr>
              <w:t xml:space="preserve"> (24 wks)</w:t>
            </w:r>
          </w:p>
        </w:tc>
        <w:tc>
          <w:tcPr>
            <w:tcW w:w="462" w:type="dxa"/>
            <w:shd w:val="clear" w:color="auto" w:fill="auto"/>
            <w:vAlign w:val="bottom"/>
          </w:tcPr>
          <w:p w:rsidR="002346FC" w:rsidRPr="00655EFF" w:rsidRDefault="002346FC" w:rsidP="00EF62AB">
            <w:pPr>
              <w:widowControl/>
              <w:ind w:left="-66" w:right="-66"/>
              <w:jc w:val="center"/>
              <w:rPr>
                <w:rFonts w:ascii="Arial Narrow" w:hAnsi="Arial Narrow"/>
                <w:sz w:val="20"/>
              </w:rPr>
            </w:pPr>
            <w:r>
              <w:rPr>
                <w:rFonts w:ascii="Arial Narrow" w:hAnsi="Arial Narrow" w:cs="Times New Roman"/>
                <w:sz w:val="20"/>
              </w:rPr>
              <w:t>133</w:t>
            </w:r>
          </w:p>
        </w:tc>
        <w:tc>
          <w:tcPr>
            <w:tcW w:w="1358" w:type="dxa"/>
            <w:shd w:val="clear" w:color="auto" w:fill="auto"/>
            <w:vAlign w:val="bottom"/>
          </w:tcPr>
          <w:p w:rsidR="002346FC" w:rsidRPr="00655EFF" w:rsidRDefault="002346FC" w:rsidP="00EF62AB">
            <w:pPr>
              <w:widowControl/>
              <w:ind w:left="-66" w:right="-66"/>
              <w:jc w:val="center"/>
              <w:rPr>
                <w:rFonts w:ascii="Arial Narrow" w:hAnsi="Arial Narrow"/>
                <w:sz w:val="20"/>
              </w:rPr>
            </w:pPr>
            <w:r w:rsidRPr="006C7FA0">
              <w:rPr>
                <w:rFonts w:ascii="Arial Narrow" w:hAnsi="Arial Narrow"/>
                <w:sz w:val="20"/>
              </w:rPr>
              <w:t>-</w:t>
            </w:r>
            <w:r>
              <w:rPr>
                <w:rFonts w:ascii="Arial Narrow" w:hAnsi="Arial Narrow"/>
                <w:sz w:val="20"/>
              </w:rPr>
              <w:t>1.20 (0.69</w:t>
            </w:r>
            <w:r w:rsidRPr="006C7FA0">
              <w:rPr>
                <w:rFonts w:ascii="Arial Narrow" w:hAnsi="Arial Narrow"/>
                <w:sz w:val="20"/>
              </w:rPr>
              <w:t>)</w:t>
            </w:r>
          </w:p>
        </w:tc>
        <w:tc>
          <w:tcPr>
            <w:tcW w:w="463" w:type="dxa"/>
            <w:shd w:val="clear" w:color="auto" w:fill="auto"/>
            <w:vAlign w:val="bottom"/>
          </w:tcPr>
          <w:p w:rsidR="002346FC" w:rsidRPr="00655EFF" w:rsidRDefault="002346FC" w:rsidP="00EF62AB">
            <w:pPr>
              <w:widowControl/>
              <w:ind w:left="-66" w:right="-66"/>
              <w:jc w:val="center"/>
              <w:rPr>
                <w:rFonts w:ascii="Arial Narrow" w:hAnsi="Arial Narrow" w:cs="Times New Roman"/>
                <w:sz w:val="20"/>
              </w:rPr>
            </w:pPr>
            <w:r>
              <w:rPr>
                <w:rFonts w:ascii="Arial Narrow" w:hAnsi="Arial Narrow" w:cs="Times New Roman"/>
                <w:sz w:val="20"/>
              </w:rPr>
              <w:t>128</w:t>
            </w:r>
          </w:p>
        </w:tc>
        <w:tc>
          <w:tcPr>
            <w:tcW w:w="1384" w:type="dxa"/>
            <w:shd w:val="clear" w:color="auto" w:fill="auto"/>
            <w:vAlign w:val="bottom"/>
          </w:tcPr>
          <w:p w:rsidR="002346FC" w:rsidRPr="00655EFF" w:rsidRDefault="002346FC" w:rsidP="00EF62AB">
            <w:pPr>
              <w:widowControl/>
              <w:ind w:left="-66" w:right="-66"/>
              <w:jc w:val="center"/>
              <w:rPr>
                <w:rFonts w:ascii="Arial Narrow" w:hAnsi="Arial Narrow"/>
                <w:sz w:val="20"/>
              </w:rPr>
            </w:pPr>
            <w:r>
              <w:rPr>
                <w:rFonts w:ascii="Arial Narrow" w:hAnsi="Arial Narrow"/>
                <w:sz w:val="20"/>
              </w:rPr>
              <w:t>-</w:t>
            </w:r>
            <w:r w:rsidRPr="006C7FA0">
              <w:rPr>
                <w:rFonts w:ascii="Arial Narrow" w:hAnsi="Arial Narrow"/>
                <w:sz w:val="20"/>
              </w:rPr>
              <w:t>0.</w:t>
            </w:r>
            <w:r>
              <w:rPr>
                <w:rFonts w:ascii="Arial Narrow" w:hAnsi="Arial Narrow"/>
                <w:sz w:val="20"/>
              </w:rPr>
              <w:t>71</w:t>
            </w:r>
            <w:r w:rsidRPr="006C7FA0">
              <w:rPr>
                <w:rFonts w:ascii="Arial Narrow" w:hAnsi="Arial Narrow"/>
                <w:sz w:val="20"/>
              </w:rPr>
              <w:t xml:space="preserve"> (0.</w:t>
            </w:r>
            <w:r>
              <w:rPr>
                <w:rFonts w:ascii="Arial Narrow" w:hAnsi="Arial Narrow"/>
                <w:sz w:val="20"/>
              </w:rPr>
              <w:t>79</w:t>
            </w:r>
            <w:r w:rsidRPr="006C7FA0">
              <w:rPr>
                <w:rFonts w:ascii="Arial Narrow" w:hAnsi="Arial Narrow"/>
                <w:sz w:val="20"/>
              </w:rPr>
              <w:t>)</w:t>
            </w:r>
          </w:p>
        </w:tc>
        <w:tc>
          <w:tcPr>
            <w:tcW w:w="461" w:type="dxa"/>
            <w:shd w:val="clear" w:color="auto" w:fill="auto"/>
            <w:vAlign w:val="center"/>
          </w:tcPr>
          <w:p w:rsidR="002346FC" w:rsidRPr="00655EFF" w:rsidRDefault="002346FC" w:rsidP="00EF62AB">
            <w:pPr>
              <w:widowControl/>
              <w:ind w:left="-66" w:right="-66"/>
              <w:jc w:val="center"/>
              <w:rPr>
                <w:rFonts w:ascii="Arial Narrow" w:hAnsi="Arial Narrow"/>
                <w:sz w:val="20"/>
              </w:rPr>
            </w:pPr>
            <w:r>
              <w:rPr>
                <w:rFonts w:ascii="Arial Narrow" w:hAnsi="Arial Narrow"/>
                <w:sz w:val="20"/>
              </w:rPr>
              <w:t>-</w:t>
            </w:r>
          </w:p>
        </w:tc>
        <w:tc>
          <w:tcPr>
            <w:tcW w:w="1359" w:type="dxa"/>
            <w:shd w:val="clear" w:color="auto" w:fill="auto"/>
            <w:vAlign w:val="center"/>
          </w:tcPr>
          <w:p w:rsidR="002346FC" w:rsidRPr="00655EFF" w:rsidRDefault="002346FC" w:rsidP="00EF62AB">
            <w:pPr>
              <w:widowControl/>
              <w:ind w:left="-66" w:right="-66"/>
              <w:jc w:val="center"/>
              <w:rPr>
                <w:rFonts w:ascii="Arial Narrow" w:hAnsi="Arial Narrow"/>
                <w:sz w:val="20"/>
              </w:rPr>
            </w:pPr>
            <w:r>
              <w:rPr>
                <w:rFonts w:ascii="Arial Narrow" w:hAnsi="Arial Narrow"/>
                <w:sz w:val="20"/>
              </w:rPr>
              <w:t>-</w:t>
            </w:r>
          </w:p>
        </w:tc>
        <w:tc>
          <w:tcPr>
            <w:tcW w:w="1517" w:type="dxa"/>
            <w:shd w:val="clear" w:color="auto" w:fill="auto"/>
            <w:vAlign w:val="center"/>
          </w:tcPr>
          <w:p w:rsidR="002346FC" w:rsidRPr="00953BD1" w:rsidRDefault="002346FC" w:rsidP="00EF62AB">
            <w:pPr>
              <w:widowControl/>
              <w:ind w:left="-66" w:right="-66"/>
              <w:jc w:val="center"/>
              <w:rPr>
                <w:rFonts w:ascii="Arial Narrow" w:hAnsi="Arial Narrow"/>
                <w:b/>
                <w:sz w:val="20"/>
              </w:rPr>
            </w:pPr>
            <w:r w:rsidRPr="00953BD1">
              <w:rPr>
                <w:rFonts w:ascii="Arial Narrow" w:hAnsi="Arial Narrow"/>
                <w:b/>
                <w:sz w:val="20"/>
              </w:rPr>
              <w:t>-0.</w:t>
            </w:r>
            <w:r>
              <w:rPr>
                <w:rFonts w:ascii="Arial Narrow" w:hAnsi="Arial Narrow"/>
                <w:b/>
                <w:sz w:val="20"/>
              </w:rPr>
              <w:t>49</w:t>
            </w:r>
            <w:r w:rsidRPr="00953BD1">
              <w:rPr>
                <w:rFonts w:ascii="Arial Narrow" w:hAnsi="Arial Narrow"/>
                <w:b/>
                <w:sz w:val="20"/>
              </w:rPr>
              <w:t xml:space="preserve"> (-0.</w:t>
            </w:r>
            <w:r>
              <w:rPr>
                <w:rFonts w:ascii="Arial Narrow" w:hAnsi="Arial Narrow"/>
                <w:b/>
                <w:sz w:val="20"/>
              </w:rPr>
              <w:t>67</w:t>
            </w:r>
            <w:r w:rsidRPr="00953BD1">
              <w:rPr>
                <w:rFonts w:ascii="Arial Narrow" w:hAnsi="Arial Narrow"/>
                <w:b/>
                <w:sz w:val="20"/>
              </w:rPr>
              <w:t>, -0.</w:t>
            </w:r>
            <w:r>
              <w:rPr>
                <w:rFonts w:ascii="Arial Narrow" w:hAnsi="Arial Narrow"/>
                <w:b/>
                <w:sz w:val="20"/>
              </w:rPr>
              <w:t>31</w:t>
            </w:r>
            <w:r w:rsidRPr="00953BD1">
              <w:rPr>
                <w:rFonts w:ascii="Arial Narrow" w:hAnsi="Arial Narrow"/>
                <w:b/>
                <w:sz w:val="20"/>
              </w:rPr>
              <w:t>)</w:t>
            </w:r>
          </w:p>
        </w:tc>
      </w:tr>
      <w:tr w:rsidR="002346FC" w:rsidRPr="00655EFF" w:rsidTr="00D25546">
        <w:tc>
          <w:tcPr>
            <w:tcW w:w="1363" w:type="dxa"/>
          </w:tcPr>
          <w:p w:rsidR="002346FC" w:rsidRDefault="002346FC" w:rsidP="00EF62AB">
            <w:pPr>
              <w:widowControl/>
              <w:ind w:left="-80" w:right="-66"/>
              <w:jc w:val="left"/>
              <w:rPr>
                <w:rFonts w:ascii="Arial Narrow" w:hAnsi="Arial Narrow"/>
                <w:sz w:val="20"/>
              </w:rPr>
            </w:pPr>
            <w:r>
              <w:rPr>
                <w:rFonts w:ascii="Arial Narrow" w:hAnsi="Arial Narrow"/>
                <w:sz w:val="20"/>
              </w:rPr>
              <w:t xml:space="preserve">Duration 2 </w:t>
            </w:r>
          </w:p>
          <w:p w:rsidR="002346FC" w:rsidRPr="00655EFF" w:rsidRDefault="002346FC" w:rsidP="00EF62AB">
            <w:pPr>
              <w:widowControl/>
              <w:ind w:left="-80" w:right="-66"/>
              <w:jc w:val="left"/>
              <w:rPr>
                <w:rFonts w:ascii="Arial Narrow" w:hAnsi="Arial Narrow"/>
                <w:sz w:val="20"/>
              </w:rPr>
            </w:pPr>
            <w:r>
              <w:rPr>
                <w:rFonts w:ascii="Arial Narrow" w:hAnsi="Arial Narrow"/>
                <w:sz w:val="20"/>
              </w:rPr>
              <w:t>(26 wks)</w:t>
            </w:r>
          </w:p>
        </w:tc>
        <w:tc>
          <w:tcPr>
            <w:tcW w:w="462" w:type="dxa"/>
            <w:vAlign w:val="center"/>
          </w:tcPr>
          <w:p w:rsidR="002346FC" w:rsidRPr="00655EFF" w:rsidRDefault="002346FC" w:rsidP="00EF62AB">
            <w:pPr>
              <w:widowControl/>
              <w:ind w:left="-66" w:right="-66"/>
              <w:jc w:val="center"/>
              <w:rPr>
                <w:rFonts w:ascii="Arial Narrow" w:hAnsi="Arial Narrow"/>
                <w:sz w:val="20"/>
              </w:rPr>
            </w:pPr>
            <w:r>
              <w:rPr>
                <w:rFonts w:ascii="Arial Narrow" w:hAnsi="Arial Narrow"/>
                <w:sz w:val="20"/>
              </w:rPr>
              <w:t>-</w:t>
            </w:r>
          </w:p>
        </w:tc>
        <w:tc>
          <w:tcPr>
            <w:tcW w:w="1358" w:type="dxa"/>
            <w:vAlign w:val="center"/>
          </w:tcPr>
          <w:p w:rsidR="002346FC" w:rsidRPr="00655EFF" w:rsidRDefault="002346FC" w:rsidP="00EF62AB">
            <w:pPr>
              <w:widowControl/>
              <w:ind w:left="-66" w:right="-66"/>
              <w:jc w:val="center"/>
              <w:rPr>
                <w:rFonts w:ascii="Arial Narrow" w:hAnsi="Arial Narrow"/>
                <w:sz w:val="20"/>
              </w:rPr>
            </w:pPr>
            <w:r>
              <w:rPr>
                <w:rFonts w:ascii="Arial Narrow" w:hAnsi="Arial Narrow"/>
                <w:sz w:val="20"/>
              </w:rPr>
              <w:t>-</w:t>
            </w:r>
          </w:p>
        </w:tc>
        <w:tc>
          <w:tcPr>
            <w:tcW w:w="463" w:type="dxa"/>
            <w:vAlign w:val="center"/>
          </w:tcPr>
          <w:p w:rsidR="002346FC" w:rsidRPr="00655EFF" w:rsidRDefault="002346FC" w:rsidP="00EF62AB">
            <w:pPr>
              <w:widowControl/>
              <w:ind w:left="-66" w:right="-66"/>
              <w:jc w:val="center"/>
              <w:rPr>
                <w:rFonts w:ascii="Arial Narrow" w:hAnsi="Arial Narrow"/>
                <w:sz w:val="20"/>
              </w:rPr>
            </w:pPr>
            <w:r>
              <w:rPr>
                <w:rFonts w:ascii="Arial Narrow" w:hAnsi="Arial Narrow" w:cs="Times New Roman"/>
                <w:sz w:val="20"/>
              </w:rPr>
              <w:t>162</w:t>
            </w:r>
          </w:p>
        </w:tc>
        <w:tc>
          <w:tcPr>
            <w:tcW w:w="1384" w:type="dxa"/>
            <w:vAlign w:val="center"/>
          </w:tcPr>
          <w:p w:rsidR="002346FC" w:rsidRPr="00655EFF" w:rsidRDefault="002346FC" w:rsidP="00EF62AB">
            <w:pPr>
              <w:widowControl/>
              <w:ind w:left="-66" w:right="-66"/>
              <w:jc w:val="center"/>
              <w:rPr>
                <w:rFonts w:ascii="Arial Narrow" w:hAnsi="Arial Narrow"/>
                <w:sz w:val="20"/>
              </w:rPr>
            </w:pPr>
            <w:r>
              <w:rPr>
                <w:rFonts w:ascii="Arial Narrow" w:hAnsi="Arial Narrow" w:cs="Times New Roman"/>
                <w:sz w:val="20"/>
              </w:rPr>
              <w:t>-0.92 (0.94)</w:t>
            </w:r>
          </w:p>
        </w:tc>
        <w:tc>
          <w:tcPr>
            <w:tcW w:w="461" w:type="dxa"/>
            <w:vAlign w:val="center"/>
          </w:tcPr>
          <w:p w:rsidR="002346FC" w:rsidRPr="00655EFF" w:rsidRDefault="002346FC" w:rsidP="00EF62AB">
            <w:pPr>
              <w:widowControl/>
              <w:ind w:left="-66" w:right="-66"/>
              <w:jc w:val="center"/>
              <w:rPr>
                <w:rFonts w:ascii="Arial Narrow" w:hAnsi="Arial Narrow"/>
                <w:sz w:val="20"/>
              </w:rPr>
            </w:pPr>
            <w:r>
              <w:rPr>
                <w:rFonts w:ascii="Arial Narrow" w:hAnsi="Arial Narrow" w:cs="Times New Roman"/>
                <w:sz w:val="20"/>
              </w:rPr>
              <w:t>159</w:t>
            </w:r>
          </w:p>
        </w:tc>
        <w:tc>
          <w:tcPr>
            <w:tcW w:w="1359" w:type="dxa"/>
            <w:vAlign w:val="center"/>
          </w:tcPr>
          <w:p w:rsidR="002346FC" w:rsidRPr="00655EFF" w:rsidRDefault="002346FC" w:rsidP="00EF62AB">
            <w:pPr>
              <w:widowControl/>
              <w:ind w:left="-66" w:right="-66"/>
              <w:jc w:val="center"/>
              <w:rPr>
                <w:rFonts w:ascii="Arial Narrow" w:hAnsi="Arial Narrow"/>
                <w:sz w:val="20"/>
              </w:rPr>
            </w:pPr>
            <w:r>
              <w:rPr>
                <w:rFonts w:ascii="Arial Narrow" w:hAnsi="Arial Narrow" w:cs="Times New Roman"/>
                <w:sz w:val="20"/>
              </w:rPr>
              <w:t>-1.55 (0.90)</w:t>
            </w:r>
          </w:p>
        </w:tc>
        <w:tc>
          <w:tcPr>
            <w:tcW w:w="1517" w:type="dxa"/>
            <w:vAlign w:val="center"/>
          </w:tcPr>
          <w:p w:rsidR="002346FC" w:rsidRPr="00655EFF" w:rsidRDefault="002346FC" w:rsidP="00EF62AB">
            <w:pPr>
              <w:widowControl/>
              <w:ind w:left="-66" w:right="-66"/>
              <w:jc w:val="center"/>
              <w:rPr>
                <w:rFonts w:ascii="Arial Narrow" w:hAnsi="Arial Narrow"/>
                <w:sz w:val="20"/>
              </w:rPr>
            </w:pPr>
            <w:r w:rsidRPr="00953BD1">
              <w:rPr>
                <w:rFonts w:ascii="Arial Narrow" w:hAnsi="Arial Narrow" w:cs="Times New Roman"/>
                <w:b/>
                <w:sz w:val="20"/>
              </w:rPr>
              <w:t>-</w:t>
            </w:r>
            <w:r>
              <w:rPr>
                <w:rFonts w:ascii="Arial Narrow" w:hAnsi="Arial Narrow" w:cs="Times New Roman"/>
                <w:b/>
                <w:sz w:val="20"/>
              </w:rPr>
              <w:t>0.63</w:t>
            </w:r>
            <w:r w:rsidRPr="00953BD1">
              <w:rPr>
                <w:rFonts w:ascii="Arial Narrow" w:hAnsi="Arial Narrow" w:cs="Times New Roman"/>
                <w:b/>
                <w:sz w:val="20"/>
              </w:rPr>
              <w:t xml:space="preserve"> (-</w:t>
            </w:r>
            <w:r>
              <w:rPr>
                <w:rFonts w:ascii="Arial Narrow" w:hAnsi="Arial Narrow" w:cs="Times New Roman"/>
                <w:b/>
                <w:sz w:val="20"/>
              </w:rPr>
              <w:t>0.91</w:t>
            </w:r>
            <w:r w:rsidRPr="00953BD1">
              <w:rPr>
                <w:rFonts w:ascii="Arial Narrow" w:hAnsi="Arial Narrow" w:cs="Times New Roman"/>
                <w:b/>
                <w:sz w:val="20"/>
              </w:rPr>
              <w:t>, -0.</w:t>
            </w:r>
            <w:r>
              <w:rPr>
                <w:rFonts w:ascii="Arial Narrow" w:hAnsi="Arial Narrow" w:cs="Times New Roman"/>
                <w:b/>
                <w:sz w:val="20"/>
              </w:rPr>
              <w:t>35</w:t>
            </w:r>
            <w:r w:rsidRPr="00953BD1">
              <w:rPr>
                <w:rFonts w:ascii="Arial Narrow" w:hAnsi="Arial Narrow" w:cs="Times New Roman"/>
                <w:b/>
                <w:sz w:val="20"/>
              </w:rPr>
              <w:t>)</w:t>
            </w:r>
          </w:p>
        </w:tc>
      </w:tr>
      <w:tr w:rsidR="002346FC" w:rsidRPr="00655EFF" w:rsidTr="00D25546">
        <w:tc>
          <w:tcPr>
            <w:tcW w:w="1363" w:type="dxa"/>
            <w:tcBorders>
              <w:bottom w:val="single" w:sz="4" w:space="0" w:color="auto"/>
            </w:tcBorders>
          </w:tcPr>
          <w:p w:rsidR="002346FC" w:rsidRPr="00655EFF" w:rsidRDefault="002346FC" w:rsidP="00EF62AB">
            <w:pPr>
              <w:widowControl/>
              <w:ind w:left="-80"/>
              <w:jc w:val="left"/>
              <w:rPr>
                <w:rFonts w:ascii="Arial Narrow" w:hAnsi="Arial Narrow"/>
                <w:sz w:val="20"/>
              </w:rPr>
            </w:pPr>
            <w:r>
              <w:rPr>
                <w:rFonts w:ascii="Arial Narrow" w:hAnsi="Arial Narrow"/>
                <w:sz w:val="20"/>
              </w:rPr>
              <w:t>Duration Neo 2 (28 wks)</w:t>
            </w:r>
          </w:p>
        </w:tc>
        <w:tc>
          <w:tcPr>
            <w:tcW w:w="462" w:type="dxa"/>
            <w:tcBorders>
              <w:bottom w:val="single" w:sz="4" w:space="0" w:color="auto"/>
            </w:tcBorders>
            <w:vAlign w:val="center"/>
          </w:tcPr>
          <w:p w:rsidR="002346FC" w:rsidRPr="00655EFF" w:rsidRDefault="002346FC" w:rsidP="00EF62AB">
            <w:pPr>
              <w:widowControl/>
              <w:ind w:left="-66" w:right="-66"/>
              <w:jc w:val="center"/>
              <w:rPr>
                <w:rFonts w:ascii="Arial Narrow" w:hAnsi="Arial Narrow"/>
                <w:sz w:val="20"/>
              </w:rPr>
            </w:pPr>
            <w:r w:rsidRPr="00655EFF">
              <w:rPr>
                <w:rFonts w:ascii="Arial Narrow" w:hAnsi="Arial Narrow"/>
                <w:sz w:val="20"/>
              </w:rPr>
              <w:t>-</w:t>
            </w:r>
          </w:p>
        </w:tc>
        <w:tc>
          <w:tcPr>
            <w:tcW w:w="1358" w:type="dxa"/>
            <w:tcBorders>
              <w:bottom w:val="single" w:sz="4" w:space="0" w:color="auto"/>
            </w:tcBorders>
            <w:vAlign w:val="center"/>
          </w:tcPr>
          <w:p w:rsidR="002346FC" w:rsidRPr="00655EFF" w:rsidRDefault="002346FC" w:rsidP="00EF62AB">
            <w:pPr>
              <w:widowControl/>
              <w:ind w:left="-66" w:right="-66"/>
              <w:jc w:val="center"/>
              <w:rPr>
                <w:rFonts w:ascii="Arial Narrow" w:hAnsi="Arial Narrow"/>
                <w:sz w:val="20"/>
              </w:rPr>
            </w:pPr>
            <w:r w:rsidRPr="00655EFF">
              <w:rPr>
                <w:rFonts w:ascii="Arial Narrow" w:hAnsi="Arial Narrow"/>
                <w:sz w:val="20"/>
              </w:rPr>
              <w:t>-</w:t>
            </w:r>
          </w:p>
        </w:tc>
        <w:tc>
          <w:tcPr>
            <w:tcW w:w="463" w:type="dxa"/>
            <w:tcBorders>
              <w:bottom w:val="single" w:sz="4" w:space="0" w:color="auto"/>
            </w:tcBorders>
            <w:vAlign w:val="center"/>
          </w:tcPr>
          <w:p w:rsidR="002346FC" w:rsidRPr="00655EFF" w:rsidRDefault="002346FC" w:rsidP="00EF62AB">
            <w:pPr>
              <w:widowControl/>
              <w:ind w:left="-66" w:right="-66"/>
              <w:jc w:val="center"/>
              <w:rPr>
                <w:rFonts w:ascii="Arial Narrow" w:hAnsi="Arial Narrow"/>
                <w:sz w:val="20"/>
              </w:rPr>
            </w:pPr>
            <w:r>
              <w:rPr>
                <w:rFonts w:ascii="Arial Narrow" w:hAnsi="Arial Narrow" w:cs="Times New Roman"/>
                <w:sz w:val="20"/>
              </w:rPr>
              <w:t>122</w:t>
            </w:r>
          </w:p>
        </w:tc>
        <w:tc>
          <w:tcPr>
            <w:tcW w:w="1384" w:type="dxa"/>
            <w:tcBorders>
              <w:bottom w:val="single" w:sz="4" w:space="0" w:color="auto"/>
            </w:tcBorders>
            <w:vAlign w:val="center"/>
          </w:tcPr>
          <w:p w:rsidR="002346FC" w:rsidRPr="00655EFF" w:rsidRDefault="002346FC" w:rsidP="00EF62AB">
            <w:pPr>
              <w:widowControl/>
              <w:ind w:left="-66" w:right="-66"/>
              <w:jc w:val="center"/>
              <w:rPr>
                <w:rFonts w:ascii="Arial Narrow" w:hAnsi="Arial Narrow"/>
                <w:sz w:val="20"/>
              </w:rPr>
            </w:pPr>
            <w:r>
              <w:rPr>
                <w:rFonts w:ascii="Arial Narrow" w:hAnsi="Arial Narrow" w:cs="Times New Roman"/>
                <w:sz w:val="20"/>
              </w:rPr>
              <w:t>-0.75 (0.94)</w:t>
            </w:r>
          </w:p>
        </w:tc>
        <w:tc>
          <w:tcPr>
            <w:tcW w:w="461" w:type="dxa"/>
            <w:tcBorders>
              <w:bottom w:val="single" w:sz="4" w:space="0" w:color="auto"/>
            </w:tcBorders>
            <w:vAlign w:val="center"/>
          </w:tcPr>
          <w:p w:rsidR="002346FC" w:rsidRPr="00655EFF" w:rsidRDefault="002346FC" w:rsidP="00EF62AB">
            <w:pPr>
              <w:widowControl/>
              <w:ind w:left="-66" w:right="-66"/>
              <w:jc w:val="center"/>
              <w:rPr>
                <w:rFonts w:ascii="Arial Narrow" w:hAnsi="Arial Narrow"/>
                <w:sz w:val="20"/>
              </w:rPr>
            </w:pPr>
            <w:r>
              <w:rPr>
                <w:rFonts w:ascii="Arial Narrow" w:hAnsi="Arial Narrow" w:cs="Times New Roman"/>
                <w:sz w:val="20"/>
              </w:rPr>
              <w:t>181</w:t>
            </w:r>
          </w:p>
        </w:tc>
        <w:tc>
          <w:tcPr>
            <w:tcW w:w="1359" w:type="dxa"/>
            <w:tcBorders>
              <w:bottom w:val="single" w:sz="4" w:space="0" w:color="auto"/>
            </w:tcBorders>
            <w:vAlign w:val="center"/>
          </w:tcPr>
          <w:p w:rsidR="002346FC" w:rsidRPr="00655EFF" w:rsidRDefault="002346FC" w:rsidP="00EF62AB">
            <w:pPr>
              <w:widowControl/>
              <w:ind w:left="-66" w:right="-66"/>
              <w:jc w:val="center"/>
              <w:rPr>
                <w:rFonts w:ascii="Arial Narrow" w:hAnsi="Arial Narrow"/>
                <w:sz w:val="20"/>
              </w:rPr>
            </w:pPr>
            <w:r>
              <w:rPr>
                <w:rFonts w:ascii="Arial Narrow" w:hAnsi="Arial Narrow" w:cs="Times New Roman"/>
                <w:sz w:val="20"/>
              </w:rPr>
              <w:t>-1.13 (0.90)</w:t>
            </w:r>
          </w:p>
        </w:tc>
        <w:tc>
          <w:tcPr>
            <w:tcW w:w="1517" w:type="dxa"/>
            <w:tcBorders>
              <w:bottom w:val="single" w:sz="4" w:space="0" w:color="auto"/>
            </w:tcBorders>
            <w:vAlign w:val="center"/>
          </w:tcPr>
          <w:p w:rsidR="002346FC" w:rsidRPr="00655EFF" w:rsidRDefault="002346FC" w:rsidP="00EF62AB">
            <w:pPr>
              <w:widowControl/>
              <w:ind w:left="-66" w:right="-66"/>
              <w:jc w:val="center"/>
              <w:rPr>
                <w:rFonts w:ascii="Arial Narrow" w:hAnsi="Arial Narrow"/>
                <w:sz w:val="20"/>
              </w:rPr>
            </w:pPr>
            <w:r w:rsidRPr="00953BD1">
              <w:rPr>
                <w:rFonts w:ascii="Arial Narrow" w:hAnsi="Arial Narrow" w:cs="Times New Roman"/>
                <w:b/>
                <w:sz w:val="20"/>
              </w:rPr>
              <w:t>-</w:t>
            </w:r>
            <w:r>
              <w:rPr>
                <w:rFonts w:ascii="Arial Narrow" w:hAnsi="Arial Narrow" w:cs="Times New Roman"/>
                <w:b/>
                <w:sz w:val="20"/>
              </w:rPr>
              <w:t>0.59</w:t>
            </w:r>
            <w:r w:rsidRPr="00953BD1">
              <w:rPr>
                <w:rFonts w:ascii="Arial Narrow" w:hAnsi="Arial Narrow" w:cs="Times New Roman"/>
                <w:b/>
                <w:sz w:val="20"/>
              </w:rPr>
              <w:t xml:space="preserve"> (-</w:t>
            </w:r>
            <w:r>
              <w:rPr>
                <w:rFonts w:ascii="Arial Narrow" w:hAnsi="Arial Narrow" w:cs="Times New Roman"/>
                <w:b/>
                <w:sz w:val="20"/>
              </w:rPr>
              <w:t>0.72</w:t>
            </w:r>
            <w:r w:rsidRPr="00953BD1">
              <w:rPr>
                <w:rFonts w:ascii="Arial Narrow" w:hAnsi="Arial Narrow" w:cs="Times New Roman"/>
                <w:b/>
                <w:sz w:val="20"/>
              </w:rPr>
              <w:t>, -0.</w:t>
            </w:r>
            <w:r>
              <w:rPr>
                <w:rFonts w:ascii="Arial Narrow" w:hAnsi="Arial Narrow" w:cs="Times New Roman"/>
                <w:b/>
                <w:sz w:val="20"/>
              </w:rPr>
              <w:t>04</w:t>
            </w:r>
            <w:r w:rsidRPr="00953BD1">
              <w:rPr>
                <w:rFonts w:ascii="Arial Narrow" w:hAnsi="Arial Narrow" w:cs="Times New Roman"/>
                <w:b/>
                <w:sz w:val="20"/>
              </w:rPr>
              <w:t>)</w:t>
            </w:r>
          </w:p>
        </w:tc>
      </w:tr>
      <w:tr w:rsidR="002346FC" w:rsidRPr="00655EFF" w:rsidTr="00D25546">
        <w:tc>
          <w:tcPr>
            <w:tcW w:w="6850" w:type="dxa"/>
            <w:gridSpan w:val="7"/>
            <w:tcBorders>
              <w:bottom w:val="single" w:sz="4" w:space="0" w:color="auto"/>
            </w:tcBorders>
          </w:tcPr>
          <w:p w:rsidR="002346FC" w:rsidRPr="00827E04" w:rsidRDefault="002346FC" w:rsidP="00694BCD">
            <w:pPr>
              <w:widowControl/>
              <w:tabs>
                <w:tab w:val="right" w:pos="6634"/>
              </w:tabs>
              <w:ind w:left="-80"/>
              <w:contextualSpacing/>
              <w:jc w:val="left"/>
              <w:rPr>
                <w:rFonts w:ascii="Arial Narrow" w:hAnsi="Arial Narrow" w:cs="Times New Roman"/>
                <w:i/>
                <w:sz w:val="20"/>
              </w:rPr>
            </w:pPr>
            <w:r w:rsidRPr="00827E04">
              <w:rPr>
                <w:rFonts w:ascii="Arial Narrow" w:hAnsi="Arial Narrow" w:cs="Times New Roman"/>
                <w:sz w:val="20"/>
              </w:rPr>
              <w:t>Indirect comparisons (24 wks) All</w:t>
            </w:r>
            <w:r w:rsidRPr="00827E04">
              <w:rPr>
                <w:rFonts w:ascii="Arial Narrow" w:hAnsi="Arial Narrow" w:cs="Times New Roman"/>
                <w:i/>
                <w:sz w:val="20"/>
              </w:rPr>
              <w:tab/>
            </w:r>
            <w:r w:rsidRPr="00827E04">
              <w:rPr>
                <w:rFonts w:ascii="Arial Narrow" w:hAnsi="Arial Narrow" w:cs="Times New Roman"/>
                <w:sz w:val="20"/>
              </w:rPr>
              <w:t>empagliflozin 25</w:t>
            </w:r>
            <w:r w:rsidR="00CC1010">
              <w:rPr>
                <w:rFonts w:ascii="Arial Narrow" w:hAnsi="Arial Narrow" w:cs="Times New Roman"/>
                <w:sz w:val="20"/>
              </w:rPr>
              <w:t xml:space="preserve"> </w:t>
            </w:r>
            <w:r w:rsidRPr="00827E04">
              <w:rPr>
                <w:rFonts w:ascii="Arial Narrow" w:hAnsi="Arial Narrow" w:cs="Times New Roman"/>
                <w:sz w:val="20"/>
              </w:rPr>
              <w:t>mg + linagliptin 5</w:t>
            </w:r>
            <w:r w:rsidR="00CC1010">
              <w:rPr>
                <w:rFonts w:ascii="Arial Narrow" w:hAnsi="Arial Narrow" w:cs="Times New Roman"/>
                <w:sz w:val="20"/>
              </w:rPr>
              <w:t xml:space="preserve"> </w:t>
            </w:r>
            <w:r w:rsidRPr="00827E04">
              <w:rPr>
                <w:rFonts w:ascii="Arial Narrow" w:hAnsi="Arial Narrow" w:cs="Times New Roman"/>
                <w:sz w:val="20"/>
              </w:rPr>
              <w:t xml:space="preserve">mg vs </w:t>
            </w:r>
            <w:r w:rsidR="00694BCD">
              <w:rPr>
                <w:rFonts w:ascii="Arial Narrow" w:hAnsi="Arial Narrow" w:cs="Times New Roman"/>
                <w:sz w:val="20"/>
              </w:rPr>
              <w:t>exenatide</w:t>
            </w:r>
          </w:p>
        </w:tc>
        <w:tc>
          <w:tcPr>
            <w:tcW w:w="1517" w:type="dxa"/>
            <w:tcBorders>
              <w:bottom w:val="single" w:sz="4" w:space="0" w:color="auto"/>
            </w:tcBorders>
            <w:vAlign w:val="center"/>
          </w:tcPr>
          <w:p w:rsidR="002346FC" w:rsidRPr="00E44905" w:rsidRDefault="00505399" w:rsidP="00EF62AB">
            <w:pPr>
              <w:widowControl/>
              <w:ind w:left="-66" w:right="-66"/>
              <w:jc w:val="center"/>
              <w:rPr>
                <w:rFonts w:ascii="Arial Narrow" w:hAnsi="Arial Narrow" w:cs="Times New Roman"/>
                <w:i/>
                <w:sz w:val="20"/>
              </w:rPr>
            </w:pPr>
            <w:r>
              <w:rPr>
                <w:rFonts w:ascii="Arial Narrow" w:hAnsi="Arial Narrow" w:cs="Times New Roman"/>
                <w:noProof/>
                <w:color w:val="000000"/>
                <w:sz w:val="20"/>
                <w:highlight w:val="black"/>
              </w:rPr>
              <w:t>'''''''''' ''''''''''''''''' ''''''''''</w:t>
            </w:r>
            <w:r w:rsidR="002346FC" w:rsidRPr="00FD1679">
              <w:rPr>
                <w:rFonts w:ascii="Arial Narrow" w:hAnsi="Arial Narrow" w:cs="Times New Roman"/>
                <w:sz w:val="20"/>
              </w:rPr>
              <w:t>)</w:t>
            </w:r>
          </w:p>
        </w:tc>
      </w:tr>
      <w:tr w:rsidR="002346FC" w:rsidRPr="00655EFF" w:rsidTr="00D25546">
        <w:tc>
          <w:tcPr>
            <w:tcW w:w="6850" w:type="dxa"/>
            <w:gridSpan w:val="7"/>
            <w:tcBorders>
              <w:bottom w:val="single" w:sz="4" w:space="0" w:color="auto"/>
            </w:tcBorders>
          </w:tcPr>
          <w:p w:rsidR="002346FC" w:rsidRPr="00A104F4" w:rsidRDefault="002346FC" w:rsidP="00694BCD">
            <w:pPr>
              <w:widowControl/>
              <w:tabs>
                <w:tab w:val="right" w:pos="6634"/>
              </w:tabs>
              <w:ind w:left="-80"/>
              <w:contextualSpacing/>
              <w:jc w:val="left"/>
              <w:rPr>
                <w:rFonts w:ascii="Arial Narrow" w:hAnsi="Arial Narrow" w:cs="Times New Roman"/>
                <w:sz w:val="20"/>
              </w:rPr>
            </w:pPr>
            <w:r w:rsidRPr="00A104F4">
              <w:rPr>
                <w:rFonts w:ascii="Arial Narrow" w:hAnsi="Arial Narrow" w:cs="Times New Roman"/>
                <w:sz w:val="20"/>
              </w:rPr>
              <w:t>Duration 2 only</w:t>
            </w:r>
            <w:r w:rsidRPr="00A104F4">
              <w:rPr>
                <w:rFonts w:ascii="Arial Narrow" w:hAnsi="Arial Narrow" w:cs="Times New Roman"/>
                <w:sz w:val="20"/>
              </w:rPr>
              <w:tab/>
              <w:t>empagliflozin 25</w:t>
            </w:r>
            <w:r w:rsidR="00CC1010" w:rsidRPr="00A104F4">
              <w:rPr>
                <w:rFonts w:ascii="Arial Narrow" w:hAnsi="Arial Narrow" w:cs="Times New Roman"/>
                <w:sz w:val="20"/>
              </w:rPr>
              <w:t xml:space="preserve"> </w:t>
            </w:r>
            <w:r w:rsidRPr="00A104F4">
              <w:rPr>
                <w:rFonts w:ascii="Arial Narrow" w:hAnsi="Arial Narrow" w:cs="Times New Roman"/>
                <w:sz w:val="20"/>
              </w:rPr>
              <w:t>mg + linagliptin 5</w:t>
            </w:r>
            <w:r w:rsidR="00CC1010" w:rsidRPr="00A104F4">
              <w:rPr>
                <w:rFonts w:ascii="Arial Narrow" w:hAnsi="Arial Narrow" w:cs="Times New Roman"/>
                <w:sz w:val="20"/>
              </w:rPr>
              <w:t xml:space="preserve"> </w:t>
            </w:r>
            <w:r w:rsidRPr="00A104F4">
              <w:rPr>
                <w:rFonts w:ascii="Arial Narrow" w:hAnsi="Arial Narrow" w:cs="Times New Roman"/>
                <w:sz w:val="20"/>
              </w:rPr>
              <w:t xml:space="preserve">mg vs </w:t>
            </w:r>
            <w:r w:rsidR="00694BCD">
              <w:rPr>
                <w:rFonts w:ascii="Arial Narrow" w:hAnsi="Arial Narrow" w:cs="Times New Roman"/>
                <w:sz w:val="20"/>
              </w:rPr>
              <w:t>exenatide</w:t>
            </w:r>
          </w:p>
        </w:tc>
        <w:tc>
          <w:tcPr>
            <w:tcW w:w="1517" w:type="dxa"/>
            <w:tcBorders>
              <w:bottom w:val="single" w:sz="4" w:space="0" w:color="auto"/>
            </w:tcBorders>
            <w:vAlign w:val="center"/>
          </w:tcPr>
          <w:p w:rsidR="002346FC" w:rsidRPr="00505399" w:rsidRDefault="00505399" w:rsidP="00EF62AB">
            <w:pPr>
              <w:widowControl/>
              <w:ind w:left="-66" w:right="-66"/>
              <w:jc w:val="center"/>
              <w:rPr>
                <w:rFonts w:ascii="Arial Narrow" w:hAnsi="Arial Narrow"/>
                <w:sz w:val="20"/>
                <w:highlight w:val="black"/>
              </w:rPr>
            </w:pPr>
            <w:r>
              <w:rPr>
                <w:rFonts w:ascii="Arial Narrow" w:hAnsi="Arial Narrow" w:cs="Times New Roman"/>
                <w:noProof/>
                <w:color w:val="000000"/>
                <w:sz w:val="20"/>
                <w:highlight w:val="black"/>
              </w:rPr>
              <w:t>'''''''''' '''''''''''''''' '''''''''''''</w:t>
            </w:r>
          </w:p>
        </w:tc>
      </w:tr>
    </w:tbl>
    <w:p w:rsidR="002346FC" w:rsidRPr="000F0728" w:rsidRDefault="002346FC" w:rsidP="00EF62AB">
      <w:pPr>
        <w:widowControl/>
        <w:tabs>
          <w:tab w:val="left" w:pos="7667"/>
        </w:tabs>
        <w:ind w:left="80" w:right="-66"/>
        <w:jc w:val="left"/>
        <w:rPr>
          <w:rFonts w:ascii="Arial Narrow" w:hAnsi="Arial Narrow" w:cs="Times New Roman"/>
          <w:i/>
          <w:sz w:val="2"/>
          <w:szCs w:val="2"/>
        </w:rPr>
      </w:pPr>
      <w:r w:rsidRPr="000F0728">
        <w:rPr>
          <w:rFonts w:ascii="Arial Narrow" w:hAnsi="Arial Narrow" w:cs="Times New Roman"/>
          <w:b/>
          <w:i/>
          <w:sz w:val="2"/>
          <w:szCs w:val="2"/>
        </w:rPr>
        <w:tab/>
      </w:r>
    </w:p>
    <w:tbl>
      <w:tblPr>
        <w:tblStyle w:val="TableGrid"/>
        <w:tblW w:w="8367" w:type="dxa"/>
        <w:tblInd w:w="817" w:type="dxa"/>
        <w:tblLayout w:type="fixed"/>
        <w:tblLook w:val="04A0" w:firstRow="1" w:lastRow="0" w:firstColumn="1" w:lastColumn="0" w:noHBand="0" w:noVBand="1"/>
        <w:tblCaption w:val="Table 5: Mean change in HbA1c from baseline; indirect comparisons of empagliflozin with linagliptin FDC vs exenatide 2 mg weekly (with metformin; linagliptin/sitagliptin as interchangeable common reference; FAS, OC)"/>
        <w:tblDescription w:val="Table 5: Mean change in HbA1c from baseline; indirect comparisons of empagliflozin with linagliptin FDC vs exenatide 2 mg weekly (with metformin; linagliptin/sitagliptin as interchangeable common reference; FAS, OC)"/>
      </w:tblPr>
      <w:tblGrid>
        <w:gridCol w:w="1363"/>
        <w:gridCol w:w="462"/>
        <w:gridCol w:w="1403"/>
        <w:gridCol w:w="463"/>
        <w:gridCol w:w="1384"/>
        <w:gridCol w:w="461"/>
        <w:gridCol w:w="1314"/>
        <w:gridCol w:w="1517"/>
      </w:tblGrid>
      <w:tr w:rsidR="002346FC" w:rsidRPr="00655EFF" w:rsidTr="00D25546">
        <w:trPr>
          <w:tblHeader/>
        </w:trPr>
        <w:tc>
          <w:tcPr>
            <w:tcW w:w="1363" w:type="dxa"/>
            <w:tcBorders>
              <w:top w:val="single" w:sz="4" w:space="0" w:color="auto"/>
            </w:tcBorders>
          </w:tcPr>
          <w:p w:rsidR="002346FC" w:rsidRPr="00655EFF" w:rsidRDefault="002346FC" w:rsidP="00EF62AB">
            <w:pPr>
              <w:widowControl/>
              <w:ind w:left="-80"/>
              <w:rPr>
                <w:rFonts w:ascii="Arial Narrow" w:hAnsi="Arial Narrow"/>
                <w:sz w:val="20"/>
              </w:rPr>
            </w:pPr>
          </w:p>
        </w:tc>
        <w:tc>
          <w:tcPr>
            <w:tcW w:w="462" w:type="dxa"/>
            <w:tcBorders>
              <w:top w:val="single" w:sz="4" w:space="0" w:color="auto"/>
            </w:tcBorders>
            <w:vAlign w:val="center"/>
          </w:tcPr>
          <w:p w:rsidR="002346FC" w:rsidRPr="00655EFF" w:rsidRDefault="002346FC" w:rsidP="00EF62AB">
            <w:pPr>
              <w:widowControl/>
              <w:ind w:left="-66" w:right="-66"/>
              <w:jc w:val="center"/>
              <w:rPr>
                <w:rFonts w:ascii="Arial Narrow" w:hAnsi="Arial Narrow"/>
                <w:b/>
                <w:sz w:val="20"/>
              </w:rPr>
            </w:pPr>
            <w:r w:rsidRPr="00655EFF">
              <w:rPr>
                <w:rFonts w:ascii="Arial Narrow" w:hAnsi="Arial Narrow"/>
                <w:b/>
                <w:sz w:val="20"/>
              </w:rPr>
              <w:t>n</w:t>
            </w:r>
          </w:p>
        </w:tc>
        <w:tc>
          <w:tcPr>
            <w:tcW w:w="1403" w:type="dxa"/>
            <w:tcBorders>
              <w:top w:val="single" w:sz="4" w:space="0" w:color="auto"/>
            </w:tcBorders>
            <w:vAlign w:val="center"/>
          </w:tcPr>
          <w:p w:rsidR="002346FC" w:rsidRDefault="002346FC" w:rsidP="00EF62AB">
            <w:pPr>
              <w:widowControl/>
              <w:ind w:left="-66" w:right="-66"/>
              <w:jc w:val="center"/>
              <w:rPr>
                <w:rFonts w:ascii="Arial Narrow" w:hAnsi="Arial Narrow" w:cs="Times New Roman"/>
                <w:b/>
                <w:sz w:val="20"/>
              </w:rPr>
            </w:pPr>
            <w:r>
              <w:rPr>
                <w:rFonts w:ascii="Arial Narrow" w:hAnsi="Arial Narrow" w:cs="Times New Roman"/>
                <w:b/>
                <w:sz w:val="20"/>
              </w:rPr>
              <w:t>EMPA 10</w:t>
            </w:r>
            <w:r w:rsidR="00F451C2">
              <w:rPr>
                <w:rFonts w:ascii="Arial Narrow" w:hAnsi="Arial Narrow" w:cs="Times New Roman"/>
                <w:b/>
                <w:sz w:val="20"/>
              </w:rPr>
              <w:t xml:space="preserve"> </w:t>
            </w:r>
            <w:r w:rsidRPr="00655EFF">
              <w:rPr>
                <w:rFonts w:ascii="Arial Narrow" w:hAnsi="Arial Narrow" w:cs="Times New Roman"/>
                <w:b/>
                <w:sz w:val="20"/>
              </w:rPr>
              <w:t xml:space="preserve">mg </w:t>
            </w:r>
          </w:p>
          <w:p w:rsidR="002346FC" w:rsidRPr="00655EFF" w:rsidRDefault="002346FC" w:rsidP="00EF62AB">
            <w:pPr>
              <w:widowControl/>
              <w:ind w:left="-66" w:right="-66"/>
              <w:jc w:val="center"/>
              <w:rPr>
                <w:rFonts w:ascii="Arial Narrow" w:hAnsi="Arial Narrow"/>
                <w:b/>
                <w:sz w:val="20"/>
              </w:rPr>
            </w:pPr>
            <w:r w:rsidRPr="00655EFF">
              <w:rPr>
                <w:rFonts w:ascii="Arial Narrow" w:hAnsi="Arial Narrow" w:cs="Times New Roman"/>
                <w:b/>
                <w:sz w:val="20"/>
              </w:rPr>
              <w:t xml:space="preserve">+ </w:t>
            </w:r>
            <w:r>
              <w:rPr>
                <w:rFonts w:ascii="Arial Narrow" w:hAnsi="Arial Narrow" w:cs="Times New Roman"/>
                <w:b/>
                <w:sz w:val="20"/>
              </w:rPr>
              <w:t>LINA</w:t>
            </w:r>
            <w:r w:rsidRPr="00655EFF">
              <w:rPr>
                <w:rFonts w:ascii="Arial Narrow" w:hAnsi="Arial Narrow" w:cs="Times New Roman"/>
                <w:b/>
                <w:sz w:val="20"/>
              </w:rPr>
              <w:t xml:space="preserve"> 5</w:t>
            </w:r>
            <w:r w:rsidR="00F451C2">
              <w:rPr>
                <w:rFonts w:ascii="Arial Narrow" w:hAnsi="Arial Narrow" w:cs="Times New Roman"/>
                <w:b/>
                <w:sz w:val="20"/>
              </w:rPr>
              <w:t xml:space="preserve"> </w:t>
            </w:r>
            <w:r w:rsidRPr="00655EFF">
              <w:rPr>
                <w:rFonts w:ascii="Arial Narrow" w:hAnsi="Arial Narrow" w:cs="Times New Roman"/>
                <w:b/>
                <w:sz w:val="20"/>
              </w:rPr>
              <w:t>mg</w:t>
            </w:r>
          </w:p>
        </w:tc>
        <w:tc>
          <w:tcPr>
            <w:tcW w:w="463" w:type="dxa"/>
            <w:tcBorders>
              <w:top w:val="single" w:sz="4" w:space="0" w:color="auto"/>
            </w:tcBorders>
            <w:vAlign w:val="center"/>
          </w:tcPr>
          <w:p w:rsidR="002346FC" w:rsidRPr="00655EFF" w:rsidRDefault="002346FC" w:rsidP="00EF62AB">
            <w:pPr>
              <w:widowControl/>
              <w:ind w:left="-66" w:right="-66"/>
              <w:jc w:val="center"/>
              <w:rPr>
                <w:rFonts w:ascii="Arial Narrow" w:hAnsi="Arial Narrow"/>
                <w:b/>
                <w:sz w:val="20"/>
              </w:rPr>
            </w:pPr>
            <w:r w:rsidRPr="00655EFF">
              <w:rPr>
                <w:rFonts w:ascii="Arial Narrow" w:hAnsi="Arial Narrow"/>
                <w:b/>
                <w:sz w:val="20"/>
              </w:rPr>
              <w:t>n</w:t>
            </w:r>
          </w:p>
        </w:tc>
        <w:tc>
          <w:tcPr>
            <w:tcW w:w="1384" w:type="dxa"/>
            <w:tcBorders>
              <w:top w:val="single" w:sz="4" w:space="0" w:color="auto"/>
            </w:tcBorders>
            <w:vAlign w:val="center"/>
          </w:tcPr>
          <w:p w:rsidR="002346FC" w:rsidRPr="00655EFF" w:rsidRDefault="002346FC" w:rsidP="00EF62AB">
            <w:pPr>
              <w:widowControl/>
              <w:ind w:right="67"/>
              <w:contextualSpacing/>
              <w:jc w:val="center"/>
              <w:rPr>
                <w:rFonts w:ascii="Arial Narrow" w:hAnsi="Arial Narrow" w:cs="Times New Roman"/>
                <w:b/>
                <w:sz w:val="20"/>
              </w:rPr>
            </w:pPr>
            <w:r>
              <w:rPr>
                <w:rFonts w:ascii="Arial Narrow" w:hAnsi="Arial Narrow" w:cs="Times New Roman"/>
                <w:b/>
                <w:sz w:val="20"/>
              </w:rPr>
              <w:t>LINA 5</w:t>
            </w:r>
            <w:r w:rsidR="00F451C2">
              <w:rPr>
                <w:rFonts w:ascii="Arial Narrow" w:hAnsi="Arial Narrow" w:cs="Times New Roman"/>
                <w:b/>
                <w:sz w:val="20"/>
              </w:rPr>
              <w:t xml:space="preserve"> </w:t>
            </w:r>
            <w:r>
              <w:rPr>
                <w:rFonts w:ascii="Arial Narrow" w:hAnsi="Arial Narrow" w:cs="Times New Roman"/>
                <w:b/>
                <w:sz w:val="20"/>
              </w:rPr>
              <w:t>mg</w:t>
            </w:r>
            <w:r w:rsidR="00837B98">
              <w:rPr>
                <w:rFonts w:ascii="Arial Narrow" w:hAnsi="Arial Narrow" w:cs="Times New Roman"/>
                <w:b/>
                <w:sz w:val="20"/>
              </w:rPr>
              <w:t>*</w:t>
            </w:r>
            <w:r>
              <w:rPr>
                <w:rFonts w:ascii="Arial Narrow" w:hAnsi="Arial Narrow" w:cs="Times New Roman"/>
                <w:b/>
                <w:sz w:val="20"/>
              </w:rPr>
              <w:t xml:space="preserve"> or</w:t>
            </w:r>
          </w:p>
          <w:p w:rsidR="002346FC" w:rsidRPr="00655EFF" w:rsidRDefault="002346FC" w:rsidP="00EF62AB">
            <w:pPr>
              <w:widowControl/>
              <w:ind w:left="-66" w:right="-66"/>
              <w:jc w:val="center"/>
              <w:rPr>
                <w:rFonts w:ascii="Arial Narrow" w:hAnsi="Arial Narrow"/>
                <w:b/>
                <w:sz w:val="20"/>
              </w:rPr>
            </w:pPr>
            <w:r>
              <w:rPr>
                <w:rFonts w:ascii="Arial Narrow" w:hAnsi="Arial Narrow" w:cs="Times New Roman"/>
                <w:b/>
                <w:sz w:val="20"/>
              </w:rPr>
              <w:t>SITA</w:t>
            </w:r>
            <w:r w:rsidRPr="00655EFF">
              <w:rPr>
                <w:rFonts w:ascii="Arial Narrow" w:hAnsi="Arial Narrow" w:cs="Times New Roman"/>
                <w:b/>
                <w:sz w:val="20"/>
              </w:rPr>
              <w:t xml:space="preserve"> 100</w:t>
            </w:r>
            <w:r w:rsidR="00F451C2">
              <w:rPr>
                <w:rFonts w:ascii="Arial Narrow" w:hAnsi="Arial Narrow" w:cs="Times New Roman"/>
                <w:b/>
                <w:sz w:val="20"/>
              </w:rPr>
              <w:t xml:space="preserve"> </w:t>
            </w:r>
            <w:r w:rsidRPr="00655EFF">
              <w:rPr>
                <w:rFonts w:ascii="Arial Narrow" w:hAnsi="Arial Narrow" w:cs="Times New Roman"/>
                <w:b/>
                <w:sz w:val="20"/>
              </w:rPr>
              <w:t>mg</w:t>
            </w:r>
            <w:r w:rsidR="00837B98">
              <w:rPr>
                <w:rFonts w:ascii="Arial Narrow" w:hAnsi="Arial Narrow" w:cs="Times New Roman"/>
                <w:b/>
                <w:sz w:val="20"/>
              </w:rPr>
              <w:t>*</w:t>
            </w:r>
          </w:p>
        </w:tc>
        <w:tc>
          <w:tcPr>
            <w:tcW w:w="461" w:type="dxa"/>
            <w:tcBorders>
              <w:top w:val="single" w:sz="4" w:space="0" w:color="auto"/>
            </w:tcBorders>
            <w:vAlign w:val="center"/>
          </w:tcPr>
          <w:p w:rsidR="002346FC" w:rsidRPr="00655EFF" w:rsidRDefault="002346FC" w:rsidP="00EF62AB">
            <w:pPr>
              <w:widowControl/>
              <w:ind w:left="-66" w:right="-66"/>
              <w:jc w:val="center"/>
              <w:rPr>
                <w:rFonts w:ascii="Arial Narrow" w:hAnsi="Arial Narrow"/>
                <w:b/>
                <w:sz w:val="20"/>
              </w:rPr>
            </w:pPr>
            <w:r w:rsidRPr="00655EFF">
              <w:rPr>
                <w:rFonts w:ascii="Arial Narrow" w:hAnsi="Arial Narrow"/>
                <w:b/>
                <w:sz w:val="20"/>
              </w:rPr>
              <w:t>n</w:t>
            </w:r>
          </w:p>
        </w:tc>
        <w:tc>
          <w:tcPr>
            <w:tcW w:w="1314" w:type="dxa"/>
            <w:tcBorders>
              <w:top w:val="single" w:sz="4" w:space="0" w:color="auto"/>
            </w:tcBorders>
            <w:vAlign w:val="center"/>
          </w:tcPr>
          <w:p w:rsidR="002346FC" w:rsidRPr="00655EFF" w:rsidRDefault="002346FC" w:rsidP="00EF62AB">
            <w:pPr>
              <w:widowControl/>
              <w:ind w:left="-66" w:right="-66"/>
              <w:jc w:val="center"/>
              <w:rPr>
                <w:rFonts w:ascii="Arial Narrow" w:hAnsi="Arial Narrow"/>
                <w:b/>
                <w:sz w:val="20"/>
              </w:rPr>
            </w:pPr>
            <w:r>
              <w:rPr>
                <w:rFonts w:ascii="Arial Narrow" w:hAnsi="Arial Narrow" w:cs="Times New Roman"/>
                <w:b/>
                <w:sz w:val="20"/>
              </w:rPr>
              <w:t>Exenatide 2</w:t>
            </w:r>
            <w:r w:rsidR="00F451C2">
              <w:rPr>
                <w:rFonts w:ascii="Arial Narrow" w:hAnsi="Arial Narrow" w:cs="Times New Roman"/>
                <w:b/>
                <w:sz w:val="20"/>
              </w:rPr>
              <w:t xml:space="preserve"> </w:t>
            </w:r>
            <w:r>
              <w:rPr>
                <w:rFonts w:ascii="Arial Narrow" w:hAnsi="Arial Narrow" w:cs="Times New Roman"/>
                <w:b/>
                <w:sz w:val="20"/>
              </w:rPr>
              <w:t>mg</w:t>
            </w:r>
          </w:p>
        </w:tc>
        <w:tc>
          <w:tcPr>
            <w:tcW w:w="1517" w:type="dxa"/>
            <w:tcBorders>
              <w:top w:val="single" w:sz="4" w:space="0" w:color="auto"/>
            </w:tcBorders>
            <w:vAlign w:val="center"/>
          </w:tcPr>
          <w:p w:rsidR="002346FC" w:rsidRPr="00655EFF" w:rsidRDefault="002346FC" w:rsidP="00EF62AB">
            <w:pPr>
              <w:widowControl/>
              <w:ind w:left="-66" w:right="-66"/>
              <w:jc w:val="center"/>
              <w:rPr>
                <w:rFonts w:ascii="Arial Narrow" w:hAnsi="Arial Narrow"/>
                <w:sz w:val="20"/>
              </w:rPr>
            </w:pPr>
          </w:p>
        </w:tc>
      </w:tr>
      <w:tr w:rsidR="002346FC" w:rsidRPr="00655EFF" w:rsidTr="00D25546">
        <w:tc>
          <w:tcPr>
            <w:tcW w:w="1363" w:type="dxa"/>
            <w:shd w:val="clear" w:color="auto" w:fill="auto"/>
          </w:tcPr>
          <w:p w:rsidR="002346FC" w:rsidRPr="00655EFF" w:rsidRDefault="002346FC" w:rsidP="00EF62AB">
            <w:pPr>
              <w:widowControl/>
              <w:ind w:left="-80"/>
              <w:rPr>
                <w:rFonts w:ascii="Arial Narrow" w:hAnsi="Arial Narrow"/>
                <w:sz w:val="20"/>
              </w:rPr>
            </w:pPr>
            <w:r w:rsidRPr="00655EFF">
              <w:rPr>
                <w:rFonts w:ascii="Arial Narrow" w:hAnsi="Arial Narrow"/>
                <w:sz w:val="20"/>
              </w:rPr>
              <w:t>1275.1</w:t>
            </w:r>
            <w:r>
              <w:rPr>
                <w:rFonts w:ascii="Arial Narrow" w:hAnsi="Arial Narrow"/>
                <w:sz w:val="20"/>
              </w:rPr>
              <w:t xml:space="preserve"> (24 wks)</w:t>
            </w:r>
          </w:p>
        </w:tc>
        <w:tc>
          <w:tcPr>
            <w:tcW w:w="462" w:type="dxa"/>
            <w:shd w:val="clear" w:color="auto" w:fill="auto"/>
            <w:vAlign w:val="bottom"/>
          </w:tcPr>
          <w:p w:rsidR="002346FC" w:rsidRPr="00655EFF" w:rsidRDefault="002346FC" w:rsidP="00EF62AB">
            <w:pPr>
              <w:widowControl/>
              <w:ind w:left="-66" w:right="-66"/>
              <w:jc w:val="center"/>
              <w:rPr>
                <w:rFonts w:ascii="Arial Narrow" w:hAnsi="Arial Narrow"/>
                <w:sz w:val="20"/>
              </w:rPr>
            </w:pPr>
            <w:r>
              <w:rPr>
                <w:rFonts w:ascii="Arial Narrow" w:hAnsi="Arial Narrow" w:cs="Times New Roman"/>
                <w:sz w:val="20"/>
              </w:rPr>
              <w:t>135</w:t>
            </w:r>
          </w:p>
        </w:tc>
        <w:tc>
          <w:tcPr>
            <w:tcW w:w="1403" w:type="dxa"/>
            <w:shd w:val="clear" w:color="auto" w:fill="auto"/>
            <w:vAlign w:val="bottom"/>
          </w:tcPr>
          <w:p w:rsidR="002346FC" w:rsidRPr="006C7FA0" w:rsidRDefault="002346FC" w:rsidP="00EF62AB">
            <w:pPr>
              <w:widowControl/>
              <w:ind w:left="-66" w:right="-66"/>
              <w:jc w:val="center"/>
              <w:rPr>
                <w:rFonts w:ascii="Arial Narrow" w:hAnsi="Arial Narrow"/>
                <w:sz w:val="20"/>
              </w:rPr>
            </w:pPr>
            <w:r w:rsidRPr="006C7FA0">
              <w:rPr>
                <w:rFonts w:ascii="Arial Narrow" w:hAnsi="Arial Narrow"/>
                <w:sz w:val="20"/>
              </w:rPr>
              <w:t>-</w:t>
            </w:r>
            <w:r>
              <w:rPr>
                <w:rFonts w:ascii="Arial Narrow" w:hAnsi="Arial Narrow"/>
                <w:sz w:val="20"/>
              </w:rPr>
              <w:t>1.08 (0.70</w:t>
            </w:r>
            <w:r w:rsidRPr="006C7FA0">
              <w:rPr>
                <w:rFonts w:ascii="Arial Narrow" w:hAnsi="Arial Narrow"/>
                <w:sz w:val="20"/>
              </w:rPr>
              <w:t>)</w:t>
            </w:r>
          </w:p>
        </w:tc>
        <w:tc>
          <w:tcPr>
            <w:tcW w:w="463" w:type="dxa"/>
            <w:shd w:val="clear" w:color="auto" w:fill="auto"/>
            <w:vAlign w:val="bottom"/>
          </w:tcPr>
          <w:p w:rsidR="002346FC" w:rsidRPr="00655EFF" w:rsidRDefault="002346FC" w:rsidP="00EF62AB">
            <w:pPr>
              <w:widowControl/>
              <w:ind w:left="-66" w:right="-66"/>
              <w:jc w:val="center"/>
              <w:rPr>
                <w:rFonts w:ascii="Arial Narrow" w:hAnsi="Arial Narrow"/>
                <w:sz w:val="20"/>
              </w:rPr>
            </w:pPr>
            <w:r>
              <w:rPr>
                <w:rFonts w:ascii="Arial Narrow" w:hAnsi="Arial Narrow" w:cs="Times New Roman"/>
                <w:sz w:val="20"/>
              </w:rPr>
              <w:t>128</w:t>
            </w:r>
          </w:p>
        </w:tc>
        <w:tc>
          <w:tcPr>
            <w:tcW w:w="1384" w:type="dxa"/>
            <w:shd w:val="clear" w:color="auto" w:fill="auto"/>
            <w:vAlign w:val="bottom"/>
          </w:tcPr>
          <w:p w:rsidR="002346FC" w:rsidRDefault="002346FC" w:rsidP="00EF62AB">
            <w:pPr>
              <w:widowControl/>
              <w:ind w:left="-66" w:right="-66"/>
              <w:jc w:val="center"/>
              <w:rPr>
                <w:rFonts w:ascii="Arial Narrow" w:hAnsi="Arial Narrow"/>
                <w:sz w:val="20"/>
              </w:rPr>
            </w:pPr>
            <w:r>
              <w:rPr>
                <w:rFonts w:ascii="Arial Narrow" w:hAnsi="Arial Narrow"/>
                <w:sz w:val="20"/>
              </w:rPr>
              <w:t>-0.70</w:t>
            </w:r>
            <w:r w:rsidRPr="006C7FA0">
              <w:rPr>
                <w:rFonts w:ascii="Arial Narrow" w:hAnsi="Arial Narrow"/>
                <w:sz w:val="20"/>
              </w:rPr>
              <w:t xml:space="preserve"> (0.</w:t>
            </w:r>
            <w:r>
              <w:rPr>
                <w:rFonts w:ascii="Arial Narrow" w:hAnsi="Arial Narrow"/>
                <w:sz w:val="20"/>
              </w:rPr>
              <w:t>68</w:t>
            </w:r>
            <w:r w:rsidRPr="006C7FA0">
              <w:rPr>
                <w:rFonts w:ascii="Arial Narrow" w:hAnsi="Arial Narrow"/>
                <w:sz w:val="20"/>
              </w:rPr>
              <w:t>)</w:t>
            </w:r>
          </w:p>
        </w:tc>
        <w:tc>
          <w:tcPr>
            <w:tcW w:w="461" w:type="dxa"/>
            <w:shd w:val="clear" w:color="auto" w:fill="auto"/>
            <w:vAlign w:val="center"/>
          </w:tcPr>
          <w:p w:rsidR="002346FC" w:rsidRPr="00655EFF" w:rsidRDefault="002346FC" w:rsidP="00EF62AB">
            <w:pPr>
              <w:widowControl/>
              <w:ind w:left="-66" w:right="-66"/>
              <w:jc w:val="center"/>
              <w:rPr>
                <w:rFonts w:ascii="Arial Narrow" w:hAnsi="Arial Narrow"/>
                <w:sz w:val="20"/>
              </w:rPr>
            </w:pPr>
            <w:r>
              <w:rPr>
                <w:rFonts w:ascii="Arial Narrow" w:hAnsi="Arial Narrow"/>
                <w:sz w:val="20"/>
              </w:rPr>
              <w:t>-</w:t>
            </w:r>
          </w:p>
        </w:tc>
        <w:tc>
          <w:tcPr>
            <w:tcW w:w="1314" w:type="dxa"/>
            <w:shd w:val="clear" w:color="auto" w:fill="auto"/>
            <w:vAlign w:val="center"/>
          </w:tcPr>
          <w:p w:rsidR="002346FC" w:rsidRPr="00655EFF" w:rsidRDefault="002346FC" w:rsidP="00EF62AB">
            <w:pPr>
              <w:widowControl/>
              <w:ind w:left="-66" w:right="-66"/>
              <w:jc w:val="center"/>
              <w:rPr>
                <w:rFonts w:ascii="Arial Narrow" w:hAnsi="Arial Narrow"/>
                <w:sz w:val="20"/>
              </w:rPr>
            </w:pPr>
            <w:r>
              <w:rPr>
                <w:rFonts w:ascii="Arial Narrow" w:hAnsi="Arial Narrow"/>
                <w:sz w:val="20"/>
              </w:rPr>
              <w:t>-</w:t>
            </w:r>
          </w:p>
        </w:tc>
        <w:tc>
          <w:tcPr>
            <w:tcW w:w="1517" w:type="dxa"/>
            <w:shd w:val="clear" w:color="auto" w:fill="auto"/>
            <w:vAlign w:val="center"/>
          </w:tcPr>
          <w:p w:rsidR="002346FC" w:rsidRPr="00953BD1" w:rsidRDefault="002346FC" w:rsidP="00EF62AB">
            <w:pPr>
              <w:widowControl/>
              <w:ind w:left="-66" w:right="-66"/>
              <w:jc w:val="center"/>
              <w:rPr>
                <w:rFonts w:ascii="Arial Narrow" w:hAnsi="Arial Narrow"/>
                <w:b/>
                <w:sz w:val="20"/>
              </w:rPr>
            </w:pPr>
            <w:r w:rsidRPr="00953BD1">
              <w:rPr>
                <w:rFonts w:ascii="Arial Narrow" w:hAnsi="Arial Narrow"/>
                <w:b/>
                <w:sz w:val="20"/>
              </w:rPr>
              <w:t>-0.</w:t>
            </w:r>
            <w:r>
              <w:rPr>
                <w:rFonts w:ascii="Arial Narrow" w:hAnsi="Arial Narrow"/>
                <w:b/>
                <w:sz w:val="20"/>
              </w:rPr>
              <w:t>38</w:t>
            </w:r>
            <w:r w:rsidRPr="00953BD1">
              <w:rPr>
                <w:rFonts w:ascii="Arial Narrow" w:hAnsi="Arial Narrow"/>
                <w:b/>
                <w:sz w:val="20"/>
              </w:rPr>
              <w:t xml:space="preserve"> (-</w:t>
            </w:r>
            <w:r>
              <w:rPr>
                <w:rFonts w:ascii="Arial Narrow" w:hAnsi="Arial Narrow"/>
                <w:b/>
                <w:sz w:val="20"/>
              </w:rPr>
              <w:t>0.55</w:t>
            </w:r>
            <w:r w:rsidRPr="00953BD1">
              <w:rPr>
                <w:rFonts w:ascii="Arial Narrow" w:hAnsi="Arial Narrow"/>
                <w:b/>
                <w:sz w:val="20"/>
              </w:rPr>
              <w:t>, -0.</w:t>
            </w:r>
            <w:r>
              <w:rPr>
                <w:rFonts w:ascii="Arial Narrow" w:hAnsi="Arial Narrow"/>
                <w:b/>
                <w:sz w:val="20"/>
              </w:rPr>
              <w:t>20</w:t>
            </w:r>
            <w:r w:rsidRPr="00953BD1">
              <w:rPr>
                <w:rFonts w:ascii="Arial Narrow" w:hAnsi="Arial Narrow"/>
                <w:b/>
                <w:sz w:val="20"/>
              </w:rPr>
              <w:t>)</w:t>
            </w:r>
          </w:p>
        </w:tc>
      </w:tr>
      <w:tr w:rsidR="002346FC" w:rsidRPr="00655EFF" w:rsidTr="00D25546">
        <w:tc>
          <w:tcPr>
            <w:tcW w:w="1363" w:type="dxa"/>
          </w:tcPr>
          <w:p w:rsidR="002346FC" w:rsidRPr="00655EFF" w:rsidRDefault="002346FC" w:rsidP="00EF62AB">
            <w:pPr>
              <w:widowControl/>
              <w:ind w:left="-80"/>
              <w:rPr>
                <w:rFonts w:ascii="Arial Narrow" w:hAnsi="Arial Narrow"/>
                <w:sz w:val="20"/>
              </w:rPr>
            </w:pPr>
            <w:r>
              <w:rPr>
                <w:rFonts w:ascii="Arial Narrow" w:hAnsi="Arial Narrow"/>
                <w:sz w:val="20"/>
              </w:rPr>
              <w:t>Duration 2 (26 wks)</w:t>
            </w:r>
          </w:p>
        </w:tc>
        <w:tc>
          <w:tcPr>
            <w:tcW w:w="462" w:type="dxa"/>
            <w:vAlign w:val="center"/>
          </w:tcPr>
          <w:p w:rsidR="002346FC" w:rsidRPr="00655EFF" w:rsidRDefault="002346FC" w:rsidP="00EF62AB">
            <w:pPr>
              <w:widowControl/>
              <w:ind w:left="-66" w:right="-66"/>
              <w:jc w:val="center"/>
              <w:rPr>
                <w:rFonts w:ascii="Arial Narrow" w:hAnsi="Arial Narrow"/>
                <w:sz w:val="20"/>
              </w:rPr>
            </w:pPr>
            <w:r>
              <w:rPr>
                <w:rFonts w:ascii="Arial Narrow" w:hAnsi="Arial Narrow"/>
                <w:sz w:val="20"/>
              </w:rPr>
              <w:t>-</w:t>
            </w:r>
          </w:p>
        </w:tc>
        <w:tc>
          <w:tcPr>
            <w:tcW w:w="1403" w:type="dxa"/>
            <w:vAlign w:val="center"/>
          </w:tcPr>
          <w:p w:rsidR="002346FC" w:rsidRPr="00655EFF" w:rsidRDefault="002346FC" w:rsidP="00EF62AB">
            <w:pPr>
              <w:widowControl/>
              <w:ind w:left="-66" w:right="-66"/>
              <w:jc w:val="center"/>
              <w:rPr>
                <w:rFonts w:ascii="Arial Narrow" w:hAnsi="Arial Narrow"/>
                <w:sz w:val="20"/>
              </w:rPr>
            </w:pPr>
            <w:r>
              <w:rPr>
                <w:rFonts w:ascii="Arial Narrow" w:hAnsi="Arial Narrow"/>
                <w:sz w:val="20"/>
              </w:rPr>
              <w:t>-</w:t>
            </w:r>
          </w:p>
        </w:tc>
        <w:tc>
          <w:tcPr>
            <w:tcW w:w="463" w:type="dxa"/>
            <w:vAlign w:val="center"/>
          </w:tcPr>
          <w:p w:rsidR="002346FC" w:rsidRPr="00655EFF" w:rsidRDefault="002346FC" w:rsidP="00EF62AB">
            <w:pPr>
              <w:widowControl/>
              <w:ind w:left="-66" w:right="-66"/>
              <w:jc w:val="center"/>
              <w:rPr>
                <w:rFonts w:ascii="Arial Narrow" w:hAnsi="Arial Narrow"/>
                <w:sz w:val="20"/>
              </w:rPr>
            </w:pPr>
            <w:r>
              <w:rPr>
                <w:rFonts w:ascii="Arial Narrow" w:hAnsi="Arial Narrow" w:cs="Times New Roman"/>
                <w:sz w:val="20"/>
              </w:rPr>
              <w:t>162</w:t>
            </w:r>
          </w:p>
        </w:tc>
        <w:tc>
          <w:tcPr>
            <w:tcW w:w="1384" w:type="dxa"/>
            <w:vAlign w:val="center"/>
          </w:tcPr>
          <w:p w:rsidR="002346FC" w:rsidRPr="00655EFF" w:rsidRDefault="002346FC" w:rsidP="00EF62AB">
            <w:pPr>
              <w:widowControl/>
              <w:ind w:left="-66" w:right="-66"/>
              <w:jc w:val="center"/>
              <w:rPr>
                <w:rFonts w:ascii="Arial Narrow" w:hAnsi="Arial Narrow"/>
                <w:sz w:val="20"/>
              </w:rPr>
            </w:pPr>
            <w:r>
              <w:rPr>
                <w:rFonts w:ascii="Arial Narrow" w:hAnsi="Arial Narrow" w:cs="Times New Roman"/>
                <w:sz w:val="20"/>
              </w:rPr>
              <w:t>-0.92 (0.94)</w:t>
            </w:r>
          </w:p>
        </w:tc>
        <w:tc>
          <w:tcPr>
            <w:tcW w:w="461" w:type="dxa"/>
            <w:vAlign w:val="center"/>
          </w:tcPr>
          <w:p w:rsidR="002346FC" w:rsidRPr="00655EFF" w:rsidRDefault="002346FC" w:rsidP="00EF62AB">
            <w:pPr>
              <w:widowControl/>
              <w:ind w:left="-66" w:right="-66"/>
              <w:jc w:val="center"/>
              <w:rPr>
                <w:rFonts w:ascii="Arial Narrow" w:hAnsi="Arial Narrow"/>
                <w:sz w:val="20"/>
              </w:rPr>
            </w:pPr>
            <w:r>
              <w:rPr>
                <w:rFonts w:ascii="Arial Narrow" w:hAnsi="Arial Narrow" w:cs="Times New Roman"/>
                <w:sz w:val="20"/>
              </w:rPr>
              <w:t>159</w:t>
            </w:r>
          </w:p>
        </w:tc>
        <w:tc>
          <w:tcPr>
            <w:tcW w:w="1314" w:type="dxa"/>
            <w:vAlign w:val="center"/>
          </w:tcPr>
          <w:p w:rsidR="002346FC" w:rsidRPr="00655EFF" w:rsidRDefault="002346FC" w:rsidP="00EF62AB">
            <w:pPr>
              <w:widowControl/>
              <w:ind w:left="-66" w:right="-66"/>
              <w:jc w:val="center"/>
              <w:rPr>
                <w:rFonts w:ascii="Arial Narrow" w:hAnsi="Arial Narrow"/>
                <w:sz w:val="20"/>
              </w:rPr>
            </w:pPr>
            <w:r>
              <w:rPr>
                <w:rFonts w:ascii="Arial Narrow" w:hAnsi="Arial Narrow" w:cs="Times New Roman"/>
                <w:sz w:val="20"/>
              </w:rPr>
              <w:t>-1.55 (0.90)</w:t>
            </w:r>
          </w:p>
        </w:tc>
        <w:tc>
          <w:tcPr>
            <w:tcW w:w="1517" w:type="dxa"/>
            <w:vAlign w:val="center"/>
          </w:tcPr>
          <w:p w:rsidR="002346FC" w:rsidRPr="00655EFF" w:rsidRDefault="002346FC" w:rsidP="00EF62AB">
            <w:pPr>
              <w:widowControl/>
              <w:ind w:left="-66" w:right="-66"/>
              <w:jc w:val="center"/>
              <w:rPr>
                <w:rFonts w:ascii="Arial Narrow" w:hAnsi="Arial Narrow"/>
                <w:sz w:val="20"/>
              </w:rPr>
            </w:pPr>
            <w:r w:rsidRPr="00953BD1">
              <w:rPr>
                <w:rFonts w:ascii="Arial Narrow" w:hAnsi="Arial Narrow" w:cs="Times New Roman"/>
                <w:b/>
                <w:sz w:val="20"/>
              </w:rPr>
              <w:t>-</w:t>
            </w:r>
            <w:r>
              <w:rPr>
                <w:rFonts w:ascii="Arial Narrow" w:hAnsi="Arial Narrow" w:cs="Times New Roman"/>
                <w:b/>
                <w:sz w:val="20"/>
              </w:rPr>
              <w:t>0.63</w:t>
            </w:r>
            <w:r w:rsidRPr="00953BD1">
              <w:rPr>
                <w:rFonts w:ascii="Arial Narrow" w:hAnsi="Arial Narrow" w:cs="Times New Roman"/>
                <w:b/>
                <w:sz w:val="20"/>
              </w:rPr>
              <w:t xml:space="preserve"> (-</w:t>
            </w:r>
            <w:r>
              <w:rPr>
                <w:rFonts w:ascii="Arial Narrow" w:hAnsi="Arial Narrow" w:cs="Times New Roman"/>
                <w:b/>
                <w:sz w:val="20"/>
              </w:rPr>
              <w:t>0.91</w:t>
            </w:r>
            <w:r w:rsidRPr="00953BD1">
              <w:rPr>
                <w:rFonts w:ascii="Arial Narrow" w:hAnsi="Arial Narrow" w:cs="Times New Roman"/>
                <w:b/>
                <w:sz w:val="20"/>
              </w:rPr>
              <w:t>, -0.</w:t>
            </w:r>
            <w:r>
              <w:rPr>
                <w:rFonts w:ascii="Arial Narrow" w:hAnsi="Arial Narrow" w:cs="Times New Roman"/>
                <w:b/>
                <w:sz w:val="20"/>
              </w:rPr>
              <w:t>35</w:t>
            </w:r>
            <w:r w:rsidRPr="00953BD1">
              <w:rPr>
                <w:rFonts w:ascii="Arial Narrow" w:hAnsi="Arial Narrow" w:cs="Times New Roman"/>
                <w:b/>
                <w:sz w:val="20"/>
              </w:rPr>
              <w:t>)</w:t>
            </w:r>
          </w:p>
        </w:tc>
      </w:tr>
      <w:tr w:rsidR="002346FC" w:rsidRPr="00655EFF" w:rsidTr="00D25546">
        <w:tc>
          <w:tcPr>
            <w:tcW w:w="1363" w:type="dxa"/>
          </w:tcPr>
          <w:p w:rsidR="002346FC" w:rsidRPr="00655EFF" w:rsidRDefault="002346FC" w:rsidP="00EF62AB">
            <w:pPr>
              <w:widowControl/>
              <w:ind w:left="-80"/>
              <w:rPr>
                <w:rFonts w:ascii="Arial Narrow" w:hAnsi="Arial Narrow"/>
                <w:sz w:val="20"/>
              </w:rPr>
            </w:pPr>
            <w:r>
              <w:rPr>
                <w:rFonts w:ascii="Arial Narrow" w:hAnsi="Arial Narrow"/>
                <w:sz w:val="20"/>
              </w:rPr>
              <w:t>Duration Neo 2 (28 wks)</w:t>
            </w:r>
          </w:p>
        </w:tc>
        <w:tc>
          <w:tcPr>
            <w:tcW w:w="462" w:type="dxa"/>
            <w:vAlign w:val="center"/>
          </w:tcPr>
          <w:p w:rsidR="002346FC" w:rsidRPr="00655EFF" w:rsidRDefault="002346FC" w:rsidP="00EF62AB">
            <w:pPr>
              <w:widowControl/>
              <w:ind w:left="-66" w:right="-66"/>
              <w:jc w:val="center"/>
              <w:rPr>
                <w:rFonts w:ascii="Arial Narrow" w:hAnsi="Arial Narrow"/>
                <w:sz w:val="20"/>
              </w:rPr>
            </w:pPr>
            <w:r w:rsidRPr="00655EFF">
              <w:rPr>
                <w:rFonts w:ascii="Arial Narrow" w:hAnsi="Arial Narrow"/>
                <w:sz w:val="20"/>
              </w:rPr>
              <w:t>-</w:t>
            </w:r>
          </w:p>
        </w:tc>
        <w:tc>
          <w:tcPr>
            <w:tcW w:w="1403" w:type="dxa"/>
            <w:vAlign w:val="center"/>
          </w:tcPr>
          <w:p w:rsidR="002346FC" w:rsidRPr="00655EFF" w:rsidRDefault="002346FC" w:rsidP="00EF62AB">
            <w:pPr>
              <w:widowControl/>
              <w:ind w:left="-66" w:right="-66"/>
              <w:jc w:val="center"/>
              <w:rPr>
                <w:rFonts w:ascii="Arial Narrow" w:hAnsi="Arial Narrow"/>
                <w:sz w:val="20"/>
              </w:rPr>
            </w:pPr>
            <w:r w:rsidRPr="00655EFF">
              <w:rPr>
                <w:rFonts w:ascii="Arial Narrow" w:hAnsi="Arial Narrow"/>
                <w:sz w:val="20"/>
              </w:rPr>
              <w:t>-</w:t>
            </w:r>
          </w:p>
        </w:tc>
        <w:tc>
          <w:tcPr>
            <w:tcW w:w="463" w:type="dxa"/>
            <w:vAlign w:val="center"/>
          </w:tcPr>
          <w:p w:rsidR="002346FC" w:rsidRPr="00655EFF" w:rsidRDefault="002346FC" w:rsidP="00EF62AB">
            <w:pPr>
              <w:widowControl/>
              <w:ind w:left="-66" w:right="-66"/>
              <w:jc w:val="center"/>
              <w:rPr>
                <w:rFonts w:ascii="Arial Narrow" w:hAnsi="Arial Narrow"/>
                <w:sz w:val="20"/>
              </w:rPr>
            </w:pPr>
            <w:r>
              <w:rPr>
                <w:rFonts w:ascii="Arial Narrow" w:hAnsi="Arial Narrow" w:cs="Times New Roman"/>
                <w:sz w:val="20"/>
              </w:rPr>
              <w:t>122</w:t>
            </w:r>
          </w:p>
        </w:tc>
        <w:tc>
          <w:tcPr>
            <w:tcW w:w="1384" w:type="dxa"/>
            <w:vAlign w:val="center"/>
          </w:tcPr>
          <w:p w:rsidR="002346FC" w:rsidRPr="00655EFF" w:rsidRDefault="002346FC" w:rsidP="00EF62AB">
            <w:pPr>
              <w:widowControl/>
              <w:ind w:left="-66" w:right="-66"/>
              <w:jc w:val="center"/>
              <w:rPr>
                <w:rFonts w:ascii="Arial Narrow" w:hAnsi="Arial Narrow"/>
                <w:sz w:val="20"/>
              </w:rPr>
            </w:pPr>
            <w:r>
              <w:rPr>
                <w:rFonts w:ascii="Arial Narrow" w:hAnsi="Arial Narrow" w:cs="Times New Roman"/>
                <w:sz w:val="20"/>
              </w:rPr>
              <w:t>-0.75 (0.94)</w:t>
            </w:r>
          </w:p>
        </w:tc>
        <w:tc>
          <w:tcPr>
            <w:tcW w:w="461" w:type="dxa"/>
            <w:vAlign w:val="center"/>
          </w:tcPr>
          <w:p w:rsidR="002346FC" w:rsidRPr="00655EFF" w:rsidRDefault="002346FC" w:rsidP="00EF62AB">
            <w:pPr>
              <w:widowControl/>
              <w:ind w:left="-66" w:right="-66"/>
              <w:jc w:val="center"/>
              <w:rPr>
                <w:rFonts w:ascii="Arial Narrow" w:hAnsi="Arial Narrow"/>
                <w:sz w:val="20"/>
              </w:rPr>
            </w:pPr>
            <w:r>
              <w:rPr>
                <w:rFonts w:ascii="Arial Narrow" w:hAnsi="Arial Narrow" w:cs="Times New Roman"/>
                <w:sz w:val="20"/>
              </w:rPr>
              <w:t>181</w:t>
            </w:r>
          </w:p>
        </w:tc>
        <w:tc>
          <w:tcPr>
            <w:tcW w:w="1314" w:type="dxa"/>
            <w:vAlign w:val="center"/>
          </w:tcPr>
          <w:p w:rsidR="002346FC" w:rsidRPr="00655EFF" w:rsidRDefault="002346FC" w:rsidP="00EF62AB">
            <w:pPr>
              <w:widowControl/>
              <w:ind w:left="-66" w:right="-66"/>
              <w:jc w:val="center"/>
              <w:rPr>
                <w:rFonts w:ascii="Arial Narrow" w:hAnsi="Arial Narrow"/>
                <w:sz w:val="20"/>
              </w:rPr>
            </w:pPr>
            <w:r>
              <w:rPr>
                <w:rFonts w:ascii="Arial Narrow" w:hAnsi="Arial Narrow" w:cs="Times New Roman"/>
                <w:sz w:val="20"/>
              </w:rPr>
              <w:t>-1.13 (0.90)</w:t>
            </w:r>
          </w:p>
        </w:tc>
        <w:tc>
          <w:tcPr>
            <w:tcW w:w="1517" w:type="dxa"/>
            <w:vAlign w:val="center"/>
          </w:tcPr>
          <w:p w:rsidR="002346FC" w:rsidRPr="00655EFF" w:rsidRDefault="002346FC" w:rsidP="00EF62AB">
            <w:pPr>
              <w:widowControl/>
              <w:ind w:left="-66" w:right="-66"/>
              <w:jc w:val="center"/>
              <w:rPr>
                <w:rFonts w:ascii="Arial Narrow" w:hAnsi="Arial Narrow"/>
                <w:sz w:val="20"/>
              </w:rPr>
            </w:pPr>
            <w:r w:rsidRPr="00953BD1">
              <w:rPr>
                <w:rFonts w:ascii="Arial Narrow" w:hAnsi="Arial Narrow" w:cs="Times New Roman"/>
                <w:b/>
                <w:sz w:val="20"/>
              </w:rPr>
              <w:t>-</w:t>
            </w:r>
            <w:r>
              <w:rPr>
                <w:rFonts w:ascii="Arial Narrow" w:hAnsi="Arial Narrow" w:cs="Times New Roman"/>
                <w:b/>
                <w:sz w:val="20"/>
              </w:rPr>
              <w:t>0.59</w:t>
            </w:r>
            <w:r w:rsidRPr="00953BD1">
              <w:rPr>
                <w:rFonts w:ascii="Arial Narrow" w:hAnsi="Arial Narrow" w:cs="Times New Roman"/>
                <w:b/>
                <w:sz w:val="20"/>
              </w:rPr>
              <w:t xml:space="preserve"> (-</w:t>
            </w:r>
            <w:r>
              <w:rPr>
                <w:rFonts w:ascii="Arial Narrow" w:hAnsi="Arial Narrow" w:cs="Times New Roman"/>
                <w:b/>
                <w:sz w:val="20"/>
              </w:rPr>
              <w:t>0.72</w:t>
            </w:r>
            <w:r w:rsidRPr="00953BD1">
              <w:rPr>
                <w:rFonts w:ascii="Arial Narrow" w:hAnsi="Arial Narrow" w:cs="Times New Roman"/>
                <w:b/>
                <w:sz w:val="20"/>
              </w:rPr>
              <w:t>, -0.</w:t>
            </w:r>
            <w:r>
              <w:rPr>
                <w:rFonts w:ascii="Arial Narrow" w:hAnsi="Arial Narrow" w:cs="Times New Roman"/>
                <w:b/>
                <w:sz w:val="20"/>
              </w:rPr>
              <w:t>04</w:t>
            </w:r>
            <w:r w:rsidRPr="00953BD1">
              <w:rPr>
                <w:rFonts w:ascii="Arial Narrow" w:hAnsi="Arial Narrow" w:cs="Times New Roman"/>
                <w:b/>
                <w:sz w:val="20"/>
              </w:rPr>
              <w:t>)</w:t>
            </w:r>
          </w:p>
        </w:tc>
      </w:tr>
      <w:tr w:rsidR="002346FC" w:rsidRPr="00655EFF" w:rsidTr="00D25546">
        <w:tc>
          <w:tcPr>
            <w:tcW w:w="6850" w:type="dxa"/>
            <w:gridSpan w:val="7"/>
          </w:tcPr>
          <w:p w:rsidR="002346FC" w:rsidRPr="00827E04" w:rsidRDefault="002346FC" w:rsidP="00EF62AB">
            <w:pPr>
              <w:widowControl/>
              <w:tabs>
                <w:tab w:val="right" w:pos="6634"/>
              </w:tabs>
              <w:ind w:left="-80"/>
              <w:contextualSpacing/>
              <w:jc w:val="left"/>
              <w:rPr>
                <w:rFonts w:ascii="Arial Narrow" w:hAnsi="Arial Narrow" w:cs="Times New Roman"/>
                <w:sz w:val="20"/>
              </w:rPr>
            </w:pPr>
            <w:r w:rsidRPr="00827E04">
              <w:rPr>
                <w:rFonts w:ascii="Arial Narrow" w:hAnsi="Arial Narrow" w:cs="Times New Roman"/>
                <w:sz w:val="20"/>
              </w:rPr>
              <w:t>Indirect comparisons (24 wks) All</w:t>
            </w:r>
            <w:r w:rsidRPr="00827E04">
              <w:rPr>
                <w:rFonts w:ascii="Arial Narrow" w:hAnsi="Arial Narrow" w:cs="Times New Roman"/>
                <w:sz w:val="20"/>
              </w:rPr>
              <w:tab/>
              <w:t>empagliflozin 10</w:t>
            </w:r>
            <w:r w:rsidR="00CC1010">
              <w:rPr>
                <w:rFonts w:ascii="Arial Narrow" w:hAnsi="Arial Narrow" w:cs="Times New Roman"/>
                <w:sz w:val="20"/>
              </w:rPr>
              <w:t xml:space="preserve"> </w:t>
            </w:r>
            <w:r w:rsidRPr="00827E04">
              <w:rPr>
                <w:rFonts w:ascii="Arial Narrow" w:hAnsi="Arial Narrow" w:cs="Times New Roman"/>
                <w:sz w:val="20"/>
              </w:rPr>
              <w:t>mg + linagliptin 5</w:t>
            </w:r>
            <w:r w:rsidR="00CC1010">
              <w:rPr>
                <w:rFonts w:ascii="Arial Narrow" w:hAnsi="Arial Narrow" w:cs="Times New Roman"/>
                <w:sz w:val="20"/>
              </w:rPr>
              <w:t xml:space="preserve"> </w:t>
            </w:r>
            <w:r w:rsidRPr="00827E04">
              <w:rPr>
                <w:rFonts w:ascii="Arial Narrow" w:hAnsi="Arial Narrow" w:cs="Times New Roman"/>
                <w:sz w:val="20"/>
              </w:rPr>
              <w:t>mg vs exenatide</w:t>
            </w:r>
          </w:p>
        </w:tc>
        <w:tc>
          <w:tcPr>
            <w:tcW w:w="1517" w:type="dxa"/>
            <w:vAlign w:val="center"/>
          </w:tcPr>
          <w:p w:rsidR="002346FC" w:rsidRPr="00505399" w:rsidRDefault="00505399" w:rsidP="00EF62AB">
            <w:pPr>
              <w:widowControl/>
              <w:ind w:left="-66" w:right="-66"/>
              <w:jc w:val="center"/>
              <w:rPr>
                <w:rFonts w:ascii="Arial Narrow" w:hAnsi="Arial Narrow"/>
                <w:sz w:val="20"/>
                <w:highlight w:val="black"/>
              </w:rPr>
            </w:pPr>
            <w:r>
              <w:rPr>
                <w:rFonts w:ascii="Arial Narrow" w:hAnsi="Arial Narrow" w:cs="Times New Roman"/>
                <w:noProof/>
                <w:color w:val="000000"/>
                <w:sz w:val="20"/>
                <w:highlight w:val="black"/>
              </w:rPr>
              <w:t>'''''''''' ''''''''''''''' '''''''''''</w:t>
            </w:r>
          </w:p>
        </w:tc>
      </w:tr>
      <w:tr w:rsidR="002346FC" w:rsidRPr="00655EFF" w:rsidTr="00D25546">
        <w:tc>
          <w:tcPr>
            <w:tcW w:w="6850" w:type="dxa"/>
            <w:gridSpan w:val="7"/>
          </w:tcPr>
          <w:p w:rsidR="002346FC" w:rsidRPr="00A104F4" w:rsidRDefault="002346FC" w:rsidP="00EF62AB">
            <w:pPr>
              <w:widowControl/>
              <w:tabs>
                <w:tab w:val="right" w:pos="6634"/>
              </w:tabs>
              <w:ind w:left="-80"/>
              <w:contextualSpacing/>
              <w:jc w:val="left"/>
              <w:rPr>
                <w:rFonts w:ascii="Arial Narrow" w:hAnsi="Arial Narrow" w:cs="Times New Roman"/>
                <w:sz w:val="20"/>
              </w:rPr>
            </w:pPr>
            <w:r w:rsidRPr="00A104F4">
              <w:rPr>
                <w:rFonts w:ascii="Arial Narrow" w:hAnsi="Arial Narrow" w:cs="Times New Roman"/>
                <w:sz w:val="20"/>
              </w:rPr>
              <w:t>Duration 2 only</w:t>
            </w:r>
            <w:r w:rsidRPr="00A104F4">
              <w:rPr>
                <w:rFonts w:ascii="Arial Narrow" w:hAnsi="Arial Narrow" w:cs="Times New Roman"/>
                <w:sz w:val="20"/>
              </w:rPr>
              <w:tab/>
              <w:t>empagliflozin 10</w:t>
            </w:r>
            <w:r w:rsidR="00CC1010" w:rsidRPr="00A104F4">
              <w:rPr>
                <w:rFonts w:ascii="Arial Narrow" w:hAnsi="Arial Narrow" w:cs="Times New Roman"/>
                <w:sz w:val="20"/>
              </w:rPr>
              <w:t xml:space="preserve"> </w:t>
            </w:r>
            <w:r w:rsidRPr="00A104F4">
              <w:rPr>
                <w:rFonts w:ascii="Arial Narrow" w:hAnsi="Arial Narrow" w:cs="Times New Roman"/>
                <w:sz w:val="20"/>
              </w:rPr>
              <w:t>mg + linagliptin 5</w:t>
            </w:r>
            <w:r w:rsidR="00CC1010" w:rsidRPr="00A104F4">
              <w:rPr>
                <w:rFonts w:ascii="Arial Narrow" w:hAnsi="Arial Narrow" w:cs="Times New Roman"/>
                <w:sz w:val="20"/>
              </w:rPr>
              <w:t xml:space="preserve"> </w:t>
            </w:r>
            <w:r w:rsidRPr="00A104F4">
              <w:rPr>
                <w:rFonts w:ascii="Arial Narrow" w:hAnsi="Arial Narrow" w:cs="Times New Roman"/>
                <w:sz w:val="20"/>
              </w:rPr>
              <w:t>mg vs exenatide</w:t>
            </w:r>
          </w:p>
        </w:tc>
        <w:tc>
          <w:tcPr>
            <w:tcW w:w="1517" w:type="dxa"/>
            <w:vAlign w:val="center"/>
          </w:tcPr>
          <w:p w:rsidR="002346FC" w:rsidRPr="00505399" w:rsidRDefault="00505399" w:rsidP="00EF62AB">
            <w:pPr>
              <w:widowControl/>
              <w:ind w:left="-66" w:right="-66"/>
              <w:jc w:val="center"/>
              <w:rPr>
                <w:rFonts w:ascii="Arial Narrow" w:hAnsi="Arial Narrow" w:cs="Times New Roman"/>
                <w:sz w:val="20"/>
                <w:highlight w:val="black"/>
              </w:rPr>
            </w:pPr>
            <w:r>
              <w:rPr>
                <w:rFonts w:ascii="Arial Narrow" w:hAnsi="Arial Narrow" w:cs="Times New Roman"/>
                <w:noProof/>
                <w:color w:val="000000"/>
                <w:sz w:val="20"/>
                <w:highlight w:val="black"/>
              </w:rPr>
              <w:t>''''''''''' '''''''''''''''' ''''''''''''''</w:t>
            </w:r>
          </w:p>
        </w:tc>
      </w:tr>
    </w:tbl>
    <w:p w:rsidR="002346FC" w:rsidRPr="00254DBC" w:rsidRDefault="002346FC" w:rsidP="00EF62AB">
      <w:pPr>
        <w:pStyle w:val="TableFooter"/>
        <w:widowControl/>
        <w:ind w:left="709"/>
        <w:rPr>
          <w:szCs w:val="16"/>
        </w:rPr>
      </w:pPr>
      <w:r w:rsidRPr="00000239">
        <w:rPr>
          <w:szCs w:val="16"/>
        </w:rPr>
        <w:t xml:space="preserve">Source: </w:t>
      </w:r>
      <w:r>
        <w:rPr>
          <w:szCs w:val="16"/>
        </w:rPr>
        <w:t>Table B.137, p.371 of the submission. (</w:t>
      </w:r>
      <w:r w:rsidR="00DF26C0">
        <w:rPr>
          <w:szCs w:val="16"/>
        </w:rPr>
        <w:t>S</w:t>
      </w:r>
      <w:r w:rsidRPr="00254DBC">
        <w:rPr>
          <w:szCs w:val="16"/>
        </w:rPr>
        <w:t>tatistically significant results in bo</w:t>
      </w:r>
      <w:r>
        <w:rPr>
          <w:szCs w:val="16"/>
        </w:rPr>
        <w:t>ld</w:t>
      </w:r>
      <w:r w:rsidRPr="00254DBC">
        <w:rPr>
          <w:szCs w:val="16"/>
        </w:rPr>
        <w:t>)</w:t>
      </w:r>
      <w:r w:rsidR="000C4263">
        <w:rPr>
          <w:szCs w:val="16"/>
        </w:rPr>
        <w:t>.</w:t>
      </w:r>
    </w:p>
    <w:p w:rsidR="002346FC" w:rsidRPr="00000239" w:rsidRDefault="002346FC" w:rsidP="00EF62AB">
      <w:pPr>
        <w:pStyle w:val="TableFooter"/>
        <w:widowControl/>
        <w:ind w:left="709"/>
        <w:rPr>
          <w:szCs w:val="16"/>
        </w:rPr>
      </w:pPr>
      <w:r>
        <w:rPr>
          <w:szCs w:val="16"/>
        </w:rPr>
        <w:t>Note: Standard deviation and weight mean difference calculated post hoc for the submission.</w:t>
      </w:r>
      <w:r w:rsidR="00EF176B">
        <w:rPr>
          <w:szCs w:val="16"/>
        </w:rPr>
        <w:t xml:space="preserve"> Results in italics calculated during the evaluation.</w:t>
      </w:r>
    </w:p>
    <w:p w:rsidR="002346FC" w:rsidRDefault="002346FC" w:rsidP="00EF62AB">
      <w:pPr>
        <w:pStyle w:val="TableFooter"/>
        <w:widowControl/>
        <w:ind w:left="709"/>
        <w:rPr>
          <w:szCs w:val="16"/>
        </w:rPr>
      </w:pPr>
      <w:r>
        <w:rPr>
          <w:szCs w:val="16"/>
        </w:rPr>
        <w:t>Abbreviations:  CI, c</w:t>
      </w:r>
      <w:r w:rsidRPr="00000239">
        <w:rPr>
          <w:szCs w:val="16"/>
        </w:rPr>
        <w:t>onfi</w:t>
      </w:r>
      <w:r>
        <w:rPr>
          <w:szCs w:val="16"/>
        </w:rPr>
        <w:t>dence interval; EMPA, empagliflozin; FAS, f</w:t>
      </w:r>
      <w:r w:rsidRPr="00000239">
        <w:rPr>
          <w:szCs w:val="16"/>
        </w:rPr>
        <w:t xml:space="preserve">ull analysis set; </w:t>
      </w:r>
      <w:r>
        <w:rPr>
          <w:szCs w:val="16"/>
        </w:rPr>
        <w:t xml:space="preserve">FDC, fixed dose combination; </w:t>
      </w:r>
      <w:r w:rsidRPr="00000239">
        <w:rPr>
          <w:szCs w:val="16"/>
        </w:rPr>
        <w:t>H</w:t>
      </w:r>
      <w:r>
        <w:rPr>
          <w:szCs w:val="16"/>
        </w:rPr>
        <w:t xml:space="preserve">bA1c, Glycosylated haemoglobin; LINA, linagliptin; MITT, modified intention-to-treat; MMRM, </w:t>
      </w:r>
      <w:r w:rsidRPr="00397F9C">
        <w:rPr>
          <w:szCs w:val="18"/>
        </w:rPr>
        <w:t>mixed model repeated measures</w:t>
      </w:r>
      <w:r>
        <w:rPr>
          <w:szCs w:val="18"/>
        </w:rPr>
        <w:t xml:space="preserve">; </w:t>
      </w:r>
      <w:r>
        <w:rPr>
          <w:szCs w:val="16"/>
        </w:rPr>
        <w:t>OC, observed cases; SD, standard deviation; SITA, sitagliptin; wks, weeks.</w:t>
      </w:r>
    </w:p>
    <w:p w:rsidR="00F451C2" w:rsidRPr="00F451C2" w:rsidRDefault="00EF176B" w:rsidP="00EF62AB">
      <w:pPr>
        <w:pStyle w:val="TableFooter"/>
        <w:widowControl/>
        <w:ind w:left="709"/>
        <w:rPr>
          <w:szCs w:val="16"/>
        </w:rPr>
      </w:pPr>
      <w:r>
        <w:rPr>
          <w:szCs w:val="16"/>
        </w:rPr>
        <w:t>* Common reference linagliptin 5 mg in Trial 1275.1 and sitagliptin 100 mg in Duration and Duration Neo 2.</w:t>
      </w:r>
    </w:p>
    <w:p w:rsidR="002346FC" w:rsidRDefault="002346FC" w:rsidP="00EF62AB">
      <w:pPr>
        <w:widowControl/>
        <w:rPr>
          <w:sz w:val="20"/>
        </w:rPr>
      </w:pPr>
    </w:p>
    <w:p w:rsidR="00EB6052" w:rsidRPr="00C15E26" w:rsidRDefault="00EB6052" w:rsidP="008F5BEE">
      <w:pPr>
        <w:pStyle w:val="ListParagraph"/>
        <w:widowControl/>
        <w:numPr>
          <w:ilvl w:val="1"/>
          <w:numId w:val="1"/>
        </w:numPr>
        <w:rPr>
          <w:szCs w:val="22"/>
        </w:rPr>
      </w:pPr>
      <w:r w:rsidRPr="00C15E26">
        <w:rPr>
          <w:szCs w:val="22"/>
        </w:rPr>
        <w:t xml:space="preserve">Empagliflozin with linagliptin FDCs in combination with metformin showed statistically significantly larger reductions in HbA1c over 24 </w:t>
      </w:r>
      <w:r w:rsidR="00E64BD3" w:rsidRPr="00C15E26">
        <w:rPr>
          <w:szCs w:val="22"/>
        </w:rPr>
        <w:t xml:space="preserve">weeks </w:t>
      </w:r>
      <w:r w:rsidRPr="00C15E26">
        <w:rPr>
          <w:szCs w:val="22"/>
        </w:rPr>
        <w:t>compared to linagliptin in combination with metformin in Trial 1275</w:t>
      </w:r>
      <w:r w:rsidR="00C56403" w:rsidRPr="00C15E26">
        <w:rPr>
          <w:szCs w:val="22"/>
        </w:rPr>
        <w:t>.1</w:t>
      </w:r>
      <w:r w:rsidRPr="00C15E26">
        <w:rPr>
          <w:szCs w:val="22"/>
        </w:rPr>
        <w:t>. In the Duration 2 and Duration Neo 2 trials, exenatide 2</w:t>
      </w:r>
      <w:r w:rsidR="00EF2F4D" w:rsidRPr="00C15E26">
        <w:rPr>
          <w:szCs w:val="22"/>
        </w:rPr>
        <w:t xml:space="preserve"> </w:t>
      </w:r>
      <w:r w:rsidRPr="00C15E26">
        <w:rPr>
          <w:szCs w:val="22"/>
        </w:rPr>
        <w:t xml:space="preserve">mg weekly in combination with metformin showed statistically significantly larger reductions in HbA1c over 26-28 weeks compared to sitagliptin in combination with metformin. </w:t>
      </w:r>
    </w:p>
    <w:p w:rsidR="00EB6052" w:rsidRPr="00C15E26" w:rsidRDefault="00EB6052" w:rsidP="00EF62AB">
      <w:pPr>
        <w:pStyle w:val="ListParagraph"/>
        <w:widowControl/>
        <w:rPr>
          <w:szCs w:val="22"/>
        </w:rPr>
      </w:pPr>
    </w:p>
    <w:p w:rsidR="00EB6052" w:rsidRPr="00987891" w:rsidRDefault="00EB6052" w:rsidP="008F5BEE">
      <w:pPr>
        <w:pStyle w:val="ListParagraph"/>
        <w:widowControl/>
        <w:numPr>
          <w:ilvl w:val="1"/>
          <w:numId w:val="1"/>
        </w:numPr>
        <w:rPr>
          <w:szCs w:val="22"/>
        </w:rPr>
      </w:pPr>
      <w:r w:rsidRPr="00C15E26">
        <w:rPr>
          <w:szCs w:val="22"/>
        </w:rPr>
        <w:t>In the indirect comparison of change in HbA1c over 24-28 weeks, empagliflozin 25</w:t>
      </w:r>
      <w:r w:rsidR="00D04EBF" w:rsidRPr="00C15E26">
        <w:rPr>
          <w:szCs w:val="22"/>
        </w:rPr>
        <w:t xml:space="preserve"> </w:t>
      </w:r>
      <w:r w:rsidRPr="00C15E26">
        <w:rPr>
          <w:szCs w:val="22"/>
        </w:rPr>
        <w:t>mg or 10</w:t>
      </w:r>
      <w:r w:rsidR="00D04EBF" w:rsidRPr="00C15E26">
        <w:rPr>
          <w:szCs w:val="22"/>
        </w:rPr>
        <w:t xml:space="preserve"> </w:t>
      </w:r>
      <w:r w:rsidRPr="00C15E26">
        <w:rPr>
          <w:szCs w:val="22"/>
        </w:rPr>
        <w:t>mg with linagliptin 5</w:t>
      </w:r>
      <w:r w:rsidR="00D04EBF" w:rsidRPr="00C15E26">
        <w:rPr>
          <w:szCs w:val="22"/>
        </w:rPr>
        <w:t xml:space="preserve"> </w:t>
      </w:r>
      <w:r w:rsidRPr="00C15E26">
        <w:rPr>
          <w:szCs w:val="22"/>
        </w:rPr>
        <w:t xml:space="preserve">mg FDCs showed no statistically significant difference </w:t>
      </w:r>
      <w:r w:rsidRPr="00987891">
        <w:rPr>
          <w:szCs w:val="22"/>
        </w:rPr>
        <w:t>compared to exenatide 2</w:t>
      </w:r>
      <w:r w:rsidR="00D04EBF" w:rsidRPr="00987891">
        <w:rPr>
          <w:szCs w:val="22"/>
        </w:rPr>
        <w:t xml:space="preserve"> </w:t>
      </w:r>
      <w:r w:rsidRPr="00987891">
        <w:rPr>
          <w:szCs w:val="22"/>
        </w:rPr>
        <w:t>mg weekly, in combination with metformin. The empagliflozin 25</w:t>
      </w:r>
      <w:r w:rsidR="00D04EBF" w:rsidRPr="00987891">
        <w:rPr>
          <w:szCs w:val="22"/>
        </w:rPr>
        <w:t xml:space="preserve"> </w:t>
      </w:r>
      <w:r w:rsidRPr="00987891">
        <w:rPr>
          <w:szCs w:val="22"/>
        </w:rPr>
        <w:t>mg with linagliptin 5</w:t>
      </w:r>
      <w:r w:rsidR="007452AD" w:rsidRPr="00987891">
        <w:rPr>
          <w:szCs w:val="22"/>
        </w:rPr>
        <w:t xml:space="preserve"> </w:t>
      </w:r>
      <w:r w:rsidRPr="00987891">
        <w:rPr>
          <w:szCs w:val="22"/>
        </w:rPr>
        <w:t>mg FDC demonstrated noninferiority with exenatide 2</w:t>
      </w:r>
      <w:r w:rsidR="00D04EBF" w:rsidRPr="00987891">
        <w:rPr>
          <w:szCs w:val="22"/>
        </w:rPr>
        <w:t xml:space="preserve"> </w:t>
      </w:r>
      <w:r w:rsidRPr="00987891">
        <w:rPr>
          <w:szCs w:val="22"/>
        </w:rPr>
        <w:t xml:space="preserve">mg in combination with metformin (upper 95% CI of </w:t>
      </w:r>
      <w:r w:rsidR="00505399">
        <w:rPr>
          <w:noProof/>
          <w:color w:val="000000"/>
          <w:szCs w:val="22"/>
          <w:highlight w:val="black"/>
        </w:rPr>
        <w:t>'''''''''''</w:t>
      </w:r>
      <w:r w:rsidRPr="00987891">
        <w:rPr>
          <w:szCs w:val="22"/>
        </w:rPr>
        <w:t>% less than the MCID of 0.40%). However, the empagliflozin 10</w:t>
      </w:r>
      <w:r w:rsidR="00D04EBF" w:rsidRPr="00987891">
        <w:rPr>
          <w:szCs w:val="22"/>
        </w:rPr>
        <w:t xml:space="preserve"> </w:t>
      </w:r>
      <w:r w:rsidRPr="00987891">
        <w:rPr>
          <w:szCs w:val="22"/>
        </w:rPr>
        <w:t>mg with linagliptin 5</w:t>
      </w:r>
      <w:r w:rsidR="00D04EBF" w:rsidRPr="00987891">
        <w:rPr>
          <w:szCs w:val="22"/>
        </w:rPr>
        <w:t xml:space="preserve"> </w:t>
      </w:r>
      <w:r w:rsidRPr="00987891">
        <w:rPr>
          <w:szCs w:val="22"/>
        </w:rPr>
        <w:t xml:space="preserve">mg FDC failed to demonstrate </w:t>
      </w:r>
      <w:r w:rsidR="00354833" w:rsidRPr="00987891">
        <w:rPr>
          <w:szCs w:val="22"/>
        </w:rPr>
        <w:t>non</w:t>
      </w:r>
      <w:r w:rsidRPr="00987891">
        <w:rPr>
          <w:szCs w:val="22"/>
        </w:rPr>
        <w:t>inferiority</w:t>
      </w:r>
      <w:r w:rsidR="00694BCD" w:rsidRPr="00987891">
        <w:rPr>
          <w:szCs w:val="22"/>
        </w:rPr>
        <w:t xml:space="preserve"> with exenatide 2 mg</w:t>
      </w:r>
      <w:r w:rsidRPr="00987891">
        <w:rPr>
          <w:szCs w:val="22"/>
        </w:rPr>
        <w:t xml:space="preserve"> (upper 95% CI of the indirect comparison </w:t>
      </w:r>
      <w:r w:rsidR="00505399">
        <w:rPr>
          <w:noProof/>
          <w:color w:val="000000"/>
          <w:szCs w:val="22"/>
          <w:highlight w:val="black"/>
        </w:rPr>
        <w:t>''''''''''</w:t>
      </w:r>
      <w:r w:rsidRPr="00987891">
        <w:rPr>
          <w:szCs w:val="22"/>
        </w:rPr>
        <w:t xml:space="preserve">%, exceeded the MCID of 0.40%). </w:t>
      </w:r>
    </w:p>
    <w:p w:rsidR="00EB6052" w:rsidRPr="00987891" w:rsidRDefault="00EB6052" w:rsidP="00EF62AB">
      <w:pPr>
        <w:widowControl/>
        <w:rPr>
          <w:i/>
          <w:szCs w:val="22"/>
        </w:rPr>
      </w:pPr>
    </w:p>
    <w:p w:rsidR="00EB6052" w:rsidRPr="00987891" w:rsidRDefault="00372C39" w:rsidP="008F5BEE">
      <w:pPr>
        <w:pStyle w:val="ListParagraph"/>
        <w:widowControl/>
        <w:numPr>
          <w:ilvl w:val="1"/>
          <w:numId w:val="1"/>
        </w:numPr>
        <w:rPr>
          <w:szCs w:val="22"/>
        </w:rPr>
      </w:pPr>
      <w:r w:rsidRPr="00987891">
        <w:rPr>
          <w:szCs w:val="22"/>
        </w:rPr>
        <w:t xml:space="preserve">Duration Neo 2 is an unpublished, open label trial with </w:t>
      </w:r>
      <w:r w:rsidR="005D3398" w:rsidRPr="00987891">
        <w:rPr>
          <w:szCs w:val="22"/>
        </w:rPr>
        <w:t xml:space="preserve">a high risk of bias. </w:t>
      </w:r>
      <w:r w:rsidR="00F80E70" w:rsidRPr="00987891">
        <w:rPr>
          <w:szCs w:val="22"/>
        </w:rPr>
        <w:t xml:space="preserve">As no </w:t>
      </w:r>
      <w:r w:rsidRPr="00987891">
        <w:rPr>
          <w:szCs w:val="22"/>
        </w:rPr>
        <w:t xml:space="preserve">clinical study report </w:t>
      </w:r>
      <w:r w:rsidR="005D3398" w:rsidRPr="00987891">
        <w:rPr>
          <w:szCs w:val="22"/>
        </w:rPr>
        <w:t xml:space="preserve">or </w:t>
      </w:r>
      <w:r w:rsidR="00F80E70" w:rsidRPr="00987891">
        <w:rPr>
          <w:szCs w:val="22"/>
        </w:rPr>
        <w:t xml:space="preserve">study publication was available, the study could </w:t>
      </w:r>
      <w:r w:rsidRPr="00987891">
        <w:rPr>
          <w:szCs w:val="22"/>
        </w:rPr>
        <w:t xml:space="preserve">not be adequately evaluated. </w:t>
      </w:r>
      <w:r w:rsidR="00EB6052" w:rsidRPr="00987891">
        <w:rPr>
          <w:szCs w:val="22"/>
        </w:rPr>
        <w:t>Excluding Duration Neo 2 from the indirect comparison (conducted during the evaluation) resulted in empagliflozin 25</w:t>
      </w:r>
      <w:r w:rsidR="00D04EBF" w:rsidRPr="00987891">
        <w:rPr>
          <w:szCs w:val="22"/>
        </w:rPr>
        <w:t xml:space="preserve"> </w:t>
      </w:r>
      <w:r w:rsidR="00EB6052" w:rsidRPr="00987891">
        <w:rPr>
          <w:szCs w:val="22"/>
        </w:rPr>
        <w:t>mg with linagliptin 5</w:t>
      </w:r>
      <w:r w:rsidR="00D04EBF" w:rsidRPr="00987891">
        <w:rPr>
          <w:szCs w:val="22"/>
        </w:rPr>
        <w:t xml:space="preserve"> </w:t>
      </w:r>
      <w:r w:rsidR="00EB6052" w:rsidRPr="00987891">
        <w:rPr>
          <w:szCs w:val="22"/>
        </w:rPr>
        <w:t>mg in combina</w:t>
      </w:r>
      <w:r w:rsidR="007E633A" w:rsidRPr="00987891">
        <w:rPr>
          <w:szCs w:val="22"/>
        </w:rPr>
        <w:t>tion with metformin also fail</w:t>
      </w:r>
      <w:r w:rsidR="00D04EBF" w:rsidRPr="00987891">
        <w:rPr>
          <w:szCs w:val="22"/>
        </w:rPr>
        <w:t>ing</w:t>
      </w:r>
      <w:r w:rsidR="00EB6052" w:rsidRPr="00987891">
        <w:rPr>
          <w:szCs w:val="22"/>
        </w:rPr>
        <w:t xml:space="preserve"> to demonstrate </w:t>
      </w:r>
      <w:r w:rsidR="00354833" w:rsidRPr="00987891">
        <w:rPr>
          <w:szCs w:val="22"/>
        </w:rPr>
        <w:t>non</w:t>
      </w:r>
      <w:r w:rsidR="00EB6052" w:rsidRPr="00987891">
        <w:rPr>
          <w:szCs w:val="22"/>
        </w:rPr>
        <w:t>inferiority versus exenatide 2</w:t>
      </w:r>
      <w:r w:rsidR="00D04EBF" w:rsidRPr="00987891">
        <w:rPr>
          <w:szCs w:val="22"/>
        </w:rPr>
        <w:t xml:space="preserve"> </w:t>
      </w:r>
      <w:r w:rsidR="00EB6052" w:rsidRPr="00987891">
        <w:rPr>
          <w:szCs w:val="22"/>
        </w:rPr>
        <w:t xml:space="preserve">mg in combination with metformin (upper 95% CI of </w:t>
      </w:r>
      <w:r w:rsidR="00505399">
        <w:rPr>
          <w:noProof/>
          <w:color w:val="000000"/>
          <w:szCs w:val="22"/>
          <w:highlight w:val="black"/>
        </w:rPr>
        <w:t>''''''''''</w:t>
      </w:r>
      <w:r w:rsidR="00EB6052" w:rsidRPr="00987891">
        <w:rPr>
          <w:szCs w:val="22"/>
        </w:rPr>
        <w:t>% exceeding the MCID of 0.40%).</w:t>
      </w:r>
    </w:p>
    <w:p w:rsidR="00EB6052" w:rsidRPr="00987891" w:rsidRDefault="00EB6052" w:rsidP="00EF62AB">
      <w:pPr>
        <w:widowControl/>
        <w:rPr>
          <w:szCs w:val="22"/>
        </w:rPr>
      </w:pPr>
    </w:p>
    <w:p w:rsidR="00A13F04" w:rsidRPr="00C15E26" w:rsidRDefault="001F3652" w:rsidP="008F5BEE">
      <w:pPr>
        <w:pStyle w:val="ListParagraph"/>
        <w:widowControl/>
        <w:numPr>
          <w:ilvl w:val="1"/>
          <w:numId w:val="1"/>
        </w:numPr>
        <w:rPr>
          <w:szCs w:val="22"/>
        </w:rPr>
      </w:pPr>
      <w:r w:rsidRPr="00987891">
        <w:t xml:space="preserve">Empagliflozin </w:t>
      </w:r>
      <w:r w:rsidR="00CC0E81" w:rsidRPr="00987891">
        <w:t>10</w:t>
      </w:r>
      <w:r w:rsidR="00837B98" w:rsidRPr="00987891">
        <w:t xml:space="preserve"> </w:t>
      </w:r>
      <w:r w:rsidR="00CC0E81" w:rsidRPr="00987891">
        <w:t xml:space="preserve">mg </w:t>
      </w:r>
      <w:r w:rsidRPr="00987891">
        <w:t xml:space="preserve">with linagliptin </w:t>
      </w:r>
      <w:r w:rsidR="00CC0E81" w:rsidRPr="00987891">
        <w:t xml:space="preserve">5 mg </w:t>
      </w:r>
      <w:r w:rsidRPr="00987891">
        <w:t>FDC did not consistently demonstrate noninferiority to insulin glargine or exenatide 2</w:t>
      </w:r>
      <w:r w:rsidR="000248AC" w:rsidRPr="00987891">
        <w:t xml:space="preserve"> </w:t>
      </w:r>
      <w:r w:rsidRPr="00987891">
        <w:t xml:space="preserve">mg weekly in the indirect comparisons. </w:t>
      </w:r>
      <w:r w:rsidRPr="00987891">
        <w:rPr>
          <w:szCs w:val="22"/>
        </w:rPr>
        <w:t>Empagliflozin 25</w:t>
      </w:r>
      <w:r w:rsidR="000248AC" w:rsidRPr="00987891">
        <w:rPr>
          <w:szCs w:val="22"/>
        </w:rPr>
        <w:t xml:space="preserve"> </w:t>
      </w:r>
      <w:r w:rsidRPr="00987891">
        <w:rPr>
          <w:szCs w:val="22"/>
        </w:rPr>
        <w:t>mg with linagliptin 5</w:t>
      </w:r>
      <w:r w:rsidR="000248AC" w:rsidRPr="00987891">
        <w:rPr>
          <w:szCs w:val="22"/>
        </w:rPr>
        <w:t xml:space="preserve"> </w:t>
      </w:r>
      <w:r w:rsidRPr="00987891">
        <w:rPr>
          <w:szCs w:val="22"/>
        </w:rPr>
        <w:t xml:space="preserve">mg FDC demonstrated </w:t>
      </w:r>
      <w:r w:rsidR="00354833" w:rsidRPr="00987891">
        <w:rPr>
          <w:szCs w:val="22"/>
        </w:rPr>
        <w:t>non</w:t>
      </w:r>
      <w:r w:rsidRPr="00987891">
        <w:rPr>
          <w:szCs w:val="22"/>
        </w:rPr>
        <w:t>inferiority to insulin glargine and exenatide in combination with metformin in the primary outcome (change in HbA1c), but fail</w:t>
      </w:r>
      <w:r w:rsidR="000248AC" w:rsidRPr="00987891">
        <w:rPr>
          <w:szCs w:val="22"/>
        </w:rPr>
        <w:t>ed</w:t>
      </w:r>
      <w:r w:rsidRPr="00987891">
        <w:rPr>
          <w:szCs w:val="22"/>
        </w:rPr>
        <w:t xml:space="preserve"> to show </w:t>
      </w:r>
      <w:r w:rsidR="00354833" w:rsidRPr="00987891">
        <w:rPr>
          <w:szCs w:val="22"/>
        </w:rPr>
        <w:t>non</w:t>
      </w:r>
      <w:r w:rsidRPr="00987891">
        <w:rPr>
          <w:szCs w:val="22"/>
        </w:rPr>
        <w:t>inferiority versus exenatide 2</w:t>
      </w:r>
      <w:r w:rsidR="000248AC" w:rsidRPr="00987891">
        <w:rPr>
          <w:szCs w:val="22"/>
        </w:rPr>
        <w:t xml:space="preserve"> </w:t>
      </w:r>
      <w:r w:rsidRPr="00987891">
        <w:rPr>
          <w:szCs w:val="22"/>
        </w:rPr>
        <w:t>mg weekly when the Duration</w:t>
      </w:r>
      <w:r w:rsidRPr="00C15E26">
        <w:rPr>
          <w:szCs w:val="22"/>
        </w:rPr>
        <w:t xml:space="preserve"> Neo 2 trial was excluded from the comparison.</w:t>
      </w:r>
    </w:p>
    <w:p w:rsidR="00974DDD" w:rsidRPr="00974DDD" w:rsidRDefault="00974DDD" w:rsidP="00EF62AB">
      <w:pPr>
        <w:pStyle w:val="ListParagraph"/>
        <w:widowControl/>
        <w:rPr>
          <w:szCs w:val="22"/>
        </w:rPr>
      </w:pPr>
    </w:p>
    <w:p w:rsidR="00B60939" w:rsidRPr="002C2775" w:rsidRDefault="00B60939" w:rsidP="00EF62AB">
      <w:pPr>
        <w:pStyle w:val="Heading3"/>
        <w:widowControl/>
      </w:pPr>
      <w:bookmarkStart w:id="10" w:name="_Toc472413208"/>
      <w:r w:rsidRPr="002C2775">
        <w:t>Comparative harms</w:t>
      </w:r>
      <w:bookmarkEnd w:id="10"/>
    </w:p>
    <w:p w:rsidR="00B60939" w:rsidRPr="00882085" w:rsidRDefault="00B60939" w:rsidP="00EF62AB">
      <w:pPr>
        <w:widowControl/>
        <w:ind w:left="720" w:hanging="720"/>
        <w:rPr>
          <w:szCs w:val="22"/>
        </w:rPr>
      </w:pPr>
    </w:p>
    <w:p w:rsidR="00B60939" w:rsidRPr="00C15E26" w:rsidRDefault="001F3652" w:rsidP="008F5BEE">
      <w:pPr>
        <w:pStyle w:val="ListParagraph"/>
        <w:widowControl/>
        <w:numPr>
          <w:ilvl w:val="1"/>
          <w:numId w:val="1"/>
        </w:numPr>
        <w:rPr>
          <w:szCs w:val="22"/>
        </w:rPr>
      </w:pPr>
      <w:r w:rsidRPr="00C15E26">
        <w:t xml:space="preserve">The comparative harms of empagliflozin with linagliptin </w:t>
      </w:r>
      <w:r w:rsidR="00D428EB" w:rsidRPr="00C15E26">
        <w:t xml:space="preserve">FDC </w:t>
      </w:r>
      <w:r w:rsidRPr="00C15E26">
        <w:t xml:space="preserve">in combination with metformin </w:t>
      </w:r>
      <w:r w:rsidR="00D428EB" w:rsidRPr="00C15E26">
        <w:t xml:space="preserve">were </w:t>
      </w:r>
      <w:r w:rsidRPr="00C15E26">
        <w:t xml:space="preserve">similar to the component products. </w:t>
      </w:r>
    </w:p>
    <w:p w:rsidR="001F3652" w:rsidRPr="00C15E26" w:rsidRDefault="001F3652" w:rsidP="00EF62AB">
      <w:pPr>
        <w:pStyle w:val="ListParagraph"/>
        <w:widowControl/>
        <w:rPr>
          <w:szCs w:val="22"/>
        </w:rPr>
      </w:pPr>
    </w:p>
    <w:p w:rsidR="001F3652" w:rsidRPr="00C15E26" w:rsidRDefault="001F3652" w:rsidP="008F5BEE">
      <w:pPr>
        <w:pStyle w:val="ListParagraph"/>
        <w:widowControl/>
        <w:numPr>
          <w:ilvl w:val="1"/>
          <w:numId w:val="1"/>
        </w:numPr>
        <w:rPr>
          <w:szCs w:val="22"/>
        </w:rPr>
      </w:pPr>
      <w:r w:rsidRPr="00C15E26">
        <w:t xml:space="preserve">The safety profile of empagliflozin with linagliptin </w:t>
      </w:r>
      <w:r w:rsidR="00D428EB" w:rsidRPr="00C15E26">
        <w:t xml:space="preserve">FDC </w:t>
      </w:r>
      <w:r w:rsidRPr="00C15E26">
        <w:t xml:space="preserve">in combination with metformin was different from both insulin glargine </w:t>
      </w:r>
      <w:r w:rsidR="00F80E70" w:rsidRPr="00C15E26">
        <w:t>and</w:t>
      </w:r>
      <w:r w:rsidRPr="00C15E26">
        <w:t xml:space="preserve"> exenatide 2</w:t>
      </w:r>
      <w:r w:rsidR="00D428EB" w:rsidRPr="00C15E26">
        <w:t xml:space="preserve"> </w:t>
      </w:r>
      <w:r w:rsidRPr="00C15E26">
        <w:t>mg weekly in combination with metformin</w:t>
      </w:r>
      <w:r w:rsidR="001447BE" w:rsidRPr="00C15E26">
        <w:t xml:space="preserve">, </w:t>
      </w:r>
      <w:r w:rsidR="001447BE" w:rsidRPr="00C15E26">
        <w:rPr>
          <w:szCs w:val="22"/>
        </w:rPr>
        <w:t>but there was no statistically significantly difference between the treatment regimens in terms of key safety outcomes</w:t>
      </w:r>
      <w:r w:rsidRPr="00C15E26">
        <w:t>.</w:t>
      </w:r>
    </w:p>
    <w:p w:rsidR="0041342D" w:rsidRPr="00C15E26" w:rsidRDefault="0041342D" w:rsidP="00EF62AB">
      <w:pPr>
        <w:pStyle w:val="ListParagraph"/>
        <w:widowControl/>
        <w:rPr>
          <w:szCs w:val="22"/>
        </w:rPr>
      </w:pPr>
    </w:p>
    <w:p w:rsidR="0041342D" w:rsidRPr="00C15E26" w:rsidRDefault="0041342D" w:rsidP="008F5BEE">
      <w:pPr>
        <w:pStyle w:val="ListParagraph"/>
        <w:widowControl/>
        <w:numPr>
          <w:ilvl w:val="1"/>
          <w:numId w:val="1"/>
        </w:numPr>
        <w:rPr>
          <w:szCs w:val="22"/>
        </w:rPr>
      </w:pPr>
      <w:r w:rsidRPr="00C15E26">
        <w:t>More patients treated with insulin glargine reported hypoglycaemia events</w:t>
      </w:r>
      <w:r w:rsidRPr="00C15E26">
        <w:rPr>
          <w:szCs w:val="22"/>
        </w:rPr>
        <w:t xml:space="preserve"> compared to empagliflozin with linagliptin FDC, but the difference was not statistically significant.</w:t>
      </w:r>
    </w:p>
    <w:p w:rsidR="001447BE" w:rsidRPr="00C15E26" w:rsidRDefault="001447BE" w:rsidP="00EF62AB">
      <w:pPr>
        <w:pStyle w:val="ListParagraph"/>
        <w:widowControl/>
        <w:rPr>
          <w:szCs w:val="22"/>
        </w:rPr>
      </w:pPr>
    </w:p>
    <w:p w:rsidR="001447BE" w:rsidRPr="00C15E26" w:rsidRDefault="001447BE" w:rsidP="008F5BEE">
      <w:pPr>
        <w:pStyle w:val="ListParagraph"/>
        <w:widowControl/>
        <w:numPr>
          <w:ilvl w:val="1"/>
          <w:numId w:val="1"/>
        </w:numPr>
        <w:rPr>
          <w:szCs w:val="22"/>
        </w:rPr>
      </w:pPr>
      <w:r w:rsidRPr="00C15E26">
        <w:rPr>
          <w:szCs w:val="22"/>
        </w:rPr>
        <w:t>Empagliflozin with linagliptin FDC was associated with more urogenital infections compared to insulin glargine and exenatide 2</w:t>
      </w:r>
      <w:r w:rsidR="00D428EB" w:rsidRPr="00C15E26">
        <w:rPr>
          <w:szCs w:val="22"/>
        </w:rPr>
        <w:t xml:space="preserve"> </w:t>
      </w:r>
      <w:r w:rsidRPr="00C15E26">
        <w:rPr>
          <w:szCs w:val="22"/>
        </w:rPr>
        <w:t>mg weekly, but the differences were not statistically significant.</w:t>
      </w:r>
    </w:p>
    <w:p w:rsidR="00B60939" w:rsidRPr="00882085" w:rsidRDefault="00B60939" w:rsidP="00EF62AB">
      <w:pPr>
        <w:widowControl/>
      </w:pPr>
    </w:p>
    <w:p w:rsidR="00B60939" w:rsidRPr="002C2775" w:rsidRDefault="00B60939" w:rsidP="00EF62AB">
      <w:pPr>
        <w:pStyle w:val="Heading3"/>
        <w:widowControl/>
      </w:pPr>
      <w:bookmarkStart w:id="11" w:name="_Toc472413209"/>
      <w:r w:rsidRPr="002C2775">
        <w:t>Clinical claim</w:t>
      </w:r>
      <w:bookmarkEnd w:id="11"/>
    </w:p>
    <w:p w:rsidR="00B60939" w:rsidRPr="00882085" w:rsidRDefault="00B60939" w:rsidP="00EF62AB">
      <w:pPr>
        <w:widowControl/>
        <w:ind w:left="720" w:hanging="720"/>
        <w:rPr>
          <w:szCs w:val="22"/>
        </w:rPr>
      </w:pPr>
    </w:p>
    <w:p w:rsidR="000C4263" w:rsidRPr="00C15E26" w:rsidRDefault="000C4263" w:rsidP="008F5BEE">
      <w:pPr>
        <w:pStyle w:val="ListParagraph"/>
        <w:widowControl/>
        <w:numPr>
          <w:ilvl w:val="1"/>
          <w:numId w:val="1"/>
        </w:numPr>
        <w:rPr>
          <w:szCs w:val="22"/>
        </w:rPr>
      </w:pPr>
      <w:r w:rsidRPr="00C15E26">
        <w:rPr>
          <w:u w:val="single"/>
        </w:rPr>
        <w:t>1. Empagliflozin with linagliptin FDC vs linagliptin or empagliflozin, both in combination with metformin</w:t>
      </w:r>
    </w:p>
    <w:p w:rsidR="000C4263" w:rsidRPr="00C15E26" w:rsidRDefault="000C4263" w:rsidP="00EF62AB">
      <w:pPr>
        <w:pStyle w:val="ListParagraph"/>
        <w:widowControl/>
        <w:rPr>
          <w:szCs w:val="22"/>
        </w:rPr>
      </w:pPr>
    </w:p>
    <w:p w:rsidR="003604A9" w:rsidRPr="00C15E26" w:rsidRDefault="00B70E9A" w:rsidP="003604A9">
      <w:pPr>
        <w:pStyle w:val="ListParagraph"/>
        <w:widowControl/>
      </w:pPr>
      <w:r w:rsidRPr="00C15E26">
        <w:t>The clinical claim was that empagliflozin with linagliptin FDC is superior in terms of efficacy and noninferior in terms of safety compared to either linagliptin or empagliflozin (in combination with metformin), and that empagliflozin with linagliptin FDC is bioequivalent to concomitant empagliflozin and linagliptin</w:t>
      </w:r>
      <w:r w:rsidRPr="00C7337F">
        <w:t xml:space="preserve">. </w:t>
      </w:r>
      <w:r w:rsidR="003C3D46" w:rsidRPr="00C7337F">
        <w:t xml:space="preserve">The PBAC agreed this </w:t>
      </w:r>
      <w:r w:rsidRPr="00C7337F">
        <w:t xml:space="preserve">claim </w:t>
      </w:r>
      <w:r w:rsidR="003C3D46" w:rsidRPr="00C7337F">
        <w:t xml:space="preserve">was </w:t>
      </w:r>
      <w:r w:rsidRPr="00C7337F">
        <w:t>adequately supported</w:t>
      </w:r>
      <w:r w:rsidR="0094664A" w:rsidRPr="00C7337F">
        <w:t xml:space="preserve"> in clinical terms</w:t>
      </w:r>
      <w:r w:rsidR="00976CD6" w:rsidRPr="00C7337F">
        <w:t>.</w:t>
      </w:r>
    </w:p>
    <w:p w:rsidR="00B70E9A" w:rsidRPr="00C15E26" w:rsidRDefault="00B70E9A" w:rsidP="00EF62AB">
      <w:pPr>
        <w:pStyle w:val="ListParagraph"/>
        <w:widowControl/>
      </w:pPr>
    </w:p>
    <w:p w:rsidR="000C4263" w:rsidRPr="00C15E26" w:rsidRDefault="000C4263" w:rsidP="008F5BEE">
      <w:pPr>
        <w:pStyle w:val="ListParagraph"/>
        <w:widowControl/>
        <w:numPr>
          <w:ilvl w:val="1"/>
          <w:numId w:val="1"/>
        </w:numPr>
        <w:rPr>
          <w:szCs w:val="22"/>
        </w:rPr>
      </w:pPr>
      <w:r w:rsidRPr="00C15E26">
        <w:rPr>
          <w:u w:val="single"/>
        </w:rPr>
        <w:t>2. Empagliflozin with linagliptin FDC vs insulin glargine, both in combination with metformin</w:t>
      </w:r>
    </w:p>
    <w:p w:rsidR="000C4263" w:rsidRPr="00C15E26" w:rsidRDefault="000C4263" w:rsidP="00EF62AB">
      <w:pPr>
        <w:pStyle w:val="ListParagraph"/>
        <w:widowControl/>
        <w:rPr>
          <w:szCs w:val="22"/>
        </w:rPr>
      </w:pPr>
    </w:p>
    <w:p w:rsidR="00B70E9A" w:rsidRPr="00C15E26" w:rsidRDefault="00B70E9A" w:rsidP="00EF62AB">
      <w:pPr>
        <w:pStyle w:val="ListParagraph"/>
        <w:widowControl/>
        <w:rPr>
          <w:szCs w:val="22"/>
        </w:rPr>
      </w:pPr>
      <w:r w:rsidRPr="00C15E26">
        <w:t xml:space="preserve">The clinical claim was that empagliflozin with linagliptin FDC is </w:t>
      </w:r>
      <w:r w:rsidR="00354833" w:rsidRPr="00C15E26">
        <w:t>non</w:t>
      </w:r>
      <w:r w:rsidRPr="00C15E26">
        <w:t>inferior in terms of efficacy and safety compared to insulin glargine (in combination with metformin). Th</w:t>
      </w:r>
      <w:r w:rsidR="0094664A">
        <w:t>e PBAC considered this</w:t>
      </w:r>
      <w:r w:rsidRPr="00C15E26">
        <w:t xml:space="preserve"> claim was not </w:t>
      </w:r>
      <w:r w:rsidR="004370BA">
        <w:t xml:space="preserve">consistently </w:t>
      </w:r>
      <w:r w:rsidRPr="00C15E26">
        <w:t xml:space="preserve">supported in terms of efficacy and was </w:t>
      </w:r>
      <w:r w:rsidR="00837B98" w:rsidRPr="00C15E26">
        <w:t xml:space="preserve">unclear </w:t>
      </w:r>
      <w:r w:rsidRPr="00C15E26">
        <w:t xml:space="preserve">in terms of safety. </w:t>
      </w:r>
    </w:p>
    <w:p w:rsidR="008F01EC" w:rsidRDefault="008F01EC">
      <w:pPr>
        <w:widowControl/>
        <w:jc w:val="left"/>
        <w:rPr>
          <w:szCs w:val="22"/>
        </w:rPr>
      </w:pPr>
      <w:r>
        <w:rPr>
          <w:szCs w:val="22"/>
        </w:rPr>
        <w:br w:type="page"/>
      </w:r>
    </w:p>
    <w:p w:rsidR="00645974" w:rsidRPr="00645974" w:rsidRDefault="00645974" w:rsidP="00645974">
      <w:pPr>
        <w:widowControl/>
        <w:rPr>
          <w:szCs w:val="22"/>
        </w:rPr>
      </w:pPr>
    </w:p>
    <w:p w:rsidR="000C4263" w:rsidRPr="00C15E26" w:rsidRDefault="000C4263" w:rsidP="008F5BEE">
      <w:pPr>
        <w:pStyle w:val="ListParagraph"/>
        <w:widowControl/>
        <w:numPr>
          <w:ilvl w:val="1"/>
          <w:numId w:val="1"/>
        </w:numPr>
        <w:rPr>
          <w:szCs w:val="22"/>
          <w:u w:val="single"/>
        </w:rPr>
      </w:pPr>
      <w:r w:rsidRPr="00C15E26">
        <w:rPr>
          <w:u w:val="single"/>
        </w:rPr>
        <w:t>3. Empagliflozin with linagliptin FDC vs exenatide: both in combination with metformin</w:t>
      </w:r>
    </w:p>
    <w:p w:rsidR="000C4263" w:rsidRPr="00C15E26" w:rsidRDefault="000C4263" w:rsidP="00EF62AB">
      <w:pPr>
        <w:pStyle w:val="ListParagraph"/>
        <w:widowControl/>
        <w:rPr>
          <w:szCs w:val="22"/>
          <w:u w:val="single"/>
        </w:rPr>
      </w:pPr>
    </w:p>
    <w:p w:rsidR="00B70E9A" w:rsidRPr="00C15E26" w:rsidRDefault="00B70E9A" w:rsidP="00EF62AB">
      <w:pPr>
        <w:pStyle w:val="ListParagraph"/>
        <w:widowControl/>
      </w:pPr>
      <w:r w:rsidRPr="00C15E26">
        <w:t xml:space="preserve">The clinical claim was that empagliflozin with linagliptin FDC is </w:t>
      </w:r>
      <w:r w:rsidR="00354833" w:rsidRPr="00C15E26">
        <w:t>non</w:t>
      </w:r>
      <w:r w:rsidRPr="00C15E26">
        <w:t>inferior in terms of efficacy and safety to exenatide 10</w:t>
      </w:r>
      <w:r w:rsidR="00867E45" w:rsidRPr="00C15E26">
        <w:t xml:space="preserve"> </w:t>
      </w:r>
      <w:r w:rsidR="00330734" w:rsidRPr="00C15E26">
        <w:t>µ</w:t>
      </w:r>
      <w:r w:rsidRPr="00C15E26">
        <w:t>g twice daily or 2</w:t>
      </w:r>
      <w:r w:rsidR="00867E45" w:rsidRPr="00C15E26">
        <w:t xml:space="preserve"> </w:t>
      </w:r>
      <w:r w:rsidRPr="00C15E26">
        <w:t>mg weekly. Th</w:t>
      </w:r>
      <w:r w:rsidR="0094664A">
        <w:t xml:space="preserve">e PBAC </w:t>
      </w:r>
      <w:r w:rsidR="00694BCD">
        <w:t>considered</w:t>
      </w:r>
      <w:r w:rsidR="0094664A">
        <w:t xml:space="preserve"> this</w:t>
      </w:r>
      <w:r w:rsidRPr="00C15E26">
        <w:t xml:space="preserve"> claim was not adequately supported in terms of efficacy and was </w:t>
      </w:r>
      <w:r w:rsidR="00B81EBD" w:rsidRPr="00C15E26">
        <w:t xml:space="preserve">unclear </w:t>
      </w:r>
      <w:r w:rsidRPr="00C15E26">
        <w:t xml:space="preserve">in terms of safety. </w:t>
      </w:r>
    </w:p>
    <w:p w:rsidR="00837B98" w:rsidRDefault="00837B98" w:rsidP="00EF62AB">
      <w:pPr>
        <w:widowControl/>
        <w:rPr>
          <w:szCs w:val="22"/>
        </w:rPr>
      </w:pPr>
    </w:p>
    <w:p w:rsidR="00114E32" w:rsidRDefault="00114E32" w:rsidP="00EF62AB">
      <w:pPr>
        <w:pStyle w:val="Heading3"/>
        <w:widowControl/>
      </w:pPr>
      <w:r w:rsidRPr="0046081A">
        <w:t xml:space="preserve">Economic analysis </w:t>
      </w:r>
    </w:p>
    <w:p w:rsidR="00D25546" w:rsidRPr="00D25546" w:rsidRDefault="00D25546" w:rsidP="00EF62AB">
      <w:pPr>
        <w:widowControl/>
      </w:pPr>
    </w:p>
    <w:p w:rsidR="001C38D0" w:rsidRPr="001C38D0" w:rsidRDefault="00114E32" w:rsidP="008F5BEE">
      <w:pPr>
        <w:widowControl/>
        <w:numPr>
          <w:ilvl w:val="1"/>
          <w:numId w:val="1"/>
        </w:numPr>
        <w:contextualSpacing/>
      </w:pPr>
      <w:r w:rsidRPr="00C15E26">
        <w:t xml:space="preserve">The </w:t>
      </w:r>
      <w:r w:rsidR="0094664A">
        <w:t xml:space="preserve">PBAC noted that the </w:t>
      </w:r>
      <w:r w:rsidR="00C433A3" w:rsidRPr="00C15E26">
        <w:t>cost-effectiveness of</w:t>
      </w:r>
      <w:r w:rsidR="00C433A3" w:rsidRPr="00C15E26">
        <w:rPr>
          <w:szCs w:val="22"/>
        </w:rPr>
        <w:t xml:space="preserve"> the combination of a DPP4 inhibitor with a SGLT2 inhibitor has not been established. </w:t>
      </w:r>
      <w:r w:rsidR="0094664A">
        <w:rPr>
          <w:szCs w:val="22"/>
        </w:rPr>
        <w:t>Consequently the c</w:t>
      </w:r>
      <w:r w:rsidR="0086266F" w:rsidRPr="00C15E26">
        <w:rPr>
          <w:szCs w:val="22"/>
        </w:rPr>
        <w:t xml:space="preserve">ost-minimisation based on the sum of the cost of component products </w:t>
      </w:r>
      <w:r w:rsidR="0094664A">
        <w:rPr>
          <w:szCs w:val="22"/>
        </w:rPr>
        <w:t xml:space="preserve">as proposed by the submission </w:t>
      </w:r>
      <w:r w:rsidR="00976CD6">
        <w:rPr>
          <w:szCs w:val="22"/>
        </w:rPr>
        <w:t>is</w:t>
      </w:r>
      <w:r w:rsidR="0086266F" w:rsidRPr="00C15E26">
        <w:rPr>
          <w:szCs w:val="22"/>
        </w:rPr>
        <w:t xml:space="preserve"> not an appropriate methodology </w:t>
      </w:r>
      <w:r w:rsidR="0094664A">
        <w:rPr>
          <w:szCs w:val="22"/>
        </w:rPr>
        <w:t>for</w:t>
      </w:r>
      <w:r w:rsidR="0086266F" w:rsidRPr="00C15E26">
        <w:rPr>
          <w:szCs w:val="22"/>
        </w:rPr>
        <w:t xml:space="preserve"> pric</w:t>
      </w:r>
      <w:r w:rsidR="0094664A">
        <w:rPr>
          <w:szCs w:val="22"/>
        </w:rPr>
        <w:t>ing</w:t>
      </w:r>
      <w:r w:rsidR="0086266F" w:rsidRPr="00C15E26">
        <w:rPr>
          <w:szCs w:val="22"/>
        </w:rPr>
        <w:t xml:space="preserve"> the empagliflozin with linagliptin FDC.</w:t>
      </w:r>
      <w:r w:rsidR="00976CD6" w:rsidRPr="00976CD6">
        <w:t xml:space="preserve"> </w:t>
      </w:r>
      <w:r w:rsidR="00976CD6">
        <w:rPr>
          <w:szCs w:val="22"/>
        </w:rPr>
        <w:t>T</w:t>
      </w:r>
      <w:r w:rsidR="00976CD6" w:rsidRPr="00976CD6">
        <w:rPr>
          <w:szCs w:val="22"/>
        </w:rPr>
        <w:t>he PBAC considered that any economic analysis</w:t>
      </w:r>
      <w:r w:rsidR="00976CD6">
        <w:rPr>
          <w:szCs w:val="22"/>
        </w:rPr>
        <w:t xml:space="preserve"> based on a comparison with the components</w:t>
      </w:r>
      <w:r w:rsidR="00976CD6" w:rsidRPr="00976CD6">
        <w:rPr>
          <w:szCs w:val="22"/>
        </w:rPr>
        <w:t xml:space="preserve"> presented in a future submission for PBS subsidised combination treatment with a DPP4/SGLT2</w:t>
      </w:r>
      <w:r w:rsidR="004370BA">
        <w:rPr>
          <w:szCs w:val="22"/>
        </w:rPr>
        <w:t xml:space="preserve"> inhibitor</w:t>
      </w:r>
      <w:r w:rsidR="00976CD6" w:rsidRPr="00976CD6">
        <w:rPr>
          <w:szCs w:val="22"/>
        </w:rPr>
        <w:t xml:space="preserve"> should take into account that the evidence presented in this submission suggests that the effect of the combination on HbA1c is less than could be expected if the gains observed in the monotherapy submissions for the SGLT2 inhibitors and the DPP4 inhibitors were summed together (assuming metformin therapy continues in all cases).</w:t>
      </w:r>
    </w:p>
    <w:p w:rsidR="0094664A" w:rsidRPr="0094664A" w:rsidRDefault="0094664A" w:rsidP="001C38D0">
      <w:pPr>
        <w:pStyle w:val="PBACHeading1"/>
        <w:numPr>
          <w:ilvl w:val="0"/>
          <w:numId w:val="0"/>
        </w:numPr>
        <w:ind w:left="720"/>
        <w:rPr>
          <w:szCs w:val="20"/>
        </w:rPr>
      </w:pPr>
    </w:p>
    <w:p w:rsidR="00976CD6" w:rsidRPr="00694BCD" w:rsidRDefault="0094664A" w:rsidP="008F5BEE">
      <w:pPr>
        <w:widowControl/>
        <w:numPr>
          <w:ilvl w:val="1"/>
          <w:numId w:val="1"/>
        </w:numPr>
        <w:contextualSpacing/>
      </w:pPr>
      <w:r w:rsidRPr="00694BCD">
        <w:t>Furthermore</w:t>
      </w:r>
      <w:r w:rsidR="007D7033" w:rsidRPr="00694BCD">
        <w:t>, the PBAC did not consider the cost comparisons with insulin glar</w:t>
      </w:r>
      <w:r w:rsidR="00103DD6">
        <w:t>g</w:t>
      </w:r>
      <w:r w:rsidR="007D7033" w:rsidRPr="00694BCD">
        <w:t>ine or extenatide to be informative for decision making,</w:t>
      </w:r>
      <w:r w:rsidRPr="00694BCD">
        <w:t xml:space="preserve"> as</w:t>
      </w:r>
      <w:r w:rsidR="007D7033" w:rsidRPr="00694BCD">
        <w:t xml:space="preserve"> it did not consider noninferiority with these therapies had been demonstrated</w:t>
      </w:r>
      <w:r w:rsidR="009A5AC5" w:rsidRPr="00694BCD">
        <w:t xml:space="preserve"> </w:t>
      </w:r>
      <w:r w:rsidR="004370BA">
        <w:t>or that</w:t>
      </w:r>
      <w:r w:rsidR="004370BA" w:rsidRPr="00694BCD">
        <w:t xml:space="preserve"> </w:t>
      </w:r>
      <w:r w:rsidR="009A5AC5" w:rsidRPr="00694BCD">
        <w:t>the place in clinical therapy had been well defined</w:t>
      </w:r>
      <w:r w:rsidR="007D7033" w:rsidRPr="00694BCD">
        <w:t>.</w:t>
      </w:r>
      <w:r w:rsidR="001C38D0" w:rsidRPr="00694BCD">
        <w:t xml:space="preserve"> </w:t>
      </w:r>
      <w:r w:rsidR="00582A53">
        <w:t>T</w:t>
      </w:r>
      <w:r w:rsidR="001C38D0" w:rsidRPr="00694BCD">
        <w:t xml:space="preserve">he PBAC </w:t>
      </w:r>
      <w:r w:rsidR="00246975" w:rsidRPr="00694BCD">
        <w:t xml:space="preserve">noted </w:t>
      </w:r>
      <w:r w:rsidR="00582A53">
        <w:t>that the</w:t>
      </w:r>
      <w:r w:rsidR="00582A53" w:rsidRPr="00694BCD">
        <w:t xml:space="preserve"> </w:t>
      </w:r>
      <w:r w:rsidR="00246975" w:rsidRPr="00694BCD">
        <w:t>ESC had a number of concerns with each comparison</w:t>
      </w:r>
      <w:r w:rsidR="00582A53">
        <w:t>, and considered that each issue would need to be adequately addressed if these comparisons were to be included in any future submission</w:t>
      </w:r>
      <w:r w:rsidR="00246975" w:rsidRPr="00694BCD">
        <w:t>.</w:t>
      </w:r>
    </w:p>
    <w:p w:rsidR="00976CD6" w:rsidRDefault="00976CD6" w:rsidP="00E92C3E">
      <w:pPr>
        <w:widowControl/>
        <w:ind w:left="720"/>
        <w:contextualSpacing/>
        <w:rPr>
          <w:szCs w:val="22"/>
        </w:rPr>
      </w:pPr>
    </w:p>
    <w:p w:rsidR="00E92C3E" w:rsidRDefault="00976CD6" w:rsidP="008F5BEE">
      <w:pPr>
        <w:widowControl/>
        <w:numPr>
          <w:ilvl w:val="1"/>
          <w:numId w:val="1"/>
        </w:numPr>
        <w:contextualSpacing/>
      </w:pPr>
      <w:r>
        <w:t>The PBAC considered that i</w:t>
      </w:r>
      <w:r w:rsidR="00C401E0">
        <w:t xml:space="preserve">t may also be necessary to demonstrate that </w:t>
      </w:r>
      <w:r w:rsidR="00C401E0" w:rsidRPr="00C401E0">
        <w:t>combination treatment with a DPP4/SGLT2</w:t>
      </w:r>
      <w:r w:rsidR="00C401E0">
        <w:t xml:space="preserve"> </w:t>
      </w:r>
      <w:r w:rsidR="008F5BEE">
        <w:t xml:space="preserve">inhibitor </w:t>
      </w:r>
      <w:r w:rsidR="00C401E0">
        <w:t xml:space="preserve">is cost-effective compared to the alternative oral triple combination therapies </w:t>
      </w:r>
      <w:r w:rsidR="00C401E0" w:rsidRPr="00C401E0">
        <w:t>metformin + sulfonylurea + DPP4</w:t>
      </w:r>
      <w:r w:rsidR="008F5BEE">
        <w:t xml:space="preserve"> inhibitor</w:t>
      </w:r>
      <w:r w:rsidR="00C401E0" w:rsidRPr="00C401E0">
        <w:t xml:space="preserve"> and metformin </w:t>
      </w:r>
      <w:r w:rsidR="00C401E0">
        <w:t>+ sulf</w:t>
      </w:r>
      <w:r>
        <w:t>onylurea + SGLT2</w:t>
      </w:r>
      <w:r w:rsidR="008F5BEE">
        <w:t xml:space="preserve"> inhibitor</w:t>
      </w:r>
      <w:r>
        <w:t>, as these</w:t>
      </w:r>
      <w:r w:rsidR="00C401E0">
        <w:t xml:space="preserve"> regimens may also be alternative therapies to the combination proposed for listing.</w:t>
      </w:r>
    </w:p>
    <w:p w:rsidR="005568E2" w:rsidRPr="00C15E26" w:rsidRDefault="005568E2">
      <w:pPr>
        <w:widowControl/>
        <w:jc w:val="left"/>
        <w:rPr>
          <w:szCs w:val="22"/>
        </w:rPr>
      </w:pPr>
    </w:p>
    <w:p w:rsidR="00410D9D" w:rsidRDefault="00C25D9C" w:rsidP="00EF62AB">
      <w:pPr>
        <w:pStyle w:val="Heading3"/>
        <w:widowControl/>
      </w:pPr>
      <w:bookmarkStart w:id="12" w:name="_Toc472413210"/>
      <w:r w:rsidRPr="002C2775">
        <w:t>Drug c</w:t>
      </w:r>
      <w:r w:rsidR="00410D9D">
        <w:t>ost/patient/year: $</w:t>
      </w:r>
      <w:r w:rsidR="00505399">
        <w:rPr>
          <w:noProof/>
          <w:color w:val="000000"/>
          <w:highlight w:val="black"/>
        </w:rPr>
        <w:t>''''''''''''''''''</w:t>
      </w:r>
      <w:r w:rsidRPr="002C2775">
        <w:t>.</w:t>
      </w:r>
      <w:bookmarkEnd w:id="12"/>
      <w:r w:rsidR="00410D9D">
        <w:t xml:space="preserve"> </w:t>
      </w:r>
    </w:p>
    <w:p w:rsidR="00410D9D" w:rsidRPr="00E526E1" w:rsidRDefault="00410D9D" w:rsidP="00EF62AB">
      <w:pPr>
        <w:widowControl/>
      </w:pPr>
    </w:p>
    <w:p w:rsidR="00C25D9C" w:rsidRPr="00C15E26" w:rsidRDefault="00410D9D" w:rsidP="008F5BEE">
      <w:pPr>
        <w:pStyle w:val="ListParagraph"/>
        <w:widowControl/>
        <w:numPr>
          <w:ilvl w:val="1"/>
          <w:numId w:val="1"/>
        </w:numPr>
      </w:pPr>
      <w:r w:rsidRPr="00C15E26">
        <w:t xml:space="preserve">The cost of treating one patient over 12 months with empagliflozin with linagliptin FDC was </w:t>
      </w:r>
      <w:r w:rsidR="00976CD6">
        <w:t xml:space="preserve">estimated by the submission to be </w:t>
      </w:r>
      <w:r w:rsidRPr="00C15E26">
        <w:t>$</w:t>
      </w:r>
      <w:r w:rsidR="00505399">
        <w:rPr>
          <w:noProof/>
          <w:color w:val="000000"/>
          <w:highlight w:val="black"/>
        </w:rPr>
        <w:t>'''''''''''''''''''''</w:t>
      </w:r>
      <w:r w:rsidRPr="00C15E26">
        <w:t>. Compared to treating the same patient with the component products, $</w:t>
      </w:r>
      <w:r w:rsidR="00505399">
        <w:rPr>
          <w:noProof/>
          <w:color w:val="000000"/>
          <w:highlight w:val="black"/>
        </w:rPr>
        <w:t>'''''''''''''''''''''</w:t>
      </w:r>
      <w:r w:rsidRPr="00C15E26">
        <w:t>, this represents a savings of $</w:t>
      </w:r>
      <w:r w:rsidR="00505399">
        <w:rPr>
          <w:noProof/>
          <w:color w:val="000000"/>
          <w:highlight w:val="black"/>
        </w:rPr>
        <w:t>''''''''''''''''</w:t>
      </w:r>
      <w:r w:rsidRPr="00C15E26">
        <w:t xml:space="preserve"> over 1 year (cost per calculated as 365.25/30×price).</w:t>
      </w:r>
    </w:p>
    <w:p w:rsidR="001320D6" w:rsidRDefault="001320D6" w:rsidP="00EF62AB">
      <w:pPr>
        <w:widowControl/>
        <w:jc w:val="left"/>
        <w:rPr>
          <w:b/>
          <w:i/>
        </w:rPr>
      </w:pPr>
    </w:p>
    <w:p w:rsidR="00B60939" w:rsidRPr="008A342A" w:rsidRDefault="00B60939" w:rsidP="00EF62AB">
      <w:pPr>
        <w:pStyle w:val="Heading3"/>
        <w:widowControl/>
      </w:pPr>
      <w:bookmarkStart w:id="13" w:name="_Toc472413211"/>
      <w:r w:rsidRPr="008A342A">
        <w:t>Estimated PBS usage &amp; financial implications</w:t>
      </w:r>
      <w:bookmarkEnd w:id="13"/>
    </w:p>
    <w:p w:rsidR="00B60939" w:rsidRPr="00E71B28" w:rsidRDefault="00B60939" w:rsidP="00EF62AB">
      <w:pPr>
        <w:widowControl/>
        <w:ind w:left="720" w:hanging="720"/>
        <w:rPr>
          <w:b/>
          <w:i/>
          <w:szCs w:val="22"/>
        </w:rPr>
      </w:pPr>
    </w:p>
    <w:p w:rsidR="006D74A1" w:rsidRPr="00E71B28" w:rsidRDefault="006D74A1" w:rsidP="008F5BEE">
      <w:pPr>
        <w:pStyle w:val="ListParagraph"/>
        <w:widowControl/>
        <w:numPr>
          <w:ilvl w:val="1"/>
          <w:numId w:val="1"/>
        </w:numPr>
        <w:rPr>
          <w:szCs w:val="22"/>
        </w:rPr>
      </w:pPr>
      <w:r w:rsidRPr="00E71B28">
        <w:t xml:space="preserve">This submission </w:t>
      </w:r>
      <w:r w:rsidR="00361DCD">
        <w:t>was</w:t>
      </w:r>
      <w:r w:rsidRPr="00E71B28">
        <w:t xml:space="preserve"> considered by DUSC. The submission used a market share approach to estimate the financial implications to the PBS of listing empagliflozin with linagliptin FDC in combination with metformin in patients with a contraindication or intolerance to a sulfonylurea. The submission compared the costs to the PBS if empagliflozin with linagliptin FDC was not listed to the cost to the PBS if it was listed, and presented the difference between these two scenarios as the financial implications to the PBS of listing. </w:t>
      </w:r>
    </w:p>
    <w:p w:rsidR="006D74A1" w:rsidRPr="00E71B28" w:rsidRDefault="006D74A1" w:rsidP="006D74A1">
      <w:pPr>
        <w:pStyle w:val="ListParagraph"/>
        <w:widowControl/>
        <w:rPr>
          <w:szCs w:val="22"/>
        </w:rPr>
      </w:pPr>
    </w:p>
    <w:p w:rsidR="006D74A1" w:rsidRPr="00E71B28" w:rsidRDefault="006D74A1" w:rsidP="008F5BEE">
      <w:pPr>
        <w:pStyle w:val="ListParagraph"/>
        <w:widowControl/>
        <w:numPr>
          <w:ilvl w:val="1"/>
          <w:numId w:val="1"/>
        </w:numPr>
      </w:pPr>
      <w:r w:rsidRPr="00E71B28">
        <w:t>The estimated number of patients treated with relevant combination treatment regimens was derived from a 10% Medicare longitudinal data analysis, grouped by drug classes and extrapolated over the first five years of listing using linear and power trending functions of Microsoft Excel. Script numbers for drug classes were calculated by average pack size and recommended dose regimens. Average patient copayments were calculated using PBS statistics for each PBS item. 60% of patients treated with exenatide were assumed to be to be treated with exenatide 2 mg weekly.</w:t>
      </w:r>
    </w:p>
    <w:p w:rsidR="006D74A1" w:rsidRPr="00E71B28" w:rsidRDefault="006D74A1" w:rsidP="006D74A1">
      <w:pPr>
        <w:widowControl/>
      </w:pPr>
    </w:p>
    <w:p w:rsidR="006D74A1" w:rsidRPr="00E71B28" w:rsidRDefault="006D74A1" w:rsidP="006D74A1">
      <w:pPr>
        <w:ind w:firstLine="709"/>
        <w:rPr>
          <w:rFonts w:ascii="Arial Narrow" w:hAnsi="Arial Narrow"/>
          <w:b/>
          <w:sz w:val="20"/>
          <w:szCs w:val="16"/>
        </w:rPr>
      </w:pPr>
      <w:r w:rsidRPr="00E71B28">
        <w:rPr>
          <w:rStyle w:val="CommentReference"/>
        </w:rPr>
        <w:t xml:space="preserve">Table </w:t>
      </w:r>
      <w:r w:rsidR="0038471A">
        <w:rPr>
          <w:rStyle w:val="CommentReference"/>
        </w:rPr>
        <w:t>7</w:t>
      </w:r>
      <w:r w:rsidRPr="00E71B28">
        <w:rPr>
          <w:rStyle w:val="CommentReference"/>
        </w:rPr>
        <w:t>: Estimated number of patients and scripts</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020"/>
        <w:gridCol w:w="1021"/>
        <w:gridCol w:w="1020"/>
        <w:gridCol w:w="1021"/>
        <w:gridCol w:w="1021"/>
      </w:tblGrid>
      <w:tr w:rsidR="006D74A1" w:rsidRPr="00E71B28" w:rsidTr="006D74A1">
        <w:trPr>
          <w:trHeight w:val="300"/>
          <w:tblHeader/>
        </w:trPr>
        <w:tc>
          <w:tcPr>
            <w:tcW w:w="3260" w:type="dxa"/>
            <w:shd w:val="clear" w:color="auto" w:fill="FFFFFF" w:themeFill="background1"/>
            <w:noWrap/>
            <w:vAlign w:val="center"/>
            <w:hideMark/>
          </w:tcPr>
          <w:p w:rsidR="006D74A1" w:rsidRPr="00E71B28" w:rsidRDefault="006D74A1" w:rsidP="006D74A1">
            <w:pPr>
              <w:ind w:left="-80"/>
              <w:rPr>
                <w:rFonts w:ascii="Arial Narrow" w:hAnsi="Arial Narrow"/>
                <w:sz w:val="20"/>
              </w:rPr>
            </w:pPr>
          </w:p>
        </w:tc>
        <w:tc>
          <w:tcPr>
            <w:tcW w:w="1020" w:type="dxa"/>
            <w:shd w:val="clear" w:color="auto" w:fill="FFFFFF" w:themeFill="background1"/>
            <w:noWrap/>
            <w:vAlign w:val="center"/>
            <w:hideMark/>
          </w:tcPr>
          <w:p w:rsidR="006D74A1" w:rsidRPr="00E71B28" w:rsidRDefault="006D74A1" w:rsidP="006D74A1">
            <w:pPr>
              <w:jc w:val="center"/>
              <w:rPr>
                <w:rFonts w:ascii="Arial Narrow" w:hAnsi="Arial Narrow"/>
                <w:b/>
                <w:sz w:val="20"/>
              </w:rPr>
            </w:pPr>
            <w:r w:rsidRPr="00E71B28">
              <w:rPr>
                <w:rFonts w:ascii="Arial Narrow" w:hAnsi="Arial Narrow"/>
                <w:b/>
                <w:sz w:val="20"/>
              </w:rPr>
              <w:t>Year 1</w:t>
            </w:r>
          </w:p>
        </w:tc>
        <w:tc>
          <w:tcPr>
            <w:tcW w:w="1021" w:type="dxa"/>
            <w:shd w:val="clear" w:color="auto" w:fill="FFFFFF" w:themeFill="background1"/>
            <w:noWrap/>
            <w:vAlign w:val="center"/>
            <w:hideMark/>
          </w:tcPr>
          <w:p w:rsidR="006D74A1" w:rsidRPr="00E71B28" w:rsidRDefault="006D74A1" w:rsidP="006D74A1">
            <w:pPr>
              <w:jc w:val="center"/>
              <w:rPr>
                <w:rFonts w:ascii="Arial Narrow" w:hAnsi="Arial Narrow"/>
                <w:b/>
                <w:sz w:val="20"/>
              </w:rPr>
            </w:pPr>
            <w:r w:rsidRPr="00E71B28">
              <w:rPr>
                <w:rFonts w:ascii="Arial Narrow" w:hAnsi="Arial Narrow"/>
                <w:b/>
                <w:sz w:val="20"/>
              </w:rPr>
              <w:t>Year 2</w:t>
            </w:r>
          </w:p>
        </w:tc>
        <w:tc>
          <w:tcPr>
            <w:tcW w:w="1020" w:type="dxa"/>
            <w:shd w:val="clear" w:color="auto" w:fill="FFFFFF" w:themeFill="background1"/>
            <w:noWrap/>
            <w:vAlign w:val="center"/>
            <w:hideMark/>
          </w:tcPr>
          <w:p w:rsidR="006D74A1" w:rsidRPr="00E71B28" w:rsidRDefault="006D74A1" w:rsidP="006D74A1">
            <w:pPr>
              <w:jc w:val="center"/>
              <w:rPr>
                <w:rFonts w:ascii="Arial Narrow" w:hAnsi="Arial Narrow"/>
                <w:b/>
                <w:sz w:val="20"/>
              </w:rPr>
            </w:pPr>
            <w:r w:rsidRPr="00E71B28">
              <w:rPr>
                <w:rFonts w:ascii="Arial Narrow" w:hAnsi="Arial Narrow"/>
                <w:b/>
                <w:sz w:val="20"/>
              </w:rPr>
              <w:t>Year 3</w:t>
            </w:r>
          </w:p>
        </w:tc>
        <w:tc>
          <w:tcPr>
            <w:tcW w:w="1021" w:type="dxa"/>
            <w:shd w:val="clear" w:color="auto" w:fill="FFFFFF" w:themeFill="background1"/>
            <w:noWrap/>
            <w:vAlign w:val="center"/>
            <w:hideMark/>
          </w:tcPr>
          <w:p w:rsidR="006D74A1" w:rsidRPr="00E71B28" w:rsidRDefault="006D74A1" w:rsidP="006D74A1">
            <w:pPr>
              <w:jc w:val="center"/>
              <w:rPr>
                <w:rFonts w:ascii="Arial Narrow" w:hAnsi="Arial Narrow"/>
                <w:b/>
                <w:sz w:val="20"/>
              </w:rPr>
            </w:pPr>
            <w:r w:rsidRPr="00E71B28">
              <w:rPr>
                <w:rFonts w:ascii="Arial Narrow" w:hAnsi="Arial Narrow"/>
                <w:b/>
                <w:sz w:val="20"/>
              </w:rPr>
              <w:t>Year 4</w:t>
            </w:r>
          </w:p>
        </w:tc>
        <w:tc>
          <w:tcPr>
            <w:tcW w:w="1021" w:type="dxa"/>
            <w:shd w:val="clear" w:color="auto" w:fill="FFFFFF" w:themeFill="background1"/>
            <w:noWrap/>
            <w:vAlign w:val="center"/>
            <w:hideMark/>
          </w:tcPr>
          <w:p w:rsidR="006D74A1" w:rsidRPr="00E71B28" w:rsidRDefault="006D74A1" w:rsidP="006D74A1">
            <w:pPr>
              <w:jc w:val="center"/>
              <w:rPr>
                <w:rFonts w:ascii="Arial Narrow" w:hAnsi="Arial Narrow"/>
                <w:b/>
                <w:sz w:val="20"/>
              </w:rPr>
            </w:pPr>
            <w:r w:rsidRPr="00E71B28">
              <w:rPr>
                <w:rFonts w:ascii="Arial Narrow" w:hAnsi="Arial Narrow"/>
                <w:b/>
                <w:sz w:val="20"/>
              </w:rPr>
              <w:t>Year 5</w:t>
            </w:r>
          </w:p>
        </w:tc>
      </w:tr>
      <w:tr w:rsidR="006D74A1" w:rsidRPr="00E71B28" w:rsidTr="006D74A1">
        <w:trPr>
          <w:trHeight w:val="77"/>
        </w:trPr>
        <w:tc>
          <w:tcPr>
            <w:tcW w:w="8363" w:type="dxa"/>
            <w:gridSpan w:val="6"/>
            <w:shd w:val="clear" w:color="auto" w:fill="auto"/>
            <w:noWrap/>
            <w:vAlign w:val="center"/>
          </w:tcPr>
          <w:p w:rsidR="006D74A1" w:rsidRPr="00E71B28" w:rsidRDefault="006D74A1" w:rsidP="006D74A1">
            <w:pPr>
              <w:ind w:left="-80"/>
              <w:jc w:val="left"/>
              <w:rPr>
                <w:rFonts w:ascii="Arial Narrow" w:hAnsi="Arial Narrow"/>
                <w:b/>
                <w:bCs/>
                <w:sz w:val="20"/>
              </w:rPr>
            </w:pPr>
            <w:r w:rsidRPr="00E71B28">
              <w:rPr>
                <w:rFonts w:ascii="Arial Narrow" w:hAnsi="Arial Narrow"/>
                <w:b/>
                <w:bCs/>
                <w:sz w:val="20"/>
              </w:rPr>
              <w:t xml:space="preserve">Patients estimated to be using metformin in combination with </w:t>
            </w:r>
            <w:r w:rsidRPr="00E71B28">
              <w:rPr>
                <w:rFonts w:ascii="Arial Narrow" w:hAnsi="Arial Narrow"/>
                <w:b/>
                <w:sz w:val="20"/>
              </w:rPr>
              <w:t xml:space="preserve">insulin glargine or exenatide or DPP4 inhibitor + SGLT2 inhibitor </w:t>
            </w:r>
          </w:p>
        </w:tc>
      </w:tr>
      <w:tr w:rsidR="006D74A1" w:rsidRPr="00E71B28" w:rsidTr="006D74A1">
        <w:trPr>
          <w:trHeight w:val="77"/>
        </w:trPr>
        <w:tc>
          <w:tcPr>
            <w:tcW w:w="3260" w:type="dxa"/>
            <w:tcBorders>
              <w:bottom w:val="nil"/>
            </w:tcBorders>
            <w:shd w:val="clear" w:color="auto" w:fill="auto"/>
            <w:noWrap/>
            <w:vAlign w:val="center"/>
          </w:tcPr>
          <w:p w:rsidR="006D74A1" w:rsidRPr="00E71B28" w:rsidRDefault="006D74A1" w:rsidP="006D74A1">
            <w:pPr>
              <w:ind w:left="-80"/>
              <w:rPr>
                <w:rFonts w:ascii="Arial Narrow" w:hAnsi="Arial Narrow"/>
                <w:sz w:val="20"/>
              </w:rPr>
            </w:pPr>
            <w:r w:rsidRPr="00E71B28">
              <w:rPr>
                <w:rFonts w:ascii="Arial Narrow" w:hAnsi="Arial Narrow"/>
                <w:bCs/>
                <w:sz w:val="20"/>
              </w:rPr>
              <w:t>Metformin + insulin glargine combinations</w:t>
            </w:r>
          </w:p>
        </w:tc>
        <w:tc>
          <w:tcPr>
            <w:tcW w:w="1020" w:type="dxa"/>
            <w:shd w:val="clear" w:color="auto" w:fill="auto"/>
            <w:noWrap/>
            <w:vAlign w:val="bottom"/>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noWrap/>
            <w:vAlign w:val="bottom"/>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0" w:type="dxa"/>
            <w:shd w:val="clear" w:color="auto" w:fill="auto"/>
            <w:noWrap/>
            <w:vAlign w:val="bottom"/>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noWrap/>
            <w:vAlign w:val="bottom"/>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noWrap/>
            <w:vAlign w:val="bottom"/>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77"/>
        </w:trPr>
        <w:tc>
          <w:tcPr>
            <w:tcW w:w="3260" w:type="dxa"/>
            <w:tcBorders>
              <w:top w:val="nil"/>
            </w:tcBorders>
            <w:shd w:val="clear" w:color="auto" w:fill="auto"/>
            <w:noWrap/>
            <w:vAlign w:val="center"/>
          </w:tcPr>
          <w:p w:rsidR="006D74A1" w:rsidRPr="00E71B28" w:rsidRDefault="006D74A1" w:rsidP="006D74A1">
            <w:pPr>
              <w:ind w:left="-80"/>
              <w:rPr>
                <w:rFonts w:ascii="Arial Narrow" w:hAnsi="Arial Narrow"/>
                <w:sz w:val="20"/>
              </w:rPr>
            </w:pPr>
            <w:r w:rsidRPr="00E71B28">
              <w:rPr>
                <w:rFonts w:ascii="Arial Narrow" w:hAnsi="Arial Narrow"/>
                <w:sz w:val="20"/>
              </w:rPr>
              <w:t>Metformin + exenatide combinations</w:t>
            </w:r>
          </w:p>
        </w:tc>
        <w:tc>
          <w:tcPr>
            <w:tcW w:w="1020" w:type="dxa"/>
            <w:shd w:val="clear" w:color="auto" w:fill="auto"/>
            <w:noWrap/>
            <w:vAlign w:val="bottom"/>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noWrap/>
            <w:vAlign w:val="bottom"/>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0" w:type="dxa"/>
            <w:shd w:val="clear" w:color="auto" w:fill="auto"/>
            <w:noWrap/>
            <w:vAlign w:val="bottom"/>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noWrap/>
            <w:vAlign w:val="bottom"/>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noWrap/>
            <w:vAlign w:val="bottom"/>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119"/>
        </w:trPr>
        <w:tc>
          <w:tcPr>
            <w:tcW w:w="3260" w:type="dxa"/>
            <w:shd w:val="clear" w:color="auto" w:fill="auto"/>
            <w:vAlign w:val="center"/>
          </w:tcPr>
          <w:p w:rsidR="006D74A1" w:rsidRPr="00E71B28" w:rsidRDefault="006D74A1" w:rsidP="006D74A1">
            <w:pPr>
              <w:ind w:left="-80"/>
              <w:jc w:val="right"/>
              <w:rPr>
                <w:rFonts w:ascii="Arial Narrow" w:hAnsi="Arial Narrow"/>
                <w:sz w:val="20"/>
              </w:rPr>
            </w:pPr>
            <w:r w:rsidRPr="00E71B28">
              <w:rPr>
                <w:rFonts w:ascii="Arial Narrow" w:hAnsi="Arial Narrow"/>
                <w:sz w:val="20"/>
              </w:rPr>
              <w:t>Metformin + DPP4 + SGLT2 combinations</w:t>
            </w:r>
          </w:p>
        </w:tc>
        <w:tc>
          <w:tcPr>
            <w:tcW w:w="1020" w:type="dxa"/>
            <w:shd w:val="clear" w:color="auto" w:fill="auto"/>
            <w:noWrap/>
            <w:vAlign w:val="bottom"/>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noWrap/>
            <w:vAlign w:val="bottom"/>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0" w:type="dxa"/>
            <w:shd w:val="clear" w:color="auto" w:fill="auto"/>
            <w:noWrap/>
            <w:vAlign w:val="bottom"/>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noWrap/>
            <w:vAlign w:val="bottom"/>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noWrap/>
            <w:vAlign w:val="bottom"/>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77"/>
        </w:trPr>
        <w:tc>
          <w:tcPr>
            <w:tcW w:w="3260" w:type="dxa"/>
            <w:shd w:val="clear" w:color="auto" w:fill="auto"/>
            <w:noWrap/>
            <w:vAlign w:val="center"/>
          </w:tcPr>
          <w:p w:rsidR="006D74A1" w:rsidRPr="00E71B28" w:rsidRDefault="006D74A1" w:rsidP="006D74A1">
            <w:pPr>
              <w:ind w:left="-80"/>
              <w:rPr>
                <w:rFonts w:ascii="Arial Narrow" w:hAnsi="Arial Narrow"/>
                <w:sz w:val="20"/>
              </w:rPr>
            </w:pPr>
            <w:r w:rsidRPr="00E71B28">
              <w:rPr>
                <w:rFonts w:ascii="Arial Narrow" w:hAnsi="Arial Narrow"/>
                <w:sz w:val="20"/>
              </w:rPr>
              <w:t>Total patients</w:t>
            </w:r>
          </w:p>
        </w:tc>
        <w:tc>
          <w:tcPr>
            <w:tcW w:w="1020" w:type="dxa"/>
            <w:shd w:val="clear" w:color="auto" w:fill="auto"/>
            <w:noWrap/>
            <w:vAlign w:val="bottom"/>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noWrap/>
            <w:vAlign w:val="bottom"/>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0" w:type="dxa"/>
            <w:shd w:val="clear" w:color="auto" w:fill="auto"/>
            <w:noWrap/>
            <w:vAlign w:val="bottom"/>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noWrap/>
            <w:vAlign w:val="bottom"/>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noWrap/>
            <w:vAlign w:val="bottom"/>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77"/>
        </w:trPr>
        <w:tc>
          <w:tcPr>
            <w:tcW w:w="3260" w:type="dxa"/>
            <w:shd w:val="clear" w:color="auto" w:fill="auto"/>
            <w:noWrap/>
            <w:vAlign w:val="center"/>
          </w:tcPr>
          <w:p w:rsidR="006D74A1" w:rsidRPr="00E71B28" w:rsidRDefault="006D74A1" w:rsidP="006D74A1">
            <w:pPr>
              <w:ind w:left="-80"/>
              <w:rPr>
                <w:rFonts w:ascii="Arial Narrow" w:hAnsi="Arial Narrow"/>
                <w:sz w:val="20"/>
              </w:rPr>
            </w:pPr>
            <w:r w:rsidRPr="00E71B28">
              <w:rPr>
                <w:rFonts w:ascii="Arial Narrow" w:hAnsi="Arial Narrow"/>
                <w:sz w:val="20"/>
              </w:rPr>
              <w:t>Total scripts</w:t>
            </w:r>
          </w:p>
        </w:tc>
        <w:tc>
          <w:tcPr>
            <w:tcW w:w="1020"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0"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77"/>
        </w:trPr>
        <w:tc>
          <w:tcPr>
            <w:tcW w:w="8363" w:type="dxa"/>
            <w:gridSpan w:val="6"/>
            <w:shd w:val="clear" w:color="auto" w:fill="auto"/>
            <w:noWrap/>
            <w:vAlign w:val="center"/>
          </w:tcPr>
          <w:p w:rsidR="006D74A1" w:rsidRPr="00E71B28" w:rsidRDefault="006D74A1" w:rsidP="006D74A1">
            <w:pPr>
              <w:ind w:left="-80"/>
              <w:jc w:val="left"/>
              <w:rPr>
                <w:rFonts w:ascii="Arial Narrow" w:hAnsi="Arial Narrow"/>
                <w:b/>
                <w:bCs/>
                <w:sz w:val="20"/>
              </w:rPr>
            </w:pPr>
            <w:r w:rsidRPr="00E71B28">
              <w:rPr>
                <w:rFonts w:ascii="Arial Narrow" w:hAnsi="Arial Narrow"/>
                <w:b/>
                <w:bCs/>
                <w:sz w:val="20"/>
              </w:rPr>
              <w:t>Patients expected to switch to empagliflozin + linagliptin FDC (market uptake)</w:t>
            </w:r>
          </w:p>
        </w:tc>
      </w:tr>
      <w:tr w:rsidR="006D74A1" w:rsidRPr="00E71B28" w:rsidTr="006D74A1">
        <w:trPr>
          <w:trHeight w:val="77"/>
        </w:trPr>
        <w:tc>
          <w:tcPr>
            <w:tcW w:w="3260" w:type="dxa"/>
            <w:tcBorders>
              <w:bottom w:val="nil"/>
            </w:tcBorders>
            <w:shd w:val="clear" w:color="auto" w:fill="auto"/>
            <w:noWrap/>
            <w:vAlign w:val="center"/>
          </w:tcPr>
          <w:p w:rsidR="006D74A1" w:rsidRPr="00E71B28" w:rsidRDefault="006D74A1" w:rsidP="006D74A1">
            <w:pPr>
              <w:ind w:left="-80"/>
              <w:rPr>
                <w:rFonts w:ascii="Arial Narrow" w:hAnsi="Arial Narrow"/>
                <w:bCs/>
                <w:sz w:val="20"/>
              </w:rPr>
            </w:pPr>
            <w:r w:rsidRPr="00E71B28">
              <w:rPr>
                <w:rFonts w:ascii="Arial Narrow" w:hAnsi="Arial Narrow"/>
                <w:bCs/>
                <w:sz w:val="20"/>
              </w:rPr>
              <w:t>Uptake rate from</w:t>
            </w:r>
          </w:p>
        </w:tc>
        <w:tc>
          <w:tcPr>
            <w:tcW w:w="1020"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0"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77"/>
        </w:trPr>
        <w:tc>
          <w:tcPr>
            <w:tcW w:w="3260" w:type="dxa"/>
            <w:tcBorders>
              <w:top w:val="nil"/>
              <w:bottom w:val="nil"/>
            </w:tcBorders>
            <w:shd w:val="clear" w:color="auto" w:fill="auto"/>
            <w:noWrap/>
            <w:vAlign w:val="center"/>
          </w:tcPr>
          <w:p w:rsidR="006D74A1" w:rsidRPr="00E71B28" w:rsidRDefault="006D74A1" w:rsidP="006D74A1">
            <w:pPr>
              <w:ind w:left="-80"/>
              <w:rPr>
                <w:rFonts w:ascii="Arial Narrow" w:hAnsi="Arial Narrow"/>
                <w:sz w:val="20"/>
              </w:rPr>
            </w:pPr>
            <w:r w:rsidRPr="00E71B28">
              <w:rPr>
                <w:rFonts w:ascii="Arial Narrow" w:hAnsi="Arial Narrow"/>
                <w:bCs/>
                <w:sz w:val="20"/>
              </w:rPr>
              <w:t>Metformin + insulin glargine combinations</w:t>
            </w:r>
          </w:p>
        </w:tc>
        <w:tc>
          <w:tcPr>
            <w:tcW w:w="1020" w:type="dxa"/>
            <w:shd w:val="clear" w:color="auto" w:fill="auto"/>
            <w:noWrap/>
            <w:vAlign w:val="bottom"/>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noWrap/>
            <w:vAlign w:val="bottom"/>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0" w:type="dxa"/>
            <w:shd w:val="clear" w:color="auto" w:fill="auto"/>
            <w:noWrap/>
            <w:vAlign w:val="bottom"/>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noWrap/>
            <w:vAlign w:val="bottom"/>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noWrap/>
            <w:vAlign w:val="bottom"/>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77"/>
        </w:trPr>
        <w:tc>
          <w:tcPr>
            <w:tcW w:w="3260" w:type="dxa"/>
            <w:tcBorders>
              <w:top w:val="nil"/>
              <w:bottom w:val="single" w:sz="4" w:space="0" w:color="auto"/>
            </w:tcBorders>
            <w:shd w:val="clear" w:color="auto" w:fill="auto"/>
            <w:noWrap/>
            <w:vAlign w:val="center"/>
          </w:tcPr>
          <w:p w:rsidR="006D74A1" w:rsidRPr="00E71B28" w:rsidRDefault="006D74A1" w:rsidP="006D74A1">
            <w:pPr>
              <w:ind w:left="-80"/>
              <w:rPr>
                <w:rFonts w:ascii="Arial Narrow" w:hAnsi="Arial Narrow"/>
                <w:sz w:val="20"/>
              </w:rPr>
            </w:pPr>
            <w:r w:rsidRPr="00E71B28">
              <w:rPr>
                <w:rFonts w:ascii="Arial Narrow" w:hAnsi="Arial Narrow"/>
                <w:sz w:val="20"/>
              </w:rPr>
              <w:t>Metformin + exenatide combinations</w:t>
            </w:r>
          </w:p>
        </w:tc>
        <w:tc>
          <w:tcPr>
            <w:tcW w:w="1020" w:type="dxa"/>
            <w:shd w:val="clear" w:color="auto" w:fill="auto"/>
            <w:noWrap/>
            <w:vAlign w:val="bottom"/>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noWrap/>
            <w:vAlign w:val="bottom"/>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0" w:type="dxa"/>
            <w:shd w:val="clear" w:color="auto" w:fill="auto"/>
            <w:noWrap/>
            <w:vAlign w:val="bottom"/>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noWrap/>
            <w:vAlign w:val="bottom"/>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noWrap/>
            <w:vAlign w:val="bottom"/>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77"/>
        </w:trPr>
        <w:tc>
          <w:tcPr>
            <w:tcW w:w="3260" w:type="dxa"/>
            <w:tcBorders>
              <w:bottom w:val="nil"/>
            </w:tcBorders>
            <w:shd w:val="clear" w:color="auto" w:fill="auto"/>
            <w:noWrap/>
            <w:vAlign w:val="center"/>
          </w:tcPr>
          <w:p w:rsidR="006D74A1" w:rsidRPr="00E71B28" w:rsidRDefault="006D74A1" w:rsidP="006D74A1">
            <w:pPr>
              <w:ind w:left="-80"/>
              <w:rPr>
                <w:rFonts w:ascii="Arial Narrow" w:hAnsi="Arial Narrow"/>
                <w:sz w:val="20"/>
              </w:rPr>
            </w:pPr>
            <w:r w:rsidRPr="00E71B28">
              <w:rPr>
                <w:rFonts w:ascii="Arial Narrow" w:hAnsi="Arial Narrow"/>
                <w:sz w:val="20"/>
              </w:rPr>
              <w:t>Uptake rate from</w:t>
            </w:r>
          </w:p>
        </w:tc>
        <w:tc>
          <w:tcPr>
            <w:tcW w:w="1020"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0"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77"/>
        </w:trPr>
        <w:tc>
          <w:tcPr>
            <w:tcW w:w="3260" w:type="dxa"/>
            <w:tcBorders>
              <w:top w:val="nil"/>
            </w:tcBorders>
            <w:shd w:val="clear" w:color="auto" w:fill="auto"/>
            <w:noWrap/>
            <w:vAlign w:val="center"/>
          </w:tcPr>
          <w:p w:rsidR="006D74A1" w:rsidRPr="00E71B28" w:rsidRDefault="006D74A1" w:rsidP="006D74A1">
            <w:pPr>
              <w:ind w:left="-80" w:right="-59"/>
              <w:rPr>
                <w:rFonts w:ascii="Arial Narrow" w:hAnsi="Arial Narrow"/>
                <w:sz w:val="20"/>
              </w:rPr>
            </w:pPr>
            <w:r w:rsidRPr="00E71B28">
              <w:rPr>
                <w:rFonts w:ascii="Arial Narrow" w:hAnsi="Arial Narrow"/>
                <w:sz w:val="20"/>
              </w:rPr>
              <w:t>Metformin + DPP4 + SGLT2 combinations*</w:t>
            </w:r>
          </w:p>
        </w:tc>
        <w:tc>
          <w:tcPr>
            <w:tcW w:w="1020" w:type="dxa"/>
            <w:shd w:val="clear" w:color="auto" w:fill="auto"/>
            <w:noWrap/>
            <w:vAlign w:val="bottom"/>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noWrap/>
            <w:vAlign w:val="bottom"/>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0" w:type="dxa"/>
            <w:shd w:val="clear" w:color="auto" w:fill="auto"/>
            <w:noWrap/>
            <w:vAlign w:val="bottom"/>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noWrap/>
            <w:vAlign w:val="bottom"/>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noWrap/>
            <w:vAlign w:val="bottom"/>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77"/>
        </w:trPr>
        <w:tc>
          <w:tcPr>
            <w:tcW w:w="8363" w:type="dxa"/>
            <w:gridSpan w:val="6"/>
            <w:shd w:val="clear" w:color="auto" w:fill="auto"/>
            <w:noWrap/>
            <w:vAlign w:val="center"/>
          </w:tcPr>
          <w:p w:rsidR="006D74A1" w:rsidRPr="00E71B28" w:rsidRDefault="006D74A1" w:rsidP="006D74A1">
            <w:pPr>
              <w:ind w:left="-80"/>
              <w:jc w:val="left"/>
              <w:rPr>
                <w:rFonts w:ascii="Arial Narrow" w:hAnsi="Arial Narrow"/>
                <w:b/>
                <w:bCs/>
                <w:sz w:val="20"/>
              </w:rPr>
            </w:pPr>
            <w:r w:rsidRPr="00E71B28">
              <w:rPr>
                <w:rFonts w:ascii="Arial Narrow" w:hAnsi="Arial Narrow"/>
                <w:b/>
                <w:bCs/>
                <w:sz w:val="20"/>
              </w:rPr>
              <w:t>Estimated utilisation if empagliflozin with linagliptin FDC is listed on the PBS</w:t>
            </w:r>
          </w:p>
        </w:tc>
      </w:tr>
      <w:tr w:rsidR="006D74A1" w:rsidRPr="00E71B28" w:rsidTr="006D74A1">
        <w:trPr>
          <w:trHeight w:val="77"/>
        </w:trPr>
        <w:tc>
          <w:tcPr>
            <w:tcW w:w="3260" w:type="dxa"/>
            <w:shd w:val="clear" w:color="auto" w:fill="auto"/>
            <w:noWrap/>
            <w:vAlign w:val="center"/>
          </w:tcPr>
          <w:p w:rsidR="006D74A1" w:rsidRPr="00E71B28" w:rsidRDefault="006D74A1" w:rsidP="006D74A1">
            <w:pPr>
              <w:ind w:left="-80"/>
              <w:rPr>
                <w:rFonts w:ascii="Arial Narrow" w:hAnsi="Arial Narrow"/>
                <w:b/>
                <w:sz w:val="20"/>
              </w:rPr>
            </w:pPr>
            <w:r w:rsidRPr="00E71B28">
              <w:rPr>
                <w:rFonts w:ascii="Arial Narrow" w:hAnsi="Arial Narrow"/>
                <w:b/>
                <w:sz w:val="20"/>
              </w:rPr>
              <w:t>Empagliflozin + linagliptin FDC</w:t>
            </w:r>
          </w:p>
        </w:tc>
        <w:tc>
          <w:tcPr>
            <w:tcW w:w="1020" w:type="dxa"/>
            <w:shd w:val="clear" w:color="auto" w:fill="auto"/>
            <w:noWrap/>
            <w:vAlign w:val="bottom"/>
          </w:tcPr>
          <w:p w:rsidR="006D74A1" w:rsidRPr="00505399" w:rsidRDefault="00505399" w:rsidP="006D74A1">
            <w:pPr>
              <w:jc w:val="center"/>
              <w:rPr>
                <w:rFonts w:ascii="Arial Narrow" w:hAnsi="Arial Narrow"/>
                <w:b/>
                <w:sz w:val="20"/>
                <w:highlight w:val="black"/>
              </w:rPr>
            </w:pPr>
            <w:r>
              <w:rPr>
                <w:rFonts w:ascii="Arial Narrow" w:hAnsi="Arial Narrow"/>
                <w:b/>
                <w:noProof/>
                <w:color w:val="000000"/>
                <w:sz w:val="20"/>
                <w:highlight w:val="black"/>
              </w:rPr>
              <w:t>''''''''''''''</w:t>
            </w:r>
          </w:p>
        </w:tc>
        <w:tc>
          <w:tcPr>
            <w:tcW w:w="1021" w:type="dxa"/>
            <w:shd w:val="clear" w:color="auto" w:fill="auto"/>
            <w:noWrap/>
            <w:vAlign w:val="bottom"/>
          </w:tcPr>
          <w:p w:rsidR="006D74A1" w:rsidRPr="00505399" w:rsidRDefault="00505399" w:rsidP="006D74A1">
            <w:pPr>
              <w:jc w:val="center"/>
              <w:rPr>
                <w:rFonts w:ascii="Arial Narrow" w:hAnsi="Arial Narrow"/>
                <w:b/>
                <w:sz w:val="20"/>
                <w:highlight w:val="black"/>
              </w:rPr>
            </w:pPr>
            <w:r>
              <w:rPr>
                <w:rFonts w:ascii="Arial Narrow" w:hAnsi="Arial Narrow"/>
                <w:b/>
                <w:noProof/>
                <w:color w:val="000000"/>
                <w:sz w:val="20"/>
                <w:highlight w:val="black"/>
              </w:rPr>
              <w:t>'''''''''''''</w:t>
            </w:r>
          </w:p>
        </w:tc>
        <w:tc>
          <w:tcPr>
            <w:tcW w:w="1020" w:type="dxa"/>
            <w:shd w:val="clear" w:color="auto" w:fill="auto"/>
            <w:noWrap/>
            <w:vAlign w:val="bottom"/>
          </w:tcPr>
          <w:p w:rsidR="006D74A1" w:rsidRPr="00505399" w:rsidRDefault="00505399" w:rsidP="006D74A1">
            <w:pPr>
              <w:jc w:val="center"/>
              <w:rPr>
                <w:rFonts w:ascii="Arial Narrow" w:hAnsi="Arial Narrow"/>
                <w:b/>
                <w:sz w:val="20"/>
                <w:highlight w:val="black"/>
              </w:rPr>
            </w:pPr>
            <w:r>
              <w:rPr>
                <w:rFonts w:ascii="Arial Narrow" w:hAnsi="Arial Narrow"/>
                <w:b/>
                <w:noProof/>
                <w:color w:val="000000"/>
                <w:sz w:val="20"/>
                <w:highlight w:val="black"/>
              </w:rPr>
              <w:t>'''''''''''''</w:t>
            </w:r>
          </w:p>
        </w:tc>
        <w:tc>
          <w:tcPr>
            <w:tcW w:w="1021" w:type="dxa"/>
            <w:shd w:val="clear" w:color="auto" w:fill="auto"/>
            <w:noWrap/>
            <w:vAlign w:val="bottom"/>
          </w:tcPr>
          <w:p w:rsidR="006D74A1" w:rsidRPr="00505399" w:rsidRDefault="00505399" w:rsidP="006D74A1">
            <w:pPr>
              <w:jc w:val="center"/>
              <w:rPr>
                <w:rFonts w:ascii="Arial Narrow" w:hAnsi="Arial Narrow"/>
                <w:b/>
                <w:sz w:val="20"/>
                <w:highlight w:val="black"/>
              </w:rPr>
            </w:pPr>
            <w:r>
              <w:rPr>
                <w:rFonts w:ascii="Arial Narrow" w:hAnsi="Arial Narrow"/>
                <w:b/>
                <w:noProof/>
                <w:color w:val="000000"/>
                <w:sz w:val="20"/>
                <w:highlight w:val="black"/>
              </w:rPr>
              <w:t>''''''''''''''</w:t>
            </w:r>
          </w:p>
        </w:tc>
        <w:tc>
          <w:tcPr>
            <w:tcW w:w="1021" w:type="dxa"/>
            <w:shd w:val="clear" w:color="auto" w:fill="auto"/>
            <w:noWrap/>
            <w:vAlign w:val="bottom"/>
          </w:tcPr>
          <w:p w:rsidR="006D74A1" w:rsidRPr="00505399" w:rsidRDefault="00505399" w:rsidP="006D74A1">
            <w:pPr>
              <w:jc w:val="center"/>
              <w:rPr>
                <w:rFonts w:ascii="Arial Narrow" w:hAnsi="Arial Narrow"/>
                <w:b/>
                <w:sz w:val="20"/>
                <w:highlight w:val="black"/>
              </w:rPr>
            </w:pPr>
            <w:r>
              <w:rPr>
                <w:rFonts w:ascii="Arial Narrow" w:hAnsi="Arial Narrow"/>
                <w:b/>
                <w:noProof/>
                <w:color w:val="000000"/>
                <w:sz w:val="20"/>
                <w:highlight w:val="black"/>
              </w:rPr>
              <w:t>'''''''''''''</w:t>
            </w:r>
          </w:p>
        </w:tc>
      </w:tr>
      <w:tr w:rsidR="006D74A1" w:rsidRPr="00E71B28" w:rsidTr="006D74A1">
        <w:trPr>
          <w:trHeight w:val="77"/>
        </w:trPr>
        <w:tc>
          <w:tcPr>
            <w:tcW w:w="3260" w:type="dxa"/>
            <w:tcBorders>
              <w:bottom w:val="nil"/>
            </w:tcBorders>
            <w:shd w:val="clear" w:color="auto" w:fill="auto"/>
            <w:noWrap/>
            <w:vAlign w:val="center"/>
          </w:tcPr>
          <w:p w:rsidR="006D74A1" w:rsidRPr="00E71B28" w:rsidRDefault="006D74A1" w:rsidP="006D74A1">
            <w:pPr>
              <w:ind w:left="-80"/>
              <w:rPr>
                <w:rFonts w:ascii="Arial Narrow" w:hAnsi="Arial Narrow"/>
                <w:sz w:val="20"/>
              </w:rPr>
            </w:pPr>
            <w:r w:rsidRPr="00E71B28">
              <w:rPr>
                <w:rFonts w:ascii="Arial Narrow" w:hAnsi="Arial Narrow"/>
                <w:bCs/>
                <w:sz w:val="20"/>
              </w:rPr>
              <w:t>Metformin + insulin glargine combinations</w:t>
            </w:r>
          </w:p>
        </w:tc>
        <w:tc>
          <w:tcPr>
            <w:tcW w:w="1020"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0"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77"/>
        </w:trPr>
        <w:tc>
          <w:tcPr>
            <w:tcW w:w="3260" w:type="dxa"/>
            <w:tcBorders>
              <w:top w:val="nil"/>
            </w:tcBorders>
            <w:shd w:val="clear" w:color="auto" w:fill="auto"/>
            <w:noWrap/>
            <w:vAlign w:val="center"/>
          </w:tcPr>
          <w:p w:rsidR="006D74A1" w:rsidRPr="00E71B28" w:rsidRDefault="006D74A1" w:rsidP="006D74A1">
            <w:pPr>
              <w:ind w:left="-80"/>
              <w:rPr>
                <w:rFonts w:ascii="Arial Narrow" w:hAnsi="Arial Narrow"/>
                <w:sz w:val="20"/>
              </w:rPr>
            </w:pPr>
            <w:r w:rsidRPr="00E71B28">
              <w:rPr>
                <w:rFonts w:ascii="Arial Narrow" w:hAnsi="Arial Narrow"/>
                <w:sz w:val="20"/>
              </w:rPr>
              <w:t>Metformin + exenatide combinations</w:t>
            </w:r>
          </w:p>
        </w:tc>
        <w:tc>
          <w:tcPr>
            <w:tcW w:w="1020"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0"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119"/>
        </w:trPr>
        <w:tc>
          <w:tcPr>
            <w:tcW w:w="3260" w:type="dxa"/>
            <w:shd w:val="clear" w:color="auto" w:fill="auto"/>
            <w:vAlign w:val="center"/>
          </w:tcPr>
          <w:p w:rsidR="006D74A1" w:rsidRPr="00E71B28" w:rsidRDefault="006D74A1" w:rsidP="006D74A1">
            <w:pPr>
              <w:ind w:left="-80"/>
              <w:rPr>
                <w:rFonts w:ascii="Arial Narrow" w:hAnsi="Arial Narrow"/>
                <w:sz w:val="20"/>
              </w:rPr>
            </w:pPr>
            <w:r w:rsidRPr="00E71B28">
              <w:rPr>
                <w:rFonts w:ascii="Arial Narrow" w:hAnsi="Arial Narrow"/>
                <w:sz w:val="20"/>
              </w:rPr>
              <w:t>Metformin + DPP4 + SGLT2 combinations</w:t>
            </w:r>
          </w:p>
        </w:tc>
        <w:tc>
          <w:tcPr>
            <w:tcW w:w="1020"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0"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77"/>
        </w:trPr>
        <w:tc>
          <w:tcPr>
            <w:tcW w:w="3260" w:type="dxa"/>
            <w:shd w:val="clear" w:color="auto" w:fill="auto"/>
            <w:noWrap/>
            <w:vAlign w:val="center"/>
          </w:tcPr>
          <w:p w:rsidR="006D74A1" w:rsidRPr="00E71B28" w:rsidRDefault="006D74A1" w:rsidP="006D74A1">
            <w:pPr>
              <w:ind w:left="-80"/>
              <w:rPr>
                <w:rFonts w:ascii="Arial Narrow" w:hAnsi="Arial Narrow"/>
                <w:sz w:val="20"/>
              </w:rPr>
            </w:pPr>
            <w:r w:rsidRPr="00E71B28">
              <w:rPr>
                <w:rFonts w:ascii="Arial Narrow" w:hAnsi="Arial Narrow"/>
                <w:sz w:val="20"/>
              </w:rPr>
              <w:t>Total patients</w:t>
            </w:r>
          </w:p>
        </w:tc>
        <w:tc>
          <w:tcPr>
            <w:tcW w:w="1020" w:type="dxa"/>
            <w:shd w:val="clear" w:color="auto" w:fill="auto"/>
            <w:noWrap/>
            <w:vAlign w:val="bottom"/>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noWrap/>
            <w:vAlign w:val="bottom"/>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0" w:type="dxa"/>
            <w:shd w:val="clear" w:color="auto" w:fill="auto"/>
            <w:noWrap/>
            <w:vAlign w:val="bottom"/>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noWrap/>
            <w:vAlign w:val="bottom"/>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noWrap/>
            <w:vAlign w:val="bottom"/>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77"/>
        </w:trPr>
        <w:tc>
          <w:tcPr>
            <w:tcW w:w="3260" w:type="dxa"/>
            <w:shd w:val="clear" w:color="auto" w:fill="auto"/>
            <w:noWrap/>
            <w:vAlign w:val="center"/>
          </w:tcPr>
          <w:p w:rsidR="006D74A1" w:rsidRPr="00E71B28" w:rsidRDefault="006D74A1" w:rsidP="006D74A1">
            <w:pPr>
              <w:ind w:left="-80"/>
              <w:rPr>
                <w:rFonts w:ascii="Arial Narrow" w:hAnsi="Arial Narrow"/>
                <w:sz w:val="20"/>
              </w:rPr>
            </w:pPr>
            <w:r w:rsidRPr="00E71B28">
              <w:rPr>
                <w:rFonts w:ascii="Arial Narrow" w:hAnsi="Arial Narrow"/>
                <w:b/>
                <w:sz w:val="20"/>
              </w:rPr>
              <w:t>Total Scripts</w:t>
            </w:r>
          </w:p>
        </w:tc>
        <w:tc>
          <w:tcPr>
            <w:tcW w:w="1020"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b/>
                <w:noProof/>
                <w:color w:val="000000"/>
                <w:sz w:val="20"/>
                <w:highlight w:val="black"/>
              </w:rPr>
              <w:t>'''''''''''''''''</w:t>
            </w:r>
          </w:p>
        </w:tc>
        <w:tc>
          <w:tcPr>
            <w:tcW w:w="1021"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b/>
                <w:noProof/>
                <w:color w:val="000000"/>
                <w:sz w:val="20"/>
                <w:highlight w:val="black"/>
              </w:rPr>
              <w:t>''''''''''''''''''</w:t>
            </w:r>
          </w:p>
        </w:tc>
        <w:tc>
          <w:tcPr>
            <w:tcW w:w="1020"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b/>
                <w:noProof/>
                <w:color w:val="000000"/>
                <w:sz w:val="20"/>
                <w:highlight w:val="black"/>
              </w:rPr>
              <w:t>''''''''''''''''''''</w:t>
            </w:r>
          </w:p>
        </w:tc>
        <w:tc>
          <w:tcPr>
            <w:tcW w:w="1021"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b/>
                <w:noProof/>
                <w:color w:val="000000"/>
                <w:sz w:val="20"/>
                <w:highlight w:val="black"/>
              </w:rPr>
              <w:t>'''''''''''''''''''''</w:t>
            </w:r>
          </w:p>
        </w:tc>
        <w:tc>
          <w:tcPr>
            <w:tcW w:w="1021"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b/>
                <w:noProof/>
                <w:color w:val="000000"/>
                <w:sz w:val="20"/>
                <w:highlight w:val="black"/>
              </w:rPr>
              <w:t>'''''''''''''''''''</w:t>
            </w:r>
          </w:p>
        </w:tc>
      </w:tr>
    </w:tbl>
    <w:p w:rsidR="006D74A1" w:rsidRPr="00E71B28" w:rsidRDefault="006D74A1" w:rsidP="006D74A1">
      <w:pPr>
        <w:ind w:left="709"/>
        <w:rPr>
          <w:rFonts w:ascii="Arial Narrow" w:hAnsi="Arial Narrow"/>
          <w:sz w:val="18"/>
          <w:szCs w:val="18"/>
        </w:rPr>
      </w:pPr>
      <w:r w:rsidRPr="00E71B28">
        <w:rPr>
          <w:rFonts w:ascii="Arial Narrow" w:hAnsi="Arial Narrow"/>
          <w:sz w:val="18"/>
          <w:szCs w:val="18"/>
        </w:rPr>
        <w:t>Source: Table E.12, p.478; Table E.17, p.483 of the submission.</w:t>
      </w:r>
    </w:p>
    <w:p w:rsidR="006D74A1" w:rsidRPr="00E71B28" w:rsidRDefault="006D74A1" w:rsidP="006D74A1">
      <w:pPr>
        <w:ind w:left="709"/>
        <w:rPr>
          <w:rFonts w:ascii="Arial Narrow" w:hAnsi="Arial Narrow"/>
          <w:sz w:val="18"/>
          <w:szCs w:val="18"/>
        </w:rPr>
      </w:pPr>
      <w:r w:rsidRPr="00E71B28">
        <w:rPr>
          <w:rFonts w:ascii="Arial Narrow" w:hAnsi="Arial Narrow"/>
          <w:sz w:val="18"/>
          <w:szCs w:val="18"/>
        </w:rPr>
        <w:t>Abbreviations: DPP4, dipeptidyl peptidase 4; FDC, fixed dose combination; SGLT2, sodium-glucose co-transporter 2.</w:t>
      </w:r>
    </w:p>
    <w:p w:rsidR="006D74A1" w:rsidRPr="00E71B28" w:rsidRDefault="006D74A1" w:rsidP="006D74A1">
      <w:pPr>
        <w:ind w:left="709"/>
        <w:rPr>
          <w:rFonts w:ascii="Arial Narrow" w:hAnsi="Arial Narrow"/>
          <w:sz w:val="18"/>
          <w:szCs w:val="18"/>
        </w:rPr>
      </w:pPr>
      <w:r w:rsidRPr="00E71B28">
        <w:rPr>
          <w:rFonts w:ascii="Arial Narrow" w:hAnsi="Arial Narrow"/>
          <w:sz w:val="18"/>
          <w:szCs w:val="18"/>
        </w:rPr>
        <w:t>* Off restriction utilisation.</w:t>
      </w:r>
    </w:p>
    <w:p w:rsidR="00344959" w:rsidRDefault="00344959">
      <w:pPr>
        <w:widowControl/>
        <w:jc w:val="left"/>
        <w:rPr>
          <w:szCs w:val="22"/>
        </w:rPr>
      </w:pPr>
    </w:p>
    <w:p w:rsidR="0038471A" w:rsidRDefault="00344959">
      <w:pPr>
        <w:widowControl/>
        <w:jc w:val="left"/>
        <w:rPr>
          <w:szCs w:val="22"/>
        </w:rPr>
      </w:pPr>
      <w:r>
        <w:rPr>
          <w:szCs w:val="22"/>
        </w:rPr>
        <w:t>The redacted table shows that at year 5, the total number of scripts was over 200,000 per year.</w:t>
      </w:r>
    </w:p>
    <w:p w:rsidR="006D74A1" w:rsidRPr="00E71B28" w:rsidRDefault="006D74A1" w:rsidP="006D74A1">
      <w:pPr>
        <w:widowControl/>
        <w:rPr>
          <w:szCs w:val="22"/>
        </w:rPr>
      </w:pPr>
    </w:p>
    <w:p w:rsidR="006D74A1" w:rsidRPr="00E71B28" w:rsidRDefault="006D74A1" w:rsidP="008F5BEE">
      <w:pPr>
        <w:pStyle w:val="ListParagraph"/>
        <w:widowControl/>
        <w:numPr>
          <w:ilvl w:val="1"/>
          <w:numId w:val="1"/>
        </w:numPr>
      </w:pPr>
      <w:r w:rsidRPr="00E71B28">
        <w:t xml:space="preserve">The submission estimated the total number of patients expected to be prescribed empagliflozin with linagliptin FDC at </w:t>
      </w:r>
      <w:r w:rsidR="00144BC6">
        <w:t>10,000 – 50,000 per year</w:t>
      </w:r>
      <w:r w:rsidRPr="00E71B28">
        <w:t xml:space="preserve"> in Year 1, increasing to </w:t>
      </w:r>
      <w:r w:rsidR="00144BC6">
        <w:t>50,000 – 100,000 per year</w:t>
      </w:r>
      <w:r w:rsidRPr="00E71B28">
        <w:t xml:space="preserve"> in Year 5.</w:t>
      </w:r>
    </w:p>
    <w:p w:rsidR="008F01EC" w:rsidRDefault="008F01EC">
      <w:pPr>
        <w:widowControl/>
        <w:jc w:val="left"/>
        <w:rPr>
          <w:rStyle w:val="CommentReference"/>
        </w:rPr>
      </w:pPr>
      <w:r>
        <w:rPr>
          <w:rStyle w:val="CommentReference"/>
        </w:rPr>
        <w:br w:type="page"/>
      </w:r>
    </w:p>
    <w:p w:rsidR="006D74A1" w:rsidRPr="00E71B28" w:rsidRDefault="006D74A1" w:rsidP="006D74A1">
      <w:pPr>
        <w:widowControl/>
        <w:jc w:val="left"/>
        <w:rPr>
          <w:rStyle w:val="CommentReference"/>
        </w:rPr>
      </w:pPr>
    </w:p>
    <w:p w:rsidR="006D74A1" w:rsidRPr="00E71B28" w:rsidRDefault="006D74A1" w:rsidP="006D74A1">
      <w:pPr>
        <w:ind w:firstLine="709"/>
        <w:rPr>
          <w:rStyle w:val="CommentReference"/>
        </w:rPr>
      </w:pPr>
      <w:r w:rsidRPr="00E71B28">
        <w:rPr>
          <w:rStyle w:val="CommentReference"/>
        </w:rPr>
        <w:t xml:space="preserve">Table </w:t>
      </w:r>
      <w:r w:rsidR="0038471A">
        <w:rPr>
          <w:rStyle w:val="CommentReference"/>
        </w:rPr>
        <w:t>8</w:t>
      </w:r>
      <w:r w:rsidRPr="00E71B28">
        <w:rPr>
          <w:rStyle w:val="CommentReference"/>
        </w:rPr>
        <w:t>: Estimated use and financial implications</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190"/>
        <w:gridCol w:w="1191"/>
        <w:gridCol w:w="1190"/>
        <w:gridCol w:w="1191"/>
        <w:gridCol w:w="1191"/>
      </w:tblGrid>
      <w:tr w:rsidR="006D74A1" w:rsidRPr="00E71B28" w:rsidTr="006D74A1">
        <w:trPr>
          <w:trHeight w:val="300"/>
          <w:tblHeader/>
        </w:trPr>
        <w:tc>
          <w:tcPr>
            <w:tcW w:w="2410" w:type="dxa"/>
            <w:shd w:val="clear" w:color="auto" w:fill="FFFFFF" w:themeFill="background1"/>
            <w:noWrap/>
            <w:vAlign w:val="center"/>
            <w:hideMark/>
          </w:tcPr>
          <w:p w:rsidR="006D74A1" w:rsidRPr="00E71B28" w:rsidRDefault="006D74A1" w:rsidP="006D74A1">
            <w:pPr>
              <w:ind w:left="-80"/>
              <w:rPr>
                <w:rFonts w:ascii="Arial Narrow" w:hAnsi="Arial Narrow"/>
                <w:sz w:val="20"/>
              </w:rPr>
            </w:pPr>
          </w:p>
        </w:tc>
        <w:tc>
          <w:tcPr>
            <w:tcW w:w="1190" w:type="dxa"/>
            <w:shd w:val="clear" w:color="auto" w:fill="FFFFFF" w:themeFill="background1"/>
            <w:noWrap/>
            <w:vAlign w:val="center"/>
            <w:hideMark/>
          </w:tcPr>
          <w:p w:rsidR="006D74A1" w:rsidRPr="00E71B28" w:rsidRDefault="006D74A1" w:rsidP="006D74A1">
            <w:pPr>
              <w:jc w:val="center"/>
              <w:rPr>
                <w:rFonts w:ascii="Arial Narrow" w:hAnsi="Arial Narrow"/>
                <w:b/>
                <w:sz w:val="20"/>
              </w:rPr>
            </w:pPr>
            <w:r w:rsidRPr="00E71B28">
              <w:rPr>
                <w:rFonts w:ascii="Arial Narrow" w:hAnsi="Arial Narrow"/>
                <w:b/>
                <w:sz w:val="20"/>
              </w:rPr>
              <w:t>Year 1</w:t>
            </w:r>
          </w:p>
        </w:tc>
        <w:tc>
          <w:tcPr>
            <w:tcW w:w="1191" w:type="dxa"/>
            <w:shd w:val="clear" w:color="auto" w:fill="FFFFFF" w:themeFill="background1"/>
            <w:noWrap/>
            <w:vAlign w:val="center"/>
            <w:hideMark/>
          </w:tcPr>
          <w:p w:rsidR="006D74A1" w:rsidRPr="00E71B28" w:rsidRDefault="006D74A1" w:rsidP="006D74A1">
            <w:pPr>
              <w:jc w:val="center"/>
              <w:rPr>
                <w:rFonts w:ascii="Arial Narrow" w:hAnsi="Arial Narrow"/>
                <w:b/>
                <w:sz w:val="20"/>
              </w:rPr>
            </w:pPr>
            <w:r w:rsidRPr="00E71B28">
              <w:rPr>
                <w:rFonts w:ascii="Arial Narrow" w:hAnsi="Arial Narrow"/>
                <w:b/>
                <w:sz w:val="20"/>
              </w:rPr>
              <w:t>Year 2</w:t>
            </w:r>
          </w:p>
        </w:tc>
        <w:tc>
          <w:tcPr>
            <w:tcW w:w="1190" w:type="dxa"/>
            <w:shd w:val="clear" w:color="auto" w:fill="FFFFFF" w:themeFill="background1"/>
            <w:noWrap/>
            <w:vAlign w:val="center"/>
            <w:hideMark/>
          </w:tcPr>
          <w:p w:rsidR="006D74A1" w:rsidRPr="00E71B28" w:rsidRDefault="006D74A1" w:rsidP="006D74A1">
            <w:pPr>
              <w:jc w:val="center"/>
              <w:rPr>
                <w:rFonts w:ascii="Arial Narrow" w:hAnsi="Arial Narrow"/>
                <w:b/>
                <w:sz w:val="20"/>
              </w:rPr>
            </w:pPr>
            <w:r w:rsidRPr="00E71B28">
              <w:rPr>
                <w:rFonts w:ascii="Arial Narrow" w:hAnsi="Arial Narrow"/>
                <w:b/>
                <w:sz w:val="20"/>
              </w:rPr>
              <w:t>Year 3</w:t>
            </w:r>
          </w:p>
        </w:tc>
        <w:tc>
          <w:tcPr>
            <w:tcW w:w="1191" w:type="dxa"/>
            <w:shd w:val="clear" w:color="auto" w:fill="FFFFFF" w:themeFill="background1"/>
            <w:noWrap/>
            <w:vAlign w:val="center"/>
            <w:hideMark/>
          </w:tcPr>
          <w:p w:rsidR="006D74A1" w:rsidRPr="00E71B28" w:rsidRDefault="006D74A1" w:rsidP="006D74A1">
            <w:pPr>
              <w:jc w:val="center"/>
              <w:rPr>
                <w:rFonts w:ascii="Arial Narrow" w:hAnsi="Arial Narrow"/>
                <w:b/>
                <w:sz w:val="20"/>
              </w:rPr>
            </w:pPr>
            <w:r w:rsidRPr="00E71B28">
              <w:rPr>
                <w:rFonts w:ascii="Arial Narrow" w:hAnsi="Arial Narrow"/>
                <w:b/>
                <w:sz w:val="20"/>
              </w:rPr>
              <w:t>Year 4</w:t>
            </w:r>
          </w:p>
        </w:tc>
        <w:tc>
          <w:tcPr>
            <w:tcW w:w="1191" w:type="dxa"/>
            <w:shd w:val="clear" w:color="auto" w:fill="FFFFFF" w:themeFill="background1"/>
            <w:noWrap/>
            <w:vAlign w:val="center"/>
            <w:hideMark/>
          </w:tcPr>
          <w:p w:rsidR="006D74A1" w:rsidRPr="00E71B28" w:rsidRDefault="006D74A1" w:rsidP="006D74A1">
            <w:pPr>
              <w:jc w:val="center"/>
              <w:rPr>
                <w:rFonts w:ascii="Arial Narrow" w:hAnsi="Arial Narrow"/>
                <w:b/>
                <w:sz w:val="20"/>
              </w:rPr>
            </w:pPr>
            <w:r w:rsidRPr="00E71B28">
              <w:rPr>
                <w:rFonts w:ascii="Arial Narrow" w:hAnsi="Arial Narrow"/>
                <w:b/>
                <w:sz w:val="20"/>
              </w:rPr>
              <w:t>Year 5</w:t>
            </w:r>
          </w:p>
        </w:tc>
      </w:tr>
      <w:tr w:rsidR="006D74A1" w:rsidRPr="00E71B28" w:rsidTr="006D74A1">
        <w:trPr>
          <w:trHeight w:val="70"/>
        </w:trPr>
        <w:tc>
          <w:tcPr>
            <w:tcW w:w="8363" w:type="dxa"/>
            <w:gridSpan w:val="6"/>
            <w:shd w:val="clear" w:color="auto" w:fill="auto"/>
            <w:noWrap/>
            <w:vAlign w:val="center"/>
          </w:tcPr>
          <w:p w:rsidR="006D74A1" w:rsidRPr="00E71B28" w:rsidRDefault="006D74A1" w:rsidP="006D74A1">
            <w:pPr>
              <w:ind w:left="-80"/>
              <w:jc w:val="left"/>
              <w:rPr>
                <w:rFonts w:ascii="Arial Narrow" w:hAnsi="Arial Narrow"/>
                <w:b/>
                <w:bCs/>
                <w:sz w:val="20"/>
              </w:rPr>
            </w:pPr>
            <w:r w:rsidRPr="00E71B28">
              <w:rPr>
                <w:rFonts w:ascii="Arial Narrow" w:hAnsi="Arial Narrow"/>
                <w:b/>
                <w:bCs/>
                <w:sz w:val="20"/>
              </w:rPr>
              <w:t>Estimated costs to the PBS/RPBS if empagliflozin with linagliptin NOT listed</w:t>
            </w:r>
          </w:p>
        </w:tc>
      </w:tr>
      <w:tr w:rsidR="006D74A1" w:rsidRPr="00E71B28" w:rsidTr="006D74A1">
        <w:trPr>
          <w:trHeight w:val="77"/>
        </w:trPr>
        <w:tc>
          <w:tcPr>
            <w:tcW w:w="2410" w:type="dxa"/>
            <w:tcBorders>
              <w:bottom w:val="single" w:sz="4" w:space="0" w:color="auto"/>
            </w:tcBorders>
            <w:shd w:val="clear" w:color="auto" w:fill="auto"/>
            <w:noWrap/>
            <w:vAlign w:val="center"/>
          </w:tcPr>
          <w:p w:rsidR="006D74A1" w:rsidRPr="00E71B28" w:rsidRDefault="006D74A1" w:rsidP="006D74A1">
            <w:pPr>
              <w:ind w:left="-80"/>
              <w:rPr>
                <w:rFonts w:ascii="Arial Narrow" w:hAnsi="Arial Narrow"/>
                <w:sz w:val="20"/>
              </w:rPr>
            </w:pPr>
            <w:r w:rsidRPr="00E71B28">
              <w:rPr>
                <w:rFonts w:ascii="Arial Narrow" w:hAnsi="Arial Narrow"/>
                <w:bCs/>
                <w:sz w:val="20"/>
              </w:rPr>
              <w:t xml:space="preserve">Metformin </w:t>
            </w:r>
          </w:p>
        </w:tc>
        <w:tc>
          <w:tcPr>
            <w:tcW w:w="1190" w:type="dxa"/>
            <w:shd w:val="clear" w:color="auto" w:fill="auto"/>
            <w:noWrap/>
          </w:tcPr>
          <w:p w:rsidR="006D74A1" w:rsidRPr="00505399" w:rsidRDefault="00505399" w:rsidP="006D74A1">
            <w:pPr>
              <w:ind w:left="-77" w:right="-83"/>
              <w:jc w:val="center"/>
              <w:rPr>
                <w:rFonts w:ascii="Arial Narrow" w:hAnsi="Arial Narrow"/>
                <w:sz w:val="20"/>
                <w:highlight w:val="black"/>
              </w:rPr>
            </w:pPr>
            <w:r>
              <w:rPr>
                <w:rFonts w:ascii="Arial Narrow" w:hAnsi="Arial Narrow"/>
                <w:noProof/>
                <w:color w:val="000000"/>
                <w:sz w:val="20"/>
                <w:highlight w:val="black"/>
              </w:rPr>
              <w:t>'''''''''''''''''''''''</w:t>
            </w:r>
          </w:p>
        </w:tc>
        <w:tc>
          <w:tcPr>
            <w:tcW w:w="1191" w:type="dxa"/>
            <w:shd w:val="clear" w:color="auto" w:fill="auto"/>
            <w:noWrap/>
          </w:tcPr>
          <w:p w:rsidR="006D74A1" w:rsidRPr="00505399" w:rsidRDefault="00505399" w:rsidP="006D74A1">
            <w:pPr>
              <w:ind w:left="-77" w:right="-83"/>
              <w:jc w:val="center"/>
              <w:rPr>
                <w:rFonts w:ascii="Arial Narrow" w:hAnsi="Arial Narrow"/>
                <w:sz w:val="20"/>
                <w:highlight w:val="black"/>
              </w:rPr>
            </w:pPr>
            <w:r>
              <w:rPr>
                <w:rFonts w:ascii="Arial Narrow" w:hAnsi="Arial Narrow"/>
                <w:noProof/>
                <w:color w:val="000000"/>
                <w:sz w:val="20"/>
                <w:highlight w:val="black"/>
              </w:rPr>
              <w:t>''''''''''''''''''''''''</w:t>
            </w:r>
          </w:p>
        </w:tc>
        <w:tc>
          <w:tcPr>
            <w:tcW w:w="1190" w:type="dxa"/>
            <w:shd w:val="clear" w:color="auto" w:fill="auto"/>
            <w:noWrap/>
          </w:tcPr>
          <w:p w:rsidR="006D74A1" w:rsidRPr="00505399" w:rsidRDefault="00505399" w:rsidP="006D74A1">
            <w:pPr>
              <w:ind w:left="-77" w:right="-83"/>
              <w:jc w:val="center"/>
              <w:rPr>
                <w:rFonts w:ascii="Arial Narrow" w:hAnsi="Arial Narrow"/>
                <w:sz w:val="20"/>
                <w:highlight w:val="black"/>
              </w:rPr>
            </w:pPr>
            <w:r>
              <w:rPr>
                <w:rFonts w:ascii="Arial Narrow" w:hAnsi="Arial Narrow"/>
                <w:noProof/>
                <w:color w:val="000000"/>
                <w:sz w:val="20"/>
                <w:highlight w:val="black"/>
              </w:rPr>
              <w:t>''''''''''''''''''''''''''''</w:t>
            </w:r>
          </w:p>
        </w:tc>
        <w:tc>
          <w:tcPr>
            <w:tcW w:w="1191" w:type="dxa"/>
            <w:shd w:val="clear" w:color="auto" w:fill="auto"/>
            <w:noWrap/>
          </w:tcPr>
          <w:p w:rsidR="006D74A1" w:rsidRPr="00505399" w:rsidRDefault="00505399" w:rsidP="006D74A1">
            <w:pPr>
              <w:ind w:left="-77" w:right="-83"/>
              <w:jc w:val="center"/>
              <w:rPr>
                <w:rFonts w:ascii="Arial Narrow" w:hAnsi="Arial Narrow"/>
                <w:sz w:val="20"/>
                <w:highlight w:val="black"/>
              </w:rPr>
            </w:pPr>
            <w:r>
              <w:rPr>
                <w:rFonts w:ascii="Arial Narrow" w:hAnsi="Arial Narrow"/>
                <w:noProof/>
                <w:color w:val="000000"/>
                <w:sz w:val="20"/>
                <w:highlight w:val="black"/>
              </w:rPr>
              <w:t>''''''''''''''''''''''''''</w:t>
            </w:r>
          </w:p>
        </w:tc>
        <w:tc>
          <w:tcPr>
            <w:tcW w:w="1191" w:type="dxa"/>
            <w:shd w:val="clear" w:color="auto" w:fill="auto"/>
            <w:noWrap/>
          </w:tcPr>
          <w:p w:rsidR="006D74A1" w:rsidRPr="00505399" w:rsidRDefault="00505399" w:rsidP="006D74A1">
            <w:pPr>
              <w:ind w:left="-77" w:right="-83"/>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77"/>
        </w:trPr>
        <w:tc>
          <w:tcPr>
            <w:tcW w:w="2410" w:type="dxa"/>
            <w:tcBorders>
              <w:top w:val="single" w:sz="4" w:space="0" w:color="auto"/>
            </w:tcBorders>
            <w:shd w:val="clear" w:color="auto" w:fill="auto"/>
            <w:noWrap/>
            <w:vAlign w:val="center"/>
          </w:tcPr>
          <w:p w:rsidR="006D74A1" w:rsidRPr="00E71B28" w:rsidRDefault="006D74A1" w:rsidP="006D74A1">
            <w:pPr>
              <w:ind w:left="-80"/>
              <w:rPr>
                <w:rFonts w:ascii="Arial Narrow" w:hAnsi="Arial Narrow"/>
                <w:sz w:val="20"/>
              </w:rPr>
            </w:pPr>
            <w:r w:rsidRPr="00E71B28">
              <w:rPr>
                <w:rFonts w:ascii="Arial Narrow" w:hAnsi="Arial Narrow"/>
                <w:sz w:val="20"/>
              </w:rPr>
              <w:t>Insulin glargine</w:t>
            </w:r>
          </w:p>
        </w:tc>
        <w:tc>
          <w:tcPr>
            <w:tcW w:w="1190" w:type="dxa"/>
            <w:shd w:val="clear" w:color="auto" w:fill="auto"/>
            <w:noWrap/>
            <w:vAlign w:val="center"/>
          </w:tcPr>
          <w:p w:rsidR="006D74A1" w:rsidRPr="00505399" w:rsidRDefault="00505399" w:rsidP="006D74A1">
            <w:pPr>
              <w:ind w:left="-77" w:right="-83"/>
              <w:jc w:val="center"/>
              <w:rPr>
                <w:rFonts w:ascii="Arial Narrow" w:hAnsi="Arial Narrow"/>
                <w:sz w:val="20"/>
                <w:highlight w:val="black"/>
              </w:rPr>
            </w:pPr>
            <w:r>
              <w:rPr>
                <w:rFonts w:ascii="Arial Narrow" w:hAnsi="Arial Narrow"/>
                <w:noProof/>
                <w:color w:val="000000"/>
                <w:sz w:val="20"/>
                <w:highlight w:val="black"/>
              </w:rPr>
              <w:t>''''''''''''''''''''''''''''</w:t>
            </w:r>
          </w:p>
        </w:tc>
        <w:tc>
          <w:tcPr>
            <w:tcW w:w="1191" w:type="dxa"/>
            <w:shd w:val="clear" w:color="auto" w:fill="auto"/>
            <w:noWrap/>
            <w:vAlign w:val="center"/>
          </w:tcPr>
          <w:p w:rsidR="006D74A1" w:rsidRPr="00505399" w:rsidRDefault="00505399" w:rsidP="006D74A1">
            <w:pPr>
              <w:ind w:left="-77" w:right="-83"/>
              <w:jc w:val="center"/>
              <w:rPr>
                <w:rFonts w:ascii="Arial Narrow" w:hAnsi="Arial Narrow"/>
                <w:sz w:val="20"/>
                <w:highlight w:val="black"/>
              </w:rPr>
            </w:pPr>
            <w:r>
              <w:rPr>
                <w:rFonts w:ascii="Arial Narrow" w:hAnsi="Arial Narrow"/>
                <w:noProof/>
                <w:color w:val="000000"/>
                <w:sz w:val="20"/>
                <w:highlight w:val="black"/>
              </w:rPr>
              <w:t>'''''''''''''''''''''''''''''</w:t>
            </w:r>
          </w:p>
        </w:tc>
        <w:tc>
          <w:tcPr>
            <w:tcW w:w="1190" w:type="dxa"/>
            <w:shd w:val="clear" w:color="auto" w:fill="auto"/>
            <w:noWrap/>
            <w:vAlign w:val="center"/>
          </w:tcPr>
          <w:p w:rsidR="006D74A1" w:rsidRPr="00505399" w:rsidRDefault="00505399" w:rsidP="006D74A1">
            <w:pPr>
              <w:ind w:left="-77" w:right="-83"/>
              <w:jc w:val="center"/>
              <w:rPr>
                <w:rFonts w:ascii="Arial Narrow" w:hAnsi="Arial Narrow"/>
                <w:sz w:val="20"/>
                <w:highlight w:val="black"/>
              </w:rPr>
            </w:pPr>
            <w:r>
              <w:rPr>
                <w:rFonts w:ascii="Arial Narrow" w:hAnsi="Arial Narrow"/>
                <w:noProof/>
                <w:color w:val="000000"/>
                <w:sz w:val="20"/>
                <w:highlight w:val="black"/>
              </w:rPr>
              <w:t>'''''''''''''''''''''''''''''</w:t>
            </w:r>
          </w:p>
        </w:tc>
        <w:tc>
          <w:tcPr>
            <w:tcW w:w="1191" w:type="dxa"/>
            <w:shd w:val="clear" w:color="auto" w:fill="auto"/>
            <w:noWrap/>
            <w:vAlign w:val="center"/>
          </w:tcPr>
          <w:p w:rsidR="006D74A1" w:rsidRPr="00505399" w:rsidRDefault="00505399" w:rsidP="006D74A1">
            <w:pPr>
              <w:ind w:left="-77" w:right="-83"/>
              <w:jc w:val="center"/>
              <w:rPr>
                <w:rFonts w:ascii="Arial Narrow" w:hAnsi="Arial Narrow"/>
                <w:sz w:val="20"/>
                <w:highlight w:val="black"/>
              </w:rPr>
            </w:pPr>
            <w:r>
              <w:rPr>
                <w:rFonts w:ascii="Arial Narrow" w:hAnsi="Arial Narrow"/>
                <w:noProof/>
                <w:color w:val="000000"/>
                <w:sz w:val="20"/>
                <w:highlight w:val="black"/>
              </w:rPr>
              <w:t>'''''''''''''''''''''''''''</w:t>
            </w:r>
          </w:p>
        </w:tc>
        <w:tc>
          <w:tcPr>
            <w:tcW w:w="1191" w:type="dxa"/>
            <w:shd w:val="clear" w:color="auto" w:fill="auto"/>
            <w:noWrap/>
            <w:vAlign w:val="center"/>
          </w:tcPr>
          <w:p w:rsidR="006D74A1" w:rsidRPr="00505399" w:rsidRDefault="00505399" w:rsidP="006D74A1">
            <w:pPr>
              <w:ind w:left="-77" w:right="-83"/>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77"/>
        </w:trPr>
        <w:tc>
          <w:tcPr>
            <w:tcW w:w="2410" w:type="dxa"/>
            <w:tcBorders>
              <w:top w:val="single" w:sz="4" w:space="0" w:color="auto"/>
            </w:tcBorders>
            <w:shd w:val="clear" w:color="auto" w:fill="auto"/>
            <w:noWrap/>
            <w:vAlign w:val="center"/>
          </w:tcPr>
          <w:p w:rsidR="006D74A1" w:rsidRPr="00E71B28" w:rsidRDefault="006D74A1" w:rsidP="006D74A1">
            <w:pPr>
              <w:ind w:left="-80"/>
              <w:rPr>
                <w:rFonts w:ascii="Arial Narrow" w:hAnsi="Arial Narrow"/>
                <w:sz w:val="20"/>
              </w:rPr>
            </w:pPr>
            <w:r w:rsidRPr="00E71B28">
              <w:rPr>
                <w:rFonts w:ascii="Arial Narrow" w:hAnsi="Arial Narrow"/>
                <w:sz w:val="20"/>
              </w:rPr>
              <w:t>Exenatide</w:t>
            </w:r>
          </w:p>
        </w:tc>
        <w:tc>
          <w:tcPr>
            <w:tcW w:w="1190" w:type="dxa"/>
            <w:shd w:val="clear" w:color="auto" w:fill="auto"/>
            <w:noWrap/>
            <w:vAlign w:val="center"/>
          </w:tcPr>
          <w:p w:rsidR="006D74A1" w:rsidRPr="00505399" w:rsidRDefault="00505399" w:rsidP="006D74A1">
            <w:pPr>
              <w:ind w:left="-77" w:right="-83"/>
              <w:jc w:val="center"/>
              <w:rPr>
                <w:rFonts w:ascii="Arial Narrow" w:hAnsi="Arial Narrow"/>
                <w:sz w:val="20"/>
                <w:highlight w:val="black"/>
              </w:rPr>
            </w:pPr>
            <w:r>
              <w:rPr>
                <w:rFonts w:ascii="Arial Narrow" w:hAnsi="Arial Narrow"/>
                <w:noProof/>
                <w:color w:val="000000"/>
                <w:sz w:val="20"/>
                <w:highlight w:val="black"/>
              </w:rPr>
              <w:t>'''''''''''''''''''''''''''''</w:t>
            </w:r>
          </w:p>
        </w:tc>
        <w:tc>
          <w:tcPr>
            <w:tcW w:w="1191" w:type="dxa"/>
            <w:shd w:val="clear" w:color="auto" w:fill="auto"/>
            <w:noWrap/>
            <w:vAlign w:val="center"/>
          </w:tcPr>
          <w:p w:rsidR="006D74A1" w:rsidRPr="00505399" w:rsidRDefault="00505399" w:rsidP="006D74A1">
            <w:pPr>
              <w:ind w:left="-77" w:right="-83"/>
              <w:jc w:val="center"/>
              <w:rPr>
                <w:rFonts w:ascii="Arial Narrow" w:hAnsi="Arial Narrow"/>
                <w:sz w:val="20"/>
                <w:highlight w:val="black"/>
              </w:rPr>
            </w:pPr>
            <w:r>
              <w:rPr>
                <w:rFonts w:ascii="Arial Narrow" w:hAnsi="Arial Narrow"/>
                <w:noProof/>
                <w:color w:val="000000"/>
                <w:sz w:val="20"/>
                <w:highlight w:val="black"/>
              </w:rPr>
              <w:t>'''''''''''''''''''''''''''''''</w:t>
            </w:r>
          </w:p>
        </w:tc>
        <w:tc>
          <w:tcPr>
            <w:tcW w:w="1190" w:type="dxa"/>
            <w:shd w:val="clear" w:color="auto" w:fill="auto"/>
            <w:noWrap/>
            <w:vAlign w:val="center"/>
          </w:tcPr>
          <w:p w:rsidR="006D74A1" w:rsidRPr="00505399" w:rsidRDefault="00505399" w:rsidP="006D74A1">
            <w:pPr>
              <w:ind w:left="-77" w:right="-83"/>
              <w:jc w:val="center"/>
              <w:rPr>
                <w:rFonts w:ascii="Arial Narrow" w:hAnsi="Arial Narrow"/>
                <w:sz w:val="20"/>
                <w:highlight w:val="black"/>
              </w:rPr>
            </w:pPr>
            <w:r>
              <w:rPr>
                <w:rFonts w:ascii="Arial Narrow" w:hAnsi="Arial Narrow"/>
                <w:noProof/>
                <w:color w:val="000000"/>
                <w:sz w:val="20"/>
                <w:highlight w:val="black"/>
              </w:rPr>
              <w:t>'''''''''''''''''''''''''''''</w:t>
            </w:r>
          </w:p>
        </w:tc>
        <w:tc>
          <w:tcPr>
            <w:tcW w:w="1191" w:type="dxa"/>
            <w:shd w:val="clear" w:color="auto" w:fill="auto"/>
            <w:noWrap/>
            <w:vAlign w:val="center"/>
          </w:tcPr>
          <w:p w:rsidR="006D74A1" w:rsidRPr="00505399" w:rsidRDefault="00505399" w:rsidP="006D74A1">
            <w:pPr>
              <w:ind w:left="-77" w:right="-83"/>
              <w:jc w:val="center"/>
              <w:rPr>
                <w:rFonts w:ascii="Arial Narrow" w:hAnsi="Arial Narrow"/>
                <w:sz w:val="20"/>
                <w:highlight w:val="black"/>
              </w:rPr>
            </w:pPr>
            <w:r>
              <w:rPr>
                <w:rFonts w:ascii="Arial Narrow" w:hAnsi="Arial Narrow"/>
                <w:noProof/>
                <w:color w:val="000000"/>
                <w:sz w:val="20"/>
                <w:highlight w:val="black"/>
              </w:rPr>
              <w:t>'''''''''''''''''''''''''''''''''</w:t>
            </w:r>
          </w:p>
        </w:tc>
        <w:tc>
          <w:tcPr>
            <w:tcW w:w="1191" w:type="dxa"/>
            <w:shd w:val="clear" w:color="auto" w:fill="auto"/>
            <w:noWrap/>
            <w:vAlign w:val="center"/>
          </w:tcPr>
          <w:p w:rsidR="006D74A1" w:rsidRPr="00505399" w:rsidRDefault="00505399" w:rsidP="006D74A1">
            <w:pPr>
              <w:ind w:left="-77" w:right="-83"/>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119"/>
        </w:trPr>
        <w:tc>
          <w:tcPr>
            <w:tcW w:w="2410" w:type="dxa"/>
            <w:shd w:val="clear" w:color="auto" w:fill="auto"/>
            <w:vAlign w:val="center"/>
          </w:tcPr>
          <w:p w:rsidR="006D74A1" w:rsidRPr="00E71B28" w:rsidRDefault="006D74A1" w:rsidP="006D74A1">
            <w:pPr>
              <w:ind w:left="-80"/>
              <w:rPr>
                <w:rFonts w:ascii="Arial Narrow" w:hAnsi="Arial Narrow"/>
                <w:sz w:val="20"/>
              </w:rPr>
            </w:pPr>
            <w:r w:rsidRPr="00E71B28">
              <w:rPr>
                <w:rFonts w:ascii="Arial Narrow" w:hAnsi="Arial Narrow"/>
                <w:sz w:val="20"/>
              </w:rPr>
              <w:t>DPP4 with/without metformin</w:t>
            </w:r>
          </w:p>
        </w:tc>
        <w:tc>
          <w:tcPr>
            <w:tcW w:w="1190" w:type="dxa"/>
            <w:shd w:val="clear" w:color="auto" w:fill="auto"/>
            <w:noWrap/>
            <w:vAlign w:val="center"/>
          </w:tcPr>
          <w:p w:rsidR="006D74A1" w:rsidRPr="00505399" w:rsidRDefault="00505399" w:rsidP="006D74A1">
            <w:pPr>
              <w:ind w:left="-77" w:right="-83"/>
              <w:jc w:val="center"/>
              <w:rPr>
                <w:rFonts w:ascii="Arial Narrow" w:hAnsi="Arial Narrow"/>
                <w:sz w:val="20"/>
                <w:highlight w:val="black"/>
              </w:rPr>
            </w:pPr>
            <w:r>
              <w:rPr>
                <w:rFonts w:ascii="Arial Narrow" w:hAnsi="Arial Narrow"/>
                <w:noProof/>
                <w:color w:val="000000"/>
                <w:sz w:val="20"/>
                <w:highlight w:val="black"/>
              </w:rPr>
              <w:t>'''''''''''''''''''''''''''''''</w:t>
            </w:r>
          </w:p>
        </w:tc>
        <w:tc>
          <w:tcPr>
            <w:tcW w:w="1191" w:type="dxa"/>
            <w:shd w:val="clear" w:color="auto" w:fill="auto"/>
            <w:noWrap/>
            <w:vAlign w:val="center"/>
          </w:tcPr>
          <w:p w:rsidR="006D74A1" w:rsidRPr="00505399" w:rsidRDefault="00505399" w:rsidP="006D74A1">
            <w:pPr>
              <w:ind w:left="-77" w:right="-83"/>
              <w:jc w:val="center"/>
              <w:rPr>
                <w:rFonts w:ascii="Arial Narrow" w:hAnsi="Arial Narrow"/>
                <w:sz w:val="20"/>
                <w:highlight w:val="black"/>
              </w:rPr>
            </w:pPr>
            <w:r>
              <w:rPr>
                <w:rFonts w:ascii="Arial Narrow" w:hAnsi="Arial Narrow"/>
                <w:noProof/>
                <w:color w:val="000000"/>
                <w:sz w:val="20"/>
                <w:highlight w:val="black"/>
              </w:rPr>
              <w:t>''''''''''''''''''''''''''''''''</w:t>
            </w:r>
          </w:p>
        </w:tc>
        <w:tc>
          <w:tcPr>
            <w:tcW w:w="1190" w:type="dxa"/>
            <w:shd w:val="clear" w:color="auto" w:fill="auto"/>
            <w:noWrap/>
            <w:vAlign w:val="center"/>
          </w:tcPr>
          <w:p w:rsidR="006D74A1" w:rsidRPr="00505399" w:rsidRDefault="00505399" w:rsidP="006D74A1">
            <w:pPr>
              <w:ind w:left="-77" w:right="-83"/>
              <w:jc w:val="center"/>
              <w:rPr>
                <w:rFonts w:ascii="Arial Narrow" w:hAnsi="Arial Narrow"/>
                <w:sz w:val="20"/>
                <w:highlight w:val="black"/>
              </w:rPr>
            </w:pPr>
            <w:r>
              <w:rPr>
                <w:rFonts w:ascii="Arial Narrow" w:hAnsi="Arial Narrow"/>
                <w:noProof/>
                <w:color w:val="000000"/>
                <w:sz w:val="20"/>
                <w:highlight w:val="black"/>
              </w:rPr>
              <w:t>''''''''''''''''''''''''''''''</w:t>
            </w:r>
          </w:p>
        </w:tc>
        <w:tc>
          <w:tcPr>
            <w:tcW w:w="1191" w:type="dxa"/>
            <w:shd w:val="clear" w:color="auto" w:fill="auto"/>
            <w:noWrap/>
            <w:vAlign w:val="center"/>
          </w:tcPr>
          <w:p w:rsidR="006D74A1" w:rsidRPr="00505399" w:rsidRDefault="00505399" w:rsidP="006D74A1">
            <w:pPr>
              <w:ind w:left="-77" w:right="-83"/>
              <w:jc w:val="center"/>
              <w:rPr>
                <w:rFonts w:ascii="Arial Narrow" w:hAnsi="Arial Narrow"/>
                <w:sz w:val="20"/>
                <w:highlight w:val="black"/>
              </w:rPr>
            </w:pPr>
            <w:r>
              <w:rPr>
                <w:rFonts w:ascii="Arial Narrow" w:hAnsi="Arial Narrow"/>
                <w:noProof/>
                <w:color w:val="000000"/>
                <w:sz w:val="20"/>
                <w:highlight w:val="black"/>
              </w:rPr>
              <w:t>''''''''''''''''''''''''''''''</w:t>
            </w:r>
          </w:p>
        </w:tc>
        <w:tc>
          <w:tcPr>
            <w:tcW w:w="1191" w:type="dxa"/>
            <w:shd w:val="clear" w:color="auto" w:fill="auto"/>
            <w:noWrap/>
            <w:vAlign w:val="center"/>
          </w:tcPr>
          <w:p w:rsidR="006D74A1" w:rsidRPr="00505399" w:rsidRDefault="00505399" w:rsidP="006D74A1">
            <w:pPr>
              <w:ind w:left="-77" w:right="-83"/>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119"/>
        </w:trPr>
        <w:tc>
          <w:tcPr>
            <w:tcW w:w="2410" w:type="dxa"/>
            <w:tcBorders>
              <w:bottom w:val="single" w:sz="4" w:space="0" w:color="auto"/>
            </w:tcBorders>
            <w:shd w:val="clear" w:color="auto" w:fill="auto"/>
            <w:vAlign w:val="center"/>
          </w:tcPr>
          <w:p w:rsidR="006D74A1" w:rsidRPr="00E71B28" w:rsidRDefault="006D74A1" w:rsidP="006D74A1">
            <w:pPr>
              <w:ind w:left="-80"/>
              <w:rPr>
                <w:rFonts w:ascii="Arial Narrow" w:hAnsi="Arial Narrow"/>
                <w:sz w:val="20"/>
              </w:rPr>
            </w:pPr>
            <w:r w:rsidRPr="00E71B28">
              <w:rPr>
                <w:rFonts w:ascii="Arial Narrow" w:hAnsi="Arial Narrow"/>
                <w:sz w:val="20"/>
              </w:rPr>
              <w:t>SGLT2 with/without metformin</w:t>
            </w:r>
          </w:p>
        </w:tc>
        <w:tc>
          <w:tcPr>
            <w:tcW w:w="1190" w:type="dxa"/>
            <w:tcBorders>
              <w:bottom w:val="single" w:sz="4" w:space="0" w:color="auto"/>
            </w:tcBorders>
            <w:shd w:val="clear" w:color="auto" w:fill="auto"/>
            <w:noWrap/>
            <w:vAlign w:val="center"/>
          </w:tcPr>
          <w:p w:rsidR="006D74A1" w:rsidRPr="00505399" w:rsidRDefault="00505399" w:rsidP="006D74A1">
            <w:pPr>
              <w:ind w:left="-77" w:right="-83"/>
              <w:jc w:val="center"/>
              <w:rPr>
                <w:rFonts w:ascii="Arial Narrow" w:hAnsi="Arial Narrow"/>
                <w:sz w:val="20"/>
                <w:highlight w:val="black"/>
              </w:rPr>
            </w:pPr>
            <w:r>
              <w:rPr>
                <w:rFonts w:ascii="Arial Narrow" w:hAnsi="Arial Narrow"/>
                <w:noProof/>
                <w:color w:val="000000"/>
                <w:sz w:val="20"/>
                <w:highlight w:val="black"/>
              </w:rPr>
              <w:t>'''''''''''''''''''''''''''</w:t>
            </w:r>
          </w:p>
        </w:tc>
        <w:tc>
          <w:tcPr>
            <w:tcW w:w="1191" w:type="dxa"/>
            <w:tcBorders>
              <w:bottom w:val="single" w:sz="4" w:space="0" w:color="auto"/>
            </w:tcBorders>
            <w:shd w:val="clear" w:color="auto" w:fill="auto"/>
            <w:noWrap/>
            <w:vAlign w:val="center"/>
          </w:tcPr>
          <w:p w:rsidR="006D74A1" w:rsidRPr="00505399" w:rsidRDefault="00505399" w:rsidP="006D74A1">
            <w:pPr>
              <w:ind w:left="-77" w:right="-83"/>
              <w:jc w:val="center"/>
              <w:rPr>
                <w:rFonts w:ascii="Arial Narrow" w:hAnsi="Arial Narrow"/>
                <w:sz w:val="20"/>
                <w:highlight w:val="black"/>
              </w:rPr>
            </w:pPr>
            <w:r>
              <w:rPr>
                <w:rFonts w:ascii="Arial Narrow" w:hAnsi="Arial Narrow"/>
                <w:noProof/>
                <w:color w:val="000000"/>
                <w:sz w:val="20"/>
                <w:highlight w:val="black"/>
              </w:rPr>
              <w:t>''''''''''''''''''''''''''''</w:t>
            </w:r>
          </w:p>
        </w:tc>
        <w:tc>
          <w:tcPr>
            <w:tcW w:w="1190" w:type="dxa"/>
            <w:tcBorders>
              <w:bottom w:val="single" w:sz="4" w:space="0" w:color="auto"/>
            </w:tcBorders>
            <w:shd w:val="clear" w:color="auto" w:fill="auto"/>
            <w:noWrap/>
            <w:vAlign w:val="center"/>
          </w:tcPr>
          <w:p w:rsidR="006D74A1" w:rsidRPr="00505399" w:rsidRDefault="00505399" w:rsidP="006D74A1">
            <w:pPr>
              <w:ind w:left="-77" w:right="-83"/>
              <w:jc w:val="center"/>
              <w:rPr>
                <w:rFonts w:ascii="Arial Narrow" w:hAnsi="Arial Narrow"/>
                <w:sz w:val="20"/>
                <w:highlight w:val="black"/>
              </w:rPr>
            </w:pPr>
            <w:r>
              <w:rPr>
                <w:rFonts w:ascii="Arial Narrow" w:hAnsi="Arial Narrow"/>
                <w:noProof/>
                <w:color w:val="000000"/>
                <w:sz w:val="20"/>
                <w:highlight w:val="black"/>
              </w:rPr>
              <w:t>''''''''''''''''''''''''''''''''</w:t>
            </w:r>
          </w:p>
        </w:tc>
        <w:tc>
          <w:tcPr>
            <w:tcW w:w="1191" w:type="dxa"/>
            <w:tcBorders>
              <w:bottom w:val="single" w:sz="4" w:space="0" w:color="auto"/>
            </w:tcBorders>
            <w:shd w:val="clear" w:color="auto" w:fill="auto"/>
            <w:noWrap/>
            <w:vAlign w:val="center"/>
          </w:tcPr>
          <w:p w:rsidR="006D74A1" w:rsidRPr="00505399" w:rsidRDefault="00505399" w:rsidP="006D74A1">
            <w:pPr>
              <w:ind w:left="-77" w:right="-83"/>
              <w:jc w:val="center"/>
              <w:rPr>
                <w:rFonts w:ascii="Arial Narrow" w:hAnsi="Arial Narrow"/>
                <w:sz w:val="20"/>
                <w:highlight w:val="black"/>
              </w:rPr>
            </w:pPr>
            <w:r>
              <w:rPr>
                <w:rFonts w:ascii="Arial Narrow" w:hAnsi="Arial Narrow"/>
                <w:noProof/>
                <w:color w:val="000000"/>
                <w:sz w:val="20"/>
                <w:highlight w:val="black"/>
              </w:rPr>
              <w:t>'''''''''''''''''''''''''''''</w:t>
            </w:r>
          </w:p>
        </w:tc>
        <w:tc>
          <w:tcPr>
            <w:tcW w:w="1191" w:type="dxa"/>
            <w:tcBorders>
              <w:bottom w:val="single" w:sz="4" w:space="0" w:color="auto"/>
            </w:tcBorders>
            <w:shd w:val="clear" w:color="auto" w:fill="auto"/>
            <w:noWrap/>
            <w:vAlign w:val="center"/>
          </w:tcPr>
          <w:p w:rsidR="006D74A1" w:rsidRPr="00505399" w:rsidRDefault="00505399" w:rsidP="006D74A1">
            <w:pPr>
              <w:ind w:left="-77" w:right="-83"/>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77"/>
        </w:trPr>
        <w:tc>
          <w:tcPr>
            <w:tcW w:w="2410" w:type="dxa"/>
            <w:tcBorders>
              <w:bottom w:val="double" w:sz="4" w:space="0" w:color="auto"/>
            </w:tcBorders>
            <w:shd w:val="clear" w:color="auto" w:fill="auto"/>
            <w:noWrap/>
            <w:vAlign w:val="center"/>
          </w:tcPr>
          <w:p w:rsidR="006D74A1" w:rsidRPr="00E71B28" w:rsidRDefault="006D74A1" w:rsidP="006D74A1">
            <w:pPr>
              <w:ind w:left="-80"/>
              <w:rPr>
                <w:rFonts w:ascii="Arial Narrow" w:hAnsi="Arial Narrow"/>
                <w:b/>
                <w:sz w:val="20"/>
              </w:rPr>
            </w:pPr>
            <w:r w:rsidRPr="00E71B28">
              <w:rPr>
                <w:rFonts w:ascii="Arial Narrow" w:hAnsi="Arial Narrow"/>
                <w:b/>
                <w:sz w:val="20"/>
              </w:rPr>
              <w:t>Total costs to the PBS/RPBS</w:t>
            </w:r>
          </w:p>
        </w:tc>
        <w:tc>
          <w:tcPr>
            <w:tcW w:w="1190" w:type="dxa"/>
            <w:tcBorders>
              <w:bottom w:val="double" w:sz="4" w:space="0" w:color="auto"/>
            </w:tcBorders>
            <w:shd w:val="clear" w:color="auto" w:fill="auto"/>
            <w:noWrap/>
            <w:vAlign w:val="center"/>
          </w:tcPr>
          <w:p w:rsidR="006D74A1" w:rsidRPr="00505399" w:rsidRDefault="00505399" w:rsidP="006D74A1">
            <w:pPr>
              <w:ind w:left="-77" w:right="-83"/>
              <w:jc w:val="center"/>
              <w:rPr>
                <w:rFonts w:ascii="Arial Narrow" w:hAnsi="Arial Narrow"/>
                <w:b/>
                <w:sz w:val="20"/>
                <w:highlight w:val="black"/>
              </w:rPr>
            </w:pPr>
            <w:r>
              <w:rPr>
                <w:rFonts w:ascii="Arial Narrow" w:hAnsi="Arial Narrow"/>
                <w:b/>
                <w:noProof/>
                <w:color w:val="000000"/>
                <w:sz w:val="20"/>
                <w:highlight w:val="black"/>
              </w:rPr>
              <w:t>'''''''''''''''''''''''</w:t>
            </w:r>
          </w:p>
        </w:tc>
        <w:tc>
          <w:tcPr>
            <w:tcW w:w="1191" w:type="dxa"/>
            <w:tcBorders>
              <w:bottom w:val="double" w:sz="4" w:space="0" w:color="auto"/>
            </w:tcBorders>
            <w:shd w:val="clear" w:color="auto" w:fill="auto"/>
            <w:noWrap/>
            <w:vAlign w:val="center"/>
          </w:tcPr>
          <w:p w:rsidR="006D74A1" w:rsidRPr="00505399" w:rsidRDefault="00505399" w:rsidP="006D74A1">
            <w:pPr>
              <w:ind w:left="-77" w:right="-83"/>
              <w:jc w:val="center"/>
              <w:rPr>
                <w:rFonts w:ascii="Arial Narrow" w:hAnsi="Arial Narrow"/>
                <w:b/>
                <w:sz w:val="20"/>
                <w:highlight w:val="black"/>
              </w:rPr>
            </w:pPr>
            <w:r>
              <w:rPr>
                <w:rFonts w:ascii="Arial Narrow" w:hAnsi="Arial Narrow"/>
                <w:b/>
                <w:noProof/>
                <w:color w:val="000000"/>
                <w:sz w:val="20"/>
                <w:highlight w:val="black"/>
              </w:rPr>
              <w:t>''''''''''''''''''''''''</w:t>
            </w:r>
          </w:p>
        </w:tc>
        <w:tc>
          <w:tcPr>
            <w:tcW w:w="1190" w:type="dxa"/>
            <w:tcBorders>
              <w:bottom w:val="double" w:sz="4" w:space="0" w:color="auto"/>
            </w:tcBorders>
            <w:shd w:val="clear" w:color="auto" w:fill="auto"/>
            <w:noWrap/>
            <w:vAlign w:val="center"/>
          </w:tcPr>
          <w:p w:rsidR="006D74A1" w:rsidRPr="00505399" w:rsidRDefault="00505399" w:rsidP="006D74A1">
            <w:pPr>
              <w:ind w:left="-77" w:right="-83"/>
              <w:jc w:val="center"/>
              <w:rPr>
                <w:rFonts w:ascii="Arial Narrow" w:hAnsi="Arial Narrow"/>
                <w:b/>
                <w:sz w:val="20"/>
                <w:highlight w:val="black"/>
              </w:rPr>
            </w:pPr>
            <w:r>
              <w:rPr>
                <w:rFonts w:ascii="Arial Narrow" w:hAnsi="Arial Narrow"/>
                <w:b/>
                <w:noProof/>
                <w:color w:val="000000"/>
                <w:sz w:val="20"/>
                <w:highlight w:val="black"/>
              </w:rPr>
              <w:t>''''''''''''''''''''''''</w:t>
            </w:r>
          </w:p>
        </w:tc>
        <w:tc>
          <w:tcPr>
            <w:tcW w:w="1191" w:type="dxa"/>
            <w:tcBorders>
              <w:bottom w:val="double" w:sz="4" w:space="0" w:color="auto"/>
            </w:tcBorders>
            <w:shd w:val="clear" w:color="auto" w:fill="auto"/>
            <w:noWrap/>
            <w:vAlign w:val="center"/>
          </w:tcPr>
          <w:p w:rsidR="006D74A1" w:rsidRPr="00505399" w:rsidRDefault="00505399" w:rsidP="006D74A1">
            <w:pPr>
              <w:ind w:left="-77" w:right="-83"/>
              <w:jc w:val="center"/>
              <w:rPr>
                <w:rFonts w:ascii="Arial Narrow" w:hAnsi="Arial Narrow"/>
                <w:b/>
                <w:sz w:val="20"/>
                <w:highlight w:val="black"/>
              </w:rPr>
            </w:pPr>
            <w:r>
              <w:rPr>
                <w:rFonts w:ascii="Arial Narrow" w:hAnsi="Arial Narrow"/>
                <w:b/>
                <w:noProof/>
                <w:color w:val="000000"/>
                <w:sz w:val="20"/>
                <w:highlight w:val="black"/>
              </w:rPr>
              <w:t>'''''''''''''''''''''''''''</w:t>
            </w:r>
          </w:p>
        </w:tc>
        <w:tc>
          <w:tcPr>
            <w:tcW w:w="1191" w:type="dxa"/>
            <w:tcBorders>
              <w:bottom w:val="double" w:sz="4" w:space="0" w:color="auto"/>
            </w:tcBorders>
            <w:shd w:val="clear" w:color="auto" w:fill="auto"/>
            <w:noWrap/>
            <w:vAlign w:val="center"/>
          </w:tcPr>
          <w:p w:rsidR="006D74A1" w:rsidRPr="00505399" w:rsidRDefault="00505399" w:rsidP="006D74A1">
            <w:pPr>
              <w:ind w:left="-77" w:right="-83"/>
              <w:jc w:val="center"/>
              <w:rPr>
                <w:rFonts w:ascii="Arial Narrow" w:hAnsi="Arial Narrow"/>
                <w:b/>
                <w:sz w:val="20"/>
                <w:highlight w:val="black"/>
              </w:rPr>
            </w:pPr>
            <w:r>
              <w:rPr>
                <w:rFonts w:ascii="Arial Narrow" w:hAnsi="Arial Narrow"/>
                <w:b/>
                <w:noProof/>
                <w:color w:val="000000"/>
                <w:sz w:val="20"/>
                <w:highlight w:val="black"/>
              </w:rPr>
              <w:t>''''''''''''''''''''''''''''</w:t>
            </w:r>
          </w:p>
        </w:tc>
      </w:tr>
      <w:tr w:rsidR="006D74A1" w:rsidRPr="00E71B28" w:rsidTr="006D74A1">
        <w:trPr>
          <w:trHeight w:val="77"/>
        </w:trPr>
        <w:tc>
          <w:tcPr>
            <w:tcW w:w="8363" w:type="dxa"/>
            <w:gridSpan w:val="6"/>
            <w:tcBorders>
              <w:top w:val="double" w:sz="4" w:space="0" w:color="auto"/>
            </w:tcBorders>
            <w:shd w:val="clear" w:color="auto" w:fill="auto"/>
            <w:noWrap/>
            <w:vAlign w:val="center"/>
          </w:tcPr>
          <w:p w:rsidR="006D74A1" w:rsidRPr="00E71B28" w:rsidRDefault="006D74A1" w:rsidP="006D74A1">
            <w:pPr>
              <w:ind w:left="-80"/>
              <w:jc w:val="left"/>
              <w:rPr>
                <w:rFonts w:ascii="Arial Narrow" w:hAnsi="Arial Narrow"/>
                <w:b/>
                <w:bCs/>
                <w:sz w:val="20"/>
              </w:rPr>
            </w:pPr>
            <w:r w:rsidRPr="00E71B28">
              <w:rPr>
                <w:rFonts w:ascii="Arial Narrow" w:hAnsi="Arial Narrow"/>
                <w:b/>
                <w:bCs/>
                <w:sz w:val="20"/>
              </w:rPr>
              <w:t>Estimated costs to the PBS/RPBS if empagliflozin with linagliptin listed</w:t>
            </w:r>
          </w:p>
        </w:tc>
      </w:tr>
      <w:tr w:rsidR="006D74A1" w:rsidRPr="00E71B28" w:rsidTr="006D74A1">
        <w:trPr>
          <w:trHeight w:val="424"/>
        </w:trPr>
        <w:tc>
          <w:tcPr>
            <w:tcW w:w="2410" w:type="dxa"/>
            <w:tcBorders>
              <w:bottom w:val="single" w:sz="4" w:space="0" w:color="auto"/>
            </w:tcBorders>
            <w:shd w:val="clear" w:color="auto" w:fill="auto"/>
            <w:noWrap/>
            <w:vAlign w:val="center"/>
          </w:tcPr>
          <w:p w:rsidR="006D74A1" w:rsidRPr="00E71B28" w:rsidRDefault="006D74A1" w:rsidP="006D74A1">
            <w:pPr>
              <w:ind w:left="-80"/>
              <w:rPr>
                <w:rFonts w:ascii="Arial Narrow" w:hAnsi="Arial Narrow"/>
                <w:b/>
                <w:bCs/>
                <w:sz w:val="20"/>
              </w:rPr>
            </w:pPr>
            <w:r w:rsidRPr="00E71B28">
              <w:rPr>
                <w:rFonts w:ascii="Arial Narrow" w:hAnsi="Arial Narrow"/>
                <w:b/>
                <w:bCs/>
                <w:sz w:val="20"/>
              </w:rPr>
              <w:t>Empagliflozin + linagliptin FDC</w:t>
            </w:r>
          </w:p>
        </w:tc>
        <w:tc>
          <w:tcPr>
            <w:tcW w:w="1190" w:type="dxa"/>
            <w:shd w:val="clear" w:color="auto" w:fill="auto"/>
            <w:noWrap/>
            <w:vAlign w:val="center"/>
          </w:tcPr>
          <w:p w:rsidR="006D74A1" w:rsidRPr="00505399" w:rsidRDefault="00505399" w:rsidP="006D74A1">
            <w:pPr>
              <w:ind w:left="-105" w:right="-69"/>
              <w:jc w:val="center"/>
              <w:rPr>
                <w:rFonts w:ascii="Arial Narrow" w:hAnsi="Arial Narrow"/>
                <w:b/>
                <w:sz w:val="20"/>
                <w:highlight w:val="black"/>
              </w:rPr>
            </w:pPr>
            <w:r>
              <w:rPr>
                <w:rFonts w:ascii="Arial Narrow" w:hAnsi="Arial Narrow"/>
                <w:b/>
                <w:noProof/>
                <w:color w:val="000000"/>
                <w:sz w:val="20"/>
                <w:highlight w:val="black"/>
              </w:rPr>
              <w:t>''''''''''''''''''''''''</w:t>
            </w:r>
          </w:p>
        </w:tc>
        <w:tc>
          <w:tcPr>
            <w:tcW w:w="1191" w:type="dxa"/>
            <w:shd w:val="clear" w:color="auto" w:fill="auto"/>
            <w:noWrap/>
            <w:vAlign w:val="center"/>
          </w:tcPr>
          <w:p w:rsidR="006D74A1" w:rsidRPr="00505399" w:rsidRDefault="00505399" w:rsidP="006D74A1">
            <w:pPr>
              <w:ind w:left="-105" w:right="-69"/>
              <w:jc w:val="center"/>
              <w:rPr>
                <w:rFonts w:ascii="Arial Narrow" w:hAnsi="Arial Narrow"/>
                <w:b/>
                <w:sz w:val="20"/>
                <w:highlight w:val="black"/>
              </w:rPr>
            </w:pPr>
            <w:r>
              <w:rPr>
                <w:rFonts w:ascii="Arial Narrow" w:hAnsi="Arial Narrow"/>
                <w:b/>
                <w:noProof/>
                <w:color w:val="000000"/>
                <w:sz w:val="20"/>
                <w:highlight w:val="black"/>
              </w:rPr>
              <w:t>'''''''''''''''''''''''''</w:t>
            </w:r>
          </w:p>
        </w:tc>
        <w:tc>
          <w:tcPr>
            <w:tcW w:w="1190" w:type="dxa"/>
            <w:shd w:val="clear" w:color="auto" w:fill="auto"/>
            <w:noWrap/>
            <w:vAlign w:val="center"/>
          </w:tcPr>
          <w:p w:rsidR="006D74A1" w:rsidRPr="00505399" w:rsidRDefault="00505399" w:rsidP="006D74A1">
            <w:pPr>
              <w:ind w:left="-105" w:right="-69"/>
              <w:jc w:val="center"/>
              <w:rPr>
                <w:rFonts w:ascii="Arial Narrow" w:hAnsi="Arial Narrow"/>
                <w:b/>
                <w:sz w:val="20"/>
                <w:highlight w:val="black"/>
              </w:rPr>
            </w:pPr>
            <w:r>
              <w:rPr>
                <w:rFonts w:ascii="Arial Narrow" w:hAnsi="Arial Narrow"/>
                <w:b/>
                <w:noProof/>
                <w:color w:val="000000"/>
                <w:sz w:val="20"/>
                <w:highlight w:val="black"/>
              </w:rPr>
              <w:t>'''''''''''''''''''''''</w:t>
            </w:r>
          </w:p>
        </w:tc>
        <w:tc>
          <w:tcPr>
            <w:tcW w:w="1191" w:type="dxa"/>
            <w:shd w:val="clear" w:color="auto" w:fill="auto"/>
            <w:noWrap/>
            <w:vAlign w:val="center"/>
          </w:tcPr>
          <w:p w:rsidR="006D74A1" w:rsidRPr="00505399" w:rsidRDefault="00505399" w:rsidP="006D74A1">
            <w:pPr>
              <w:ind w:left="-105" w:right="-69"/>
              <w:jc w:val="center"/>
              <w:rPr>
                <w:rFonts w:ascii="Arial Narrow" w:hAnsi="Arial Narrow"/>
                <w:b/>
                <w:sz w:val="20"/>
                <w:highlight w:val="black"/>
              </w:rPr>
            </w:pPr>
            <w:r>
              <w:rPr>
                <w:rFonts w:ascii="Arial Narrow" w:hAnsi="Arial Narrow"/>
                <w:b/>
                <w:noProof/>
                <w:color w:val="000000"/>
                <w:sz w:val="20"/>
                <w:highlight w:val="black"/>
              </w:rPr>
              <w:t>''''''''''''''''''''''''''</w:t>
            </w:r>
          </w:p>
        </w:tc>
        <w:tc>
          <w:tcPr>
            <w:tcW w:w="1191" w:type="dxa"/>
            <w:shd w:val="clear" w:color="auto" w:fill="auto"/>
            <w:noWrap/>
            <w:vAlign w:val="center"/>
          </w:tcPr>
          <w:p w:rsidR="006D74A1" w:rsidRPr="00505399" w:rsidRDefault="00505399" w:rsidP="006D74A1">
            <w:pPr>
              <w:ind w:left="-105" w:right="-69"/>
              <w:jc w:val="center"/>
              <w:rPr>
                <w:rFonts w:ascii="Arial Narrow" w:hAnsi="Arial Narrow"/>
                <w:b/>
                <w:sz w:val="20"/>
                <w:highlight w:val="black"/>
              </w:rPr>
            </w:pPr>
            <w:r>
              <w:rPr>
                <w:rFonts w:ascii="Arial Narrow" w:hAnsi="Arial Narrow"/>
                <w:b/>
                <w:noProof/>
                <w:color w:val="000000"/>
                <w:sz w:val="20"/>
                <w:highlight w:val="black"/>
              </w:rPr>
              <w:t>''''''''''''''''''''''</w:t>
            </w:r>
          </w:p>
        </w:tc>
      </w:tr>
      <w:tr w:rsidR="006D74A1" w:rsidRPr="00E71B28" w:rsidTr="006D74A1">
        <w:trPr>
          <w:trHeight w:val="77"/>
        </w:trPr>
        <w:tc>
          <w:tcPr>
            <w:tcW w:w="2410" w:type="dxa"/>
            <w:tcBorders>
              <w:bottom w:val="single" w:sz="4" w:space="0" w:color="auto"/>
            </w:tcBorders>
            <w:shd w:val="clear" w:color="auto" w:fill="auto"/>
            <w:noWrap/>
            <w:vAlign w:val="center"/>
          </w:tcPr>
          <w:p w:rsidR="006D74A1" w:rsidRPr="00E71B28" w:rsidRDefault="006D74A1" w:rsidP="006D74A1">
            <w:pPr>
              <w:ind w:left="-80"/>
              <w:rPr>
                <w:rFonts w:ascii="Arial Narrow" w:hAnsi="Arial Narrow"/>
                <w:bCs/>
                <w:sz w:val="20"/>
              </w:rPr>
            </w:pPr>
            <w:r w:rsidRPr="00E71B28">
              <w:rPr>
                <w:rFonts w:ascii="Arial Narrow" w:hAnsi="Arial Narrow"/>
                <w:bCs/>
                <w:sz w:val="20"/>
              </w:rPr>
              <w:t xml:space="preserve">Metformin </w:t>
            </w:r>
          </w:p>
        </w:tc>
        <w:tc>
          <w:tcPr>
            <w:tcW w:w="1190" w:type="dxa"/>
            <w:shd w:val="clear" w:color="auto" w:fill="auto"/>
            <w:noWrap/>
            <w:vAlign w:val="center"/>
          </w:tcPr>
          <w:p w:rsidR="006D74A1" w:rsidRPr="00505399" w:rsidRDefault="00505399" w:rsidP="006D74A1">
            <w:pPr>
              <w:ind w:left="-105" w:right="-69"/>
              <w:jc w:val="center"/>
              <w:rPr>
                <w:rFonts w:ascii="Arial Narrow" w:hAnsi="Arial Narrow"/>
                <w:sz w:val="20"/>
                <w:highlight w:val="black"/>
              </w:rPr>
            </w:pPr>
            <w:r>
              <w:rPr>
                <w:rFonts w:ascii="Arial Narrow" w:hAnsi="Arial Narrow"/>
                <w:noProof/>
                <w:color w:val="000000"/>
                <w:sz w:val="20"/>
                <w:highlight w:val="black"/>
              </w:rPr>
              <w:t>'''''''''''''''''''''''''''''</w:t>
            </w:r>
          </w:p>
        </w:tc>
        <w:tc>
          <w:tcPr>
            <w:tcW w:w="1191" w:type="dxa"/>
            <w:shd w:val="clear" w:color="auto" w:fill="auto"/>
            <w:noWrap/>
            <w:vAlign w:val="center"/>
          </w:tcPr>
          <w:p w:rsidR="006D74A1" w:rsidRPr="00505399" w:rsidRDefault="00505399" w:rsidP="006D74A1">
            <w:pPr>
              <w:ind w:left="-105" w:right="-69"/>
              <w:jc w:val="center"/>
              <w:rPr>
                <w:rFonts w:ascii="Arial Narrow" w:hAnsi="Arial Narrow"/>
                <w:sz w:val="20"/>
                <w:highlight w:val="black"/>
              </w:rPr>
            </w:pPr>
            <w:r>
              <w:rPr>
                <w:rFonts w:ascii="Arial Narrow" w:hAnsi="Arial Narrow"/>
                <w:noProof/>
                <w:color w:val="000000"/>
                <w:sz w:val="20"/>
                <w:highlight w:val="black"/>
              </w:rPr>
              <w:t>'''''''''''''''''''''''''''''</w:t>
            </w:r>
          </w:p>
        </w:tc>
        <w:tc>
          <w:tcPr>
            <w:tcW w:w="1190" w:type="dxa"/>
            <w:shd w:val="clear" w:color="auto" w:fill="auto"/>
            <w:noWrap/>
            <w:vAlign w:val="center"/>
          </w:tcPr>
          <w:p w:rsidR="006D74A1" w:rsidRPr="00505399" w:rsidRDefault="00505399" w:rsidP="006D74A1">
            <w:pPr>
              <w:ind w:left="-105" w:right="-69"/>
              <w:jc w:val="center"/>
              <w:rPr>
                <w:rFonts w:ascii="Arial Narrow" w:hAnsi="Arial Narrow"/>
                <w:sz w:val="20"/>
                <w:highlight w:val="black"/>
              </w:rPr>
            </w:pPr>
            <w:r>
              <w:rPr>
                <w:rFonts w:ascii="Arial Narrow" w:hAnsi="Arial Narrow"/>
                <w:noProof/>
                <w:color w:val="000000"/>
                <w:sz w:val="20"/>
                <w:highlight w:val="black"/>
              </w:rPr>
              <w:t>'''''''''''''''''''''''''''</w:t>
            </w:r>
          </w:p>
        </w:tc>
        <w:tc>
          <w:tcPr>
            <w:tcW w:w="1191" w:type="dxa"/>
            <w:shd w:val="clear" w:color="auto" w:fill="auto"/>
            <w:noWrap/>
            <w:vAlign w:val="center"/>
          </w:tcPr>
          <w:p w:rsidR="006D74A1" w:rsidRPr="00505399" w:rsidRDefault="00505399" w:rsidP="006D74A1">
            <w:pPr>
              <w:ind w:left="-105" w:right="-69"/>
              <w:jc w:val="center"/>
              <w:rPr>
                <w:rFonts w:ascii="Arial Narrow" w:hAnsi="Arial Narrow"/>
                <w:sz w:val="20"/>
                <w:highlight w:val="black"/>
              </w:rPr>
            </w:pPr>
            <w:r>
              <w:rPr>
                <w:rFonts w:ascii="Arial Narrow" w:hAnsi="Arial Narrow"/>
                <w:noProof/>
                <w:color w:val="000000"/>
                <w:sz w:val="20"/>
                <w:highlight w:val="black"/>
              </w:rPr>
              <w:t>'''''''''''''''''''''''''</w:t>
            </w:r>
          </w:p>
        </w:tc>
        <w:tc>
          <w:tcPr>
            <w:tcW w:w="1191" w:type="dxa"/>
            <w:shd w:val="clear" w:color="auto" w:fill="auto"/>
            <w:noWrap/>
            <w:vAlign w:val="center"/>
          </w:tcPr>
          <w:p w:rsidR="006D74A1" w:rsidRPr="00505399" w:rsidRDefault="00505399" w:rsidP="006D74A1">
            <w:pPr>
              <w:ind w:left="-105" w:right="-69"/>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77"/>
        </w:trPr>
        <w:tc>
          <w:tcPr>
            <w:tcW w:w="2410" w:type="dxa"/>
            <w:tcBorders>
              <w:top w:val="single" w:sz="4" w:space="0" w:color="auto"/>
              <w:bottom w:val="single" w:sz="4" w:space="0" w:color="auto"/>
            </w:tcBorders>
            <w:shd w:val="clear" w:color="auto" w:fill="auto"/>
            <w:noWrap/>
            <w:vAlign w:val="center"/>
          </w:tcPr>
          <w:p w:rsidR="006D74A1" w:rsidRPr="00E71B28" w:rsidRDefault="006D74A1" w:rsidP="006D74A1">
            <w:pPr>
              <w:ind w:left="-80"/>
              <w:rPr>
                <w:rFonts w:ascii="Arial Narrow" w:hAnsi="Arial Narrow"/>
                <w:sz w:val="20"/>
              </w:rPr>
            </w:pPr>
            <w:r w:rsidRPr="00E71B28">
              <w:rPr>
                <w:rFonts w:ascii="Arial Narrow" w:hAnsi="Arial Narrow"/>
                <w:sz w:val="20"/>
              </w:rPr>
              <w:t>Insulin glargine</w:t>
            </w:r>
          </w:p>
        </w:tc>
        <w:tc>
          <w:tcPr>
            <w:tcW w:w="1190" w:type="dxa"/>
            <w:shd w:val="clear" w:color="auto" w:fill="auto"/>
            <w:noWrap/>
            <w:vAlign w:val="center"/>
          </w:tcPr>
          <w:p w:rsidR="006D74A1" w:rsidRPr="00505399" w:rsidRDefault="00505399" w:rsidP="006D74A1">
            <w:pPr>
              <w:ind w:left="-105" w:right="-69"/>
              <w:jc w:val="center"/>
              <w:rPr>
                <w:rFonts w:ascii="Arial Narrow" w:hAnsi="Arial Narrow"/>
                <w:sz w:val="20"/>
                <w:highlight w:val="black"/>
              </w:rPr>
            </w:pPr>
            <w:r>
              <w:rPr>
                <w:rFonts w:ascii="Arial Narrow" w:hAnsi="Arial Narrow"/>
                <w:noProof/>
                <w:color w:val="000000"/>
                <w:sz w:val="20"/>
                <w:highlight w:val="black"/>
              </w:rPr>
              <w:t>'''''''''''''''''''''''''''</w:t>
            </w:r>
          </w:p>
        </w:tc>
        <w:tc>
          <w:tcPr>
            <w:tcW w:w="1191" w:type="dxa"/>
            <w:shd w:val="clear" w:color="auto" w:fill="auto"/>
            <w:noWrap/>
            <w:vAlign w:val="center"/>
          </w:tcPr>
          <w:p w:rsidR="006D74A1" w:rsidRPr="00505399" w:rsidRDefault="00505399" w:rsidP="006D74A1">
            <w:pPr>
              <w:ind w:left="-105" w:right="-69"/>
              <w:jc w:val="center"/>
              <w:rPr>
                <w:rFonts w:ascii="Arial Narrow" w:hAnsi="Arial Narrow"/>
                <w:sz w:val="20"/>
                <w:highlight w:val="black"/>
              </w:rPr>
            </w:pPr>
            <w:r>
              <w:rPr>
                <w:rFonts w:ascii="Arial Narrow" w:hAnsi="Arial Narrow"/>
                <w:noProof/>
                <w:color w:val="000000"/>
                <w:sz w:val="20"/>
                <w:highlight w:val="black"/>
              </w:rPr>
              <w:t>''''''''''''''''''''''''''''</w:t>
            </w:r>
          </w:p>
        </w:tc>
        <w:tc>
          <w:tcPr>
            <w:tcW w:w="1190" w:type="dxa"/>
            <w:shd w:val="clear" w:color="auto" w:fill="auto"/>
            <w:noWrap/>
            <w:vAlign w:val="center"/>
          </w:tcPr>
          <w:p w:rsidR="006D74A1" w:rsidRPr="00505399" w:rsidRDefault="00505399" w:rsidP="006D74A1">
            <w:pPr>
              <w:ind w:left="-105" w:right="-69"/>
              <w:jc w:val="center"/>
              <w:rPr>
                <w:rFonts w:ascii="Arial Narrow" w:hAnsi="Arial Narrow"/>
                <w:sz w:val="20"/>
                <w:highlight w:val="black"/>
              </w:rPr>
            </w:pPr>
            <w:r>
              <w:rPr>
                <w:rFonts w:ascii="Arial Narrow" w:hAnsi="Arial Narrow"/>
                <w:noProof/>
                <w:color w:val="000000"/>
                <w:sz w:val="20"/>
                <w:highlight w:val="black"/>
              </w:rPr>
              <w:t>''''''''''''''''''''''''''''''''</w:t>
            </w:r>
          </w:p>
        </w:tc>
        <w:tc>
          <w:tcPr>
            <w:tcW w:w="1191" w:type="dxa"/>
            <w:shd w:val="clear" w:color="auto" w:fill="auto"/>
            <w:noWrap/>
            <w:vAlign w:val="center"/>
          </w:tcPr>
          <w:p w:rsidR="006D74A1" w:rsidRPr="00505399" w:rsidRDefault="00505399" w:rsidP="006D74A1">
            <w:pPr>
              <w:ind w:left="-105" w:right="-69"/>
              <w:jc w:val="center"/>
              <w:rPr>
                <w:rFonts w:ascii="Arial Narrow" w:hAnsi="Arial Narrow"/>
                <w:sz w:val="20"/>
                <w:highlight w:val="black"/>
              </w:rPr>
            </w:pPr>
            <w:r>
              <w:rPr>
                <w:rFonts w:ascii="Arial Narrow" w:hAnsi="Arial Narrow"/>
                <w:noProof/>
                <w:color w:val="000000"/>
                <w:sz w:val="20"/>
                <w:highlight w:val="black"/>
              </w:rPr>
              <w:t>'''''''''''''''''''''''''''''</w:t>
            </w:r>
          </w:p>
        </w:tc>
        <w:tc>
          <w:tcPr>
            <w:tcW w:w="1191" w:type="dxa"/>
            <w:shd w:val="clear" w:color="auto" w:fill="auto"/>
            <w:noWrap/>
            <w:vAlign w:val="center"/>
          </w:tcPr>
          <w:p w:rsidR="006D74A1" w:rsidRPr="00505399" w:rsidRDefault="00505399" w:rsidP="006D74A1">
            <w:pPr>
              <w:ind w:left="-105" w:right="-69"/>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77"/>
        </w:trPr>
        <w:tc>
          <w:tcPr>
            <w:tcW w:w="2410" w:type="dxa"/>
            <w:tcBorders>
              <w:top w:val="single" w:sz="4" w:space="0" w:color="auto"/>
              <w:bottom w:val="single" w:sz="4" w:space="0" w:color="auto"/>
            </w:tcBorders>
            <w:shd w:val="clear" w:color="auto" w:fill="auto"/>
            <w:noWrap/>
            <w:vAlign w:val="center"/>
          </w:tcPr>
          <w:p w:rsidR="006D74A1" w:rsidRPr="00E71B28" w:rsidRDefault="006D74A1" w:rsidP="006D74A1">
            <w:pPr>
              <w:ind w:left="-80"/>
              <w:rPr>
                <w:rFonts w:ascii="Arial Narrow" w:hAnsi="Arial Narrow"/>
                <w:sz w:val="20"/>
              </w:rPr>
            </w:pPr>
            <w:r w:rsidRPr="00E71B28">
              <w:rPr>
                <w:rFonts w:ascii="Arial Narrow" w:hAnsi="Arial Narrow"/>
                <w:sz w:val="20"/>
              </w:rPr>
              <w:t>Exenatide</w:t>
            </w:r>
          </w:p>
        </w:tc>
        <w:tc>
          <w:tcPr>
            <w:tcW w:w="1190" w:type="dxa"/>
            <w:shd w:val="clear" w:color="auto" w:fill="auto"/>
            <w:noWrap/>
            <w:vAlign w:val="center"/>
          </w:tcPr>
          <w:p w:rsidR="006D74A1" w:rsidRPr="00505399" w:rsidRDefault="00505399" w:rsidP="006D74A1">
            <w:pPr>
              <w:ind w:left="-105" w:right="-69"/>
              <w:jc w:val="center"/>
              <w:rPr>
                <w:rFonts w:ascii="Arial Narrow" w:hAnsi="Arial Narrow"/>
                <w:sz w:val="20"/>
                <w:highlight w:val="black"/>
              </w:rPr>
            </w:pPr>
            <w:r>
              <w:rPr>
                <w:rFonts w:ascii="Arial Narrow" w:hAnsi="Arial Narrow"/>
                <w:noProof/>
                <w:color w:val="000000"/>
                <w:sz w:val="20"/>
                <w:highlight w:val="black"/>
              </w:rPr>
              <w:t>'''''''''''''''''''''''''</w:t>
            </w:r>
          </w:p>
        </w:tc>
        <w:tc>
          <w:tcPr>
            <w:tcW w:w="1191" w:type="dxa"/>
            <w:shd w:val="clear" w:color="auto" w:fill="auto"/>
            <w:noWrap/>
            <w:vAlign w:val="center"/>
          </w:tcPr>
          <w:p w:rsidR="006D74A1" w:rsidRPr="00505399" w:rsidRDefault="00505399" w:rsidP="006D74A1">
            <w:pPr>
              <w:ind w:left="-105" w:right="-69"/>
              <w:jc w:val="center"/>
              <w:rPr>
                <w:rFonts w:ascii="Arial Narrow" w:hAnsi="Arial Narrow"/>
                <w:sz w:val="20"/>
                <w:highlight w:val="black"/>
              </w:rPr>
            </w:pPr>
            <w:r>
              <w:rPr>
                <w:rFonts w:ascii="Arial Narrow" w:hAnsi="Arial Narrow"/>
                <w:noProof/>
                <w:color w:val="000000"/>
                <w:sz w:val="20"/>
                <w:highlight w:val="black"/>
              </w:rPr>
              <w:t>''''''''''''''''''''''''''</w:t>
            </w:r>
          </w:p>
        </w:tc>
        <w:tc>
          <w:tcPr>
            <w:tcW w:w="1190" w:type="dxa"/>
            <w:shd w:val="clear" w:color="auto" w:fill="auto"/>
            <w:noWrap/>
            <w:vAlign w:val="center"/>
          </w:tcPr>
          <w:p w:rsidR="006D74A1" w:rsidRPr="00505399" w:rsidRDefault="00505399" w:rsidP="006D74A1">
            <w:pPr>
              <w:ind w:left="-105" w:right="-69"/>
              <w:jc w:val="center"/>
              <w:rPr>
                <w:rFonts w:ascii="Arial Narrow" w:hAnsi="Arial Narrow"/>
                <w:sz w:val="20"/>
                <w:highlight w:val="black"/>
              </w:rPr>
            </w:pPr>
            <w:r>
              <w:rPr>
                <w:rFonts w:ascii="Arial Narrow" w:hAnsi="Arial Narrow"/>
                <w:noProof/>
                <w:color w:val="000000"/>
                <w:sz w:val="20"/>
                <w:highlight w:val="black"/>
              </w:rPr>
              <w:t>''''''''''''''''''''''''</w:t>
            </w:r>
          </w:p>
        </w:tc>
        <w:tc>
          <w:tcPr>
            <w:tcW w:w="1191" w:type="dxa"/>
            <w:shd w:val="clear" w:color="auto" w:fill="auto"/>
            <w:noWrap/>
            <w:vAlign w:val="center"/>
          </w:tcPr>
          <w:p w:rsidR="006D74A1" w:rsidRPr="00505399" w:rsidRDefault="00505399" w:rsidP="006D74A1">
            <w:pPr>
              <w:ind w:left="-105" w:right="-69"/>
              <w:jc w:val="center"/>
              <w:rPr>
                <w:rFonts w:ascii="Arial Narrow" w:hAnsi="Arial Narrow"/>
                <w:sz w:val="20"/>
                <w:highlight w:val="black"/>
              </w:rPr>
            </w:pPr>
            <w:r>
              <w:rPr>
                <w:rFonts w:ascii="Arial Narrow" w:hAnsi="Arial Narrow"/>
                <w:noProof/>
                <w:color w:val="000000"/>
                <w:sz w:val="20"/>
                <w:highlight w:val="black"/>
              </w:rPr>
              <w:t>''''''''''''''''''''''''''''</w:t>
            </w:r>
          </w:p>
        </w:tc>
        <w:tc>
          <w:tcPr>
            <w:tcW w:w="1191" w:type="dxa"/>
            <w:shd w:val="clear" w:color="auto" w:fill="auto"/>
            <w:noWrap/>
            <w:vAlign w:val="center"/>
          </w:tcPr>
          <w:p w:rsidR="006D74A1" w:rsidRPr="00505399" w:rsidRDefault="00505399" w:rsidP="006D74A1">
            <w:pPr>
              <w:ind w:left="-105" w:right="-69"/>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77"/>
        </w:trPr>
        <w:tc>
          <w:tcPr>
            <w:tcW w:w="2410" w:type="dxa"/>
            <w:tcBorders>
              <w:bottom w:val="single" w:sz="4" w:space="0" w:color="auto"/>
            </w:tcBorders>
            <w:shd w:val="clear" w:color="auto" w:fill="auto"/>
            <w:noWrap/>
            <w:vAlign w:val="center"/>
          </w:tcPr>
          <w:p w:rsidR="006D74A1" w:rsidRPr="00E71B28" w:rsidRDefault="006D74A1" w:rsidP="006D74A1">
            <w:pPr>
              <w:ind w:left="-80"/>
              <w:rPr>
                <w:rFonts w:ascii="Arial Narrow" w:hAnsi="Arial Narrow"/>
                <w:sz w:val="20"/>
              </w:rPr>
            </w:pPr>
            <w:r w:rsidRPr="00E71B28">
              <w:rPr>
                <w:rFonts w:ascii="Arial Narrow" w:hAnsi="Arial Narrow"/>
                <w:sz w:val="20"/>
              </w:rPr>
              <w:t>DPP4 with/without metformin</w:t>
            </w:r>
          </w:p>
        </w:tc>
        <w:tc>
          <w:tcPr>
            <w:tcW w:w="1190" w:type="dxa"/>
            <w:shd w:val="clear" w:color="auto" w:fill="auto"/>
            <w:noWrap/>
            <w:vAlign w:val="center"/>
          </w:tcPr>
          <w:p w:rsidR="006D74A1" w:rsidRPr="00505399" w:rsidRDefault="00505399" w:rsidP="006D74A1">
            <w:pPr>
              <w:ind w:left="-105" w:right="-69"/>
              <w:jc w:val="center"/>
              <w:rPr>
                <w:rFonts w:ascii="Arial Narrow" w:hAnsi="Arial Narrow"/>
                <w:sz w:val="20"/>
                <w:highlight w:val="black"/>
              </w:rPr>
            </w:pPr>
            <w:r>
              <w:rPr>
                <w:rFonts w:ascii="Arial Narrow" w:hAnsi="Arial Narrow"/>
                <w:noProof/>
                <w:color w:val="000000"/>
                <w:sz w:val="20"/>
                <w:highlight w:val="black"/>
              </w:rPr>
              <w:t>'''''''''''''''''''''''''''''</w:t>
            </w:r>
          </w:p>
        </w:tc>
        <w:tc>
          <w:tcPr>
            <w:tcW w:w="1191" w:type="dxa"/>
            <w:shd w:val="clear" w:color="auto" w:fill="auto"/>
            <w:noWrap/>
            <w:vAlign w:val="center"/>
          </w:tcPr>
          <w:p w:rsidR="006D74A1" w:rsidRPr="00505399" w:rsidRDefault="00505399" w:rsidP="006D74A1">
            <w:pPr>
              <w:ind w:left="-105" w:right="-69"/>
              <w:jc w:val="center"/>
              <w:rPr>
                <w:rFonts w:ascii="Arial Narrow" w:hAnsi="Arial Narrow"/>
                <w:sz w:val="20"/>
                <w:highlight w:val="black"/>
              </w:rPr>
            </w:pPr>
            <w:r>
              <w:rPr>
                <w:rFonts w:ascii="Arial Narrow" w:hAnsi="Arial Narrow"/>
                <w:noProof/>
                <w:color w:val="000000"/>
                <w:sz w:val="20"/>
                <w:highlight w:val="black"/>
              </w:rPr>
              <w:t>'''''''''''''''''''''''''''</w:t>
            </w:r>
          </w:p>
        </w:tc>
        <w:tc>
          <w:tcPr>
            <w:tcW w:w="1190" w:type="dxa"/>
            <w:shd w:val="clear" w:color="auto" w:fill="auto"/>
            <w:noWrap/>
            <w:vAlign w:val="center"/>
          </w:tcPr>
          <w:p w:rsidR="006D74A1" w:rsidRPr="00505399" w:rsidRDefault="00505399" w:rsidP="006D74A1">
            <w:pPr>
              <w:ind w:left="-105" w:right="-69"/>
              <w:jc w:val="center"/>
              <w:rPr>
                <w:rFonts w:ascii="Arial Narrow" w:hAnsi="Arial Narrow"/>
                <w:sz w:val="20"/>
                <w:highlight w:val="black"/>
              </w:rPr>
            </w:pPr>
            <w:r>
              <w:rPr>
                <w:rFonts w:ascii="Arial Narrow" w:hAnsi="Arial Narrow"/>
                <w:noProof/>
                <w:color w:val="000000"/>
                <w:sz w:val="20"/>
                <w:highlight w:val="black"/>
              </w:rPr>
              <w:t>'''''''''''''''''''''''''</w:t>
            </w:r>
          </w:p>
        </w:tc>
        <w:tc>
          <w:tcPr>
            <w:tcW w:w="1191" w:type="dxa"/>
            <w:shd w:val="clear" w:color="auto" w:fill="auto"/>
            <w:noWrap/>
            <w:vAlign w:val="center"/>
          </w:tcPr>
          <w:p w:rsidR="006D74A1" w:rsidRPr="00505399" w:rsidRDefault="00505399" w:rsidP="006D74A1">
            <w:pPr>
              <w:ind w:left="-105" w:right="-69"/>
              <w:jc w:val="center"/>
              <w:rPr>
                <w:rFonts w:ascii="Arial Narrow" w:hAnsi="Arial Narrow"/>
                <w:sz w:val="20"/>
                <w:highlight w:val="black"/>
              </w:rPr>
            </w:pPr>
            <w:r>
              <w:rPr>
                <w:rFonts w:ascii="Arial Narrow" w:hAnsi="Arial Narrow"/>
                <w:noProof/>
                <w:color w:val="000000"/>
                <w:sz w:val="20"/>
                <w:highlight w:val="black"/>
              </w:rPr>
              <w:t>'''''''''''''''''''''''''''''</w:t>
            </w:r>
          </w:p>
        </w:tc>
        <w:tc>
          <w:tcPr>
            <w:tcW w:w="1191" w:type="dxa"/>
            <w:shd w:val="clear" w:color="auto" w:fill="auto"/>
            <w:noWrap/>
            <w:vAlign w:val="center"/>
          </w:tcPr>
          <w:p w:rsidR="006D74A1" w:rsidRPr="00505399" w:rsidRDefault="00505399" w:rsidP="006D74A1">
            <w:pPr>
              <w:ind w:left="-105" w:right="-69"/>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77"/>
        </w:trPr>
        <w:tc>
          <w:tcPr>
            <w:tcW w:w="2410" w:type="dxa"/>
            <w:tcBorders>
              <w:top w:val="single" w:sz="4" w:space="0" w:color="auto"/>
            </w:tcBorders>
            <w:shd w:val="clear" w:color="auto" w:fill="auto"/>
            <w:noWrap/>
            <w:vAlign w:val="center"/>
          </w:tcPr>
          <w:p w:rsidR="006D74A1" w:rsidRPr="00E71B28" w:rsidRDefault="006D74A1" w:rsidP="006D74A1">
            <w:pPr>
              <w:ind w:left="-80"/>
              <w:rPr>
                <w:rFonts w:ascii="Arial Narrow" w:hAnsi="Arial Narrow"/>
                <w:sz w:val="20"/>
              </w:rPr>
            </w:pPr>
            <w:r w:rsidRPr="00E71B28">
              <w:rPr>
                <w:rFonts w:ascii="Arial Narrow" w:hAnsi="Arial Narrow"/>
                <w:sz w:val="20"/>
              </w:rPr>
              <w:t>SGLT2 with/without metformin</w:t>
            </w:r>
          </w:p>
        </w:tc>
        <w:tc>
          <w:tcPr>
            <w:tcW w:w="1190" w:type="dxa"/>
            <w:shd w:val="clear" w:color="auto" w:fill="auto"/>
            <w:noWrap/>
            <w:vAlign w:val="center"/>
          </w:tcPr>
          <w:p w:rsidR="006D74A1" w:rsidRPr="00505399" w:rsidRDefault="00505399" w:rsidP="006D74A1">
            <w:pPr>
              <w:ind w:left="-105" w:right="-69"/>
              <w:jc w:val="center"/>
              <w:rPr>
                <w:rFonts w:ascii="Arial Narrow" w:hAnsi="Arial Narrow"/>
                <w:sz w:val="20"/>
                <w:highlight w:val="black"/>
              </w:rPr>
            </w:pPr>
            <w:r>
              <w:rPr>
                <w:rFonts w:ascii="Arial Narrow" w:hAnsi="Arial Narrow"/>
                <w:noProof/>
                <w:color w:val="000000"/>
                <w:sz w:val="20"/>
                <w:highlight w:val="black"/>
              </w:rPr>
              <w:t>'''''''''''''''''''''''''''''</w:t>
            </w:r>
          </w:p>
        </w:tc>
        <w:tc>
          <w:tcPr>
            <w:tcW w:w="1191" w:type="dxa"/>
            <w:shd w:val="clear" w:color="auto" w:fill="auto"/>
            <w:noWrap/>
            <w:vAlign w:val="center"/>
          </w:tcPr>
          <w:p w:rsidR="006D74A1" w:rsidRPr="00505399" w:rsidRDefault="00505399" w:rsidP="006D74A1">
            <w:pPr>
              <w:ind w:left="-105" w:right="-69"/>
              <w:jc w:val="center"/>
              <w:rPr>
                <w:rFonts w:ascii="Arial Narrow" w:hAnsi="Arial Narrow"/>
                <w:sz w:val="20"/>
                <w:highlight w:val="black"/>
              </w:rPr>
            </w:pPr>
            <w:r>
              <w:rPr>
                <w:rFonts w:ascii="Arial Narrow" w:hAnsi="Arial Narrow"/>
                <w:noProof/>
                <w:color w:val="000000"/>
                <w:sz w:val="20"/>
                <w:highlight w:val="black"/>
              </w:rPr>
              <w:t>'''''''''''''''''''''''''''''</w:t>
            </w:r>
          </w:p>
        </w:tc>
        <w:tc>
          <w:tcPr>
            <w:tcW w:w="1190" w:type="dxa"/>
            <w:shd w:val="clear" w:color="auto" w:fill="auto"/>
            <w:noWrap/>
            <w:vAlign w:val="center"/>
          </w:tcPr>
          <w:p w:rsidR="006D74A1" w:rsidRPr="00505399" w:rsidRDefault="00505399" w:rsidP="006D74A1">
            <w:pPr>
              <w:ind w:left="-105" w:right="-69"/>
              <w:jc w:val="center"/>
              <w:rPr>
                <w:rFonts w:ascii="Arial Narrow" w:hAnsi="Arial Narrow"/>
                <w:sz w:val="20"/>
                <w:highlight w:val="black"/>
              </w:rPr>
            </w:pPr>
            <w:r>
              <w:rPr>
                <w:rFonts w:ascii="Arial Narrow" w:hAnsi="Arial Narrow"/>
                <w:noProof/>
                <w:color w:val="000000"/>
                <w:sz w:val="20"/>
                <w:highlight w:val="black"/>
              </w:rPr>
              <w:t>'''''''''''''''''''''''''''</w:t>
            </w:r>
          </w:p>
        </w:tc>
        <w:tc>
          <w:tcPr>
            <w:tcW w:w="1191" w:type="dxa"/>
            <w:shd w:val="clear" w:color="auto" w:fill="auto"/>
            <w:noWrap/>
            <w:vAlign w:val="center"/>
          </w:tcPr>
          <w:p w:rsidR="006D74A1" w:rsidRPr="00505399" w:rsidRDefault="00505399" w:rsidP="006D74A1">
            <w:pPr>
              <w:ind w:left="-105" w:right="-69"/>
              <w:jc w:val="center"/>
              <w:rPr>
                <w:rFonts w:ascii="Arial Narrow" w:hAnsi="Arial Narrow"/>
                <w:sz w:val="20"/>
                <w:highlight w:val="black"/>
              </w:rPr>
            </w:pPr>
            <w:r>
              <w:rPr>
                <w:rFonts w:ascii="Arial Narrow" w:hAnsi="Arial Narrow"/>
                <w:noProof/>
                <w:color w:val="000000"/>
                <w:sz w:val="20"/>
                <w:highlight w:val="black"/>
              </w:rPr>
              <w:t>'''''''''''''''''''''''''</w:t>
            </w:r>
          </w:p>
        </w:tc>
        <w:tc>
          <w:tcPr>
            <w:tcW w:w="1191" w:type="dxa"/>
            <w:shd w:val="clear" w:color="auto" w:fill="auto"/>
            <w:noWrap/>
            <w:vAlign w:val="center"/>
          </w:tcPr>
          <w:p w:rsidR="006D74A1" w:rsidRPr="00505399" w:rsidRDefault="00505399" w:rsidP="006D74A1">
            <w:pPr>
              <w:ind w:left="-105" w:right="-69"/>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77"/>
        </w:trPr>
        <w:tc>
          <w:tcPr>
            <w:tcW w:w="2410" w:type="dxa"/>
            <w:tcBorders>
              <w:bottom w:val="single" w:sz="4" w:space="0" w:color="auto"/>
            </w:tcBorders>
            <w:shd w:val="clear" w:color="auto" w:fill="auto"/>
            <w:noWrap/>
            <w:vAlign w:val="center"/>
          </w:tcPr>
          <w:p w:rsidR="006D74A1" w:rsidRPr="00E71B28" w:rsidRDefault="006D74A1" w:rsidP="006D74A1">
            <w:pPr>
              <w:ind w:left="-80"/>
              <w:rPr>
                <w:rFonts w:ascii="Arial Narrow" w:hAnsi="Arial Narrow"/>
                <w:sz w:val="20"/>
              </w:rPr>
            </w:pPr>
            <w:r w:rsidRPr="00E71B28">
              <w:rPr>
                <w:rFonts w:ascii="Arial Narrow" w:hAnsi="Arial Narrow"/>
                <w:b/>
                <w:sz w:val="20"/>
              </w:rPr>
              <w:t>Total costs to the PBS/RPBS</w:t>
            </w:r>
          </w:p>
        </w:tc>
        <w:tc>
          <w:tcPr>
            <w:tcW w:w="1190" w:type="dxa"/>
            <w:shd w:val="clear" w:color="auto" w:fill="auto"/>
            <w:noWrap/>
            <w:vAlign w:val="center"/>
          </w:tcPr>
          <w:p w:rsidR="006D74A1" w:rsidRPr="00505399" w:rsidRDefault="00505399" w:rsidP="006D74A1">
            <w:pPr>
              <w:ind w:left="-105" w:right="-69"/>
              <w:jc w:val="center"/>
              <w:rPr>
                <w:rFonts w:ascii="Arial Narrow" w:hAnsi="Arial Narrow"/>
                <w:b/>
                <w:sz w:val="20"/>
                <w:highlight w:val="black"/>
              </w:rPr>
            </w:pPr>
            <w:r>
              <w:rPr>
                <w:rFonts w:ascii="Arial Narrow" w:hAnsi="Arial Narrow"/>
                <w:b/>
                <w:noProof/>
                <w:color w:val="000000"/>
                <w:sz w:val="20"/>
                <w:highlight w:val="black"/>
              </w:rPr>
              <w:t>''''''''''''''''''''''</w:t>
            </w:r>
          </w:p>
        </w:tc>
        <w:tc>
          <w:tcPr>
            <w:tcW w:w="1191" w:type="dxa"/>
            <w:shd w:val="clear" w:color="auto" w:fill="auto"/>
            <w:noWrap/>
            <w:vAlign w:val="center"/>
          </w:tcPr>
          <w:p w:rsidR="006D74A1" w:rsidRPr="00505399" w:rsidRDefault="00505399" w:rsidP="006D74A1">
            <w:pPr>
              <w:ind w:left="-105" w:right="-69"/>
              <w:jc w:val="center"/>
              <w:rPr>
                <w:rFonts w:ascii="Arial Narrow" w:hAnsi="Arial Narrow"/>
                <w:b/>
                <w:sz w:val="20"/>
                <w:highlight w:val="black"/>
              </w:rPr>
            </w:pPr>
            <w:r>
              <w:rPr>
                <w:rFonts w:ascii="Arial Narrow" w:hAnsi="Arial Narrow"/>
                <w:b/>
                <w:noProof/>
                <w:color w:val="000000"/>
                <w:sz w:val="20"/>
                <w:highlight w:val="black"/>
              </w:rPr>
              <w:t>''''''''''''''''''''''</w:t>
            </w:r>
          </w:p>
        </w:tc>
        <w:tc>
          <w:tcPr>
            <w:tcW w:w="1190" w:type="dxa"/>
            <w:shd w:val="clear" w:color="auto" w:fill="auto"/>
            <w:noWrap/>
            <w:vAlign w:val="center"/>
          </w:tcPr>
          <w:p w:rsidR="006D74A1" w:rsidRPr="00505399" w:rsidRDefault="00505399" w:rsidP="006D74A1">
            <w:pPr>
              <w:ind w:left="-105" w:right="-69"/>
              <w:jc w:val="center"/>
              <w:rPr>
                <w:rFonts w:ascii="Arial Narrow" w:hAnsi="Arial Narrow"/>
                <w:b/>
                <w:sz w:val="20"/>
                <w:highlight w:val="black"/>
              </w:rPr>
            </w:pPr>
            <w:r>
              <w:rPr>
                <w:rFonts w:ascii="Arial Narrow" w:hAnsi="Arial Narrow"/>
                <w:b/>
                <w:noProof/>
                <w:color w:val="000000"/>
                <w:sz w:val="20"/>
                <w:highlight w:val="black"/>
              </w:rPr>
              <w:t>''''''''''''''''''''''''''</w:t>
            </w:r>
          </w:p>
        </w:tc>
        <w:tc>
          <w:tcPr>
            <w:tcW w:w="1191" w:type="dxa"/>
            <w:shd w:val="clear" w:color="auto" w:fill="auto"/>
            <w:noWrap/>
            <w:vAlign w:val="center"/>
          </w:tcPr>
          <w:p w:rsidR="006D74A1" w:rsidRPr="00505399" w:rsidRDefault="00505399" w:rsidP="006D74A1">
            <w:pPr>
              <w:ind w:left="-105" w:right="-69"/>
              <w:jc w:val="center"/>
              <w:rPr>
                <w:rFonts w:ascii="Arial Narrow" w:hAnsi="Arial Narrow"/>
                <w:b/>
                <w:sz w:val="20"/>
                <w:highlight w:val="black"/>
              </w:rPr>
            </w:pPr>
            <w:r>
              <w:rPr>
                <w:rFonts w:ascii="Arial Narrow" w:hAnsi="Arial Narrow"/>
                <w:b/>
                <w:noProof/>
                <w:color w:val="000000"/>
                <w:sz w:val="20"/>
                <w:highlight w:val="black"/>
              </w:rPr>
              <w:t>''''''''''''''''''''''''''</w:t>
            </w:r>
          </w:p>
        </w:tc>
        <w:tc>
          <w:tcPr>
            <w:tcW w:w="1191" w:type="dxa"/>
            <w:shd w:val="clear" w:color="auto" w:fill="auto"/>
            <w:noWrap/>
            <w:vAlign w:val="center"/>
          </w:tcPr>
          <w:p w:rsidR="006D74A1" w:rsidRPr="00505399" w:rsidRDefault="00505399" w:rsidP="006D74A1">
            <w:pPr>
              <w:ind w:left="-105" w:right="-69"/>
              <w:jc w:val="center"/>
              <w:rPr>
                <w:rFonts w:ascii="Arial Narrow" w:hAnsi="Arial Narrow"/>
                <w:b/>
                <w:sz w:val="20"/>
                <w:highlight w:val="black"/>
              </w:rPr>
            </w:pPr>
            <w:r>
              <w:rPr>
                <w:rFonts w:ascii="Arial Narrow" w:hAnsi="Arial Narrow"/>
                <w:b/>
                <w:noProof/>
                <w:color w:val="000000"/>
                <w:sz w:val="20"/>
                <w:highlight w:val="black"/>
              </w:rPr>
              <w:t>'''''''''''''''''''''''''''</w:t>
            </w:r>
          </w:p>
        </w:tc>
      </w:tr>
    </w:tbl>
    <w:p w:rsidR="006D74A1" w:rsidRPr="00E71B28" w:rsidRDefault="006D74A1" w:rsidP="006D74A1">
      <w:pPr>
        <w:ind w:left="709"/>
        <w:rPr>
          <w:rFonts w:ascii="Arial Narrow" w:hAnsi="Arial Narrow"/>
          <w:sz w:val="18"/>
          <w:szCs w:val="18"/>
        </w:rPr>
      </w:pPr>
      <w:r w:rsidRPr="00E71B28">
        <w:rPr>
          <w:rFonts w:ascii="Arial Narrow" w:hAnsi="Arial Narrow"/>
          <w:sz w:val="18"/>
          <w:szCs w:val="18"/>
        </w:rPr>
        <w:t>Source: Table E.14, p.480; Table E.12, p.478 of the resubmission.</w:t>
      </w:r>
    </w:p>
    <w:p w:rsidR="006D74A1" w:rsidRPr="00E71B28" w:rsidRDefault="006D74A1" w:rsidP="006D74A1">
      <w:pPr>
        <w:ind w:left="709"/>
        <w:rPr>
          <w:rFonts w:ascii="Arial Narrow" w:hAnsi="Arial Narrow"/>
          <w:sz w:val="18"/>
          <w:szCs w:val="18"/>
        </w:rPr>
      </w:pPr>
      <w:r w:rsidRPr="00E71B28">
        <w:rPr>
          <w:rFonts w:ascii="Arial Narrow" w:hAnsi="Arial Narrow"/>
          <w:sz w:val="18"/>
          <w:szCs w:val="18"/>
        </w:rPr>
        <w:t>Abbreviations: DPP4, dipeptidyl peptidase 4 inhibitor; FDC, fixed dose combination; SGLT2, sodium-glucose co-transporter 2 inhibitor.</w:t>
      </w:r>
    </w:p>
    <w:p w:rsidR="006D74A1" w:rsidRPr="00E71B28" w:rsidRDefault="006D74A1" w:rsidP="006D74A1">
      <w:pPr>
        <w:widowControl/>
        <w:rPr>
          <w:b/>
          <w:szCs w:val="22"/>
        </w:rPr>
      </w:pPr>
    </w:p>
    <w:p w:rsidR="006D74A1" w:rsidRPr="00E71B28" w:rsidRDefault="006D74A1" w:rsidP="008F5BEE">
      <w:pPr>
        <w:pStyle w:val="ListParagraph"/>
        <w:widowControl/>
        <w:numPr>
          <w:ilvl w:val="1"/>
          <w:numId w:val="1"/>
        </w:numPr>
      </w:pPr>
      <w:r w:rsidRPr="00E71B28">
        <w:t>The submission estimated the cost of empagliflozin with linagliptin FDC at $</w:t>
      </w:r>
      <w:r w:rsidR="00144BC6">
        <w:t>20 - 30</w:t>
      </w:r>
      <w:r w:rsidRPr="00E71B28">
        <w:t xml:space="preserve"> million in Year 1, increasing to $</w:t>
      </w:r>
      <w:r w:rsidR="00144BC6">
        <w:t>60 -100</w:t>
      </w:r>
      <w:r w:rsidRPr="00E71B28">
        <w:t xml:space="preserve"> million in Year 5, a cumulative cost to the PBS of </w:t>
      </w:r>
      <w:r w:rsidR="00144BC6">
        <w:t xml:space="preserve">more than </w:t>
      </w:r>
      <w:r w:rsidRPr="00E71B28">
        <w:t>$</w:t>
      </w:r>
      <w:r w:rsidR="00144BC6">
        <w:t>100</w:t>
      </w:r>
      <w:r w:rsidRPr="00E71B28">
        <w:t xml:space="preserve"> million over 5 years. </w:t>
      </w:r>
    </w:p>
    <w:p w:rsidR="006D74A1" w:rsidRPr="00E71B28" w:rsidRDefault="006D74A1" w:rsidP="006D74A1">
      <w:pPr>
        <w:pStyle w:val="ListParagraph"/>
        <w:widowControl/>
      </w:pPr>
    </w:p>
    <w:p w:rsidR="006D74A1" w:rsidRPr="00E71B28" w:rsidRDefault="006D74A1" w:rsidP="006D74A1">
      <w:pPr>
        <w:ind w:firstLine="709"/>
        <w:rPr>
          <w:rStyle w:val="CommentReference"/>
        </w:rPr>
      </w:pPr>
      <w:r w:rsidRPr="00E71B28">
        <w:rPr>
          <w:rStyle w:val="CommentReference"/>
        </w:rPr>
        <w:t xml:space="preserve">Table </w:t>
      </w:r>
      <w:r w:rsidR="0038471A">
        <w:rPr>
          <w:rStyle w:val="CommentReference"/>
        </w:rPr>
        <w:t>9</w:t>
      </w:r>
      <w:r w:rsidRPr="00E71B28">
        <w:rPr>
          <w:rStyle w:val="CommentReference"/>
        </w:rPr>
        <w:t>: Estimated use and financial implications</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247"/>
        <w:gridCol w:w="1247"/>
        <w:gridCol w:w="1248"/>
        <w:gridCol w:w="1247"/>
        <w:gridCol w:w="1248"/>
      </w:tblGrid>
      <w:tr w:rsidR="006D74A1" w:rsidRPr="00E71B28" w:rsidTr="006D74A1">
        <w:trPr>
          <w:trHeight w:val="300"/>
          <w:tblHeader/>
        </w:trPr>
        <w:tc>
          <w:tcPr>
            <w:tcW w:w="2126" w:type="dxa"/>
            <w:shd w:val="clear" w:color="auto" w:fill="FFFFFF" w:themeFill="background1"/>
            <w:noWrap/>
            <w:vAlign w:val="center"/>
            <w:hideMark/>
          </w:tcPr>
          <w:p w:rsidR="006D74A1" w:rsidRPr="00E71B28" w:rsidRDefault="006D74A1" w:rsidP="006D74A1">
            <w:pPr>
              <w:ind w:left="-80" w:right="-115"/>
              <w:rPr>
                <w:rFonts w:ascii="Arial Narrow" w:hAnsi="Arial Narrow"/>
                <w:sz w:val="20"/>
              </w:rPr>
            </w:pPr>
          </w:p>
        </w:tc>
        <w:tc>
          <w:tcPr>
            <w:tcW w:w="1247" w:type="dxa"/>
            <w:shd w:val="clear" w:color="auto" w:fill="FFFFFF" w:themeFill="background1"/>
            <w:noWrap/>
            <w:vAlign w:val="center"/>
            <w:hideMark/>
          </w:tcPr>
          <w:p w:rsidR="006D74A1" w:rsidRPr="00E71B28" w:rsidRDefault="006D74A1" w:rsidP="006D74A1">
            <w:pPr>
              <w:jc w:val="center"/>
              <w:rPr>
                <w:rFonts w:ascii="Arial Narrow" w:hAnsi="Arial Narrow"/>
                <w:b/>
                <w:sz w:val="20"/>
              </w:rPr>
            </w:pPr>
            <w:r w:rsidRPr="00E71B28">
              <w:rPr>
                <w:rFonts w:ascii="Arial Narrow" w:hAnsi="Arial Narrow"/>
                <w:b/>
                <w:sz w:val="20"/>
              </w:rPr>
              <w:t>Year 1</w:t>
            </w:r>
          </w:p>
        </w:tc>
        <w:tc>
          <w:tcPr>
            <w:tcW w:w="1247" w:type="dxa"/>
            <w:shd w:val="clear" w:color="auto" w:fill="FFFFFF" w:themeFill="background1"/>
            <w:noWrap/>
            <w:vAlign w:val="center"/>
            <w:hideMark/>
          </w:tcPr>
          <w:p w:rsidR="006D74A1" w:rsidRPr="00E71B28" w:rsidRDefault="006D74A1" w:rsidP="006D74A1">
            <w:pPr>
              <w:jc w:val="center"/>
              <w:rPr>
                <w:rFonts w:ascii="Arial Narrow" w:hAnsi="Arial Narrow"/>
                <w:b/>
                <w:sz w:val="20"/>
              </w:rPr>
            </w:pPr>
            <w:r w:rsidRPr="00E71B28">
              <w:rPr>
                <w:rFonts w:ascii="Arial Narrow" w:hAnsi="Arial Narrow"/>
                <w:b/>
                <w:sz w:val="20"/>
              </w:rPr>
              <w:t>Year 2</w:t>
            </w:r>
          </w:p>
        </w:tc>
        <w:tc>
          <w:tcPr>
            <w:tcW w:w="1248" w:type="dxa"/>
            <w:shd w:val="clear" w:color="auto" w:fill="FFFFFF" w:themeFill="background1"/>
            <w:noWrap/>
            <w:vAlign w:val="center"/>
            <w:hideMark/>
          </w:tcPr>
          <w:p w:rsidR="006D74A1" w:rsidRPr="00E71B28" w:rsidRDefault="006D74A1" w:rsidP="006D74A1">
            <w:pPr>
              <w:jc w:val="center"/>
              <w:rPr>
                <w:rFonts w:ascii="Arial Narrow" w:hAnsi="Arial Narrow"/>
                <w:b/>
                <w:sz w:val="20"/>
              </w:rPr>
            </w:pPr>
            <w:r w:rsidRPr="00E71B28">
              <w:rPr>
                <w:rFonts w:ascii="Arial Narrow" w:hAnsi="Arial Narrow"/>
                <w:b/>
                <w:sz w:val="20"/>
              </w:rPr>
              <w:t>Year 3</w:t>
            </w:r>
          </w:p>
        </w:tc>
        <w:tc>
          <w:tcPr>
            <w:tcW w:w="1247" w:type="dxa"/>
            <w:shd w:val="clear" w:color="auto" w:fill="FFFFFF" w:themeFill="background1"/>
            <w:noWrap/>
            <w:vAlign w:val="center"/>
            <w:hideMark/>
          </w:tcPr>
          <w:p w:rsidR="006D74A1" w:rsidRPr="00E71B28" w:rsidRDefault="006D74A1" w:rsidP="006D74A1">
            <w:pPr>
              <w:jc w:val="center"/>
              <w:rPr>
                <w:rFonts w:ascii="Arial Narrow" w:hAnsi="Arial Narrow"/>
                <w:b/>
                <w:sz w:val="20"/>
              </w:rPr>
            </w:pPr>
            <w:r w:rsidRPr="00E71B28">
              <w:rPr>
                <w:rFonts w:ascii="Arial Narrow" w:hAnsi="Arial Narrow"/>
                <w:b/>
                <w:sz w:val="20"/>
              </w:rPr>
              <w:t>Year 4</w:t>
            </w:r>
          </w:p>
        </w:tc>
        <w:tc>
          <w:tcPr>
            <w:tcW w:w="1248" w:type="dxa"/>
            <w:shd w:val="clear" w:color="auto" w:fill="FFFFFF" w:themeFill="background1"/>
            <w:noWrap/>
            <w:vAlign w:val="center"/>
            <w:hideMark/>
          </w:tcPr>
          <w:p w:rsidR="006D74A1" w:rsidRPr="00E71B28" w:rsidRDefault="006D74A1" w:rsidP="006D74A1">
            <w:pPr>
              <w:jc w:val="center"/>
              <w:rPr>
                <w:rFonts w:ascii="Arial Narrow" w:hAnsi="Arial Narrow"/>
                <w:b/>
                <w:sz w:val="20"/>
              </w:rPr>
            </w:pPr>
            <w:r w:rsidRPr="00E71B28">
              <w:rPr>
                <w:rFonts w:ascii="Arial Narrow" w:hAnsi="Arial Narrow"/>
                <w:b/>
                <w:sz w:val="20"/>
              </w:rPr>
              <w:t>Year 5</w:t>
            </w:r>
          </w:p>
        </w:tc>
      </w:tr>
      <w:tr w:rsidR="006D74A1" w:rsidRPr="00E71B28" w:rsidTr="006D74A1">
        <w:trPr>
          <w:trHeight w:val="77"/>
        </w:trPr>
        <w:tc>
          <w:tcPr>
            <w:tcW w:w="8363" w:type="dxa"/>
            <w:gridSpan w:val="6"/>
            <w:shd w:val="clear" w:color="auto" w:fill="auto"/>
            <w:noWrap/>
            <w:vAlign w:val="center"/>
          </w:tcPr>
          <w:p w:rsidR="006D74A1" w:rsidRPr="00E71B28" w:rsidRDefault="006D74A1" w:rsidP="006D74A1">
            <w:pPr>
              <w:ind w:left="-80" w:right="-115"/>
              <w:jc w:val="left"/>
              <w:rPr>
                <w:rFonts w:ascii="Arial Narrow" w:hAnsi="Arial Narrow"/>
                <w:b/>
                <w:bCs/>
                <w:sz w:val="20"/>
              </w:rPr>
            </w:pPr>
            <w:r w:rsidRPr="00E71B28">
              <w:rPr>
                <w:rFonts w:ascii="Arial Narrow" w:hAnsi="Arial Narrow"/>
                <w:b/>
                <w:bCs/>
                <w:sz w:val="20"/>
              </w:rPr>
              <w:t>Net financial implications to the PBS/RPBS if empagliflozin with linagliptin NOT listed</w:t>
            </w:r>
          </w:p>
        </w:tc>
      </w:tr>
      <w:tr w:rsidR="006D74A1" w:rsidRPr="00E71B28" w:rsidTr="00144BC6">
        <w:trPr>
          <w:trHeight w:hRule="exact" w:val="276"/>
        </w:trPr>
        <w:tc>
          <w:tcPr>
            <w:tcW w:w="2126" w:type="dxa"/>
            <w:shd w:val="clear" w:color="auto" w:fill="auto"/>
            <w:vAlign w:val="center"/>
          </w:tcPr>
          <w:p w:rsidR="006D74A1" w:rsidRPr="00E71B28" w:rsidRDefault="006D74A1" w:rsidP="006D74A1">
            <w:pPr>
              <w:ind w:left="-80" w:right="-115"/>
              <w:jc w:val="left"/>
              <w:rPr>
                <w:rFonts w:ascii="Arial Narrow" w:hAnsi="Arial Narrow"/>
                <w:sz w:val="20"/>
              </w:rPr>
            </w:pPr>
            <w:r w:rsidRPr="00E71B28">
              <w:rPr>
                <w:rFonts w:ascii="Arial Narrow" w:hAnsi="Arial Narrow"/>
                <w:sz w:val="20"/>
              </w:rPr>
              <w:t>Cost to PBS/RPBS (DPMQ)</w:t>
            </w:r>
          </w:p>
        </w:tc>
        <w:tc>
          <w:tcPr>
            <w:tcW w:w="1247"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247"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248"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247"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248"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119"/>
        </w:trPr>
        <w:tc>
          <w:tcPr>
            <w:tcW w:w="2126" w:type="dxa"/>
            <w:tcBorders>
              <w:bottom w:val="single" w:sz="4" w:space="0" w:color="auto"/>
            </w:tcBorders>
            <w:shd w:val="clear" w:color="auto" w:fill="auto"/>
            <w:vAlign w:val="center"/>
          </w:tcPr>
          <w:p w:rsidR="006D74A1" w:rsidRPr="00E71B28" w:rsidRDefault="006D74A1" w:rsidP="006D74A1">
            <w:pPr>
              <w:ind w:left="-80" w:right="-115"/>
              <w:jc w:val="left"/>
              <w:rPr>
                <w:rFonts w:ascii="Arial Narrow" w:hAnsi="Arial Narrow"/>
                <w:sz w:val="20"/>
              </w:rPr>
            </w:pPr>
            <w:r w:rsidRPr="00E71B28">
              <w:rPr>
                <w:rFonts w:ascii="Arial Narrow" w:hAnsi="Arial Narrow"/>
                <w:sz w:val="20"/>
              </w:rPr>
              <w:t>Patient copayment</w:t>
            </w:r>
          </w:p>
        </w:tc>
        <w:tc>
          <w:tcPr>
            <w:tcW w:w="1247" w:type="dxa"/>
            <w:tcBorders>
              <w:bottom w:val="single" w:sz="4" w:space="0" w:color="auto"/>
            </w:tcBorders>
            <w:shd w:val="clear" w:color="auto" w:fill="auto"/>
            <w:noWrap/>
            <w:vAlign w:val="bottom"/>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247" w:type="dxa"/>
            <w:tcBorders>
              <w:bottom w:val="single" w:sz="4" w:space="0" w:color="auto"/>
            </w:tcBorders>
            <w:shd w:val="clear" w:color="auto" w:fill="auto"/>
            <w:noWrap/>
            <w:vAlign w:val="bottom"/>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248" w:type="dxa"/>
            <w:tcBorders>
              <w:bottom w:val="single" w:sz="4" w:space="0" w:color="auto"/>
            </w:tcBorders>
            <w:shd w:val="clear" w:color="auto" w:fill="auto"/>
            <w:noWrap/>
            <w:vAlign w:val="bottom"/>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247" w:type="dxa"/>
            <w:tcBorders>
              <w:bottom w:val="single" w:sz="4" w:space="0" w:color="auto"/>
            </w:tcBorders>
            <w:shd w:val="clear" w:color="auto" w:fill="auto"/>
            <w:noWrap/>
            <w:vAlign w:val="bottom"/>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248" w:type="dxa"/>
            <w:tcBorders>
              <w:bottom w:val="single" w:sz="4" w:space="0" w:color="auto"/>
            </w:tcBorders>
            <w:shd w:val="clear" w:color="auto" w:fill="auto"/>
            <w:noWrap/>
            <w:vAlign w:val="bottom"/>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77"/>
        </w:trPr>
        <w:tc>
          <w:tcPr>
            <w:tcW w:w="2126" w:type="dxa"/>
            <w:tcBorders>
              <w:bottom w:val="double" w:sz="4" w:space="0" w:color="auto"/>
            </w:tcBorders>
            <w:shd w:val="clear" w:color="auto" w:fill="auto"/>
            <w:noWrap/>
            <w:vAlign w:val="center"/>
          </w:tcPr>
          <w:p w:rsidR="006D74A1" w:rsidRPr="00E71B28" w:rsidRDefault="006D74A1" w:rsidP="006D74A1">
            <w:pPr>
              <w:ind w:left="-80" w:right="-115"/>
              <w:jc w:val="left"/>
              <w:rPr>
                <w:rFonts w:ascii="Arial Narrow" w:hAnsi="Arial Narrow"/>
                <w:b/>
                <w:sz w:val="20"/>
              </w:rPr>
            </w:pPr>
            <w:r w:rsidRPr="00E71B28">
              <w:rPr>
                <w:rFonts w:ascii="Arial Narrow" w:hAnsi="Arial Narrow"/>
                <w:b/>
                <w:sz w:val="20"/>
              </w:rPr>
              <w:t xml:space="preserve">Total cost to PBS/RPBS </w:t>
            </w:r>
          </w:p>
          <w:p w:rsidR="006D74A1" w:rsidRPr="00E71B28" w:rsidRDefault="006D74A1" w:rsidP="006D74A1">
            <w:pPr>
              <w:ind w:left="-80" w:right="-115"/>
              <w:jc w:val="left"/>
              <w:rPr>
                <w:rFonts w:ascii="Arial Narrow" w:hAnsi="Arial Narrow"/>
                <w:b/>
                <w:sz w:val="20"/>
              </w:rPr>
            </w:pPr>
            <w:r w:rsidRPr="00E71B28">
              <w:rPr>
                <w:rFonts w:ascii="Arial Narrow" w:hAnsi="Arial Narrow"/>
                <w:b/>
                <w:sz w:val="20"/>
              </w:rPr>
              <w:t>(without copayment)</w:t>
            </w:r>
          </w:p>
        </w:tc>
        <w:tc>
          <w:tcPr>
            <w:tcW w:w="1247" w:type="dxa"/>
            <w:tcBorders>
              <w:bottom w:val="double" w:sz="4" w:space="0" w:color="auto"/>
            </w:tcBorders>
            <w:shd w:val="clear" w:color="auto" w:fill="auto"/>
            <w:noWrap/>
            <w:vAlign w:val="center"/>
          </w:tcPr>
          <w:p w:rsidR="006D74A1" w:rsidRPr="00505399" w:rsidRDefault="00505399" w:rsidP="006D74A1">
            <w:pPr>
              <w:jc w:val="center"/>
              <w:rPr>
                <w:rFonts w:ascii="Arial Narrow" w:hAnsi="Arial Narrow"/>
                <w:b/>
                <w:sz w:val="20"/>
                <w:highlight w:val="black"/>
              </w:rPr>
            </w:pPr>
            <w:r>
              <w:rPr>
                <w:rFonts w:ascii="Arial Narrow" w:hAnsi="Arial Narrow"/>
                <w:b/>
                <w:noProof/>
                <w:color w:val="000000"/>
                <w:sz w:val="20"/>
                <w:highlight w:val="black"/>
              </w:rPr>
              <w:t>''''''''''''''''''''''''</w:t>
            </w:r>
          </w:p>
        </w:tc>
        <w:tc>
          <w:tcPr>
            <w:tcW w:w="1247" w:type="dxa"/>
            <w:tcBorders>
              <w:bottom w:val="double" w:sz="4" w:space="0" w:color="auto"/>
            </w:tcBorders>
            <w:shd w:val="clear" w:color="auto" w:fill="auto"/>
            <w:noWrap/>
            <w:vAlign w:val="center"/>
          </w:tcPr>
          <w:p w:rsidR="006D74A1" w:rsidRPr="00505399" w:rsidRDefault="00505399" w:rsidP="006D74A1">
            <w:pPr>
              <w:jc w:val="center"/>
              <w:rPr>
                <w:rFonts w:ascii="Arial Narrow" w:hAnsi="Arial Narrow"/>
                <w:b/>
                <w:sz w:val="20"/>
                <w:highlight w:val="black"/>
              </w:rPr>
            </w:pPr>
            <w:r>
              <w:rPr>
                <w:rFonts w:ascii="Arial Narrow" w:hAnsi="Arial Narrow"/>
                <w:b/>
                <w:noProof/>
                <w:color w:val="000000"/>
                <w:sz w:val="20"/>
                <w:highlight w:val="black"/>
              </w:rPr>
              <w:t>''''''''''''''''''''''</w:t>
            </w:r>
          </w:p>
        </w:tc>
        <w:tc>
          <w:tcPr>
            <w:tcW w:w="1248" w:type="dxa"/>
            <w:tcBorders>
              <w:bottom w:val="double" w:sz="4" w:space="0" w:color="auto"/>
            </w:tcBorders>
            <w:shd w:val="clear" w:color="auto" w:fill="auto"/>
            <w:noWrap/>
            <w:vAlign w:val="center"/>
          </w:tcPr>
          <w:p w:rsidR="006D74A1" w:rsidRPr="00505399" w:rsidRDefault="00505399" w:rsidP="006D74A1">
            <w:pPr>
              <w:jc w:val="center"/>
              <w:rPr>
                <w:rFonts w:ascii="Arial Narrow" w:hAnsi="Arial Narrow"/>
                <w:b/>
                <w:sz w:val="20"/>
                <w:highlight w:val="black"/>
              </w:rPr>
            </w:pPr>
            <w:r>
              <w:rPr>
                <w:rFonts w:ascii="Arial Narrow" w:hAnsi="Arial Narrow"/>
                <w:b/>
                <w:noProof/>
                <w:color w:val="000000"/>
                <w:sz w:val="20"/>
                <w:highlight w:val="black"/>
              </w:rPr>
              <w:t>'''''''''''''''''''''''</w:t>
            </w:r>
          </w:p>
        </w:tc>
        <w:tc>
          <w:tcPr>
            <w:tcW w:w="1247" w:type="dxa"/>
            <w:tcBorders>
              <w:bottom w:val="double" w:sz="4" w:space="0" w:color="auto"/>
            </w:tcBorders>
            <w:shd w:val="clear" w:color="auto" w:fill="auto"/>
            <w:noWrap/>
            <w:vAlign w:val="center"/>
          </w:tcPr>
          <w:p w:rsidR="006D74A1" w:rsidRPr="00505399" w:rsidRDefault="00505399" w:rsidP="006D74A1">
            <w:pPr>
              <w:jc w:val="center"/>
              <w:rPr>
                <w:rFonts w:ascii="Arial Narrow" w:hAnsi="Arial Narrow"/>
                <w:b/>
                <w:sz w:val="20"/>
                <w:highlight w:val="black"/>
              </w:rPr>
            </w:pPr>
            <w:r>
              <w:rPr>
                <w:rFonts w:ascii="Arial Narrow" w:hAnsi="Arial Narrow"/>
                <w:b/>
                <w:noProof/>
                <w:color w:val="000000"/>
                <w:sz w:val="20"/>
                <w:highlight w:val="black"/>
              </w:rPr>
              <w:t>''''''''''''''''''''''</w:t>
            </w:r>
          </w:p>
        </w:tc>
        <w:tc>
          <w:tcPr>
            <w:tcW w:w="1248" w:type="dxa"/>
            <w:tcBorders>
              <w:bottom w:val="double" w:sz="4" w:space="0" w:color="auto"/>
            </w:tcBorders>
            <w:shd w:val="clear" w:color="auto" w:fill="auto"/>
            <w:noWrap/>
            <w:vAlign w:val="center"/>
          </w:tcPr>
          <w:p w:rsidR="006D74A1" w:rsidRPr="00505399" w:rsidRDefault="00505399" w:rsidP="006D74A1">
            <w:pPr>
              <w:jc w:val="center"/>
              <w:rPr>
                <w:rFonts w:ascii="Arial Narrow" w:hAnsi="Arial Narrow"/>
                <w:b/>
                <w:sz w:val="20"/>
                <w:highlight w:val="black"/>
              </w:rPr>
            </w:pPr>
            <w:r>
              <w:rPr>
                <w:rFonts w:ascii="Arial Narrow" w:hAnsi="Arial Narrow"/>
                <w:b/>
                <w:noProof/>
                <w:color w:val="000000"/>
                <w:sz w:val="20"/>
                <w:highlight w:val="black"/>
              </w:rPr>
              <w:t>''''''''''''''''''''''''</w:t>
            </w:r>
          </w:p>
        </w:tc>
      </w:tr>
      <w:tr w:rsidR="006D74A1" w:rsidRPr="00E71B28" w:rsidTr="006D74A1">
        <w:trPr>
          <w:trHeight w:val="77"/>
        </w:trPr>
        <w:tc>
          <w:tcPr>
            <w:tcW w:w="8363" w:type="dxa"/>
            <w:gridSpan w:val="6"/>
            <w:tcBorders>
              <w:top w:val="double" w:sz="4" w:space="0" w:color="auto"/>
            </w:tcBorders>
            <w:shd w:val="clear" w:color="auto" w:fill="auto"/>
            <w:noWrap/>
            <w:vAlign w:val="center"/>
          </w:tcPr>
          <w:p w:rsidR="006D74A1" w:rsidRPr="00E71B28" w:rsidRDefault="006D74A1" w:rsidP="006D74A1">
            <w:pPr>
              <w:ind w:left="-80" w:right="-115"/>
              <w:jc w:val="left"/>
              <w:rPr>
                <w:rFonts w:ascii="Arial Narrow" w:hAnsi="Arial Narrow"/>
                <w:b/>
                <w:bCs/>
                <w:sz w:val="20"/>
              </w:rPr>
            </w:pPr>
            <w:r w:rsidRPr="00E71B28">
              <w:rPr>
                <w:rFonts w:ascii="Arial Narrow" w:hAnsi="Arial Narrow"/>
                <w:b/>
                <w:bCs/>
                <w:sz w:val="20"/>
              </w:rPr>
              <w:t>Net financial implications to the PBS/RPBS if empagliflozin with linagliptin listed</w:t>
            </w:r>
          </w:p>
        </w:tc>
      </w:tr>
      <w:tr w:rsidR="006D74A1" w:rsidRPr="00E71B28" w:rsidTr="006D74A1">
        <w:trPr>
          <w:trHeight w:val="77"/>
        </w:trPr>
        <w:tc>
          <w:tcPr>
            <w:tcW w:w="2126" w:type="dxa"/>
            <w:tcBorders>
              <w:bottom w:val="single" w:sz="4" w:space="0" w:color="auto"/>
            </w:tcBorders>
            <w:shd w:val="clear" w:color="auto" w:fill="auto"/>
            <w:noWrap/>
            <w:vAlign w:val="center"/>
          </w:tcPr>
          <w:p w:rsidR="006D74A1" w:rsidRPr="00E71B28" w:rsidRDefault="006D74A1" w:rsidP="006D74A1">
            <w:pPr>
              <w:ind w:left="-80" w:right="-115"/>
              <w:jc w:val="left"/>
              <w:rPr>
                <w:rFonts w:ascii="Arial Narrow" w:hAnsi="Arial Narrow"/>
                <w:sz w:val="20"/>
              </w:rPr>
            </w:pPr>
            <w:r w:rsidRPr="00E71B28">
              <w:rPr>
                <w:rFonts w:ascii="Arial Narrow" w:hAnsi="Arial Narrow"/>
                <w:sz w:val="20"/>
              </w:rPr>
              <w:t>Cost to PBS/RPBS (DPMQ)</w:t>
            </w:r>
          </w:p>
        </w:tc>
        <w:tc>
          <w:tcPr>
            <w:tcW w:w="1247"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247"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248"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247"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248"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77"/>
        </w:trPr>
        <w:tc>
          <w:tcPr>
            <w:tcW w:w="2126" w:type="dxa"/>
            <w:tcBorders>
              <w:top w:val="single" w:sz="4" w:space="0" w:color="auto"/>
            </w:tcBorders>
            <w:shd w:val="clear" w:color="auto" w:fill="auto"/>
            <w:noWrap/>
            <w:vAlign w:val="center"/>
          </w:tcPr>
          <w:p w:rsidR="006D74A1" w:rsidRPr="00E71B28" w:rsidRDefault="006D74A1" w:rsidP="006D74A1">
            <w:pPr>
              <w:ind w:left="-80" w:right="-115"/>
              <w:jc w:val="left"/>
              <w:rPr>
                <w:rFonts w:ascii="Arial Narrow" w:hAnsi="Arial Narrow"/>
                <w:sz w:val="20"/>
              </w:rPr>
            </w:pPr>
            <w:r w:rsidRPr="00E71B28">
              <w:rPr>
                <w:rFonts w:ascii="Arial Narrow" w:hAnsi="Arial Narrow"/>
                <w:sz w:val="20"/>
              </w:rPr>
              <w:t>Patient copayment</w:t>
            </w:r>
          </w:p>
        </w:tc>
        <w:tc>
          <w:tcPr>
            <w:tcW w:w="1247"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247"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248"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247"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248"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77"/>
        </w:trPr>
        <w:tc>
          <w:tcPr>
            <w:tcW w:w="2126" w:type="dxa"/>
            <w:tcBorders>
              <w:bottom w:val="single" w:sz="4" w:space="0" w:color="auto"/>
            </w:tcBorders>
            <w:shd w:val="clear" w:color="auto" w:fill="auto"/>
            <w:noWrap/>
            <w:vAlign w:val="center"/>
          </w:tcPr>
          <w:p w:rsidR="006D74A1" w:rsidRPr="00E71B28" w:rsidRDefault="006D74A1" w:rsidP="006D74A1">
            <w:pPr>
              <w:ind w:left="-80" w:right="-115"/>
              <w:jc w:val="left"/>
              <w:rPr>
                <w:rFonts w:ascii="Arial Narrow" w:hAnsi="Arial Narrow"/>
                <w:b/>
                <w:sz w:val="20"/>
              </w:rPr>
            </w:pPr>
            <w:r w:rsidRPr="00E71B28">
              <w:rPr>
                <w:rFonts w:ascii="Arial Narrow" w:hAnsi="Arial Narrow"/>
                <w:b/>
                <w:sz w:val="20"/>
              </w:rPr>
              <w:t xml:space="preserve">Total cost to PBS/RPBS </w:t>
            </w:r>
          </w:p>
          <w:p w:rsidR="006D74A1" w:rsidRPr="00E71B28" w:rsidRDefault="006D74A1" w:rsidP="006D74A1">
            <w:pPr>
              <w:ind w:left="-80" w:right="-115"/>
              <w:jc w:val="left"/>
              <w:rPr>
                <w:rFonts w:ascii="Arial Narrow" w:hAnsi="Arial Narrow"/>
                <w:sz w:val="20"/>
              </w:rPr>
            </w:pPr>
            <w:r w:rsidRPr="00E71B28">
              <w:rPr>
                <w:rFonts w:ascii="Arial Narrow" w:hAnsi="Arial Narrow"/>
                <w:b/>
                <w:sz w:val="20"/>
              </w:rPr>
              <w:t>(without copayment)</w:t>
            </w:r>
          </w:p>
        </w:tc>
        <w:tc>
          <w:tcPr>
            <w:tcW w:w="1247" w:type="dxa"/>
            <w:shd w:val="clear" w:color="auto" w:fill="auto"/>
            <w:noWrap/>
            <w:vAlign w:val="center"/>
          </w:tcPr>
          <w:p w:rsidR="006D74A1" w:rsidRPr="00505399" w:rsidRDefault="00505399" w:rsidP="006D74A1">
            <w:pPr>
              <w:jc w:val="center"/>
              <w:rPr>
                <w:rFonts w:ascii="Arial Narrow" w:hAnsi="Arial Narrow"/>
                <w:b/>
                <w:sz w:val="20"/>
                <w:highlight w:val="black"/>
              </w:rPr>
            </w:pPr>
            <w:r>
              <w:rPr>
                <w:rFonts w:ascii="Arial Narrow" w:hAnsi="Arial Narrow"/>
                <w:b/>
                <w:noProof/>
                <w:color w:val="000000"/>
                <w:sz w:val="20"/>
                <w:highlight w:val="black"/>
              </w:rPr>
              <w:t>''''''''''''''''''''''''''</w:t>
            </w:r>
          </w:p>
        </w:tc>
        <w:tc>
          <w:tcPr>
            <w:tcW w:w="1247" w:type="dxa"/>
            <w:shd w:val="clear" w:color="auto" w:fill="auto"/>
            <w:noWrap/>
            <w:vAlign w:val="center"/>
          </w:tcPr>
          <w:p w:rsidR="006D74A1" w:rsidRPr="00505399" w:rsidRDefault="00505399" w:rsidP="006D74A1">
            <w:pPr>
              <w:jc w:val="center"/>
              <w:rPr>
                <w:rFonts w:ascii="Arial Narrow" w:hAnsi="Arial Narrow"/>
                <w:b/>
                <w:sz w:val="20"/>
                <w:highlight w:val="black"/>
              </w:rPr>
            </w:pPr>
            <w:r>
              <w:rPr>
                <w:rFonts w:ascii="Arial Narrow" w:hAnsi="Arial Narrow"/>
                <w:b/>
                <w:noProof/>
                <w:color w:val="000000"/>
                <w:sz w:val="20"/>
                <w:highlight w:val="black"/>
              </w:rPr>
              <w:t>''''''''''''''''''''''</w:t>
            </w:r>
          </w:p>
        </w:tc>
        <w:tc>
          <w:tcPr>
            <w:tcW w:w="1248" w:type="dxa"/>
            <w:shd w:val="clear" w:color="auto" w:fill="auto"/>
            <w:noWrap/>
            <w:vAlign w:val="center"/>
          </w:tcPr>
          <w:p w:rsidR="006D74A1" w:rsidRPr="00505399" w:rsidRDefault="00505399" w:rsidP="006D74A1">
            <w:pPr>
              <w:jc w:val="center"/>
              <w:rPr>
                <w:rFonts w:ascii="Arial Narrow" w:hAnsi="Arial Narrow"/>
                <w:b/>
                <w:sz w:val="20"/>
                <w:highlight w:val="black"/>
              </w:rPr>
            </w:pPr>
            <w:r>
              <w:rPr>
                <w:rFonts w:ascii="Arial Narrow" w:hAnsi="Arial Narrow"/>
                <w:b/>
                <w:noProof/>
                <w:color w:val="000000"/>
                <w:sz w:val="20"/>
                <w:highlight w:val="black"/>
              </w:rPr>
              <w:t>'''''''''''''''''''''''''</w:t>
            </w:r>
          </w:p>
        </w:tc>
        <w:tc>
          <w:tcPr>
            <w:tcW w:w="1247" w:type="dxa"/>
            <w:shd w:val="clear" w:color="auto" w:fill="auto"/>
            <w:noWrap/>
            <w:vAlign w:val="center"/>
          </w:tcPr>
          <w:p w:rsidR="006D74A1" w:rsidRPr="00505399" w:rsidRDefault="00505399" w:rsidP="006D74A1">
            <w:pPr>
              <w:jc w:val="center"/>
              <w:rPr>
                <w:rFonts w:ascii="Arial Narrow" w:hAnsi="Arial Narrow"/>
                <w:b/>
                <w:sz w:val="20"/>
                <w:highlight w:val="black"/>
              </w:rPr>
            </w:pPr>
            <w:r>
              <w:rPr>
                <w:rFonts w:ascii="Arial Narrow" w:hAnsi="Arial Narrow"/>
                <w:b/>
                <w:noProof/>
                <w:color w:val="000000"/>
                <w:sz w:val="20"/>
                <w:highlight w:val="black"/>
              </w:rPr>
              <w:t>''''''''''''''''''''''''''''</w:t>
            </w:r>
          </w:p>
        </w:tc>
        <w:tc>
          <w:tcPr>
            <w:tcW w:w="1248" w:type="dxa"/>
            <w:shd w:val="clear" w:color="auto" w:fill="auto"/>
            <w:noWrap/>
            <w:vAlign w:val="center"/>
          </w:tcPr>
          <w:p w:rsidR="006D74A1" w:rsidRPr="00505399" w:rsidRDefault="00505399" w:rsidP="006D74A1">
            <w:pPr>
              <w:jc w:val="center"/>
              <w:rPr>
                <w:rFonts w:ascii="Arial Narrow" w:hAnsi="Arial Narrow"/>
                <w:b/>
                <w:sz w:val="20"/>
                <w:highlight w:val="black"/>
              </w:rPr>
            </w:pPr>
            <w:r>
              <w:rPr>
                <w:rFonts w:ascii="Arial Narrow" w:hAnsi="Arial Narrow"/>
                <w:b/>
                <w:noProof/>
                <w:color w:val="000000"/>
                <w:sz w:val="20"/>
                <w:highlight w:val="black"/>
              </w:rPr>
              <w:t>''''''''''''''''''''''''''</w:t>
            </w:r>
          </w:p>
        </w:tc>
      </w:tr>
      <w:tr w:rsidR="006D74A1" w:rsidRPr="00E71B28" w:rsidTr="006D74A1">
        <w:trPr>
          <w:trHeight w:val="77"/>
        </w:trPr>
        <w:tc>
          <w:tcPr>
            <w:tcW w:w="8363" w:type="dxa"/>
            <w:gridSpan w:val="6"/>
            <w:tcBorders>
              <w:top w:val="double" w:sz="4" w:space="0" w:color="auto"/>
            </w:tcBorders>
            <w:shd w:val="clear" w:color="auto" w:fill="auto"/>
            <w:noWrap/>
            <w:vAlign w:val="center"/>
          </w:tcPr>
          <w:p w:rsidR="006D74A1" w:rsidRPr="00E71B28" w:rsidRDefault="006D74A1" w:rsidP="006D74A1">
            <w:pPr>
              <w:ind w:left="-80" w:right="-115"/>
              <w:jc w:val="left"/>
              <w:rPr>
                <w:rFonts w:ascii="Arial Narrow" w:hAnsi="Arial Narrow"/>
                <w:b/>
                <w:bCs/>
                <w:sz w:val="20"/>
              </w:rPr>
            </w:pPr>
            <w:r w:rsidRPr="00E71B28">
              <w:rPr>
                <w:rFonts w:ascii="Arial Narrow" w:hAnsi="Arial Narrow"/>
                <w:b/>
                <w:bCs/>
                <w:sz w:val="20"/>
              </w:rPr>
              <w:t>Net change in financial implications to the PBS/RPBS</w:t>
            </w:r>
          </w:p>
        </w:tc>
      </w:tr>
      <w:tr w:rsidR="006D74A1" w:rsidRPr="00E71B28" w:rsidTr="006D74A1">
        <w:trPr>
          <w:trHeight w:val="77"/>
        </w:trPr>
        <w:tc>
          <w:tcPr>
            <w:tcW w:w="2126" w:type="dxa"/>
            <w:tcBorders>
              <w:bottom w:val="single" w:sz="4" w:space="0" w:color="auto"/>
            </w:tcBorders>
            <w:shd w:val="clear" w:color="auto" w:fill="auto"/>
            <w:noWrap/>
            <w:vAlign w:val="center"/>
          </w:tcPr>
          <w:p w:rsidR="006D74A1" w:rsidRPr="00E71B28" w:rsidRDefault="006D74A1" w:rsidP="006D74A1">
            <w:pPr>
              <w:ind w:left="-80" w:right="-115"/>
              <w:jc w:val="left"/>
              <w:rPr>
                <w:rFonts w:ascii="Arial Narrow" w:hAnsi="Arial Narrow"/>
                <w:sz w:val="20"/>
              </w:rPr>
            </w:pPr>
            <w:r w:rsidRPr="00E71B28">
              <w:rPr>
                <w:rFonts w:ascii="Arial Narrow" w:hAnsi="Arial Narrow"/>
                <w:sz w:val="20"/>
              </w:rPr>
              <w:t>Cost to PBS/RPBS (DPMQ)</w:t>
            </w:r>
          </w:p>
        </w:tc>
        <w:tc>
          <w:tcPr>
            <w:tcW w:w="1247"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247"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248"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247"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248"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77"/>
        </w:trPr>
        <w:tc>
          <w:tcPr>
            <w:tcW w:w="2126" w:type="dxa"/>
            <w:tcBorders>
              <w:top w:val="single" w:sz="4" w:space="0" w:color="auto"/>
            </w:tcBorders>
            <w:shd w:val="clear" w:color="auto" w:fill="auto"/>
            <w:noWrap/>
            <w:vAlign w:val="center"/>
          </w:tcPr>
          <w:p w:rsidR="006D74A1" w:rsidRPr="00E71B28" w:rsidRDefault="006D74A1" w:rsidP="006D74A1">
            <w:pPr>
              <w:ind w:left="-80" w:right="-115"/>
              <w:jc w:val="left"/>
              <w:rPr>
                <w:rFonts w:ascii="Arial Narrow" w:hAnsi="Arial Narrow"/>
                <w:sz w:val="20"/>
              </w:rPr>
            </w:pPr>
            <w:r w:rsidRPr="00E71B28">
              <w:rPr>
                <w:rFonts w:ascii="Arial Narrow" w:hAnsi="Arial Narrow"/>
                <w:sz w:val="20"/>
              </w:rPr>
              <w:t>Patient copayment</w:t>
            </w:r>
          </w:p>
        </w:tc>
        <w:tc>
          <w:tcPr>
            <w:tcW w:w="1247"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247"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248"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247"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248"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77"/>
        </w:trPr>
        <w:tc>
          <w:tcPr>
            <w:tcW w:w="2126" w:type="dxa"/>
            <w:tcBorders>
              <w:bottom w:val="single" w:sz="4" w:space="0" w:color="auto"/>
            </w:tcBorders>
            <w:shd w:val="clear" w:color="auto" w:fill="auto"/>
            <w:noWrap/>
            <w:vAlign w:val="center"/>
          </w:tcPr>
          <w:p w:rsidR="006D74A1" w:rsidRPr="00E71B28" w:rsidRDefault="006D74A1" w:rsidP="006D74A1">
            <w:pPr>
              <w:ind w:left="-80" w:right="-115"/>
              <w:jc w:val="left"/>
              <w:rPr>
                <w:rFonts w:ascii="Arial Narrow" w:hAnsi="Arial Narrow"/>
                <w:b/>
                <w:sz w:val="20"/>
              </w:rPr>
            </w:pPr>
            <w:r w:rsidRPr="00E71B28">
              <w:rPr>
                <w:rFonts w:ascii="Arial Narrow" w:hAnsi="Arial Narrow"/>
                <w:b/>
                <w:sz w:val="20"/>
              </w:rPr>
              <w:t xml:space="preserve">Total cost to PBS/RPBS </w:t>
            </w:r>
          </w:p>
          <w:p w:rsidR="006D74A1" w:rsidRPr="00E71B28" w:rsidRDefault="006D74A1" w:rsidP="006D74A1">
            <w:pPr>
              <w:ind w:left="-80" w:right="-115"/>
              <w:jc w:val="left"/>
              <w:rPr>
                <w:rFonts w:ascii="Arial Narrow" w:hAnsi="Arial Narrow"/>
                <w:sz w:val="20"/>
              </w:rPr>
            </w:pPr>
            <w:r w:rsidRPr="00E71B28">
              <w:rPr>
                <w:rFonts w:ascii="Arial Narrow" w:hAnsi="Arial Narrow"/>
                <w:b/>
                <w:sz w:val="20"/>
              </w:rPr>
              <w:t>(without copayment)</w:t>
            </w:r>
          </w:p>
        </w:tc>
        <w:tc>
          <w:tcPr>
            <w:tcW w:w="1247" w:type="dxa"/>
            <w:shd w:val="clear" w:color="auto" w:fill="auto"/>
            <w:noWrap/>
            <w:vAlign w:val="center"/>
          </w:tcPr>
          <w:p w:rsidR="006D74A1" w:rsidRPr="00505399" w:rsidRDefault="00505399" w:rsidP="006D74A1">
            <w:pPr>
              <w:jc w:val="center"/>
              <w:rPr>
                <w:rFonts w:ascii="Arial Narrow" w:hAnsi="Arial Narrow"/>
                <w:b/>
                <w:sz w:val="20"/>
                <w:highlight w:val="black"/>
              </w:rPr>
            </w:pPr>
            <w:r>
              <w:rPr>
                <w:rFonts w:ascii="Arial Narrow" w:hAnsi="Arial Narrow"/>
                <w:b/>
                <w:noProof/>
                <w:color w:val="000000"/>
                <w:sz w:val="20"/>
                <w:highlight w:val="black"/>
              </w:rPr>
              <w:t>'''''''''''''''''''''''</w:t>
            </w:r>
          </w:p>
        </w:tc>
        <w:tc>
          <w:tcPr>
            <w:tcW w:w="1247" w:type="dxa"/>
            <w:shd w:val="clear" w:color="auto" w:fill="auto"/>
            <w:noWrap/>
            <w:vAlign w:val="center"/>
          </w:tcPr>
          <w:p w:rsidR="006D74A1" w:rsidRPr="00505399" w:rsidRDefault="00505399" w:rsidP="006D74A1">
            <w:pPr>
              <w:jc w:val="center"/>
              <w:rPr>
                <w:rFonts w:ascii="Arial Narrow" w:hAnsi="Arial Narrow"/>
                <w:b/>
                <w:sz w:val="20"/>
                <w:highlight w:val="black"/>
              </w:rPr>
            </w:pPr>
            <w:r>
              <w:rPr>
                <w:rFonts w:ascii="Arial Narrow" w:hAnsi="Arial Narrow"/>
                <w:b/>
                <w:noProof/>
                <w:color w:val="000000"/>
                <w:sz w:val="20"/>
                <w:highlight w:val="black"/>
              </w:rPr>
              <w:t>'''''''''''''''''''''</w:t>
            </w:r>
          </w:p>
        </w:tc>
        <w:tc>
          <w:tcPr>
            <w:tcW w:w="1248" w:type="dxa"/>
            <w:shd w:val="clear" w:color="auto" w:fill="auto"/>
            <w:noWrap/>
            <w:vAlign w:val="center"/>
          </w:tcPr>
          <w:p w:rsidR="006D74A1" w:rsidRPr="00505399" w:rsidRDefault="00505399" w:rsidP="006D74A1">
            <w:pPr>
              <w:jc w:val="center"/>
              <w:rPr>
                <w:rFonts w:ascii="Arial Narrow" w:hAnsi="Arial Narrow"/>
                <w:b/>
                <w:sz w:val="20"/>
                <w:highlight w:val="black"/>
              </w:rPr>
            </w:pPr>
            <w:r>
              <w:rPr>
                <w:rFonts w:ascii="Arial Narrow" w:hAnsi="Arial Narrow"/>
                <w:b/>
                <w:noProof/>
                <w:color w:val="000000"/>
                <w:sz w:val="20"/>
                <w:highlight w:val="black"/>
              </w:rPr>
              <w:t>''''''''''''''''''''''</w:t>
            </w:r>
          </w:p>
        </w:tc>
        <w:tc>
          <w:tcPr>
            <w:tcW w:w="1247" w:type="dxa"/>
            <w:shd w:val="clear" w:color="auto" w:fill="auto"/>
            <w:noWrap/>
            <w:vAlign w:val="center"/>
          </w:tcPr>
          <w:p w:rsidR="006D74A1" w:rsidRPr="00505399" w:rsidRDefault="00505399" w:rsidP="006D74A1">
            <w:pPr>
              <w:jc w:val="center"/>
              <w:rPr>
                <w:rFonts w:ascii="Arial Narrow" w:hAnsi="Arial Narrow"/>
                <w:b/>
                <w:sz w:val="20"/>
                <w:highlight w:val="black"/>
              </w:rPr>
            </w:pPr>
            <w:r>
              <w:rPr>
                <w:rFonts w:ascii="Arial Narrow" w:hAnsi="Arial Narrow"/>
                <w:b/>
                <w:noProof/>
                <w:color w:val="000000"/>
                <w:sz w:val="20"/>
                <w:highlight w:val="black"/>
              </w:rPr>
              <w:t>'''''''''''''''''''''</w:t>
            </w:r>
          </w:p>
        </w:tc>
        <w:tc>
          <w:tcPr>
            <w:tcW w:w="1248" w:type="dxa"/>
            <w:shd w:val="clear" w:color="auto" w:fill="auto"/>
            <w:noWrap/>
            <w:vAlign w:val="center"/>
          </w:tcPr>
          <w:p w:rsidR="006D74A1" w:rsidRPr="00505399" w:rsidRDefault="00505399" w:rsidP="006D74A1">
            <w:pPr>
              <w:jc w:val="center"/>
              <w:rPr>
                <w:rFonts w:ascii="Arial Narrow" w:hAnsi="Arial Narrow"/>
                <w:b/>
                <w:sz w:val="20"/>
                <w:highlight w:val="black"/>
              </w:rPr>
            </w:pPr>
            <w:r>
              <w:rPr>
                <w:rFonts w:ascii="Arial Narrow" w:hAnsi="Arial Narrow"/>
                <w:b/>
                <w:noProof/>
                <w:color w:val="000000"/>
                <w:sz w:val="20"/>
                <w:highlight w:val="black"/>
              </w:rPr>
              <w:t>''''''''''''''''''''''''</w:t>
            </w:r>
          </w:p>
        </w:tc>
      </w:tr>
    </w:tbl>
    <w:p w:rsidR="006D74A1" w:rsidRPr="00E71B28" w:rsidRDefault="006D74A1" w:rsidP="006D74A1">
      <w:pPr>
        <w:ind w:left="709"/>
        <w:rPr>
          <w:rFonts w:ascii="Arial Narrow" w:hAnsi="Arial Narrow"/>
          <w:sz w:val="18"/>
          <w:szCs w:val="18"/>
        </w:rPr>
      </w:pPr>
      <w:r w:rsidRPr="00E71B28">
        <w:rPr>
          <w:rFonts w:ascii="Arial Narrow" w:hAnsi="Arial Narrow"/>
          <w:sz w:val="18"/>
          <w:szCs w:val="18"/>
        </w:rPr>
        <w:t>Source: Table E.22, p.488 of the submission.</w:t>
      </w:r>
    </w:p>
    <w:p w:rsidR="006D74A1" w:rsidRPr="00E71B28" w:rsidRDefault="006D74A1" w:rsidP="006D74A1">
      <w:pPr>
        <w:ind w:firstLine="709"/>
        <w:rPr>
          <w:rStyle w:val="CommentReference"/>
        </w:rPr>
      </w:pPr>
    </w:p>
    <w:p w:rsidR="006D74A1" w:rsidRPr="00E71B28" w:rsidRDefault="006D74A1" w:rsidP="008F5BEE">
      <w:pPr>
        <w:pStyle w:val="ListParagraph"/>
        <w:widowControl/>
        <w:numPr>
          <w:ilvl w:val="1"/>
          <w:numId w:val="1"/>
        </w:numPr>
      </w:pPr>
      <w:r w:rsidRPr="00E71B28">
        <w:t xml:space="preserve">The submission estimated the net cost to the PBS/RPBS of listing empagliflozin with linagliptin FDC at </w:t>
      </w:r>
      <w:r w:rsidR="00144BC6">
        <w:t xml:space="preserve">less than </w:t>
      </w:r>
      <w:r w:rsidRPr="00E71B28">
        <w:t>$</w:t>
      </w:r>
      <w:r w:rsidR="00144BC6">
        <w:t>10</w:t>
      </w:r>
      <w:r w:rsidRPr="00E71B28">
        <w:t xml:space="preserve"> million in Year 1, increasing to </w:t>
      </w:r>
      <w:r w:rsidR="00144BC6">
        <w:t xml:space="preserve">less than </w:t>
      </w:r>
      <w:r w:rsidRPr="00E71B28">
        <w:t>$</w:t>
      </w:r>
      <w:r w:rsidR="00144BC6">
        <w:t>10</w:t>
      </w:r>
      <w:r w:rsidRPr="00E71B28">
        <w:t xml:space="preserve"> million in Year 5, a cumulative cost to the PBS of $</w:t>
      </w:r>
      <w:r w:rsidR="00144BC6">
        <w:t>20 - 30</w:t>
      </w:r>
      <w:r w:rsidRPr="00E71B28">
        <w:t xml:space="preserve"> million over 5 years.</w:t>
      </w:r>
    </w:p>
    <w:p w:rsidR="008F01EC" w:rsidRDefault="008F01EC">
      <w:pPr>
        <w:widowControl/>
        <w:jc w:val="left"/>
      </w:pPr>
      <w:r>
        <w:br w:type="page"/>
      </w:r>
    </w:p>
    <w:p w:rsidR="006D74A1" w:rsidRPr="00E71B28" w:rsidRDefault="006D74A1" w:rsidP="006D74A1">
      <w:pPr>
        <w:widowControl/>
      </w:pPr>
    </w:p>
    <w:p w:rsidR="006D74A1" w:rsidRPr="00E71B28" w:rsidRDefault="006D74A1" w:rsidP="006D74A1">
      <w:pPr>
        <w:ind w:firstLine="709"/>
        <w:rPr>
          <w:rStyle w:val="CommentReference"/>
        </w:rPr>
      </w:pPr>
      <w:r w:rsidRPr="00E71B28">
        <w:rPr>
          <w:rStyle w:val="CommentReference"/>
        </w:rPr>
        <w:t>Table 1</w:t>
      </w:r>
      <w:r w:rsidR="0038471A">
        <w:rPr>
          <w:rStyle w:val="CommentReference"/>
        </w:rPr>
        <w:t>0</w:t>
      </w:r>
      <w:r w:rsidRPr="00E71B28">
        <w:rPr>
          <w:rStyle w:val="CommentReference"/>
        </w:rPr>
        <w:t>: Net financial implications to government including estimated savings to other health budgets</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4"/>
        <w:gridCol w:w="1071"/>
        <w:gridCol w:w="1072"/>
        <w:gridCol w:w="1072"/>
        <w:gridCol w:w="1072"/>
        <w:gridCol w:w="1072"/>
      </w:tblGrid>
      <w:tr w:rsidR="006D74A1" w:rsidRPr="00E71B28" w:rsidTr="006D74A1">
        <w:trPr>
          <w:trHeight w:val="300"/>
          <w:tblHeader/>
        </w:trPr>
        <w:tc>
          <w:tcPr>
            <w:tcW w:w="3004" w:type="dxa"/>
            <w:shd w:val="clear" w:color="auto" w:fill="FFFFFF" w:themeFill="background1"/>
            <w:noWrap/>
            <w:vAlign w:val="center"/>
            <w:hideMark/>
          </w:tcPr>
          <w:p w:rsidR="006D74A1" w:rsidRPr="00E71B28" w:rsidRDefault="006D74A1" w:rsidP="006D74A1">
            <w:pPr>
              <w:ind w:left="-80"/>
              <w:rPr>
                <w:rFonts w:ascii="Arial Narrow" w:hAnsi="Arial Narrow"/>
                <w:sz w:val="20"/>
              </w:rPr>
            </w:pPr>
          </w:p>
        </w:tc>
        <w:tc>
          <w:tcPr>
            <w:tcW w:w="1071" w:type="dxa"/>
            <w:shd w:val="clear" w:color="auto" w:fill="FFFFFF" w:themeFill="background1"/>
            <w:noWrap/>
            <w:vAlign w:val="center"/>
            <w:hideMark/>
          </w:tcPr>
          <w:p w:rsidR="006D74A1" w:rsidRPr="00E71B28" w:rsidRDefault="006D74A1" w:rsidP="006D74A1">
            <w:pPr>
              <w:jc w:val="center"/>
              <w:rPr>
                <w:rFonts w:ascii="Arial Narrow" w:hAnsi="Arial Narrow"/>
                <w:b/>
                <w:sz w:val="20"/>
              </w:rPr>
            </w:pPr>
            <w:r w:rsidRPr="00E71B28">
              <w:rPr>
                <w:rFonts w:ascii="Arial Narrow" w:hAnsi="Arial Narrow"/>
                <w:b/>
                <w:sz w:val="20"/>
              </w:rPr>
              <w:t>Year 1</w:t>
            </w:r>
          </w:p>
        </w:tc>
        <w:tc>
          <w:tcPr>
            <w:tcW w:w="1072" w:type="dxa"/>
            <w:shd w:val="clear" w:color="auto" w:fill="FFFFFF" w:themeFill="background1"/>
            <w:noWrap/>
            <w:vAlign w:val="center"/>
            <w:hideMark/>
          </w:tcPr>
          <w:p w:rsidR="006D74A1" w:rsidRPr="00E71B28" w:rsidRDefault="006D74A1" w:rsidP="006D74A1">
            <w:pPr>
              <w:jc w:val="center"/>
              <w:rPr>
                <w:rFonts w:ascii="Arial Narrow" w:hAnsi="Arial Narrow"/>
                <w:b/>
                <w:sz w:val="20"/>
              </w:rPr>
            </w:pPr>
            <w:r w:rsidRPr="00E71B28">
              <w:rPr>
                <w:rFonts w:ascii="Arial Narrow" w:hAnsi="Arial Narrow"/>
                <w:b/>
                <w:sz w:val="20"/>
              </w:rPr>
              <w:t>Year 2</w:t>
            </w:r>
          </w:p>
        </w:tc>
        <w:tc>
          <w:tcPr>
            <w:tcW w:w="1072" w:type="dxa"/>
            <w:shd w:val="clear" w:color="auto" w:fill="FFFFFF" w:themeFill="background1"/>
            <w:noWrap/>
            <w:vAlign w:val="center"/>
            <w:hideMark/>
          </w:tcPr>
          <w:p w:rsidR="006D74A1" w:rsidRPr="00E71B28" w:rsidRDefault="006D74A1" w:rsidP="006D74A1">
            <w:pPr>
              <w:jc w:val="center"/>
              <w:rPr>
                <w:rFonts w:ascii="Arial Narrow" w:hAnsi="Arial Narrow"/>
                <w:b/>
                <w:sz w:val="20"/>
              </w:rPr>
            </w:pPr>
            <w:r w:rsidRPr="00E71B28">
              <w:rPr>
                <w:rFonts w:ascii="Arial Narrow" w:hAnsi="Arial Narrow"/>
                <w:b/>
                <w:sz w:val="20"/>
              </w:rPr>
              <w:t>Year 3</w:t>
            </w:r>
          </w:p>
        </w:tc>
        <w:tc>
          <w:tcPr>
            <w:tcW w:w="1072" w:type="dxa"/>
            <w:shd w:val="clear" w:color="auto" w:fill="FFFFFF" w:themeFill="background1"/>
            <w:noWrap/>
            <w:vAlign w:val="center"/>
            <w:hideMark/>
          </w:tcPr>
          <w:p w:rsidR="006D74A1" w:rsidRPr="00E71B28" w:rsidRDefault="006D74A1" w:rsidP="006D74A1">
            <w:pPr>
              <w:jc w:val="center"/>
              <w:rPr>
                <w:rFonts w:ascii="Arial Narrow" w:hAnsi="Arial Narrow"/>
                <w:b/>
                <w:sz w:val="20"/>
              </w:rPr>
            </w:pPr>
            <w:r w:rsidRPr="00E71B28">
              <w:rPr>
                <w:rFonts w:ascii="Arial Narrow" w:hAnsi="Arial Narrow"/>
                <w:b/>
                <w:sz w:val="20"/>
              </w:rPr>
              <w:t>Year 4</w:t>
            </w:r>
          </w:p>
        </w:tc>
        <w:tc>
          <w:tcPr>
            <w:tcW w:w="1072" w:type="dxa"/>
            <w:shd w:val="clear" w:color="auto" w:fill="FFFFFF" w:themeFill="background1"/>
            <w:noWrap/>
            <w:vAlign w:val="center"/>
            <w:hideMark/>
          </w:tcPr>
          <w:p w:rsidR="006D74A1" w:rsidRPr="00E71B28" w:rsidRDefault="006D74A1" w:rsidP="006D74A1">
            <w:pPr>
              <w:jc w:val="center"/>
              <w:rPr>
                <w:rFonts w:ascii="Arial Narrow" w:hAnsi="Arial Narrow"/>
                <w:b/>
                <w:sz w:val="20"/>
              </w:rPr>
            </w:pPr>
            <w:r w:rsidRPr="00E71B28">
              <w:rPr>
                <w:rFonts w:ascii="Arial Narrow" w:hAnsi="Arial Narrow"/>
                <w:b/>
                <w:sz w:val="20"/>
              </w:rPr>
              <w:t>Year 5</w:t>
            </w:r>
          </w:p>
        </w:tc>
      </w:tr>
      <w:tr w:rsidR="006D74A1" w:rsidRPr="00E71B28" w:rsidTr="006D74A1">
        <w:trPr>
          <w:trHeight w:val="77"/>
        </w:trPr>
        <w:tc>
          <w:tcPr>
            <w:tcW w:w="8363" w:type="dxa"/>
            <w:gridSpan w:val="6"/>
            <w:shd w:val="clear" w:color="auto" w:fill="auto"/>
            <w:noWrap/>
            <w:vAlign w:val="center"/>
          </w:tcPr>
          <w:p w:rsidR="006D74A1" w:rsidRPr="00E71B28" w:rsidRDefault="006D74A1" w:rsidP="006D74A1">
            <w:pPr>
              <w:ind w:left="-80"/>
              <w:jc w:val="left"/>
              <w:rPr>
                <w:rFonts w:ascii="Arial Narrow" w:hAnsi="Arial Narrow"/>
                <w:b/>
                <w:bCs/>
                <w:sz w:val="20"/>
              </w:rPr>
            </w:pPr>
            <w:r w:rsidRPr="00E71B28">
              <w:rPr>
                <w:rFonts w:ascii="Arial Narrow" w:hAnsi="Arial Narrow"/>
                <w:b/>
                <w:bCs/>
                <w:sz w:val="20"/>
              </w:rPr>
              <w:t>Number of resources or services avoided if empagliflozin with linagliptin FDC is listed</w:t>
            </w:r>
          </w:p>
        </w:tc>
      </w:tr>
      <w:tr w:rsidR="006D74A1" w:rsidRPr="00E71B28" w:rsidTr="006D74A1">
        <w:trPr>
          <w:trHeight w:val="77"/>
        </w:trPr>
        <w:tc>
          <w:tcPr>
            <w:tcW w:w="3004" w:type="dxa"/>
            <w:shd w:val="clear" w:color="auto" w:fill="auto"/>
            <w:noWrap/>
            <w:vAlign w:val="center"/>
          </w:tcPr>
          <w:p w:rsidR="006D74A1" w:rsidRPr="00E71B28" w:rsidRDefault="006D74A1" w:rsidP="006D74A1">
            <w:pPr>
              <w:ind w:left="-80"/>
              <w:rPr>
                <w:rFonts w:ascii="Arial Narrow" w:hAnsi="Arial Narrow"/>
                <w:sz w:val="20"/>
              </w:rPr>
            </w:pPr>
            <w:r w:rsidRPr="00E71B28">
              <w:rPr>
                <w:rFonts w:ascii="Arial Narrow" w:hAnsi="Arial Narrow"/>
                <w:sz w:val="20"/>
              </w:rPr>
              <w:t>Change in DHS services (script)</w:t>
            </w:r>
          </w:p>
        </w:tc>
        <w:tc>
          <w:tcPr>
            <w:tcW w:w="1071"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bCs/>
                <w:noProof/>
                <w:color w:val="000000"/>
                <w:sz w:val="20"/>
                <w:highlight w:val="black"/>
              </w:rPr>
              <w:t>'''''''''''''''''''</w:t>
            </w:r>
          </w:p>
        </w:tc>
        <w:tc>
          <w:tcPr>
            <w:tcW w:w="1072"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bCs/>
                <w:noProof/>
                <w:color w:val="000000"/>
                <w:sz w:val="20"/>
                <w:highlight w:val="black"/>
              </w:rPr>
              <w:t>'''''''''''''''''''''''</w:t>
            </w:r>
          </w:p>
        </w:tc>
        <w:tc>
          <w:tcPr>
            <w:tcW w:w="1072"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bCs/>
                <w:noProof/>
                <w:color w:val="000000"/>
                <w:sz w:val="20"/>
                <w:highlight w:val="black"/>
              </w:rPr>
              <w:t>'''''''''''''''''''''</w:t>
            </w:r>
          </w:p>
        </w:tc>
        <w:tc>
          <w:tcPr>
            <w:tcW w:w="1072"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bCs/>
                <w:noProof/>
                <w:color w:val="000000"/>
                <w:sz w:val="20"/>
                <w:highlight w:val="black"/>
              </w:rPr>
              <w:t>''''''''''''''''''''</w:t>
            </w:r>
          </w:p>
        </w:tc>
        <w:tc>
          <w:tcPr>
            <w:tcW w:w="1072"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bCs/>
                <w:noProof/>
                <w:color w:val="000000"/>
                <w:sz w:val="20"/>
                <w:highlight w:val="black"/>
              </w:rPr>
              <w:t>''''''''''''''''''''</w:t>
            </w:r>
          </w:p>
        </w:tc>
      </w:tr>
      <w:tr w:rsidR="006D74A1" w:rsidRPr="00E71B28" w:rsidTr="006D74A1">
        <w:trPr>
          <w:trHeight w:val="119"/>
        </w:trPr>
        <w:tc>
          <w:tcPr>
            <w:tcW w:w="3004" w:type="dxa"/>
            <w:shd w:val="clear" w:color="auto" w:fill="auto"/>
            <w:vAlign w:val="center"/>
            <w:hideMark/>
          </w:tcPr>
          <w:p w:rsidR="006D74A1" w:rsidRPr="00E71B28" w:rsidRDefault="006D74A1" w:rsidP="006D74A1">
            <w:pPr>
              <w:tabs>
                <w:tab w:val="right" w:pos="2755"/>
              </w:tabs>
              <w:ind w:left="-80"/>
              <w:rPr>
                <w:rFonts w:ascii="Arial Narrow" w:hAnsi="Arial Narrow"/>
                <w:sz w:val="20"/>
              </w:rPr>
            </w:pPr>
            <w:r w:rsidRPr="00E71B28">
              <w:rPr>
                <w:rFonts w:ascii="Arial Narrow" w:hAnsi="Arial Narrow"/>
                <w:sz w:val="20"/>
              </w:rPr>
              <w:t xml:space="preserve">Diabetes nurse educator visits </w:t>
            </w:r>
            <w:r w:rsidRPr="00E71B28">
              <w:rPr>
                <w:rFonts w:ascii="Arial Narrow" w:hAnsi="Arial Narrow"/>
                <w:sz w:val="20"/>
              </w:rPr>
              <w:tab/>
              <w:t>(initial)</w:t>
            </w:r>
          </w:p>
        </w:tc>
        <w:tc>
          <w:tcPr>
            <w:tcW w:w="1071"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119"/>
        </w:trPr>
        <w:tc>
          <w:tcPr>
            <w:tcW w:w="3004" w:type="dxa"/>
            <w:shd w:val="clear" w:color="auto" w:fill="auto"/>
            <w:vAlign w:val="center"/>
          </w:tcPr>
          <w:p w:rsidR="006D74A1" w:rsidRPr="00E71B28" w:rsidRDefault="006D74A1" w:rsidP="006D74A1">
            <w:pPr>
              <w:tabs>
                <w:tab w:val="right" w:pos="2755"/>
              </w:tabs>
              <w:ind w:left="-80"/>
              <w:rPr>
                <w:rFonts w:ascii="Arial Narrow" w:hAnsi="Arial Narrow"/>
                <w:sz w:val="20"/>
              </w:rPr>
            </w:pPr>
            <w:r w:rsidRPr="00E71B28">
              <w:rPr>
                <w:rFonts w:ascii="Arial Narrow" w:hAnsi="Arial Narrow"/>
                <w:sz w:val="20"/>
              </w:rPr>
              <w:tab/>
              <w:t>(follow up)</w:t>
            </w:r>
          </w:p>
        </w:tc>
        <w:tc>
          <w:tcPr>
            <w:tcW w:w="1071"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211"/>
        </w:trPr>
        <w:tc>
          <w:tcPr>
            <w:tcW w:w="3004" w:type="dxa"/>
            <w:shd w:val="clear" w:color="auto" w:fill="auto"/>
            <w:vAlign w:val="center"/>
            <w:hideMark/>
          </w:tcPr>
          <w:p w:rsidR="006D74A1" w:rsidRPr="00E71B28" w:rsidRDefault="006D74A1" w:rsidP="006D74A1">
            <w:pPr>
              <w:ind w:left="-80"/>
              <w:rPr>
                <w:rFonts w:ascii="Arial Narrow" w:hAnsi="Arial Narrow"/>
                <w:sz w:val="20"/>
              </w:rPr>
            </w:pPr>
            <w:r w:rsidRPr="00E71B28">
              <w:rPr>
                <w:rFonts w:ascii="Arial Narrow" w:hAnsi="Arial Narrow"/>
                <w:sz w:val="20"/>
              </w:rPr>
              <w:t>Severe hypoglycaemia hospitalisation</w:t>
            </w:r>
          </w:p>
        </w:tc>
        <w:tc>
          <w:tcPr>
            <w:tcW w:w="1071"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77"/>
        </w:trPr>
        <w:tc>
          <w:tcPr>
            <w:tcW w:w="3004" w:type="dxa"/>
            <w:shd w:val="clear" w:color="auto" w:fill="auto"/>
            <w:noWrap/>
            <w:vAlign w:val="center"/>
            <w:hideMark/>
          </w:tcPr>
          <w:p w:rsidR="006D74A1" w:rsidRPr="00E71B28" w:rsidRDefault="006D74A1" w:rsidP="006D74A1">
            <w:pPr>
              <w:ind w:left="-80"/>
              <w:rPr>
                <w:rFonts w:ascii="Arial Narrow" w:hAnsi="Arial Narrow"/>
                <w:sz w:val="20"/>
              </w:rPr>
            </w:pPr>
            <w:r w:rsidRPr="00E71B28">
              <w:rPr>
                <w:rFonts w:ascii="Arial Narrow" w:hAnsi="Arial Narrow"/>
                <w:sz w:val="20"/>
              </w:rPr>
              <w:t>Injection needles packs</w:t>
            </w:r>
          </w:p>
        </w:tc>
        <w:tc>
          <w:tcPr>
            <w:tcW w:w="1071"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77"/>
        </w:trPr>
        <w:tc>
          <w:tcPr>
            <w:tcW w:w="3004" w:type="dxa"/>
            <w:shd w:val="clear" w:color="auto" w:fill="auto"/>
            <w:noWrap/>
            <w:vAlign w:val="center"/>
          </w:tcPr>
          <w:p w:rsidR="006D74A1" w:rsidRPr="00E71B28" w:rsidRDefault="006D74A1" w:rsidP="006D74A1">
            <w:pPr>
              <w:ind w:left="-80"/>
              <w:rPr>
                <w:rFonts w:ascii="Arial Narrow" w:hAnsi="Arial Narrow"/>
                <w:sz w:val="20"/>
              </w:rPr>
            </w:pPr>
            <w:r w:rsidRPr="00E71B28">
              <w:rPr>
                <w:rFonts w:ascii="Arial Narrow" w:hAnsi="Arial Narrow"/>
                <w:sz w:val="20"/>
              </w:rPr>
              <w:t>Lancet testing packs</w:t>
            </w:r>
          </w:p>
        </w:tc>
        <w:tc>
          <w:tcPr>
            <w:tcW w:w="1071"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77"/>
        </w:trPr>
        <w:tc>
          <w:tcPr>
            <w:tcW w:w="3004" w:type="dxa"/>
            <w:shd w:val="clear" w:color="auto" w:fill="auto"/>
            <w:noWrap/>
            <w:vAlign w:val="center"/>
          </w:tcPr>
          <w:p w:rsidR="006D74A1" w:rsidRPr="00E71B28" w:rsidRDefault="006D74A1" w:rsidP="006D74A1">
            <w:pPr>
              <w:ind w:left="-80"/>
              <w:rPr>
                <w:rFonts w:ascii="Arial Narrow" w:hAnsi="Arial Narrow"/>
                <w:sz w:val="20"/>
              </w:rPr>
            </w:pPr>
            <w:r w:rsidRPr="00E71B28">
              <w:rPr>
                <w:rFonts w:ascii="Arial Narrow" w:hAnsi="Arial Narrow"/>
                <w:sz w:val="20"/>
              </w:rPr>
              <w:t>Blood glucose testing strips packs</w:t>
            </w:r>
          </w:p>
        </w:tc>
        <w:tc>
          <w:tcPr>
            <w:tcW w:w="1071"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77"/>
        </w:trPr>
        <w:tc>
          <w:tcPr>
            <w:tcW w:w="3004" w:type="dxa"/>
            <w:tcBorders>
              <w:bottom w:val="single" w:sz="4" w:space="0" w:color="auto"/>
            </w:tcBorders>
            <w:shd w:val="clear" w:color="auto" w:fill="auto"/>
            <w:noWrap/>
            <w:vAlign w:val="center"/>
          </w:tcPr>
          <w:p w:rsidR="006D74A1" w:rsidRPr="00E71B28" w:rsidRDefault="006D74A1" w:rsidP="006D74A1">
            <w:pPr>
              <w:ind w:left="-80"/>
              <w:rPr>
                <w:rFonts w:ascii="Arial Narrow" w:hAnsi="Arial Narrow"/>
                <w:sz w:val="20"/>
              </w:rPr>
            </w:pPr>
            <w:r w:rsidRPr="00E71B28">
              <w:rPr>
                <w:rFonts w:ascii="Arial Narrow" w:hAnsi="Arial Narrow"/>
                <w:sz w:val="20"/>
              </w:rPr>
              <w:t>Needle pens disposal containers</w:t>
            </w:r>
          </w:p>
        </w:tc>
        <w:tc>
          <w:tcPr>
            <w:tcW w:w="1071" w:type="dxa"/>
            <w:tcBorders>
              <w:bottom w:val="single" w:sz="4" w:space="0" w:color="auto"/>
            </w:tcBorders>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72" w:type="dxa"/>
            <w:tcBorders>
              <w:bottom w:val="single" w:sz="4" w:space="0" w:color="auto"/>
            </w:tcBorders>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72" w:type="dxa"/>
            <w:tcBorders>
              <w:bottom w:val="single" w:sz="4" w:space="0" w:color="auto"/>
            </w:tcBorders>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72" w:type="dxa"/>
            <w:tcBorders>
              <w:bottom w:val="single" w:sz="4" w:space="0" w:color="auto"/>
            </w:tcBorders>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72" w:type="dxa"/>
            <w:tcBorders>
              <w:bottom w:val="single" w:sz="4" w:space="0" w:color="auto"/>
            </w:tcBorders>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77"/>
        </w:trPr>
        <w:tc>
          <w:tcPr>
            <w:tcW w:w="3004" w:type="dxa"/>
            <w:tcBorders>
              <w:bottom w:val="double" w:sz="4" w:space="0" w:color="auto"/>
            </w:tcBorders>
            <w:shd w:val="clear" w:color="auto" w:fill="auto"/>
            <w:noWrap/>
            <w:vAlign w:val="center"/>
          </w:tcPr>
          <w:p w:rsidR="006D74A1" w:rsidRPr="00E71B28" w:rsidRDefault="006D74A1" w:rsidP="006D74A1">
            <w:pPr>
              <w:ind w:left="-80"/>
              <w:rPr>
                <w:rFonts w:ascii="Arial Narrow" w:hAnsi="Arial Narrow"/>
                <w:sz w:val="20"/>
              </w:rPr>
            </w:pPr>
            <w:r w:rsidRPr="00E71B28">
              <w:rPr>
                <w:rFonts w:ascii="Arial Narrow" w:hAnsi="Arial Narrow"/>
                <w:sz w:val="20"/>
              </w:rPr>
              <w:t xml:space="preserve">Needles disposal containers </w:t>
            </w:r>
          </w:p>
        </w:tc>
        <w:tc>
          <w:tcPr>
            <w:tcW w:w="1071" w:type="dxa"/>
            <w:tcBorders>
              <w:bottom w:val="double" w:sz="4" w:space="0" w:color="auto"/>
            </w:tcBorders>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72" w:type="dxa"/>
            <w:tcBorders>
              <w:bottom w:val="double" w:sz="4" w:space="0" w:color="auto"/>
            </w:tcBorders>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72" w:type="dxa"/>
            <w:tcBorders>
              <w:bottom w:val="double" w:sz="4" w:space="0" w:color="auto"/>
            </w:tcBorders>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72" w:type="dxa"/>
            <w:tcBorders>
              <w:bottom w:val="double" w:sz="4" w:space="0" w:color="auto"/>
            </w:tcBorders>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c>
          <w:tcPr>
            <w:tcW w:w="1072" w:type="dxa"/>
            <w:tcBorders>
              <w:bottom w:val="double" w:sz="4" w:space="0" w:color="auto"/>
            </w:tcBorders>
            <w:shd w:val="clear" w:color="auto" w:fill="auto"/>
            <w:noWrap/>
            <w:vAlign w:val="center"/>
          </w:tcPr>
          <w:p w:rsidR="006D74A1" w:rsidRPr="00505399" w:rsidRDefault="00505399" w:rsidP="006D74A1">
            <w:pPr>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77"/>
        </w:trPr>
        <w:tc>
          <w:tcPr>
            <w:tcW w:w="8363" w:type="dxa"/>
            <w:gridSpan w:val="6"/>
            <w:tcBorders>
              <w:top w:val="double" w:sz="4" w:space="0" w:color="auto"/>
            </w:tcBorders>
            <w:shd w:val="clear" w:color="auto" w:fill="auto"/>
            <w:noWrap/>
            <w:vAlign w:val="center"/>
          </w:tcPr>
          <w:p w:rsidR="006D74A1" w:rsidRPr="00E71B28" w:rsidRDefault="006D74A1" w:rsidP="006D74A1">
            <w:pPr>
              <w:ind w:left="-80"/>
              <w:jc w:val="left"/>
              <w:rPr>
                <w:rFonts w:ascii="Arial Narrow" w:hAnsi="Arial Narrow"/>
                <w:b/>
                <w:bCs/>
                <w:sz w:val="20"/>
              </w:rPr>
            </w:pPr>
            <w:r w:rsidRPr="00E71B28">
              <w:rPr>
                <w:rFonts w:ascii="Arial Narrow" w:hAnsi="Arial Narrow"/>
                <w:b/>
                <w:bCs/>
                <w:sz w:val="20"/>
              </w:rPr>
              <w:t>Cost implications to the DHS (costs avoided)</w:t>
            </w:r>
          </w:p>
        </w:tc>
      </w:tr>
      <w:tr w:rsidR="006D74A1" w:rsidRPr="00E71B28" w:rsidTr="006D74A1">
        <w:trPr>
          <w:trHeight w:val="211"/>
        </w:trPr>
        <w:tc>
          <w:tcPr>
            <w:tcW w:w="3004" w:type="dxa"/>
            <w:shd w:val="clear" w:color="auto" w:fill="auto"/>
            <w:vAlign w:val="center"/>
          </w:tcPr>
          <w:p w:rsidR="006D74A1" w:rsidRPr="00E71B28" w:rsidRDefault="006D74A1" w:rsidP="006D74A1">
            <w:pPr>
              <w:ind w:left="-80"/>
              <w:rPr>
                <w:rFonts w:ascii="Arial Narrow" w:hAnsi="Arial Narrow"/>
                <w:sz w:val="20"/>
              </w:rPr>
            </w:pPr>
            <w:r w:rsidRPr="00E71B28">
              <w:rPr>
                <w:rFonts w:ascii="Arial Narrow" w:hAnsi="Arial Narrow"/>
                <w:sz w:val="20"/>
              </w:rPr>
              <w:t>Change in DHS services (scripts)</w:t>
            </w:r>
          </w:p>
        </w:tc>
        <w:tc>
          <w:tcPr>
            <w:tcW w:w="1071" w:type="dxa"/>
            <w:shd w:val="clear" w:color="auto" w:fill="auto"/>
            <w:noWrap/>
            <w:vAlign w:val="center"/>
          </w:tcPr>
          <w:p w:rsidR="006D74A1" w:rsidRPr="00E71B28" w:rsidRDefault="006D74A1" w:rsidP="006D74A1">
            <w:pPr>
              <w:jc w:val="center"/>
              <w:rPr>
                <w:rFonts w:ascii="Arial Narrow" w:hAnsi="Arial Narrow"/>
                <w:sz w:val="20"/>
              </w:rPr>
            </w:pPr>
            <w:r w:rsidRPr="00E71B28">
              <w:rPr>
                <w:rFonts w:ascii="Arial Narrow" w:hAnsi="Arial Narrow"/>
                <w:sz w:val="20"/>
              </w:rPr>
              <w:t>-</w:t>
            </w:r>
          </w:p>
        </w:tc>
        <w:tc>
          <w:tcPr>
            <w:tcW w:w="1072" w:type="dxa"/>
            <w:shd w:val="clear" w:color="auto" w:fill="auto"/>
            <w:noWrap/>
            <w:vAlign w:val="center"/>
          </w:tcPr>
          <w:p w:rsidR="006D74A1" w:rsidRPr="00E71B28" w:rsidRDefault="006D74A1" w:rsidP="006D74A1">
            <w:pPr>
              <w:jc w:val="center"/>
              <w:rPr>
                <w:rFonts w:ascii="Arial Narrow" w:hAnsi="Arial Narrow"/>
                <w:sz w:val="20"/>
              </w:rPr>
            </w:pPr>
            <w:r w:rsidRPr="00E71B28">
              <w:rPr>
                <w:rFonts w:ascii="Arial Narrow" w:hAnsi="Arial Narrow"/>
                <w:sz w:val="20"/>
              </w:rPr>
              <w:t>-</w:t>
            </w:r>
          </w:p>
        </w:tc>
        <w:tc>
          <w:tcPr>
            <w:tcW w:w="1072" w:type="dxa"/>
            <w:shd w:val="clear" w:color="auto" w:fill="auto"/>
            <w:noWrap/>
            <w:vAlign w:val="center"/>
          </w:tcPr>
          <w:p w:rsidR="006D74A1" w:rsidRPr="00E71B28" w:rsidRDefault="006D74A1" w:rsidP="006D74A1">
            <w:pPr>
              <w:jc w:val="center"/>
              <w:rPr>
                <w:rFonts w:ascii="Arial Narrow" w:hAnsi="Arial Narrow"/>
                <w:sz w:val="20"/>
              </w:rPr>
            </w:pPr>
            <w:r w:rsidRPr="00E71B28">
              <w:rPr>
                <w:rFonts w:ascii="Arial Narrow" w:hAnsi="Arial Narrow"/>
                <w:sz w:val="20"/>
              </w:rPr>
              <w:t>-</w:t>
            </w:r>
          </w:p>
        </w:tc>
        <w:tc>
          <w:tcPr>
            <w:tcW w:w="1072" w:type="dxa"/>
            <w:shd w:val="clear" w:color="auto" w:fill="auto"/>
            <w:noWrap/>
            <w:vAlign w:val="center"/>
          </w:tcPr>
          <w:p w:rsidR="006D74A1" w:rsidRPr="00E71B28" w:rsidRDefault="006D74A1" w:rsidP="006D74A1">
            <w:pPr>
              <w:jc w:val="center"/>
              <w:rPr>
                <w:rFonts w:ascii="Arial Narrow" w:hAnsi="Arial Narrow"/>
                <w:sz w:val="20"/>
              </w:rPr>
            </w:pPr>
            <w:r w:rsidRPr="00E71B28">
              <w:rPr>
                <w:rFonts w:ascii="Arial Narrow" w:hAnsi="Arial Narrow"/>
                <w:sz w:val="20"/>
              </w:rPr>
              <w:t>-</w:t>
            </w:r>
          </w:p>
        </w:tc>
        <w:tc>
          <w:tcPr>
            <w:tcW w:w="1072" w:type="dxa"/>
            <w:shd w:val="clear" w:color="auto" w:fill="auto"/>
            <w:noWrap/>
            <w:vAlign w:val="center"/>
          </w:tcPr>
          <w:p w:rsidR="006D74A1" w:rsidRPr="00E71B28" w:rsidRDefault="006D74A1" w:rsidP="006D74A1">
            <w:pPr>
              <w:jc w:val="center"/>
              <w:rPr>
                <w:rFonts w:ascii="Arial Narrow" w:hAnsi="Arial Narrow"/>
                <w:sz w:val="20"/>
              </w:rPr>
            </w:pPr>
            <w:r w:rsidRPr="00E71B28">
              <w:rPr>
                <w:rFonts w:ascii="Arial Narrow" w:hAnsi="Arial Narrow"/>
                <w:sz w:val="20"/>
              </w:rPr>
              <w:t>-</w:t>
            </w:r>
          </w:p>
        </w:tc>
      </w:tr>
      <w:tr w:rsidR="006D74A1" w:rsidRPr="00E71B28" w:rsidTr="006D74A1">
        <w:trPr>
          <w:trHeight w:val="77"/>
        </w:trPr>
        <w:tc>
          <w:tcPr>
            <w:tcW w:w="8363" w:type="dxa"/>
            <w:gridSpan w:val="6"/>
            <w:shd w:val="clear" w:color="auto" w:fill="auto"/>
            <w:noWrap/>
            <w:vAlign w:val="center"/>
          </w:tcPr>
          <w:p w:rsidR="006D74A1" w:rsidRPr="00E71B28" w:rsidRDefault="006D74A1" w:rsidP="006D74A1">
            <w:pPr>
              <w:ind w:left="-80"/>
              <w:jc w:val="left"/>
              <w:rPr>
                <w:rFonts w:ascii="Arial Narrow" w:hAnsi="Arial Narrow"/>
                <w:b/>
                <w:bCs/>
                <w:sz w:val="20"/>
              </w:rPr>
            </w:pPr>
            <w:r w:rsidRPr="00E71B28">
              <w:rPr>
                <w:rFonts w:ascii="Arial Narrow" w:hAnsi="Arial Narrow"/>
                <w:b/>
                <w:bCs/>
                <w:sz w:val="20"/>
              </w:rPr>
              <w:t>Costs implications to MBS budget (costs avoided)</w:t>
            </w:r>
          </w:p>
        </w:tc>
      </w:tr>
      <w:tr w:rsidR="006D74A1" w:rsidRPr="00E71B28" w:rsidTr="006D74A1">
        <w:trPr>
          <w:trHeight w:val="211"/>
        </w:trPr>
        <w:tc>
          <w:tcPr>
            <w:tcW w:w="3004" w:type="dxa"/>
            <w:shd w:val="clear" w:color="auto" w:fill="auto"/>
            <w:vAlign w:val="center"/>
          </w:tcPr>
          <w:p w:rsidR="006D74A1" w:rsidRPr="00E71B28" w:rsidRDefault="006D74A1" w:rsidP="006D74A1">
            <w:pPr>
              <w:tabs>
                <w:tab w:val="right" w:pos="2755"/>
              </w:tabs>
              <w:ind w:left="-80"/>
              <w:rPr>
                <w:rFonts w:ascii="Arial Narrow" w:hAnsi="Arial Narrow"/>
                <w:sz w:val="20"/>
              </w:rPr>
            </w:pPr>
            <w:r w:rsidRPr="00E71B28">
              <w:rPr>
                <w:rFonts w:ascii="Arial Narrow" w:hAnsi="Arial Narrow"/>
                <w:sz w:val="20"/>
              </w:rPr>
              <w:t xml:space="preserve">Diabetes nurse educator visits </w:t>
            </w:r>
            <w:r w:rsidRPr="00E71B28">
              <w:rPr>
                <w:rFonts w:ascii="Arial Narrow" w:hAnsi="Arial Narrow"/>
                <w:sz w:val="20"/>
              </w:rPr>
              <w:tab/>
              <w:t>(initial)</w:t>
            </w:r>
          </w:p>
        </w:tc>
        <w:tc>
          <w:tcPr>
            <w:tcW w:w="1071" w:type="dxa"/>
            <w:shd w:val="clear" w:color="auto" w:fill="auto"/>
            <w:noWrap/>
            <w:vAlign w:val="center"/>
          </w:tcPr>
          <w:p w:rsidR="006D74A1" w:rsidRPr="00505399" w:rsidRDefault="00505399" w:rsidP="006D74A1">
            <w:pPr>
              <w:ind w:left="-55" w:right="-84"/>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ind w:left="-55" w:right="-84"/>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ind w:left="-55" w:right="-84"/>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ind w:left="-55" w:right="-84"/>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ind w:left="-55" w:right="-84"/>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211"/>
        </w:trPr>
        <w:tc>
          <w:tcPr>
            <w:tcW w:w="3004" w:type="dxa"/>
            <w:shd w:val="clear" w:color="auto" w:fill="auto"/>
            <w:vAlign w:val="center"/>
          </w:tcPr>
          <w:p w:rsidR="006D74A1" w:rsidRPr="00E71B28" w:rsidRDefault="006D74A1" w:rsidP="006D74A1">
            <w:pPr>
              <w:tabs>
                <w:tab w:val="right" w:pos="2755"/>
              </w:tabs>
              <w:ind w:left="-80"/>
              <w:jc w:val="left"/>
              <w:rPr>
                <w:rFonts w:ascii="Arial Narrow" w:hAnsi="Arial Narrow"/>
                <w:sz w:val="20"/>
              </w:rPr>
            </w:pPr>
            <w:r w:rsidRPr="00E71B28">
              <w:rPr>
                <w:rFonts w:ascii="Arial Narrow" w:hAnsi="Arial Narrow"/>
                <w:sz w:val="20"/>
              </w:rPr>
              <w:tab/>
              <w:t xml:space="preserve"> (follow up)</w:t>
            </w:r>
          </w:p>
        </w:tc>
        <w:tc>
          <w:tcPr>
            <w:tcW w:w="1071" w:type="dxa"/>
            <w:shd w:val="clear" w:color="auto" w:fill="auto"/>
            <w:noWrap/>
            <w:vAlign w:val="center"/>
          </w:tcPr>
          <w:p w:rsidR="006D74A1" w:rsidRPr="00505399" w:rsidRDefault="00505399" w:rsidP="006D74A1">
            <w:pPr>
              <w:ind w:left="-55" w:right="-84"/>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ind w:left="-55" w:right="-84"/>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ind w:left="-55" w:right="-84"/>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ind w:left="-55" w:right="-84"/>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ind w:left="-55" w:right="-84"/>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77"/>
        </w:trPr>
        <w:tc>
          <w:tcPr>
            <w:tcW w:w="8363" w:type="dxa"/>
            <w:gridSpan w:val="6"/>
            <w:shd w:val="clear" w:color="auto" w:fill="auto"/>
            <w:noWrap/>
            <w:vAlign w:val="center"/>
          </w:tcPr>
          <w:p w:rsidR="006D74A1" w:rsidRPr="00E71B28" w:rsidRDefault="006D74A1" w:rsidP="006D74A1">
            <w:pPr>
              <w:ind w:left="-80"/>
              <w:jc w:val="left"/>
              <w:rPr>
                <w:rFonts w:ascii="Arial Narrow" w:hAnsi="Arial Narrow"/>
                <w:b/>
                <w:bCs/>
                <w:sz w:val="20"/>
              </w:rPr>
            </w:pPr>
            <w:r w:rsidRPr="00E71B28">
              <w:rPr>
                <w:rFonts w:ascii="Arial Narrow" w:hAnsi="Arial Narrow"/>
                <w:b/>
                <w:bCs/>
                <w:sz w:val="20"/>
              </w:rPr>
              <w:t>Costs implications to State and Territory health budgets (costs avoided)</w:t>
            </w:r>
          </w:p>
        </w:tc>
      </w:tr>
      <w:tr w:rsidR="006D74A1" w:rsidRPr="00E71B28" w:rsidTr="006D74A1">
        <w:trPr>
          <w:trHeight w:val="211"/>
        </w:trPr>
        <w:tc>
          <w:tcPr>
            <w:tcW w:w="3004" w:type="dxa"/>
            <w:shd w:val="clear" w:color="auto" w:fill="auto"/>
            <w:vAlign w:val="center"/>
          </w:tcPr>
          <w:p w:rsidR="006D74A1" w:rsidRPr="00E71B28" w:rsidRDefault="006D74A1" w:rsidP="006D74A1">
            <w:pPr>
              <w:ind w:left="-80"/>
              <w:rPr>
                <w:rFonts w:ascii="Arial Narrow" w:hAnsi="Arial Narrow"/>
                <w:sz w:val="20"/>
              </w:rPr>
            </w:pPr>
            <w:r w:rsidRPr="00E71B28">
              <w:rPr>
                <w:rFonts w:ascii="Arial Narrow" w:hAnsi="Arial Narrow"/>
                <w:sz w:val="20"/>
              </w:rPr>
              <w:t>Severe hypoglycaemia hospitalisation</w:t>
            </w:r>
          </w:p>
        </w:tc>
        <w:tc>
          <w:tcPr>
            <w:tcW w:w="1071" w:type="dxa"/>
            <w:shd w:val="clear" w:color="auto" w:fill="auto"/>
            <w:noWrap/>
            <w:vAlign w:val="center"/>
          </w:tcPr>
          <w:p w:rsidR="006D74A1" w:rsidRPr="00505399" w:rsidRDefault="00505399" w:rsidP="006D74A1">
            <w:pPr>
              <w:ind w:left="-69" w:right="-98"/>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ind w:left="-69" w:right="-98"/>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ind w:left="-69" w:right="-98"/>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ind w:left="-69" w:right="-98"/>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ind w:left="-69" w:right="-98"/>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77"/>
        </w:trPr>
        <w:tc>
          <w:tcPr>
            <w:tcW w:w="8363" w:type="dxa"/>
            <w:gridSpan w:val="6"/>
            <w:shd w:val="clear" w:color="auto" w:fill="auto"/>
            <w:noWrap/>
            <w:vAlign w:val="center"/>
          </w:tcPr>
          <w:p w:rsidR="006D74A1" w:rsidRPr="00E71B28" w:rsidRDefault="006D74A1" w:rsidP="006D74A1">
            <w:pPr>
              <w:ind w:left="-80"/>
              <w:jc w:val="left"/>
              <w:rPr>
                <w:rFonts w:ascii="Arial Narrow" w:hAnsi="Arial Narrow"/>
                <w:b/>
                <w:bCs/>
                <w:sz w:val="20"/>
              </w:rPr>
            </w:pPr>
            <w:r w:rsidRPr="00E71B28">
              <w:rPr>
                <w:rFonts w:ascii="Arial Narrow" w:hAnsi="Arial Narrow"/>
                <w:b/>
                <w:bCs/>
                <w:sz w:val="20"/>
              </w:rPr>
              <w:t>Costs implications to other health budgets (costs avoided)</w:t>
            </w:r>
          </w:p>
        </w:tc>
      </w:tr>
      <w:tr w:rsidR="006D74A1" w:rsidRPr="00E71B28" w:rsidTr="006D74A1">
        <w:trPr>
          <w:trHeight w:val="211"/>
        </w:trPr>
        <w:tc>
          <w:tcPr>
            <w:tcW w:w="3004" w:type="dxa"/>
            <w:shd w:val="clear" w:color="auto" w:fill="auto"/>
            <w:vAlign w:val="center"/>
          </w:tcPr>
          <w:p w:rsidR="006D74A1" w:rsidRPr="00E71B28" w:rsidRDefault="006D74A1" w:rsidP="006D74A1">
            <w:pPr>
              <w:ind w:left="-80"/>
              <w:rPr>
                <w:rFonts w:ascii="Arial Narrow" w:hAnsi="Arial Narrow"/>
                <w:sz w:val="20"/>
              </w:rPr>
            </w:pPr>
            <w:r w:rsidRPr="00E71B28">
              <w:rPr>
                <w:rFonts w:ascii="Arial Narrow" w:hAnsi="Arial Narrow"/>
                <w:sz w:val="20"/>
              </w:rPr>
              <w:t>Injection needles packs</w:t>
            </w:r>
          </w:p>
        </w:tc>
        <w:tc>
          <w:tcPr>
            <w:tcW w:w="1071" w:type="dxa"/>
            <w:shd w:val="clear" w:color="auto" w:fill="auto"/>
            <w:noWrap/>
            <w:vAlign w:val="center"/>
          </w:tcPr>
          <w:p w:rsidR="006D74A1" w:rsidRPr="00505399" w:rsidRDefault="00505399" w:rsidP="006D74A1">
            <w:pPr>
              <w:ind w:left="-55" w:right="-84"/>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ind w:left="-55" w:right="-84"/>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ind w:left="-55" w:right="-84"/>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ind w:left="-55" w:right="-84"/>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ind w:left="-55" w:right="-84"/>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211"/>
        </w:trPr>
        <w:tc>
          <w:tcPr>
            <w:tcW w:w="3004" w:type="dxa"/>
            <w:shd w:val="clear" w:color="auto" w:fill="auto"/>
            <w:vAlign w:val="center"/>
          </w:tcPr>
          <w:p w:rsidR="006D74A1" w:rsidRPr="00E71B28" w:rsidRDefault="006D74A1" w:rsidP="006D74A1">
            <w:pPr>
              <w:ind w:left="-80"/>
              <w:rPr>
                <w:rFonts w:ascii="Arial Narrow" w:hAnsi="Arial Narrow"/>
                <w:sz w:val="20"/>
              </w:rPr>
            </w:pPr>
            <w:r w:rsidRPr="00E71B28">
              <w:rPr>
                <w:rFonts w:ascii="Arial Narrow" w:hAnsi="Arial Narrow"/>
                <w:sz w:val="20"/>
              </w:rPr>
              <w:t>Lancet testing packs</w:t>
            </w:r>
          </w:p>
        </w:tc>
        <w:tc>
          <w:tcPr>
            <w:tcW w:w="1071" w:type="dxa"/>
            <w:shd w:val="clear" w:color="auto" w:fill="auto"/>
            <w:noWrap/>
            <w:vAlign w:val="center"/>
          </w:tcPr>
          <w:p w:rsidR="006D74A1" w:rsidRPr="00505399" w:rsidRDefault="00505399" w:rsidP="006D74A1">
            <w:pPr>
              <w:ind w:left="-55" w:right="-84"/>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ind w:left="-55" w:right="-84"/>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ind w:left="-55" w:right="-84"/>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ind w:left="-55" w:right="-84"/>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ind w:left="-55" w:right="-84"/>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211"/>
        </w:trPr>
        <w:tc>
          <w:tcPr>
            <w:tcW w:w="3004" w:type="dxa"/>
            <w:shd w:val="clear" w:color="auto" w:fill="auto"/>
            <w:vAlign w:val="center"/>
          </w:tcPr>
          <w:p w:rsidR="006D74A1" w:rsidRPr="00E71B28" w:rsidRDefault="006D74A1" w:rsidP="006D74A1">
            <w:pPr>
              <w:ind w:left="-80"/>
              <w:rPr>
                <w:rFonts w:ascii="Arial Narrow" w:hAnsi="Arial Narrow"/>
                <w:sz w:val="20"/>
              </w:rPr>
            </w:pPr>
            <w:r w:rsidRPr="00E71B28">
              <w:rPr>
                <w:rFonts w:ascii="Arial Narrow" w:hAnsi="Arial Narrow"/>
                <w:sz w:val="20"/>
              </w:rPr>
              <w:t>Blood glucose testing strips packs</w:t>
            </w:r>
          </w:p>
        </w:tc>
        <w:tc>
          <w:tcPr>
            <w:tcW w:w="1071" w:type="dxa"/>
            <w:shd w:val="clear" w:color="auto" w:fill="auto"/>
            <w:noWrap/>
            <w:vAlign w:val="center"/>
          </w:tcPr>
          <w:p w:rsidR="006D74A1" w:rsidRPr="00505399" w:rsidRDefault="00505399" w:rsidP="006D74A1">
            <w:pPr>
              <w:ind w:left="-55" w:right="-84"/>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ind w:left="-55" w:right="-84"/>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ind w:left="-55" w:right="-84"/>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ind w:left="-55" w:right="-84"/>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ind w:left="-55" w:right="-84"/>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211"/>
        </w:trPr>
        <w:tc>
          <w:tcPr>
            <w:tcW w:w="3004" w:type="dxa"/>
            <w:shd w:val="clear" w:color="auto" w:fill="auto"/>
            <w:vAlign w:val="center"/>
          </w:tcPr>
          <w:p w:rsidR="006D74A1" w:rsidRPr="00E71B28" w:rsidRDefault="006D74A1" w:rsidP="006D74A1">
            <w:pPr>
              <w:ind w:left="-80"/>
              <w:rPr>
                <w:rFonts w:ascii="Arial Narrow" w:hAnsi="Arial Narrow"/>
                <w:sz w:val="20"/>
              </w:rPr>
            </w:pPr>
            <w:r w:rsidRPr="00E71B28">
              <w:rPr>
                <w:rFonts w:ascii="Arial Narrow" w:hAnsi="Arial Narrow"/>
                <w:sz w:val="20"/>
              </w:rPr>
              <w:t>Needle pens disposal containers</w:t>
            </w:r>
          </w:p>
        </w:tc>
        <w:tc>
          <w:tcPr>
            <w:tcW w:w="1071" w:type="dxa"/>
            <w:shd w:val="clear" w:color="auto" w:fill="auto"/>
            <w:noWrap/>
            <w:vAlign w:val="center"/>
          </w:tcPr>
          <w:p w:rsidR="006D74A1" w:rsidRPr="00505399" w:rsidRDefault="00505399" w:rsidP="006D74A1">
            <w:pPr>
              <w:ind w:left="-55" w:right="-84"/>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ind w:left="-55" w:right="-84"/>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ind w:left="-55" w:right="-84"/>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ind w:left="-55" w:right="-84"/>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ind w:left="-55" w:right="-84"/>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211"/>
        </w:trPr>
        <w:tc>
          <w:tcPr>
            <w:tcW w:w="3004" w:type="dxa"/>
            <w:shd w:val="clear" w:color="auto" w:fill="auto"/>
            <w:vAlign w:val="center"/>
          </w:tcPr>
          <w:p w:rsidR="006D74A1" w:rsidRPr="00E71B28" w:rsidRDefault="006D74A1" w:rsidP="006D74A1">
            <w:pPr>
              <w:ind w:left="-80"/>
              <w:rPr>
                <w:rFonts w:ascii="Arial Narrow" w:hAnsi="Arial Narrow"/>
                <w:sz w:val="20"/>
              </w:rPr>
            </w:pPr>
            <w:r w:rsidRPr="00E71B28">
              <w:rPr>
                <w:rFonts w:ascii="Arial Narrow" w:hAnsi="Arial Narrow"/>
                <w:sz w:val="20"/>
              </w:rPr>
              <w:t xml:space="preserve">Needles disposal containers </w:t>
            </w:r>
          </w:p>
        </w:tc>
        <w:tc>
          <w:tcPr>
            <w:tcW w:w="1071" w:type="dxa"/>
            <w:shd w:val="clear" w:color="auto" w:fill="auto"/>
            <w:noWrap/>
            <w:vAlign w:val="center"/>
          </w:tcPr>
          <w:p w:rsidR="006D74A1" w:rsidRPr="00505399" w:rsidRDefault="00505399" w:rsidP="006D74A1">
            <w:pPr>
              <w:ind w:left="-55" w:right="-84"/>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ind w:left="-55" w:right="-84"/>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ind w:left="-55" w:right="-84"/>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ind w:left="-55" w:right="-84"/>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ind w:left="-55" w:right="-84"/>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64"/>
        </w:trPr>
        <w:tc>
          <w:tcPr>
            <w:tcW w:w="3004" w:type="dxa"/>
            <w:shd w:val="clear" w:color="auto" w:fill="auto"/>
            <w:vAlign w:val="center"/>
          </w:tcPr>
          <w:p w:rsidR="006D74A1" w:rsidRPr="00E71B28" w:rsidRDefault="006D74A1" w:rsidP="006D74A1">
            <w:pPr>
              <w:ind w:left="-80"/>
              <w:jc w:val="left"/>
              <w:rPr>
                <w:rFonts w:ascii="Arial Narrow" w:hAnsi="Arial Narrow"/>
                <w:b/>
                <w:sz w:val="20"/>
              </w:rPr>
            </w:pPr>
            <w:r w:rsidRPr="00E71B28">
              <w:rPr>
                <w:rFonts w:ascii="Arial Narrow" w:hAnsi="Arial Narrow"/>
                <w:b/>
                <w:sz w:val="20"/>
              </w:rPr>
              <w:t>Total costs avoided other health budgets</w:t>
            </w:r>
          </w:p>
        </w:tc>
        <w:tc>
          <w:tcPr>
            <w:tcW w:w="1071" w:type="dxa"/>
            <w:shd w:val="clear" w:color="auto" w:fill="auto"/>
            <w:noWrap/>
            <w:vAlign w:val="center"/>
          </w:tcPr>
          <w:p w:rsidR="006D74A1" w:rsidRPr="00505399" w:rsidRDefault="00505399" w:rsidP="006D74A1">
            <w:pPr>
              <w:ind w:left="-55" w:right="-84"/>
              <w:jc w:val="center"/>
              <w:rPr>
                <w:rFonts w:ascii="Arial Narrow" w:hAnsi="Arial Narrow"/>
                <w:b/>
                <w:sz w:val="20"/>
                <w:highlight w:val="black"/>
              </w:rPr>
            </w:pPr>
            <w:r>
              <w:rPr>
                <w:rFonts w:ascii="Arial Narrow" w:hAnsi="Arial Narrow"/>
                <w:b/>
                <w:noProof/>
                <w:color w:val="000000"/>
                <w:sz w:val="20"/>
                <w:highlight w:val="black"/>
              </w:rPr>
              <w:t>'''''''''''''''''''''''''</w:t>
            </w:r>
          </w:p>
        </w:tc>
        <w:tc>
          <w:tcPr>
            <w:tcW w:w="1072" w:type="dxa"/>
            <w:shd w:val="clear" w:color="auto" w:fill="auto"/>
            <w:noWrap/>
            <w:vAlign w:val="center"/>
          </w:tcPr>
          <w:p w:rsidR="006D74A1" w:rsidRPr="00505399" w:rsidRDefault="00505399" w:rsidP="006D74A1">
            <w:pPr>
              <w:ind w:left="-55" w:right="-84"/>
              <w:jc w:val="center"/>
              <w:rPr>
                <w:rFonts w:ascii="Arial Narrow" w:hAnsi="Arial Narrow"/>
                <w:b/>
                <w:sz w:val="20"/>
                <w:highlight w:val="black"/>
              </w:rPr>
            </w:pPr>
            <w:r>
              <w:rPr>
                <w:rFonts w:ascii="Arial Narrow" w:hAnsi="Arial Narrow"/>
                <w:b/>
                <w:noProof/>
                <w:color w:val="000000"/>
                <w:sz w:val="20"/>
                <w:highlight w:val="black"/>
              </w:rPr>
              <w:t>'''''''''''''''''''''''</w:t>
            </w:r>
          </w:p>
        </w:tc>
        <w:tc>
          <w:tcPr>
            <w:tcW w:w="1072" w:type="dxa"/>
            <w:shd w:val="clear" w:color="auto" w:fill="auto"/>
            <w:noWrap/>
            <w:vAlign w:val="center"/>
          </w:tcPr>
          <w:p w:rsidR="006D74A1" w:rsidRPr="00505399" w:rsidRDefault="00505399" w:rsidP="006D74A1">
            <w:pPr>
              <w:ind w:left="-55" w:right="-84"/>
              <w:jc w:val="center"/>
              <w:rPr>
                <w:rFonts w:ascii="Arial Narrow" w:hAnsi="Arial Narrow"/>
                <w:b/>
                <w:sz w:val="20"/>
                <w:highlight w:val="black"/>
              </w:rPr>
            </w:pPr>
            <w:r>
              <w:rPr>
                <w:rFonts w:ascii="Arial Narrow" w:hAnsi="Arial Narrow"/>
                <w:b/>
                <w:noProof/>
                <w:color w:val="000000"/>
                <w:sz w:val="20"/>
                <w:highlight w:val="black"/>
              </w:rPr>
              <w:t>''''''''''''''''''''''</w:t>
            </w:r>
          </w:p>
        </w:tc>
        <w:tc>
          <w:tcPr>
            <w:tcW w:w="1072" w:type="dxa"/>
            <w:shd w:val="clear" w:color="auto" w:fill="auto"/>
            <w:noWrap/>
            <w:vAlign w:val="center"/>
          </w:tcPr>
          <w:p w:rsidR="006D74A1" w:rsidRPr="00505399" w:rsidRDefault="00505399" w:rsidP="006D74A1">
            <w:pPr>
              <w:ind w:left="-55" w:right="-84"/>
              <w:jc w:val="center"/>
              <w:rPr>
                <w:rFonts w:ascii="Arial Narrow" w:hAnsi="Arial Narrow"/>
                <w:b/>
                <w:sz w:val="20"/>
                <w:highlight w:val="black"/>
              </w:rPr>
            </w:pPr>
            <w:r>
              <w:rPr>
                <w:rFonts w:ascii="Arial Narrow" w:hAnsi="Arial Narrow"/>
                <w:b/>
                <w:noProof/>
                <w:color w:val="000000"/>
                <w:sz w:val="20"/>
                <w:highlight w:val="black"/>
              </w:rPr>
              <w:t>'''''''''''''''''''''</w:t>
            </w:r>
          </w:p>
        </w:tc>
        <w:tc>
          <w:tcPr>
            <w:tcW w:w="1072" w:type="dxa"/>
            <w:shd w:val="clear" w:color="auto" w:fill="auto"/>
            <w:noWrap/>
            <w:vAlign w:val="center"/>
          </w:tcPr>
          <w:p w:rsidR="006D74A1" w:rsidRPr="00505399" w:rsidRDefault="00505399" w:rsidP="006D74A1">
            <w:pPr>
              <w:ind w:left="-55" w:right="-84"/>
              <w:jc w:val="center"/>
              <w:rPr>
                <w:rFonts w:ascii="Arial Narrow" w:hAnsi="Arial Narrow"/>
                <w:b/>
                <w:sz w:val="20"/>
                <w:highlight w:val="black"/>
              </w:rPr>
            </w:pPr>
            <w:r>
              <w:rPr>
                <w:rFonts w:ascii="Arial Narrow" w:hAnsi="Arial Narrow"/>
                <w:b/>
                <w:noProof/>
                <w:color w:val="000000"/>
                <w:sz w:val="20"/>
                <w:highlight w:val="black"/>
              </w:rPr>
              <w:t>''''''''''''''''''''''''</w:t>
            </w:r>
          </w:p>
        </w:tc>
      </w:tr>
      <w:tr w:rsidR="006D74A1" w:rsidRPr="00E71B28" w:rsidTr="006D74A1">
        <w:trPr>
          <w:trHeight w:val="64"/>
        </w:trPr>
        <w:tc>
          <w:tcPr>
            <w:tcW w:w="3004" w:type="dxa"/>
            <w:shd w:val="clear" w:color="auto" w:fill="auto"/>
            <w:vAlign w:val="center"/>
          </w:tcPr>
          <w:p w:rsidR="006D74A1" w:rsidRPr="00E71B28" w:rsidRDefault="006D74A1" w:rsidP="006D74A1">
            <w:pPr>
              <w:ind w:left="-80"/>
              <w:rPr>
                <w:rFonts w:ascii="Arial Narrow" w:hAnsi="Arial Narrow"/>
                <w:b/>
                <w:sz w:val="20"/>
              </w:rPr>
            </w:pPr>
            <w:r w:rsidRPr="00E71B28">
              <w:rPr>
                <w:rFonts w:ascii="Arial Narrow" w:hAnsi="Arial Narrow"/>
                <w:b/>
                <w:sz w:val="20"/>
              </w:rPr>
              <w:t xml:space="preserve">Total costs to PBS/RPBS </w:t>
            </w:r>
          </w:p>
          <w:p w:rsidR="006D74A1" w:rsidRPr="00E71B28" w:rsidRDefault="006D74A1" w:rsidP="006D74A1">
            <w:pPr>
              <w:ind w:left="-80"/>
              <w:rPr>
                <w:rFonts w:ascii="Arial Narrow" w:hAnsi="Arial Narrow"/>
                <w:b/>
                <w:sz w:val="20"/>
              </w:rPr>
            </w:pPr>
            <w:r w:rsidRPr="00E71B28">
              <w:rPr>
                <w:rFonts w:ascii="Arial Narrow" w:hAnsi="Arial Narrow"/>
                <w:b/>
                <w:sz w:val="20"/>
              </w:rPr>
              <w:t>(without copayment)</w:t>
            </w:r>
          </w:p>
        </w:tc>
        <w:tc>
          <w:tcPr>
            <w:tcW w:w="1071" w:type="dxa"/>
            <w:shd w:val="clear" w:color="auto" w:fill="auto"/>
            <w:noWrap/>
            <w:vAlign w:val="center"/>
          </w:tcPr>
          <w:p w:rsidR="006D74A1" w:rsidRPr="00505399" w:rsidRDefault="00505399" w:rsidP="006D74A1">
            <w:pPr>
              <w:ind w:left="-55" w:right="-84"/>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ind w:left="-55" w:right="-84"/>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ind w:left="-55" w:right="-84"/>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ind w:left="-55" w:right="-84"/>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ind w:left="-55" w:right="-84"/>
              <w:jc w:val="center"/>
              <w:rPr>
                <w:rFonts w:ascii="Arial Narrow" w:hAnsi="Arial Narrow"/>
                <w:sz w:val="20"/>
                <w:highlight w:val="black"/>
              </w:rPr>
            </w:pPr>
            <w:r>
              <w:rPr>
                <w:rFonts w:ascii="Arial Narrow" w:hAnsi="Arial Narrow"/>
                <w:noProof/>
                <w:color w:val="000000"/>
                <w:sz w:val="20"/>
                <w:highlight w:val="black"/>
              </w:rPr>
              <w:t>''''''''''''''''''''''''''''</w:t>
            </w:r>
          </w:p>
        </w:tc>
      </w:tr>
      <w:tr w:rsidR="006D74A1" w:rsidRPr="00E71B28" w:rsidTr="006D74A1">
        <w:trPr>
          <w:trHeight w:val="64"/>
        </w:trPr>
        <w:tc>
          <w:tcPr>
            <w:tcW w:w="3004" w:type="dxa"/>
            <w:shd w:val="clear" w:color="auto" w:fill="auto"/>
            <w:vAlign w:val="center"/>
          </w:tcPr>
          <w:p w:rsidR="006D74A1" w:rsidRPr="00E71B28" w:rsidRDefault="006D74A1" w:rsidP="006D74A1">
            <w:pPr>
              <w:ind w:left="-80"/>
              <w:rPr>
                <w:rFonts w:ascii="Arial Narrow" w:hAnsi="Arial Narrow"/>
                <w:b/>
                <w:sz w:val="20"/>
              </w:rPr>
            </w:pPr>
            <w:r w:rsidRPr="00E71B28">
              <w:rPr>
                <w:rFonts w:ascii="Arial Narrow" w:hAnsi="Arial Narrow"/>
                <w:b/>
                <w:sz w:val="20"/>
              </w:rPr>
              <w:t>Estimated net cost to government</w:t>
            </w:r>
          </w:p>
        </w:tc>
        <w:tc>
          <w:tcPr>
            <w:tcW w:w="1071" w:type="dxa"/>
            <w:shd w:val="clear" w:color="auto" w:fill="auto"/>
            <w:noWrap/>
            <w:vAlign w:val="center"/>
          </w:tcPr>
          <w:p w:rsidR="006D74A1" w:rsidRPr="00505399" w:rsidRDefault="00505399" w:rsidP="006D74A1">
            <w:pPr>
              <w:ind w:left="-55" w:right="-84"/>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ind w:left="-55" w:right="-84"/>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ind w:left="-55" w:right="-84"/>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ind w:left="-55" w:right="-84"/>
              <w:jc w:val="center"/>
              <w:rPr>
                <w:rFonts w:ascii="Arial Narrow" w:hAnsi="Arial Narrow"/>
                <w:sz w:val="20"/>
                <w:highlight w:val="black"/>
              </w:rPr>
            </w:pPr>
            <w:r>
              <w:rPr>
                <w:rFonts w:ascii="Arial Narrow" w:hAnsi="Arial Narrow"/>
                <w:noProof/>
                <w:color w:val="000000"/>
                <w:sz w:val="20"/>
                <w:highlight w:val="black"/>
              </w:rPr>
              <w:t>'''''''''''''''''''''''''''</w:t>
            </w:r>
          </w:p>
        </w:tc>
        <w:tc>
          <w:tcPr>
            <w:tcW w:w="1072" w:type="dxa"/>
            <w:shd w:val="clear" w:color="auto" w:fill="auto"/>
            <w:noWrap/>
            <w:vAlign w:val="center"/>
          </w:tcPr>
          <w:p w:rsidR="006D74A1" w:rsidRPr="00505399" w:rsidRDefault="00505399" w:rsidP="006D74A1">
            <w:pPr>
              <w:ind w:left="-55" w:right="-84"/>
              <w:jc w:val="center"/>
              <w:rPr>
                <w:rFonts w:ascii="Arial Narrow" w:hAnsi="Arial Narrow"/>
                <w:sz w:val="20"/>
                <w:highlight w:val="black"/>
              </w:rPr>
            </w:pPr>
            <w:r>
              <w:rPr>
                <w:rFonts w:ascii="Arial Narrow" w:hAnsi="Arial Narrow"/>
                <w:noProof/>
                <w:color w:val="000000"/>
                <w:sz w:val="20"/>
                <w:highlight w:val="black"/>
              </w:rPr>
              <w:t>''''''''''''''''''''''''''</w:t>
            </w:r>
          </w:p>
        </w:tc>
      </w:tr>
    </w:tbl>
    <w:p w:rsidR="006D74A1" w:rsidRPr="00E71B28" w:rsidRDefault="006D74A1" w:rsidP="006D74A1">
      <w:pPr>
        <w:ind w:left="709"/>
        <w:rPr>
          <w:rFonts w:ascii="Arial Narrow" w:hAnsi="Arial Narrow"/>
          <w:sz w:val="18"/>
          <w:szCs w:val="18"/>
        </w:rPr>
      </w:pPr>
      <w:r w:rsidRPr="00E71B28">
        <w:rPr>
          <w:rFonts w:ascii="Arial Narrow" w:hAnsi="Arial Narrow"/>
          <w:sz w:val="18"/>
          <w:szCs w:val="18"/>
        </w:rPr>
        <w:t>Source: Tables E.23, p.489, E.24, p.490, E.25, p.490, E.26, p.491, E.27, p.492, E.28, p.493 of the submission.</w:t>
      </w:r>
    </w:p>
    <w:p w:rsidR="006D74A1" w:rsidRPr="00E71B28" w:rsidRDefault="006D74A1" w:rsidP="006D74A1">
      <w:pPr>
        <w:widowControl/>
        <w:rPr>
          <w:b/>
          <w:szCs w:val="22"/>
        </w:rPr>
      </w:pPr>
    </w:p>
    <w:p w:rsidR="00E71B28" w:rsidRDefault="006D74A1" w:rsidP="008F5BEE">
      <w:pPr>
        <w:pStyle w:val="ListParagraph"/>
        <w:widowControl/>
        <w:numPr>
          <w:ilvl w:val="1"/>
          <w:numId w:val="1"/>
        </w:numPr>
      </w:pPr>
      <w:r w:rsidRPr="00E71B28">
        <w:t xml:space="preserve">The submission estimated a net savings to government health budgets of </w:t>
      </w:r>
      <w:r w:rsidR="00EB5B47">
        <w:t>less than $10</w:t>
      </w:r>
      <w:r w:rsidRPr="00E71B28">
        <w:t xml:space="preserve"> million in Year 1, increasing to $</w:t>
      </w:r>
      <w:r w:rsidR="00EB5B47">
        <w:t>10 - $20</w:t>
      </w:r>
      <w:r w:rsidRPr="00E71B28">
        <w:t xml:space="preserve"> million in Year 5, a cumulative saving of $</w:t>
      </w:r>
      <w:r w:rsidR="00EB5B47">
        <w:t>30- $60</w:t>
      </w:r>
      <w:r w:rsidRPr="00E71B28">
        <w:t xml:space="preserve"> million over 5 years.</w:t>
      </w:r>
    </w:p>
    <w:p w:rsidR="001C0619" w:rsidRDefault="001C0619" w:rsidP="001C0619">
      <w:pPr>
        <w:pStyle w:val="ListParagraph"/>
        <w:widowControl/>
      </w:pPr>
    </w:p>
    <w:p w:rsidR="001C0619" w:rsidRDefault="001C0619" w:rsidP="008F5BEE">
      <w:pPr>
        <w:pStyle w:val="ListParagraph"/>
        <w:widowControl/>
        <w:numPr>
          <w:ilvl w:val="1"/>
          <w:numId w:val="1"/>
        </w:numPr>
      </w:pPr>
      <w:r>
        <w:t>The DUSC considered that the utilisation and financial estimates presented in the submission were unsound.</w:t>
      </w:r>
      <w:r w:rsidR="00EB3B56">
        <w:t xml:space="preserve"> </w:t>
      </w:r>
      <w:r>
        <w:t>The main issues identified by the DUSC were:</w:t>
      </w:r>
    </w:p>
    <w:p w:rsidR="001C0619" w:rsidRDefault="001C0619" w:rsidP="008F5BEE">
      <w:pPr>
        <w:pStyle w:val="ListParagraph"/>
        <w:numPr>
          <w:ilvl w:val="0"/>
          <w:numId w:val="5"/>
        </w:numPr>
      </w:pPr>
      <w:r>
        <w:t xml:space="preserve">The method used in the analysis of the 10% PBS prescription sample overestimated the triple therapy market defined as relevant in the submission. </w:t>
      </w:r>
    </w:p>
    <w:p w:rsidR="001C0619" w:rsidRDefault="001C0619" w:rsidP="008F5BEE">
      <w:pPr>
        <w:pStyle w:val="ListParagraph"/>
        <w:numPr>
          <w:ilvl w:val="0"/>
          <w:numId w:val="5"/>
        </w:numPr>
      </w:pPr>
      <w:r>
        <w:t>However, significant markets where this fixed dose combination will be used in practice were not considered, resulting in an underestimate of the number of patients who will be treated. The submission assumed no shift from the sulphonylurea market despite noting the clinical need for a triple oral combination with a lower risk of hypoglycaemia than current sulphonylurea-containing combinations. Other markets not accounted for included substitution of the thiazolidinediones and insulins (other than glargine).</w:t>
      </w:r>
    </w:p>
    <w:p w:rsidR="001C0619" w:rsidRDefault="001C0619" w:rsidP="008F5BEE">
      <w:pPr>
        <w:pStyle w:val="ListParagraph"/>
        <w:numPr>
          <w:ilvl w:val="0"/>
          <w:numId w:val="5"/>
        </w:numPr>
      </w:pPr>
      <w:r>
        <w:t xml:space="preserve">The submission also did not adequately consider broadening of the market due to a completely new triple therapy opportunity. Patients may be treated with multiple triple oral combinations before progressing to regimens that include injectable therapies. </w:t>
      </w:r>
    </w:p>
    <w:p w:rsidR="001C0619" w:rsidRDefault="001C0619" w:rsidP="008F5BEE">
      <w:pPr>
        <w:pStyle w:val="ListParagraph"/>
        <w:numPr>
          <w:ilvl w:val="0"/>
          <w:numId w:val="5"/>
        </w:numPr>
      </w:pPr>
      <w:r>
        <w:t>The number of patients added from the dual therapy market (ie. metformin + DPP4</w:t>
      </w:r>
      <w:r w:rsidR="008F5BEE">
        <w:t xml:space="preserve"> inhibitor</w:t>
      </w:r>
      <w:r>
        <w:t xml:space="preserve"> or metformin + SGLT2</w:t>
      </w:r>
      <w:r w:rsidR="008F5BEE">
        <w:t xml:space="preserve"> inhibitor</w:t>
      </w:r>
      <w:r>
        <w:t>) was not estimated and accounted for.</w:t>
      </w:r>
    </w:p>
    <w:p w:rsidR="001C0619" w:rsidRDefault="001C0619" w:rsidP="008F5BEE">
      <w:pPr>
        <w:pStyle w:val="ListParagraph"/>
        <w:numPr>
          <w:ilvl w:val="0"/>
          <w:numId w:val="5"/>
        </w:numPr>
      </w:pPr>
      <w:r>
        <w:t>The submission’s cost offsets due to medicines substituted were likely to be overestimated, as the cheaper sulphonylurea agents are likely to be substituted, rather than the more expensive insulin glargine and exenatide.</w:t>
      </w:r>
    </w:p>
    <w:p w:rsidR="006D74A1" w:rsidRPr="00E71B28" w:rsidRDefault="006D74A1" w:rsidP="006D74A1">
      <w:pPr>
        <w:pStyle w:val="ListParagraph"/>
        <w:widowControl/>
      </w:pPr>
    </w:p>
    <w:p w:rsidR="006D74A1" w:rsidRPr="00E71B28" w:rsidRDefault="001C0619" w:rsidP="008F5BEE">
      <w:pPr>
        <w:pStyle w:val="ListParagraph"/>
        <w:widowControl/>
        <w:numPr>
          <w:ilvl w:val="1"/>
          <w:numId w:val="1"/>
        </w:numPr>
        <w:rPr>
          <w:szCs w:val="22"/>
        </w:rPr>
      </w:pPr>
      <w:r>
        <w:t>Other</w:t>
      </w:r>
      <w:r w:rsidR="006D74A1" w:rsidRPr="00E71B28">
        <w:t xml:space="preserve"> issues</w:t>
      </w:r>
      <w:r>
        <w:t xml:space="preserve"> raised during the evaluation and by the DUSC included</w:t>
      </w:r>
      <w:r w:rsidR="006D74A1" w:rsidRPr="00E71B28">
        <w:t>:</w:t>
      </w:r>
    </w:p>
    <w:p w:rsidR="006D74A1" w:rsidRPr="00E71B28" w:rsidRDefault="006D74A1" w:rsidP="008F5BEE">
      <w:pPr>
        <w:pStyle w:val="ListParagraph"/>
        <w:numPr>
          <w:ilvl w:val="0"/>
          <w:numId w:val="2"/>
        </w:numPr>
        <w:ind w:left="1134"/>
      </w:pPr>
      <w:r w:rsidRPr="00E71B28">
        <w:t xml:space="preserve">It </w:t>
      </w:r>
      <w:r w:rsidR="007D43A6">
        <w:t>wa</w:t>
      </w:r>
      <w:r w:rsidRPr="00E71B28">
        <w:t>s unclear whether the 10% Medicare longitudinal sample data analysis included undercopayment metformin prescriptions, and metformin utilisation may have been substantially underestimated;</w:t>
      </w:r>
    </w:p>
    <w:p w:rsidR="006D74A1" w:rsidRPr="00E71B28" w:rsidRDefault="006D74A1" w:rsidP="008F5BEE">
      <w:pPr>
        <w:pStyle w:val="ListParagraph"/>
        <w:numPr>
          <w:ilvl w:val="0"/>
          <w:numId w:val="2"/>
        </w:numPr>
        <w:ind w:left="1134"/>
      </w:pPr>
      <w:r w:rsidRPr="00E71B28">
        <w:t>Use of linear extrapolation to estimate future utilisation of diabetes combination regimens may not have been appropriate for all combination regimens;</w:t>
      </w:r>
    </w:p>
    <w:p w:rsidR="006D74A1" w:rsidRPr="00E71B28" w:rsidRDefault="006D74A1" w:rsidP="008F5BEE">
      <w:pPr>
        <w:pStyle w:val="ListParagraph"/>
        <w:numPr>
          <w:ilvl w:val="0"/>
          <w:numId w:val="2"/>
        </w:numPr>
        <w:ind w:left="1134"/>
      </w:pPr>
      <w:r w:rsidRPr="00E71B28">
        <w:t>The market uptake of empagliflozin with linagliptin FDC was assumed;</w:t>
      </w:r>
    </w:p>
    <w:p w:rsidR="006D74A1" w:rsidRPr="00E71B28" w:rsidRDefault="006D74A1" w:rsidP="008F5BEE">
      <w:pPr>
        <w:pStyle w:val="ListParagraph"/>
        <w:numPr>
          <w:ilvl w:val="0"/>
          <w:numId w:val="2"/>
        </w:numPr>
        <w:ind w:left="1134"/>
      </w:pPr>
      <w:r w:rsidRPr="00E71B28">
        <w:t>The assumption that 60% of patients treated with exenatide will be prescribed exenatide 2 mg weekly was not adequately justified, and is unlikely to be realised in the first few years of the estimates, given the recent listing of this formulation on the PBS.</w:t>
      </w:r>
      <w:r w:rsidR="00257A87">
        <w:t xml:space="preserve"> In addition, the DUSC considered that the population of patients who use exenatide may differ from the population that will use triple oral therapy and considered that the substitution of exenatide to be overestimated.</w:t>
      </w:r>
    </w:p>
    <w:p w:rsidR="006D74A1" w:rsidRPr="00E71B28" w:rsidRDefault="006D74A1" w:rsidP="008F5BEE">
      <w:pPr>
        <w:pStyle w:val="ListParagraph"/>
        <w:numPr>
          <w:ilvl w:val="0"/>
          <w:numId w:val="2"/>
        </w:numPr>
        <w:ind w:left="1134"/>
      </w:pPr>
      <w:r w:rsidRPr="00E71B28">
        <w:t>The assumption that an initial and subsequent Nurse Educator visit would be avoided by all patients switching to empagliflozin with linagliptin FDC or opting to take up empagliflozin with linagliptin FDC instead of insulin or exenatide regimens was not supported. Patients switching between regimens may already have used these services, and educator services are not solely provided to address insulin and exenatide related management issues. In the Dapagliflozin November 2014 consideration, the PBAC agreed with the ESC that diabetes educator visits were not solely related to insulin dose titration, and it was unlikely that there would be any reduction in the number of visits</w:t>
      </w:r>
      <w:r w:rsidR="00257A87">
        <w:t>. The DUSC agreed that the submission offsets relating to reduced nurse educator visits are unlikely to be achieved and not desirable in a population that has uncontrolled diabetes.</w:t>
      </w:r>
    </w:p>
    <w:p w:rsidR="006D74A1" w:rsidRPr="00E71B28" w:rsidRDefault="006D74A1" w:rsidP="008F5BEE">
      <w:pPr>
        <w:pStyle w:val="ListParagraph"/>
        <w:numPr>
          <w:ilvl w:val="0"/>
          <w:numId w:val="2"/>
        </w:numPr>
        <w:ind w:left="1134"/>
      </w:pPr>
      <w:r w:rsidRPr="00E71B28">
        <w:t>The event rate for severe hypoglycaemia events related to use</w:t>
      </w:r>
      <w:r w:rsidR="00F4644E">
        <w:t xml:space="preserve"> of</w:t>
      </w:r>
      <w:r w:rsidRPr="00E71B28">
        <w:t xml:space="preserve"> insulin glargine</w:t>
      </w:r>
      <w:r w:rsidR="00F4644E">
        <w:t xml:space="preserve"> was</w:t>
      </w:r>
      <w:r w:rsidRPr="00E71B28">
        <w:t xml:space="preserve"> derived from the EASIE trial,</w:t>
      </w:r>
      <w:r w:rsidR="00F4644E">
        <w:t xml:space="preserve"> which</w:t>
      </w:r>
      <w:r w:rsidRPr="00E71B28">
        <w:t xml:space="preserve"> appl</w:t>
      </w:r>
      <w:r w:rsidR="00F4644E">
        <w:t>ied</w:t>
      </w:r>
      <w:r w:rsidRPr="00E71B28">
        <w:t xml:space="preserve"> dose titration regimens with aggressive glucose control targets, </w:t>
      </w:r>
      <w:r w:rsidR="00F4644E">
        <w:t xml:space="preserve">and </w:t>
      </w:r>
      <w:r w:rsidRPr="00E71B28">
        <w:t>may not be representative of the eligible Australian population. A literature search was not conducted to investigate the incidence of severe hypoglycaemia events related to insulin glargine use in the community and the applicable event rate remains uncertain</w:t>
      </w:r>
      <w:r w:rsidR="00B82223">
        <w:t>.</w:t>
      </w:r>
    </w:p>
    <w:p w:rsidR="00F61DB8" w:rsidRPr="00745C62" w:rsidRDefault="006D74A1" w:rsidP="008F5BEE">
      <w:pPr>
        <w:pStyle w:val="ListParagraph"/>
        <w:numPr>
          <w:ilvl w:val="0"/>
          <w:numId w:val="2"/>
        </w:numPr>
        <w:ind w:left="1134"/>
      </w:pPr>
      <w:r w:rsidRPr="00E71B28">
        <w:t>The assumption that all severe hypoglycaemia events require hospitalisation was inconsistent with the definitions of severe hypoglycaemia in the clinical trials. Leese et al. (2003) investigated the frequency of severe hypoglycaemia episodes requiring emergency treatment in patients with Type 2 diabetes, and found that only 28% of events resulted in direct or indirect hospital admission. The costs of managing severe hypoglycaemia events were overestimated.</w:t>
      </w:r>
      <w:r w:rsidR="00F61DB8">
        <w:t xml:space="preserve"> The </w:t>
      </w:r>
      <w:r w:rsidR="00F61DB8" w:rsidRPr="00F61DB8">
        <w:rPr>
          <w:szCs w:val="22"/>
        </w:rPr>
        <w:t>DUSC agreed that the costs of managing severe hypoglycaemia events were overestimated with the inclusion of hospital separations for catastrophic events.</w:t>
      </w:r>
    </w:p>
    <w:p w:rsidR="00745C62" w:rsidRPr="00976CD6" w:rsidRDefault="00745C62" w:rsidP="00976CD6">
      <w:pPr>
        <w:widowControl/>
        <w:rPr>
          <w:i/>
          <w:szCs w:val="22"/>
        </w:rPr>
      </w:pPr>
    </w:p>
    <w:p w:rsidR="00745C62" w:rsidRPr="00745C62" w:rsidRDefault="00745C62" w:rsidP="008F5BEE">
      <w:pPr>
        <w:pStyle w:val="ListParagraph"/>
        <w:widowControl/>
        <w:numPr>
          <w:ilvl w:val="1"/>
          <w:numId w:val="1"/>
        </w:numPr>
        <w:rPr>
          <w:szCs w:val="22"/>
        </w:rPr>
      </w:pPr>
      <w:r w:rsidRPr="00745C62">
        <w:rPr>
          <w:szCs w:val="22"/>
        </w:rPr>
        <w:t>DUSC also considered that;</w:t>
      </w:r>
    </w:p>
    <w:p w:rsidR="00745C62" w:rsidRPr="00745C62" w:rsidRDefault="00745C62" w:rsidP="008F5BEE">
      <w:pPr>
        <w:pStyle w:val="ListParagraph"/>
        <w:numPr>
          <w:ilvl w:val="0"/>
          <w:numId w:val="2"/>
        </w:numPr>
        <w:ind w:left="1134"/>
        <w:rPr>
          <w:szCs w:val="22"/>
        </w:rPr>
      </w:pPr>
      <w:r w:rsidRPr="00745C62">
        <w:rPr>
          <w:szCs w:val="22"/>
        </w:rPr>
        <w:t xml:space="preserve">There was no accounting for wastage that could occur. For example when a patient on metformin and </w:t>
      </w:r>
      <w:r w:rsidR="001B5361">
        <w:rPr>
          <w:szCs w:val="22"/>
        </w:rPr>
        <w:t>SGLT2 inhibitor</w:t>
      </w:r>
      <w:r w:rsidR="001B5361" w:rsidRPr="00745C62">
        <w:rPr>
          <w:szCs w:val="22"/>
        </w:rPr>
        <w:t xml:space="preserve"> </w:t>
      </w:r>
      <w:r w:rsidRPr="00745C62">
        <w:rPr>
          <w:szCs w:val="22"/>
        </w:rPr>
        <w:t xml:space="preserve">dual therapy (in plain form or as an FDC) has the </w:t>
      </w:r>
      <w:r w:rsidR="001B5361">
        <w:rPr>
          <w:szCs w:val="22"/>
        </w:rPr>
        <w:t>SGLT2 inhibitor</w:t>
      </w:r>
      <w:r w:rsidR="001B5361" w:rsidRPr="00745C62">
        <w:rPr>
          <w:szCs w:val="22"/>
        </w:rPr>
        <w:t xml:space="preserve"> </w:t>
      </w:r>
      <w:r w:rsidRPr="00745C62">
        <w:rPr>
          <w:szCs w:val="22"/>
        </w:rPr>
        <w:t xml:space="preserve">component substituted with empagliflozin with linagliptin FDC, then the unused </w:t>
      </w:r>
      <w:r w:rsidR="001B5361">
        <w:rPr>
          <w:szCs w:val="22"/>
        </w:rPr>
        <w:t>SGLT2 inhibitor</w:t>
      </w:r>
      <w:r w:rsidR="001B5361" w:rsidRPr="00745C62">
        <w:rPr>
          <w:szCs w:val="22"/>
        </w:rPr>
        <w:t xml:space="preserve"> </w:t>
      </w:r>
      <w:r w:rsidRPr="00745C62">
        <w:rPr>
          <w:szCs w:val="22"/>
        </w:rPr>
        <w:t xml:space="preserve">plain or FDC form would be wasted. </w:t>
      </w:r>
    </w:p>
    <w:p w:rsidR="00581EB0" w:rsidRPr="00581EB0" w:rsidRDefault="00745C62" w:rsidP="008F5BEE">
      <w:pPr>
        <w:pStyle w:val="ListParagraph"/>
        <w:numPr>
          <w:ilvl w:val="0"/>
          <w:numId w:val="2"/>
        </w:numPr>
        <w:ind w:left="1134"/>
        <w:rPr>
          <w:szCs w:val="22"/>
        </w:rPr>
      </w:pPr>
      <w:r w:rsidRPr="007D43A6">
        <w:rPr>
          <w:szCs w:val="22"/>
        </w:rPr>
        <w:t>There was no accounting for additional treatments for adverse events, notably vulvovaginal candidiasis.</w:t>
      </w:r>
    </w:p>
    <w:p w:rsidR="00AE1B32" w:rsidRDefault="0017678D" w:rsidP="008F5BEE">
      <w:pPr>
        <w:pStyle w:val="ListParagraph"/>
        <w:numPr>
          <w:ilvl w:val="0"/>
          <w:numId w:val="2"/>
        </w:numPr>
        <w:ind w:left="1134"/>
        <w:rPr>
          <w:szCs w:val="22"/>
        </w:rPr>
      </w:pPr>
      <w:r>
        <w:rPr>
          <w:szCs w:val="22"/>
        </w:rPr>
        <w:t>U</w:t>
      </w:r>
      <w:r w:rsidR="00AE1B32" w:rsidRPr="00AE1B32">
        <w:rPr>
          <w:szCs w:val="22"/>
        </w:rPr>
        <w:t>ptake of empagliflozin will rapidly increase as a result of the finding of reduced risk of cardiovascular death in the EMPA-REG OUTCOME study, and this is likely across all lines of treatment</w:t>
      </w:r>
      <w:r w:rsidR="00AE1B32">
        <w:rPr>
          <w:szCs w:val="22"/>
        </w:rPr>
        <w:t>.</w:t>
      </w:r>
    </w:p>
    <w:p w:rsidR="00E45D75" w:rsidRPr="007D43A6" w:rsidRDefault="00E45D75" w:rsidP="00581EB0">
      <w:pPr>
        <w:pStyle w:val="ListParagraph"/>
        <w:ind w:left="1134"/>
        <w:rPr>
          <w:szCs w:val="22"/>
        </w:rPr>
      </w:pPr>
    </w:p>
    <w:p w:rsidR="00E45D75" w:rsidRPr="00E45D75" w:rsidRDefault="00E45D75" w:rsidP="008F5BEE">
      <w:pPr>
        <w:pStyle w:val="ListParagraph"/>
        <w:widowControl/>
        <w:numPr>
          <w:ilvl w:val="1"/>
          <w:numId w:val="1"/>
        </w:numPr>
        <w:rPr>
          <w:szCs w:val="22"/>
        </w:rPr>
      </w:pPr>
      <w:r w:rsidRPr="00E45D75">
        <w:t>The</w:t>
      </w:r>
      <w:r>
        <w:rPr>
          <w:szCs w:val="22"/>
        </w:rPr>
        <w:t xml:space="preserve"> Pre-PBAC </w:t>
      </w:r>
      <w:r w:rsidR="006626E6">
        <w:rPr>
          <w:szCs w:val="22"/>
        </w:rPr>
        <w:t>R</w:t>
      </w:r>
      <w:r>
        <w:rPr>
          <w:szCs w:val="22"/>
        </w:rPr>
        <w:t>esponse argued while the submission’s methods used to estimate the total market likely to be substituted differ</w:t>
      </w:r>
      <w:r w:rsidR="00F4644E">
        <w:rPr>
          <w:szCs w:val="22"/>
        </w:rPr>
        <w:t>ed</w:t>
      </w:r>
      <w:r>
        <w:rPr>
          <w:szCs w:val="22"/>
        </w:rPr>
        <w:t xml:space="preserve"> from that adopted </w:t>
      </w:r>
      <w:r w:rsidR="004F11B6">
        <w:rPr>
          <w:szCs w:val="22"/>
        </w:rPr>
        <w:t>in</w:t>
      </w:r>
      <w:r>
        <w:rPr>
          <w:szCs w:val="22"/>
        </w:rPr>
        <w:t xml:space="preserve"> the </w:t>
      </w:r>
      <w:r w:rsidR="004F11B6">
        <w:rPr>
          <w:szCs w:val="22"/>
        </w:rPr>
        <w:t xml:space="preserve">February 2017 </w:t>
      </w:r>
      <w:r>
        <w:rPr>
          <w:szCs w:val="22"/>
        </w:rPr>
        <w:t>DUSC</w:t>
      </w:r>
      <w:r w:rsidR="004F11B6">
        <w:rPr>
          <w:szCs w:val="22"/>
        </w:rPr>
        <w:t xml:space="preserve"> </w:t>
      </w:r>
      <w:r w:rsidR="008F5BEE">
        <w:rPr>
          <w:szCs w:val="22"/>
        </w:rPr>
        <w:t>Review</w:t>
      </w:r>
      <w:r>
        <w:rPr>
          <w:szCs w:val="22"/>
        </w:rPr>
        <w:t>, the number of patients receiving different combinations of medicines correlate well between the submission and the DUSC Review (Item 7.5 DUSC February 2017).</w:t>
      </w:r>
    </w:p>
    <w:p w:rsidR="00E25FE8" w:rsidRPr="00AB75CB" w:rsidRDefault="00AB75CB" w:rsidP="00EF62AB">
      <w:pPr>
        <w:widowControl/>
        <w:rPr>
          <w:szCs w:val="22"/>
        </w:rPr>
      </w:pPr>
      <w:r w:rsidRPr="00AB75CB">
        <w:rPr>
          <w:szCs w:val="22"/>
        </w:rPr>
        <w:t xml:space="preserve"> </w:t>
      </w:r>
    </w:p>
    <w:p w:rsidR="00576972" w:rsidRPr="002C2775" w:rsidRDefault="00576972" w:rsidP="00EF62AB">
      <w:pPr>
        <w:pStyle w:val="Heading3"/>
        <w:widowControl/>
      </w:pPr>
      <w:bookmarkStart w:id="14" w:name="_Toc472413212"/>
      <w:r w:rsidRPr="002C2775">
        <w:t>Quality Use of Medicines</w:t>
      </w:r>
      <w:bookmarkEnd w:id="14"/>
    </w:p>
    <w:p w:rsidR="00576972" w:rsidRPr="00576972" w:rsidRDefault="00576972" w:rsidP="00EF62AB">
      <w:pPr>
        <w:widowControl/>
        <w:rPr>
          <w:szCs w:val="22"/>
        </w:rPr>
      </w:pPr>
    </w:p>
    <w:p w:rsidR="00576972" w:rsidRDefault="001447BE" w:rsidP="008F5BEE">
      <w:pPr>
        <w:pStyle w:val="ListParagraph"/>
        <w:widowControl/>
        <w:numPr>
          <w:ilvl w:val="1"/>
          <w:numId w:val="1"/>
        </w:numPr>
      </w:pPr>
      <w:r w:rsidRPr="00C15E26">
        <w:t>The sponsor proposed to provide educational resources for prescribers and other health care professionals (no further details provided).</w:t>
      </w:r>
    </w:p>
    <w:p w:rsidR="00745C62" w:rsidRDefault="00745C62" w:rsidP="00745C62">
      <w:pPr>
        <w:pStyle w:val="ListParagraph"/>
        <w:widowControl/>
      </w:pPr>
    </w:p>
    <w:p w:rsidR="00745C62" w:rsidRDefault="00745C62" w:rsidP="008F5BEE">
      <w:pPr>
        <w:pStyle w:val="ListParagraph"/>
        <w:widowControl/>
        <w:numPr>
          <w:ilvl w:val="1"/>
          <w:numId w:val="1"/>
        </w:numPr>
      </w:pPr>
      <w:r w:rsidRPr="00745C62">
        <w:t>DUSC considered that FDC products can lead to QUM issues as the patient may be confused as to the contents of each product they are taking. This can lead to doubling up of the DPP4 or SGLT2 component if empagliflozin with linagliptin FDC is added to the regimen of dual therapy patients (ie. metformin + DPP4 or metformin + SGLT2) and the prior DPP4 or SGLT2 product is not ceased.</w:t>
      </w:r>
    </w:p>
    <w:p w:rsidR="00C15E26" w:rsidRDefault="00C15E26" w:rsidP="00C15E26">
      <w:pPr>
        <w:pStyle w:val="ListParagraph"/>
        <w:widowControl/>
      </w:pPr>
    </w:p>
    <w:p w:rsidR="00C15E26" w:rsidRDefault="00C15E26" w:rsidP="00C15E26">
      <w:pPr>
        <w:ind w:firstLine="720"/>
        <w:rPr>
          <w:bCs/>
          <w:i/>
          <w:szCs w:val="22"/>
        </w:rPr>
      </w:pPr>
      <w:r w:rsidRPr="00784931">
        <w:rPr>
          <w:bCs/>
          <w:i/>
          <w:szCs w:val="22"/>
        </w:rPr>
        <w:t>For more detail on PBAC’s view, see section 7 “PBAC outcome”</w:t>
      </w:r>
    </w:p>
    <w:p w:rsidR="006D74A1" w:rsidRDefault="006D74A1" w:rsidP="006D74A1">
      <w:pPr>
        <w:rPr>
          <w:bCs/>
          <w:i/>
          <w:szCs w:val="22"/>
        </w:rPr>
      </w:pPr>
    </w:p>
    <w:p w:rsidR="006D74A1" w:rsidRPr="000643EB" w:rsidRDefault="006D74A1" w:rsidP="008F5BEE">
      <w:pPr>
        <w:pStyle w:val="Heading2"/>
        <w:widowControl/>
        <w:numPr>
          <w:ilvl w:val="0"/>
          <w:numId w:val="1"/>
        </w:numPr>
        <w:snapToGrid w:val="0"/>
        <w:jc w:val="left"/>
        <w:rPr>
          <w:snapToGrid/>
          <w:szCs w:val="22"/>
        </w:rPr>
      </w:pPr>
      <w:r w:rsidRPr="000643EB">
        <w:rPr>
          <w:snapToGrid/>
          <w:szCs w:val="22"/>
        </w:rPr>
        <w:t>PBAC Outcome</w:t>
      </w:r>
    </w:p>
    <w:p w:rsidR="006D74A1" w:rsidRPr="000643EB" w:rsidRDefault="006D74A1" w:rsidP="006D74A1">
      <w:pPr>
        <w:rPr>
          <w:b/>
          <w:bCs/>
          <w:lang w:val="en-GB"/>
        </w:rPr>
      </w:pPr>
    </w:p>
    <w:p w:rsidR="0097250C" w:rsidRPr="0097250C" w:rsidRDefault="008628B3" w:rsidP="008F5BEE">
      <w:pPr>
        <w:numPr>
          <w:ilvl w:val="1"/>
          <w:numId w:val="4"/>
        </w:numPr>
        <w:contextualSpacing/>
        <w:rPr>
          <w:bCs/>
          <w:lang w:val="en-GB"/>
        </w:rPr>
      </w:pPr>
      <w:r w:rsidRPr="000643EB">
        <w:rPr>
          <w:bCs/>
          <w:lang w:val="en-GB"/>
        </w:rPr>
        <w:t xml:space="preserve">The PBAC </w:t>
      </w:r>
      <w:r w:rsidRPr="000643EB">
        <w:rPr>
          <w:bCs/>
          <w:szCs w:val="22"/>
          <w:lang w:val="en-GB"/>
        </w:rPr>
        <w:t xml:space="preserve">did not recommend listing </w:t>
      </w:r>
      <w:r w:rsidR="003C3D46">
        <w:rPr>
          <w:szCs w:val="22"/>
        </w:rPr>
        <w:t>e</w:t>
      </w:r>
      <w:r w:rsidR="003C3D46" w:rsidRPr="00C15E26">
        <w:rPr>
          <w:szCs w:val="22"/>
        </w:rPr>
        <w:t xml:space="preserve">mpagliflozin </w:t>
      </w:r>
      <w:r w:rsidR="007D303C" w:rsidRPr="00C15E26">
        <w:rPr>
          <w:szCs w:val="22"/>
        </w:rPr>
        <w:t>(25 mg or 10 mg) + linagliptin 5</w:t>
      </w:r>
      <w:r w:rsidR="004A39C6">
        <w:rPr>
          <w:szCs w:val="22"/>
        </w:rPr>
        <w:t> </w:t>
      </w:r>
      <w:r w:rsidR="007D303C" w:rsidRPr="00C15E26">
        <w:rPr>
          <w:szCs w:val="22"/>
        </w:rPr>
        <w:t xml:space="preserve">mg </w:t>
      </w:r>
      <w:r w:rsidR="00442935" w:rsidRPr="000643EB">
        <w:rPr>
          <w:bCs/>
          <w:szCs w:val="22"/>
          <w:lang w:val="en-GB"/>
        </w:rPr>
        <w:t>FDC</w:t>
      </w:r>
      <w:r w:rsidR="007D303C">
        <w:rPr>
          <w:bCs/>
          <w:szCs w:val="22"/>
          <w:lang w:val="en-GB"/>
        </w:rPr>
        <w:t xml:space="preserve"> </w:t>
      </w:r>
      <w:r w:rsidR="007D303C" w:rsidRPr="00C15E26">
        <w:rPr>
          <w:szCs w:val="22"/>
        </w:rPr>
        <w:t>in combination with metformin</w:t>
      </w:r>
      <w:r w:rsidR="00442935" w:rsidRPr="000643EB">
        <w:rPr>
          <w:bCs/>
          <w:szCs w:val="22"/>
          <w:lang w:val="en-GB"/>
        </w:rPr>
        <w:t xml:space="preserve"> for </w:t>
      </w:r>
      <w:r w:rsidR="000B4DA6" w:rsidRPr="000643EB">
        <w:rPr>
          <w:bCs/>
          <w:szCs w:val="22"/>
          <w:lang w:val="en-GB"/>
        </w:rPr>
        <w:t>T2DM</w:t>
      </w:r>
      <w:r w:rsidR="00442935" w:rsidRPr="000643EB">
        <w:rPr>
          <w:bCs/>
          <w:szCs w:val="22"/>
          <w:lang w:val="en-GB"/>
        </w:rPr>
        <w:t xml:space="preserve"> </w:t>
      </w:r>
      <w:r w:rsidRPr="000643EB">
        <w:rPr>
          <w:bCs/>
          <w:szCs w:val="22"/>
          <w:lang w:val="en-GB"/>
        </w:rPr>
        <w:t>on the PBS. In making its reco</w:t>
      </w:r>
      <w:r w:rsidR="008D0603" w:rsidRPr="000643EB">
        <w:rPr>
          <w:bCs/>
          <w:szCs w:val="22"/>
          <w:lang w:val="en-GB"/>
        </w:rPr>
        <w:t>mmendation, the PBAC considered</w:t>
      </w:r>
      <w:r w:rsidR="00364C53" w:rsidRPr="000643EB">
        <w:rPr>
          <w:bCs/>
          <w:szCs w:val="22"/>
          <w:lang w:val="en-GB"/>
        </w:rPr>
        <w:t xml:space="preserve"> that </w:t>
      </w:r>
      <w:r w:rsidR="00581EB0">
        <w:rPr>
          <w:bCs/>
          <w:szCs w:val="22"/>
          <w:lang w:val="en-GB"/>
        </w:rPr>
        <w:t>the requested restriction would not be implementable</w:t>
      </w:r>
      <w:r w:rsidR="00581EB0" w:rsidRPr="00581EB0">
        <w:rPr>
          <w:bCs/>
          <w:szCs w:val="22"/>
          <w:lang w:val="en-GB"/>
        </w:rPr>
        <w:t xml:space="preserve"> in practice, the clinical need and place </w:t>
      </w:r>
      <w:r w:rsidR="00581EB0">
        <w:rPr>
          <w:bCs/>
          <w:szCs w:val="22"/>
          <w:lang w:val="en-GB"/>
        </w:rPr>
        <w:t xml:space="preserve">in therapy were not well defined, the </w:t>
      </w:r>
      <w:r w:rsidR="007D303C">
        <w:rPr>
          <w:bCs/>
          <w:szCs w:val="22"/>
          <w:lang w:val="en-GB"/>
        </w:rPr>
        <w:t>cost-effectivene</w:t>
      </w:r>
      <w:r w:rsidR="00656BDF">
        <w:rPr>
          <w:bCs/>
          <w:szCs w:val="22"/>
          <w:lang w:val="en-GB"/>
        </w:rPr>
        <w:t>s</w:t>
      </w:r>
      <w:r w:rsidR="007D303C">
        <w:rPr>
          <w:bCs/>
          <w:szCs w:val="22"/>
          <w:lang w:val="en-GB"/>
        </w:rPr>
        <w:t>s of the FDC had not been established compared to the nominated comparators,</w:t>
      </w:r>
      <w:r w:rsidR="00581EB0">
        <w:rPr>
          <w:bCs/>
          <w:szCs w:val="22"/>
          <w:lang w:val="en-GB"/>
        </w:rPr>
        <w:t xml:space="preserve"> </w:t>
      </w:r>
      <w:r w:rsidR="00364C53" w:rsidRPr="000643EB">
        <w:rPr>
          <w:bCs/>
          <w:szCs w:val="22"/>
          <w:lang w:val="en-GB"/>
        </w:rPr>
        <w:t>and the utilisation and costings were likely underestimated.</w:t>
      </w:r>
    </w:p>
    <w:p w:rsidR="0097250C" w:rsidRPr="0097250C" w:rsidRDefault="0097250C" w:rsidP="0097250C">
      <w:pPr>
        <w:ind w:left="720"/>
        <w:contextualSpacing/>
        <w:rPr>
          <w:bCs/>
          <w:lang w:val="en-GB"/>
        </w:rPr>
      </w:pPr>
    </w:p>
    <w:p w:rsidR="0097250C" w:rsidRPr="0097250C" w:rsidRDefault="0097250C" w:rsidP="008F5BEE">
      <w:pPr>
        <w:numPr>
          <w:ilvl w:val="1"/>
          <w:numId w:val="4"/>
        </w:numPr>
        <w:contextualSpacing/>
        <w:rPr>
          <w:bCs/>
          <w:lang w:val="en-GB"/>
        </w:rPr>
      </w:pPr>
      <w:r>
        <w:rPr>
          <w:bCs/>
          <w:lang w:val="en-GB"/>
        </w:rPr>
        <w:t xml:space="preserve">The PBAC noted that this application was submitted under the TGA-PBAC parallel process, and </w:t>
      </w:r>
      <w:r w:rsidR="00104AED">
        <w:rPr>
          <w:bCs/>
          <w:lang w:val="en-GB"/>
        </w:rPr>
        <w:t>considered that</w:t>
      </w:r>
      <w:r>
        <w:rPr>
          <w:bCs/>
          <w:lang w:val="en-GB"/>
        </w:rPr>
        <w:t xml:space="preserve"> the listing of the FDC should not proceed until all single agent TGA indications are aligned with the indications for the FDC.</w:t>
      </w:r>
    </w:p>
    <w:p w:rsidR="00F674ED" w:rsidRPr="00B022FA" w:rsidRDefault="00F674ED" w:rsidP="00F674ED">
      <w:pPr>
        <w:ind w:left="720"/>
        <w:contextualSpacing/>
        <w:rPr>
          <w:bCs/>
          <w:color w:val="7030A0"/>
          <w:lang w:val="en-GB"/>
        </w:rPr>
      </w:pPr>
    </w:p>
    <w:p w:rsidR="00F06318" w:rsidRPr="00C55C7D" w:rsidRDefault="000B4DA6" w:rsidP="008F5BEE">
      <w:pPr>
        <w:numPr>
          <w:ilvl w:val="1"/>
          <w:numId w:val="1"/>
        </w:numPr>
        <w:rPr>
          <w:bCs/>
          <w:lang w:val="en-GB"/>
        </w:rPr>
      </w:pPr>
      <w:r w:rsidRPr="00C55C7D">
        <w:rPr>
          <w:bCs/>
          <w:lang w:val="en-GB"/>
        </w:rPr>
        <w:t xml:space="preserve">The PBAC noted the </w:t>
      </w:r>
      <w:r w:rsidR="00CE7499">
        <w:rPr>
          <w:bCs/>
          <w:lang w:val="en-GB"/>
        </w:rPr>
        <w:t>concerns of ESC and DUSC</w:t>
      </w:r>
      <w:r w:rsidR="00CE7499" w:rsidRPr="00C55C7D">
        <w:rPr>
          <w:bCs/>
          <w:lang w:val="en-GB"/>
        </w:rPr>
        <w:t xml:space="preserve"> </w:t>
      </w:r>
      <w:r w:rsidR="00CE7499">
        <w:rPr>
          <w:bCs/>
          <w:lang w:val="en-GB"/>
        </w:rPr>
        <w:t xml:space="preserve">with the </w:t>
      </w:r>
      <w:r w:rsidRPr="00C55C7D">
        <w:rPr>
          <w:bCs/>
          <w:lang w:val="en-GB"/>
        </w:rPr>
        <w:t>requested listing for the treatment of</w:t>
      </w:r>
      <w:r w:rsidR="00C7025A" w:rsidRPr="00C55C7D">
        <w:rPr>
          <w:bCs/>
          <w:lang w:val="en-GB"/>
        </w:rPr>
        <w:t xml:space="preserve"> T2DM in patients intolerant or with contraindications to a sulfonylurea</w:t>
      </w:r>
      <w:r w:rsidR="00AA0DB3" w:rsidRPr="00C55C7D">
        <w:rPr>
          <w:bCs/>
          <w:lang w:val="en-GB"/>
        </w:rPr>
        <w:t>. The PBAC</w:t>
      </w:r>
      <w:r w:rsidR="00C7025A" w:rsidRPr="00C55C7D">
        <w:rPr>
          <w:bCs/>
          <w:lang w:val="en-GB"/>
        </w:rPr>
        <w:t xml:space="preserve"> recalled that </w:t>
      </w:r>
      <w:r w:rsidR="00923829">
        <w:rPr>
          <w:bCs/>
          <w:lang w:val="en-GB"/>
        </w:rPr>
        <w:t>a similar</w:t>
      </w:r>
      <w:r w:rsidR="00C7025A" w:rsidRPr="00C55C7D">
        <w:rPr>
          <w:bCs/>
          <w:lang w:val="en-GB"/>
        </w:rPr>
        <w:t xml:space="preserve"> requirement</w:t>
      </w:r>
      <w:r w:rsidR="00923829">
        <w:rPr>
          <w:bCs/>
          <w:lang w:val="en-GB"/>
        </w:rPr>
        <w:t xml:space="preserve"> for second</w:t>
      </w:r>
      <w:r w:rsidR="008F5BEE">
        <w:rPr>
          <w:bCs/>
          <w:lang w:val="en-GB"/>
        </w:rPr>
        <w:t>-</w:t>
      </w:r>
      <w:r w:rsidR="00923829">
        <w:rPr>
          <w:bCs/>
          <w:lang w:val="en-GB"/>
        </w:rPr>
        <w:t>line listing</w:t>
      </w:r>
      <w:r w:rsidR="00AB77E4">
        <w:rPr>
          <w:bCs/>
          <w:lang w:val="en-GB"/>
        </w:rPr>
        <w:t xml:space="preserve"> of SGLT2 and DPP4</w:t>
      </w:r>
      <w:r w:rsidR="00C7025A" w:rsidRPr="00C55C7D">
        <w:rPr>
          <w:bCs/>
          <w:lang w:val="en-GB"/>
        </w:rPr>
        <w:t xml:space="preserve"> </w:t>
      </w:r>
      <w:r w:rsidR="008F5BEE">
        <w:rPr>
          <w:bCs/>
          <w:lang w:val="en-GB"/>
        </w:rPr>
        <w:t xml:space="preserve">inhibitors </w:t>
      </w:r>
      <w:r w:rsidR="00C7025A" w:rsidRPr="00C55C7D">
        <w:rPr>
          <w:bCs/>
          <w:lang w:val="en-GB"/>
        </w:rPr>
        <w:t>has previously been interpreted less strictly in practice than intended</w:t>
      </w:r>
      <w:r w:rsidR="00581EB0">
        <w:rPr>
          <w:bCs/>
          <w:lang w:val="en-GB"/>
        </w:rPr>
        <w:t>.</w:t>
      </w:r>
      <w:r w:rsidR="00C7025A" w:rsidRPr="00C55C7D">
        <w:rPr>
          <w:bCs/>
          <w:lang w:val="en-GB"/>
        </w:rPr>
        <w:t xml:space="preserve"> The PBAC</w:t>
      </w:r>
      <w:r w:rsidR="004B7006" w:rsidRPr="00C55C7D">
        <w:rPr>
          <w:bCs/>
          <w:lang w:val="en-GB"/>
        </w:rPr>
        <w:t xml:space="preserve"> </w:t>
      </w:r>
      <w:r w:rsidR="00CA2B8C">
        <w:rPr>
          <w:bCs/>
          <w:lang w:val="en-GB"/>
        </w:rPr>
        <w:t xml:space="preserve">noted </w:t>
      </w:r>
      <w:r w:rsidR="004B7006" w:rsidRPr="00C55C7D">
        <w:rPr>
          <w:bCs/>
          <w:lang w:val="en-GB"/>
        </w:rPr>
        <w:t xml:space="preserve">the ESC’s advice that </w:t>
      </w:r>
      <w:r w:rsidR="00306244" w:rsidRPr="00C55C7D">
        <w:rPr>
          <w:bCs/>
          <w:lang w:val="en-GB"/>
        </w:rPr>
        <w:t xml:space="preserve">under the requested restriction, </w:t>
      </w:r>
      <w:r w:rsidR="004B7006" w:rsidRPr="00C55C7D">
        <w:rPr>
          <w:bCs/>
          <w:lang w:val="en-GB"/>
        </w:rPr>
        <w:t>a subset of patients w</w:t>
      </w:r>
      <w:r w:rsidR="00AA0DB3" w:rsidRPr="00C55C7D">
        <w:rPr>
          <w:bCs/>
          <w:lang w:val="en-GB"/>
        </w:rPr>
        <w:t>ould</w:t>
      </w:r>
      <w:r w:rsidR="00306244" w:rsidRPr="00C55C7D">
        <w:rPr>
          <w:bCs/>
          <w:lang w:val="en-GB"/>
        </w:rPr>
        <w:t xml:space="preserve"> only be eligible for the FDC+metformin combination</w:t>
      </w:r>
      <w:r w:rsidR="004B7006" w:rsidRPr="00C55C7D">
        <w:rPr>
          <w:bCs/>
          <w:lang w:val="en-GB"/>
        </w:rPr>
        <w:t xml:space="preserve"> if they first demonstrate SU intolerance by trying triple </w:t>
      </w:r>
      <w:r w:rsidR="00AA0DB3" w:rsidRPr="00C55C7D">
        <w:rPr>
          <w:bCs/>
          <w:lang w:val="en-GB"/>
        </w:rPr>
        <w:t xml:space="preserve">oral </w:t>
      </w:r>
      <w:r w:rsidR="004B7006" w:rsidRPr="00C55C7D">
        <w:rPr>
          <w:bCs/>
          <w:lang w:val="en-GB"/>
        </w:rPr>
        <w:t xml:space="preserve">therapy </w:t>
      </w:r>
      <w:r w:rsidR="00AA0DB3" w:rsidRPr="00C55C7D">
        <w:rPr>
          <w:bCs/>
          <w:lang w:val="en-GB"/>
        </w:rPr>
        <w:t>of</w:t>
      </w:r>
      <w:r w:rsidR="004B7006" w:rsidRPr="00C55C7D">
        <w:rPr>
          <w:bCs/>
          <w:lang w:val="en-GB"/>
        </w:rPr>
        <w:t xml:space="preserve"> met</w:t>
      </w:r>
      <w:r w:rsidR="00AA0DB3" w:rsidRPr="00C55C7D">
        <w:rPr>
          <w:bCs/>
          <w:lang w:val="en-GB"/>
        </w:rPr>
        <w:t>formin</w:t>
      </w:r>
      <w:r w:rsidR="004B7006" w:rsidRPr="00C55C7D">
        <w:rPr>
          <w:bCs/>
          <w:lang w:val="en-GB"/>
        </w:rPr>
        <w:t>+SU+DPP4</w:t>
      </w:r>
      <w:r w:rsidR="008F5BEE">
        <w:rPr>
          <w:bCs/>
          <w:lang w:val="en-GB"/>
        </w:rPr>
        <w:t xml:space="preserve"> inhibitor</w:t>
      </w:r>
      <w:r w:rsidR="004B7006" w:rsidRPr="00C55C7D">
        <w:rPr>
          <w:bCs/>
          <w:lang w:val="en-GB"/>
        </w:rPr>
        <w:t xml:space="preserve"> or met</w:t>
      </w:r>
      <w:r w:rsidR="00AA0DB3" w:rsidRPr="00C55C7D">
        <w:rPr>
          <w:bCs/>
          <w:lang w:val="en-GB"/>
        </w:rPr>
        <w:t>formin</w:t>
      </w:r>
      <w:r w:rsidR="004B7006" w:rsidRPr="00C55C7D">
        <w:rPr>
          <w:bCs/>
          <w:lang w:val="en-GB"/>
        </w:rPr>
        <w:t>+SU+SGLT2</w:t>
      </w:r>
      <w:r w:rsidR="008F5BEE">
        <w:rPr>
          <w:bCs/>
          <w:lang w:val="en-GB"/>
        </w:rPr>
        <w:t xml:space="preserve"> inhibitor</w:t>
      </w:r>
      <w:r w:rsidR="00AB77E4">
        <w:rPr>
          <w:bCs/>
          <w:lang w:val="en-GB"/>
        </w:rPr>
        <w:t xml:space="preserve"> (as they will not have tried an SU before commencing dual therapy)</w:t>
      </w:r>
      <w:r w:rsidR="00633BD3" w:rsidRPr="00C55C7D">
        <w:rPr>
          <w:bCs/>
          <w:lang w:val="en-GB"/>
        </w:rPr>
        <w:t xml:space="preserve">. The </w:t>
      </w:r>
      <w:r w:rsidR="00AA0DB3" w:rsidRPr="00C55C7D">
        <w:rPr>
          <w:bCs/>
          <w:lang w:val="en-GB"/>
        </w:rPr>
        <w:t>PBAC</w:t>
      </w:r>
      <w:r w:rsidR="00CA2B8C">
        <w:rPr>
          <w:bCs/>
          <w:lang w:val="en-GB"/>
        </w:rPr>
        <w:t xml:space="preserve"> also</w:t>
      </w:r>
      <w:r w:rsidR="00633BD3" w:rsidRPr="00C55C7D">
        <w:rPr>
          <w:bCs/>
          <w:lang w:val="en-GB"/>
        </w:rPr>
        <w:t xml:space="preserve"> noted the Pre-PBAC</w:t>
      </w:r>
      <w:r w:rsidR="00516948" w:rsidRPr="00C55C7D">
        <w:rPr>
          <w:bCs/>
          <w:lang w:val="en-GB"/>
        </w:rPr>
        <w:t xml:space="preserve"> R</w:t>
      </w:r>
      <w:r w:rsidR="00633BD3" w:rsidRPr="00C55C7D">
        <w:rPr>
          <w:bCs/>
          <w:lang w:val="en-GB"/>
        </w:rPr>
        <w:t>esponse</w:t>
      </w:r>
      <w:r w:rsidR="00C55C7D" w:rsidRPr="00C55C7D">
        <w:rPr>
          <w:bCs/>
          <w:lang w:val="en-GB"/>
        </w:rPr>
        <w:t xml:space="preserve"> </w:t>
      </w:r>
      <w:r w:rsidR="00AA0DB3" w:rsidRPr="00C55C7D">
        <w:rPr>
          <w:bCs/>
          <w:lang w:val="en-GB"/>
        </w:rPr>
        <w:t>that</w:t>
      </w:r>
      <w:r w:rsidR="00633BD3" w:rsidRPr="00C55C7D">
        <w:rPr>
          <w:bCs/>
          <w:lang w:val="en-GB"/>
        </w:rPr>
        <w:t xml:space="preserve"> the sponsor would find it acceptable to have a written Authority Required listing to mitigate the risk of </w:t>
      </w:r>
      <w:r w:rsidR="00103DD6" w:rsidRPr="00C55C7D">
        <w:rPr>
          <w:bCs/>
          <w:lang w:val="en-GB"/>
        </w:rPr>
        <w:t>prescribing</w:t>
      </w:r>
      <w:r w:rsidR="00633BD3" w:rsidRPr="00C55C7D">
        <w:rPr>
          <w:bCs/>
          <w:lang w:val="en-GB"/>
        </w:rPr>
        <w:t xml:space="preserve"> outside the restriction. The PBAC </w:t>
      </w:r>
      <w:r w:rsidR="003F4A8F" w:rsidRPr="00C55C7D">
        <w:rPr>
          <w:bCs/>
          <w:lang w:val="en-GB"/>
        </w:rPr>
        <w:t xml:space="preserve">noted </w:t>
      </w:r>
      <w:r w:rsidR="00113B98">
        <w:rPr>
          <w:bCs/>
          <w:lang w:val="en-GB"/>
        </w:rPr>
        <w:t xml:space="preserve">a number of issues with this proposal including </w:t>
      </w:r>
      <w:r w:rsidR="003F4A8F" w:rsidRPr="00C55C7D">
        <w:rPr>
          <w:bCs/>
          <w:lang w:val="en-GB"/>
        </w:rPr>
        <w:t xml:space="preserve">that the data to be collected by a written Authority </w:t>
      </w:r>
      <w:r w:rsidR="00516948" w:rsidRPr="00C55C7D">
        <w:rPr>
          <w:bCs/>
          <w:lang w:val="en-GB"/>
        </w:rPr>
        <w:t>was not well defined</w:t>
      </w:r>
      <w:r w:rsidR="003F4A8F" w:rsidRPr="00C55C7D">
        <w:rPr>
          <w:bCs/>
          <w:lang w:val="en-GB"/>
        </w:rPr>
        <w:t xml:space="preserve">, and that substantial costs were associated with </w:t>
      </w:r>
      <w:r w:rsidR="00C55C7D" w:rsidRPr="00C55C7D">
        <w:rPr>
          <w:bCs/>
          <w:lang w:val="en-GB"/>
        </w:rPr>
        <w:t xml:space="preserve">administering the volume of written Authority prescriptions </w:t>
      </w:r>
      <w:r w:rsidR="00AB77E4">
        <w:rPr>
          <w:bCs/>
          <w:lang w:val="en-GB"/>
        </w:rPr>
        <w:t xml:space="preserve">expected </w:t>
      </w:r>
      <w:r w:rsidR="00C55C7D" w:rsidRPr="00C55C7D">
        <w:rPr>
          <w:bCs/>
          <w:lang w:val="en-GB"/>
        </w:rPr>
        <w:t xml:space="preserve">under the requested listing. </w:t>
      </w:r>
      <w:r w:rsidR="00CA2B8C">
        <w:rPr>
          <w:bCs/>
          <w:lang w:val="en-GB"/>
        </w:rPr>
        <w:t>Overall</w:t>
      </w:r>
      <w:r w:rsidR="00516948" w:rsidRPr="00C55C7D">
        <w:rPr>
          <w:bCs/>
          <w:lang w:val="en-GB"/>
        </w:rPr>
        <w:t xml:space="preserve">, the PBAC considered that the requested listing was </w:t>
      </w:r>
      <w:r w:rsidR="00CA2B8C">
        <w:rPr>
          <w:bCs/>
          <w:lang w:val="en-GB"/>
        </w:rPr>
        <w:t xml:space="preserve">both administratively </w:t>
      </w:r>
      <w:r w:rsidR="00516948" w:rsidRPr="00C55C7D">
        <w:rPr>
          <w:bCs/>
          <w:lang w:val="en-GB"/>
        </w:rPr>
        <w:t>unworkable</w:t>
      </w:r>
      <w:r w:rsidR="00CA2B8C">
        <w:rPr>
          <w:bCs/>
          <w:lang w:val="en-GB"/>
        </w:rPr>
        <w:t xml:space="preserve"> and unlikely to be adhered to</w:t>
      </w:r>
      <w:r w:rsidR="00516948" w:rsidRPr="00C55C7D">
        <w:rPr>
          <w:bCs/>
          <w:lang w:val="en-GB"/>
        </w:rPr>
        <w:t xml:space="preserve"> in practice.</w:t>
      </w:r>
    </w:p>
    <w:p w:rsidR="00F06318" w:rsidRPr="00B022FA" w:rsidRDefault="00F06318" w:rsidP="00F06318">
      <w:pPr>
        <w:ind w:left="720"/>
        <w:rPr>
          <w:bCs/>
          <w:color w:val="7030A0"/>
          <w:lang w:val="en-GB"/>
        </w:rPr>
      </w:pPr>
    </w:p>
    <w:p w:rsidR="00E32A76" w:rsidRPr="00B022FA" w:rsidRDefault="000E7577" w:rsidP="008F5BEE">
      <w:pPr>
        <w:numPr>
          <w:ilvl w:val="1"/>
          <w:numId w:val="1"/>
        </w:numPr>
        <w:rPr>
          <w:bCs/>
          <w:color w:val="7030A0"/>
          <w:lang w:val="en-GB"/>
        </w:rPr>
      </w:pPr>
      <w:r w:rsidRPr="00FC048F">
        <w:rPr>
          <w:bCs/>
          <w:szCs w:val="22"/>
          <w:lang w:val="en-GB"/>
        </w:rPr>
        <w:t>S</w:t>
      </w:r>
      <w:r w:rsidR="00F06318" w:rsidRPr="00FC048F">
        <w:rPr>
          <w:bCs/>
          <w:szCs w:val="22"/>
          <w:lang w:val="en-GB"/>
        </w:rPr>
        <w:t>ince i</w:t>
      </w:r>
      <w:r w:rsidR="00420CC1" w:rsidRPr="00FC048F">
        <w:rPr>
          <w:szCs w:val="22"/>
        </w:rPr>
        <w:t xml:space="preserve">nterpretation of intolerance to SU may be less strict in clinical practice than proposed in the submission, </w:t>
      </w:r>
      <w:r w:rsidRPr="00FC048F">
        <w:rPr>
          <w:bCs/>
          <w:szCs w:val="22"/>
          <w:lang w:val="en-GB"/>
        </w:rPr>
        <w:t>the PBAC was concerned that</w:t>
      </w:r>
      <w:r w:rsidR="00420CC1" w:rsidRPr="00FC048F">
        <w:rPr>
          <w:szCs w:val="22"/>
        </w:rPr>
        <w:t xml:space="preserve"> patients who may otherwise be </w:t>
      </w:r>
      <w:r w:rsidR="004F6755">
        <w:rPr>
          <w:szCs w:val="22"/>
        </w:rPr>
        <w:t xml:space="preserve">successfully treated with </w:t>
      </w:r>
      <w:r w:rsidR="00CA2B8C">
        <w:rPr>
          <w:szCs w:val="22"/>
        </w:rPr>
        <w:t>triple therapy with</w:t>
      </w:r>
      <w:r w:rsidR="00420CC1" w:rsidRPr="00FC048F">
        <w:rPr>
          <w:szCs w:val="22"/>
        </w:rPr>
        <w:t xml:space="preserve"> metformin + SU</w:t>
      </w:r>
      <w:r w:rsidR="00CA2B8C">
        <w:rPr>
          <w:szCs w:val="22"/>
        </w:rPr>
        <w:t xml:space="preserve"> + DPP4 (or SGLT2)</w:t>
      </w:r>
      <w:r w:rsidR="00ED707D" w:rsidRPr="00FC048F">
        <w:rPr>
          <w:szCs w:val="22"/>
        </w:rPr>
        <w:t xml:space="preserve"> in the </w:t>
      </w:r>
      <w:r w:rsidR="00CA2B8C">
        <w:rPr>
          <w:szCs w:val="22"/>
        </w:rPr>
        <w:t>third</w:t>
      </w:r>
      <w:r w:rsidR="00ED707D" w:rsidRPr="00FC048F">
        <w:rPr>
          <w:szCs w:val="22"/>
        </w:rPr>
        <w:t>-line setting</w:t>
      </w:r>
      <w:r w:rsidR="00420CC1" w:rsidRPr="00FC048F">
        <w:rPr>
          <w:szCs w:val="22"/>
        </w:rPr>
        <w:t xml:space="preserve">, may be prescribed </w:t>
      </w:r>
      <w:r w:rsidRPr="00FC048F">
        <w:rPr>
          <w:szCs w:val="22"/>
        </w:rPr>
        <w:t>metformin +</w:t>
      </w:r>
      <w:r w:rsidR="00420CC1" w:rsidRPr="00FC048F">
        <w:rPr>
          <w:szCs w:val="22"/>
        </w:rPr>
        <w:t xml:space="preserve"> empagliflozin</w:t>
      </w:r>
      <w:r w:rsidRPr="00FC048F">
        <w:rPr>
          <w:szCs w:val="22"/>
        </w:rPr>
        <w:t xml:space="preserve"> with </w:t>
      </w:r>
      <w:r w:rsidR="00420CC1" w:rsidRPr="00FC048F">
        <w:rPr>
          <w:szCs w:val="22"/>
        </w:rPr>
        <w:t>linagliptin FDC, particularly those perceived to be at higher risk of hypoglycaemia episodes (e.g. the elderly)</w:t>
      </w:r>
      <w:r w:rsidR="00ED707D" w:rsidRPr="00FC048F">
        <w:rPr>
          <w:szCs w:val="22"/>
        </w:rPr>
        <w:t>.</w:t>
      </w:r>
      <w:r w:rsidR="00F00526" w:rsidRPr="00B022FA">
        <w:rPr>
          <w:color w:val="7030A0"/>
          <w:szCs w:val="22"/>
        </w:rPr>
        <w:t xml:space="preserve"> </w:t>
      </w:r>
      <w:r w:rsidR="0070301E" w:rsidRPr="00FC048F">
        <w:rPr>
          <w:szCs w:val="22"/>
        </w:rPr>
        <w:t>Th</w:t>
      </w:r>
      <w:r w:rsidR="00341D20" w:rsidRPr="00FC048F">
        <w:rPr>
          <w:szCs w:val="22"/>
        </w:rPr>
        <w:t xml:space="preserve">is concerned the PBAC as the submission had not provided </w:t>
      </w:r>
      <w:r w:rsidR="00162E38" w:rsidRPr="00FC048F">
        <w:rPr>
          <w:szCs w:val="22"/>
        </w:rPr>
        <w:t xml:space="preserve">evidence for a clinical or economic comparison against </w:t>
      </w:r>
      <w:r w:rsidR="00CA2B8C">
        <w:rPr>
          <w:szCs w:val="22"/>
        </w:rPr>
        <w:t>these triple oral therapies</w:t>
      </w:r>
      <w:r w:rsidR="00AB77E4">
        <w:rPr>
          <w:szCs w:val="22"/>
        </w:rPr>
        <w:t xml:space="preserve"> </w:t>
      </w:r>
      <w:r w:rsidR="00A461D7" w:rsidRPr="00FC048F">
        <w:rPr>
          <w:szCs w:val="22"/>
        </w:rPr>
        <w:t>and the utilisation</w:t>
      </w:r>
      <w:r w:rsidR="00FC048F" w:rsidRPr="00FC048F">
        <w:rPr>
          <w:szCs w:val="22"/>
        </w:rPr>
        <w:t xml:space="preserve"> </w:t>
      </w:r>
      <w:r w:rsidR="00FC048F">
        <w:rPr>
          <w:szCs w:val="22"/>
        </w:rPr>
        <w:t xml:space="preserve">and financial </w:t>
      </w:r>
      <w:r w:rsidR="00FC048F" w:rsidRPr="00FC048F">
        <w:rPr>
          <w:szCs w:val="22"/>
        </w:rPr>
        <w:t>estimates had not accounted for use in this population</w:t>
      </w:r>
      <w:r w:rsidR="00162E38" w:rsidRPr="00FC048F">
        <w:rPr>
          <w:szCs w:val="22"/>
        </w:rPr>
        <w:t>.</w:t>
      </w:r>
      <w:r w:rsidR="00162E38" w:rsidRPr="00B022FA">
        <w:rPr>
          <w:color w:val="7030A0"/>
          <w:szCs w:val="22"/>
        </w:rPr>
        <w:t xml:space="preserve"> </w:t>
      </w:r>
      <w:r w:rsidR="00162E38" w:rsidRPr="00FC048F">
        <w:rPr>
          <w:szCs w:val="22"/>
        </w:rPr>
        <w:t>Th</w:t>
      </w:r>
      <w:r w:rsidR="0070301E" w:rsidRPr="00FC048F">
        <w:rPr>
          <w:szCs w:val="22"/>
        </w:rPr>
        <w:t xml:space="preserve">e PBAC </w:t>
      </w:r>
      <w:r w:rsidR="00F553E4">
        <w:rPr>
          <w:szCs w:val="22"/>
        </w:rPr>
        <w:t xml:space="preserve">also </w:t>
      </w:r>
      <w:r w:rsidR="0070301E" w:rsidRPr="00FC048F">
        <w:rPr>
          <w:szCs w:val="22"/>
        </w:rPr>
        <w:t xml:space="preserve">noted that the ESC had highlighted </w:t>
      </w:r>
      <w:r w:rsidR="00292742">
        <w:rPr>
          <w:szCs w:val="22"/>
        </w:rPr>
        <w:t>the</w:t>
      </w:r>
      <w:r w:rsidR="0070301E" w:rsidRPr="00FC048F">
        <w:rPr>
          <w:szCs w:val="22"/>
        </w:rPr>
        <w:t xml:space="preserve"> NP</w:t>
      </w:r>
      <w:r w:rsidR="003F4594">
        <w:rPr>
          <w:szCs w:val="22"/>
        </w:rPr>
        <w:t>S</w:t>
      </w:r>
      <w:r w:rsidR="0070301E" w:rsidRPr="00FC048F">
        <w:rPr>
          <w:szCs w:val="22"/>
        </w:rPr>
        <w:t xml:space="preserve"> Medicine</w:t>
      </w:r>
      <w:r w:rsidR="008F5BEE">
        <w:rPr>
          <w:szCs w:val="22"/>
        </w:rPr>
        <w:t>w</w:t>
      </w:r>
      <w:r w:rsidR="0070301E" w:rsidRPr="00FC048F">
        <w:rPr>
          <w:szCs w:val="22"/>
        </w:rPr>
        <w:t>ise</w:t>
      </w:r>
      <w:r w:rsidR="008F5BEE">
        <w:rPr>
          <w:szCs w:val="22"/>
        </w:rPr>
        <w:t xml:space="preserve"> News</w:t>
      </w:r>
      <w:r w:rsidR="0070301E" w:rsidRPr="00FC048F">
        <w:rPr>
          <w:szCs w:val="22"/>
        </w:rPr>
        <w:t xml:space="preserve"> article suggesting that </w:t>
      </w:r>
      <w:r w:rsidR="0070301E" w:rsidRPr="00FC048F">
        <w:rPr>
          <w:bCs/>
          <w:lang w:val="en-GB"/>
        </w:rPr>
        <w:t>the efficacy of SGLT2 and DPP4</w:t>
      </w:r>
      <w:r w:rsidR="008F5BEE">
        <w:rPr>
          <w:bCs/>
          <w:lang w:val="en-GB"/>
        </w:rPr>
        <w:t xml:space="preserve"> inhibitors</w:t>
      </w:r>
      <w:r w:rsidR="0070301E" w:rsidRPr="00FC048F">
        <w:rPr>
          <w:bCs/>
          <w:lang w:val="en-GB"/>
        </w:rPr>
        <w:t xml:space="preserve"> was likely less than that of SUs in the second-line setting. The PBAC noted the Pre-PBAC Response’s concerns that “this figure is not applicable to assess relative efficacy of third-line treatments in T2DM and is not informative to the PBAC” . </w:t>
      </w:r>
      <w:r w:rsidR="00162E38" w:rsidRPr="00FC048F">
        <w:rPr>
          <w:bCs/>
          <w:lang w:val="en-GB"/>
        </w:rPr>
        <w:t>Nonetheless</w:t>
      </w:r>
      <w:r w:rsidR="001D5A3A" w:rsidRPr="00FC048F">
        <w:rPr>
          <w:bCs/>
          <w:lang w:val="en-GB"/>
        </w:rPr>
        <w:t xml:space="preserve">, the PBAC viewed that </w:t>
      </w:r>
      <w:r w:rsidR="00292742">
        <w:rPr>
          <w:bCs/>
          <w:lang w:val="en-GB"/>
        </w:rPr>
        <w:t>this article</w:t>
      </w:r>
      <w:r w:rsidR="001D5A3A" w:rsidRPr="00FC048F">
        <w:rPr>
          <w:bCs/>
          <w:lang w:val="en-GB"/>
        </w:rPr>
        <w:t xml:space="preserve"> </w:t>
      </w:r>
      <w:r w:rsidR="00162E38" w:rsidRPr="00FC048F">
        <w:rPr>
          <w:bCs/>
          <w:lang w:val="en-GB"/>
        </w:rPr>
        <w:t>served to illustrate</w:t>
      </w:r>
      <w:r w:rsidR="002167F6" w:rsidRPr="00FC048F">
        <w:rPr>
          <w:bCs/>
          <w:lang w:val="en-GB"/>
        </w:rPr>
        <w:t xml:space="preserve"> its concern that</w:t>
      </w:r>
      <w:r w:rsidR="00507BBE">
        <w:rPr>
          <w:bCs/>
          <w:lang w:val="en-GB"/>
        </w:rPr>
        <w:t xml:space="preserve"> a substantial proportion of use of the FDC would not be cost-effective </w:t>
      </w:r>
      <w:r w:rsidR="004F6755">
        <w:rPr>
          <w:bCs/>
          <w:lang w:val="en-GB"/>
        </w:rPr>
        <w:t>if</w:t>
      </w:r>
      <w:r w:rsidR="002167F6" w:rsidRPr="00FC048F">
        <w:rPr>
          <w:bCs/>
          <w:lang w:val="en-GB"/>
        </w:rPr>
        <w:t xml:space="preserve"> the requested</w:t>
      </w:r>
      <w:r w:rsidR="000A42C8" w:rsidRPr="00FC048F">
        <w:rPr>
          <w:bCs/>
          <w:lang w:val="en-GB"/>
        </w:rPr>
        <w:t xml:space="preserve"> listing </w:t>
      </w:r>
      <w:r w:rsidR="004F6755">
        <w:rPr>
          <w:bCs/>
          <w:lang w:val="en-GB"/>
        </w:rPr>
        <w:t xml:space="preserve">does </w:t>
      </w:r>
      <w:r w:rsidR="000A42C8" w:rsidRPr="00FC048F">
        <w:rPr>
          <w:bCs/>
          <w:lang w:val="en-GB"/>
        </w:rPr>
        <w:t xml:space="preserve">not, in practice, </w:t>
      </w:r>
      <w:r w:rsidR="002167F6" w:rsidRPr="00FC048F">
        <w:rPr>
          <w:bCs/>
          <w:lang w:val="en-GB"/>
        </w:rPr>
        <w:t>restrict use of the FDC+metformin to an appropriate population</w:t>
      </w:r>
      <w:r w:rsidR="006D090F" w:rsidRPr="00FC048F">
        <w:rPr>
          <w:bCs/>
          <w:lang w:val="en-GB"/>
        </w:rPr>
        <w:t xml:space="preserve"> with a clear clinical need for this combination</w:t>
      </w:r>
      <w:r w:rsidR="002167F6" w:rsidRPr="00FC048F">
        <w:rPr>
          <w:bCs/>
          <w:lang w:val="en-GB"/>
        </w:rPr>
        <w:t>.</w:t>
      </w:r>
    </w:p>
    <w:p w:rsidR="00C3707D" w:rsidRPr="00B022FA" w:rsidRDefault="00C3707D" w:rsidP="00C3707D">
      <w:pPr>
        <w:ind w:left="720"/>
        <w:rPr>
          <w:bCs/>
          <w:color w:val="7030A0"/>
          <w:lang w:val="en-GB"/>
        </w:rPr>
      </w:pPr>
    </w:p>
    <w:p w:rsidR="007612AB" w:rsidRPr="00514B39" w:rsidRDefault="00A85010" w:rsidP="008F5BEE">
      <w:pPr>
        <w:pStyle w:val="ListParagraph"/>
        <w:numPr>
          <w:ilvl w:val="1"/>
          <w:numId w:val="1"/>
        </w:numPr>
        <w:rPr>
          <w:bCs/>
          <w:lang w:val="en-GB"/>
        </w:rPr>
      </w:pPr>
      <w:r w:rsidRPr="00514B39">
        <w:rPr>
          <w:bCs/>
          <w:lang w:val="en-GB"/>
        </w:rPr>
        <w:t>The PBAC considered that without a clearly established place in clinical therapy, it was difficult to determine the</w:t>
      </w:r>
      <w:r w:rsidR="004B401A">
        <w:rPr>
          <w:bCs/>
          <w:lang w:val="en-GB"/>
        </w:rPr>
        <w:t xml:space="preserve"> alternative therapies for the purposes of the </w:t>
      </w:r>
      <w:r w:rsidR="004B401A" w:rsidRPr="00507BBE">
        <w:rPr>
          <w:bCs/>
          <w:i/>
          <w:lang w:val="en-GB"/>
        </w:rPr>
        <w:t>National Health Act 1953</w:t>
      </w:r>
      <w:r w:rsidRPr="00514B39">
        <w:rPr>
          <w:bCs/>
          <w:lang w:val="en-GB"/>
        </w:rPr>
        <w:t xml:space="preserve">.  </w:t>
      </w:r>
      <w:r w:rsidR="00507BBE">
        <w:rPr>
          <w:bCs/>
          <w:lang w:val="en-GB"/>
        </w:rPr>
        <w:t>As noted above, t</w:t>
      </w:r>
      <w:r w:rsidR="004B401A">
        <w:rPr>
          <w:bCs/>
          <w:lang w:val="en-GB"/>
        </w:rPr>
        <w:t>he</w:t>
      </w:r>
      <w:r w:rsidRPr="00514B39">
        <w:rPr>
          <w:bCs/>
          <w:lang w:val="en-GB"/>
        </w:rPr>
        <w:t xml:space="preserve"> </w:t>
      </w:r>
      <w:r w:rsidR="00B02568" w:rsidRPr="00514B39">
        <w:rPr>
          <w:bCs/>
          <w:lang w:val="en-GB"/>
        </w:rPr>
        <w:t>triple oral therap</w:t>
      </w:r>
      <w:r w:rsidR="004B401A">
        <w:rPr>
          <w:bCs/>
          <w:lang w:val="en-GB"/>
        </w:rPr>
        <w:t>ies</w:t>
      </w:r>
      <w:r w:rsidR="00B02568" w:rsidRPr="00514B39">
        <w:rPr>
          <w:bCs/>
          <w:lang w:val="en-GB"/>
        </w:rPr>
        <w:t xml:space="preserve"> of metformin+SU+DPP4 or metformin+SU+SGLT2 may a</w:t>
      </w:r>
      <w:r w:rsidRPr="00514B39">
        <w:rPr>
          <w:bCs/>
          <w:lang w:val="en-GB"/>
        </w:rPr>
        <w:t xml:space="preserve">lso be appropriate comparators, given that the proposed requirements for intolerance or contraindications to SU </w:t>
      </w:r>
      <w:r w:rsidR="004B401A">
        <w:rPr>
          <w:bCs/>
          <w:lang w:val="en-GB"/>
        </w:rPr>
        <w:t>a</w:t>
      </w:r>
      <w:r w:rsidRPr="00514B39">
        <w:rPr>
          <w:bCs/>
          <w:lang w:val="en-GB"/>
        </w:rPr>
        <w:t xml:space="preserve">re unlikely to be </w:t>
      </w:r>
      <w:r w:rsidR="008F5BEE">
        <w:rPr>
          <w:bCs/>
          <w:lang w:val="en-GB"/>
        </w:rPr>
        <w:t>followed</w:t>
      </w:r>
      <w:r w:rsidRPr="00514B39">
        <w:rPr>
          <w:bCs/>
          <w:lang w:val="en-GB"/>
        </w:rPr>
        <w:t xml:space="preserve"> in practice.</w:t>
      </w:r>
      <w:r w:rsidR="00F073CB" w:rsidRPr="00514B39">
        <w:rPr>
          <w:bCs/>
          <w:lang w:val="en-GB"/>
        </w:rPr>
        <w:t xml:space="preserve"> </w:t>
      </w:r>
    </w:p>
    <w:p w:rsidR="007612AB" w:rsidRPr="00B022FA" w:rsidRDefault="007612AB" w:rsidP="007612AB">
      <w:pPr>
        <w:pStyle w:val="ListParagraph"/>
        <w:rPr>
          <w:bCs/>
          <w:color w:val="7030A0"/>
          <w:lang w:val="en-GB"/>
        </w:rPr>
      </w:pPr>
    </w:p>
    <w:p w:rsidR="001C552A" w:rsidRDefault="00F073CB" w:rsidP="008F5BEE">
      <w:pPr>
        <w:pStyle w:val="ListParagraph"/>
        <w:numPr>
          <w:ilvl w:val="1"/>
          <w:numId w:val="1"/>
        </w:numPr>
        <w:rPr>
          <w:bCs/>
          <w:lang w:val="en-GB"/>
        </w:rPr>
      </w:pPr>
      <w:r w:rsidRPr="008A342A">
        <w:rPr>
          <w:bCs/>
          <w:lang w:val="en-GB"/>
        </w:rPr>
        <w:t>Regardless, in consideration of</w:t>
      </w:r>
      <w:r w:rsidR="009641BA" w:rsidRPr="008A342A">
        <w:rPr>
          <w:bCs/>
          <w:lang w:val="en-GB"/>
        </w:rPr>
        <w:t xml:space="preserve"> the</w:t>
      </w:r>
      <w:r w:rsidRPr="008A342A">
        <w:rPr>
          <w:bCs/>
          <w:lang w:val="en-GB"/>
        </w:rPr>
        <w:t xml:space="preserve"> </w:t>
      </w:r>
      <w:r w:rsidR="009641BA" w:rsidRPr="008A342A">
        <w:rPr>
          <w:bCs/>
          <w:lang w:val="en-GB"/>
        </w:rPr>
        <w:t>main comparator</w:t>
      </w:r>
      <w:r w:rsidR="00113B98">
        <w:rPr>
          <w:bCs/>
          <w:lang w:val="en-GB"/>
        </w:rPr>
        <w:t xml:space="preserve"> proposed by the submission</w:t>
      </w:r>
      <w:r w:rsidR="009641BA" w:rsidRPr="008A342A">
        <w:rPr>
          <w:bCs/>
          <w:lang w:val="en-GB"/>
        </w:rPr>
        <w:t xml:space="preserve"> – </w:t>
      </w:r>
      <w:r w:rsidR="009641BA" w:rsidRPr="003F4594">
        <w:rPr>
          <w:bCs/>
          <w:lang w:val="en-GB"/>
        </w:rPr>
        <w:t xml:space="preserve">the individual components of the FDC </w:t>
      </w:r>
      <w:r w:rsidR="00C97AC2" w:rsidRPr="003F4594">
        <w:rPr>
          <w:bCs/>
          <w:lang w:val="en-GB"/>
        </w:rPr>
        <w:t>–</w:t>
      </w:r>
      <w:r w:rsidR="007612AB" w:rsidRPr="008A342A">
        <w:rPr>
          <w:bCs/>
          <w:lang w:val="en-GB"/>
        </w:rPr>
        <w:t xml:space="preserve"> </w:t>
      </w:r>
      <w:r w:rsidR="00713FBA" w:rsidRPr="00713FBA">
        <w:rPr>
          <w:bCs/>
          <w:lang w:val="en-GB"/>
        </w:rPr>
        <w:t>t</w:t>
      </w:r>
      <w:r w:rsidR="00531886" w:rsidRPr="00713FBA">
        <w:t xml:space="preserve">he PBAC agreed with the ESC that </w:t>
      </w:r>
      <w:r w:rsidR="003C5472" w:rsidRPr="00713FBA">
        <w:t>in the head-to-head comparison (1275.9 and 1275.10</w:t>
      </w:r>
      <w:r w:rsidR="00113B98">
        <w:t xml:space="preserve"> in patients </w:t>
      </w:r>
      <w:r w:rsidR="00113B98">
        <w:rPr>
          <w:rFonts w:cstheme="minorHAnsi"/>
        </w:rPr>
        <w:t xml:space="preserve">who had insufficient glycaemic control despite dual therapy with </w:t>
      </w:r>
      <w:r w:rsidR="00113B98" w:rsidRPr="00713FBA">
        <w:t>linagliptin</w:t>
      </w:r>
      <w:r w:rsidR="00113B98">
        <w:rPr>
          <w:rFonts w:cstheme="minorHAnsi"/>
        </w:rPr>
        <w:t xml:space="preserve"> with metformin</w:t>
      </w:r>
      <w:r w:rsidR="00113B98" w:rsidRPr="008A4D75">
        <w:t xml:space="preserve"> </w:t>
      </w:r>
      <w:r w:rsidR="00113B98">
        <w:rPr>
          <w:rFonts w:cstheme="minorHAnsi"/>
        </w:rPr>
        <w:t xml:space="preserve">or </w:t>
      </w:r>
      <w:r w:rsidR="00113B98">
        <w:t xml:space="preserve">empagliflozin </w:t>
      </w:r>
      <w:r w:rsidR="00113B98" w:rsidRPr="00713FBA">
        <w:t>with metformin</w:t>
      </w:r>
      <w:r w:rsidR="00113B98">
        <w:t>, respectively</w:t>
      </w:r>
      <w:r w:rsidR="003C5472" w:rsidRPr="00713FBA">
        <w:t xml:space="preserve">), </w:t>
      </w:r>
      <w:r w:rsidR="00531886" w:rsidRPr="00713FBA">
        <w:t xml:space="preserve">empagliflozin with linagliptin FDC demonstrated superior efficacy compared to linagliptin 5 mg or empagliflozin 25 mg or 10 mg in combination with metformin. The PBAC also noted the ESC’s advice that the effect of the combination on HbA1c was less than could be expected if the gains observed in the monotherapy submissions for the SGLT2 inhibitors and the DPP4 inhibitors were summed together (assuming metformin </w:t>
      </w:r>
      <w:r w:rsidR="00713FBA" w:rsidRPr="00713FBA">
        <w:t>therapy continues in all cases), yet the proposed DPMQ of the FDC was estimated based on the sum of the individual components.</w:t>
      </w:r>
      <w:r w:rsidR="00531886" w:rsidRPr="00713FBA">
        <w:t xml:space="preserve"> </w:t>
      </w:r>
      <w:r w:rsidR="00531886" w:rsidRPr="00B35517">
        <w:rPr>
          <w:bCs/>
          <w:lang w:val="en-GB"/>
        </w:rPr>
        <w:t xml:space="preserve">The PBAC noted that </w:t>
      </w:r>
      <w:r w:rsidR="004C58A9" w:rsidRPr="00B35517">
        <w:rPr>
          <w:bCs/>
          <w:lang w:val="en-GB"/>
        </w:rPr>
        <w:t>given the</w:t>
      </w:r>
      <w:r w:rsidR="00531886" w:rsidRPr="00B35517">
        <w:rPr>
          <w:bCs/>
          <w:lang w:val="en-GB"/>
        </w:rPr>
        <w:t xml:space="preserve"> submission claimed superiority of the FDC over the individual components, the ESC’s advice</w:t>
      </w:r>
      <w:r w:rsidR="004C58A9" w:rsidRPr="00B35517">
        <w:rPr>
          <w:bCs/>
          <w:lang w:val="en-GB"/>
        </w:rPr>
        <w:t xml:space="preserve"> was that </w:t>
      </w:r>
      <w:r w:rsidR="00531886" w:rsidRPr="00B35517">
        <w:rPr>
          <w:bCs/>
          <w:lang w:val="en-GB"/>
        </w:rPr>
        <w:t>a cost-effectiveness analysis would be appropriate. The PBAC agreed with the Pre-PBAC Response that the PBAC Guidelines ask for a clinical comparison of the FDC to each of the single agents, and suggest that the FDC should demonstrate an additional benefit over the single agent. However, the PBAC did not agree that “estimating the proposed DPMQ for empagliflozin with linagliptin based on the sum of the individual components is consistent with the PBAC Guidelines” (</w:t>
      </w:r>
      <w:r w:rsidR="008A342A" w:rsidRPr="00B35517">
        <w:rPr>
          <w:bCs/>
          <w:lang w:val="en-GB"/>
        </w:rPr>
        <w:t>Pre-PBAC Response</w:t>
      </w:r>
      <w:r w:rsidR="00531886" w:rsidRPr="00B35517">
        <w:rPr>
          <w:bCs/>
          <w:lang w:val="en-GB"/>
        </w:rPr>
        <w:t xml:space="preserve">). The PBAC considered that this approach </w:t>
      </w:r>
      <w:r w:rsidR="00803570">
        <w:rPr>
          <w:bCs/>
          <w:lang w:val="en-GB"/>
        </w:rPr>
        <w:t>would</w:t>
      </w:r>
      <w:r w:rsidR="008A342A" w:rsidRPr="00B35517">
        <w:rPr>
          <w:bCs/>
          <w:lang w:val="en-GB"/>
        </w:rPr>
        <w:t xml:space="preserve"> only</w:t>
      </w:r>
      <w:r w:rsidR="00531886" w:rsidRPr="00B35517">
        <w:rPr>
          <w:bCs/>
          <w:lang w:val="en-GB"/>
        </w:rPr>
        <w:t xml:space="preserve"> </w:t>
      </w:r>
      <w:r w:rsidR="00B35517" w:rsidRPr="00B35517">
        <w:rPr>
          <w:bCs/>
          <w:lang w:val="en-GB"/>
        </w:rPr>
        <w:t xml:space="preserve">be </w:t>
      </w:r>
      <w:r w:rsidR="004C58A9" w:rsidRPr="00B35517">
        <w:rPr>
          <w:bCs/>
          <w:lang w:val="en-GB"/>
        </w:rPr>
        <w:t>appropriate</w:t>
      </w:r>
      <w:r w:rsidR="00531886" w:rsidRPr="00B35517">
        <w:rPr>
          <w:bCs/>
          <w:lang w:val="en-GB"/>
        </w:rPr>
        <w:t xml:space="preserve"> if the</w:t>
      </w:r>
      <w:r w:rsidR="00803570">
        <w:rPr>
          <w:bCs/>
          <w:lang w:val="en-GB"/>
        </w:rPr>
        <w:t xml:space="preserve"> combined use of</w:t>
      </w:r>
      <w:r w:rsidR="00531886" w:rsidRPr="00B35517">
        <w:rPr>
          <w:bCs/>
          <w:lang w:val="en-GB"/>
        </w:rPr>
        <w:t xml:space="preserve"> in</w:t>
      </w:r>
      <w:r w:rsidR="004C58A9" w:rsidRPr="00B35517">
        <w:rPr>
          <w:bCs/>
          <w:lang w:val="en-GB"/>
        </w:rPr>
        <w:t>dividual components</w:t>
      </w:r>
      <w:r w:rsidR="00531886" w:rsidRPr="00B35517">
        <w:rPr>
          <w:bCs/>
          <w:lang w:val="en-GB"/>
        </w:rPr>
        <w:t xml:space="preserve"> had already been </w:t>
      </w:r>
      <w:r w:rsidR="00C16A21">
        <w:rPr>
          <w:bCs/>
          <w:lang w:val="en-GB"/>
        </w:rPr>
        <w:t>considered</w:t>
      </w:r>
      <w:r w:rsidR="00531886" w:rsidRPr="00B35517">
        <w:rPr>
          <w:bCs/>
          <w:lang w:val="en-GB"/>
        </w:rPr>
        <w:t xml:space="preserve"> </w:t>
      </w:r>
      <w:r w:rsidR="00C16A21">
        <w:rPr>
          <w:bCs/>
          <w:lang w:val="en-GB"/>
        </w:rPr>
        <w:t>b</w:t>
      </w:r>
      <w:r w:rsidR="00531886" w:rsidRPr="00B35517">
        <w:rPr>
          <w:bCs/>
          <w:lang w:val="en-GB"/>
        </w:rPr>
        <w:t xml:space="preserve">y the PBAC </w:t>
      </w:r>
      <w:r w:rsidR="00C16A21">
        <w:rPr>
          <w:bCs/>
          <w:lang w:val="en-GB"/>
        </w:rPr>
        <w:t>to be</w:t>
      </w:r>
      <w:r w:rsidR="00531886" w:rsidRPr="00B35517">
        <w:rPr>
          <w:bCs/>
          <w:lang w:val="en-GB"/>
        </w:rPr>
        <w:t xml:space="preserve"> cost-effective. </w:t>
      </w:r>
      <w:r w:rsidR="00803570">
        <w:rPr>
          <w:bCs/>
          <w:lang w:val="en-GB"/>
        </w:rPr>
        <w:t>T</w:t>
      </w:r>
      <w:r w:rsidR="00531886" w:rsidRPr="00B35517">
        <w:rPr>
          <w:bCs/>
          <w:lang w:val="en-GB"/>
        </w:rPr>
        <w:t xml:space="preserve">he PBAC </w:t>
      </w:r>
      <w:r w:rsidR="00B35517" w:rsidRPr="00B35517">
        <w:rPr>
          <w:bCs/>
          <w:lang w:val="en-GB"/>
        </w:rPr>
        <w:t>noted</w:t>
      </w:r>
      <w:r w:rsidR="00531886" w:rsidRPr="00B35517">
        <w:rPr>
          <w:bCs/>
          <w:lang w:val="en-GB"/>
        </w:rPr>
        <w:t xml:space="preserve"> that the current use of empagliflozin and linagliptin outside the PBS restriction – </w:t>
      </w:r>
      <w:r w:rsidR="00803570">
        <w:rPr>
          <w:bCs/>
          <w:lang w:val="en-GB"/>
        </w:rPr>
        <w:t xml:space="preserve">as </w:t>
      </w:r>
      <w:r w:rsidR="00531886" w:rsidRPr="00B35517">
        <w:rPr>
          <w:bCs/>
          <w:lang w:val="en-GB"/>
        </w:rPr>
        <w:t xml:space="preserve">shown in the submission and the DUSC review – </w:t>
      </w:r>
      <w:r w:rsidR="00803570">
        <w:rPr>
          <w:bCs/>
          <w:lang w:val="en-GB"/>
        </w:rPr>
        <w:t xml:space="preserve">could </w:t>
      </w:r>
      <w:r w:rsidR="00531886" w:rsidRPr="00B35517">
        <w:rPr>
          <w:bCs/>
          <w:lang w:val="en-GB"/>
        </w:rPr>
        <w:t>not</w:t>
      </w:r>
      <w:r w:rsidR="00803570">
        <w:rPr>
          <w:bCs/>
          <w:lang w:val="en-GB"/>
        </w:rPr>
        <w:t xml:space="preserve"> be assumed to be</w:t>
      </w:r>
      <w:r w:rsidR="00531886" w:rsidRPr="00B35517">
        <w:rPr>
          <w:bCs/>
          <w:lang w:val="en-GB"/>
        </w:rPr>
        <w:t xml:space="preserve"> cost-effective</w:t>
      </w:r>
      <w:r w:rsidR="008A342A" w:rsidRPr="00B35517">
        <w:rPr>
          <w:bCs/>
          <w:lang w:val="en-GB"/>
        </w:rPr>
        <w:t>.</w:t>
      </w:r>
      <w:r w:rsidR="0041419F" w:rsidRPr="00B35517">
        <w:rPr>
          <w:bCs/>
          <w:lang w:val="en-GB"/>
        </w:rPr>
        <w:t xml:space="preserve"> </w:t>
      </w:r>
      <w:r w:rsidR="0041419F" w:rsidRPr="007616DB">
        <w:rPr>
          <w:bCs/>
          <w:lang w:val="en-GB"/>
        </w:rPr>
        <w:t>Consequently, the PBAC could find no basis for recommending listing the FDC cost-minimised to its individual components.</w:t>
      </w:r>
    </w:p>
    <w:p w:rsidR="001C552A" w:rsidRDefault="001C552A" w:rsidP="001C552A">
      <w:pPr>
        <w:pStyle w:val="ListParagraph"/>
        <w:rPr>
          <w:bCs/>
          <w:lang w:val="en-GB"/>
        </w:rPr>
      </w:pPr>
    </w:p>
    <w:p w:rsidR="001C552A" w:rsidRPr="008F5BEE" w:rsidRDefault="001C552A" w:rsidP="008F5BEE">
      <w:pPr>
        <w:widowControl/>
        <w:numPr>
          <w:ilvl w:val="1"/>
          <w:numId w:val="1"/>
        </w:numPr>
        <w:contextualSpacing/>
      </w:pPr>
      <w:r>
        <w:rPr>
          <w:bCs/>
          <w:lang w:val="en-GB"/>
        </w:rPr>
        <w:t>As noted above, the PBAC also did not ac</w:t>
      </w:r>
      <w:r w:rsidR="00103DD6">
        <w:rPr>
          <w:bCs/>
          <w:lang w:val="en-GB"/>
        </w:rPr>
        <w:t>cept that the clinical comparis</w:t>
      </w:r>
      <w:r>
        <w:rPr>
          <w:bCs/>
          <w:lang w:val="en-GB"/>
        </w:rPr>
        <w:t>ons</w:t>
      </w:r>
      <w:r w:rsidR="00296245">
        <w:rPr>
          <w:bCs/>
          <w:lang w:val="en-GB"/>
        </w:rPr>
        <w:t xml:space="preserve"> presented</w:t>
      </w:r>
      <w:r>
        <w:rPr>
          <w:bCs/>
          <w:lang w:val="en-GB"/>
        </w:rPr>
        <w:t xml:space="preserve"> against insulin glargine or exenatide</w:t>
      </w:r>
      <w:r w:rsidR="00296245">
        <w:rPr>
          <w:bCs/>
          <w:lang w:val="en-GB"/>
        </w:rPr>
        <w:t xml:space="preserve"> demonstrated the noninferiority of the FDC against either of these potential comparators. As a result the economic comparisons against exenatide and insulin glargine were not considered informative for decision making. </w:t>
      </w:r>
      <w:r w:rsidR="008F5BEE">
        <w:t>T</w:t>
      </w:r>
      <w:r w:rsidR="008F5BEE" w:rsidRPr="00694BCD">
        <w:t xml:space="preserve">he PBAC </w:t>
      </w:r>
      <w:r w:rsidR="00F507B8">
        <w:t>did note</w:t>
      </w:r>
      <w:r w:rsidR="008F5BEE" w:rsidRPr="00694BCD">
        <w:t xml:space="preserve"> </w:t>
      </w:r>
      <w:r w:rsidR="008F5BEE">
        <w:t>that the</w:t>
      </w:r>
      <w:r w:rsidR="008F5BEE" w:rsidRPr="00694BCD">
        <w:t xml:space="preserve"> ESC had a number of concerns with each comparison</w:t>
      </w:r>
      <w:r w:rsidR="008F5BEE">
        <w:t>, and considered that each issue would need to be adequately addressed if these comparisons were to be included in any future submission</w:t>
      </w:r>
      <w:r w:rsidR="008F5BEE" w:rsidRPr="00694BCD">
        <w:t>.</w:t>
      </w:r>
    </w:p>
    <w:p w:rsidR="00CF477A" w:rsidRPr="00CF477A" w:rsidRDefault="00CF477A" w:rsidP="00CF477A">
      <w:pPr>
        <w:pStyle w:val="ListParagraph"/>
        <w:rPr>
          <w:bCs/>
          <w:color w:val="0070C0"/>
          <w:lang w:val="en-GB"/>
        </w:rPr>
      </w:pPr>
    </w:p>
    <w:p w:rsidR="00F61C9F" w:rsidRPr="005B674E" w:rsidRDefault="00F61C9F" w:rsidP="008F5BEE">
      <w:pPr>
        <w:numPr>
          <w:ilvl w:val="1"/>
          <w:numId w:val="1"/>
        </w:numPr>
        <w:rPr>
          <w:bCs/>
          <w:lang w:val="en-GB"/>
        </w:rPr>
      </w:pPr>
      <w:r w:rsidRPr="00C21153">
        <w:rPr>
          <w:bCs/>
          <w:lang w:val="en-GB"/>
        </w:rPr>
        <w:t xml:space="preserve">In terms of the estimated utilisation and financial implications, </w:t>
      </w:r>
      <w:r w:rsidR="003C3A96" w:rsidRPr="00C21153">
        <w:rPr>
          <w:bCs/>
          <w:lang w:val="en-GB"/>
        </w:rPr>
        <w:t xml:space="preserve">the PBAC agreed with the DUSC’s overall advice that the utilisation and costings were unjustifiable and likely underestimated. </w:t>
      </w:r>
      <w:r w:rsidR="00B7649F" w:rsidRPr="00C21153">
        <w:rPr>
          <w:bCs/>
          <w:lang w:val="en-GB"/>
        </w:rPr>
        <w:t>Not only was use outside the requested restriction highly likely (see paragraphs 7.</w:t>
      </w:r>
      <w:r w:rsidR="007B1FAF" w:rsidRPr="00C21153">
        <w:rPr>
          <w:bCs/>
          <w:lang w:val="en-GB"/>
        </w:rPr>
        <w:t xml:space="preserve">3 </w:t>
      </w:r>
      <w:r w:rsidR="00B7649F" w:rsidRPr="00C21153">
        <w:rPr>
          <w:bCs/>
          <w:lang w:val="en-GB"/>
        </w:rPr>
        <w:t>and 7.</w:t>
      </w:r>
      <w:r w:rsidR="007B1FAF" w:rsidRPr="00C21153">
        <w:rPr>
          <w:bCs/>
          <w:lang w:val="en-GB"/>
        </w:rPr>
        <w:t>4</w:t>
      </w:r>
      <w:r w:rsidR="00B7649F" w:rsidRPr="00C21153">
        <w:rPr>
          <w:bCs/>
          <w:lang w:val="en-GB"/>
        </w:rPr>
        <w:t xml:space="preserve">), the PBAC also noted that not all relevant markets that the FDC </w:t>
      </w:r>
      <w:r w:rsidR="003A3891" w:rsidRPr="00C21153">
        <w:rPr>
          <w:bCs/>
          <w:lang w:val="en-GB"/>
        </w:rPr>
        <w:t>would</w:t>
      </w:r>
      <w:r w:rsidR="00B7649F" w:rsidRPr="00C21153">
        <w:rPr>
          <w:bCs/>
          <w:lang w:val="en-GB"/>
        </w:rPr>
        <w:t xml:space="preserve"> substitute for were considered</w:t>
      </w:r>
      <w:r w:rsidR="00B7649F">
        <w:rPr>
          <w:bCs/>
          <w:lang w:val="en-GB"/>
        </w:rPr>
        <w:t xml:space="preserve"> by the submission, and that cost-offsets were overestimated for both the medicines substituted and the treatment of hypoglycaemia. As a result of</w:t>
      </w:r>
      <w:r w:rsidR="003A3891">
        <w:rPr>
          <w:bCs/>
          <w:lang w:val="en-GB"/>
        </w:rPr>
        <w:t xml:space="preserve"> </w:t>
      </w:r>
      <w:r w:rsidR="00B7649F">
        <w:rPr>
          <w:bCs/>
          <w:lang w:val="en-GB"/>
        </w:rPr>
        <w:t xml:space="preserve">the overestimate of cost-offsets in particular, the PBAC agreed with the DUSC that the total cost to the PBS/RPBS is likely to </w:t>
      </w:r>
      <w:r w:rsidR="00F17BA1">
        <w:rPr>
          <w:bCs/>
          <w:lang w:val="en-GB"/>
        </w:rPr>
        <w:t>higher than predicted</w:t>
      </w:r>
      <w:r w:rsidR="00B7649F">
        <w:rPr>
          <w:bCs/>
          <w:lang w:val="en-GB"/>
        </w:rPr>
        <w:t>.</w:t>
      </w:r>
    </w:p>
    <w:p w:rsidR="00F61C9F" w:rsidRDefault="00F61C9F" w:rsidP="00F61C9F">
      <w:pPr>
        <w:pStyle w:val="ListParagraph"/>
        <w:rPr>
          <w:bCs/>
          <w:color w:val="0070C0"/>
          <w:lang w:val="en-GB"/>
        </w:rPr>
      </w:pPr>
    </w:p>
    <w:p w:rsidR="00713811" w:rsidRPr="00AF1DA4" w:rsidRDefault="00713811" w:rsidP="008F5BEE">
      <w:pPr>
        <w:numPr>
          <w:ilvl w:val="1"/>
          <w:numId w:val="1"/>
        </w:numPr>
        <w:rPr>
          <w:bCs/>
          <w:color w:val="0070C0"/>
          <w:lang w:val="en-GB"/>
        </w:rPr>
      </w:pPr>
      <w:r w:rsidRPr="00AF1DA4">
        <w:rPr>
          <w:bCs/>
          <w:lang w:val="en-GB"/>
        </w:rPr>
        <w:t xml:space="preserve">Although the PBAC could find no basis in this submission for recommending the listing of the </w:t>
      </w:r>
      <w:r w:rsidR="00C21153">
        <w:rPr>
          <w:szCs w:val="22"/>
        </w:rPr>
        <w:t>e</w:t>
      </w:r>
      <w:r w:rsidR="00C21153" w:rsidRPr="00C15E26">
        <w:rPr>
          <w:szCs w:val="22"/>
        </w:rPr>
        <w:t>mpagliflozin</w:t>
      </w:r>
      <w:r w:rsidRPr="00AF1DA4">
        <w:rPr>
          <w:bCs/>
          <w:lang w:val="en-GB"/>
        </w:rPr>
        <w:t xml:space="preserve"> with linagliptin FDC on the PBS, it was nonetheless of the view that the drug may provide a clinical effect in some populations. The PBAC expressed that it would welcome a future submission</w:t>
      </w:r>
      <w:r w:rsidR="00475CA0" w:rsidRPr="00AF1DA4">
        <w:rPr>
          <w:bCs/>
          <w:lang w:val="en-GB"/>
        </w:rPr>
        <w:t xml:space="preserve"> </w:t>
      </w:r>
      <w:r w:rsidR="006A7F1A" w:rsidRPr="00AF1DA4">
        <w:rPr>
          <w:bCs/>
          <w:lang w:val="en-GB"/>
        </w:rPr>
        <w:t xml:space="preserve">with adequate justification of a </w:t>
      </w:r>
      <w:r w:rsidR="00F73ADF">
        <w:rPr>
          <w:bCs/>
          <w:lang w:val="en-GB"/>
        </w:rPr>
        <w:t>clearly defined</w:t>
      </w:r>
      <w:r w:rsidR="006A7F1A" w:rsidRPr="00AF1DA4">
        <w:rPr>
          <w:bCs/>
          <w:lang w:val="en-GB"/>
        </w:rPr>
        <w:t xml:space="preserve"> patient population, with an implementable restriction and justifiable costings.</w:t>
      </w:r>
      <w:r w:rsidR="008925E1">
        <w:rPr>
          <w:bCs/>
          <w:lang w:val="en-GB"/>
        </w:rPr>
        <w:t xml:space="preserve"> For example, t</w:t>
      </w:r>
      <w:r w:rsidR="00F73ADF">
        <w:rPr>
          <w:bCs/>
          <w:lang w:val="en-GB"/>
        </w:rPr>
        <w:t xml:space="preserve">he PBAC considered that an application </w:t>
      </w:r>
      <w:r w:rsidR="008925E1">
        <w:rPr>
          <w:bCs/>
          <w:lang w:val="en-GB"/>
        </w:rPr>
        <w:t>for</w:t>
      </w:r>
      <w:r w:rsidR="00F73ADF">
        <w:rPr>
          <w:bCs/>
          <w:lang w:val="en-GB"/>
        </w:rPr>
        <w:t xml:space="preserve"> a written Authority Required </w:t>
      </w:r>
      <w:r w:rsidR="008925E1">
        <w:rPr>
          <w:bCs/>
          <w:lang w:val="en-GB"/>
        </w:rPr>
        <w:t xml:space="preserve">PBS </w:t>
      </w:r>
      <w:r w:rsidR="00F73ADF">
        <w:rPr>
          <w:bCs/>
          <w:lang w:val="en-GB"/>
        </w:rPr>
        <w:t xml:space="preserve">listing for use as first-line treatment of patients with T2DM and moderate renal impairment might be one way forward. </w:t>
      </w:r>
      <w:r w:rsidR="008925E1">
        <w:rPr>
          <w:bCs/>
          <w:lang w:val="en-GB"/>
        </w:rPr>
        <w:t>The PBAC formed this view noting that</w:t>
      </w:r>
      <w:r w:rsidR="00803570">
        <w:rPr>
          <w:bCs/>
          <w:lang w:val="en-GB"/>
        </w:rPr>
        <w:t xml:space="preserve"> it was likely</w:t>
      </w:r>
      <w:r w:rsidR="008925E1">
        <w:rPr>
          <w:bCs/>
          <w:lang w:val="en-GB"/>
        </w:rPr>
        <w:t xml:space="preserve"> such a population </w:t>
      </w:r>
      <w:r w:rsidR="00803570">
        <w:rPr>
          <w:bCs/>
          <w:lang w:val="en-GB"/>
        </w:rPr>
        <w:t xml:space="preserve">could </w:t>
      </w:r>
      <w:r w:rsidR="008925E1">
        <w:rPr>
          <w:bCs/>
          <w:lang w:val="en-GB"/>
        </w:rPr>
        <w:t xml:space="preserve">be clearly defined, </w:t>
      </w:r>
      <w:r w:rsidR="001C552A">
        <w:rPr>
          <w:bCs/>
          <w:lang w:val="en-GB"/>
        </w:rPr>
        <w:t>and has a</w:t>
      </w:r>
      <w:r w:rsidR="008925E1">
        <w:rPr>
          <w:bCs/>
          <w:lang w:val="en-GB"/>
        </w:rPr>
        <w:t xml:space="preserve"> high need for oral treatment options without metformin or sulfonylureas, and that estimated utilisation and costings for such a listing could be well justified.  </w:t>
      </w:r>
      <w:r w:rsidR="00AD4F17">
        <w:rPr>
          <w:bCs/>
          <w:lang w:val="en-GB"/>
        </w:rPr>
        <w:t>Another way forward would be a resubmission that did not restrict use of the FDC to patients with contraindications/intolerance to sulfonylurea therapy.</w:t>
      </w:r>
    </w:p>
    <w:p w:rsidR="00AF1DA4" w:rsidRPr="00AF1DA4" w:rsidRDefault="00AF1DA4" w:rsidP="00AF1DA4">
      <w:pPr>
        <w:rPr>
          <w:bCs/>
          <w:color w:val="0070C0"/>
          <w:lang w:val="en-GB"/>
        </w:rPr>
      </w:pPr>
    </w:p>
    <w:p w:rsidR="006D74A1" w:rsidRPr="00567204" w:rsidRDefault="006D74A1" w:rsidP="008F5BEE">
      <w:pPr>
        <w:numPr>
          <w:ilvl w:val="1"/>
          <w:numId w:val="1"/>
        </w:numPr>
        <w:rPr>
          <w:bCs/>
          <w:lang w:val="en-GB"/>
        </w:rPr>
      </w:pPr>
      <w:r w:rsidRPr="00567204">
        <w:rPr>
          <w:bCs/>
          <w:lang w:val="en-GB"/>
        </w:rPr>
        <w:t xml:space="preserve">The PBAC noted that this submission is eligible for an Independent Review. </w:t>
      </w:r>
    </w:p>
    <w:p w:rsidR="006D74A1" w:rsidRPr="0069654D" w:rsidRDefault="006D74A1" w:rsidP="006D74A1">
      <w:pPr>
        <w:rPr>
          <w:b/>
          <w:bCs/>
          <w:highlight w:val="yellow"/>
          <w:lang w:val="en-GB"/>
        </w:rPr>
      </w:pPr>
    </w:p>
    <w:p w:rsidR="006D74A1" w:rsidRPr="0030158A" w:rsidRDefault="006D74A1" w:rsidP="0030158A">
      <w:pPr>
        <w:pStyle w:val="Heading3"/>
        <w:widowControl/>
        <w:rPr>
          <w:i w:val="0"/>
        </w:rPr>
      </w:pPr>
      <w:r w:rsidRPr="0030158A">
        <w:rPr>
          <w:i w:val="0"/>
        </w:rPr>
        <w:t>Outcome:</w:t>
      </w:r>
    </w:p>
    <w:p w:rsidR="006D74A1" w:rsidRPr="00567204" w:rsidRDefault="006D74A1" w:rsidP="006D74A1">
      <w:pPr>
        <w:rPr>
          <w:bCs/>
          <w:lang w:val="en-GB"/>
        </w:rPr>
      </w:pPr>
      <w:r w:rsidRPr="00567204">
        <w:rPr>
          <w:bCs/>
          <w:lang w:val="en-GB"/>
        </w:rPr>
        <w:t>Rejected</w:t>
      </w:r>
    </w:p>
    <w:p w:rsidR="00A52A8F" w:rsidRPr="0069654D" w:rsidRDefault="00A52A8F" w:rsidP="006D74A1">
      <w:pPr>
        <w:rPr>
          <w:bCs/>
          <w:highlight w:val="yellow"/>
          <w:lang w:val="en-GB"/>
        </w:rPr>
      </w:pPr>
    </w:p>
    <w:p w:rsidR="00EC07D1" w:rsidRPr="00B0280B" w:rsidRDefault="00EC07D1" w:rsidP="00EC07D1">
      <w:pPr>
        <w:pStyle w:val="PBACHeading1"/>
        <w:ind w:left="709" w:hanging="709"/>
        <w:outlineLvl w:val="0"/>
      </w:pPr>
      <w:r w:rsidRPr="00485DD3">
        <w:t>Context for Decision</w:t>
      </w:r>
    </w:p>
    <w:p w:rsidR="00EC07D1" w:rsidRDefault="00EC07D1" w:rsidP="00EC07D1">
      <w:pPr>
        <w:ind w:left="426"/>
      </w:pPr>
    </w:p>
    <w:p w:rsidR="00EC07D1" w:rsidRDefault="00EC07D1" w:rsidP="00EC07D1">
      <w:pPr>
        <w:ind w:left="709"/>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52A8F" w:rsidRDefault="00A52A8F" w:rsidP="00EC07D1">
      <w:pPr>
        <w:ind w:left="426"/>
      </w:pPr>
    </w:p>
    <w:p w:rsidR="00EC07D1" w:rsidRPr="00B0280B" w:rsidRDefault="00EC07D1" w:rsidP="00EC07D1">
      <w:pPr>
        <w:pStyle w:val="PBACHeading1"/>
        <w:ind w:left="709" w:hanging="709"/>
        <w:outlineLvl w:val="0"/>
      </w:pPr>
      <w:r w:rsidRPr="00485DD3">
        <w:t>Sponsor’s Comment</w:t>
      </w:r>
    </w:p>
    <w:p w:rsidR="00EC07D1" w:rsidRDefault="00EC07D1" w:rsidP="00EC07D1">
      <w:pPr>
        <w:ind w:left="426"/>
        <w:rPr>
          <w:bCs/>
          <w:highlight w:val="yellow"/>
          <w:lang w:val="en-GB"/>
        </w:rPr>
      </w:pPr>
    </w:p>
    <w:p w:rsidR="006D74A1" w:rsidRPr="0069654D" w:rsidRDefault="00EC07D1" w:rsidP="008F01EC">
      <w:pPr>
        <w:spacing w:after="120"/>
        <w:ind w:left="426" w:firstLine="283"/>
        <w:rPr>
          <w:b/>
          <w:bCs/>
          <w:highlight w:val="yellow"/>
        </w:rPr>
      </w:pPr>
      <w:r w:rsidRPr="003035CC">
        <w:rPr>
          <w:bCs/>
        </w:rPr>
        <w:t>The sponsor had no comment.</w:t>
      </w:r>
    </w:p>
    <w:sectPr w:rsidR="006D74A1" w:rsidRPr="0069654D" w:rsidSect="00C6497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441494" w15:done="0"/>
  <w15:commentEx w15:paraId="772EF60E" w15:done="0"/>
  <w15:commentEx w15:paraId="33897974" w15:done="0"/>
  <w15:commentEx w15:paraId="62BDB8A0" w15:done="0"/>
  <w15:commentEx w15:paraId="71E32387" w15:done="0"/>
  <w15:commentEx w15:paraId="0BE95752" w15:paraIdParent="71E32387" w15:done="0"/>
  <w15:commentEx w15:paraId="2AABAEE4" w15:done="0"/>
  <w15:commentEx w15:paraId="523F3865" w15:done="0"/>
  <w15:commentEx w15:paraId="2449ED1B" w15:done="0"/>
  <w15:commentEx w15:paraId="32456752" w15:done="0"/>
  <w15:commentEx w15:paraId="0EE4AF1E" w15:done="0"/>
  <w15:commentEx w15:paraId="53F2A413" w15:done="0"/>
  <w15:commentEx w15:paraId="3CCD8866" w15:done="0"/>
  <w15:commentEx w15:paraId="1C653163" w15:done="0"/>
  <w15:commentEx w15:paraId="178FFDC8" w15:done="0"/>
  <w15:commentEx w15:paraId="15E951B1" w15:done="0"/>
  <w15:commentEx w15:paraId="35BF99BB" w15:done="0"/>
  <w15:commentEx w15:paraId="6BF8362B" w15:done="0"/>
  <w15:commentEx w15:paraId="6C9F9BA7" w15:done="0"/>
  <w15:commentEx w15:paraId="34825907" w15:done="0"/>
  <w15:commentEx w15:paraId="1C69915F" w15:done="0"/>
  <w15:commentEx w15:paraId="4A058736" w15:done="0"/>
  <w15:commentEx w15:paraId="3828EE02" w15:done="0"/>
  <w15:commentEx w15:paraId="6E0BCFF7" w15:done="0"/>
  <w15:commentEx w15:paraId="01FBA6F3" w15:done="0"/>
  <w15:commentEx w15:paraId="7A4B9DF9" w15:done="0"/>
  <w15:commentEx w15:paraId="6D01E64B" w15:done="0"/>
  <w15:commentEx w15:paraId="72900D26" w15:done="0"/>
  <w15:commentEx w15:paraId="684FC530" w15:done="0"/>
  <w15:commentEx w15:paraId="49B70173" w15:done="0"/>
  <w15:commentEx w15:paraId="2BC40428" w15:done="0"/>
  <w15:commentEx w15:paraId="7FCEC6B7" w15:done="0"/>
  <w15:commentEx w15:paraId="7E09ECB8" w15:done="0"/>
  <w15:commentEx w15:paraId="4046DEDD" w15:done="0"/>
  <w15:commentEx w15:paraId="0723B0B9" w15:done="0"/>
  <w15:commentEx w15:paraId="69DC124D" w15:done="0"/>
  <w15:commentEx w15:paraId="1C273EFA" w15:done="0"/>
  <w15:commentEx w15:paraId="541263FC" w15:done="0"/>
  <w15:commentEx w15:paraId="5885F74F" w15:done="0"/>
  <w15:commentEx w15:paraId="27844722" w15:done="0"/>
  <w15:commentEx w15:paraId="20922EFF" w15:done="0"/>
  <w15:commentEx w15:paraId="60296CE4" w15:done="0"/>
  <w15:commentEx w15:paraId="7334F94F" w15:done="0"/>
  <w15:commentEx w15:paraId="23A9C2C0" w15:done="0"/>
  <w15:commentEx w15:paraId="62EA9E79" w15:done="0"/>
  <w15:commentEx w15:paraId="12D07464" w15:done="0"/>
  <w15:commentEx w15:paraId="5CB696CD" w15:done="0"/>
  <w15:commentEx w15:paraId="5A900130" w15:done="0"/>
  <w15:commentEx w15:paraId="02C9ED6F" w15:done="0"/>
  <w15:commentEx w15:paraId="14939374" w15:done="0"/>
  <w15:commentEx w15:paraId="5B5E94F8" w15:paraIdParent="14939374" w15:done="0"/>
  <w15:commentEx w15:paraId="7D51B592" w15:done="0"/>
  <w15:commentEx w15:paraId="41282E3D" w15:done="0"/>
  <w15:commentEx w15:paraId="2415BCCC" w15:done="0"/>
  <w15:commentEx w15:paraId="23CCEB44" w15:paraIdParent="2415BCCC" w15:done="0"/>
  <w15:commentEx w15:paraId="65FD1AAE" w15:done="0"/>
  <w15:commentEx w15:paraId="04505098" w15:paraIdParent="65FD1AAE" w15:done="0"/>
  <w15:commentEx w15:paraId="73C2DDF2" w15:done="0"/>
  <w15:commentEx w15:paraId="5D0CFA5E" w15:paraIdParent="73C2DDF2" w15:done="0"/>
  <w15:commentEx w15:paraId="6502FA8F" w15:done="0"/>
  <w15:commentEx w15:paraId="45ED1684" w15:done="0"/>
  <w15:commentEx w15:paraId="7D6C8C46" w15:done="0"/>
  <w15:commentEx w15:paraId="52D13290" w15:done="0"/>
  <w15:commentEx w15:paraId="332C4A01" w15:done="0"/>
  <w15:commentEx w15:paraId="15E25170" w15:done="0"/>
  <w15:commentEx w15:paraId="1B846E35" w15:done="0"/>
  <w15:commentEx w15:paraId="7663ACB1" w15:done="0"/>
  <w15:commentEx w15:paraId="14ED022C" w15:done="0"/>
  <w15:commentEx w15:paraId="7A0EFB26" w15:done="0"/>
  <w15:commentEx w15:paraId="43EC2F9A" w15:done="0"/>
  <w15:commentEx w15:paraId="7BB7E1FC" w15:done="0"/>
  <w15:commentEx w15:paraId="79F1906F" w15:done="0"/>
  <w15:commentEx w15:paraId="70567939" w15:done="0"/>
  <w15:commentEx w15:paraId="433EE0FE" w15:done="0"/>
  <w15:commentEx w15:paraId="474D7B80" w15:done="0"/>
  <w15:commentEx w15:paraId="2C163720" w15:paraIdParent="474D7B80" w15:done="0"/>
  <w15:commentEx w15:paraId="5EA2DE8D" w15:done="0"/>
  <w15:commentEx w15:paraId="4E8B308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399" w:rsidRDefault="00505399" w:rsidP="00124A51">
      <w:r>
        <w:separator/>
      </w:r>
    </w:p>
  </w:endnote>
  <w:endnote w:type="continuationSeparator" w:id="0">
    <w:p w:rsidR="00505399" w:rsidRDefault="00505399"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00"/>
    <w:family w:val="swiss"/>
    <w:pitch w:val="variable"/>
    <w:sig w:usb0="A00002EF" w:usb1="4000A44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399" w:rsidRDefault="005053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B47" w:rsidRPr="00C15E26" w:rsidRDefault="00EB5B47" w:rsidP="00C15E26">
    <w:pPr>
      <w:pStyle w:val="Footer"/>
      <w:tabs>
        <w:tab w:val="left" w:pos="4469"/>
        <w:tab w:val="center" w:pos="4608"/>
      </w:tabs>
      <w:ind w:left="360"/>
      <w:jc w:val="left"/>
      <w:rPr>
        <w:sz w:val="20"/>
      </w:rPr>
    </w:pPr>
    <w:r>
      <w:rPr>
        <w:sz w:val="20"/>
      </w:rPr>
      <w:tab/>
    </w:r>
    <w:r>
      <w:rPr>
        <w:sz w:val="20"/>
      </w:rPr>
      <w:tab/>
    </w:r>
    <w:r>
      <w:rPr>
        <w:sz w:val="20"/>
      </w:rPr>
      <w:tab/>
    </w:r>
    <w:r w:rsidRPr="00651169">
      <w:rPr>
        <w:sz w:val="20"/>
      </w:rPr>
      <w:fldChar w:fldCharType="begin"/>
    </w:r>
    <w:r w:rsidRPr="00651169">
      <w:rPr>
        <w:sz w:val="20"/>
      </w:rPr>
      <w:instrText xml:space="preserve"> PAGE   \* MERGEFORMAT </w:instrText>
    </w:r>
    <w:r w:rsidRPr="00651169">
      <w:rPr>
        <w:sz w:val="20"/>
      </w:rPr>
      <w:fldChar w:fldCharType="separate"/>
    </w:r>
    <w:r w:rsidR="00505399">
      <w:rPr>
        <w:noProof/>
        <w:sz w:val="20"/>
      </w:rPr>
      <w:t>20</w:t>
    </w:r>
    <w:r w:rsidRPr="00651169">
      <w:rP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399" w:rsidRDefault="005053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399" w:rsidRDefault="00505399" w:rsidP="00124A51">
      <w:r>
        <w:separator/>
      </w:r>
    </w:p>
  </w:footnote>
  <w:footnote w:type="continuationSeparator" w:id="0">
    <w:p w:rsidR="00505399" w:rsidRDefault="00505399" w:rsidP="00124A51">
      <w:r>
        <w:continuationSeparator/>
      </w:r>
    </w:p>
  </w:footnote>
  <w:footnote w:id="1">
    <w:p w:rsidR="00EB5B47" w:rsidRPr="001C477D" w:rsidRDefault="00EB5B47" w:rsidP="001C477D">
      <w:pPr>
        <w:pStyle w:val="FootnoteText"/>
        <w:jc w:val="left"/>
      </w:pPr>
      <w:r>
        <w:rPr>
          <w:rStyle w:val="FootnoteReference"/>
        </w:rPr>
        <w:footnoteRef/>
      </w:r>
      <w:r>
        <w:t xml:space="preserve"> “</w:t>
      </w:r>
      <w:r w:rsidRPr="001C477D">
        <w:rPr>
          <w:sz w:val="18"/>
          <w:szCs w:val="18"/>
        </w:rPr>
        <w:t>Type 2 diabetes: when metformin is not enough</w:t>
      </w:r>
      <w:r>
        <w:rPr>
          <w:sz w:val="18"/>
          <w:szCs w:val="18"/>
        </w:rPr>
        <w:t>”</w:t>
      </w:r>
      <w:r w:rsidRPr="001C477D">
        <w:rPr>
          <w:sz w:val="18"/>
          <w:szCs w:val="18"/>
        </w:rPr>
        <w:t xml:space="preserve">, </w:t>
      </w:r>
      <w:r w:rsidRPr="001C477D">
        <w:rPr>
          <w:i/>
          <w:sz w:val="18"/>
          <w:szCs w:val="18"/>
        </w:rPr>
        <w:t>National Prescribing Service</w:t>
      </w:r>
      <w:r w:rsidRPr="001C477D">
        <w:rPr>
          <w:sz w:val="18"/>
          <w:szCs w:val="18"/>
        </w:rPr>
        <w:t xml:space="preserve"> </w:t>
      </w:r>
      <w:r>
        <w:rPr>
          <w:i/>
          <w:sz w:val="18"/>
          <w:szCs w:val="18"/>
        </w:rPr>
        <w:t xml:space="preserve">Medicinewise News, </w:t>
      </w:r>
      <w:r>
        <w:rPr>
          <w:sz w:val="18"/>
          <w:szCs w:val="18"/>
        </w:rPr>
        <w:t xml:space="preserve">1 June 2016, available at: </w:t>
      </w:r>
      <w:hyperlink r:id="rId1" w:history="1">
        <w:r w:rsidRPr="00F46B29">
          <w:rPr>
            <w:rStyle w:val="Hyperlink"/>
            <w:sz w:val="18"/>
            <w:szCs w:val="18"/>
          </w:rPr>
          <w:t>http://www.nps.org.au/publications/health-professional/medicinewise-news/2016/diabetes</w:t>
        </w:r>
      </w:hyperlink>
      <w:r>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399" w:rsidRDefault="005053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B47" w:rsidRDefault="00EB5B47" w:rsidP="00EC07D1">
    <w:pPr>
      <w:pStyle w:val="Header"/>
      <w:jc w:val="center"/>
      <w:rPr>
        <w:i/>
        <w:color w:val="808080"/>
      </w:rPr>
    </w:pPr>
    <w:r>
      <w:rPr>
        <w:i/>
        <w:color w:val="808080"/>
      </w:rPr>
      <w:t xml:space="preserve">Public Summary Document </w:t>
    </w:r>
    <w:r w:rsidRPr="00DF217D">
      <w:rPr>
        <w:i/>
        <w:color w:val="808080"/>
      </w:rPr>
      <w:t xml:space="preserve">– </w:t>
    </w:r>
    <w:r>
      <w:rPr>
        <w:i/>
        <w:color w:val="808080"/>
      </w:rPr>
      <w:t xml:space="preserve">March 2017 </w:t>
    </w:r>
    <w:r w:rsidRPr="00DF217D">
      <w:rPr>
        <w:i/>
        <w:color w:val="808080"/>
      </w:rPr>
      <w:t>PBAC</w:t>
    </w:r>
    <w:r>
      <w:rPr>
        <w:i/>
        <w:color w:val="808080"/>
      </w:rPr>
      <w:t xml:space="preserve"> </w:t>
    </w:r>
    <w:r w:rsidRPr="00DF217D">
      <w:rPr>
        <w:i/>
        <w:color w:val="808080"/>
      </w:rPr>
      <w:t>Meeting</w:t>
    </w:r>
  </w:p>
  <w:p w:rsidR="00EB5B47" w:rsidRPr="00951C71" w:rsidRDefault="00EB5B47" w:rsidP="00EC07D1">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399" w:rsidRDefault="005053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0718"/>
    <w:multiLevelType w:val="hybridMultilevel"/>
    <w:tmpl w:val="A336C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BD4D9F"/>
    <w:multiLevelType w:val="hybridMultilevel"/>
    <w:tmpl w:val="2E62AC56"/>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3E1A2925"/>
    <w:multiLevelType w:val="hybridMultilevel"/>
    <w:tmpl w:val="2AFC7F92"/>
    <w:lvl w:ilvl="0" w:tplc="0C090001">
      <w:start w:val="1"/>
      <w:numFmt w:val="bullet"/>
      <w:lvlText w:val=""/>
      <w:lvlJc w:val="left"/>
      <w:pPr>
        <w:ind w:left="1440" w:hanging="360"/>
      </w:pPr>
      <w:rPr>
        <w:rFonts w:ascii="Symbol" w:hAnsi="Symbol" w:hint="default"/>
      </w:rPr>
    </w:lvl>
    <w:lvl w:ilvl="1" w:tplc="7054BD18">
      <w:numFmt w:val="bullet"/>
      <w:lvlText w:val="•"/>
      <w:lvlJc w:val="left"/>
      <w:pPr>
        <w:ind w:left="2520" w:hanging="720"/>
      </w:pPr>
      <w:rPr>
        <w:rFonts w:ascii="Arial" w:eastAsia="Times New Roman" w:hAnsi="Arial"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626453D9"/>
    <w:multiLevelType w:val="hybridMultilevel"/>
    <w:tmpl w:val="F6D02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F5C6DBC"/>
    <w:multiLevelType w:val="hybridMultilevel"/>
    <w:tmpl w:val="314C85B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
    <w:nsid w:val="784D033C"/>
    <w:multiLevelType w:val="multilevel"/>
    <w:tmpl w:val="F274E110"/>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le Lang">
    <w15:presenceInfo w15:providerId="AD" w15:userId="S-1-5-21-1451058757-1749049392-1947940980-40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68E"/>
    <w:rsid w:val="00000790"/>
    <w:rsid w:val="00000F76"/>
    <w:rsid w:val="0000110B"/>
    <w:rsid w:val="00003499"/>
    <w:rsid w:val="00003CD9"/>
    <w:rsid w:val="00003F30"/>
    <w:rsid w:val="000054E2"/>
    <w:rsid w:val="00006013"/>
    <w:rsid w:val="00006645"/>
    <w:rsid w:val="00006D21"/>
    <w:rsid w:val="00013247"/>
    <w:rsid w:val="000151CD"/>
    <w:rsid w:val="000157DD"/>
    <w:rsid w:val="00015886"/>
    <w:rsid w:val="00015F63"/>
    <w:rsid w:val="0001625E"/>
    <w:rsid w:val="000162EF"/>
    <w:rsid w:val="00016701"/>
    <w:rsid w:val="00017A33"/>
    <w:rsid w:val="00021872"/>
    <w:rsid w:val="0002225F"/>
    <w:rsid w:val="00023763"/>
    <w:rsid w:val="00023B2A"/>
    <w:rsid w:val="000247ED"/>
    <w:rsid w:val="000248AC"/>
    <w:rsid w:val="00025D9D"/>
    <w:rsid w:val="00025FCC"/>
    <w:rsid w:val="00031FB4"/>
    <w:rsid w:val="00034124"/>
    <w:rsid w:val="0003799F"/>
    <w:rsid w:val="00040895"/>
    <w:rsid w:val="0004090B"/>
    <w:rsid w:val="00040EF1"/>
    <w:rsid w:val="0004132A"/>
    <w:rsid w:val="00043C37"/>
    <w:rsid w:val="000452EE"/>
    <w:rsid w:val="0004534F"/>
    <w:rsid w:val="00045EDB"/>
    <w:rsid w:val="00047250"/>
    <w:rsid w:val="00050828"/>
    <w:rsid w:val="0005377C"/>
    <w:rsid w:val="000546D7"/>
    <w:rsid w:val="00054B33"/>
    <w:rsid w:val="0005578D"/>
    <w:rsid w:val="00055E70"/>
    <w:rsid w:val="00057C46"/>
    <w:rsid w:val="0006189C"/>
    <w:rsid w:val="00061C55"/>
    <w:rsid w:val="000627ED"/>
    <w:rsid w:val="00062808"/>
    <w:rsid w:val="000643EB"/>
    <w:rsid w:val="000661A5"/>
    <w:rsid w:val="0006687E"/>
    <w:rsid w:val="00070999"/>
    <w:rsid w:val="00070AF2"/>
    <w:rsid w:val="000710CB"/>
    <w:rsid w:val="00071248"/>
    <w:rsid w:val="000720B9"/>
    <w:rsid w:val="000742D5"/>
    <w:rsid w:val="00076688"/>
    <w:rsid w:val="0008032D"/>
    <w:rsid w:val="00080945"/>
    <w:rsid w:val="00080B2D"/>
    <w:rsid w:val="000810BB"/>
    <w:rsid w:val="000812CA"/>
    <w:rsid w:val="00083308"/>
    <w:rsid w:val="000871DF"/>
    <w:rsid w:val="00087B64"/>
    <w:rsid w:val="00087D6C"/>
    <w:rsid w:val="00090C7E"/>
    <w:rsid w:val="00092783"/>
    <w:rsid w:val="0009390D"/>
    <w:rsid w:val="0009395C"/>
    <w:rsid w:val="00094EC0"/>
    <w:rsid w:val="00094EFA"/>
    <w:rsid w:val="00095C13"/>
    <w:rsid w:val="00096F05"/>
    <w:rsid w:val="00096F8C"/>
    <w:rsid w:val="00097C8D"/>
    <w:rsid w:val="000A2943"/>
    <w:rsid w:val="000A3751"/>
    <w:rsid w:val="000A42C8"/>
    <w:rsid w:val="000A52EB"/>
    <w:rsid w:val="000A53F5"/>
    <w:rsid w:val="000A598F"/>
    <w:rsid w:val="000B347D"/>
    <w:rsid w:val="000B3497"/>
    <w:rsid w:val="000B3639"/>
    <w:rsid w:val="000B41ED"/>
    <w:rsid w:val="000B4DA6"/>
    <w:rsid w:val="000B5520"/>
    <w:rsid w:val="000B5E52"/>
    <w:rsid w:val="000B5FD0"/>
    <w:rsid w:val="000B62FD"/>
    <w:rsid w:val="000B7068"/>
    <w:rsid w:val="000B7C35"/>
    <w:rsid w:val="000C2D35"/>
    <w:rsid w:val="000C3D2E"/>
    <w:rsid w:val="000C40EC"/>
    <w:rsid w:val="000C4263"/>
    <w:rsid w:val="000C5ACB"/>
    <w:rsid w:val="000C7B64"/>
    <w:rsid w:val="000C7DA2"/>
    <w:rsid w:val="000D00A5"/>
    <w:rsid w:val="000D03CE"/>
    <w:rsid w:val="000D03E0"/>
    <w:rsid w:val="000D0A93"/>
    <w:rsid w:val="000D1BFC"/>
    <w:rsid w:val="000D27B1"/>
    <w:rsid w:val="000D3100"/>
    <w:rsid w:val="000D3D07"/>
    <w:rsid w:val="000D57E1"/>
    <w:rsid w:val="000D626C"/>
    <w:rsid w:val="000D77D4"/>
    <w:rsid w:val="000E23DB"/>
    <w:rsid w:val="000E3620"/>
    <w:rsid w:val="000E3F3C"/>
    <w:rsid w:val="000E7577"/>
    <w:rsid w:val="000E7EE7"/>
    <w:rsid w:val="000F0728"/>
    <w:rsid w:val="000F1002"/>
    <w:rsid w:val="000F205F"/>
    <w:rsid w:val="000F4BB8"/>
    <w:rsid w:val="000F5BA5"/>
    <w:rsid w:val="000F6AFA"/>
    <w:rsid w:val="000F7127"/>
    <w:rsid w:val="000F74ED"/>
    <w:rsid w:val="000F7BD8"/>
    <w:rsid w:val="00100F8A"/>
    <w:rsid w:val="00102ADC"/>
    <w:rsid w:val="00103DD6"/>
    <w:rsid w:val="00104AED"/>
    <w:rsid w:val="001071FF"/>
    <w:rsid w:val="0011032E"/>
    <w:rsid w:val="001124FA"/>
    <w:rsid w:val="0011348B"/>
    <w:rsid w:val="00113B98"/>
    <w:rsid w:val="0011449F"/>
    <w:rsid w:val="00114DE1"/>
    <w:rsid w:val="00114E32"/>
    <w:rsid w:val="00115554"/>
    <w:rsid w:val="001169B9"/>
    <w:rsid w:val="00116B8C"/>
    <w:rsid w:val="00120B77"/>
    <w:rsid w:val="00121319"/>
    <w:rsid w:val="00121799"/>
    <w:rsid w:val="001221F1"/>
    <w:rsid w:val="001222FC"/>
    <w:rsid w:val="00123203"/>
    <w:rsid w:val="00124A51"/>
    <w:rsid w:val="0012556F"/>
    <w:rsid w:val="00126621"/>
    <w:rsid w:val="001301E9"/>
    <w:rsid w:val="00130EAC"/>
    <w:rsid w:val="00130F40"/>
    <w:rsid w:val="001320D6"/>
    <w:rsid w:val="00132AC5"/>
    <w:rsid w:val="0013307B"/>
    <w:rsid w:val="0013515D"/>
    <w:rsid w:val="00135D30"/>
    <w:rsid w:val="00137645"/>
    <w:rsid w:val="0014015A"/>
    <w:rsid w:val="00140E99"/>
    <w:rsid w:val="001433B5"/>
    <w:rsid w:val="001447BE"/>
    <w:rsid w:val="00144BC6"/>
    <w:rsid w:val="00145540"/>
    <w:rsid w:val="001456B0"/>
    <w:rsid w:val="00146182"/>
    <w:rsid w:val="00150E28"/>
    <w:rsid w:val="001511F0"/>
    <w:rsid w:val="001537C4"/>
    <w:rsid w:val="001538B0"/>
    <w:rsid w:val="001539DB"/>
    <w:rsid w:val="001543B1"/>
    <w:rsid w:val="00154D02"/>
    <w:rsid w:val="00156CB6"/>
    <w:rsid w:val="00157130"/>
    <w:rsid w:val="00161450"/>
    <w:rsid w:val="001614A4"/>
    <w:rsid w:val="00162913"/>
    <w:rsid w:val="00162E38"/>
    <w:rsid w:val="00163EFF"/>
    <w:rsid w:val="001643AD"/>
    <w:rsid w:val="00164D7C"/>
    <w:rsid w:val="00165E80"/>
    <w:rsid w:val="001661FB"/>
    <w:rsid w:val="00166E4B"/>
    <w:rsid w:val="00172DE8"/>
    <w:rsid w:val="0017678D"/>
    <w:rsid w:val="00177835"/>
    <w:rsid w:val="00177E1C"/>
    <w:rsid w:val="001802FD"/>
    <w:rsid w:val="001823C5"/>
    <w:rsid w:val="001831D7"/>
    <w:rsid w:val="00183577"/>
    <w:rsid w:val="00184A14"/>
    <w:rsid w:val="00185078"/>
    <w:rsid w:val="00186A7D"/>
    <w:rsid w:val="001870E4"/>
    <w:rsid w:val="0018752F"/>
    <w:rsid w:val="001901CA"/>
    <w:rsid w:val="00195222"/>
    <w:rsid w:val="00197025"/>
    <w:rsid w:val="001975D8"/>
    <w:rsid w:val="001A0EF1"/>
    <w:rsid w:val="001A214B"/>
    <w:rsid w:val="001A6E3C"/>
    <w:rsid w:val="001A7296"/>
    <w:rsid w:val="001A766E"/>
    <w:rsid w:val="001B01B5"/>
    <w:rsid w:val="001B030D"/>
    <w:rsid w:val="001B141E"/>
    <w:rsid w:val="001B3443"/>
    <w:rsid w:val="001B3C9D"/>
    <w:rsid w:val="001B4946"/>
    <w:rsid w:val="001B5361"/>
    <w:rsid w:val="001B6388"/>
    <w:rsid w:val="001B63B2"/>
    <w:rsid w:val="001B63FD"/>
    <w:rsid w:val="001B6420"/>
    <w:rsid w:val="001B6DED"/>
    <w:rsid w:val="001B6E4C"/>
    <w:rsid w:val="001B7E14"/>
    <w:rsid w:val="001C0619"/>
    <w:rsid w:val="001C075E"/>
    <w:rsid w:val="001C0946"/>
    <w:rsid w:val="001C1687"/>
    <w:rsid w:val="001C1A3E"/>
    <w:rsid w:val="001C38D0"/>
    <w:rsid w:val="001C3ACC"/>
    <w:rsid w:val="001C4283"/>
    <w:rsid w:val="001C477D"/>
    <w:rsid w:val="001C552A"/>
    <w:rsid w:val="001C6E66"/>
    <w:rsid w:val="001C7151"/>
    <w:rsid w:val="001C76EC"/>
    <w:rsid w:val="001D0166"/>
    <w:rsid w:val="001D08AD"/>
    <w:rsid w:val="001D0CF7"/>
    <w:rsid w:val="001D1BC5"/>
    <w:rsid w:val="001D3D9D"/>
    <w:rsid w:val="001D5A3A"/>
    <w:rsid w:val="001D6875"/>
    <w:rsid w:val="001D6D88"/>
    <w:rsid w:val="001D7EDB"/>
    <w:rsid w:val="001E0ECF"/>
    <w:rsid w:val="001E1B18"/>
    <w:rsid w:val="001E238E"/>
    <w:rsid w:val="001E2A86"/>
    <w:rsid w:val="001E2B1E"/>
    <w:rsid w:val="001E3E40"/>
    <w:rsid w:val="001E3EEA"/>
    <w:rsid w:val="001E44F3"/>
    <w:rsid w:val="001E52EB"/>
    <w:rsid w:val="001E5A77"/>
    <w:rsid w:val="001E6267"/>
    <w:rsid w:val="001E628A"/>
    <w:rsid w:val="001E62B8"/>
    <w:rsid w:val="001E6B91"/>
    <w:rsid w:val="001E740C"/>
    <w:rsid w:val="001E7A61"/>
    <w:rsid w:val="001F1011"/>
    <w:rsid w:val="001F1235"/>
    <w:rsid w:val="001F1570"/>
    <w:rsid w:val="001F16BC"/>
    <w:rsid w:val="001F1CB3"/>
    <w:rsid w:val="001F3652"/>
    <w:rsid w:val="001F4DC5"/>
    <w:rsid w:val="001F5842"/>
    <w:rsid w:val="001F627A"/>
    <w:rsid w:val="001F70AA"/>
    <w:rsid w:val="001F7361"/>
    <w:rsid w:val="002008D8"/>
    <w:rsid w:val="00201659"/>
    <w:rsid w:val="0020385F"/>
    <w:rsid w:val="002057F2"/>
    <w:rsid w:val="00207021"/>
    <w:rsid w:val="002075F7"/>
    <w:rsid w:val="00207D00"/>
    <w:rsid w:val="002105C1"/>
    <w:rsid w:val="00211938"/>
    <w:rsid w:val="00213320"/>
    <w:rsid w:val="00213893"/>
    <w:rsid w:val="002145E1"/>
    <w:rsid w:val="002146B3"/>
    <w:rsid w:val="00216324"/>
    <w:rsid w:val="002167F6"/>
    <w:rsid w:val="0022039B"/>
    <w:rsid w:val="0022122E"/>
    <w:rsid w:val="00221F8C"/>
    <w:rsid w:val="00222341"/>
    <w:rsid w:val="00222C21"/>
    <w:rsid w:val="002235C9"/>
    <w:rsid w:val="00223B49"/>
    <w:rsid w:val="002248C6"/>
    <w:rsid w:val="002249E5"/>
    <w:rsid w:val="00224DD4"/>
    <w:rsid w:val="00227C62"/>
    <w:rsid w:val="002309CC"/>
    <w:rsid w:val="00231C46"/>
    <w:rsid w:val="00232BA7"/>
    <w:rsid w:val="002346FC"/>
    <w:rsid w:val="00234AFD"/>
    <w:rsid w:val="0023511C"/>
    <w:rsid w:val="002370CE"/>
    <w:rsid w:val="00237201"/>
    <w:rsid w:val="00237288"/>
    <w:rsid w:val="002414DC"/>
    <w:rsid w:val="002424A7"/>
    <w:rsid w:val="00242FF5"/>
    <w:rsid w:val="002438A7"/>
    <w:rsid w:val="0024411D"/>
    <w:rsid w:val="0024485E"/>
    <w:rsid w:val="00246775"/>
    <w:rsid w:val="00246842"/>
    <w:rsid w:val="00246975"/>
    <w:rsid w:val="0024747D"/>
    <w:rsid w:val="00247E39"/>
    <w:rsid w:val="002502F5"/>
    <w:rsid w:val="00251A24"/>
    <w:rsid w:val="00252B2A"/>
    <w:rsid w:val="00252B88"/>
    <w:rsid w:val="00253F64"/>
    <w:rsid w:val="00254DBC"/>
    <w:rsid w:val="00254DCF"/>
    <w:rsid w:val="0025510F"/>
    <w:rsid w:val="0025534B"/>
    <w:rsid w:val="00255BB7"/>
    <w:rsid w:val="00257565"/>
    <w:rsid w:val="00257A87"/>
    <w:rsid w:val="00257D39"/>
    <w:rsid w:val="0026091B"/>
    <w:rsid w:val="00262A87"/>
    <w:rsid w:val="00263A5A"/>
    <w:rsid w:val="0026594A"/>
    <w:rsid w:val="002664D7"/>
    <w:rsid w:val="00266532"/>
    <w:rsid w:val="00267513"/>
    <w:rsid w:val="002708F5"/>
    <w:rsid w:val="00272886"/>
    <w:rsid w:val="0027383E"/>
    <w:rsid w:val="00275C5A"/>
    <w:rsid w:val="00281014"/>
    <w:rsid w:val="002819AF"/>
    <w:rsid w:val="00284C3F"/>
    <w:rsid w:val="00285179"/>
    <w:rsid w:val="00285ADD"/>
    <w:rsid w:val="00286818"/>
    <w:rsid w:val="002871FA"/>
    <w:rsid w:val="0028765A"/>
    <w:rsid w:val="00287B2E"/>
    <w:rsid w:val="00292742"/>
    <w:rsid w:val="00296245"/>
    <w:rsid w:val="00296396"/>
    <w:rsid w:val="00297F44"/>
    <w:rsid w:val="002A14AB"/>
    <w:rsid w:val="002A26F5"/>
    <w:rsid w:val="002A2B95"/>
    <w:rsid w:val="002A3CEE"/>
    <w:rsid w:val="002A4D8C"/>
    <w:rsid w:val="002A70BB"/>
    <w:rsid w:val="002B026E"/>
    <w:rsid w:val="002B1C1F"/>
    <w:rsid w:val="002B432F"/>
    <w:rsid w:val="002B479C"/>
    <w:rsid w:val="002B4D77"/>
    <w:rsid w:val="002B519E"/>
    <w:rsid w:val="002B5D26"/>
    <w:rsid w:val="002B5E22"/>
    <w:rsid w:val="002B698A"/>
    <w:rsid w:val="002B6CCE"/>
    <w:rsid w:val="002B6D3E"/>
    <w:rsid w:val="002B7311"/>
    <w:rsid w:val="002C20D9"/>
    <w:rsid w:val="002C2775"/>
    <w:rsid w:val="002C27C1"/>
    <w:rsid w:val="002C48A9"/>
    <w:rsid w:val="002C5ADD"/>
    <w:rsid w:val="002C7861"/>
    <w:rsid w:val="002D1F8F"/>
    <w:rsid w:val="002D225D"/>
    <w:rsid w:val="002D2BB8"/>
    <w:rsid w:val="002D3C7F"/>
    <w:rsid w:val="002D59D5"/>
    <w:rsid w:val="002D6081"/>
    <w:rsid w:val="002D6360"/>
    <w:rsid w:val="002D6736"/>
    <w:rsid w:val="002E0AEA"/>
    <w:rsid w:val="002E1C8F"/>
    <w:rsid w:val="002E35D0"/>
    <w:rsid w:val="002E3AE2"/>
    <w:rsid w:val="002E3CEF"/>
    <w:rsid w:val="002E4D97"/>
    <w:rsid w:val="002E6890"/>
    <w:rsid w:val="002F04F8"/>
    <w:rsid w:val="002F492E"/>
    <w:rsid w:val="002F5649"/>
    <w:rsid w:val="002F5E59"/>
    <w:rsid w:val="002F7073"/>
    <w:rsid w:val="002F73C6"/>
    <w:rsid w:val="00300442"/>
    <w:rsid w:val="00301017"/>
    <w:rsid w:val="0030158A"/>
    <w:rsid w:val="00304221"/>
    <w:rsid w:val="003047B0"/>
    <w:rsid w:val="003059DD"/>
    <w:rsid w:val="00306244"/>
    <w:rsid w:val="00306ABF"/>
    <w:rsid w:val="00306FB6"/>
    <w:rsid w:val="0030786C"/>
    <w:rsid w:val="0030799F"/>
    <w:rsid w:val="00307EED"/>
    <w:rsid w:val="0031031A"/>
    <w:rsid w:val="00310981"/>
    <w:rsid w:val="0031172D"/>
    <w:rsid w:val="00311F47"/>
    <w:rsid w:val="00314610"/>
    <w:rsid w:val="00315498"/>
    <w:rsid w:val="00320C70"/>
    <w:rsid w:val="0032185E"/>
    <w:rsid w:val="00322D50"/>
    <w:rsid w:val="00323684"/>
    <w:rsid w:val="00324959"/>
    <w:rsid w:val="003261B9"/>
    <w:rsid w:val="00327315"/>
    <w:rsid w:val="00327E4C"/>
    <w:rsid w:val="00330734"/>
    <w:rsid w:val="00330DCA"/>
    <w:rsid w:val="00332723"/>
    <w:rsid w:val="003341FB"/>
    <w:rsid w:val="003354AD"/>
    <w:rsid w:val="00335806"/>
    <w:rsid w:val="00335E81"/>
    <w:rsid w:val="003362C6"/>
    <w:rsid w:val="00336691"/>
    <w:rsid w:val="003366C9"/>
    <w:rsid w:val="003371B0"/>
    <w:rsid w:val="003372D3"/>
    <w:rsid w:val="00337D1D"/>
    <w:rsid w:val="003404ED"/>
    <w:rsid w:val="003415B2"/>
    <w:rsid w:val="00341D20"/>
    <w:rsid w:val="003427B8"/>
    <w:rsid w:val="00342FD1"/>
    <w:rsid w:val="00344959"/>
    <w:rsid w:val="003455E9"/>
    <w:rsid w:val="00345B64"/>
    <w:rsid w:val="00346032"/>
    <w:rsid w:val="00346505"/>
    <w:rsid w:val="003504CF"/>
    <w:rsid w:val="00350B8A"/>
    <w:rsid w:val="00351381"/>
    <w:rsid w:val="00354833"/>
    <w:rsid w:val="00354987"/>
    <w:rsid w:val="00355F24"/>
    <w:rsid w:val="0035620E"/>
    <w:rsid w:val="003604A9"/>
    <w:rsid w:val="00360A06"/>
    <w:rsid w:val="003616F9"/>
    <w:rsid w:val="003618CC"/>
    <w:rsid w:val="00361DCD"/>
    <w:rsid w:val="00363817"/>
    <w:rsid w:val="003643B0"/>
    <w:rsid w:val="00364C53"/>
    <w:rsid w:val="00366286"/>
    <w:rsid w:val="0036630C"/>
    <w:rsid w:val="003664EC"/>
    <w:rsid w:val="00366D0A"/>
    <w:rsid w:val="003676C8"/>
    <w:rsid w:val="0037079C"/>
    <w:rsid w:val="00372907"/>
    <w:rsid w:val="00372C39"/>
    <w:rsid w:val="00374FE7"/>
    <w:rsid w:val="00375D6B"/>
    <w:rsid w:val="00376BB1"/>
    <w:rsid w:val="003779AB"/>
    <w:rsid w:val="00381D4E"/>
    <w:rsid w:val="0038365C"/>
    <w:rsid w:val="00383B77"/>
    <w:rsid w:val="0038471A"/>
    <w:rsid w:val="00385202"/>
    <w:rsid w:val="003852EA"/>
    <w:rsid w:val="0038635B"/>
    <w:rsid w:val="00386742"/>
    <w:rsid w:val="00386934"/>
    <w:rsid w:val="00391EB6"/>
    <w:rsid w:val="00392AD9"/>
    <w:rsid w:val="003958B1"/>
    <w:rsid w:val="003962EC"/>
    <w:rsid w:val="00396C75"/>
    <w:rsid w:val="00396FD0"/>
    <w:rsid w:val="003A03BD"/>
    <w:rsid w:val="003A1A7A"/>
    <w:rsid w:val="003A3891"/>
    <w:rsid w:val="003A54D9"/>
    <w:rsid w:val="003A7296"/>
    <w:rsid w:val="003A78B2"/>
    <w:rsid w:val="003B1077"/>
    <w:rsid w:val="003B22B0"/>
    <w:rsid w:val="003B2DC2"/>
    <w:rsid w:val="003B2DFC"/>
    <w:rsid w:val="003B69AA"/>
    <w:rsid w:val="003C0B0A"/>
    <w:rsid w:val="003C0E68"/>
    <w:rsid w:val="003C2543"/>
    <w:rsid w:val="003C3A96"/>
    <w:rsid w:val="003C3D46"/>
    <w:rsid w:val="003C4743"/>
    <w:rsid w:val="003C5472"/>
    <w:rsid w:val="003C575D"/>
    <w:rsid w:val="003C5C0C"/>
    <w:rsid w:val="003C7313"/>
    <w:rsid w:val="003D1828"/>
    <w:rsid w:val="003D2422"/>
    <w:rsid w:val="003D2AAF"/>
    <w:rsid w:val="003D3679"/>
    <w:rsid w:val="003E1069"/>
    <w:rsid w:val="003E1768"/>
    <w:rsid w:val="003E1890"/>
    <w:rsid w:val="003E2CFF"/>
    <w:rsid w:val="003E3FC3"/>
    <w:rsid w:val="003E6575"/>
    <w:rsid w:val="003E7528"/>
    <w:rsid w:val="003E7C6E"/>
    <w:rsid w:val="003F134A"/>
    <w:rsid w:val="003F232B"/>
    <w:rsid w:val="003F4156"/>
    <w:rsid w:val="003F4594"/>
    <w:rsid w:val="003F4A8F"/>
    <w:rsid w:val="00402FD4"/>
    <w:rsid w:val="00403AF8"/>
    <w:rsid w:val="00404B48"/>
    <w:rsid w:val="00404C18"/>
    <w:rsid w:val="004062B1"/>
    <w:rsid w:val="00407398"/>
    <w:rsid w:val="004076B8"/>
    <w:rsid w:val="00410354"/>
    <w:rsid w:val="00410708"/>
    <w:rsid w:val="00410D9D"/>
    <w:rsid w:val="00410EC7"/>
    <w:rsid w:val="00411BBE"/>
    <w:rsid w:val="0041342D"/>
    <w:rsid w:val="0041419F"/>
    <w:rsid w:val="00414476"/>
    <w:rsid w:val="00414C21"/>
    <w:rsid w:val="00415376"/>
    <w:rsid w:val="00416C89"/>
    <w:rsid w:val="00417953"/>
    <w:rsid w:val="00420B9F"/>
    <w:rsid w:val="00420CC1"/>
    <w:rsid w:val="0042242C"/>
    <w:rsid w:val="00422CC8"/>
    <w:rsid w:val="00424764"/>
    <w:rsid w:val="00424E7D"/>
    <w:rsid w:val="00426CA7"/>
    <w:rsid w:val="004319F8"/>
    <w:rsid w:val="00431D05"/>
    <w:rsid w:val="00431DD7"/>
    <w:rsid w:val="00432BC6"/>
    <w:rsid w:val="00432F2A"/>
    <w:rsid w:val="00433044"/>
    <w:rsid w:val="004349A2"/>
    <w:rsid w:val="00436C85"/>
    <w:rsid w:val="00436E7E"/>
    <w:rsid w:val="004370BA"/>
    <w:rsid w:val="00437805"/>
    <w:rsid w:val="00441AF6"/>
    <w:rsid w:val="00442935"/>
    <w:rsid w:val="004443A7"/>
    <w:rsid w:val="004464EB"/>
    <w:rsid w:val="00451504"/>
    <w:rsid w:val="004515D1"/>
    <w:rsid w:val="00451E09"/>
    <w:rsid w:val="004529FD"/>
    <w:rsid w:val="00454032"/>
    <w:rsid w:val="00455D45"/>
    <w:rsid w:val="00462513"/>
    <w:rsid w:val="00463F76"/>
    <w:rsid w:val="00464595"/>
    <w:rsid w:val="00464B20"/>
    <w:rsid w:val="004659D6"/>
    <w:rsid w:val="00466286"/>
    <w:rsid w:val="00466B17"/>
    <w:rsid w:val="00467E79"/>
    <w:rsid w:val="00470E31"/>
    <w:rsid w:val="0047124C"/>
    <w:rsid w:val="00471E40"/>
    <w:rsid w:val="00472650"/>
    <w:rsid w:val="00473778"/>
    <w:rsid w:val="004749A9"/>
    <w:rsid w:val="00475041"/>
    <w:rsid w:val="00475CA0"/>
    <w:rsid w:val="00475D87"/>
    <w:rsid w:val="004762BC"/>
    <w:rsid w:val="00476B46"/>
    <w:rsid w:val="00477EAB"/>
    <w:rsid w:val="004806D5"/>
    <w:rsid w:val="00483278"/>
    <w:rsid w:val="00483960"/>
    <w:rsid w:val="004867E2"/>
    <w:rsid w:val="00490693"/>
    <w:rsid w:val="00491046"/>
    <w:rsid w:val="00491393"/>
    <w:rsid w:val="00491B3A"/>
    <w:rsid w:val="004927E8"/>
    <w:rsid w:val="00492CFD"/>
    <w:rsid w:val="00493077"/>
    <w:rsid w:val="0049365E"/>
    <w:rsid w:val="00494704"/>
    <w:rsid w:val="004961C3"/>
    <w:rsid w:val="004962D2"/>
    <w:rsid w:val="004964E3"/>
    <w:rsid w:val="00497BEA"/>
    <w:rsid w:val="004A0A3B"/>
    <w:rsid w:val="004A0DA1"/>
    <w:rsid w:val="004A1E23"/>
    <w:rsid w:val="004A2CC5"/>
    <w:rsid w:val="004A2E26"/>
    <w:rsid w:val="004A35DE"/>
    <w:rsid w:val="004A39C6"/>
    <w:rsid w:val="004A4F11"/>
    <w:rsid w:val="004A6597"/>
    <w:rsid w:val="004B14F5"/>
    <w:rsid w:val="004B153D"/>
    <w:rsid w:val="004B16FB"/>
    <w:rsid w:val="004B1CB4"/>
    <w:rsid w:val="004B2312"/>
    <w:rsid w:val="004B2832"/>
    <w:rsid w:val="004B2F18"/>
    <w:rsid w:val="004B2FC9"/>
    <w:rsid w:val="004B35BF"/>
    <w:rsid w:val="004B3DDB"/>
    <w:rsid w:val="004B401A"/>
    <w:rsid w:val="004B44FD"/>
    <w:rsid w:val="004B5CFC"/>
    <w:rsid w:val="004B5D5B"/>
    <w:rsid w:val="004B7006"/>
    <w:rsid w:val="004B73C3"/>
    <w:rsid w:val="004B7717"/>
    <w:rsid w:val="004C0F81"/>
    <w:rsid w:val="004C1698"/>
    <w:rsid w:val="004C3835"/>
    <w:rsid w:val="004C4AED"/>
    <w:rsid w:val="004C4BC6"/>
    <w:rsid w:val="004C4CDB"/>
    <w:rsid w:val="004C4FB2"/>
    <w:rsid w:val="004C58A9"/>
    <w:rsid w:val="004C6553"/>
    <w:rsid w:val="004C68BE"/>
    <w:rsid w:val="004C6DD8"/>
    <w:rsid w:val="004D4199"/>
    <w:rsid w:val="004D7796"/>
    <w:rsid w:val="004E007D"/>
    <w:rsid w:val="004E016D"/>
    <w:rsid w:val="004E042A"/>
    <w:rsid w:val="004E0E5C"/>
    <w:rsid w:val="004E0EB8"/>
    <w:rsid w:val="004E1E3F"/>
    <w:rsid w:val="004E27B5"/>
    <w:rsid w:val="004E2ADC"/>
    <w:rsid w:val="004E332C"/>
    <w:rsid w:val="004E3454"/>
    <w:rsid w:val="004E43B2"/>
    <w:rsid w:val="004E44DC"/>
    <w:rsid w:val="004E731F"/>
    <w:rsid w:val="004F11B6"/>
    <w:rsid w:val="004F1D02"/>
    <w:rsid w:val="004F2679"/>
    <w:rsid w:val="004F273C"/>
    <w:rsid w:val="004F3D58"/>
    <w:rsid w:val="004F4E2B"/>
    <w:rsid w:val="004F5191"/>
    <w:rsid w:val="004F635E"/>
    <w:rsid w:val="004F6755"/>
    <w:rsid w:val="004F7865"/>
    <w:rsid w:val="004F7D1F"/>
    <w:rsid w:val="00501612"/>
    <w:rsid w:val="005022E8"/>
    <w:rsid w:val="0050418F"/>
    <w:rsid w:val="005041C1"/>
    <w:rsid w:val="0050493C"/>
    <w:rsid w:val="00505399"/>
    <w:rsid w:val="005065A7"/>
    <w:rsid w:val="00506928"/>
    <w:rsid w:val="00507BBE"/>
    <w:rsid w:val="00507DD7"/>
    <w:rsid w:val="00513AFD"/>
    <w:rsid w:val="00514B39"/>
    <w:rsid w:val="005152B5"/>
    <w:rsid w:val="005159CD"/>
    <w:rsid w:val="00515DA6"/>
    <w:rsid w:val="00516948"/>
    <w:rsid w:val="0051713B"/>
    <w:rsid w:val="00517A06"/>
    <w:rsid w:val="005204B7"/>
    <w:rsid w:val="00520537"/>
    <w:rsid w:val="0052079E"/>
    <w:rsid w:val="00520B95"/>
    <w:rsid w:val="005210F1"/>
    <w:rsid w:val="00521319"/>
    <w:rsid w:val="00521C98"/>
    <w:rsid w:val="00523C28"/>
    <w:rsid w:val="00527951"/>
    <w:rsid w:val="00531886"/>
    <w:rsid w:val="00532EBD"/>
    <w:rsid w:val="00533078"/>
    <w:rsid w:val="00534402"/>
    <w:rsid w:val="00534ADC"/>
    <w:rsid w:val="0054082E"/>
    <w:rsid w:val="0054090F"/>
    <w:rsid w:val="0054117B"/>
    <w:rsid w:val="005413F5"/>
    <w:rsid w:val="00541F4D"/>
    <w:rsid w:val="00542855"/>
    <w:rsid w:val="005469D7"/>
    <w:rsid w:val="00550EE1"/>
    <w:rsid w:val="00552BD3"/>
    <w:rsid w:val="005541E3"/>
    <w:rsid w:val="00555109"/>
    <w:rsid w:val="005568E2"/>
    <w:rsid w:val="00557ACA"/>
    <w:rsid w:val="00560661"/>
    <w:rsid w:val="00565CBE"/>
    <w:rsid w:val="005668F8"/>
    <w:rsid w:val="0056696F"/>
    <w:rsid w:val="00567204"/>
    <w:rsid w:val="00570F1A"/>
    <w:rsid w:val="0057118F"/>
    <w:rsid w:val="00571F12"/>
    <w:rsid w:val="005735C7"/>
    <w:rsid w:val="00575D8D"/>
    <w:rsid w:val="005762F5"/>
    <w:rsid w:val="00576972"/>
    <w:rsid w:val="00580BF3"/>
    <w:rsid w:val="00581EB0"/>
    <w:rsid w:val="00582A53"/>
    <w:rsid w:val="00583699"/>
    <w:rsid w:val="00586319"/>
    <w:rsid w:val="00586C68"/>
    <w:rsid w:val="00586F56"/>
    <w:rsid w:val="005879EA"/>
    <w:rsid w:val="005930B9"/>
    <w:rsid w:val="00595D03"/>
    <w:rsid w:val="005962B2"/>
    <w:rsid w:val="005A02BF"/>
    <w:rsid w:val="005A0732"/>
    <w:rsid w:val="005A0AD6"/>
    <w:rsid w:val="005A1741"/>
    <w:rsid w:val="005A191E"/>
    <w:rsid w:val="005A2335"/>
    <w:rsid w:val="005A4451"/>
    <w:rsid w:val="005A5C9C"/>
    <w:rsid w:val="005A639C"/>
    <w:rsid w:val="005A7341"/>
    <w:rsid w:val="005B17C2"/>
    <w:rsid w:val="005B2D94"/>
    <w:rsid w:val="005B3DE7"/>
    <w:rsid w:val="005B4DFB"/>
    <w:rsid w:val="005B5857"/>
    <w:rsid w:val="005B5FAA"/>
    <w:rsid w:val="005B674E"/>
    <w:rsid w:val="005B6942"/>
    <w:rsid w:val="005B7E3B"/>
    <w:rsid w:val="005C082A"/>
    <w:rsid w:val="005C1B83"/>
    <w:rsid w:val="005C1D02"/>
    <w:rsid w:val="005C1F9B"/>
    <w:rsid w:val="005C346B"/>
    <w:rsid w:val="005C4640"/>
    <w:rsid w:val="005C5876"/>
    <w:rsid w:val="005C68F3"/>
    <w:rsid w:val="005C7A8C"/>
    <w:rsid w:val="005C7D2D"/>
    <w:rsid w:val="005D044D"/>
    <w:rsid w:val="005D093C"/>
    <w:rsid w:val="005D18AD"/>
    <w:rsid w:val="005D2393"/>
    <w:rsid w:val="005D2E4E"/>
    <w:rsid w:val="005D3041"/>
    <w:rsid w:val="005D3398"/>
    <w:rsid w:val="005D3D88"/>
    <w:rsid w:val="005D4496"/>
    <w:rsid w:val="005D4823"/>
    <w:rsid w:val="005D4A1A"/>
    <w:rsid w:val="005D67A8"/>
    <w:rsid w:val="005D7156"/>
    <w:rsid w:val="005D7EE9"/>
    <w:rsid w:val="005D7F09"/>
    <w:rsid w:val="005E0752"/>
    <w:rsid w:val="005E0E58"/>
    <w:rsid w:val="005E17B4"/>
    <w:rsid w:val="005E2C03"/>
    <w:rsid w:val="005E3257"/>
    <w:rsid w:val="005E4B03"/>
    <w:rsid w:val="005E5A5D"/>
    <w:rsid w:val="005E7147"/>
    <w:rsid w:val="005E73C0"/>
    <w:rsid w:val="005E7AE9"/>
    <w:rsid w:val="005F253D"/>
    <w:rsid w:val="005F2706"/>
    <w:rsid w:val="005F30CD"/>
    <w:rsid w:val="005F4CE9"/>
    <w:rsid w:val="005F581E"/>
    <w:rsid w:val="005F67EF"/>
    <w:rsid w:val="005F6A8F"/>
    <w:rsid w:val="005F6BCA"/>
    <w:rsid w:val="006042E6"/>
    <w:rsid w:val="00604583"/>
    <w:rsid w:val="00607669"/>
    <w:rsid w:val="006116F6"/>
    <w:rsid w:val="00612F97"/>
    <w:rsid w:val="00613077"/>
    <w:rsid w:val="00616802"/>
    <w:rsid w:val="00617249"/>
    <w:rsid w:val="00617E12"/>
    <w:rsid w:val="00620664"/>
    <w:rsid w:val="00621477"/>
    <w:rsid w:val="006217C8"/>
    <w:rsid w:val="00624B57"/>
    <w:rsid w:val="00626ACA"/>
    <w:rsid w:val="00626CCA"/>
    <w:rsid w:val="00626E7D"/>
    <w:rsid w:val="00631843"/>
    <w:rsid w:val="00631D6B"/>
    <w:rsid w:val="00633958"/>
    <w:rsid w:val="00633BD3"/>
    <w:rsid w:val="006342DC"/>
    <w:rsid w:val="006343A4"/>
    <w:rsid w:val="0063479F"/>
    <w:rsid w:val="00634B49"/>
    <w:rsid w:val="006364A1"/>
    <w:rsid w:val="00636532"/>
    <w:rsid w:val="00637BFD"/>
    <w:rsid w:val="00640AC7"/>
    <w:rsid w:val="00645390"/>
    <w:rsid w:val="00645974"/>
    <w:rsid w:val="00646BCA"/>
    <w:rsid w:val="006471CC"/>
    <w:rsid w:val="0065079F"/>
    <w:rsid w:val="00652646"/>
    <w:rsid w:val="00652E6A"/>
    <w:rsid w:val="0065331D"/>
    <w:rsid w:val="006554A6"/>
    <w:rsid w:val="00655606"/>
    <w:rsid w:val="00656BDF"/>
    <w:rsid w:val="00657CB4"/>
    <w:rsid w:val="0066076E"/>
    <w:rsid w:val="0066126F"/>
    <w:rsid w:val="0066148B"/>
    <w:rsid w:val="006626E6"/>
    <w:rsid w:val="0066343C"/>
    <w:rsid w:val="00663D25"/>
    <w:rsid w:val="00667F90"/>
    <w:rsid w:val="006715EE"/>
    <w:rsid w:val="00672E0F"/>
    <w:rsid w:val="00674E42"/>
    <w:rsid w:val="00677AAC"/>
    <w:rsid w:val="00682112"/>
    <w:rsid w:val="00683164"/>
    <w:rsid w:val="00683380"/>
    <w:rsid w:val="00683D8A"/>
    <w:rsid w:val="00684C32"/>
    <w:rsid w:val="006853B8"/>
    <w:rsid w:val="006872BA"/>
    <w:rsid w:val="00690FC0"/>
    <w:rsid w:val="006917D7"/>
    <w:rsid w:val="00691804"/>
    <w:rsid w:val="00691F77"/>
    <w:rsid w:val="00692D10"/>
    <w:rsid w:val="00694BCD"/>
    <w:rsid w:val="00694F44"/>
    <w:rsid w:val="0069549F"/>
    <w:rsid w:val="00695ECF"/>
    <w:rsid w:val="006975E7"/>
    <w:rsid w:val="006A0408"/>
    <w:rsid w:val="006A5066"/>
    <w:rsid w:val="006A6A94"/>
    <w:rsid w:val="006A7132"/>
    <w:rsid w:val="006A7F1A"/>
    <w:rsid w:val="006B02C5"/>
    <w:rsid w:val="006B32C6"/>
    <w:rsid w:val="006B3ED6"/>
    <w:rsid w:val="006B4EE4"/>
    <w:rsid w:val="006B5CC3"/>
    <w:rsid w:val="006B5F5F"/>
    <w:rsid w:val="006C0EE9"/>
    <w:rsid w:val="006C20BF"/>
    <w:rsid w:val="006C2A8E"/>
    <w:rsid w:val="006C2B1E"/>
    <w:rsid w:val="006C2CB7"/>
    <w:rsid w:val="006C50C0"/>
    <w:rsid w:val="006C5EB3"/>
    <w:rsid w:val="006C6091"/>
    <w:rsid w:val="006C644E"/>
    <w:rsid w:val="006C6E4A"/>
    <w:rsid w:val="006C7594"/>
    <w:rsid w:val="006C7709"/>
    <w:rsid w:val="006D02D7"/>
    <w:rsid w:val="006D090F"/>
    <w:rsid w:val="006D17DB"/>
    <w:rsid w:val="006D335E"/>
    <w:rsid w:val="006D3778"/>
    <w:rsid w:val="006D3C7D"/>
    <w:rsid w:val="006D3F1B"/>
    <w:rsid w:val="006D5D5F"/>
    <w:rsid w:val="006D628D"/>
    <w:rsid w:val="006D68D0"/>
    <w:rsid w:val="006D74A1"/>
    <w:rsid w:val="006E0279"/>
    <w:rsid w:val="006E0E16"/>
    <w:rsid w:val="006E3BED"/>
    <w:rsid w:val="006E7115"/>
    <w:rsid w:val="006F0A4F"/>
    <w:rsid w:val="006F1FBC"/>
    <w:rsid w:val="006F3760"/>
    <w:rsid w:val="006F3EA3"/>
    <w:rsid w:val="006F63A5"/>
    <w:rsid w:val="006F7172"/>
    <w:rsid w:val="006F72A8"/>
    <w:rsid w:val="0070276E"/>
    <w:rsid w:val="00702B16"/>
    <w:rsid w:val="00702F8F"/>
    <w:rsid w:val="0070301E"/>
    <w:rsid w:val="00703760"/>
    <w:rsid w:val="007039F1"/>
    <w:rsid w:val="007042DC"/>
    <w:rsid w:val="00704C1E"/>
    <w:rsid w:val="007069D2"/>
    <w:rsid w:val="0070727B"/>
    <w:rsid w:val="0071115B"/>
    <w:rsid w:val="00711A36"/>
    <w:rsid w:val="00712038"/>
    <w:rsid w:val="00713811"/>
    <w:rsid w:val="00713FBA"/>
    <w:rsid w:val="0071625B"/>
    <w:rsid w:val="007168A9"/>
    <w:rsid w:val="007172AD"/>
    <w:rsid w:val="007173ED"/>
    <w:rsid w:val="007213AA"/>
    <w:rsid w:val="007218DB"/>
    <w:rsid w:val="00722A73"/>
    <w:rsid w:val="00722FCB"/>
    <w:rsid w:val="0072341B"/>
    <w:rsid w:val="00723B11"/>
    <w:rsid w:val="0072416F"/>
    <w:rsid w:val="0072552B"/>
    <w:rsid w:val="007255E3"/>
    <w:rsid w:val="00725E45"/>
    <w:rsid w:val="0072746D"/>
    <w:rsid w:val="007328BC"/>
    <w:rsid w:val="00732AF1"/>
    <w:rsid w:val="00735328"/>
    <w:rsid w:val="0073685B"/>
    <w:rsid w:val="0073697B"/>
    <w:rsid w:val="00736B3C"/>
    <w:rsid w:val="00741A5F"/>
    <w:rsid w:val="00744D62"/>
    <w:rsid w:val="007452AD"/>
    <w:rsid w:val="00745C62"/>
    <w:rsid w:val="00747D7D"/>
    <w:rsid w:val="0075064C"/>
    <w:rsid w:val="0075151C"/>
    <w:rsid w:val="00753237"/>
    <w:rsid w:val="00754F5E"/>
    <w:rsid w:val="00755256"/>
    <w:rsid w:val="00756ED0"/>
    <w:rsid w:val="00760467"/>
    <w:rsid w:val="00760B2B"/>
    <w:rsid w:val="007612AB"/>
    <w:rsid w:val="007616DB"/>
    <w:rsid w:val="00762C64"/>
    <w:rsid w:val="00762ECB"/>
    <w:rsid w:val="007641B9"/>
    <w:rsid w:val="007645B3"/>
    <w:rsid w:val="0076533C"/>
    <w:rsid w:val="007745DB"/>
    <w:rsid w:val="0077716B"/>
    <w:rsid w:val="007779FF"/>
    <w:rsid w:val="007800E5"/>
    <w:rsid w:val="007804E0"/>
    <w:rsid w:val="00780B9A"/>
    <w:rsid w:val="0078205C"/>
    <w:rsid w:val="00782BE7"/>
    <w:rsid w:val="00782D29"/>
    <w:rsid w:val="00784931"/>
    <w:rsid w:val="007850AD"/>
    <w:rsid w:val="00785B19"/>
    <w:rsid w:val="00785C61"/>
    <w:rsid w:val="007860F4"/>
    <w:rsid w:val="00787E66"/>
    <w:rsid w:val="007902F6"/>
    <w:rsid w:val="00790A23"/>
    <w:rsid w:val="00792A25"/>
    <w:rsid w:val="007935A6"/>
    <w:rsid w:val="00795084"/>
    <w:rsid w:val="00796423"/>
    <w:rsid w:val="007972B2"/>
    <w:rsid w:val="00797DB6"/>
    <w:rsid w:val="007A0A12"/>
    <w:rsid w:val="007A28F5"/>
    <w:rsid w:val="007A5E75"/>
    <w:rsid w:val="007A601D"/>
    <w:rsid w:val="007A659F"/>
    <w:rsid w:val="007A700E"/>
    <w:rsid w:val="007B00A9"/>
    <w:rsid w:val="007B033F"/>
    <w:rsid w:val="007B1FAF"/>
    <w:rsid w:val="007B251D"/>
    <w:rsid w:val="007B7182"/>
    <w:rsid w:val="007B77D1"/>
    <w:rsid w:val="007C361D"/>
    <w:rsid w:val="007C4057"/>
    <w:rsid w:val="007C5443"/>
    <w:rsid w:val="007C74F2"/>
    <w:rsid w:val="007D026F"/>
    <w:rsid w:val="007D088C"/>
    <w:rsid w:val="007D0B38"/>
    <w:rsid w:val="007D141C"/>
    <w:rsid w:val="007D303C"/>
    <w:rsid w:val="007D41AE"/>
    <w:rsid w:val="007D43A6"/>
    <w:rsid w:val="007D4B42"/>
    <w:rsid w:val="007D5B3C"/>
    <w:rsid w:val="007D6F5A"/>
    <w:rsid w:val="007D7033"/>
    <w:rsid w:val="007D75FE"/>
    <w:rsid w:val="007E050E"/>
    <w:rsid w:val="007E2D7B"/>
    <w:rsid w:val="007E633A"/>
    <w:rsid w:val="007E7ADB"/>
    <w:rsid w:val="007E7CA9"/>
    <w:rsid w:val="007F0E30"/>
    <w:rsid w:val="007F1017"/>
    <w:rsid w:val="007F1A5D"/>
    <w:rsid w:val="007F4927"/>
    <w:rsid w:val="007F4A3F"/>
    <w:rsid w:val="007F4B01"/>
    <w:rsid w:val="007F5381"/>
    <w:rsid w:val="007F67F6"/>
    <w:rsid w:val="007F69DB"/>
    <w:rsid w:val="007F792E"/>
    <w:rsid w:val="00802E7C"/>
    <w:rsid w:val="00803570"/>
    <w:rsid w:val="00803779"/>
    <w:rsid w:val="00803DF9"/>
    <w:rsid w:val="00805142"/>
    <w:rsid w:val="00805216"/>
    <w:rsid w:val="008063A0"/>
    <w:rsid w:val="008072B2"/>
    <w:rsid w:val="00807A8B"/>
    <w:rsid w:val="00812149"/>
    <w:rsid w:val="008126F7"/>
    <w:rsid w:val="00812D4C"/>
    <w:rsid w:val="00813792"/>
    <w:rsid w:val="008166EF"/>
    <w:rsid w:val="00816EF3"/>
    <w:rsid w:val="008232B6"/>
    <w:rsid w:val="008243BC"/>
    <w:rsid w:val="00825A3B"/>
    <w:rsid w:val="008264EB"/>
    <w:rsid w:val="008275CB"/>
    <w:rsid w:val="00827608"/>
    <w:rsid w:val="00827E04"/>
    <w:rsid w:val="00833B05"/>
    <w:rsid w:val="00835906"/>
    <w:rsid w:val="00837A93"/>
    <w:rsid w:val="00837B98"/>
    <w:rsid w:val="008402BC"/>
    <w:rsid w:val="00840CA2"/>
    <w:rsid w:val="00842733"/>
    <w:rsid w:val="008432A7"/>
    <w:rsid w:val="008449F8"/>
    <w:rsid w:val="008458D4"/>
    <w:rsid w:val="00847799"/>
    <w:rsid w:val="00850F65"/>
    <w:rsid w:val="0085621A"/>
    <w:rsid w:val="00856E9A"/>
    <w:rsid w:val="00857785"/>
    <w:rsid w:val="00861002"/>
    <w:rsid w:val="00861C33"/>
    <w:rsid w:val="00862502"/>
    <w:rsid w:val="0086266F"/>
    <w:rsid w:val="008628B3"/>
    <w:rsid w:val="00863837"/>
    <w:rsid w:val="00863901"/>
    <w:rsid w:val="00864472"/>
    <w:rsid w:val="00864DF4"/>
    <w:rsid w:val="0086739A"/>
    <w:rsid w:val="00867E45"/>
    <w:rsid w:val="00875E90"/>
    <w:rsid w:val="00880B8D"/>
    <w:rsid w:val="00882272"/>
    <w:rsid w:val="00882874"/>
    <w:rsid w:val="00883787"/>
    <w:rsid w:val="0088427E"/>
    <w:rsid w:val="00887DA8"/>
    <w:rsid w:val="00891CF7"/>
    <w:rsid w:val="008925E1"/>
    <w:rsid w:val="00892959"/>
    <w:rsid w:val="0089409A"/>
    <w:rsid w:val="00894489"/>
    <w:rsid w:val="008963A5"/>
    <w:rsid w:val="008A0938"/>
    <w:rsid w:val="008A342A"/>
    <w:rsid w:val="008A3C3E"/>
    <w:rsid w:val="008A5354"/>
    <w:rsid w:val="008A66B7"/>
    <w:rsid w:val="008A7893"/>
    <w:rsid w:val="008A79DE"/>
    <w:rsid w:val="008A7FC5"/>
    <w:rsid w:val="008B08A0"/>
    <w:rsid w:val="008B20E9"/>
    <w:rsid w:val="008B24C1"/>
    <w:rsid w:val="008B3696"/>
    <w:rsid w:val="008B4B4A"/>
    <w:rsid w:val="008B524D"/>
    <w:rsid w:val="008B5378"/>
    <w:rsid w:val="008B6BDA"/>
    <w:rsid w:val="008B6D21"/>
    <w:rsid w:val="008B7D7E"/>
    <w:rsid w:val="008C0A22"/>
    <w:rsid w:val="008C1E7C"/>
    <w:rsid w:val="008C27F5"/>
    <w:rsid w:val="008C2CF2"/>
    <w:rsid w:val="008C3C63"/>
    <w:rsid w:val="008C67D9"/>
    <w:rsid w:val="008C712A"/>
    <w:rsid w:val="008C76BC"/>
    <w:rsid w:val="008C7ECB"/>
    <w:rsid w:val="008D0603"/>
    <w:rsid w:val="008D06A9"/>
    <w:rsid w:val="008D0816"/>
    <w:rsid w:val="008E1B9E"/>
    <w:rsid w:val="008E3711"/>
    <w:rsid w:val="008E4886"/>
    <w:rsid w:val="008E5129"/>
    <w:rsid w:val="008E528F"/>
    <w:rsid w:val="008E6839"/>
    <w:rsid w:val="008E6D05"/>
    <w:rsid w:val="008E7761"/>
    <w:rsid w:val="008F01EC"/>
    <w:rsid w:val="008F120A"/>
    <w:rsid w:val="008F134B"/>
    <w:rsid w:val="008F3AA9"/>
    <w:rsid w:val="008F48EB"/>
    <w:rsid w:val="008F4F0B"/>
    <w:rsid w:val="008F5BEE"/>
    <w:rsid w:val="008F5E9E"/>
    <w:rsid w:val="008F5EEB"/>
    <w:rsid w:val="008F6432"/>
    <w:rsid w:val="0090062A"/>
    <w:rsid w:val="00901FFC"/>
    <w:rsid w:val="00902681"/>
    <w:rsid w:val="009040B2"/>
    <w:rsid w:val="00906031"/>
    <w:rsid w:val="009062A5"/>
    <w:rsid w:val="00907725"/>
    <w:rsid w:val="00911272"/>
    <w:rsid w:val="00913F0C"/>
    <w:rsid w:val="00914C0E"/>
    <w:rsid w:val="0091526B"/>
    <w:rsid w:val="00915E1A"/>
    <w:rsid w:val="00920AD2"/>
    <w:rsid w:val="00922917"/>
    <w:rsid w:val="00922A7F"/>
    <w:rsid w:val="00923829"/>
    <w:rsid w:val="009240BE"/>
    <w:rsid w:val="0092443D"/>
    <w:rsid w:val="00924B20"/>
    <w:rsid w:val="00924F27"/>
    <w:rsid w:val="00925DF5"/>
    <w:rsid w:val="00926097"/>
    <w:rsid w:val="00926585"/>
    <w:rsid w:val="00926940"/>
    <w:rsid w:val="00926FB3"/>
    <w:rsid w:val="00927611"/>
    <w:rsid w:val="009300E4"/>
    <w:rsid w:val="00930140"/>
    <w:rsid w:val="00930559"/>
    <w:rsid w:val="009311FC"/>
    <w:rsid w:val="0093201A"/>
    <w:rsid w:val="00932B25"/>
    <w:rsid w:val="00932C7B"/>
    <w:rsid w:val="00932E9A"/>
    <w:rsid w:val="009334BD"/>
    <w:rsid w:val="009334EB"/>
    <w:rsid w:val="00933835"/>
    <w:rsid w:val="00934C4B"/>
    <w:rsid w:val="00937153"/>
    <w:rsid w:val="009371A7"/>
    <w:rsid w:val="00937ADC"/>
    <w:rsid w:val="0094039B"/>
    <w:rsid w:val="00940FAE"/>
    <w:rsid w:val="00945A5E"/>
    <w:rsid w:val="00945AEF"/>
    <w:rsid w:val="0094632E"/>
    <w:rsid w:val="0094664A"/>
    <w:rsid w:val="00950211"/>
    <w:rsid w:val="00950599"/>
    <w:rsid w:val="0095101E"/>
    <w:rsid w:val="00951C71"/>
    <w:rsid w:val="00955883"/>
    <w:rsid w:val="00960534"/>
    <w:rsid w:val="0096153E"/>
    <w:rsid w:val="0096250C"/>
    <w:rsid w:val="00962CB9"/>
    <w:rsid w:val="009641BA"/>
    <w:rsid w:val="00964312"/>
    <w:rsid w:val="009667C5"/>
    <w:rsid w:val="00970709"/>
    <w:rsid w:val="00970A84"/>
    <w:rsid w:val="00972188"/>
    <w:rsid w:val="0097250C"/>
    <w:rsid w:val="00972DE2"/>
    <w:rsid w:val="00973E40"/>
    <w:rsid w:val="00974193"/>
    <w:rsid w:val="0097435F"/>
    <w:rsid w:val="00974DDD"/>
    <w:rsid w:val="00976CD6"/>
    <w:rsid w:val="009824FB"/>
    <w:rsid w:val="009827E2"/>
    <w:rsid w:val="00982FDD"/>
    <w:rsid w:val="00983454"/>
    <w:rsid w:val="00983E57"/>
    <w:rsid w:val="00986083"/>
    <w:rsid w:val="0098675D"/>
    <w:rsid w:val="00987891"/>
    <w:rsid w:val="0099062A"/>
    <w:rsid w:val="00992180"/>
    <w:rsid w:val="00992681"/>
    <w:rsid w:val="00993A49"/>
    <w:rsid w:val="009949C6"/>
    <w:rsid w:val="00994EF1"/>
    <w:rsid w:val="00995515"/>
    <w:rsid w:val="00995565"/>
    <w:rsid w:val="00996B1A"/>
    <w:rsid w:val="00997971"/>
    <w:rsid w:val="009A08F9"/>
    <w:rsid w:val="009A484F"/>
    <w:rsid w:val="009A5AC5"/>
    <w:rsid w:val="009A5FC9"/>
    <w:rsid w:val="009B013B"/>
    <w:rsid w:val="009B097C"/>
    <w:rsid w:val="009B3E26"/>
    <w:rsid w:val="009B4013"/>
    <w:rsid w:val="009B5FA0"/>
    <w:rsid w:val="009B73E5"/>
    <w:rsid w:val="009B7B50"/>
    <w:rsid w:val="009C01B9"/>
    <w:rsid w:val="009C2452"/>
    <w:rsid w:val="009C24ED"/>
    <w:rsid w:val="009C3F3E"/>
    <w:rsid w:val="009C5255"/>
    <w:rsid w:val="009C596A"/>
    <w:rsid w:val="009C5BE5"/>
    <w:rsid w:val="009C68DF"/>
    <w:rsid w:val="009D0081"/>
    <w:rsid w:val="009D1F8A"/>
    <w:rsid w:val="009D39C1"/>
    <w:rsid w:val="009D4D53"/>
    <w:rsid w:val="009D5B91"/>
    <w:rsid w:val="009D7201"/>
    <w:rsid w:val="009E0ECC"/>
    <w:rsid w:val="009E15B4"/>
    <w:rsid w:val="009E374E"/>
    <w:rsid w:val="009E4224"/>
    <w:rsid w:val="009E4C07"/>
    <w:rsid w:val="009E5791"/>
    <w:rsid w:val="009E6144"/>
    <w:rsid w:val="009F28A1"/>
    <w:rsid w:val="009F2985"/>
    <w:rsid w:val="009F407A"/>
    <w:rsid w:val="009F4250"/>
    <w:rsid w:val="009F45C0"/>
    <w:rsid w:val="009F4720"/>
    <w:rsid w:val="009F4F40"/>
    <w:rsid w:val="00A000EB"/>
    <w:rsid w:val="00A0043A"/>
    <w:rsid w:val="00A00B78"/>
    <w:rsid w:val="00A00DD9"/>
    <w:rsid w:val="00A012BC"/>
    <w:rsid w:val="00A01519"/>
    <w:rsid w:val="00A021CF"/>
    <w:rsid w:val="00A03D43"/>
    <w:rsid w:val="00A04380"/>
    <w:rsid w:val="00A04456"/>
    <w:rsid w:val="00A05408"/>
    <w:rsid w:val="00A06C1B"/>
    <w:rsid w:val="00A104F4"/>
    <w:rsid w:val="00A1091F"/>
    <w:rsid w:val="00A11D21"/>
    <w:rsid w:val="00A13890"/>
    <w:rsid w:val="00A13948"/>
    <w:rsid w:val="00A13F04"/>
    <w:rsid w:val="00A1472E"/>
    <w:rsid w:val="00A1773C"/>
    <w:rsid w:val="00A202AF"/>
    <w:rsid w:val="00A21C66"/>
    <w:rsid w:val="00A21CA1"/>
    <w:rsid w:val="00A24365"/>
    <w:rsid w:val="00A27AEC"/>
    <w:rsid w:val="00A30236"/>
    <w:rsid w:val="00A318B5"/>
    <w:rsid w:val="00A32A5B"/>
    <w:rsid w:val="00A33471"/>
    <w:rsid w:val="00A34134"/>
    <w:rsid w:val="00A3595F"/>
    <w:rsid w:val="00A35B5B"/>
    <w:rsid w:val="00A35D16"/>
    <w:rsid w:val="00A36860"/>
    <w:rsid w:val="00A4177D"/>
    <w:rsid w:val="00A417AC"/>
    <w:rsid w:val="00A427E5"/>
    <w:rsid w:val="00A432E9"/>
    <w:rsid w:val="00A43C59"/>
    <w:rsid w:val="00A461D7"/>
    <w:rsid w:val="00A46E32"/>
    <w:rsid w:val="00A50278"/>
    <w:rsid w:val="00A506DD"/>
    <w:rsid w:val="00A509FE"/>
    <w:rsid w:val="00A50ECD"/>
    <w:rsid w:val="00A52703"/>
    <w:rsid w:val="00A52729"/>
    <w:rsid w:val="00A52879"/>
    <w:rsid w:val="00A52A8F"/>
    <w:rsid w:val="00A53675"/>
    <w:rsid w:val="00A55B1F"/>
    <w:rsid w:val="00A562DB"/>
    <w:rsid w:val="00A56B6A"/>
    <w:rsid w:val="00A578DC"/>
    <w:rsid w:val="00A6159D"/>
    <w:rsid w:val="00A62D1F"/>
    <w:rsid w:val="00A65579"/>
    <w:rsid w:val="00A662B0"/>
    <w:rsid w:val="00A6725B"/>
    <w:rsid w:val="00A70121"/>
    <w:rsid w:val="00A71FA8"/>
    <w:rsid w:val="00A73EB6"/>
    <w:rsid w:val="00A74B4C"/>
    <w:rsid w:val="00A763EC"/>
    <w:rsid w:val="00A77702"/>
    <w:rsid w:val="00A80016"/>
    <w:rsid w:val="00A805DB"/>
    <w:rsid w:val="00A82007"/>
    <w:rsid w:val="00A824F3"/>
    <w:rsid w:val="00A83D55"/>
    <w:rsid w:val="00A84CFB"/>
    <w:rsid w:val="00A85010"/>
    <w:rsid w:val="00A866A0"/>
    <w:rsid w:val="00A86E8B"/>
    <w:rsid w:val="00A93072"/>
    <w:rsid w:val="00A94022"/>
    <w:rsid w:val="00A94726"/>
    <w:rsid w:val="00A9574E"/>
    <w:rsid w:val="00A959D8"/>
    <w:rsid w:val="00A977AE"/>
    <w:rsid w:val="00AA0DB3"/>
    <w:rsid w:val="00AA2709"/>
    <w:rsid w:val="00AA3290"/>
    <w:rsid w:val="00AA3351"/>
    <w:rsid w:val="00AA4972"/>
    <w:rsid w:val="00AA4D6C"/>
    <w:rsid w:val="00AA6720"/>
    <w:rsid w:val="00AA6FB4"/>
    <w:rsid w:val="00AA732D"/>
    <w:rsid w:val="00AA73E2"/>
    <w:rsid w:val="00AB042A"/>
    <w:rsid w:val="00AB1198"/>
    <w:rsid w:val="00AB2432"/>
    <w:rsid w:val="00AB2D34"/>
    <w:rsid w:val="00AB3430"/>
    <w:rsid w:val="00AB71D6"/>
    <w:rsid w:val="00AB75CB"/>
    <w:rsid w:val="00AB77E4"/>
    <w:rsid w:val="00AB7B94"/>
    <w:rsid w:val="00AB7CFA"/>
    <w:rsid w:val="00AC03BF"/>
    <w:rsid w:val="00AC442F"/>
    <w:rsid w:val="00AC45FE"/>
    <w:rsid w:val="00AC6990"/>
    <w:rsid w:val="00AC72D1"/>
    <w:rsid w:val="00AC7A9D"/>
    <w:rsid w:val="00AD0B37"/>
    <w:rsid w:val="00AD1A03"/>
    <w:rsid w:val="00AD2264"/>
    <w:rsid w:val="00AD4F17"/>
    <w:rsid w:val="00AE1B32"/>
    <w:rsid w:val="00AE1FB1"/>
    <w:rsid w:val="00AE2373"/>
    <w:rsid w:val="00AE271B"/>
    <w:rsid w:val="00AE31C8"/>
    <w:rsid w:val="00AE4389"/>
    <w:rsid w:val="00AE442F"/>
    <w:rsid w:val="00AE7849"/>
    <w:rsid w:val="00AE7856"/>
    <w:rsid w:val="00AF0E38"/>
    <w:rsid w:val="00AF1DA4"/>
    <w:rsid w:val="00AF4798"/>
    <w:rsid w:val="00AF62D7"/>
    <w:rsid w:val="00AF66E6"/>
    <w:rsid w:val="00AF719D"/>
    <w:rsid w:val="00B022FA"/>
    <w:rsid w:val="00B02568"/>
    <w:rsid w:val="00B0312E"/>
    <w:rsid w:val="00B04F00"/>
    <w:rsid w:val="00B05B0B"/>
    <w:rsid w:val="00B05D28"/>
    <w:rsid w:val="00B06219"/>
    <w:rsid w:val="00B06435"/>
    <w:rsid w:val="00B078F2"/>
    <w:rsid w:val="00B10D90"/>
    <w:rsid w:val="00B10D99"/>
    <w:rsid w:val="00B11494"/>
    <w:rsid w:val="00B1182D"/>
    <w:rsid w:val="00B14238"/>
    <w:rsid w:val="00B14457"/>
    <w:rsid w:val="00B209B4"/>
    <w:rsid w:val="00B21D14"/>
    <w:rsid w:val="00B24BD4"/>
    <w:rsid w:val="00B25D3B"/>
    <w:rsid w:val="00B25D56"/>
    <w:rsid w:val="00B270BA"/>
    <w:rsid w:val="00B27C6E"/>
    <w:rsid w:val="00B3096F"/>
    <w:rsid w:val="00B313D7"/>
    <w:rsid w:val="00B31607"/>
    <w:rsid w:val="00B333E9"/>
    <w:rsid w:val="00B33D16"/>
    <w:rsid w:val="00B35517"/>
    <w:rsid w:val="00B368E0"/>
    <w:rsid w:val="00B36BA0"/>
    <w:rsid w:val="00B422B4"/>
    <w:rsid w:val="00B42650"/>
    <w:rsid w:val="00B42851"/>
    <w:rsid w:val="00B45728"/>
    <w:rsid w:val="00B458F5"/>
    <w:rsid w:val="00B50B85"/>
    <w:rsid w:val="00B50DB8"/>
    <w:rsid w:val="00B528CA"/>
    <w:rsid w:val="00B53905"/>
    <w:rsid w:val="00B54B5B"/>
    <w:rsid w:val="00B5562E"/>
    <w:rsid w:val="00B55FF2"/>
    <w:rsid w:val="00B5698A"/>
    <w:rsid w:val="00B57000"/>
    <w:rsid w:val="00B57109"/>
    <w:rsid w:val="00B60939"/>
    <w:rsid w:val="00B60AFD"/>
    <w:rsid w:val="00B62508"/>
    <w:rsid w:val="00B62715"/>
    <w:rsid w:val="00B62F23"/>
    <w:rsid w:val="00B62FAF"/>
    <w:rsid w:val="00B6659B"/>
    <w:rsid w:val="00B70E9A"/>
    <w:rsid w:val="00B7170E"/>
    <w:rsid w:val="00B71A0F"/>
    <w:rsid w:val="00B73349"/>
    <w:rsid w:val="00B740C7"/>
    <w:rsid w:val="00B74724"/>
    <w:rsid w:val="00B74B69"/>
    <w:rsid w:val="00B7649F"/>
    <w:rsid w:val="00B77B10"/>
    <w:rsid w:val="00B8078E"/>
    <w:rsid w:val="00B818A4"/>
    <w:rsid w:val="00B81EBD"/>
    <w:rsid w:val="00B82223"/>
    <w:rsid w:val="00B84D13"/>
    <w:rsid w:val="00B8649C"/>
    <w:rsid w:val="00B86AEB"/>
    <w:rsid w:val="00B87FBF"/>
    <w:rsid w:val="00B91277"/>
    <w:rsid w:val="00B918C9"/>
    <w:rsid w:val="00B91D0A"/>
    <w:rsid w:val="00B92544"/>
    <w:rsid w:val="00B92D0B"/>
    <w:rsid w:val="00B932EE"/>
    <w:rsid w:val="00B933F1"/>
    <w:rsid w:val="00B938F0"/>
    <w:rsid w:val="00B94945"/>
    <w:rsid w:val="00B962AB"/>
    <w:rsid w:val="00B96412"/>
    <w:rsid w:val="00B971AB"/>
    <w:rsid w:val="00BA024D"/>
    <w:rsid w:val="00BA05CE"/>
    <w:rsid w:val="00BA1865"/>
    <w:rsid w:val="00BA2F8F"/>
    <w:rsid w:val="00BA574D"/>
    <w:rsid w:val="00BA7318"/>
    <w:rsid w:val="00BA7841"/>
    <w:rsid w:val="00BB1A85"/>
    <w:rsid w:val="00BB1EA3"/>
    <w:rsid w:val="00BB4D5A"/>
    <w:rsid w:val="00BB65F5"/>
    <w:rsid w:val="00BB7405"/>
    <w:rsid w:val="00BB7F98"/>
    <w:rsid w:val="00BC00AC"/>
    <w:rsid w:val="00BC0D61"/>
    <w:rsid w:val="00BC3011"/>
    <w:rsid w:val="00BC48A2"/>
    <w:rsid w:val="00BC5954"/>
    <w:rsid w:val="00BC5E29"/>
    <w:rsid w:val="00BC6267"/>
    <w:rsid w:val="00BC67D2"/>
    <w:rsid w:val="00BD0653"/>
    <w:rsid w:val="00BD54F9"/>
    <w:rsid w:val="00BD6CF3"/>
    <w:rsid w:val="00BE10FF"/>
    <w:rsid w:val="00BE1D89"/>
    <w:rsid w:val="00BE1EB0"/>
    <w:rsid w:val="00BE2180"/>
    <w:rsid w:val="00BE2500"/>
    <w:rsid w:val="00BE4275"/>
    <w:rsid w:val="00BE4482"/>
    <w:rsid w:val="00BE64A6"/>
    <w:rsid w:val="00BE7DF3"/>
    <w:rsid w:val="00BF130D"/>
    <w:rsid w:val="00BF1913"/>
    <w:rsid w:val="00BF2433"/>
    <w:rsid w:val="00BF45B2"/>
    <w:rsid w:val="00BF4E4E"/>
    <w:rsid w:val="00BF58A2"/>
    <w:rsid w:val="00BF5C0B"/>
    <w:rsid w:val="00BF61C9"/>
    <w:rsid w:val="00BF6868"/>
    <w:rsid w:val="00C00568"/>
    <w:rsid w:val="00C01831"/>
    <w:rsid w:val="00C05BFF"/>
    <w:rsid w:val="00C05FEE"/>
    <w:rsid w:val="00C109DE"/>
    <w:rsid w:val="00C10D88"/>
    <w:rsid w:val="00C11185"/>
    <w:rsid w:val="00C11AFE"/>
    <w:rsid w:val="00C11B64"/>
    <w:rsid w:val="00C13268"/>
    <w:rsid w:val="00C1451F"/>
    <w:rsid w:val="00C15E26"/>
    <w:rsid w:val="00C16A21"/>
    <w:rsid w:val="00C170A8"/>
    <w:rsid w:val="00C2044A"/>
    <w:rsid w:val="00C21153"/>
    <w:rsid w:val="00C24874"/>
    <w:rsid w:val="00C24F48"/>
    <w:rsid w:val="00C25418"/>
    <w:rsid w:val="00C25C9B"/>
    <w:rsid w:val="00C25D9C"/>
    <w:rsid w:val="00C27657"/>
    <w:rsid w:val="00C276AA"/>
    <w:rsid w:val="00C31649"/>
    <w:rsid w:val="00C3281F"/>
    <w:rsid w:val="00C33907"/>
    <w:rsid w:val="00C3455A"/>
    <w:rsid w:val="00C3564D"/>
    <w:rsid w:val="00C361BC"/>
    <w:rsid w:val="00C3707D"/>
    <w:rsid w:val="00C3761C"/>
    <w:rsid w:val="00C401E0"/>
    <w:rsid w:val="00C40385"/>
    <w:rsid w:val="00C411A5"/>
    <w:rsid w:val="00C4125C"/>
    <w:rsid w:val="00C41D4C"/>
    <w:rsid w:val="00C430B8"/>
    <w:rsid w:val="00C433A3"/>
    <w:rsid w:val="00C44806"/>
    <w:rsid w:val="00C44CE0"/>
    <w:rsid w:val="00C451E5"/>
    <w:rsid w:val="00C4691E"/>
    <w:rsid w:val="00C47638"/>
    <w:rsid w:val="00C47ED0"/>
    <w:rsid w:val="00C51793"/>
    <w:rsid w:val="00C5227F"/>
    <w:rsid w:val="00C52CAA"/>
    <w:rsid w:val="00C53B06"/>
    <w:rsid w:val="00C5507D"/>
    <w:rsid w:val="00C55C7D"/>
    <w:rsid w:val="00C56403"/>
    <w:rsid w:val="00C623EC"/>
    <w:rsid w:val="00C635CD"/>
    <w:rsid w:val="00C64971"/>
    <w:rsid w:val="00C65576"/>
    <w:rsid w:val="00C65D96"/>
    <w:rsid w:val="00C65EE7"/>
    <w:rsid w:val="00C66165"/>
    <w:rsid w:val="00C66B47"/>
    <w:rsid w:val="00C67197"/>
    <w:rsid w:val="00C70072"/>
    <w:rsid w:val="00C7025A"/>
    <w:rsid w:val="00C7337F"/>
    <w:rsid w:val="00C744A1"/>
    <w:rsid w:val="00C750C8"/>
    <w:rsid w:val="00C75670"/>
    <w:rsid w:val="00C76D0A"/>
    <w:rsid w:val="00C80609"/>
    <w:rsid w:val="00C8213F"/>
    <w:rsid w:val="00C827E9"/>
    <w:rsid w:val="00C86F87"/>
    <w:rsid w:val="00C8797A"/>
    <w:rsid w:val="00C87E01"/>
    <w:rsid w:val="00C87E34"/>
    <w:rsid w:val="00C9114F"/>
    <w:rsid w:val="00C93547"/>
    <w:rsid w:val="00C938CF"/>
    <w:rsid w:val="00C9405E"/>
    <w:rsid w:val="00C95D78"/>
    <w:rsid w:val="00C97896"/>
    <w:rsid w:val="00C97AC2"/>
    <w:rsid w:val="00C97BD1"/>
    <w:rsid w:val="00CA0290"/>
    <w:rsid w:val="00CA2136"/>
    <w:rsid w:val="00CA26DE"/>
    <w:rsid w:val="00CA2B8C"/>
    <w:rsid w:val="00CA3039"/>
    <w:rsid w:val="00CA3787"/>
    <w:rsid w:val="00CA3FF0"/>
    <w:rsid w:val="00CA5245"/>
    <w:rsid w:val="00CA7B09"/>
    <w:rsid w:val="00CB1539"/>
    <w:rsid w:val="00CB1D21"/>
    <w:rsid w:val="00CB2C51"/>
    <w:rsid w:val="00CB2DB4"/>
    <w:rsid w:val="00CB54B7"/>
    <w:rsid w:val="00CB5B1A"/>
    <w:rsid w:val="00CB5B1F"/>
    <w:rsid w:val="00CC0E81"/>
    <w:rsid w:val="00CC1010"/>
    <w:rsid w:val="00CC2EE0"/>
    <w:rsid w:val="00CC4F72"/>
    <w:rsid w:val="00CC7DCD"/>
    <w:rsid w:val="00CD1849"/>
    <w:rsid w:val="00CD5C6F"/>
    <w:rsid w:val="00CD5E90"/>
    <w:rsid w:val="00CD6ADC"/>
    <w:rsid w:val="00CD7711"/>
    <w:rsid w:val="00CE0D24"/>
    <w:rsid w:val="00CE1D4F"/>
    <w:rsid w:val="00CE4CFD"/>
    <w:rsid w:val="00CE512D"/>
    <w:rsid w:val="00CE5E0F"/>
    <w:rsid w:val="00CE6274"/>
    <w:rsid w:val="00CE7499"/>
    <w:rsid w:val="00CE77CC"/>
    <w:rsid w:val="00CF0D4D"/>
    <w:rsid w:val="00CF24C9"/>
    <w:rsid w:val="00CF31D0"/>
    <w:rsid w:val="00CF456B"/>
    <w:rsid w:val="00CF477A"/>
    <w:rsid w:val="00CF547D"/>
    <w:rsid w:val="00CF5A22"/>
    <w:rsid w:val="00CF5FA4"/>
    <w:rsid w:val="00CF723F"/>
    <w:rsid w:val="00D0262E"/>
    <w:rsid w:val="00D035A0"/>
    <w:rsid w:val="00D04EBF"/>
    <w:rsid w:val="00D06DCB"/>
    <w:rsid w:val="00D110BD"/>
    <w:rsid w:val="00D11112"/>
    <w:rsid w:val="00D129F6"/>
    <w:rsid w:val="00D12D5B"/>
    <w:rsid w:val="00D14CE0"/>
    <w:rsid w:val="00D155E1"/>
    <w:rsid w:val="00D156AF"/>
    <w:rsid w:val="00D1629A"/>
    <w:rsid w:val="00D16532"/>
    <w:rsid w:val="00D16B30"/>
    <w:rsid w:val="00D17D6C"/>
    <w:rsid w:val="00D20240"/>
    <w:rsid w:val="00D218C7"/>
    <w:rsid w:val="00D21B75"/>
    <w:rsid w:val="00D24961"/>
    <w:rsid w:val="00D25546"/>
    <w:rsid w:val="00D30257"/>
    <w:rsid w:val="00D30553"/>
    <w:rsid w:val="00D31493"/>
    <w:rsid w:val="00D31E05"/>
    <w:rsid w:val="00D333EC"/>
    <w:rsid w:val="00D33626"/>
    <w:rsid w:val="00D357FF"/>
    <w:rsid w:val="00D41643"/>
    <w:rsid w:val="00D41B3D"/>
    <w:rsid w:val="00D428EB"/>
    <w:rsid w:val="00D43788"/>
    <w:rsid w:val="00D46F5B"/>
    <w:rsid w:val="00D50923"/>
    <w:rsid w:val="00D53828"/>
    <w:rsid w:val="00D538B6"/>
    <w:rsid w:val="00D53BEF"/>
    <w:rsid w:val="00D5798E"/>
    <w:rsid w:val="00D616F0"/>
    <w:rsid w:val="00D617C8"/>
    <w:rsid w:val="00D61DCA"/>
    <w:rsid w:val="00D653FD"/>
    <w:rsid w:val="00D6545B"/>
    <w:rsid w:val="00D66FB8"/>
    <w:rsid w:val="00D7227A"/>
    <w:rsid w:val="00D7244C"/>
    <w:rsid w:val="00D730C3"/>
    <w:rsid w:val="00D73697"/>
    <w:rsid w:val="00D740DA"/>
    <w:rsid w:val="00D74584"/>
    <w:rsid w:val="00D748F3"/>
    <w:rsid w:val="00D75A80"/>
    <w:rsid w:val="00D761D1"/>
    <w:rsid w:val="00D762ED"/>
    <w:rsid w:val="00D763E1"/>
    <w:rsid w:val="00D76576"/>
    <w:rsid w:val="00D76A44"/>
    <w:rsid w:val="00D77373"/>
    <w:rsid w:val="00D778A1"/>
    <w:rsid w:val="00D77972"/>
    <w:rsid w:val="00D800BA"/>
    <w:rsid w:val="00D812F3"/>
    <w:rsid w:val="00D8157B"/>
    <w:rsid w:val="00D81A94"/>
    <w:rsid w:val="00D826B1"/>
    <w:rsid w:val="00D82DFF"/>
    <w:rsid w:val="00D85471"/>
    <w:rsid w:val="00D85796"/>
    <w:rsid w:val="00D85A15"/>
    <w:rsid w:val="00D90480"/>
    <w:rsid w:val="00D905CB"/>
    <w:rsid w:val="00D91FDB"/>
    <w:rsid w:val="00D92F03"/>
    <w:rsid w:val="00D93753"/>
    <w:rsid w:val="00D949C9"/>
    <w:rsid w:val="00D95F79"/>
    <w:rsid w:val="00D96FA6"/>
    <w:rsid w:val="00DA0DAA"/>
    <w:rsid w:val="00DA0F7C"/>
    <w:rsid w:val="00DA2B18"/>
    <w:rsid w:val="00DA4B82"/>
    <w:rsid w:val="00DA4F72"/>
    <w:rsid w:val="00DA5461"/>
    <w:rsid w:val="00DA77A5"/>
    <w:rsid w:val="00DA7A42"/>
    <w:rsid w:val="00DB11AF"/>
    <w:rsid w:val="00DB5376"/>
    <w:rsid w:val="00DB583B"/>
    <w:rsid w:val="00DB5E90"/>
    <w:rsid w:val="00DC05E8"/>
    <w:rsid w:val="00DC1108"/>
    <w:rsid w:val="00DC14C7"/>
    <w:rsid w:val="00DC2282"/>
    <w:rsid w:val="00DC22F2"/>
    <w:rsid w:val="00DC3B51"/>
    <w:rsid w:val="00DC3D49"/>
    <w:rsid w:val="00DC5501"/>
    <w:rsid w:val="00DC5C72"/>
    <w:rsid w:val="00DC7613"/>
    <w:rsid w:val="00DD3534"/>
    <w:rsid w:val="00DD3F28"/>
    <w:rsid w:val="00DD4537"/>
    <w:rsid w:val="00DD4E15"/>
    <w:rsid w:val="00DD50AA"/>
    <w:rsid w:val="00DD5514"/>
    <w:rsid w:val="00DD59A8"/>
    <w:rsid w:val="00DD6CEA"/>
    <w:rsid w:val="00DE05F8"/>
    <w:rsid w:val="00DE0D88"/>
    <w:rsid w:val="00DE4FCB"/>
    <w:rsid w:val="00DE567C"/>
    <w:rsid w:val="00DF0803"/>
    <w:rsid w:val="00DF2191"/>
    <w:rsid w:val="00DF26C0"/>
    <w:rsid w:val="00DF31CE"/>
    <w:rsid w:val="00DF3C07"/>
    <w:rsid w:val="00DF4521"/>
    <w:rsid w:val="00DF5D2B"/>
    <w:rsid w:val="00DF68BE"/>
    <w:rsid w:val="00DF6E1E"/>
    <w:rsid w:val="00DF7FD8"/>
    <w:rsid w:val="00E00A05"/>
    <w:rsid w:val="00E013B5"/>
    <w:rsid w:val="00E016A8"/>
    <w:rsid w:val="00E056EB"/>
    <w:rsid w:val="00E064A2"/>
    <w:rsid w:val="00E0694E"/>
    <w:rsid w:val="00E073D9"/>
    <w:rsid w:val="00E10149"/>
    <w:rsid w:val="00E104C8"/>
    <w:rsid w:val="00E11351"/>
    <w:rsid w:val="00E125BC"/>
    <w:rsid w:val="00E1279B"/>
    <w:rsid w:val="00E13FB8"/>
    <w:rsid w:val="00E146C0"/>
    <w:rsid w:val="00E14A01"/>
    <w:rsid w:val="00E16372"/>
    <w:rsid w:val="00E20ED6"/>
    <w:rsid w:val="00E21358"/>
    <w:rsid w:val="00E22404"/>
    <w:rsid w:val="00E2249B"/>
    <w:rsid w:val="00E22A0D"/>
    <w:rsid w:val="00E234E7"/>
    <w:rsid w:val="00E239A5"/>
    <w:rsid w:val="00E23E65"/>
    <w:rsid w:val="00E25FE8"/>
    <w:rsid w:val="00E2771E"/>
    <w:rsid w:val="00E27794"/>
    <w:rsid w:val="00E27DE1"/>
    <w:rsid w:val="00E32A76"/>
    <w:rsid w:val="00E3339A"/>
    <w:rsid w:val="00E33CC1"/>
    <w:rsid w:val="00E36BD0"/>
    <w:rsid w:val="00E370F3"/>
    <w:rsid w:val="00E37569"/>
    <w:rsid w:val="00E40C28"/>
    <w:rsid w:val="00E417D2"/>
    <w:rsid w:val="00E41E30"/>
    <w:rsid w:val="00E43D70"/>
    <w:rsid w:val="00E44905"/>
    <w:rsid w:val="00E44CB1"/>
    <w:rsid w:val="00E45D75"/>
    <w:rsid w:val="00E4626E"/>
    <w:rsid w:val="00E468FB"/>
    <w:rsid w:val="00E476CC"/>
    <w:rsid w:val="00E47B2C"/>
    <w:rsid w:val="00E50163"/>
    <w:rsid w:val="00E50961"/>
    <w:rsid w:val="00E51560"/>
    <w:rsid w:val="00E518F3"/>
    <w:rsid w:val="00E519EF"/>
    <w:rsid w:val="00E51ED6"/>
    <w:rsid w:val="00E520FD"/>
    <w:rsid w:val="00E526E1"/>
    <w:rsid w:val="00E55233"/>
    <w:rsid w:val="00E55424"/>
    <w:rsid w:val="00E55AA7"/>
    <w:rsid w:val="00E55BB5"/>
    <w:rsid w:val="00E56D54"/>
    <w:rsid w:val="00E570FE"/>
    <w:rsid w:val="00E61A6C"/>
    <w:rsid w:val="00E633F0"/>
    <w:rsid w:val="00E6399E"/>
    <w:rsid w:val="00E644CC"/>
    <w:rsid w:val="00E64BD3"/>
    <w:rsid w:val="00E65E79"/>
    <w:rsid w:val="00E66EF6"/>
    <w:rsid w:val="00E672F0"/>
    <w:rsid w:val="00E67416"/>
    <w:rsid w:val="00E67B99"/>
    <w:rsid w:val="00E70832"/>
    <w:rsid w:val="00E718B6"/>
    <w:rsid w:val="00E71B28"/>
    <w:rsid w:val="00E731E4"/>
    <w:rsid w:val="00E73581"/>
    <w:rsid w:val="00E73CD9"/>
    <w:rsid w:val="00E760F0"/>
    <w:rsid w:val="00E76A95"/>
    <w:rsid w:val="00E76C26"/>
    <w:rsid w:val="00E80422"/>
    <w:rsid w:val="00E80457"/>
    <w:rsid w:val="00E83BDF"/>
    <w:rsid w:val="00E85E7A"/>
    <w:rsid w:val="00E8766C"/>
    <w:rsid w:val="00E87D5C"/>
    <w:rsid w:val="00E91894"/>
    <w:rsid w:val="00E9224A"/>
    <w:rsid w:val="00E92C3E"/>
    <w:rsid w:val="00E92FD7"/>
    <w:rsid w:val="00E94312"/>
    <w:rsid w:val="00E94574"/>
    <w:rsid w:val="00E952F8"/>
    <w:rsid w:val="00E97432"/>
    <w:rsid w:val="00E97FDF"/>
    <w:rsid w:val="00EA3864"/>
    <w:rsid w:val="00EA3A5A"/>
    <w:rsid w:val="00EA57D8"/>
    <w:rsid w:val="00EA6065"/>
    <w:rsid w:val="00EB15B6"/>
    <w:rsid w:val="00EB3025"/>
    <w:rsid w:val="00EB3B56"/>
    <w:rsid w:val="00EB4916"/>
    <w:rsid w:val="00EB58E3"/>
    <w:rsid w:val="00EB5B47"/>
    <w:rsid w:val="00EB6052"/>
    <w:rsid w:val="00EB72F5"/>
    <w:rsid w:val="00EC00C9"/>
    <w:rsid w:val="00EC07D1"/>
    <w:rsid w:val="00EC087F"/>
    <w:rsid w:val="00EC12FE"/>
    <w:rsid w:val="00EC131B"/>
    <w:rsid w:val="00EC4DB4"/>
    <w:rsid w:val="00EC4FDC"/>
    <w:rsid w:val="00EC56FC"/>
    <w:rsid w:val="00EC74C2"/>
    <w:rsid w:val="00ED05E9"/>
    <w:rsid w:val="00ED08F3"/>
    <w:rsid w:val="00ED1B1D"/>
    <w:rsid w:val="00ED1C93"/>
    <w:rsid w:val="00ED41D3"/>
    <w:rsid w:val="00ED5757"/>
    <w:rsid w:val="00ED57FA"/>
    <w:rsid w:val="00ED707D"/>
    <w:rsid w:val="00ED77BD"/>
    <w:rsid w:val="00ED79D1"/>
    <w:rsid w:val="00ED7A10"/>
    <w:rsid w:val="00EE07D3"/>
    <w:rsid w:val="00EE1480"/>
    <w:rsid w:val="00EE2332"/>
    <w:rsid w:val="00EE6646"/>
    <w:rsid w:val="00EE6D5E"/>
    <w:rsid w:val="00EF176B"/>
    <w:rsid w:val="00EF2F4D"/>
    <w:rsid w:val="00EF5D32"/>
    <w:rsid w:val="00EF62AB"/>
    <w:rsid w:val="00F00526"/>
    <w:rsid w:val="00F00541"/>
    <w:rsid w:val="00F008FA"/>
    <w:rsid w:val="00F01E28"/>
    <w:rsid w:val="00F0296B"/>
    <w:rsid w:val="00F031AF"/>
    <w:rsid w:val="00F03CF7"/>
    <w:rsid w:val="00F06318"/>
    <w:rsid w:val="00F067A2"/>
    <w:rsid w:val="00F06886"/>
    <w:rsid w:val="00F06D7F"/>
    <w:rsid w:val="00F073CB"/>
    <w:rsid w:val="00F07A3D"/>
    <w:rsid w:val="00F109F9"/>
    <w:rsid w:val="00F11951"/>
    <w:rsid w:val="00F11AEC"/>
    <w:rsid w:val="00F150B7"/>
    <w:rsid w:val="00F172CA"/>
    <w:rsid w:val="00F17BA1"/>
    <w:rsid w:val="00F20DCA"/>
    <w:rsid w:val="00F21F94"/>
    <w:rsid w:val="00F220F4"/>
    <w:rsid w:val="00F2349F"/>
    <w:rsid w:val="00F24837"/>
    <w:rsid w:val="00F24E46"/>
    <w:rsid w:val="00F2575F"/>
    <w:rsid w:val="00F25777"/>
    <w:rsid w:val="00F25DDB"/>
    <w:rsid w:val="00F26451"/>
    <w:rsid w:val="00F27093"/>
    <w:rsid w:val="00F31F1E"/>
    <w:rsid w:val="00F33520"/>
    <w:rsid w:val="00F33DE9"/>
    <w:rsid w:val="00F34127"/>
    <w:rsid w:val="00F351C1"/>
    <w:rsid w:val="00F3574F"/>
    <w:rsid w:val="00F3619A"/>
    <w:rsid w:val="00F37F98"/>
    <w:rsid w:val="00F40D19"/>
    <w:rsid w:val="00F42320"/>
    <w:rsid w:val="00F4261F"/>
    <w:rsid w:val="00F4382C"/>
    <w:rsid w:val="00F44244"/>
    <w:rsid w:val="00F44F3D"/>
    <w:rsid w:val="00F451C2"/>
    <w:rsid w:val="00F45B68"/>
    <w:rsid w:val="00F45CDB"/>
    <w:rsid w:val="00F4644E"/>
    <w:rsid w:val="00F46CB6"/>
    <w:rsid w:val="00F477FF"/>
    <w:rsid w:val="00F507B8"/>
    <w:rsid w:val="00F50F4B"/>
    <w:rsid w:val="00F51C87"/>
    <w:rsid w:val="00F527BE"/>
    <w:rsid w:val="00F52F32"/>
    <w:rsid w:val="00F52FCA"/>
    <w:rsid w:val="00F53EBA"/>
    <w:rsid w:val="00F553E4"/>
    <w:rsid w:val="00F55E73"/>
    <w:rsid w:val="00F56501"/>
    <w:rsid w:val="00F56DD3"/>
    <w:rsid w:val="00F570F5"/>
    <w:rsid w:val="00F60092"/>
    <w:rsid w:val="00F60E5A"/>
    <w:rsid w:val="00F61296"/>
    <w:rsid w:val="00F61C9F"/>
    <w:rsid w:val="00F61DB8"/>
    <w:rsid w:val="00F61E20"/>
    <w:rsid w:val="00F6235C"/>
    <w:rsid w:val="00F637AB"/>
    <w:rsid w:val="00F6456B"/>
    <w:rsid w:val="00F671D2"/>
    <w:rsid w:val="00F674ED"/>
    <w:rsid w:val="00F67BFA"/>
    <w:rsid w:val="00F67E27"/>
    <w:rsid w:val="00F70513"/>
    <w:rsid w:val="00F70E17"/>
    <w:rsid w:val="00F73ADF"/>
    <w:rsid w:val="00F73B9F"/>
    <w:rsid w:val="00F73C75"/>
    <w:rsid w:val="00F74130"/>
    <w:rsid w:val="00F75608"/>
    <w:rsid w:val="00F77369"/>
    <w:rsid w:val="00F80623"/>
    <w:rsid w:val="00F80E5D"/>
    <w:rsid w:val="00F80E70"/>
    <w:rsid w:val="00F80F64"/>
    <w:rsid w:val="00F82ED0"/>
    <w:rsid w:val="00F843C6"/>
    <w:rsid w:val="00F84EE7"/>
    <w:rsid w:val="00F851CE"/>
    <w:rsid w:val="00F85A58"/>
    <w:rsid w:val="00F8636A"/>
    <w:rsid w:val="00F863DE"/>
    <w:rsid w:val="00F864C6"/>
    <w:rsid w:val="00F91AAF"/>
    <w:rsid w:val="00F93C72"/>
    <w:rsid w:val="00F94BDB"/>
    <w:rsid w:val="00F954E9"/>
    <w:rsid w:val="00F97018"/>
    <w:rsid w:val="00F9720D"/>
    <w:rsid w:val="00F97411"/>
    <w:rsid w:val="00F97A78"/>
    <w:rsid w:val="00FA0354"/>
    <w:rsid w:val="00FA24E7"/>
    <w:rsid w:val="00FA300A"/>
    <w:rsid w:val="00FA36FE"/>
    <w:rsid w:val="00FA581A"/>
    <w:rsid w:val="00FA6939"/>
    <w:rsid w:val="00FA7B1F"/>
    <w:rsid w:val="00FB0DAE"/>
    <w:rsid w:val="00FB19BA"/>
    <w:rsid w:val="00FB271F"/>
    <w:rsid w:val="00FB2FCB"/>
    <w:rsid w:val="00FB3E12"/>
    <w:rsid w:val="00FC048F"/>
    <w:rsid w:val="00FC0692"/>
    <w:rsid w:val="00FC0823"/>
    <w:rsid w:val="00FC0B01"/>
    <w:rsid w:val="00FC1074"/>
    <w:rsid w:val="00FC1884"/>
    <w:rsid w:val="00FC4AF6"/>
    <w:rsid w:val="00FC7BD0"/>
    <w:rsid w:val="00FC7CCB"/>
    <w:rsid w:val="00FD0AD9"/>
    <w:rsid w:val="00FD0D41"/>
    <w:rsid w:val="00FD1679"/>
    <w:rsid w:val="00FD2100"/>
    <w:rsid w:val="00FD446D"/>
    <w:rsid w:val="00FD4DFD"/>
    <w:rsid w:val="00FD5928"/>
    <w:rsid w:val="00FE07D7"/>
    <w:rsid w:val="00FE1967"/>
    <w:rsid w:val="00FE4A9C"/>
    <w:rsid w:val="00FE4D40"/>
    <w:rsid w:val="00FE4FCF"/>
    <w:rsid w:val="00FE71EC"/>
    <w:rsid w:val="00FF05C8"/>
    <w:rsid w:val="00FF1E85"/>
    <w:rsid w:val="00FF332F"/>
    <w:rsid w:val="00FF3DCF"/>
    <w:rsid w:val="00FF4D23"/>
    <w:rsid w:val="00FF5AA3"/>
    <w:rsid w:val="00FF64E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F8636A"/>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5F253D"/>
    <w:pPr>
      <w:outlineLvl w:val="2"/>
    </w:pPr>
    <w:rPr>
      <w:b/>
      <w:i/>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79E"/>
    <w:rPr>
      <w:rFonts w:ascii="Arial Bold" w:hAnsi="Arial Bold" w:cs="Arial"/>
      <w:b/>
      <w:caps/>
      <w:snapToGrid w:val="0"/>
      <w:sz w:val="22"/>
      <w:lang w:eastAsia="en-US"/>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3Char">
    <w:name w:val="Heading 3 Char"/>
    <w:basedOn w:val="DefaultParagraphFont"/>
    <w:link w:val="Heading3"/>
    <w:rsid w:val="005F253D"/>
    <w:rPr>
      <w:rFonts w:ascii="Arial" w:hAnsi="Arial" w:cs="Arial"/>
      <w:b/>
      <w:i/>
      <w:snapToGrid w:val="0"/>
      <w:sz w:val="22"/>
      <w:lang w:eastAsia="en-US"/>
    </w:rPr>
  </w:style>
  <w:style w:type="character" w:customStyle="1" w:styleId="Heading4Char">
    <w:name w:val="Heading 4 Char"/>
    <w:basedOn w:val="DefaultParagraphFont"/>
    <w:link w:val="Heading4"/>
    <w:rsid w:val="0052079E"/>
    <w:rPr>
      <w:rFonts w:ascii="Arial" w:hAnsi="Arial" w:cs="Arial"/>
      <w:b/>
      <w:bCs/>
      <w:i/>
      <w:snapToGrid w:val="0"/>
      <w:sz w:val="26"/>
      <w:szCs w:val="28"/>
      <w:lang w:eastAsia="en-US"/>
    </w:rPr>
  </w:style>
  <w:style w:type="character" w:customStyle="1" w:styleId="Heading5Char">
    <w:name w:val="Heading 5 Char"/>
    <w:basedOn w:val="DefaultParagraphFont"/>
    <w:link w:val="Heading5"/>
    <w:rsid w:val="0052079E"/>
    <w:rPr>
      <w:rFonts w:ascii="Arial" w:hAnsi="Arial" w:cs="Arial"/>
      <w:b/>
      <w:bCs/>
      <w:iCs/>
      <w:snapToGrid w:val="0"/>
      <w:sz w:val="26"/>
      <w:szCs w:val="26"/>
      <w:lang w:eastAsia="en-US"/>
    </w:rPr>
  </w:style>
  <w:style w:type="character" w:customStyle="1" w:styleId="Heading6Char">
    <w:name w:val="Heading 6 Char"/>
    <w:basedOn w:val="DefaultParagraphFont"/>
    <w:link w:val="Heading6"/>
    <w:rsid w:val="0052079E"/>
    <w:rPr>
      <w:rFonts w:ascii="Arial" w:hAnsi="Arial" w:cs="Arial"/>
      <w:b/>
      <w:bCs/>
      <w:i/>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C4691E"/>
    <w:rPr>
      <w:rFonts w:ascii="Arial Narrow" w:hAnsi="Arial Narrow" w:cs="Arial"/>
      <w:snapToGrid w:val="0"/>
      <w:sz w:val="18"/>
      <w:lang w:eastAsia="en-US"/>
    </w:rPr>
  </w:style>
  <w:style w:type="paragraph" w:customStyle="1" w:styleId="TableHeader">
    <w:name w:val="Table Header"/>
    <w:basedOn w:val="Normal"/>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character" w:customStyle="1" w:styleId="TabletextChar">
    <w:name w:val="Table text Char"/>
    <w:link w:val="Tabletext"/>
    <w:rsid w:val="00A56B6A"/>
    <w:rPr>
      <w:rFonts w:ascii="Arial" w:hAnsi="Arial"/>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FF4D23"/>
    <w:pPr>
      <w:tabs>
        <w:tab w:val="left" w:pos="880"/>
        <w:tab w:val="right" w:leader="dot" w:pos="9016"/>
      </w:tabs>
      <w:spacing w:before="120"/>
      <w:ind w:left="851" w:hanging="631"/>
      <w:jc w:val="left"/>
    </w:pPr>
    <w:rPr>
      <w:iCs/>
      <w:sz w:val="20"/>
    </w:rPr>
  </w:style>
  <w:style w:type="paragraph" w:styleId="TOC1">
    <w:name w:val="toc 1"/>
    <w:basedOn w:val="Normal"/>
    <w:next w:val="Normal"/>
    <w:autoRedefine/>
    <w:uiPriority w:val="39"/>
    <w:rsid w:val="00FF4D23"/>
    <w:pPr>
      <w:tabs>
        <w:tab w:val="left" w:pos="440"/>
        <w:tab w:val="right" w:leader="dot" w:pos="9016"/>
      </w:tabs>
      <w:spacing w:before="240" w:after="120"/>
      <w:ind w:left="426" w:hanging="426"/>
      <w:jc w:val="left"/>
    </w:pPr>
    <w:rPr>
      <w:bCs/>
      <w:sz w:val="20"/>
    </w:rPr>
  </w:style>
  <w:style w:type="character" w:styleId="Hyperlink">
    <w:name w:val="Hyperlink"/>
    <w:basedOn w:val="DefaultParagraphFont"/>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
      </w:numPr>
    </w:pPr>
    <w:rPr>
      <w:rFonts w:ascii="Arial" w:hAnsi="Arial" w:cs="Arial"/>
      <w:b/>
      <w:snapToGrid w:val="0"/>
      <w:sz w:val="22"/>
      <w:szCs w:val="22"/>
      <w:lang w:eastAsia="en-US"/>
    </w:rPr>
  </w:style>
  <w:style w:type="paragraph" w:customStyle="1" w:styleId="TableText1">
    <w:name w:val="Table Text"/>
    <w:basedOn w:val="Normal"/>
    <w:link w:val="TableTextChar0"/>
    <w:qFormat/>
    <w:rsid w:val="00E44CB1"/>
    <w:pPr>
      <w:widowControl/>
      <w:spacing w:before="40" w:after="60"/>
    </w:pPr>
    <w:rPr>
      <w:rFonts w:asciiTheme="minorHAnsi" w:eastAsia="SimSun" w:hAnsiTheme="minorHAnsi" w:cs="Arial Narrow"/>
      <w:snapToGrid/>
      <w:sz w:val="20"/>
    </w:rPr>
  </w:style>
  <w:style w:type="character" w:customStyle="1" w:styleId="TableTextChar0">
    <w:name w:val="Table Text Char"/>
    <w:basedOn w:val="DefaultParagraphFont"/>
    <w:link w:val="TableText1"/>
    <w:rsid w:val="00E44CB1"/>
    <w:rPr>
      <w:rFonts w:asciiTheme="minorHAnsi" w:eastAsia="SimSun" w:hAnsiTheme="minorHAnsi" w:cs="Arial Narrow"/>
      <w:lang w:eastAsia="en-US"/>
    </w:rPr>
  </w:style>
  <w:style w:type="paragraph" w:customStyle="1" w:styleId="COMtbl-HEADLeftAligned">
    <w:name w:val="COMtbl-HEAD Left Aligned"/>
    <w:basedOn w:val="Normal"/>
    <w:qFormat/>
    <w:rsid w:val="003504CF"/>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3504CF"/>
    <w:pPr>
      <w:jc w:val="center"/>
    </w:pPr>
  </w:style>
  <w:style w:type="paragraph" w:customStyle="1" w:styleId="COMTbl-cap">
    <w:name w:val="COMTbl-cap"/>
    <w:basedOn w:val="Normal"/>
    <w:link w:val="COMTbl-capChar"/>
    <w:qFormat/>
    <w:rsid w:val="003504CF"/>
    <w:pPr>
      <w:keepNext/>
    </w:pPr>
    <w:rPr>
      <w:rFonts w:ascii="Arial Narrow" w:hAnsi="Arial Narrow"/>
      <w:b/>
      <w:sz w:val="20"/>
    </w:rPr>
  </w:style>
  <w:style w:type="character" w:customStyle="1" w:styleId="COMTbl-capChar">
    <w:name w:val="COMTbl-cap Char"/>
    <w:basedOn w:val="DefaultParagraphFont"/>
    <w:link w:val="COMTbl-cap"/>
    <w:rsid w:val="003504CF"/>
    <w:rPr>
      <w:rFonts w:ascii="Arial Narrow" w:hAnsi="Arial Narrow" w:cs="Arial"/>
      <w:b/>
      <w:snapToGrid w:val="0"/>
      <w:lang w:eastAsia="en-US"/>
    </w:rPr>
  </w:style>
  <w:style w:type="character" w:customStyle="1" w:styleId="Small">
    <w:name w:val="Small"/>
    <w:basedOn w:val="DefaultParagraphFont"/>
    <w:uiPriority w:val="4"/>
    <w:qFormat/>
    <w:rsid w:val="005668F8"/>
    <w:rPr>
      <w:rFonts w:ascii="Arial" w:hAnsi="Arial"/>
      <w:sz w:val="20"/>
    </w:rPr>
  </w:style>
  <w:style w:type="paragraph" w:customStyle="1" w:styleId="TableCentre">
    <w:name w:val="Table Centre"/>
    <w:basedOn w:val="Normal"/>
    <w:qFormat/>
    <w:rsid w:val="005668F8"/>
    <w:pPr>
      <w:widowControl/>
      <w:jc w:val="center"/>
    </w:pPr>
    <w:rPr>
      <w:rFonts w:eastAsiaTheme="majorEastAsia" w:cstheme="majorBidi"/>
      <w:snapToGrid/>
      <w:sz w:val="18"/>
      <w:szCs w:val="22"/>
      <w:lang w:bidi="en-US"/>
    </w:rPr>
  </w:style>
  <w:style w:type="paragraph" w:customStyle="1" w:styleId="PBACheading10">
    <w:name w:val="PBAC heading 1"/>
    <w:qFormat/>
    <w:rsid w:val="00A417AC"/>
    <w:pPr>
      <w:ind w:left="720" w:hanging="720"/>
    </w:pPr>
    <w:rPr>
      <w:rFonts w:ascii="Arial" w:hAnsi="Arial" w:cs="Arial"/>
      <w:snapToGrid w:val="0"/>
      <w:sz w:val="22"/>
      <w:szCs w:val="22"/>
      <w:lang w:eastAsia="en-US"/>
    </w:rPr>
  </w:style>
  <w:style w:type="paragraph" w:customStyle="1" w:styleId="Table">
    <w:name w:val="Table"/>
    <w:basedOn w:val="Normal"/>
    <w:link w:val="TableChar"/>
    <w:qFormat/>
    <w:rsid w:val="00A417AC"/>
    <w:pPr>
      <w:widowControl/>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A417AC"/>
    <w:rPr>
      <w:rFonts w:ascii="Candara" w:eastAsiaTheme="majorEastAsia" w:hAnsi="Candara" w:cstheme="majorBidi"/>
      <w:szCs w:val="22"/>
      <w:lang w:eastAsia="en-US" w:bidi="en-US"/>
    </w:rPr>
  </w:style>
  <w:style w:type="paragraph" w:customStyle="1" w:styleId="TableHeaderRow">
    <w:name w:val="Table Header Row"/>
    <w:basedOn w:val="Normal"/>
    <w:uiPriority w:val="99"/>
    <w:qFormat/>
    <w:rsid w:val="00A417AC"/>
    <w:pPr>
      <w:keepNext/>
      <w:widowControl/>
      <w:spacing w:before="60" w:after="60" w:line="360" w:lineRule="auto"/>
      <w:contextualSpacing/>
      <w:jc w:val="center"/>
    </w:pPr>
    <w:rPr>
      <w:rFonts w:asciiTheme="minorHAnsi" w:eastAsia="PMingLiU" w:hAnsiTheme="minorHAnsi" w:cs="Times New Roman"/>
      <w:b/>
      <w:snapToGrid/>
      <w:sz w:val="20"/>
      <w:szCs w:val="24"/>
      <w:lang w:eastAsia="en-AU"/>
    </w:rPr>
  </w:style>
  <w:style w:type="character" w:customStyle="1" w:styleId="glossary-term">
    <w:name w:val="glossary-term"/>
    <w:basedOn w:val="DefaultParagraphFont"/>
    <w:rsid w:val="00AC442F"/>
  </w:style>
  <w:style w:type="paragraph" w:customStyle="1" w:styleId="Default">
    <w:name w:val="Default"/>
    <w:rsid w:val="00466B17"/>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rsid w:val="00D812F3"/>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
    <w:name w:val="Table notes"/>
    <w:basedOn w:val="Normal"/>
    <w:qFormat/>
    <w:rsid w:val="0096153E"/>
    <w:pPr>
      <w:widowControl/>
    </w:pPr>
    <w:rPr>
      <w:rFonts w:asciiTheme="minorHAnsi" w:eastAsia="PMingLiU" w:hAnsiTheme="minorHAnsi"/>
      <w:snapToGrid/>
      <w:sz w:val="18"/>
      <w:szCs w:val="22"/>
      <w:lang w:eastAsia="en-AU"/>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56CB6"/>
    <w:pPr>
      <w:widowControl/>
      <w:spacing w:after="160" w:line="240" w:lineRule="exact"/>
      <w:jc w:val="left"/>
    </w:pPr>
    <w:rPr>
      <w:rFonts w:ascii="Verdana" w:eastAsia="MS Mincho" w:hAnsi="Verdana" w:cs="Verdana"/>
      <w:snapToGrid/>
      <w:sz w:val="20"/>
      <w:lang w:val="en-US"/>
    </w:rPr>
  </w:style>
  <w:style w:type="paragraph" w:styleId="FootnoteText">
    <w:name w:val="footnote text"/>
    <w:basedOn w:val="Normal"/>
    <w:link w:val="FootnoteTextChar"/>
    <w:unhideWhenUsed/>
    <w:rsid w:val="005A7341"/>
    <w:rPr>
      <w:sz w:val="20"/>
    </w:rPr>
  </w:style>
  <w:style w:type="character" w:customStyle="1" w:styleId="FootnoteTextChar">
    <w:name w:val="Footnote Text Char"/>
    <w:basedOn w:val="DefaultParagraphFont"/>
    <w:link w:val="FootnoteText"/>
    <w:rsid w:val="005A7341"/>
    <w:rPr>
      <w:rFonts w:ascii="Arial" w:hAnsi="Arial" w:cs="Arial"/>
      <w:snapToGrid w:val="0"/>
      <w:lang w:eastAsia="en-US"/>
    </w:rPr>
  </w:style>
  <w:style w:type="character" w:styleId="FootnoteReference">
    <w:name w:val="footnote reference"/>
    <w:basedOn w:val="DefaultParagraphFont"/>
    <w:unhideWhenUsed/>
    <w:rsid w:val="005A7341"/>
    <w:rPr>
      <w:vertAlign w:val="superscript"/>
    </w:rPr>
  </w:style>
  <w:style w:type="character" w:customStyle="1" w:styleId="ListParagraphChar">
    <w:name w:val="List Paragraph Char"/>
    <w:aliases w:val="BulletPoints Char"/>
    <w:link w:val="ListParagraph"/>
    <w:uiPriority w:val="72"/>
    <w:rsid w:val="00C15E26"/>
    <w:rPr>
      <w:rFonts w:ascii="Arial" w:hAnsi="Arial" w:cs="Arial"/>
      <w:snapToGrid w:val="0"/>
      <w:sz w:val="22"/>
      <w:lang w:eastAsia="en-US"/>
    </w:rPr>
  </w:style>
  <w:style w:type="character" w:styleId="FollowedHyperlink">
    <w:name w:val="FollowedHyperlink"/>
    <w:basedOn w:val="DefaultParagraphFont"/>
    <w:uiPriority w:val="99"/>
    <w:semiHidden/>
    <w:unhideWhenUsed/>
    <w:rsid w:val="004E01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F8636A"/>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5F253D"/>
    <w:pPr>
      <w:outlineLvl w:val="2"/>
    </w:pPr>
    <w:rPr>
      <w:b/>
      <w:i/>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79E"/>
    <w:rPr>
      <w:rFonts w:ascii="Arial Bold" w:hAnsi="Arial Bold" w:cs="Arial"/>
      <w:b/>
      <w:caps/>
      <w:snapToGrid w:val="0"/>
      <w:sz w:val="22"/>
      <w:lang w:eastAsia="en-US"/>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3Char">
    <w:name w:val="Heading 3 Char"/>
    <w:basedOn w:val="DefaultParagraphFont"/>
    <w:link w:val="Heading3"/>
    <w:rsid w:val="005F253D"/>
    <w:rPr>
      <w:rFonts w:ascii="Arial" w:hAnsi="Arial" w:cs="Arial"/>
      <w:b/>
      <w:i/>
      <w:snapToGrid w:val="0"/>
      <w:sz w:val="22"/>
      <w:lang w:eastAsia="en-US"/>
    </w:rPr>
  </w:style>
  <w:style w:type="character" w:customStyle="1" w:styleId="Heading4Char">
    <w:name w:val="Heading 4 Char"/>
    <w:basedOn w:val="DefaultParagraphFont"/>
    <w:link w:val="Heading4"/>
    <w:rsid w:val="0052079E"/>
    <w:rPr>
      <w:rFonts w:ascii="Arial" w:hAnsi="Arial" w:cs="Arial"/>
      <w:b/>
      <w:bCs/>
      <w:i/>
      <w:snapToGrid w:val="0"/>
      <w:sz w:val="26"/>
      <w:szCs w:val="28"/>
      <w:lang w:eastAsia="en-US"/>
    </w:rPr>
  </w:style>
  <w:style w:type="character" w:customStyle="1" w:styleId="Heading5Char">
    <w:name w:val="Heading 5 Char"/>
    <w:basedOn w:val="DefaultParagraphFont"/>
    <w:link w:val="Heading5"/>
    <w:rsid w:val="0052079E"/>
    <w:rPr>
      <w:rFonts w:ascii="Arial" w:hAnsi="Arial" w:cs="Arial"/>
      <w:b/>
      <w:bCs/>
      <w:iCs/>
      <w:snapToGrid w:val="0"/>
      <w:sz w:val="26"/>
      <w:szCs w:val="26"/>
      <w:lang w:eastAsia="en-US"/>
    </w:rPr>
  </w:style>
  <w:style w:type="character" w:customStyle="1" w:styleId="Heading6Char">
    <w:name w:val="Heading 6 Char"/>
    <w:basedOn w:val="DefaultParagraphFont"/>
    <w:link w:val="Heading6"/>
    <w:rsid w:val="0052079E"/>
    <w:rPr>
      <w:rFonts w:ascii="Arial" w:hAnsi="Arial" w:cs="Arial"/>
      <w:b/>
      <w:bCs/>
      <w:i/>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C4691E"/>
    <w:rPr>
      <w:rFonts w:ascii="Arial Narrow" w:hAnsi="Arial Narrow" w:cs="Arial"/>
      <w:snapToGrid w:val="0"/>
      <w:sz w:val="18"/>
      <w:lang w:eastAsia="en-US"/>
    </w:rPr>
  </w:style>
  <w:style w:type="paragraph" w:customStyle="1" w:styleId="TableHeader">
    <w:name w:val="Table Header"/>
    <w:basedOn w:val="Normal"/>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character" w:customStyle="1" w:styleId="TabletextChar">
    <w:name w:val="Table text Char"/>
    <w:link w:val="Tabletext"/>
    <w:rsid w:val="00A56B6A"/>
    <w:rPr>
      <w:rFonts w:ascii="Arial" w:hAnsi="Arial"/>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FF4D23"/>
    <w:pPr>
      <w:tabs>
        <w:tab w:val="left" w:pos="880"/>
        <w:tab w:val="right" w:leader="dot" w:pos="9016"/>
      </w:tabs>
      <w:spacing w:before="120"/>
      <w:ind w:left="851" w:hanging="631"/>
      <w:jc w:val="left"/>
    </w:pPr>
    <w:rPr>
      <w:iCs/>
      <w:sz w:val="20"/>
    </w:rPr>
  </w:style>
  <w:style w:type="paragraph" w:styleId="TOC1">
    <w:name w:val="toc 1"/>
    <w:basedOn w:val="Normal"/>
    <w:next w:val="Normal"/>
    <w:autoRedefine/>
    <w:uiPriority w:val="39"/>
    <w:rsid w:val="00FF4D23"/>
    <w:pPr>
      <w:tabs>
        <w:tab w:val="left" w:pos="440"/>
        <w:tab w:val="right" w:leader="dot" w:pos="9016"/>
      </w:tabs>
      <w:spacing w:before="240" w:after="120"/>
      <w:ind w:left="426" w:hanging="426"/>
      <w:jc w:val="left"/>
    </w:pPr>
    <w:rPr>
      <w:bCs/>
      <w:sz w:val="20"/>
    </w:rPr>
  </w:style>
  <w:style w:type="character" w:styleId="Hyperlink">
    <w:name w:val="Hyperlink"/>
    <w:basedOn w:val="DefaultParagraphFont"/>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
      </w:numPr>
    </w:pPr>
    <w:rPr>
      <w:rFonts w:ascii="Arial" w:hAnsi="Arial" w:cs="Arial"/>
      <w:b/>
      <w:snapToGrid w:val="0"/>
      <w:sz w:val="22"/>
      <w:szCs w:val="22"/>
      <w:lang w:eastAsia="en-US"/>
    </w:rPr>
  </w:style>
  <w:style w:type="paragraph" w:customStyle="1" w:styleId="TableText1">
    <w:name w:val="Table Text"/>
    <w:basedOn w:val="Normal"/>
    <w:link w:val="TableTextChar0"/>
    <w:qFormat/>
    <w:rsid w:val="00E44CB1"/>
    <w:pPr>
      <w:widowControl/>
      <w:spacing w:before="40" w:after="60"/>
    </w:pPr>
    <w:rPr>
      <w:rFonts w:asciiTheme="minorHAnsi" w:eastAsia="SimSun" w:hAnsiTheme="minorHAnsi" w:cs="Arial Narrow"/>
      <w:snapToGrid/>
      <w:sz w:val="20"/>
    </w:rPr>
  </w:style>
  <w:style w:type="character" w:customStyle="1" w:styleId="TableTextChar0">
    <w:name w:val="Table Text Char"/>
    <w:basedOn w:val="DefaultParagraphFont"/>
    <w:link w:val="TableText1"/>
    <w:rsid w:val="00E44CB1"/>
    <w:rPr>
      <w:rFonts w:asciiTheme="minorHAnsi" w:eastAsia="SimSun" w:hAnsiTheme="minorHAnsi" w:cs="Arial Narrow"/>
      <w:lang w:eastAsia="en-US"/>
    </w:rPr>
  </w:style>
  <w:style w:type="paragraph" w:customStyle="1" w:styleId="COMtbl-HEADLeftAligned">
    <w:name w:val="COMtbl-HEAD Left Aligned"/>
    <w:basedOn w:val="Normal"/>
    <w:qFormat/>
    <w:rsid w:val="003504CF"/>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3504CF"/>
    <w:pPr>
      <w:jc w:val="center"/>
    </w:pPr>
  </w:style>
  <w:style w:type="paragraph" w:customStyle="1" w:styleId="COMTbl-cap">
    <w:name w:val="COMTbl-cap"/>
    <w:basedOn w:val="Normal"/>
    <w:link w:val="COMTbl-capChar"/>
    <w:qFormat/>
    <w:rsid w:val="003504CF"/>
    <w:pPr>
      <w:keepNext/>
    </w:pPr>
    <w:rPr>
      <w:rFonts w:ascii="Arial Narrow" w:hAnsi="Arial Narrow"/>
      <w:b/>
      <w:sz w:val="20"/>
    </w:rPr>
  </w:style>
  <w:style w:type="character" w:customStyle="1" w:styleId="COMTbl-capChar">
    <w:name w:val="COMTbl-cap Char"/>
    <w:basedOn w:val="DefaultParagraphFont"/>
    <w:link w:val="COMTbl-cap"/>
    <w:rsid w:val="003504CF"/>
    <w:rPr>
      <w:rFonts w:ascii="Arial Narrow" w:hAnsi="Arial Narrow" w:cs="Arial"/>
      <w:b/>
      <w:snapToGrid w:val="0"/>
      <w:lang w:eastAsia="en-US"/>
    </w:rPr>
  </w:style>
  <w:style w:type="character" w:customStyle="1" w:styleId="Small">
    <w:name w:val="Small"/>
    <w:basedOn w:val="DefaultParagraphFont"/>
    <w:uiPriority w:val="4"/>
    <w:qFormat/>
    <w:rsid w:val="005668F8"/>
    <w:rPr>
      <w:rFonts w:ascii="Arial" w:hAnsi="Arial"/>
      <w:sz w:val="20"/>
    </w:rPr>
  </w:style>
  <w:style w:type="paragraph" w:customStyle="1" w:styleId="TableCentre">
    <w:name w:val="Table Centre"/>
    <w:basedOn w:val="Normal"/>
    <w:qFormat/>
    <w:rsid w:val="005668F8"/>
    <w:pPr>
      <w:widowControl/>
      <w:jc w:val="center"/>
    </w:pPr>
    <w:rPr>
      <w:rFonts w:eastAsiaTheme="majorEastAsia" w:cstheme="majorBidi"/>
      <w:snapToGrid/>
      <w:sz w:val="18"/>
      <w:szCs w:val="22"/>
      <w:lang w:bidi="en-US"/>
    </w:rPr>
  </w:style>
  <w:style w:type="paragraph" w:customStyle="1" w:styleId="PBACheading10">
    <w:name w:val="PBAC heading 1"/>
    <w:qFormat/>
    <w:rsid w:val="00A417AC"/>
    <w:pPr>
      <w:ind w:left="720" w:hanging="720"/>
    </w:pPr>
    <w:rPr>
      <w:rFonts w:ascii="Arial" w:hAnsi="Arial" w:cs="Arial"/>
      <w:snapToGrid w:val="0"/>
      <w:sz w:val="22"/>
      <w:szCs w:val="22"/>
      <w:lang w:eastAsia="en-US"/>
    </w:rPr>
  </w:style>
  <w:style w:type="paragraph" w:customStyle="1" w:styleId="Table">
    <w:name w:val="Table"/>
    <w:basedOn w:val="Normal"/>
    <w:link w:val="TableChar"/>
    <w:qFormat/>
    <w:rsid w:val="00A417AC"/>
    <w:pPr>
      <w:widowControl/>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A417AC"/>
    <w:rPr>
      <w:rFonts w:ascii="Candara" w:eastAsiaTheme="majorEastAsia" w:hAnsi="Candara" w:cstheme="majorBidi"/>
      <w:szCs w:val="22"/>
      <w:lang w:eastAsia="en-US" w:bidi="en-US"/>
    </w:rPr>
  </w:style>
  <w:style w:type="paragraph" w:customStyle="1" w:styleId="TableHeaderRow">
    <w:name w:val="Table Header Row"/>
    <w:basedOn w:val="Normal"/>
    <w:uiPriority w:val="99"/>
    <w:qFormat/>
    <w:rsid w:val="00A417AC"/>
    <w:pPr>
      <w:keepNext/>
      <w:widowControl/>
      <w:spacing w:before="60" w:after="60" w:line="360" w:lineRule="auto"/>
      <w:contextualSpacing/>
      <w:jc w:val="center"/>
    </w:pPr>
    <w:rPr>
      <w:rFonts w:asciiTheme="minorHAnsi" w:eastAsia="PMingLiU" w:hAnsiTheme="minorHAnsi" w:cs="Times New Roman"/>
      <w:b/>
      <w:snapToGrid/>
      <w:sz w:val="20"/>
      <w:szCs w:val="24"/>
      <w:lang w:eastAsia="en-AU"/>
    </w:rPr>
  </w:style>
  <w:style w:type="character" w:customStyle="1" w:styleId="glossary-term">
    <w:name w:val="glossary-term"/>
    <w:basedOn w:val="DefaultParagraphFont"/>
    <w:rsid w:val="00AC442F"/>
  </w:style>
  <w:style w:type="paragraph" w:customStyle="1" w:styleId="Default">
    <w:name w:val="Default"/>
    <w:rsid w:val="00466B17"/>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rsid w:val="00D812F3"/>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
    <w:name w:val="Table notes"/>
    <w:basedOn w:val="Normal"/>
    <w:qFormat/>
    <w:rsid w:val="0096153E"/>
    <w:pPr>
      <w:widowControl/>
    </w:pPr>
    <w:rPr>
      <w:rFonts w:asciiTheme="minorHAnsi" w:eastAsia="PMingLiU" w:hAnsiTheme="minorHAnsi"/>
      <w:snapToGrid/>
      <w:sz w:val="18"/>
      <w:szCs w:val="22"/>
      <w:lang w:eastAsia="en-AU"/>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56CB6"/>
    <w:pPr>
      <w:widowControl/>
      <w:spacing w:after="160" w:line="240" w:lineRule="exact"/>
      <w:jc w:val="left"/>
    </w:pPr>
    <w:rPr>
      <w:rFonts w:ascii="Verdana" w:eastAsia="MS Mincho" w:hAnsi="Verdana" w:cs="Verdana"/>
      <w:snapToGrid/>
      <w:sz w:val="20"/>
      <w:lang w:val="en-US"/>
    </w:rPr>
  </w:style>
  <w:style w:type="paragraph" w:styleId="FootnoteText">
    <w:name w:val="footnote text"/>
    <w:basedOn w:val="Normal"/>
    <w:link w:val="FootnoteTextChar"/>
    <w:unhideWhenUsed/>
    <w:rsid w:val="005A7341"/>
    <w:rPr>
      <w:sz w:val="20"/>
    </w:rPr>
  </w:style>
  <w:style w:type="character" w:customStyle="1" w:styleId="FootnoteTextChar">
    <w:name w:val="Footnote Text Char"/>
    <w:basedOn w:val="DefaultParagraphFont"/>
    <w:link w:val="FootnoteText"/>
    <w:rsid w:val="005A7341"/>
    <w:rPr>
      <w:rFonts w:ascii="Arial" w:hAnsi="Arial" w:cs="Arial"/>
      <w:snapToGrid w:val="0"/>
      <w:lang w:eastAsia="en-US"/>
    </w:rPr>
  </w:style>
  <w:style w:type="character" w:styleId="FootnoteReference">
    <w:name w:val="footnote reference"/>
    <w:basedOn w:val="DefaultParagraphFont"/>
    <w:unhideWhenUsed/>
    <w:rsid w:val="005A7341"/>
    <w:rPr>
      <w:vertAlign w:val="superscript"/>
    </w:rPr>
  </w:style>
  <w:style w:type="character" w:customStyle="1" w:styleId="ListParagraphChar">
    <w:name w:val="List Paragraph Char"/>
    <w:aliases w:val="BulletPoints Char"/>
    <w:link w:val="ListParagraph"/>
    <w:uiPriority w:val="72"/>
    <w:rsid w:val="00C15E26"/>
    <w:rPr>
      <w:rFonts w:ascii="Arial" w:hAnsi="Arial" w:cs="Arial"/>
      <w:snapToGrid w:val="0"/>
      <w:sz w:val="22"/>
      <w:lang w:eastAsia="en-US"/>
    </w:rPr>
  </w:style>
  <w:style w:type="character" w:styleId="FollowedHyperlink">
    <w:name w:val="FollowedHyperlink"/>
    <w:basedOn w:val="DefaultParagraphFont"/>
    <w:uiPriority w:val="99"/>
    <w:semiHidden/>
    <w:unhideWhenUsed/>
    <w:rsid w:val="004E01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568645">
      <w:bodyDiv w:val="1"/>
      <w:marLeft w:val="0"/>
      <w:marRight w:val="0"/>
      <w:marTop w:val="0"/>
      <w:marBottom w:val="0"/>
      <w:divBdr>
        <w:top w:val="none" w:sz="0" w:space="0" w:color="auto"/>
        <w:left w:val="none" w:sz="0" w:space="0" w:color="auto"/>
        <w:bottom w:val="none" w:sz="0" w:space="0" w:color="auto"/>
        <w:right w:val="none" w:sz="0" w:space="0" w:color="auto"/>
      </w:divBdr>
      <w:divsChild>
        <w:div w:id="30882901">
          <w:marLeft w:val="0"/>
          <w:marRight w:val="0"/>
          <w:marTop w:val="0"/>
          <w:marBottom w:val="0"/>
          <w:divBdr>
            <w:top w:val="none" w:sz="0" w:space="0" w:color="auto"/>
            <w:left w:val="none" w:sz="0" w:space="0" w:color="auto"/>
            <w:bottom w:val="none" w:sz="0" w:space="0" w:color="auto"/>
            <w:right w:val="none" w:sz="0" w:space="0" w:color="auto"/>
          </w:divBdr>
          <w:divsChild>
            <w:div w:id="1290428459">
              <w:marLeft w:val="0"/>
              <w:marRight w:val="0"/>
              <w:marTop w:val="0"/>
              <w:marBottom w:val="0"/>
              <w:divBdr>
                <w:top w:val="none" w:sz="0" w:space="0" w:color="auto"/>
                <w:left w:val="none" w:sz="0" w:space="0" w:color="auto"/>
                <w:bottom w:val="none" w:sz="0" w:space="0" w:color="auto"/>
                <w:right w:val="none" w:sz="0" w:space="0" w:color="auto"/>
              </w:divBdr>
              <w:divsChild>
                <w:div w:id="191959317">
                  <w:marLeft w:val="0"/>
                  <w:marRight w:val="0"/>
                  <w:marTop w:val="0"/>
                  <w:marBottom w:val="0"/>
                  <w:divBdr>
                    <w:top w:val="none" w:sz="0" w:space="0" w:color="auto"/>
                    <w:left w:val="none" w:sz="0" w:space="0" w:color="auto"/>
                    <w:bottom w:val="none" w:sz="0" w:space="0" w:color="auto"/>
                    <w:right w:val="none" w:sz="0" w:space="0" w:color="auto"/>
                  </w:divBdr>
                  <w:divsChild>
                    <w:div w:id="14424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108977">
      <w:bodyDiv w:val="1"/>
      <w:marLeft w:val="0"/>
      <w:marRight w:val="0"/>
      <w:marTop w:val="0"/>
      <w:marBottom w:val="0"/>
      <w:divBdr>
        <w:top w:val="none" w:sz="0" w:space="0" w:color="auto"/>
        <w:left w:val="none" w:sz="0" w:space="0" w:color="auto"/>
        <w:bottom w:val="none" w:sz="0" w:space="0" w:color="auto"/>
        <w:right w:val="none" w:sz="0" w:space="0" w:color="auto"/>
      </w:divBdr>
      <w:divsChild>
        <w:div w:id="810556769">
          <w:marLeft w:val="547"/>
          <w:marRight w:val="0"/>
          <w:marTop w:val="130"/>
          <w:marBottom w:val="0"/>
          <w:divBdr>
            <w:top w:val="none" w:sz="0" w:space="0" w:color="auto"/>
            <w:left w:val="none" w:sz="0" w:space="0" w:color="auto"/>
            <w:bottom w:val="none" w:sz="0" w:space="0" w:color="auto"/>
            <w:right w:val="none" w:sz="0" w:space="0" w:color="auto"/>
          </w:divBdr>
        </w:div>
      </w:divsChild>
    </w:div>
    <w:div w:id="681005596">
      <w:bodyDiv w:val="1"/>
      <w:marLeft w:val="0"/>
      <w:marRight w:val="0"/>
      <w:marTop w:val="0"/>
      <w:marBottom w:val="0"/>
      <w:divBdr>
        <w:top w:val="none" w:sz="0" w:space="0" w:color="auto"/>
        <w:left w:val="none" w:sz="0" w:space="0" w:color="auto"/>
        <w:bottom w:val="none" w:sz="0" w:space="0" w:color="auto"/>
        <w:right w:val="none" w:sz="0" w:space="0" w:color="auto"/>
      </w:divBdr>
    </w:div>
    <w:div w:id="903220287">
      <w:bodyDiv w:val="1"/>
      <w:marLeft w:val="0"/>
      <w:marRight w:val="0"/>
      <w:marTop w:val="0"/>
      <w:marBottom w:val="0"/>
      <w:divBdr>
        <w:top w:val="none" w:sz="0" w:space="0" w:color="auto"/>
        <w:left w:val="none" w:sz="0" w:space="0" w:color="auto"/>
        <w:bottom w:val="none" w:sz="0" w:space="0" w:color="auto"/>
        <w:right w:val="none" w:sz="0" w:space="0" w:color="auto"/>
      </w:divBdr>
    </w:div>
    <w:div w:id="992760511">
      <w:bodyDiv w:val="1"/>
      <w:marLeft w:val="0"/>
      <w:marRight w:val="0"/>
      <w:marTop w:val="0"/>
      <w:marBottom w:val="0"/>
      <w:divBdr>
        <w:top w:val="none" w:sz="0" w:space="0" w:color="auto"/>
        <w:left w:val="none" w:sz="0" w:space="0" w:color="auto"/>
        <w:bottom w:val="none" w:sz="0" w:space="0" w:color="auto"/>
        <w:right w:val="none" w:sz="0" w:space="0" w:color="auto"/>
      </w:divBdr>
      <w:divsChild>
        <w:div w:id="777650399">
          <w:marLeft w:val="1166"/>
          <w:marRight w:val="0"/>
          <w:marTop w:val="134"/>
          <w:marBottom w:val="0"/>
          <w:divBdr>
            <w:top w:val="none" w:sz="0" w:space="0" w:color="auto"/>
            <w:left w:val="none" w:sz="0" w:space="0" w:color="auto"/>
            <w:bottom w:val="none" w:sz="0" w:space="0" w:color="auto"/>
            <w:right w:val="none" w:sz="0" w:space="0" w:color="auto"/>
          </w:divBdr>
        </w:div>
        <w:div w:id="510068771">
          <w:marLeft w:val="1166"/>
          <w:marRight w:val="0"/>
          <w:marTop w:val="134"/>
          <w:marBottom w:val="0"/>
          <w:divBdr>
            <w:top w:val="none" w:sz="0" w:space="0" w:color="auto"/>
            <w:left w:val="none" w:sz="0" w:space="0" w:color="auto"/>
            <w:bottom w:val="none" w:sz="0" w:space="0" w:color="auto"/>
            <w:right w:val="none" w:sz="0" w:space="0" w:color="auto"/>
          </w:divBdr>
        </w:div>
        <w:div w:id="701595325">
          <w:marLeft w:val="1166"/>
          <w:marRight w:val="0"/>
          <w:marTop w:val="134"/>
          <w:marBottom w:val="0"/>
          <w:divBdr>
            <w:top w:val="none" w:sz="0" w:space="0" w:color="auto"/>
            <w:left w:val="none" w:sz="0" w:space="0" w:color="auto"/>
            <w:bottom w:val="none" w:sz="0" w:space="0" w:color="auto"/>
            <w:right w:val="none" w:sz="0" w:space="0" w:color="auto"/>
          </w:divBdr>
        </w:div>
        <w:div w:id="323247706">
          <w:marLeft w:val="1166"/>
          <w:marRight w:val="0"/>
          <w:marTop w:val="134"/>
          <w:marBottom w:val="0"/>
          <w:divBdr>
            <w:top w:val="none" w:sz="0" w:space="0" w:color="auto"/>
            <w:left w:val="none" w:sz="0" w:space="0" w:color="auto"/>
            <w:bottom w:val="none" w:sz="0" w:space="0" w:color="auto"/>
            <w:right w:val="none" w:sz="0" w:space="0" w:color="auto"/>
          </w:divBdr>
        </w:div>
      </w:divsChild>
    </w:div>
    <w:div w:id="1120369975">
      <w:bodyDiv w:val="1"/>
      <w:marLeft w:val="0"/>
      <w:marRight w:val="0"/>
      <w:marTop w:val="0"/>
      <w:marBottom w:val="0"/>
      <w:divBdr>
        <w:top w:val="none" w:sz="0" w:space="0" w:color="auto"/>
        <w:left w:val="none" w:sz="0" w:space="0" w:color="auto"/>
        <w:bottom w:val="none" w:sz="0" w:space="0" w:color="auto"/>
        <w:right w:val="none" w:sz="0" w:space="0" w:color="auto"/>
      </w:divBdr>
    </w:div>
    <w:div w:id="1190100765">
      <w:bodyDiv w:val="1"/>
      <w:marLeft w:val="0"/>
      <w:marRight w:val="0"/>
      <w:marTop w:val="0"/>
      <w:marBottom w:val="0"/>
      <w:divBdr>
        <w:top w:val="none" w:sz="0" w:space="0" w:color="auto"/>
        <w:left w:val="none" w:sz="0" w:space="0" w:color="auto"/>
        <w:bottom w:val="none" w:sz="0" w:space="0" w:color="auto"/>
        <w:right w:val="none" w:sz="0" w:space="0" w:color="auto"/>
      </w:divBdr>
      <w:divsChild>
        <w:div w:id="1073773388">
          <w:marLeft w:val="0"/>
          <w:marRight w:val="0"/>
          <w:marTop w:val="0"/>
          <w:marBottom w:val="0"/>
          <w:divBdr>
            <w:top w:val="none" w:sz="0" w:space="0" w:color="auto"/>
            <w:left w:val="none" w:sz="0" w:space="0" w:color="auto"/>
            <w:bottom w:val="none" w:sz="0" w:space="0" w:color="auto"/>
            <w:right w:val="none" w:sz="0" w:space="0" w:color="auto"/>
          </w:divBdr>
        </w:div>
        <w:div w:id="1148132495">
          <w:marLeft w:val="0"/>
          <w:marRight w:val="0"/>
          <w:marTop w:val="0"/>
          <w:marBottom w:val="0"/>
          <w:divBdr>
            <w:top w:val="none" w:sz="0" w:space="0" w:color="auto"/>
            <w:left w:val="none" w:sz="0" w:space="0" w:color="auto"/>
            <w:bottom w:val="none" w:sz="0" w:space="0" w:color="auto"/>
            <w:right w:val="none" w:sz="0" w:space="0" w:color="auto"/>
          </w:divBdr>
        </w:div>
      </w:divsChild>
    </w:div>
    <w:div w:id="1475756457">
      <w:bodyDiv w:val="1"/>
      <w:marLeft w:val="0"/>
      <w:marRight w:val="0"/>
      <w:marTop w:val="0"/>
      <w:marBottom w:val="0"/>
      <w:divBdr>
        <w:top w:val="none" w:sz="0" w:space="0" w:color="auto"/>
        <w:left w:val="none" w:sz="0" w:space="0" w:color="auto"/>
        <w:bottom w:val="none" w:sz="0" w:space="0" w:color="auto"/>
        <w:right w:val="none" w:sz="0" w:space="0" w:color="auto"/>
      </w:divBdr>
      <w:divsChild>
        <w:div w:id="1077749311">
          <w:marLeft w:val="0"/>
          <w:marRight w:val="0"/>
          <w:marTop w:val="0"/>
          <w:marBottom w:val="0"/>
          <w:divBdr>
            <w:top w:val="none" w:sz="0" w:space="0" w:color="auto"/>
            <w:left w:val="none" w:sz="0" w:space="0" w:color="auto"/>
            <w:bottom w:val="none" w:sz="0" w:space="0" w:color="auto"/>
            <w:right w:val="none" w:sz="0" w:space="0" w:color="auto"/>
          </w:divBdr>
          <w:divsChild>
            <w:div w:id="2131705508">
              <w:marLeft w:val="0"/>
              <w:marRight w:val="0"/>
              <w:marTop w:val="0"/>
              <w:marBottom w:val="0"/>
              <w:divBdr>
                <w:top w:val="none" w:sz="0" w:space="0" w:color="auto"/>
                <w:left w:val="none" w:sz="0" w:space="0" w:color="auto"/>
                <w:bottom w:val="none" w:sz="0" w:space="0" w:color="auto"/>
                <w:right w:val="none" w:sz="0" w:space="0" w:color="auto"/>
              </w:divBdr>
              <w:divsChild>
                <w:div w:id="677659809">
                  <w:marLeft w:val="0"/>
                  <w:marRight w:val="0"/>
                  <w:marTop w:val="0"/>
                  <w:marBottom w:val="0"/>
                  <w:divBdr>
                    <w:top w:val="none" w:sz="0" w:space="0" w:color="auto"/>
                    <w:left w:val="none" w:sz="0" w:space="0" w:color="auto"/>
                    <w:bottom w:val="none" w:sz="0" w:space="0" w:color="auto"/>
                    <w:right w:val="none" w:sz="0" w:space="0" w:color="auto"/>
                  </w:divBdr>
                  <w:divsChild>
                    <w:div w:id="147325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488194">
      <w:bodyDiv w:val="1"/>
      <w:marLeft w:val="0"/>
      <w:marRight w:val="0"/>
      <w:marTop w:val="0"/>
      <w:marBottom w:val="0"/>
      <w:divBdr>
        <w:top w:val="none" w:sz="0" w:space="0" w:color="auto"/>
        <w:left w:val="none" w:sz="0" w:space="0" w:color="auto"/>
        <w:bottom w:val="none" w:sz="0" w:space="0" w:color="auto"/>
        <w:right w:val="none" w:sz="0" w:space="0" w:color="auto"/>
      </w:divBdr>
    </w:div>
    <w:div w:id="191315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36"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nps.org.au/publications/health-professional/medicinewise-news/2016/diabe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B8F0B-CB01-4E33-ACEB-5A901920E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9524</Words>
  <Characters>54292</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2017-06-15T04:38:00Z</dcterms:created>
  <dcterms:modified xsi:type="dcterms:W3CDTF">2017-06-15T04:39:00Z</dcterms:modified>
</cp:coreProperties>
</file>