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957186" w:rsidRDefault="00511666" w:rsidP="008A50F1">
      <w:pPr>
        <w:pStyle w:val="Title"/>
        <w:ind w:left="720" w:hanging="720"/>
        <w:rPr>
          <w:szCs w:val="28"/>
        </w:rPr>
      </w:pPr>
      <w:r w:rsidRPr="00957186">
        <w:rPr>
          <w:szCs w:val="28"/>
        </w:rPr>
        <w:t>14.12</w:t>
      </w:r>
      <w:r w:rsidR="00626751" w:rsidRPr="00957186">
        <w:rPr>
          <w:szCs w:val="28"/>
        </w:rPr>
        <w:t xml:space="preserve"> </w:t>
      </w:r>
      <w:r w:rsidR="00F60828" w:rsidRPr="00957186">
        <w:rPr>
          <w:szCs w:val="28"/>
        </w:rPr>
        <w:t>GOSERELIN</w:t>
      </w:r>
      <w:r w:rsidR="000728A3">
        <w:rPr>
          <w:szCs w:val="28"/>
        </w:rPr>
        <w:t>,</w:t>
      </w:r>
      <w:r w:rsidR="008A50F1" w:rsidRPr="00957186">
        <w:rPr>
          <w:szCs w:val="28"/>
        </w:rPr>
        <w:t xml:space="preserve"> </w:t>
      </w:r>
      <w:r w:rsidR="008A50F1" w:rsidRPr="00957186">
        <w:rPr>
          <w:szCs w:val="28"/>
        </w:rPr>
        <w:br/>
      </w:r>
      <w:r w:rsidR="00626751" w:rsidRPr="00957186">
        <w:rPr>
          <w:szCs w:val="28"/>
        </w:rPr>
        <w:t xml:space="preserve"> </w:t>
      </w:r>
      <w:r w:rsidR="00F60828" w:rsidRPr="00957186">
        <w:rPr>
          <w:szCs w:val="28"/>
        </w:rPr>
        <w:t>3.6 mg implant</w:t>
      </w:r>
      <w:r w:rsidR="009763DA">
        <w:rPr>
          <w:szCs w:val="28"/>
        </w:rPr>
        <w:t>,</w:t>
      </w:r>
      <w:r w:rsidR="008A50F1" w:rsidRPr="00957186">
        <w:rPr>
          <w:szCs w:val="28"/>
        </w:rPr>
        <w:t xml:space="preserve"> </w:t>
      </w:r>
      <w:r w:rsidR="008A50F1" w:rsidRPr="00957186">
        <w:rPr>
          <w:szCs w:val="28"/>
        </w:rPr>
        <w:br/>
      </w:r>
      <w:r w:rsidR="00626751" w:rsidRPr="00957186">
        <w:rPr>
          <w:szCs w:val="28"/>
        </w:rPr>
        <w:t xml:space="preserve"> </w:t>
      </w:r>
      <w:r w:rsidR="00F60828" w:rsidRPr="00957186">
        <w:rPr>
          <w:szCs w:val="28"/>
        </w:rPr>
        <w:t>Zoladex Implant</w:t>
      </w:r>
      <w:r w:rsidR="0004240E" w:rsidRPr="00957186">
        <w:rPr>
          <w:szCs w:val="28"/>
          <w:vertAlign w:val="superscript"/>
        </w:rPr>
        <w:t>®</w:t>
      </w:r>
      <w:r w:rsidR="00EF44A0" w:rsidRPr="00957186">
        <w:rPr>
          <w:szCs w:val="28"/>
        </w:rPr>
        <w:t xml:space="preserve">, </w:t>
      </w:r>
      <w:r w:rsidR="00F60828" w:rsidRPr="00957186">
        <w:rPr>
          <w:szCs w:val="28"/>
        </w:rPr>
        <w:t>Astra Zeneca Pty Ltd</w:t>
      </w:r>
      <w:r w:rsidR="009763DA">
        <w:rPr>
          <w:szCs w:val="28"/>
        </w:rPr>
        <w:t>.</w:t>
      </w:r>
    </w:p>
    <w:p w:rsidR="00F60828" w:rsidRPr="00957186" w:rsidRDefault="00F60828" w:rsidP="00F60828">
      <w:pPr>
        <w:pStyle w:val="NoSpacing"/>
        <w:rPr>
          <w:b/>
        </w:rPr>
      </w:pPr>
      <w:r w:rsidRPr="00957186">
        <w:rPr>
          <w:b/>
        </w:rPr>
        <w:t>Application submitted by Medical Oncology Group of Australia</w:t>
      </w:r>
      <w:r w:rsidR="00511666" w:rsidRPr="00957186">
        <w:rPr>
          <w:b/>
        </w:rPr>
        <w:t xml:space="preserve"> (MOGA)</w:t>
      </w:r>
    </w:p>
    <w:p w:rsidR="00CE10C4" w:rsidRPr="00957186" w:rsidRDefault="00CE10C4" w:rsidP="00C27B58">
      <w:pPr>
        <w:pStyle w:val="NoSpacing"/>
      </w:pPr>
    </w:p>
    <w:p w:rsidR="00C27B58" w:rsidRPr="00957186" w:rsidRDefault="00C27B58" w:rsidP="00C27B58">
      <w:pPr>
        <w:pStyle w:val="NoSpacing"/>
      </w:pPr>
    </w:p>
    <w:p w:rsidR="00E15627" w:rsidRPr="00957186" w:rsidRDefault="00CE10C4" w:rsidP="00E15627">
      <w:pPr>
        <w:pStyle w:val="PBACHeading1"/>
      </w:pPr>
      <w:r w:rsidRPr="00957186">
        <w:t xml:space="preserve">Purpose of </w:t>
      </w:r>
      <w:r w:rsidR="0004240E" w:rsidRPr="00957186">
        <w:t>Application</w:t>
      </w:r>
    </w:p>
    <w:p w:rsidR="008A50F1" w:rsidRPr="00957186" w:rsidRDefault="008A50F1" w:rsidP="00E15627"/>
    <w:p w:rsidR="009A2124" w:rsidRPr="00657D97" w:rsidRDefault="001624C6" w:rsidP="00274857">
      <w:pPr>
        <w:pStyle w:val="ListParagraph"/>
        <w:numPr>
          <w:ilvl w:val="1"/>
          <w:numId w:val="5"/>
        </w:numPr>
        <w:rPr>
          <w:szCs w:val="22"/>
        </w:rPr>
      </w:pPr>
      <w:r w:rsidRPr="00957186">
        <w:t>The minor resubmission</w:t>
      </w:r>
      <w:r w:rsidR="001D3EB1" w:rsidRPr="00957186">
        <w:t xml:space="preserve"> </w:t>
      </w:r>
      <w:r w:rsidR="001D3EB1" w:rsidRPr="00957186">
        <w:rPr>
          <w:szCs w:val="22"/>
        </w:rPr>
        <w:t xml:space="preserve">was to address the issues raised by the PBAC in its previous deferral of the </w:t>
      </w:r>
      <w:r w:rsidRPr="00957186">
        <w:rPr>
          <w:szCs w:val="22"/>
        </w:rPr>
        <w:t>request</w:t>
      </w:r>
      <w:r w:rsidR="001D3EB1" w:rsidRPr="00957186">
        <w:rPr>
          <w:szCs w:val="22"/>
        </w:rPr>
        <w:t xml:space="preserve"> to</w:t>
      </w:r>
      <w:r w:rsidRPr="00957186">
        <w:rPr>
          <w:szCs w:val="22"/>
        </w:rPr>
        <w:t xml:space="preserve"> change the current PBS restriction for goserelin 3.6 mg implant to enable women with hormone receptor negative breast cancer to access this treatment to reduce </w:t>
      </w:r>
      <w:r w:rsidR="00E42214" w:rsidRPr="00957186">
        <w:rPr>
          <w:szCs w:val="22"/>
        </w:rPr>
        <w:t>premature ovarian failure (POF)</w:t>
      </w:r>
      <w:r w:rsidRPr="00957186">
        <w:rPr>
          <w:szCs w:val="22"/>
        </w:rPr>
        <w:t>.</w:t>
      </w:r>
    </w:p>
    <w:p w:rsidR="00FA6D96" w:rsidRDefault="00FA6D96" w:rsidP="00274857"/>
    <w:p w:rsidR="0017088C" w:rsidRPr="00957186" w:rsidRDefault="0017088C" w:rsidP="00274857"/>
    <w:p w:rsidR="00962223" w:rsidRPr="00957186" w:rsidRDefault="006A12A5" w:rsidP="008A50F1">
      <w:pPr>
        <w:pStyle w:val="PBACHeading1"/>
      </w:pPr>
      <w:r w:rsidRPr="00957186">
        <w:t>Requested listing</w:t>
      </w:r>
    </w:p>
    <w:p w:rsidR="006A12A5" w:rsidRPr="00957186" w:rsidRDefault="006A12A5" w:rsidP="00882085">
      <w:pPr>
        <w:jc w:val="both"/>
        <w:rPr>
          <w:rFonts w:ascii="Arial" w:hAnsi="Arial"/>
          <w:b/>
          <w:sz w:val="22"/>
          <w:szCs w:val="22"/>
        </w:rPr>
      </w:pPr>
    </w:p>
    <w:p w:rsidR="00826F6D" w:rsidRPr="00957186" w:rsidRDefault="00EF44A0" w:rsidP="008A50F1">
      <w:pPr>
        <w:pStyle w:val="ListParagraph"/>
        <w:numPr>
          <w:ilvl w:val="1"/>
          <w:numId w:val="5"/>
        </w:numPr>
        <w:rPr>
          <w:szCs w:val="22"/>
        </w:rPr>
      </w:pPr>
      <w:r w:rsidRPr="00957186">
        <w:rPr>
          <w:szCs w:val="22"/>
        </w:rPr>
        <w:t xml:space="preserve">The submission </w:t>
      </w:r>
      <w:r w:rsidR="00F60828" w:rsidRPr="00957186">
        <w:rPr>
          <w:szCs w:val="22"/>
        </w:rPr>
        <w:t>did not provide a proposed restriction</w:t>
      </w:r>
      <w:r w:rsidR="00FA6D96">
        <w:rPr>
          <w:szCs w:val="22"/>
        </w:rPr>
        <w:t>.</w:t>
      </w:r>
    </w:p>
    <w:p w:rsidR="00826F6D" w:rsidRPr="00957186" w:rsidRDefault="00826F6D" w:rsidP="00C27B58">
      <w:pPr>
        <w:pStyle w:val="NoSpacing"/>
      </w:pPr>
    </w:p>
    <w:p w:rsidR="00F60828" w:rsidRPr="002E65FE" w:rsidRDefault="00F60828" w:rsidP="002E65FE">
      <w:pPr>
        <w:pStyle w:val="Heading2"/>
      </w:pPr>
      <w:r w:rsidRPr="002E65FE">
        <w:t>Suggested wording for the restriction:</w:t>
      </w:r>
    </w:p>
    <w:p w:rsidR="00F60828" w:rsidRPr="00957186" w:rsidRDefault="00F60828" w:rsidP="00F60828"/>
    <w:p w:rsidR="00F60828" w:rsidRPr="00957186" w:rsidRDefault="00F60828" w:rsidP="00F60828">
      <w:pPr>
        <w:pStyle w:val="ListParagraph"/>
        <w:numPr>
          <w:ilvl w:val="1"/>
          <w:numId w:val="5"/>
        </w:numPr>
        <w:rPr>
          <w:szCs w:val="22"/>
        </w:rPr>
      </w:pPr>
      <w:r w:rsidRPr="00957186">
        <w:rPr>
          <w:szCs w:val="22"/>
        </w:rPr>
        <w:t xml:space="preserve">The Secretariat proposed the following changes to the existing restriction. Changes to the existing listing are indicated in </w:t>
      </w:r>
      <w:r w:rsidRPr="00957186">
        <w:rPr>
          <w:i/>
          <w:szCs w:val="22"/>
        </w:rPr>
        <w:t>italics</w:t>
      </w:r>
      <w:r w:rsidRPr="00957186">
        <w:rPr>
          <w:szCs w:val="22"/>
        </w:rPr>
        <w:t xml:space="preserve"> and </w:t>
      </w:r>
      <w:r w:rsidRPr="00957186">
        <w:rPr>
          <w:strike/>
          <w:szCs w:val="22"/>
        </w:rPr>
        <w:t>strikethrough</w:t>
      </w:r>
      <w:r w:rsidRPr="00957186">
        <w:rPr>
          <w:szCs w:val="22"/>
        </w:rPr>
        <w:t xml:space="preserve"> for deletions.</w:t>
      </w:r>
    </w:p>
    <w:p w:rsidR="00F60828" w:rsidRPr="00957186" w:rsidRDefault="00F60828" w:rsidP="00F60828">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559"/>
        <w:gridCol w:w="1134"/>
        <w:gridCol w:w="1701"/>
      </w:tblGrid>
      <w:tr w:rsidR="000728A3" w:rsidRPr="00957186" w:rsidTr="006C56F4">
        <w:trPr>
          <w:gridAfter w:val="1"/>
          <w:wAfter w:w="1701" w:type="dxa"/>
          <w:cantSplit/>
          <w:trHeight w:val="471"/>
        </w:trPr>
        <w:tc>
          <w:tcPr>
            <w:tcW w:w="2552" w:type="dxa"/>
            <w:gridSpan w:val="2"/>
            <w:tcBorders>
              <w:bottom w:val="single" w:sz="4" w:space="0" w:color="auto"/>
            </w:tcBorders>
          </w:tcPr>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Name, Restriction,</w:t>
            </w: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Manner of administration and form</w:t>
            </w:r>
          </w:p>
        </w:tc>
        <w:tc>
          <w:tcPr>
            <w:tcW w:w="567" w:type="dxa"/>
            <w:tcBorders>
              <w:bottom w:val="single" w:sz="4" w:space="0" w:color="auto"/>
            </w:tcBorders>
          </w:tcPr>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Max.</w:t>
            </w: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Qty</w:t>
            </w:r>
          </w:p>
        </w:tc>
        <w:tc>
          <w:tcPr>
            <w:tcW w:w="850" w:type="dxa"/>
            <w:tcBorders>
              <w:bottom w:val="single" w:sz="4" w:space="0" w:color="auto"/>
            </w:tcBorders>
          </w:tcPr>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№.of</w:t>
            </w: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Rpts</w:t>
            </w:r>
          </w:p>
        </w:tc>
        <w:tc>
          <w:tcPr>
            <w:tcW w:w="2693" w:type="dxa"/>
            <w:gridSpan w:val="2"/>
            <w:tcBorders>
              <w:bottom w:val="single" w:sz="4" w:space="0" w:color="auto"/>
            </w:tcBorders>
          </w:tcPr>
          <w:p w:rsidR="000728A3" w:rsidRPr="00957186" w:rsidRDefault="000728A3" w:rsidP="006C56F4">
            <w:pPr>
              <w:keepNext/>
              <w:jc w:val="both"/>
              <w:rPr>
                <w:rFonts w:ascii="Arial Narrow" w:hAnsi="Arial Narrow" w:cs="Arial"/>
                <w:sz w:val="20"/>
                <w:szCs w:val="20"/>
              </w:rPr>
            </w:pPr>
            <w:r w:rsidRPr="00957186">
              <w:rPr>
                <w:rFonts w:ascii="Arial Narrow" w:hAnsi="Arial Narrow" w:cs="Arial"/>
                <w:sz w:val="20"/>
                <w:szCs w:val="20"/>
              </w:rPr>
              <w:t>Proprietary Name and Manufacturer</w:t>
            </w:r>
          </w:p>
        </w:tc>
      </w:tr>
      <w:tr w:rsidR="000728A3" w:rsidRPr="00957186" w:rsidTr="006C56F4">
        <w:trPr>
          <w:gridAfter w:val="1"/>
          <w:wAfter w:w="1701" w:type="dxa"/>
          <w:cantSplit/>
          <w:trHeight w:val="577"/>
        </w:trPr>
        <w:tc>
          <w:tcPr>
            <w:tcW w:w="2552" w:type="dxa"/>
            <w:gridSpan w:val="2"/>
          </w:tcPr>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mallCaps/>
                <w:sz w:val="20"/>
                <w:szCs w:val="20"/>
              </w:rPr>
              <w:t>GOSERELIN</w:t>
            </w: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3.6 mg, implant</w:t>
            </w:r>
          </w:p>
        </w:tc>
        <w:tc>
          <w:tcPr>
            <w:tcW w:w="567" w:type="dxa"/>
          </w:tcPr>
          <w:p w:rsidR="000728A3" w:rsidRPr="00957186" w:rsidRDefault="000728A3" w:rsidP="006C56F4">
            <w:pPr>
              <w:keepNext/>
              <w:ind w:left="-108"/>
              <w:jc w:val="both"/>
              <w:rPr>
                <w:rFonts w:ascii="Arial Narrow" w:hAnsi="Arial Narrow" w:cs="Arial"/>
                <w:sz w:val="20"/>
                <w:szCs w:val="20"/>
              </w:rPr>
            </w:pP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1</w:t>
            </w:r>
          </w:p>
        </w:tc>
        <w:tc>
          <w:tcPr>
            <w:tcW w:w="850" w:type="dxa"/>
          </w:tcPr>
          <w:p w:rsidR="000728A3" w:rsidRPr="00957186" w:rsidRDefault="000728A3" w:rsidP="006C56F4">
            <w:pPr>
              <w:keepNext/>
              <w:ind w:left="-108"/>
              <w:jc w:val="both"/>
              <w:rPr>
                <w:rFonts w:ascii="Arial Narrow" w:hAnsi="Arial Narrow" w:cs="Arial"/>
                <w:sz w:val="20"/>
                <w:szCs w:val="20"/>
              </w:rPr>
            </w:pPr>
          </w:p>
          <w:p w:rsidR="000728A3" w:rsidRPr="00957186" w:rsidRDefault="000728A3" w:rsidP="006C56F4">
            <w:pPr>
              <w:keepNext/>
              <w:ind w:left="-108"/>
              <w:jc w:val="both"/>
              <w:rPr>
                <w:rFonts w:ascii="Arial Narrow" w:hAnsi="Arial Narrow" w:cs="Arial"/>
                <w:sz w:val="20"/>
                <w:szCs w:val="20"/>
              </w:rPr>
            </w:pPr>
            <w:r w:rsidRPr="00957186">
              <w:rPr>
                <w:rFonts w:ascii="Arial Narrow" w:hAnsi="Arial Narrow" w:cs="Arial"/>
                <w:sz w:val="20"/>
                <w:szCs w:val="20"/>
              </w:rPr>
              <w:t>5</w:t>
            </w:r>
          </w:p>
        </w:tc>
        <w:tc>
          <w:tcPr>
            <w:tcW w:w="1559" w:type="dxa"/>
          </w:tcPr>
          <w:p w:rsidR="000728A3" w:rsidRPr="00957186" w:rsidRDefault="000728A3" w:rsidP="006C56F4">
            <w:pPr>
              <w:keepNext/>
              <w:jc w:val="both"/>
              <w:rPr>
                <w:rFonts w:ascii="Arial Narrow" w:hAnsi="Arial Narrow" w:cs="Arial"/>
                <w:sz w:val="20"/>
                <w:szCs w:val="20"/>
              </w:rPr>
            </w:pPr>
            <w:r w:rsidRPr="00957186">
              <w:rPr>
                <w:rFonts w:ascii="Arial Narrow" w:hAnsi="Arial Narrow" w:cs="Arial"/>
                <w:sz w:val="20"/>
                <w:szCs w:val="20"/>
              </w:rPr>
              <w:t>Zoladex Implant</w:t>
            </w:r>
          </w:p>
        </w:tc>
        <w:tc>
          <w:tcPr>
            <w:tcW w:w="1134" w:type="dxa"/>
          </w:tcPr>
          <w:p w:rsidR="000728A3" w:rsidRPr="00957186" w:rsidRDefault="000728A3" w:rsidP="006C56F4">
            <w:pPr>
              <w:keepNext/>
              <w:jc w:val="both"/>
              <w:rPr>
                <w:rFonts w:ascii="Arial Narrow" w:hAnsi="Arial Narrow" w:cs="Arial"/>
                <w:sz w:val="20"/>
                <w:szCs w:val="20"/>
              </w:rPr>
            </w:pPr>
            <w:r w:rsidRPr="00957186">
              <w:rPr>
                <w:rFonts w:ascii="Arial Narrow" w:hAnsi="Arial Narrow" w:cs="Arial"/>
                <w:sz w:val="20"/>
                <w:szCs w:val="20"/>
              </w:rPr>
              <w:t>Astra Zeneca</w:t>
            </w:r>
          </w:p>
        </w:tc>
      </w:tr>
      <w:tr w:rsidR="00A51687"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 xml:space="preserve">Category / </w:t>
            </w:r>
          </w:p>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t>GENERAL – General Schedule (Code GE)</w:t>
            </w:r>
          </w:p>
        </w:tc>
      </w:tr>
      <w:tr w:rsidR="00A51687"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fldChar w:fldCharType="begin">
                <w:ffData>
                  <w:name w:val="Check1"/>
                  <w:enabled/>
                  <w:calcOnExit w:val="0"/>
                  <w:checkBox>
                    <w:sizeAuto/>
                    <w:default w:val="0"/>
                  </w:checkBox>
                </w:ffData>
              </w:fldChar>
            </w:r>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r w:rsidRPr="00957186">
              <w:rPr>
                <w:rFonts w:ascii="Arial Narrow" w:hAnsi="Arial Narrow" w:cs="Arial"/>
                <w:sz w:val="20"/>
                <w:szCs w:val="20"/>
              </w:rPr>
              <w:t xml:space="preserve">Dental  </w:t>
            </w:r>
            <w:r w:rsidRPr="00957186">
              <w:rPr>
                <w:rFonts w:ascii="Arial Narrow" w:hAnsi="Arial Narrow" w:cs="Arial"/>
                <w:sz w:val="20"/>
                <w:szCs w:val="20"/>
              </w:rPr>
              <w:fldChar w:fldCharType="begin">
                <w:ffData>
                  <w:name w:val=""/>
                  <w:enabled/>
                  <w:calcOnExit w:val="0"/>
                  <w:checkBox>
                    <w:sizeAuto/>
                    <w:default w:val="1"/>
                  </w:checkBox>
                </w:ffData>
              </w:fldChar>
            </w:r>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r w:rsidRPr="00957186">
              <w:rPr>
                <w:rFonts w:ascii="Arial Narrow" w:hAnsi="Arial Narrow" w:cs="Arial"/>
                <w:sz w:val="20"/>
                <w:szCs w:val="20"/>
              </w:rPr>
              <w:t xml:space="preserve">Medical Practitioners  </w:t>
            </w:r>
            <w:r w:rsidRPr="00957186">
              <w:rPr>
                <w:rFonts w:ascii="Arial Narrow" w:hAnsi="Arial Narrow" w:cs="Arial"/>
                <w:sz w:val="20"/>
                <w:szCs w:val="20"/>
              </w:rPr>
              <w:fldChar w:fldCharType="begin">
                <w:ffData>
                  <w:name w:val="Check3"/>
                  <w:enabled/>
                  <w:calcOnExit w:val="0"/>
                  <w:checkBox>
                    <w:sizeAuto/>
                    <w:default w:val="0"/>
                  </w:checkBox>
                </w:ffData>
              </w:fldChar>
            </w:r>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r w:rsidRPr="00957186">
              <w:rPr>
                <w:rFonts w:ascii="Arial Narrow" w:hAnsi="Arial Narrow" w:cs="Arial"/>
                <w:sz w:val="20"/>
                <w:szCs w:val="20"/>
              </w:rPr>
              <w:t xml:space="preserve">Nurse practitioners  </w:t>
            </w:r>
            <w:r w:rsidRPr="00957186">
              <w:rPr>
                <w:rFonts w:ascii="Arial Narrow" w:hAnsi="Arial Narrow" w:cs="Arial"/>
                <w:sz w:val="20"/>
                <w:szCs w:val="20"/>
              </w:rPr>
              <w:fldChar w:fldCharType="begin">
                <w:ffData>
                  <w:name w:val=""/>
                  <w:enabled/>
                  <w:calcOnExit w:val="0"/>
                  <w:checkBox>
                    <w:sizeAuto/>
                    <w:default w:val="0"/>
                  </w:checkBox>
                </w:ffData>
              </w:fldChar>
            </w:r>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r w:rsidRPr="00957186">
              <w:rPr>
                <w:rFonts w:ascii="Arial Narrow" w:hAnsi="Arial Narrow" w:cs="Arial"/>
                <w:sz w:val="20"/>
                <w:szCs w:val="20"/>
              </w:rPr>
              <w:t>Optometrists</w:t>
            </w:r>
          </w:p>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fldChar w:fldCharType="begin">
                <w:ffData>
                  <w:name w:val="Check5"/>
                  <w:enabled/>
                  <w:calcOnExit w:val="0"/>
                  <w:checkBox>
                    <w:sizeAuto/>
                    <w:default w:val="0"/>
                  </w:checkBox>
                </w:ffData>
              </w:fldChar>
            </w:r>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r w:rsidRPr="00957186">
              <w:rPr>
                <w:rFonts w:ascii="Arial Narrow" w:hAnsi="Arial Narrow" w:cs="Arial"/>
                <w:sz w:val="20"/>
                <w:szCs w:val="20"/>
              </w:rPr>
              <w:t>Midwives</w:t>
            </w:r>
          </w:p>
        </w:tc>
      </w:tr>
      <w:tr w:rsidR="00A51687"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t>Breast cancer</w:t>
            </w:r>
          </w:p>
        </w:tc>
      </w:tr>
      <w:tr w:rsidR="00A51687"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t>Breast cancer</w:t>
            </w:r>
          </w:p>
        </w:tc>
      </w:tr>
      <w:tr w:rsidR="00A51687"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Restriction Level / Method:</w:t>
            </w:r>
          </w:p>
          <w:p w:rsidR="00F60828" w:rsidRPr="00957186" w:rsidRDefault="00F60828" w:rsidP="006C56F4">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rPr>
                <w:rFonts w:ascii="Arial Narrow" w:hAnsi="Arial Narrow" w:cs="Arial"/>
                <w:sz w:val="20"/>
                <w:szCs w:val="20"/>
              </w:rPr>
            </w:pPr>
            <w:r w:rsidRPr="00957186">
              <w:rPr>
                <w:rFonts w:ascii="Arial Narrow" w:hAnsi="Arial Narrow" w:cs="Arial"/>
                <w:sz w:val="20"/>
                <w:szCs w:val="20"/>
              </w:rPr>
              <w:fldChar w:fldCharType="begin">
                <w:ffData>
                  <w:name w:val="Check1"/>
                  <w:enabled/>
                  <w:calcOnExit w:val="0"/>
                  <w:checkBox>
                    <w:sizeAuto/>
                    <w:default w:val="1"/>
                  </w:checkBox>
                </w:ffData>
              </w:fldChar>
            </w:r>
            <w:bookmarkStart w:id="0" w:name="Check1"/>
            <w:r w:rsidRPr="00957186">
              <w:rPr>
                <w:rFonts w:ascii="Arial Narrow" w:hAnsi="Arial Narrow" w:cs="Arial"/>
                <w:sz w:val="20"/>
                <w:szCs w:val="20"/>
              </w:rPr>
              <w:instrText xml:space="preserve"> FORMCHECKBOX </w:instrText>
            </w:r>
            <w:r w:rsidR="008D4959">
              <w:rPr>
                <w:rFonts w:ascii="Arial Narrow" w:hAnsi="Arial Narrow" w:cs="Arial"/>
                <w:sz w:val="20"/>
                <w:szCs w:val="20"/>
              </w:rPr>
            </w:r>
            <w:r w:rsidR="008D4959">
              <w:rPr>
                <w:rFonts w:ascii="Arial Narrow" w:hAnsi="Arial Narrow" w:cs="Arial"/>
                <w:sz w:val="20"/>
                <w:szCs w:val="20"/>
              </w:rPr>
              <w:fldChar w:fldCharType="separate"/>
            </w:r>
            <w:r w:rsidRPr="00957186">
              <w:rPr>
                <w:rFonts w:ascii="Arial Narrow" w:hAnsi="Arial Narrow" w:cs="Arial"/>
                <w:sz w:val="20"/>
                <w:szCs w:val="20"/>
              </w:rPr>
              <w:fldChar w:fldCharType="end"/>
            </w:r>
            <w:bookmarkEnd w:id="0"/>
            <w:r w:rsidRPr="00957186">
              <w:rPr>
                <w:rFonts w:ascii="Arial Narrow" w:hAnsi="Arial Narrow" w:cs="Arial"/>
                <w:sz w:val="20"/>
                <w:szCs w:val="20"/>
              </w:rPr>
              <w:t>Restricted benefit</w:t>
            </w:r>
          </w:p>
        </w:tc>
      </w:tr>
      <w:tr w:rsidR="00F60828" w:rsidRPr="00957186" w:rsidTr="006C56F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957186" w:rsidRDefault="00F60828" w:rsidP="006C56F4">
            <w:pPr>
              <w:jc w:val="both"/>
              <w:rPr>
                <w:rFonts w:ascii="Arial Narrow" w:hAnsi="Arial Narrow" w:cs="Arial"/>
                <w:b/>
                <w:sz w:val="20"/>
                <w:szCs w:val="20"/>
              </w:rPr>
            </w:pPr>
            <w:r w:rsidRPr="00957186">
              <w:rPr>
                <w:rFonts w:ascii="Arial Narrow" w:hAnsi="Arial Narrow" w:cs="Arial"/>
                <w:b/>
                <w:sz w:val="20"/>
                <w:szCs w:val="20"/>
              </w:rPr>
              <w:t>Clinical criteria:</w:t>
            </w:r>
          </w:p>
          <w:p w:rsidR="00F60828" w:rsidRPr="00957186" w:rsidRDefault="00F60828" w:rsidP="006C56F4">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60828" w:rsidRPr="00957186" w:rsidRDefault="00F60828" w:rsidP="006C56F4">
            <w:pPr>
              <w:numPr>
                <w:ilvl w:val="0"/>
                <w:numId w:val="15"/>
              </w:numPr>
              <w:rPr>
                <w:rFonts w:ascii="Arial Narrow" w:hAnsi="Arial Narrow" w:cs="Arial"/>
                <w:strike/>
                <w:sz w:val="20"/>
                <w:szCs w:val="20"/>
              </w:rPr>
            </w:pPr>
            <w:r w:rsidRPr="00957186">
              <w:rPr>
                <w:rFonts w:ascii="Arial Narrow" w:hAnsi="Arial Narrow" w:cs="Arial"/>
                <w:strike/>
                <w:sz w:val="21"/>
                <w:szCs w:val="21"/>
              </w:rPr>
              <w:t>The condition must be hormone receptor positive</w:t>
            </w:r>
          </w:p>
          <w:p w:rsidR="00F60828" w:rsidRPr="00957186" w:rsidRDefault="00F60828" w:rsidP="006C56F4">
            <w:pPr>
              <w:jc w:val="both"/>
              <w:rPr>
                <w:rFonts w:ascii="Arial Narrow" w:hAnsi="Arial Narrow" w:cs="Arial"/>
                <w:sz w:val="20"/>
                <w:szCs w:val="20"/>
              </w:rPr>
            </w:pPr>
          </w:p>
        </w:tc>
      </w:tr>
    </w:tbl>
    <w:p w:rsidR="00F9629A" w:rsidRPr="00957186" w:rsidRDefault="00F9629A" w:rsidP="004465BD">
      <w:pPr>
        <w:jc w:val="both"/>
        <w:rPr>
          <w:rFonts w:ascii="Arial" w:hAnsi="Arial"/>
          <w:sz w:val="22"/>
          <w:szCs w:val="22"/>
        </w:rPr>
      </w:pPr>
    </w:p>
    <w:p w:rsidR="00BB7EC3" w:rsidRPr="00957186" w:rsidRDefault="00321F6E" w:rsidP="00321F6E">
      <w:pPr>
        <w:ind w:firstLine="720"/>
        <w:jc w:val="both"/>
        <w:rPr>
          <w:rFonts w:ascii="Arial" w:hAnsi="Arial"/>
          <w:i/>
          <w:sz w:val="22"/>
          <w:szCs w:val="22"/>
        </w:rPr>
      </w:pPr>
      <w:r w:rsidRPr="00957186">
        <w:rPr>
          <w:rFonts w:ascii="Arial" w:hAnsi="Arial"/>
          <w:i/>
          <w:sz w:val="22"/>
          <w:szCs w:val="22"/>
        </w:rPr>
        <w:t>For more detail on PBAC’s view, see section 5 “PBAC outcome”</w:t>
      </w:r>
    </w:p>
    <w:p w:rsidR="00321F6E" w:rsidRDefault="00321F6E" w:rsidP="00882085">
      <w:pPr>
        <w:jc w:val="both"/>
        <w:rPr>
          <w:rFonts w:ascii="Arial" w:hAnsi="Arial"/>
          <w:b/>
          <w:sz w:val="22"/>
          <w:szCs w:val="22"/>
        </w:rPr>
      </w:pPr>
    </w:p>
    <w:p w:rsidR="009A2124" w:rsidRPr="00957186" w:rsidRDefault="009A2124" w:rsidP="00882085">
      <w:pPr>
        <w:jc w:val="both"/>
        <w:rPr>
          <w:rFonts w:ascii="Arial" w:hAnsi="Arial"/>
          <w:b/>
          <w:sz w:val="22"/>
          <w:szCs w:val="22"/>
        </w:rPr>
      </w:pPr>
    </w:p>
    <w:p w:rsidR="00CE10C4" w:rsidRPr="00957186" w:rsidRDefault="00CE10C4" w:rsidP="008A50F1">
      <w:pPr>
        <w:pStyle w:val="PBACHeading1"/>
      </w:pPr>
      <w:r w:rsidRPr="00957186">
        <w:t>Background</w:t>
      </w:r>
    </w:p>
    <w:p w:rsidR="00C603D4" w:rsidRPr="00957186" w:rsidRDefault="00C603D4" w:rsidP="00C603D4">
      <w:pPr>
        <w:pStyle w:val="ListParagraph"/>
        <w:rPr>
          <w:i/>
          <w:szCs w:val="22"/>
        </w:rPr>
      </w:pPr>
    </w:p>
    <w:p w:rsidR="00B56D23" w:rsidRPr="00957186" w:rsidRDefault="00B56D23" w:rsidP="0072084E">
      <w:pPr>
        <w:pStyle w:val="ListParagraph"/>
        <w:widowControl/>
        <w:numPr>
          <w:ilvl w:val="1"/>
          <w:numId w:val="5"/>
        </w:numPr>
        <w:rPr>
          <w:i/>
          <w:szCs w:val="22"/>
        </w:rPr>
      </w:pPr>
      <w:r w:rsidRPr="00957186">
        <w:rPr>
          <w:szCs w:val="22"/>
        </w:rPr>
        <w:t>Goserelin 3.6 mg implant is</w:t>
      </w:r>
      <w:r w:rsidR="005E4819">
        <w:rPr>
          <w:szCs w:val="22"/>
        </w:rPr>
        <w:t xml:space="preserve"> a gona</w:t>
      </w:r>
      <w:r w:rsidR="00BD79BF">
        <w:rPr>
          <w:szCs w:val="22"/>
        </w:rPr>
        <w:t>dotrophin releasing hormone (GnRH</w:t>
      </w:r>
      <w:r w:rsidR="005E4819">
        <w:rPr>
          <w:szCs w:val="22"/>
        </w:rPr>
        <w:t>) agonist,</w:t>
      </w:r>
      <w:r w:rsidRPr="00957186">
        <w:rPr>
          <w:szCs w:val="22"/>
        </w:rPr>
        <w:t xml:space="preserve"> TGA registered for prostate cancer, endometriosis, uterine fibroids, endometrial thinning, assisted reproduction, and treatment of advanced breast cancer (T3b, T4 or </w:t>
      </w:r>
      <w:r w:rsidRPr="00957186">
        <w:rPr>
          <w:szCs w:val="22"/>
        </w:rPr>
        <w:lastRenderedPageBreak/>
        <w:t>any T with N2, 3 or M+) in premenopausal women suitable for hormonal manipulation (PI, p11).</w:t>
      </w:r>
    </w:p>
    <w:p w:rsidR="004213EA" w:rsidRPr="00957186" w:rsidRDefault="004213EA" w:rsidP="004213EA">
      <w:pPr>
        <w:pStyle w:val="ListParagraph"/>
        <w:rPr>
          <w:i/>
          <w:szCs w:val="22"/>
        </w:rPr>
      </w:pPr>
    </w:p>
    <w:p w:rsidR="00B56D23" w:rsidRPr="00957186" w:rsidRDefault="00B56D23" w:rsidP="00B56D23">
      <w:pPr>
        <w:pStyle w:val="ListParagraph"/>
        <w:numPr>
          <w:ilvl w:val="1"/>
          <w:numId w:val="5"/>
        </w:numPr>
        <w:rPr>
          <w:i/>
          <w:szCs w:val="22"/>
        </w:rPr>
      </w:pPr>
      <w:r w:rsidRPr="00957186">
        <w:rPr>
          <w:szCs w:val="22"/>
        </w:rPr>
        <w:t xml:space="preserve">At the December 2014 special meeting, the PBAC recommended that goserelin be listed as a restricted benefit. At the March 2015 PBAC meeting the PBAC recommended that the restriction for goserelin implant 3.6 mg be amended to allow access to hormone receptor positive breast cancer patients at all cancer stages </w:t>
      </w:r>
      <w:r w:rsidR="001D3EB1" w:rsidRPr="00957186">
        <w:rPr>
          <w:szCs w:val="22"/>
        </w:rPr>
        <w:t>f</w:t>
      </w:r>
      <w:r w:rsidRPr="00957186">
        <w:rPr>
          <w:szCs w:val="22"/>
        </w:rPr>
        <w:t>or chemotherapy treatment.</w:t>
      </w:r>
    </w:p>
    <w:p w:rsidR="00B56D23" w:rsidRPr="00957186" w:rsidRDefault="00B56D23" w:rsidP="00B56D23">
      <w:pPr>
        <w:pStyle w:val="ListParagraph"/>
        <w:rPr>
          <w:i/>
          <w:szCs w:val="22"/>
        </w:rPr>
      </w:pPr>
    </w:p>
    <w:p w:rsidR="00E67DCC" w:rsidRPr="00441136" w:rsidRDefault="00B56D23" w:rsidP="00441136">
      <w:pPr>
        <w:pStyle w:val="ListParagraph"/>
        <w:numPr>
          <w:ilvl w:val="1"/>
          <w:numId w:val="5"/>
        </w:numPr>
        <w:rPr>
          <w:i/>
          <w:szCs w:val="22"/>
        </w:rPr>
      </w:pPr>
      <w:r w:rsidRPr="00957186">
        <w:rPr>
          <w:szCs w:val="22"/>
        </w:rPr>
        <w:t xml:space="preserve">At the November 2016 PBAC meeting the PBAC decided to defer the submission </w:t>
      </w:r>
      <w:r w:rsidR="001D3EB1" w:rsidRPr="00957186">
        <w:rPr>
          <w:szCs w:val="22"/>
        </w:rPr>
        <w:t xml:space="preserve">for goserelin implant to reduce </w:t>
      </w:r>
      <w:r w:rsidR="00E42214" w:rsidRPr="00957186">
        <w:rPr>
          <w:szCs w:val="22"/>
        </w:rPr>
        <w:t xml:space="preserve">POF </w:t>
      </w:r>
      <w:r w:rsidR="00511666" w:rsidRPr="00957186">
        <w:rPr>
          <w:bCs/>
          <w:szCs w:val="22"/>
        </w:rPr>
        <w:t>on the basis that patient populations in addition to that proposed by MOGA may benefit from</w:t>
      </w:r>
      <w:r w:rsidR="00A96B5F" w:rsidRPr="00957186">
        <w:rPr>
          <w:bCs/>
          <w:szCs w:val="22"/>
        </w:rPr>
        <w:t>,</w:t>
      </w:r>
      <w:r w:rsidR="00511666" w:rsidRPr="00957186">
        <w:rPr>
          <w:bCs/>
          <w:szCs w:val="22"/>
        </w:rPr>
        <w:t xml:space="preserve"> and use this treatment</w:t>
      </w:r>
      <w:r w:rsidR="00A96B5F" w:rsidRPr="00957186">
        <w:rPr>
          <w:bCs/>
          <w:szCs w:val="22"/>
        </w:rPr>
        <w:t>,</w:t>
      </w:r>
      <w:r w:rsidR="00511666" w:rsidRPr="00957186">
        <w:rPr>
          <w:bCs/>
          <w:szCs w:val="22"/>
        </w:rPr>
        <w:t xml:space="preserve"> and </w:t>
      </w:r>
      <w:r w:rsidR="001D3EB1" w:rsidRPr="00957186">
        <w:rPr>
          <w:bCs/>
          <w:szCs w:val="22"/>
        </w:rPr>
        <w:t xml:space="preserve">therefore </w:t>
      </w:r>
      <w:r w:rsidR="00511666" w:rsidRPr="00957186">
        <w:rPr>
          <w:bCs/>
          <w:szCs w:val="22"/>
        </w:rPr>
        <w:t>that the utilisation estimates may be underestimated.</w:t>
      </w:r>
    </w:p>
    <w:p w:rsidR="00441136" w:rsidRPr="00441136" w:rsidRDefault="00441136" w:rsidP="00441136">
      <w:pPr>
        <w:rPr>
          <w:i/>
          <w:szCs w:val="22"/>
        </w:rPr>
      </w:pPr>
    </w:p>
    <w:p w:rsidR="00B56D23" w:rsidRDefault="00321F6E" w:rsidP="00441136">
      <w:pPr>
        <w:ind w:firstLine="720"/>
        <w:jc w:val="both"/>
        <w:rPr>
          <w:rFonts w:ascii="Arial" w:hAnsi="Arial"/>
          <w:i/>
          <w:sz w:val="22"/>
          <w:szCs w:val="22"/>
        </w:rPr>
      </w:pPr>
      <w:r w:rsidRPr="00957186">
        <w:rPr>
          <w:rFonts w:ascii="Arial" w:hAnsi="Arial"/>
          <w:i/>
          <w:sz w:val="22"/>
          <w:szCs w:val="22"/>
        </w:rPr>
        <w:t>For more detail on PBAC’s view, see section 5 “PBAC outcome”</w:t>
      </w:r>
    </w:p>
    <w:p w:rsidR="00441136" w:rsidRDefault="00441136" w:rsidP="0017088C">
      <w:pPr>
        <w:jc w:val="both"/>
        <w:rPr>
          <w:rFonts w:ascii="Arial" w:hAnsi="Arial"/>
          <w:sz w:val="22"/>
          <w:szCs w:val="22"/>
        </w:rPr>
      </w:pPr>
    </w:p>
    <w:p w:rsidR="0017088C" w:rsidRPr="0017088C" w:rsidRDefault="0017088C" w:rsidP="0017088C">
      <w:pPr>
        <w:jc w:val="both"/>
        <w:rPr>
          <w:rFonts w:ascii="Arial" w:hAnsi="Arial"/>
          <w:sz w:val="22"/>
          <w:szCs w:val="22"/>
        </w:rPr>
      </w:pPr>
    </w:p>
    <w:p w:rsidR="004B6359" w:rsidRPr="00957186" w:rsidRDefault="00E67DCC" w:rsidP="004B6359">
      <w:pPr>
        <w:pStyle w:val="PBACHeading1"/>
      </w:pPr>
      <w:r w:rsidRPr="00957186">
        <w:t>Current submission</w:t>
      </w:r>
    </w:p>
    <w:p w:rsidR="00E67DCC" w:rsidRPr="00957186" w:rsidRDefault="00E67DCC" w:rsidP="004B6359">
      <w:pPr>
        <w:jc w:val="both"/>
        <w:rPr>
          <w:rFonts w:ascii="Arial" w:hAnsi="Arial"/>
          <w:b/>
          <w:i/>
          <w:sz w:val="22"/>
          <w:szCs w:val="22"/>
        </w:rPr>
      </w:pPr>
    </w:p>
    <w:p w:rsidR="004B6359" w:rsidRPr="00957186" w:rsidRDefault="004B6359" w:rsidP="00E67DCC">
      <w:pPr>
        <w:pStyle w:val="ListParagraph"/>
        <w:numPr>
          <w:ilvl w:val="1"/>
          <w:numId w:val="5"/>
        </w:numPr>
        <w:rPr>
          <w:szCs w:val="22"/>
        </w:rPr>
      </w:pPr>
      <w:r w:rsidRPr="00957186">
        <w:rPr>
          <w:szCs w:val="22"/>
        </w:rPr>
        <w:t xml:space="preserve">The </w:t>
      </w:r>
      <w:r w:rsidR="00511666" w:rsidRPr="00957186">
        <w:rPr>
          <w:szCs w:val="22"/>
        </w:rPr>
        <w:t xml:space="preserve">current submission to the </w:t>
      </w:r>
      <w:r w:rsidRPr="00957186">
        <w:rPr>
          <w:szCs w:val="22"/>
        </w:rPr>
        <w:t xml:space="preserve">PBAC </w:t>
      </w:r>
      <w:r w:rsidR="00511666" w:rsidRPr="00957186">
        <w:rPr>
          <w:szCs w:val="22"/>
        </w:rPr>
        <w:t xml:space="preserve">provided additional information in relation to the proposed patient population and utilisation estimates. </w:t>
      </w:r>
    </w:p>
    <w:p w:rsidR="004B6359" w:rsidRPr="00957186" w:rsidRDefault="004B6359" w:rsidP="004B6359">
      <w:pPr>
        <w:rPr>
          <w:b/>
          <w:i/>
        </w:rPr>
      </w:pPr>
    </w:p>
    <w:p w:rsidR="00321F6E" w:rsidRDefault="00321F6E" w:rsidP="00FA6D96">
      <w:pPr>
        <w:pStyle w:val="Heading2"/>
      </w:pPr>
      <w:r w:rsidRPr="00957186">
        <w:t>Sponsor hearing</w:t>
      </w:r>
    </w:p>
    <w:p w:rsidR="00FA6D96" w:rsidRPr="00FA6D96" w:rsidRDefault="00FA6D96" w:rsidP="00FA6D96"/>
    <w:p w:rsidR="00321F6E" w:rsidRPr="00957186" w:rsidRDefault="00321F6E" w:rsidP="009A2124">
      <w:pPr>
        <w:pStyle w:val="ListParagraph"/>
        <w:keepNext/>
        <w:keepLines/>
        <w:numPr>
          <w:ilvl w:val="1"/>
          <w:numId w:val="5"/>
        </w:numPr>
        <w:rPr>
          <w:szCs w:val="22"/>
        </w:rPr>
      </w:pPr>
      <w:r w:rsidRPr="00957186">
        <w:rPr>
          <w:szCs w:val="22"/>
        </w:rPr>
        <w:t>There was no hearing for this item.</w:t>
      </w:r>
    </w:p>
    <w:p w:rsidR="00A325CF" w:rsidRPr="00957186" w:rsidRDefault="00A325CF" w:rsidP="00A325CF">
      <w:pPr>
        <w:pStyle w:val="ListParagraph"/>
        <w:rPr>
          <w:szCs w:val="22"/>
        </w:rPr>
      </w:pPr>
    </w:p>
    <w:p w:rsidR="00321F6E" w:rsidRDefault="00321F6E" w:rsidP="00FA6D96">
      <w:pPr>
        <w:pStyle w:val="Heading2"/>
      </w:pPr>
      <w:r w:rsidRPr="00957186">
        <w:t>Consumer comments</w:t>
      </w:r>
    </w:p>
    <w:p w:rsidR="00FA6D96" w:rsidRPr="00FA6D96" w:rsidRDefault="00FA6D96" w:rsidP="00FA6D96"/>
    <w:p w:rsidR="00321F6E" w:rsidRPr="00957186" w:rsidRDefault="00321F6E" w:rsidP="00A325CF">
      <w:pPr>
        <w:pStyle w:val="ListParagraph"/>
        <w:numPr>
          <w:ilvl w:val="1"/>
          <w:numId w:val="5"/>
        </w:numPr>
        <w:rPr>
          <w:szCs w:val="22"/>
        </w:rPr>
      </w:pPr>
      <w:r w:rsidRPr="00957186">
        <w:rPr>
          <w:szCs w:val="22"/>
        </w:rPr>
        <w:t>The PBAC noted that no consumer comments were received for this item.</w:t>
      </w:r>
    </w:p>
    <w:p w:rsidR="00A325CF" w:rsidRPr="00957186" w:rsidRDefault="00A325CF" w:rsidP="00A325CF">
      <w:pPr>
        <w:pStyle w:val="ListParagraph"/>
        <w:rPr>
          <w:szCs w:val="22"/>
        </w:rPr>
      </w:pPr>
    </w:p>
    <w:p w:rsidR="00511666" w:rsidRDefault="00511666" w:rsidP="00FA6D96">
      <w:pPr>
        <w:pStyle w:val="Heading2"/>
      </w:pPr>
      <w:r w:rsidRPr="00957186">
        <w:t>Patient population</w:t>
      </w:r>
    </w:p>
    <w:p w:rsidR="00FA6D96" w:rsidRPr="00FA6D96" w:rsidRDefault="00FA6D96" w:rsidP="00FA6D96"/>
    <w:p w:rsidR="00511666" w:rsidRPr="00957186" w:rsidRDefault="00272FD4" w:rsidP="00626751">
      <w:pPr>
        <w:pStyle w:val="ListParagraph"/>
        <w:numPr>
          <w:ilvl w:val="1"/>
          <w:numId w:val="5"/>
        </w:numPr>
        <w:rPr>
          <w:szCs w:val="22"/>
        </w:rPr>
      </w:pPr>
      <w:r w:rsidRPr="00957186">
        <w:rPr>
          <w:szCs w:val="22"/>
        </w:rPr>
        <w:t>At the November 2016 meeting, the PBAC considered that it was likel</w:t>
      </w:r>
      <w:r w:rsidR="00A96B5F" w:rsidRPr="00957186">
        <w:rPr>
          <w:szCs w:val="22"/>
        </w:rPr>
        <w:t>y</w:t>
      </w:r>
      <w:r w:rsidRPr="00957186">
        <w:rPr>
          <w:szCs w:val="22"/>
        </w:rPr>
        <w:t xml:space="preserve"> that this treatment could reduce </w:t>
      </w:r>
      <w:r w:rsidR="00E42214" w:rsidRPr="00957186">
        <w:rPr>
          <w:szCs w:val="22"/>
        </w:rPr>
        <w:t xml:space="preserve">POF </w:t>
      </w:r>
      <w:r w:rsidRPr="00957186">
        <w:rPr>
          <w:szCs w:val="22"/>
        </w:rPr>
        <w:t xml:space="preserve">in women treated for cancers other than breast cancer. </w:t>
      </w:r>
      <w:r w:rsidR="00511666" w:rsidRPr="00957186">
        <w:rPr>
          <w:szCs w:val="22"/>
        </w:rPr>
        <w:t xml:space="preserve">The </w:t>
      </w:r>
      <w:r w:rsidRPr="00957186">
        <w:rPr>
          <w:szCs w:val="22"/>
        </w:rPr>
        <w:t>re</w:t>
      </w:r>
      <w:r w:rsidR="00511666" w:rsidRPr="00957186">
        <w:rPr>
          <w:szCs w:val="22"/>
        </w:rPr>
        <w:t xml:space="preserve">submission claimed that </w:t>
      </w:r>
      <w:r w:rsidR="00AE4866" w:rsidRPr="00957186">
        <w:rPr>
          <w:szCs w:val="22"/>
        </w:rPr>
        <w:t xml:space="preserve">the application was for use in breast cancer only because there is limited evidence to support the use of goserelin for all women undergoing menopause-inducing chemotherapy. The submission acknowledged that </w:t>
      </w:r>
      <w:r w:rsidR="001D3EB1" w:rsidRPr="00957186">
        <w:rPr>
          <w:szCs w:val="22"/>
        </w:rPr>
        <w:t xml:space="preserve">although </w:t>
      </w:r>
      <w:r w:rsidR="00AE4866" w:rsidRPr="00957186">
        <w:rPr>
          <w:szCs w:val="22"/>
        </w:rPr>
        <w:t>this treatment may be effective in other cyclophosphamide-based chemotherapy regimens</w:t>
      </w:r>
      <w:r w:rsidR="001D3EB1" w:rsidRPr="00957186">
        <w:rPr>
          <w:szCs w:val="22"/>
        </w:rPr>
        <w:t>,</w:t>
      </w:r>
      <w:r w:rsidR="00AE4866" w:rsidRPr="00957186">
        <w:rPr>
          <w:szCs w:val="22"/>
        </w:rPr>
        <w:t xml:space="preserve"> trials in lymphoma have not clearly demonstrated efficacy in this setting, mostly due to the small sample size leading to under-powered studies. References for these trials were not provided in the submission.</w:t>
      </w:r>
    </w:p>
    <w:p w:rsidR="00431F2F" w:rsidRPr="00957186" w:rsidRDefault="00431F2F" w:rsidP="00431F2F">
      <w:pPr>
        <w:pStyle w:val="ListParagraph"/>
        <w:rPr>
          <w:szCs w:val="22"/>
        </w:rPr>
      </w:pPr>
    </w:p>
    <w:p w:rsidR="00EA17D8" w:rsidRPr="00957186" w:rsidRDefault="000364E1" w:rsidP="00140AF2">
      <w:pPr>
        <w:pStyle w:val="ListParagraph"/>
        <w:numPr>
          <w:ilvl w:val="1"/>
          <w:numId w:val="5"/>
        </w:numPr>
        <w:rPr>
          <w:szCs w:val="22"/>
        </w:rPr>
      </w:pPr>
      <w:r w:rsidRPr="00957186">
        <w:rPr>
          <w:szCs w:val="22"/>
        </w:rPr>
        <w:t>T</w:t>
      </w:r>
      <w:r w:rsidR="00140AF2" w:rsidRPr="00957186">
        <w:rPr>
          <w:szCs w:val="22"/>
        </w:rPr>
        <w:t xml:space="preserve">he PBAC </w:t>
      </w:r>
      <w:r w:rsidRPr="00957186">
        <w:rPr>
          <w:szCs w:val="22"/>
        </w:rPr>
        <w:t>noted that the current submission referred to some additional studies in the use of goserelin to prevent</w:t>
      </w:r>
      <w:r w:rsidR="00431F2F" w:rsidRPr="00957186">
        <w:rPr>
          <w:szCs w:val="22"/>
        </w:rPr>
        <w:t xml:space="preserve"> POF in other cancers</w:t>
      </w:r>
      <w:r w:rsidR="00EA17D8" w:rsidRPr="00957186">
        <w:rPr>
          <w:szCs w:val="22"/>
        </w:rPr>
        <w:t xml:space="preserve">, specifically lymphoma (Demeestere et al., 2016). </w:t>
      </w:r>
      <w:r w:rsidR="003849B4">
        <w:rPr>
          <w:szCs w:val="22"/>
        </w:rPr>
        <w:t>The PBAC</w:t>
      </w:r>
      <w:r w:rsidR="00DF4E18">
        <w:rPr>
          <w:szCs w:val="22"/>
        </w:rPr>
        <w:t xml:space="preserve"> noted that the</w:t>
      </w:r>
      <w:r w:rsidRPr="00957186">
        <w:rPr>
          <w:szCs w:val="22"/>
        </w:rPr>
        <w:t xml:space="preserve"> </w:t>
      </w:r>
      <w:r w:rsidR="00DF4E18">
        <w:rPr>
          <w:szCs w:val="22"/>
        </w:rPr>
        <w:t xml:space="preserve">Demeestere </w:t>
      </w:r>
      <w:r w:rsidR="005E4819">
        <w:rPr>
          <w:szCs w:val="22"/>
        </w:rPr>
        <w:t xml:space="preserve">study </w:t>
      </w:r>
      <w:r w:rsidR="00DF4E18">
        <w:rPr>
          <w:szCs w:val="22"/>
        </w:rPr>
        <w:t>had a number of limitations, including the fact that it was underpowered. However</w:t>
      </w:r>
      <w:r w:rsidR="005E4819">
        <w:rPr>
          <w:szCs w:val="22"/>
        </w:rPr>
        <w:t>, the</w:t>
      </w:r>
      <w:r w:rsidR="00DF4E18">
        <w:rPr>
          <w:szCs w:val="22"/>
        </w:rPr>
        <w:t xml:space="preserve"> PBAC noted the study also showed lower rates of POF and more pregnancies in the arm exposed to GnRH agonists. </w:t>
      </w:r>
      <w:r w:rsidR="005E4819">
        <w:rPr>
          <w:szCs w:val="22"/>
        </w:rPr>
        <w:t xml:space="preserve">The </w:t>
      </w:r>
      <w:r w:rsidR="00DF4E18">
        <w:rPr>
          <w:szCs w:val="22"/>
        </w:rPr>
        <w:t xml:space="preserve">PBAC </w:t>
      </w:r>
      <w:r w:rsidRPr="00957186">
        <w:rPr>
          <w:szCs w:val="22"/>
        </w:rPr>
        <w:t>noted that stronger evidence was unlikely to be forthcoming</w:t>
      </w:r>
      <w:r w:rsidR="00DF4E18">
        <w:rPr>
          <w:szCs w:val="22"/>
        </w:rPr>
        <w:t xml:space="preserve"> especially in rare conditions (including rare cancers). </w:t>
      </w:r>
      <w:r w:rsidR="00EA17D8" w:rsidRPr="00957186">
        <w:rPr>
          <w:szCs w:val="22"/>
        </w:rPr>
        <w:t xml:space="preserve"> </w:t>
      </w:r>
      <w:r w:rsidR="005E4819">
        <w:rPr>
          <w:szCs w:val="22"/>
        </w:rPr>
        <w:t xml:space="preserve">The </w:t>
      </w:r>
      <w:r w:rsidRPr="00957186">
        <w:rPr>
          <w:szCs w:val="22"/>
        </w:rPr>
        <w:lastRenderedPageBreak/>
        <w:t xml:space="preserve">PBAC </w:t>
      </w:r>
      <w:r w:rsidR="005E4819">
        <w:rPr>
          <w:szCs w:val="22"/>
        </w:rPr>
        <w:t xml:space="preserve">also </w:t>
      </w:r>
      <w:r w:rsidRPr="00957186">
        <w:rPr>
          <w:szCs w:val="22"/>
        </w:rPr>
        <w:t xml:space="preserve">reiterated </w:t>
      </w:r>
      <w:r w:rsidR="009843A5" w:rsidRPr="00957186">
        <w:rPr>
          <w:szCs w:val="22"/>
        </w:rPr>
        <w:t xml:space="preserve">its </w:t>
      </w:r>
      <w:r w:rsidRPr="00957186">
        <w:rPr>
          <w:szCs w:val="22"/>
        </w:rPr>
        <w:t>opinion that</w:t>
      </w:r>
      <w:r w:rsidR="00154281" w:rsidRPr="00957186">
        <w:rPr>
          <w:szCs w:val="22"/>
        </w:rPr>
        <w:t xml:space="preserve"> </w:t>
      </w:r>
      <w:r w:rsidR="00EA17D8" w:rsidRPr="00957186">
        <w:rPr>
          <w:szCs w:val="22"/>
        </w:rPr>
        <w:t xml:space="preserve">it is biologically plausible that </w:t>
      </w:r>
      <w:r w:rsidR="002D5384">
        <w:rPr>
          <w:szCs w:val="22"/>
        </w:rPr>
        <w:t xml:space="preserve">goserelin is also effective </w:t>
      </w:r>
      <w:r w:rsidR="00EA17D8" w:rsidRPr="00957186">
        <w:rPr>
          <w:szCs w:val="22"/>
        </w:rPr>
        <w:t>in</w:t>
      </w:r>
      <w:r w:rsidR="009843A5" w:rsidRPr="00957186">
        <w:rPr>
          <w:szCs w:val="22"/>
        </w:rPr>
        <w:t xml:space="preserve"> </w:t>
      </w:r>
      <w:r w:rsidR="00DF5C91" w:rsidRPr="00957186">
        <w:rPr>
          <w:szCs w:val="22"/>
        </w:rPr>
        <w:t>prevent</w:t>
      </w:r>
      <w:r w:rsidR="002D5384">
        <w:rPr>
          <w:szCs w:val="22"/>
        </w:rPr>
        <w:t>ing</w:t>
      </w:r>
      <w:r w:rsidR="00DF5C91" w:rsidRPr="00957186">
        <w:rPr>
          <w:szCs w:val="22"/>
        </w:rPr>
        <w:t xml:space="preserve"> POF </w:t>
      </w:r>
      <w:r w:rsidR="00EA17D8" w:rsidRPr="00957186">
        <w:rPr>
          <w:szCs w:val="22"/>
        </w:rPr>
        <w:t xml:space="preserve">in other cancers </w:t>
      </w:r>
      <w:r w:rsidRPr="00957186">
        <w:rPr>
          <w:szCs w:val="22"/>
        </w:rPr>
        <w:t xml:space="preserve">and </w:t>
      </w:r>
      <w:r w:rsidR="00EA17D8" w:rsidRPr="00957186">
        <w:rPr>
          <w:szCs w:val="22"/>
        </w:rPr>
        <w:t xml:space="preserve">autoimmune diseases treated with </w:t>
      </w:r>
      <w:r w:rsidR="002D5384">
        <w:rPr>
          <w:szCs w:val="22"/>
        </w:rPr>
        <w:t xml:space="preserve">alkylating agents such as </w:t>
      </w:r>
      <w:r w:rsidR="00EA17D8" w:rsidRPr="00957186">
        <w:rPr>
          <w:szCs w:val="22"/>
        </w:rPr>
        <w:t>cyclophosphamide.</w:t>
      </w:r>
      <w:r w:rsidR="00E15B0B">
        <w:rPr>
          <w:szCs w:val="22"/>
        </w:rPr>
        <w:t xml:space="preserve"> The PBAC </w:t>
      </w:r>
      <w:r w:rsidR="005E4819">
        <w:rPr>
          <w:szCs w:val="22"/>
        </w:rPr>
        <w:t>recalled their previous advice</w:t>
      </w:r>
      <w:r w:rsidR="00E15B0B">
        <w:rPr>
          <w:szCs w:val="22"/>
        </w:rPr>
        <w:t xml:space="preserve"> that the ability of GnRH agonists to protect ovarian function relates to factors such as the nature and duration of drug exposure and the age of the woman</w:t>
      </w:r>
      <w:r w:rsidR="005E4819">
        <w:rPr>
          <w:szCs w:val="22"/>
        </w:rPr>
        <w:t xml:space="preserve"> (paragraph 7.4, goserelin November 2016</w:t>
      </w:r>
      <w:r w:rsidR="00FA6D96">
        <w:rPr>
          <w:szCs w:val="22"/>
        </w:rPr>
        <w:t xml:space="preserve"> </w:t>
      </w:r>
      <w:r w:rsidR="005E4819">
        <w:rPr>
          <w:szCs w:val="22"/>
        </w:rPr>
        <w:t>PSD)</w:t>
      </w:r>
      <w:r w:rsidR="00E15B0B">
        <w:rPr>
          <w:szCs w:val="22"/>
        </w:rPr>
        <w:t>.</w:t>
      </w:r>
    </w:p>
    <w:p w:rsidR="00511666" w:rsidRPr="00957186" w:rsidRDefault="00511666" w:rsidP="004B6359">
      <w:pPr>
        <w:rPr>
          <w:rFonts w:ascii="Arial" w:hAnsi="Arial" w:cs="Arial"/>
          <w:b/>
          <w:i/>
          <w:sz w:val="22"/>
          <w:szCs w:val="22"/>
        </w:rPr>
      </w:pPr>
    </w:p>
    <w:p w:rsidR="004B6359" w:rsidRPr="00957186" w:rsidRDefault="004B6359" w:rsidP="00FA6D96">
      <w:pPr>
        <w:pStyle w:val="Heading2"/>
      </w:pPr>
      <w:r w:rsidRPr="00957186">
        <w:t>Estimated PBS usage &amp; financial implications</w:t>
      </w:r>
    </w:p>
    <w:p w:rsidR="00175A17" w:rsidRPr="00957186" w:rsidRDefault="00175A17" w:rsidP="00175A17">
      <w:pPr>
        <w:pStyle w:val="ListParagraph"/>
        <w:rPr>
          <w:szCs w:val="22"/>
        </w:rPr>
      </w:pPr>
    </w:p>
    <w:p w:rsidR="00AE4866" w:rsidRPr="00957186" w:rsidRDefault="00E67DCC" w:rsidP="00E67DCC">
      <w:pPr>
        <w:pStyle w:val="ListParagraph"/>
        <w:numPr>
          <w:ilvl w:val="1"/>
          <w:numId w:val="5"/>
        </w:numPr>
        <w:rPr>
          <w:szCs w:val="22"/>
        </w:rPr>
      </w:pPr>
      <w:r w:rsidRPr="00957186">
        <w:rPr>
          <w:szCs w:val="22"/>
        </w:rPr>
        <w:t xml:space="preserve">The </w:t>
      </w:r>
      <w:r w:rsidR="00A96B5F" w:rsidRPr="00957186">
        <w:rPr>
          <w:szCs w:val="22"/>
        </w:rPr>
        <w:t xml:space="preserve">November 2016 </w:t>
      </w:r>
      <w:r w:rsidRPr="00957186">
        <w:rPr>
          <w:szCs w:val="22"/>
        </w:rPr>
        <w:t xml:space="preserve">submission estimated that up to </w:t>
      </w:r>
      <w:r w:rsidR="00280D9F">
        <w:rPr>
          <w:szCs w:val="22"/>
        </w:rPr>
        <w:t>less than 10,000</w:t>
      </w:r>
      <w:r w:rsidRPr="00957186">
        <w:rPr>
          <w:szCs w:val="22"/>
        </w:rPr>
        <w:t xml:space="preserve"> patients per year would use goserelin for 3 to 6 months</w:t>
      </w:r>
      <w:r w:rsidR="009843A5" w:rsidRPr="00957186">
        <w:rPr>
          <w:szCs w:val="22"/>
        </w:rPr>
        <w:t xml:space="preserve"> for POF</w:t>
      </w:r>
      <w:r w:rsidRPr="00957186">
        <w:rPr>
          <w:szCs w:val="22"/>
        </w:rPr>
        <w:t xml:space="preserve">. </w:t>
      </w:r>
      <w:r w:rsidR="00AE4866" w:rsidRPr="00957186">
        <w:rPr>
          <w:szCs w:val="22"/>
        </w:rPr>
        <w:t>At the November 2016 meeting, the PBAC considered that the basis for these estimates was unclear.</w:t>
      </w:r>
    </w:p>
    <w:p w:rsidR="00AE4866" w:rsidRPr="00957186" w:rsidRDefault="00AE4866" w:rsidP="00626751">
      <w:pPr>
        <w:pStyle w:val="ListParagraph"/>
        <w:rPr>
          <w:szCs w:val="22"/>
        </w:rPr>
      </w:pPr>
    </w:p>
    <w:p w:rsidR="00AE4866" w:rsidRPr="00957186" w:rsidRDefault="00AE4866" w:rsidP="00E67DCC">
      <w:pPr>
        <w:pStyle w:val="ListParagraph"/>
        <w:numPr>
          <w:ilvl w:val="1"/>
          <w:numId w:val="5"/>
        </w:numPr>
        <w:rPr>
          <w:szCs w:val="22"/>
        </w:rPr>
      </w:pPr>
      <w:r w:rsidRPr="00957186">
        <w:rPr>
          <w:szCs w:val="22"/>
        </w:rPr>
        <w:t>Th</w:t>
      </w:r>
      <w:r w:rsidR="00272FD4" w:rsidRPr="00957186">
        <w:rPr>
          <w:szCs w:val="22"/>
        </w:rPr>
        <w:t>e resubmission stated that the estimated</w:t>
      </w:r>
      <w:r w:rsidRPr="00957186">
        <w:rPr>
          <w:szCs w:val="22"/>
        </w:rPr>
        <w:t xml:space="preserve"> patient numbers were based on an epidemiological approach whereby of the 15,934 women diagnosed with breast cancer in Australia in 2016</w:t>
      </w:r>
      <w:r w:rsidR="001D3EB1" w:rsidRPr="00957186">
        <w:rPr>
          <w:rStyle w:val="FootnoteReference"/>
          <w:szCs w:val="22"/>
        </w:rPr>
        <w:footnoteReference w:id="1"/>
      </w:r>
      <w:r w:rsidRPr="00957186">
        <w:rPr>
          <w:szCs w:val="22"/>
        </w:rPr>
        <w:t xml:space="preserve">, </w:t>
      </w:r>
      <w:r w:rsidR="00A96B5F" w:rsidRPr="00957186">
        <w:rPr>
          <w:szCs w:val="22"/>
        </w:rPr>
        <w:t xml:space="preserve">around </w:t>
      </w:r>
      <w:r w:rsidR="008D4959">
        <w:rPr>
          <w:noProof/>
          <w:color w:val="000000"/>
          <w:szCs w:val="22"/>
          <w:highlight w:val="black"/>
        </w:rPr>
        <w:t>'''''''</w:t>
      </w:r>
      <w:r w:rsidRPr="00957186">
        <w:rPr>
          <w:szCs w:val="22"/>
        </w:rPr>
        <w:t xml:space="preserve">% would be pre-menopausal, </w:t>
      </w:r>
      <w:r w:rsidR="008D4959">
        <w:rPr>
          <w:noProof/>
          <w:color w:val="000000"/>
          <w:szCs w:val="22"/>
          <w:highlight w:val="black"/>
        </w:rPr>
        <w:t>''''''</w:t>
      </w:r>
      <w:r w:rsidRPr="00957186">
        <w:rPr>
          <w:szCs w:val="22"/>
        </w:rPr>
        <w:t xml:space="preserve">% of these would have ER negative breast cancer, </w:t>
      </w:r>
      <w:r w:rsidR="00A96B5F" w:rsidRPr="00957186">
        <w:rPr>
          <w:szCs w:val="22"/>
        </w:rPr>
        <w:t xml:space="preserve">with </w:t>
      </w:r>
      <w:r w:rsidR="00154281" w:rsidRPr="00957186">
        <w:rPr>
          <w:szCs w:val="22"/>
        </w:rPr>
        <w:t>45</w:t>
      </w:r>
      <w:r w:rsidRPr="00957186">
        <w:rPr>
          <w:szCs w:val="22"/>
        </w:rPr>
        <w:t xml:space="preserve"> hav</w:t>
      </w:r>
      <w:r w:rsidR="00A96B5F" w:rsidRPr="00957186">
        <w:rPr>
          <w:szCs w:val="22"/>
        </w:rPr>
        <w:t>ing</w:t>
      </w:r>
      <w:r w:rsidRPr="00957186">
        <w:rPr>
          <w:szCs w:val="22"/>
        </w:rPr>
        <w:t xml:space="preserve"> metastatic disease at diagnosis</w:t>
      </w:r>
      <w:r w:rsidR="00A96B5F" w:rsidRPr="00957186">
        <w:rPr>
          <w:szCs w:val="22"/>
        </w:rPr>
        <w:t xml:space="preserve"> (i</w:t>
      </w:r>
      <w:r w:rsidR="00BB7781" w:rsidRPr="00957186">
        <w:rPr>
          <w:szCs w:val="22"/>
        </w:rPr>
        <w:t>.</w:t>
      </w:r>
      <w:r w:rsidR="00A96B5F" w:rsidRPr="00957186">
        <w:rPr>
          <w:szCs w:val="22"/>
        </w:rPr>
        <w:t>e</w:t>
      </w:r>
      <w:r w:rsidR="00BB7781" w:rsidRPr="00957186">
        <w:rPr>
          <w:szCs w:val="22"/>
        </w:rPr>
        <w:t>.</w:t>
      </w:r>
      <w:r w:rsidR="00A96B5F" w:rsidRPr="00957186">
        <w:rPr>
          <w:szCs w:val="22"/>
        </w:rPr>
        <w:t xml:space="preserve"> </w:t>
      </w:r>
      <w:r w:rsidR="008D4959">
        <w:rPr>
          <w:noProof/>
          <w:color w:val="000000"/>
          <w:szCs w:val="22"/>
          <w:highlight w:val="black"/>
        </w:rPr>
        <w:t>'''''''''''''''''' ''' '''''''''''' ''' ''''''''''' '' ''''''' ''' ''''''''''''</w:t>
      </w:r>
      <w:r w:rsidR="00A96B5F" w:rsidRPr="00957186">
        <w:rPr>
          <w:szCs w:val="22"/>
        </w:rPr>
        <w:t>)</w:t>
      </w:r>
      <w:r w:rsidRPr="00957186">
        <w:rPr>
          <w:szCs w:val="22"/>
        </w:rPr>
        <w:t xml:space="preserve">. Of the remaining </w:t>
      </w:r>
      <w:r w:rsidR="00280D9F">
        <w:rPr>
          <w:szCs w:val="22"/>
        </w:rPr>
        <w:t>less than 10,000</w:t>
      </w:r>
      <w:r w:rsidR="00280D9F" w:rsidRPr="00957186">
        <w:rPr>
          <w:szCs w:val="22"/>
        </w:rPr>
        <w:t xml:space="preserve"> </w:t>
      </w:r>
      <w:r w:rsidRPr="00957186">
        <w:rPr>
          <w:szCs w:val="22"/>
        </w:rPr>
        <w:t xml:space="preserve">patients, the submission estimated (based on expert opinion) that at least </w:t>
      </w:r>
      <w:r w:rsidR="008D4959">
        <w:rPr>
          <w:noProof/>
          <w:color w:val="000000"/>
          <w:szCs w:val="22"/>
          <w:highlight w:val="black"/>
        </w:rPr>
        <w:t>'''''''''</w:t>
      </w:r>
      <w:r w:rsidRPr="00957186">
        <w:rPr>
          <w:szCs w:val="22"/>
        </w:rPr>
        <w:t xml:space="preserve"> of these patient</w:t>
      </w:r>
      <w:r w:rsidR="00272FD4" w:rsidRPr="00957186">
        <w:rPr>
          <w:szCs w:val="22"/>
        </w:rPr>
        <w:t>s</w:t>
      </w:r>
      <w:r w:rsidRPr="00957186">
        <w:rPr>
          <w:szCs w:val="22"/>
        </w:rPr>
        <w:t xml:space="preserve"> would be close to natural menopause and would not seek treatment to delay onset</w:t>
      </w:r>
      <w:r w:rsidR="00A96B5F" w:rsidRPr="00957186">
        <w:rPr>
          <w:szCs w:val="22"/>
        </w:rPr>
        <w:t xml:space="preserve">, leaving around </w:t>
      </w:r>
      <w:r w:rsidR="00280D9F">
        <w:rPr>
          <w:szCs w:val="22"/>
        </w:rPr>
        <w:t>less than 10,000</w:t>
      </w:r>
      <w:r w:rsidR="00A96B5F" w:rsidRPr="00957186">
        <w:rPr>
          <w:szCs w:val="22"/>
        </w:rPr>
        <w:t xml:space="preserve"> patients potentially requiring treatment under the PBS</w:t>
      </w:r>
      <w:r w:rsidRPr="00957186">
        <w:rPr>
          <w:szCs w:val="22"/>
        </w:rPr>
        <w:t>.</w:t>
      </w:r>
      <w:r w:rsidR="001D3EB1" w:rsidRPr="00957186">
        <w:rPr>
          <w:szCs w:val="22"/>
        </w:rPr>
        <w:t xml:space="preserve"> </w:t>
      </w:r>
      <w:r w:rsidR="00957186" w:rsidRPr="00957186">
        <w:rPr>
          <w:szCs w:val="22"/>
        </w:rPr>
        <w:t>An expert in breast cancer and onco-fertility supported these estimates;</w:t>
      </w:r>
      <w:r w:rsidR="001D3EB1" w:rsidRPr="00957186">
        <w:rPr>
          <w:szCs w:val="22"/>
        </w:rPr>
        <w:t xml:space="preserve"> </w:t>
      </w:r>
      <w:r w:rsidR="00957186" w:rsidRPr="00957186">
        <w:rPr>
          <w:szCs w:val="22"/>
        </w:rPr>
        <w:t>however,</w:t>
      </w:r>
      <w:r w:rsidR="001D3EB1" w:rsidRPr="00957186">
        <w:rPr>
          <w:szCs w:val="22"/>
        </w:rPr>
        <w:t xml:space="preserve"> the evidence base for the proportions applied is unclear.</w:t>
      </w:r>
    </w:p>
    <w:p w:rsidR="00E67DCC" w:rsidRPr="00957186" w:rsidRDefault="00E67DCC" w:rsidP="00E67DCC">
      <w:pPr>
        <w:jc w:val="both"/>
        <w:rPr>
          <w:rFonts w:ascii="Arial" w:hAnsi="Arial"/>
          <w:sz w:val="22"/>
          <w:szCs w:val="22"/>
        </w:rPr>
      </w:pPr>
    </w:p>
    <w:p w:rsidR="00321F6E" w:rsidRPr="00957186" w:rsidRDefault="00AE4866" w:rsidP="00321F6E">
      <w:pPr>
        <w:widowControl w:val="0"/>
        <w:numPr>
          <w:ilvl w:val="1"/>
          <w:numId w:val="5"/>
        </w:numPr>
        <w:contextualSpacing/>
        <w:jc w:val="both"/>
        <w:rPr>
          <w:rFonts w:ascii="Arial" w:hAnsi="Arial" w:cs="Arial"/>
          <w:bCs/>
          <w:snapToGrid w:val="0"/>
          <w:sz w:val="22"/>
          <w:szCs w:val="22"/>
        </w:rPr>
      </w:pPr>
      <w:r w:rsidRPr="00957186">
        <w:rPr>
          <w:rFonts w:ascii="Arial" w:hAnsi="Arial" w:cs="Arial"/>
          <w:bCs/>
          <w:snapToGrid w:val="0"/>
          <w:sz w:val="22"/>
          <w:szCs w:val="22"/>
        </w:rPr>
        <w:t xml:space="preserve">The resubmission considered that the estimate </w:t>
      </w:r>
      <w:r w:rsidRPr="00280D9F">
        <w:rPr>
          <w:rFonts w:ascii="Arial" w:hAnsi="Arial" w:cs="Arial"/>
          <w:bCs/>
          <w:snapToGrid w:val="0"/>
          <w:sz w:val="22"/>
          <w:szCs w:val="22"/>
        </w:rPr>
        <w:t xml:space="preserve">of </w:t>
      </w:r>
      <w:r w:rsidR="00280D9F" w:rsidRPr="00280D9F">
        <w:rPr>
          <w:rFonts w:ascii="Arial" w:hAnsi="Arial" w:cs="Arial"/>
          <w:sz w:val="22"/>
          <w:szCs w:val="22"/>
        </w:rPr>
        <w:t xml:space="preserve">less than 10,000 </w:t>
      </w:r>
      <w:r w:rsidRPr="00A069DD">
        <w:rPr>
          <w:rFonts w:ascii="Arial" w:hAnsi="Arial" w:cs="Arial"/>
          <w:bCs/>
          <w:snapToGrid w:val="0"/>
          <w:sz w:val="22"/>
          <w:szCs w:val="22"/>
        </w:rPr>
        <w:t>patients</w:t>
      </w:r>
      <w:r w:rsidRPr="00957186">
        <w:rPr>
          <w:rFonts w:ascii="Arial" w:hAnsi="Arial" w:cs="Arial"/>
          <w:bCs/>
          <w:snapToGrid w:val="0"/>
          <w:sz w:val="22"/>
          <w:szCs w:val="22"/>
        </w:rPr>
        <w:t xml:space="preserve"> was based on 100% uptake and was therefore the upper limit of estimated utilisation. </w:t>
      </w:r>
      <w:r w:rsidR="00E67DCC" w:rsidRPr="00957186">
        <w:rPr>
          <w:rFonts w:ascii="Arial" w:hAnsi="Arial" w:cs="Arial"/>
          <w:bCs/>
          <w:snapToGrid w:val="0"/>
          <w:sz w:val="22"/>
          <w:szCs w:val="22"/>
        </w:rPr>
        <w:t xml:space="preserve">The pre-PBAC response </w:t>
      </w:r>
      <w:r w:rsidRPr="00957186">
        <w:rPr>
          <w:rFonts w:ascii="Arial" w:hAnsi="Arial" w:cs="Arial"/>
          <w:bCs/>
          <w:snapToGrid w:val="0"/>
          <w:sz w:val="22"/>
          <w:szCs w:val="22"/>
        </w:rPr>
        <w:t xml:space="preserve">to the November 2016 submission also considered </w:t>
      </w:r>
      <w:r w:rsidR="00E67DCC" w:rsidRPr="00957186">
        <w:rPr>
          <w:rFonts w:ascii="Arial" w:hAnsi="Arial" w:cs="Arial"/>
          <w:bCs/>
          <w:snapToGrid w:val="0"/>
          <w:sz w:val="22"/>
          <w:szCs w:val="22"/>
        </w:rPr>
        <w:t xml:space="preserve">that approximately 30% of patients would only receive treatment for </w:t>
      </w:r>
      <w:r w:rsidR="0068790A" w:rsidRPr="00957186">
        <w:rPr>
          <w:rFonts w:ascii="Arial" w:hAnsi="Arial" w:cs="Arial"/>
          <w:bCs/>
          <w:snapToGrid w:val="0"/>
          <w:sz w:val="22"/>
          <w:szCs w:val="22"/>
        </w:rPr>
        <w:t>3 months</w:t>
      </w:r>
      <w:r w:rsidR="00116544" w:rsidRPr="00957186">
        <w:rPr>
          <w:rFonts w:ascii="Arial" w:hAnsi="Arial" w:cs="Arial"/>
          <w:bCs/>
          <w:snapToGrid w:val="0"/>
          <w:sz w:val="22"/>
          <w:szCs w:val="22"/>
        </w:rPr>
        <w:t>, rather than the full 6 </w:t>
      </w:r>
      <w:r w:rsidR="00081805" w:rsidRPr="00957186">
        <w:rPr>
          <w:rFonts w:ascii="Arial" w:hAnsi="Arial" w:cs="Arial"/>
          <w:bCs/>
          <w:snapToGrid w:val="0"/>
          <w:sz w:val="22"/>
          <w:szCs w:val="22"/>
        </w:rPr>
        <w:t>months</w:t>
      </w:r>
      <w:r w:rsidR="0068790A" w:rsidRPr="00957186">
        <w:rPr>
          <w:rFonts w:ascii="Arial" w:hAnsi="Arial" w:cs="Arial"/>
          <w:bCs/>
          <w:snapToGrid w:val="0"/>
          <w:sz w:val="22"/>
          <w:szCs w:val="22"/>
        </w:rPr>
        <w:t>.</w:t>
      </w:r>
      <w:r w:rsidR="00081805" w:rsidRPr="00957186">
        <w:rPr>
          <w:rFonts w:ascii="Arial" w:hAnsi="Arial" w:cs="Arial"/>
          <w:bCs/>
          <w:snapToGrid w:val="0"/>
          <w:sz w:val="22"/>
          <w:szCs w:val="22"/>
        </w:rPr>
        <w:t xml:space="preserve"> </w:t>
      </w:r>
      <w:r w:rsidR="00116544" w:rsidRPr="00957186">
        <w:rPr>
          <w:rFonts w:ascii="Arial" w:hAnsi="Arial" w:cs="Arial"/>
          <w:bCs/>
          <w:snapToGrid w:val="0"/>
          <w:sz w:val="22"/>
          <w:szCs w:val="22"/>
        </w:rPr>
        <w:t>The submission therefore claimed that</w:t>
      </w:r>
      <w:r w:rsidR="00081805" w:rsidRPr="00957186">
        <w:rPr>
          <w:rFonts w:ascii="Arial" w:hAnsi="Arial" w:cs="Arial"/>
          <w:bCs/>
          <w:snapToGrid w:val="0"/>
          <w:sz w:val="22"/>
          <w:szCs w:val="22"/>
        </w:rPr>
        <w:t xml:space="preserve"> the utilisation and cost estimate</w:t>
      </w:r>
      <w:r w:rsidR="00E815BC" w:rsidRPr="00957186">
        <w:rPr>
          <w:rFonts w:ascii="Arial" w:hAnsi="Arial" w:cs="Arial"/>
          <w:bCs/>
          <w:snapToGrid w:val="0"/>
          <w:sz w:val="22"/>
          <w:szCs w:val="22"/>
        </w:rPr>
        <w:t xml:space="preserve"> </w:t>
      </w:r>
      <w:r w:rsidR="00081805" w:rsidRPr="00957186">
        <w:rPr>
          <w:rFonts w:ascii="Arial" w:hAnsi="Arial" w:cs="Arial"/>
          <w:bCs/>
          <w:snapToGrid w:val="0"/>
          <w:sz w:val="22"/>
          <w:szCs w:val="22"/>
        </w:rPr>
        <w:t>is likely to be the upper limit.</w:t>
      </w:r>
      <w:r w:rsidR="00DF5C91" w:rsidRPr="00957186">
        <w:rPr>
          <w:rFonts w:ascii="Arial" w:hAnsi="Arial" w:cs="Arial"/>
          <w:bCs/>
          <w:snapToGrid w:val="0"/>
          <w:sz w:val="22"/>
          <w:szCs w:val="22"/>
        </w:rPr>
        <w:t xml:space="preserve"> The PBAC noted </w:t>
      </w:r>
      <w:r w:rsidR="003A47D7" w:rsidRPr="00957186">
        <w:rPr>
          <w:rFonts w:ascii="Arial" w:hAnsi="Arial" w:cs="Arial"/>
          <w:bCs/>
          <w:snapToGrid w:val="0"/>
          <w:sz w:val="22"/>
          <w:szCs w:val="22"/>
        </w:rPr>
        <w:t xml:space="preserve">alternative estimates prepared by </w:t>
      </w:r>
      <w:r w:rsidR="00DF5C91" w:rsidRPr="00957186">
        <w:rPr>
          <w:rFonts w:ascii="Arial" w:hAnsi="Arial" w:cs="Arial"/>
          <w:bCs/>
          <w:snapToGrid w:val="0"/>
          <w:sz w:val="22"/>
          <w:szCs w:val="22"/>
        </w:rPr>
        <w:t xml:space="preserve">the Department supported </w:t>
      </w:r>
      <w:r w:rsidR="003A47D7" w:rsidRPr="00957186">
        <w:rPr>
          <w:rFonts w:ascii="Arial" w:hAnsi="Arial" w:cs="Arial"/>
          <w:bCs/>
          <w:snapToGrid w:val="0"/>
          <w:sz w:val="22"/>
          <w:szCs w:val="22"/>
        </w:rPr>
        <w:t>those</w:t>
      </w:r>
      <w:r w:rsidR="00DF5C91" w:rsidRPr="00957186">
        <w:rPr>
          <w:rFonts w:ascii="Arial" w:hAnsi="Arial" w:cs="Arial"/>
          <w:bCs/>
          <w:snapToGrid w:val="0"/>
          <w:sz w:val="22"/>
          <w:szCs w:val="22"/>
        </w:rPr>
        <w:t xml:space="preserve"> provided by the applicant for goserelin utilisation to prevent POF in breast cancer. This analysis also integrated assumptions</w:t>
      </w:r>
      <w:r w:rsidR="004E23E5" w:rsidRPr="00957186">
        <w:rPr>
          <w:rFonts w:ascii="Arial" w:hAnsi="Arial" w:cs="Arial"/>
          <w:bCs/>
          <w:snapToGrid w:val="0"/>
          <w:sz w:val="22"/>
          <w:szCs w:val="22"/>
        </w:rPr>
        <w:t xml:space="preserve"> </w:t>
      </w:r>
      <w:r w:rsidR="00870DA7" w:rsidRPr="00957186">
        <w:rPr>
          <w:rFonts w:ascii="Arial" w:hAnsi="Arial" w:cs="Arial"/>
          <w:bCs/>
          <w:snapToGrid w:val="0"/>
          <w:sz w:val="22"/>
          <w:szCs w:val="22"/>
        </w:rPr>
        <w:t xml:space="preserve">from </w:t>
      </w:r>
      <w:r w:rsidR="004E23E5" w:rsidRPr="00957186">
        <w:rPr>
          <w:rFonts w:ascii="Arial" w:hAnsi="Arial" w:cs="Arial"/>
          <w:bCs/>
          <w:snapToGrid w:val="0"/>
          <w:sz w:val="22"/>
          <w:szCs w:val="22"/>
        </w:rPr>
        <w:t>the submission that there would be low and gradual uptake and 30% of patients would only use goserelin for 3 months. This resulted in a</w:t>
      </w:r>
      <w:r w:rsidR="009843A5" w:rsidRPr="00957186">
        <w:rPr>
          <w:rFonts w:ascii="Arial" w:hAnsi="Arial" w:cs="Arial"/>
          <w:bCs/>
          <w:snapToGrid w:val="0"/>
          <w:sz w:val="22"/>
          <w:szCs w:val="22"/>
        </w:rPr>
        <w:t>n</w:t>
      </w:r>
      <w:r w:rsidR="004E23E5" w:rsidRPr="00957186">
        <w:rPr>
          <w:rFonts w:ascii="Arial" w:hAnsi="Arial" w:cs="Arial"/>
          <w:bCs/>
          <w:snapToGrid w:val="0"/>
          <w:sz w:val="22"/>
          <w:szCs w:val="22"/>
        </w:rPr>
        <w:t xml:space="preserve"> estimated net cost to the PBS of </w:t>
      </w:r>
      <w:r w:rsidR="00280D9F">
        <w:rPr>
          <w:rFonts w:ascii="Arial" w:hAnsi="Arial" w:cs="Arial"/>
          <w:bCs/>
          <w:snapToGrid w:val="0"/>
          <w:sz w:val="22"/>
          <w:szCs w:val="22"/>
        </w:rPr>
        <w:t>less than $10</w:t>
      </w:r>
      <w:r w:rsidR="004E23E5" w:rsidRPr="00957186">
        <w:rPr>
          <w:rFonts w:ascii="Arial" w:hAnsi="Arial" w:cs="Arial"/>
          <w:bCs/>
          <w:snapToGrid w:val="0"/>
          <w:sz w:val="22"/>
          <w:szCs w:val="22"/>
        </w:rPr>
        <w:t xml:space="preserve"> million over five years, as shown below.</w:t>
      </w:r>
    </w:p>
    <w:p w:rsidR="00AF21D7" w:rsidRPr="00957186" w:rsidRDefault="00AF21D7" w:rsidP="00E42214">
      <w:pPr>
        <w:widowControl w:val="0"/>
        <w:ind w:left="720"/>
        <w:contextualSpacing/>
        <w:jc w:val="both"/>
        <w:rPr>
          <w:rFonts w:ascii="Arial" w:hAnsi="Arial" w:cs="Arial"/>
          <w:bCs/>
          <w:snapToGrid w:val="0"/>
          <w:sz w:val="22"/>
          <w:szCs w:val="22"/>
        </w:rPr>
      </w:pPr>
    </w:p>
    <w:tbl>
      <w:tblPr>
        <w:tblStyle w:val="TableGrid"/>
        <w:tblW w:w="0" w:type="auto"/>
        <w:tblInd w:w="817" w:type="dxa"/>
        <w:tblLook w:val="04A0" w:firstRow="1" w:lastRow="0" w:firstColumn="1" w:lastColumn="0" w:noHBand="0" w:noVBand="1"/>
        <w:tblCaption w:val="Patient numbers and total cost to the PBS for the use of goserelin"/>
      </w:tblPr>
      <w:tblGrid>
        <w:gridCol w:w="2170"/>
        <w:gridCol w:w="905"/>
        <w:gridCol w:w="968"/>
        <w:gridCol w:w="905"/>
        <w:gridCol w:w="968"/>
        <w:gridCol w:w="874"/>
        <w:gridCol w:w="905"/>
      </w:tblGrid>
      <w:tr w:rsidR="00A51687" w:rsidRPr="0014314F" w:rsidTr="00FD3DD3">
        <w:trPr>
          <w:trHeight w:val="255"/>
          <w:tblHeader/>
        </w:trPr>
        <w:tc>
          <w:tcPr>
            <w:tcW w:w="2170" w:type="dxa"/>
          </w:tcPr>
          <w:p w:rsidR="00AF21D7" w:rsidRPr="0014314F" w:rsidRDefault="00AF21D7" w:rsidP="002871E5">
            <w:pPr>
              <w:rPr>
                <w:rFonts w:ascii="Arial Narrow" w:hAnsi="Arial Narrow" w:cs="Arial"/>
                <w:b/>
                <w:bCs/>
                <w:sz w:val="20"/>
                <w:szCs w:val="20"/>
              </w:rPr>
            </w:pPr>
            <w:r w:rsidRPr="0014314F">
              <w:rPr>
                <w:rFonts w:ascii="Arial Narrow" w:hAnsi="Arial Narrow" w:cs="Arial"/>
                <w:b/>
                <w:bCs/>
                <w:sz w:val="20"/>
                <w:szCs w:val="20"/>
              </w:rPr>
              <w:t>Year</w:t>
            </w:r>
            <w:bookmarkStart w:id="1" w:name="_GoBack"/>
            <w:bookmarkEnd w:id="1"/>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1</w:t>
            </w:r>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2</w:t>
            </w:r>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3</w:t>
            </w:r>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4</w:t>
            </w:r>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5</w:t>
            </w:r>
          </w:p>
        </w:tc>
        <w:tc>
          <w:tcPr>
            <w:tcW w:w="0" w:type="auto"/>
            <w:noWrap/>
            <w:vAlign w:val="center"/>
          </w:tcPr>
          <w:p w:rsidR="00AF21D7" w:rsidRPr="0014314F" w:rsidRDefault="00AF21D7" w:rsidP="002871E5">
            <w:pPr>
              <w:jc w:val="center"/>
              <w:rPr>
                <w:rFonts w:ascii="Arial Narrow" w:hAnsi="Arial Narrow" w:cs="Arial"/>
                <w:b/>
                <w:bCs/>
                <w:sz w:val="20"/>
                <w:szCs w:val="20"/>
              </w:rPr>
            </w:pPr>
            <w:r w:rsidRPr="0014314F">
              <w:rPr>
                <w:rFonts w:ascii="Arial Narrow" w:hAnsi="Arial Narrow" w:cs="Arial"/>
                <w:b/>
                <w:bCs/>
                <w:sz w:val="20"/>
                <w:szCs w:val="20"/>
              </w:rPr>
              <w:t>6</w:t>
            </w:r>
          </w:p>
        </w:tc>
      </w:tr>
      <w:tr w:rsidR="00A51687" w:rsidRPr="0014314F" w:rsidTr="00AF21D7">
        <w:trPr>
          <w:trHeight w:val="255"/>
        </w:trPr>
        <w:tc>
          <w:tcPr>
            <w:tcW w:w="2170" w:type="dxa"/>
            <w:hideMark/>
          </w:tcPr>
          <w:p w:rsidR="00AF21D7" w:rsidRPr="0014314F" w:rsidRDefault="00AF21D7" w:rsidP="002871E5">
            <w:pPr>
              <w:rPr>
                <w:rFonts w:ascii="Arial Narrow" w:hAnsi="Arial Narrow" w:cs="Arial"/>
                <w:b/>
                <w:bCs/>
                <w:sz w:val="20"/>
                <w:szCs w:val="20"/>
              </w:rPr>
            </w:pPr>
            <w:r w:rsidRPr="0014314F">
              <w:rPr>
                <w:rFonts w:ascii="Arial Narrow" w:hAnsi="Arial Narrow" w:cs="Arial"/>
                <w:b/>
                <w:bCs/>
                <w:sz w:val="20"/>
                <w:szCs w:val="20"/>
              </w:rPr>
              <w:t>Total number of eligible patients</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0" w:type="auto"/>
            <w:noWrap/>
            <w:vAlign w:val="center"/>
            <w:hideMark/>
          </w:tcPr>
          <w:p w:rsidR="00AF21D7" w:rsidRPr="008D4959" w:rsidRDefault="008D4959" w:rsidP="002871E5">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A51687" w:rsidRPr="0014314F" w:rsidTr="00AF21D7">
        <w:trPr>
          <w:trHeight w:val="255"/>
        </w:trPr>
        <w:tc>
          <w:tcPr>
            <w:tcW w:w="2170" w:type="dxa"/>
            <w:hideMark/>
          </w:tcPr>
          <w:p w:rsidR="00AF21D7" w:rsidRPr="0014314F" w:rsidRDefault="00AF21D7" w:rsidP="002871E5">
            <w:pPr>
              <w:rPr>
                <w:rFonts w:ascii="Arial Narrow" w:hAnsi="Arial Narrow" w:cs="Arial"/>
                <w:b/>
                <w:sz w:val="20"/>
                <w:szCs w:val="20"/>
              </w:rPr>
            </w:pPr>
            <w:r w:rsidRPr="0014314F">
              <w:rPr>
                <w:rFonts w:ascii="Arial Narrow" w:hAnsi="Arial Narrow" w:cs="Arial"/>
                <w:b/>
                <w:sz w:val="20"/>
                <w:szCs w:val="20"/>
              </w:rPr>
              <w:t>Patients electing treatment (%)</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20%</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25%</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30%</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40%</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40%</w:t>
            </w:r>
          </w:p>
        </w:tc>
        <w:tc>
          <w:tcPr>
            <w:tcW w:w="0" w:type="auto"/>
            <w:vAlign w:val="center"/>
            <w:hideMark/>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40%</w:t>
            </w:r>
          </w:p>
        </w:tc>
      </w:tr>
      <w:tr w:rsidR="00A51687" w:rsidRPr="0014314F" w:rsidTr="00AF21D7">
        <w:trPr>
          <w:trHeight w:val="255"/>
        </w:trPr>
        <w:tc>
          <w:tcPr>
            <w:tcW w:w="2170" w:type="dxa"/>
            <w:hideMark/>
          </w:tcPr>
          <w:p w:rsidR="00AF21D7" w:rsidRPr="0014314F" w:rsidRDefault="00AF21D7" w:rsidP="002871E5">
            <w:pPr>
              <w:rPr>
                <w:rFonts w:ascii="Arial Narrow" w:hAnsi="Arial Narrow" w:cs="Arial"/>
                <w:b/>
                <w:bCs/>
                <w:sz w:val="20"/>
                <w:szCs w:val="20"/>
              </w:rPr>
            </w:pPr>
            <w:r w:rsidRPr="0014314F">
              <w:rPr>
                <w:rFonts w:ascii="Arial Narrow" w:hAnsi="Arial Narrow" w:cs="Arial"/>
                <w:b/>
                <w:bCs/>
                <w:sz w:val="20"/>
                <w:szCs w:val="20"/>
              </w:rPr>
              <w:t>Patients electing treatment (#)</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vAlign w:val="center"/>
            <w:hideMark/>
          </w:tcPr>
          <w:p w:rsidR="00AF21D7" w:rsidRPr="008D4959" w:rsidRDefault="008D4959" w:rsidP="002871E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51687" w:rsidRPr="0014314F" w:rsidTr="00AF21D7">
        <w:trPr>
          <w:trHeight w:val="255"/>
        </w:trPr>
        <w:tc>
          <w:tcPr>
            <w:tcW w:w="2170" w:type="dxa"/>
          </w:tcPr>
          <w:p w:rsidR="00AF21D7" w:rsidRPr="0014314F" w:rsidRDefault="00AF21D7" w:rsidP="002871E5">
            <w:pPr>
              <w:rPr>
                <w:rFonts w:ascii="Arial Narrow" w:hAnsi="Arial Narrow" w:cs="Arial"/>
                <w:b/>
                <w:bCs/>
                <w:sz w:val="20"/>
                <w:szCs w:val="20"/>
              </w:rPr>
            </w:pPr>
            <w:r w:rsidRPr="0014314F">
              <w:rPr>
                <w:rFonts w:ascii="Arial Narrow" w:hAnsi="Arial Narrow" w:cs="Arial"/>
                <w:b/>
                <w:bCs/>
                <w:sz w:val="20"/>
                <w:szCs w:val="20"/>
              </w:rPr>
              <w:t>Net cost to PBS</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c>
          <w:tcPr>
            <w:tcW w:w="0" w:type="auto"/>
            <w:vAlign w:val="center"/>
          </w:tcPr>
          <w:p w:rsidR="00AF21D7" w:rsidRPr="0014314F" w:rsidRDefault="00AF21D7" w:rsidP="002871E5">
            <w:pPr>
              <w:jc w:val="center"/>
              <w:rPr>
                <w:rFonts w:ascii="Arial Narrow" w:hAnsi="Arial Narrow" w:cs="Arial"/>
                <w:sz w:val="20"/>
                <w:szCs w:val="20"/>
              </w:rPr>
            </w:pPr>
            <w:r w:rsidRPr="0014314F">
              <w:rPr>
                <w:rFonts w:ascii="Arial Narrow" w:hAnsi="Arial Narrow" w:cs="Arial"/>
                <w:sz w:val="20"/>
                <w:szCs w:val="20"/>
              </w:rPr>
              <w:t>$</w:t>
            </w:r>
            <w:r w:rsidR="008D4959">
              <w:rPr>
                <w:rFonts w:ascii="Arial Narrow" w:hAnsi="Arial Narrow" w:cs="Arial"/>
                <w:noProof/>
                <w:color w:val="000000"/>
                <w:sz w:val="20"/>
                <w:szCs w:val="20"/>
                <w:highlight w:val="black"/>
              </w:rPr>
              <w:t>'''''''''''''''''''</w:t>
            </w:r>
          </w:p>
        </w:tc>
      </w:tr>
    </w:tbl>
    <w:p w:rsidR="0017088C" w:rsidRPr="008D4959" w:rsidRDefault="00AF21D7" w:rsidP="004A5A95">
      <w:pPr>
        <w:widowControl w:val="0"/>
        <w:ind w:left="709"/>
        <w:contextualSpacing/>
        <w:jc w:val="both"/>
        <w:rPr>
          <w:rFonts w:ascii="Arial Narrow" w:hAnsi="Arial Narrow" w:cs="Arial"/>
          <w:bCs/>
          <w:snapToGrid w:val="0"/>
          <w:sz w:val="18"/>
          <w:szCs w:val="22"/>
        </w:rPr>
      </w:pPr>
      <w:r w:rsidRPr="008D4959">
        <w:rPr>
          <w:rFonts w:ascii="Arial Narrow" w:hAnsi="Arial Narrow" w:cs="Arial"/>
          <w:bCs/>
          <w:snapToGrid w:val="0"/>
          <w:sz w:val="18"/>
          <w:szCs w:val="22"/>
        </w:rPr>
        <w:t>Source: Prepared by HTA</w:t>
      </w:r>
      <w:r w:rsidR="004A5A95" w:rsidRPr="008D4959">
        <w:rPr>
          <w:rFonts w:ascii="Arial Narrow" w:hAnsi="Arial Narrow" w:cs="Arial"/>
          <w:bCs/>
          <w:snapToGrid w:val="0"/>
          <w:sz w:val="18"/>
          <w:szCs w:val="22"/>
        </w:rPr>
        <w:t>.</w:t>
      </w:r>
      <w:r w:rsidR="0017088C" w:rsidRPr="008D4959">
        <w:rPr>
          <w:rFonts w:ascii="Arial Narrow" w:hAnsi="Arial Narrow" w:cs="Arial"/>
          <w:bCs/>
          <w:snapToGrid w:val="0"/>
          <w:sz w:val="18"/>
          <w:szCs w:val="22"/>
        </w:rPr>
        <w:t xml:space="preserve"> </w:t>
      </w:r>
    </w:p>
    <w:p w:rsidR="0017088C" w:rsidRPr="008D4959" w:rsidRDefault="00E56B8A" w:rsidP="004A5A95">
      <w:pPr>
        <w:widowControl w:val="0"/>
        <w:ind w:left="709"/>
        <w:contextualSpacing/>
        <w:jc w:val="both"/>
        <w:rPr>
          <w:rFonts w:ascii="Arial Narrow" w:hAnsi="Arial Narrow" w:cs="Arial"/>
          <w:bCs/>
          <w:snapToGrid w:val="0"/>
          <w:sz w:val="18"/>
          <w:szCs w:val="22"/>
        </w:rPr>
      </w:pPr>
      <w:r w:rsidRPr="008D4959">
        <w:rPr>
          <w:rFonts w:ascii="Arial Narrow" w:hAnsi="Arial Narrow" w:cs="Arial"/>
          <w:bCs/>
          <w:snapToGrid w:val="0"/>
          <w:sz w:val="18"/>
          <w:szCs w:val="22"/>
        </w:rPr>
        <w:t>Note:</w:t>
      </w:r>
      <w:r w:rsidR="0017088C" w:rsidRPr="008D4959">
        <w:rPr>
          <w:rFonts w:ascii="Arial Narrow" w:hAnsi="Arial Narrow" w:cs="Arial"/>
          <w:bCs/>
          <w:snapToGrid w:val="0"/>
          <w:sz w:val="18"/>
          <w:szCs w:val="22"/>
        </w:rPr>
        <w:t xml:space="preserve"> </w:t>
      </w:r>
      <w:r w:rsidR="004A5A95" w:rsidRPr="008D4959">
        <w:rPr>
          <w:rFonts w:ascii="Arial Narrow" w:hAnsi="Arial Narrow" w:cs="Arial"/>
          <w:bCs/>
          <w:snapToGrid w:val="0"/>
          <w:sz w:val="18"/>
          <w:szCs w:val="22"/>
        </w:rPr>
        <w:t>Based on the price of the current listing for goserelin (DPMQ $307.67).</w:t>
      </w:r>
    </w:p>
    <w:p w:rsidR="004A5A95" w:rsidRPr="008D4959" w:rsidRDefault="004A5A95" w:rsidP="004A5A95">
      <w:pPr>
        <w:widowControl w:val="0"/>
        <w:ind w:left="709"/>
        <w:contextualSpacing/>
        <w:jc w:val="both"/>
        <w:rPr>
          <w:rFonts w:ascii="Arial Narrow" w:hAnsi="Arial Narrow" w:cs="Arial"/>
          <w:bCs/>
          <w:snapToGrid w:val="0"/>
          <w:sz w:val="18"/>
          <w:szCs w:val="22"/>
        </w:rPr>
      </w:pPr>
      <w:r w:rsidRPr="008D4959">
        <w:rPr>
          <w:rFonts w:ascii="Arial Narrow" w:hAnsi="Arial Narrow" w:cs="Arial"/>
          <w:bCs/>
          <w:snapToGrid w:val="0"/>
          <w:sz w:val="18"/>
          <w:szCs w:val="22"/>
        </w:rPr>
        <w:t>Up to 6 scripts per patient was assumed based on the advice from MOGA in its November 2016 minor submission.</w:t>
      </w:r>
    </w:p>
    <w:p w:rsidR="00280D9F" w:rsidRDefault="00280D9F" w:rsidP="004A5A95">
      <w:pPr>
        <w:widowControl w:val="0"/>
        <w:ind w:left="709"/>
        <w:contextualSpacing/>
        <w:jc w:val="both"/>
        <w:rPr>
          <w:rFonts w:ascii="Arial Narrow" w:hAnsi="Arial Narrow" w:cs="Arial"/>
          <w:bCs/>
          <w:snapToGrid w:val="0"/>
          <w:sz w:val="16"/>
          <w:szCs w:val="22"/>
        </w:rPr>
      </w:pPr>
    </w:p>
    <w:p w:rsidR="00280D9F" w:rsidRPr="0014314F" w:rsidRDefault="00280D9F" w:rsidP="0072084E">
      <w:pPr>
        <w:ind w:left="709"/>
        <w:contextualSpacing/>
        <w:jc w:val="both"/>
        <w:rPr>
          <w:rFonts w:ascii="Arial Narrow" w:hAnsi="Arial Narrow" w:cs="Arial"/>
          <w:bCs/>
          <w:snapToGrid w:val="0"/>
          <w:sz w:val="16"/>
          <w:szCs w:val="22"/>
        </w:rPr>
      </w:pPr>
      <w:r>
        <w:rPr>
          <w:rFonts w:ascii="Arial" w:hAnsi="Arial" w:cs="Arial"/>
          <w:sz w:val="22"/>
        </w:rPr>
        <w:lastRenderedPageBreak/>
        <w:t>The redacted table shows that a</w:t>
      </w:r>
      <w:r w:rsidRPr="00DE39BD">
        <w:rPr>
          <w:rFonts w:ascii="Arial" w:hAnsi="Arial" w:cs="Arial"/>
          <w:sz w:val="22"/>
        </w:rPr>
        <w:t xml:space="preserve">t year 5, the estimated number of patients was </w:t>
      </w:r>
      <w:r>
        <w:rPr>
          <w:rFonts w:ascii="Arial" w:hAnsi="Arial" w:cs="Arial"/>
          <w:sz w:val="22"/>
        </w:rPr>
        <w:t>less than 10,000</w:t>
      </w:r>
      <w:r w:rsidRPr="00DE39BD">
        <w:rPr>
          <w:rFonts w:ascii="Arial" w:hAnsi="Arial" w:cs="Arial"/>
          <w:sz w:val="22"/>
        </w:rPr>
        <w:t xml:space="preserve"> and the net cost to the PBS would be </w:t>
      </w:r>
      <w:r>
        <w:rPr>
          <w:rFonts w:ascii="Arial" w:hAnsi="Arial" w:cs="Arial"/>
          <w:sz w:val="22"/>
        </w:rPr>
        <w:t>less than $10 million.</w:t>
      </w:r>
      <w:r w:rsidRPr="00280D9F">
        <w:rPr>
          <w:rFonts w:ascii="Arial" w:hAnsi="Arial" w:cs="Arial"/>
          <w:sz w:val="22"/>
        </w:rPr>
        <w:t xml:space="preserve"> </w:t>
      </w:r>
    </w:p>
    <w:p w:rsidR="00431F2F" w:rsidRPr="00957186" w:rsidRDefault="00431F2F" w:rsidP="00431F2F">
      <w:pPr>
        <w:widowControl w:val="0"/>
        <w:ind w:left="720"/>
        <w:contextualSpacing/>
        <w:jc w:val="both"/>
        <w:rPr>
          <w:rFonts w:ascii="Arial" w:hAnsi="Arial" w:cs="Arial"/>
          <w:bCs/>
          <w:snapToGrid w:val="0"/>
          <w:sz w:val="22"/>
          <w:szCs w:val="22"/>
        </w:rPr>
      </w:pPr>
    </w:p>
    <w:p w:rsidR="00154281" w:rsidRPr="00957186" w:rsidRDefault="00DF5C91" w:rsidP="00280D9F">
      <w:pPr>
        <w:widowControl w:val="0"/>
        <w:numPr>
          <w:ilvl w:val="1"/>
          <w:numId w:val="5"/>
        </w:numPr>
        <w:contextualSpacing/>
        <w:jc w:val="both"/>
        <w:rPr>
          <w:rFonts w:ascii="Arial" w:hAnsi="Arial" w:cs="Arial"/>
          <w:bCs/>
          <w:snapToGrid w:val="0"/>
          <w:sz w:val="22"/>
          <w:szCs w:val="22"/>
        </w:rPr>
      </w:pPr>
      <w:r w:rsidRPr="00957186">
        <w:rPr>
          <w:rFonts w:ascii="Arial" w:hAnsi="Arial" w:cs="Arial"/>
          <w:bCs/>
          <w:snapToGrid w:val="0"/>
          <w:sz w:val="22"/>
          <w:szCs w:val="22"/>
        </w:rPr>
        <w:t>The PBAC also noted an analysis of PBS script data conducted by t</w:t>
      </w:r>
      <w:r w:rsidR="00154281" w:rsidRPr="00957186">
        <w:rPr>
          <w:rFonts w:ascii="Arial" w:hAnsi="Arial" w:cs="Arial"/>
          <w:bCs/>
          <w:snapToGrid w:val="0"/>
          <w:sz w:val="22"/>
          <w:szCs w:val="22"/>
        </w:rPr>
        <w:t xml:space="preserve">he </w:t>
      </w:r>
      <w:r w:rsidR="00957186" w:rsidRPr="00957186">
        <w:rPr>
          <w:rFonts w:ascii="Arial" w:hAnsi="Arial" w:cs="Arial"/>
          <w:bCs/>
          <w:snapToGrid w:val="0"/>
          <w:sz w:val="22"/>
          <w:szCs w:val="22"/>
        </w:rPr>
        <w:t>Department that showed that</w:t>
      </w:r>
      <w:r w:rsidR="00280D9F">
        <w:rPr>
          <w:rFonts w:ascii="Arial" w:hAnsi="Arial" w:cs="Arial"/>
          <w:bCs/>
          <w:snapToGrid w:val="0"/>
          <w:sz w:val="22"/>
          <w:szCs w:val="22"/>
        </w:rPr>
        <w:t xml:space="preserve"> </w:t>
      </w:r>
      <w:r w:rsidR="00280D9F" w:rsidRPr="00280D9F">
        <w:rPr>
          <w:rFonts w:ascii="Arial" w:hAnsi="Arial" w:cs="Arial"/>
          <w:bCs/>
          <w:snapToGrid w:val="0"/>
          <w:sz w:val="22"/>
          <w:szCs w:val="22"/>
        </w:rPr>
        <w:t xml:space="preserve">less than 10,000 </w:t>
      </w:r>
      <w:r w:rsidR="00957186" w:rsidRPr="00957186">
        <w:rPr>
          <w:rFonts w:ascii="Arial" w:hAnsi="Arial" w:cs="Arial"/>
          <w:bCs/>
          <w:snapToGrid w:val="0"/>
          <w:sz w:val="22"/>
          <w:szCs w:val="22"/>
        </w:rPr>
        <w:t>women aged 18-49 years</w:t>
      </w:r>
      <w:r w:rsidR="00297654" w:rsidRPr="00957186">
        <w:rPr>
          <w:rFonts w:ascii="Arial" w:hAnsi="Arial" w:cs="Arial"/>
          <w:bCs/>
          <w:snapToGrid w:val="0"/>
          <w:sz w:val="22"/>
          <w:szCs w:val="22"/>
        </w:rPr>
        <w:t xml:space="preserve"> </w:t>
      </w:r>
      <w:r w:rsidRPr="00957186">
        <w:rPr>
          <w:rFonts w:ascii="Arial" w:hAnsi="Arial" w:cs="Arial"/>
          <w:bCs/>
          <w:snapToGrid w:val="0"/>
          <w:sz w:val="22"/>
          <w:szCs w:val="22"/>
        </w:rPr>
        <w:t xml:space="preserve">received PBS-subsidised cyclophosphamide therapy in 2016. </w:t>
      </w:r>
      <w:r w:rsidR="00D26D5A" w:rsidRPr="00957186">
        <w:rPr>
          <w:rFonts w:ascii="Arial" w:hAnsi="Arial" w:cs="Arial"/>
          <w:bCs/>
          <w:snapToGrid w:val="0"/>
          <w:sz w:val="22"/>
          <w:szCs w:val="22"/>
        </w:rPr>
        <w:t xml:space="preserve">The PBAC considered use of cyclophosphamide to be a reasonable surrogate </w:t>
      </w:r>
      <w:r w:rsidR="003A47D7" w:rsidRPr="00957186">
        <w:rPr>
          <w:rFonts w:ascii="Arial" w:hAnsi="Arial" w:cs="Arial"/>
          <w:bCs/>
          <w:snapToGrid w:val="0"/>
          <w:sz w:val="22"/>
          <w:szCs w:val="22"/>
        </w:rPr>
        <w:t xml:space="preserve">for </w:t>
      </w:r>
      <w:r w:rsidR="00D26D5A" w:rsidRPr="00957186">
        <w:rPr>
          <w:rFonts w:ascii="Arial" w:hAnsi="Arial" w:cs="Arial"/>
          <w:bCs/>
          <w:snapToGrid w:val="0"/>
          <w:sz w:val="22"/>
          <w:szCs w:val="22"/>
        </w:rPr>
        <w:t>drug</w:t>
      </w:r>
      <w:r w:rsidR="003A47D7" w:rsidRPr="00957186">
        <w:rPr>
          <w:rFonts w:ascii="Arial" w:hAnsi="Arial" w:cs="Arial"/>
          <w:bCs/>
          <w:snapToGrid w:val="0"/>
          <w:sz w:val="22"/>
          <w:szCs w:val="22"/>
        </w:rPr>
        <w:t>s</w:t>
      </w:r>
      <w:r w:rsidR="00D26D5A" w:rsidRPr="00957186">
        <w:rPr>
          <w:rFonts w:ascii="Arial" w:hAnsi="Arial" w:cs="Arial"/>
          <w:bCs/>
          <w:snapToGrid w:val="0"/>
          <w:sz w:val="22"/>
          <w:szCs w:val="22"/>
        </w:rPr>
        <w:t xml:space="preserve"> causing POF</w:t>
      </w:r>
      <w:r w:rsidR="005F210A" w:rsidRPr="00957186">
        <w:rPr>
          <w:rFonts w:ascii="Arial" w:hAnsi="Arial" w:cs="Arial"/>
          <w:bCs/>
          <w:snapToGrid w:val="0"/>
          <w:sz w:val="22"/>
          <w:szCs w:val="22"/>
        </w:rPr>
        <w:t xml:space="preserve">, but </w:t>
      </w:r>
      <w:r w:rsidR="003A47D7" w:rsidRPr="00957186">
        <w:rPr>
          <w:rFonts w:ascii="Arial" w:hAnsi="Arial" w:cs="Arial"/>
          <w:bCs/>
          <w:snapToGrid w:val="0"/>
          <w:sz w:val="22"/>
          <w:szCs w:val="22"/>
        </w:rPr>
        <w:t xml:space="preserve">noted </w:t>
      </w:r>
      <w:r w:rsidR="005F210A" w:rsidRPr="00957186">
        <w:rPr>
          <w:rFonts w:ascii="Arial" w:hAnsi="Arial" w:cs="Arial"/>
          <w:bCs/>
          <w:snapToGrid w:val="0"/>
          <w:sz w:val="22"/>
          <w:szCs w:val="22"/>
        </w:rPr>
        <w:t xml:space="preserve">that </w:t>
      </w:r>
      <w:r w:rsidRPr="00957186">
        <w:rPr>
          <w:rFonts w:ascii="Arial" w:hAnsi="Arial" w:cs="Arial"/>
          <w:bCs/>
          <w:snapToGrid w:val="0"/>
          <w:sz w:val="22"/>
          <w:szCs w:val="22"/>
        </w:rPr>
        <w:t xml:space="preserve">this </w:t>
      </w:r>
      <w:r w:rsidR="00957186" w:rsidRPr="00957186">
        <w:rPr>
          <w:rFonts w:ascii="Arial" w:hAnsi="Arial" w:cs="Arial"/>
          <w:bCs/>
          <w:snapToGrid w:val="0"/>
          <w:sz w:val="22"/>
          <w:szCs w:val="22"/>
        </w:rPr>
        <w:t>includes a</w:t>
      </w:r>
      <w:r w:rsidRPr="00957186">
        <w:rPr>
          <w:rFonts w:ascii="Arial" w:hAnsi="Arial" w:cs="Arial"/>
          <w:bCs/>
          <w:snapToGrid w:val="0"/>
          <w:sz w:val="22"/>
          <w:szCs w:val="22"/>
        </w:rPr>
        <w:t xml:space="preserve"> much broader group than would actually </w:t>
      </w:r>
      <w:r w:rsidR="00E15B0B">
        <w:rPr>
          <w:rFonts w:ascii="Arial" w:hAnsi="Arial" w:cs="Arial"/>
          <w:bCs/>
          <w:snapToGrid w:val="0"/>
          <w:sz w:val="22"/>
          <w:szCs w:val="22"/>
        </w:rPr>
        <w:t>elect</w:t>
      </w:r>
      <w:r w:rsidR="00E15B0B" w:rsidRPr="00957186">
        <w:rPr>
          <w:rFonts w:ascii="Arial" w:hAnsi="Arial" w:cs="Arial"/>
          <w:bCs/>
          <w:snapToGrid w:val="0"/>
          <w:sz w:val="22"/>
          <w:szCs w:val="22"/>
        </w:rPr>
        <w:t xml:space="preserve"> </w:t>
      </w:r>
      <w:r w:rsidRPr="00957186">
        <w:rPr>
          <w:rFonts w:ascii="Arial" w:hAnsi="Arial" w:cs="Arial"/>
          <w:bCs/>
          <w:snapToGrid w:val="0"/>
          <w:sz w:val="22"/>
          <w:szCs w:val="22"/>
        </w:rPr>
        <w:t>to use goserelin to prevent POF</w:t>
      </w:r>
      <w:r w:rsidR="00E15B0B">
        <w:rPr>
          <w:rFonts w:ascii="Arial" w:hAnsi="Arial" w:cs="Arial"/>
          <w:bCs/>
          <w:snapToGrid w:val="0"/>
          <w:sz w:val="22"/>
          <w:szCs w:val="22"/>
        </w:rPr>
        <w:t>. For this reason, the estimates</w:t>
      </w:r>
      <w:r w:rsidRPr="00957186">
        <w:rPr>
          <w:rFonts w:ascii="Arial" w:hAnsi="Arial" w:cs="Arial"/>
          <w:bCs/>
          <w:snapToGrid w:val="0"/>
          <w:sz w:val="22"/>
          <w:szCs w:val="22"/>
        </w:rPr>
        <w:t xml:space="preserve"> </w:t>
      </w:r>
      <w:r w:rsidR="00870DA7" w:rsidRPr="00957186">
        <w:rPr>
          <w:rFonts w:ascii="Arial" w:hAnsi="Arial" w:cs="Arial"/>
          <w:bCs/>
          <w:snapToGrid w:val="0"/>
          <w:sz w:val="22"/>
          <w:szCs w:val="22"/>
        </w:rPr>
        <w:t>represent</w:t>
      </w:r>
      <w:r w:rsidRPr="00957186">
        <w:rPr>
          <w:rFonts w:ascii="Arial" w:hAnsi="Arial" w:cs="Arial"/>
          <w:bCs/>
          <w:snapToGrid w:val="0"/>
          <w:sz w:val="22"/>
          <w:szCs w:val="22"/>
        </w:rPr>
        <w:t xml:space="preserve"> an upper limit on utilisation if goserelin was made available for all </w:t>
      </w:r>
      <w:r w:rsidR="00E15B0B">
        <w:rPr>
          <w:rFonts w:ascii="Arial" w:hAnsi="Arial" w:cs="Arial"/>
          <w:bCs/>
          <w:snapToGrid w:val="0"/>
          <w:sz w:val="22"/>
          <w:szCs w:val="22"/>
        </w:rPr>
        <w:t>women</w:t>
      </w:r>
      <w:r w:rsidR="00E15B0B" w:rsidRPr="00957186">
        <w:rPr>
          <w:rFonts w:ascii="Arial" w:hAnsi="Arial" w:cs="Arial"/>
          <w:bCs/>
          <w:snapToGrid w:val="0"/>
          <w:sz w:val="22"/>
          <w:szCs w:val="22"/>
        </w:rPr>
        <w:t xml:space="preserve"> </w:t>
      </w:r>
      <w:r w:rsidR="00E15B0B">
        <w:rPr>
          <w:rFonts w:ascii="Arial" w:hAnsi="Arial" w:cs="Arial"/>
          <w:bCs/>
          <w:snapToGrid w:val="0"/>
          <w:sz w:val="22"/>
          <w:szCs w:val="22"/>
        </w:rPr>
        <w:t xml:space="preserve">of childbearing age </w:t>
      </w:r>
      <w:r w:rsidRPr="00957186">
        <w:rPr>
          <w:rFonts w:ascii="Arial" w:hAnsi="Arial" w:cs="Arial"/>
          <w:bCs/>
          <w:snapToGrid w:val="0"/>
          <w:sz w:val="22"/>
          <w:szCs w:val="22"/>
        </w:rPr>
        <w:t>undergoing cyclophosphamide therapy</w:t>
      </w:r>
      <w:r w:rsidR="00FD3DD3">
        <w:rPr>
          <w:rFonts w:ascii="Arial" w:hAnsi="Arial" w:cs="Arial"/>
          <w:bCs/>
          <w:snapToGrid w:val="0"/>
          <w:sz w:val="22"/>
          <w:szCs w:val="22"/>
        </w:rPr>
        <w:t>.</w:t>
      </w:r>
    </w:p>
    <w:p w:rsidR="00321F6E" w:rsidRPr="00957186" w:rsidRDefault="00321F6E" w:rsidP="00297654">
      <w:pPr>
        <w:widowControl w:val="0"/>
        <w:contextualSpacing/>
        <w:jc w:val="both"/>
        <w:rPr>
          <w:rFonts w:ascii="Arial" w:hAnsi="Arial" w:cs="Arial"/>
          <w:bCs/>
          <w:snapToGrid w:val="0"/>
          <w:sz w:val="22"/>
          <w:szCs w:val="22"/>
        </w:rPr>
      </w:pPr>
    </w:p>
    <w:p w:rsidR="00321F6E" w:rsidRPr="00957186" w:rsidRDefault="00321F6E" w:rsidP="00321F6E">
      <w:pPr>
        <w:widowControl w:val="0"/>
        <w:ind w:left="720"/>
        <w:contextualSpacing/>
        <w:jc w:val="both"/>
        <w:rPr>
          <w:rFonts w:ascii="Arial" w:hAnsi="Arial" w:cs="Arial"/>
          <w:bCs/>
          <w:snapToGrid w:val="0"/>
          <w:sz w:val="22"/>
          <w:szCs w:val="22"/>
        </w:rPr>
      </w:pPr>
      <w:r w:rsidRPr="00957186">
        <w:rPr>
          <w:rFonts w:ascii="Arial" w:hAnsi="Arial"/>
          <w:i/>
          <w:sz w:val="22"/>
          <w:szCs w:val="22"/>
        </w:rPr>
        <w:t>For more detail on PBAC’s view, see section 5 “PBAC outcome”</w:t>
      </w:r>
    </w:p>
    <w:p w:rsidR="00321F6E" w:rsidRPr="00957186" w:rsidRDefault="00321F6E" w:rsidP="00321F6E">
      <w:pPr>
        <w:widowControl w:val="0"/>
        <w:ind w:left="720"/>
        <w:contextualSpacing/>
        <w:jc w:val="both"/>
        <w:rPr>
          <w:rFonts w:ascii="Arial" w:hAnsi="Arial" w:cs="Arial"/>
          <w:bCs/>
          <w:snapToGrid w:val="0"/>
          <w:sz w:val="22"/>
          <w:szCs w:val="22"/>
        </w:rPr>
      </w:pPr>
    </w:p>
    <w:p w:rsidR="00321F6E" w:rsidRPr="00957186" w:rsidRDefault="00321F6E" w:rsidP="00321F6E">
      <w:pPr>
        <w:widowControl w:val="0"/>
        <w:ind w:left="720"/>
        <w:contextualSpacing/>
        <w:jc w:val="both"/>
        <w:rPr>
          <w:rFonts w:ascii="Arial" w:hAnsi="Arial" w:cs="Arial"/>
          <w:bCs/>
          <w:snapToGrid w:val="0"/>
          <w:sz w:val="22"/>
          <w:szCs w:val="22"/>
        </w:rPr>
      </w:pPr>
    </w:p>
    <w:p w:rsidR="0036057D" w:rsidRDefault="00321F6E" w:rsidP="00441136">
      <w:pPr>
        <w:pStyle w:val="PBACHeading1"/>
      </w:pPr>
      <w:r w:rsidRPr="00957186">
        <w:t>PBAC outcome</w:t>
      </w:r>
    </w:p>
    <w:p w:rsidR="00441136" w:rsidRPr="00957186" w:rsidRDefault="00441136" w:rsidP="00274857"/>
    <w:p w:rsidR="0036057D" w:rsidRPr="00274857" w:rsidRDefault="0036057D" w:rsidP="00274857">
      <w:pPr>
        <w:widowControl w:val="0"/>
        <w:numPr>
          <w:ilvl w:val="1"/>
          <w:numId w:val="5"/>
        </w:numPr>
        <w:contextualSpacing/>
        <w:jc w:val="both"/>
        <w:rPr>
          <w:rFonts w:ascii="Arial" w:hAnsi="Arial" w:cs="Arial"/>
          <w:bCs/>
          <w:snapToGrid w:val="0"/>
          <w:sz w:val="22"/>
          <w:szCs w:val="22"/>
        </w:rPr>
      </w:pPr>
      <w:r w:rsidRPr="00274857">
        <w:rPr>
          <w:rFonts w:ascii="Arial" w:hAnsi="Arial" w:cs="Arial"/>
          <w:bCs/>
          <w:snapToGrid w:val="0"/>
          <w:sz w:val="22"/>
          <w:szCs w:val="22"/>
        </w:rPr>
        <w:t>The PBAC deferred</w:t>
      </w:r>
      <w:r w:rsidR="00A70D64" w:rsidRPr="00274857">
        <w:rPr>
          <w:rFonts w:ascii="Arial" w:hAnsi="Arial" w:cs="Arial"/>
          <w:bCs/>
          <w:snapToGrid w:val="0"/>
          <w:sz w:val="22"/>
          <w:szCs w:val="22"/>
        </w:rPr>
        <w:t xml:space="preserve"> the request to change the current PBS restriction for goserelin 3.6 mg implant to enable women with hormone receptor negative breast cancer to access this treatment to </w:t>
      </w:r>
      <w:r w:rsidR="00AF21D7" w:rsidRPr="00274857">
        <w:rPr>
          <w:rFonts w:ascii="Arial" w:hAnsi="Arial" w:cs="Arial"/>
          <w:bCs/>
          <w:snapToGrid w:val="0"/>
          <w:sz w:val="22"/>
          <w:szCs w:val="22"/>
        </w:rPr>
        <w:t>prevent premature ovarian failure (POF)</w:t>
      </w:r>
      <w:r w:rsidR="00957186" w:rsidRPr="00274857">
        <w:rPr>
          <w:rFonts w:ascii="Arial" w:hAnsi="Arial" w:cs="Arial"/>
          <w:bCs/>
          <w:snapToGrid w:val="0"/>
          <w:sz w:val="22"/>
          <w:szCs w:val="22"/>
        </w:rPr>
        <w:t>.</w:t>
      </w:r>
      <w:r w:rsidR="00AF21D7" w:rsidRPr="00274857">
        <w:rPr>
          <w:rFonts w:ascii="Arial" w:hAnsi="Arial" w:cs="Arial"/>
          <w:bCs/>
          <w:snapToGrid w:val="0"/>
          <w:sz w:val="22"/>
          <w:szCs w:val="22"/>
        </w:rPr>
        <w:t xml:space="preserve"> </w:t>
      </w:r>
      <w:r w:rsidR="00957186" w:rsidRPr="00274857">
        <w:rPr>
          <w:rFonts w:ascii="Arial" w:hAnsi="Arial" w:cs="Arial"/>
          <w:bCs/>
          <w:snapToGrid w:val="0"/>
          <w:sz w:val="22"/>
          <w:szCs w:val="22"/>
        </w:rPr>
        <w:t xml:space="preserve">This will </w:t>
      </w:r>
      <w:r w:rsidR="00AF21D7" w:rsidRPr="00274857">
        <w:rPr>
          <w:rFonts w:ascii="Arial" w:hAnsi="Arial" w:cs="Arial"/>
          <w:bCs/>
          <w:snapToGrid w:val="0"/>
          <w:sz w:val="22"/>
          <w:szCs w:val="22"/>
        </w:rPr>
        <w:t xml:space="preserve">allow </w:t>
      </w:r>
      <w:r w:rsidR="00957186" w:rsidRPr="00274857">
        <w:rPr>
          <w:rFonts w:ascii="Arial" w:hAnsi="Arial" w:cs="Arial"/>
          <w:bCs/>
          <w:snapToGrid w:val="0"/>
          <w:sz w:val="22"/>
          <w:szCs w:val="22"/>
        </w:rPr>
        <w:t xml:space="preserve">the Department to </w:t>
      </w:r>
      <w:r w:rsidR="00A70D64" w:rsidRPr="00274857">
        <w:rPr>
          <w:rFonts w:ascii="Arial" w:hAnsi="Arial" w:cs="Arial"/>
          <w:bCs/>
          <w:snapToGrid w:val="0"/>
          <w:sz w:val="22"/>
          <w:szCs w:val="22"/>
        </w:rPr>
        <w:t>negotiat</w:t>
      </w:r>
      <w:r w:rsidR="00957186" w:rsidRPr="00274857">
        <w:rPr>
          <w:rFonts w:ascii="Arial" w:hAnsi="Arial" w:cs="Arial"/>
          <w:bCs/>
          <w:snapToGrid w:val="0"/>
          <w:sz w:val="22"/>
          <w:szCs w:val="22"/>
        </w:rPr>
        <w:t xml:space="preserve">e </w:t>
      </w:r>
      <w:r w:rsidR="00A70D64" w:rsidRPr="00274857">
        <w:rPr>
          <w:rFonts w:ascii="Arial" w:hAnsi="Arial" w:cs="Arial"/>
          <w:bCs/>
          <w:snapToGrid w:val="0"/>
          <w:sz w:val="22"/>
          <w:szCs w:val="22"/>
        </w:rPr>
        <w:t xml:space="preserve">with the sponsor to develop an appropriate restriction that would </w:t>
      </w:r>
      <w:r w:rsidR="00AF21D7" w:rsidRPr="00274857">
        <w:rPr>
          <w:rFonts w:ascii="Arial" w:hAnsi="Arial" w:cs="Arial"/>
          <w:bCs/>
          <w:snapToGrid w:val="0"/>
          <w:sz w:val="22"/>
          <w:szCs w:val="22"/>
        </w:rPr>
        <w:t xml:space="preserve">enable access for </w:t>
      </w:r>
      <w:r w:rsidR="00212DE5" w:rsidRPr="00274857">
        <w:rPr>
          <w:rFonts w:ascii="Arial" w:hAnsi="Arial" w:cs="Arial"/>
          <w:bCs/>
          <w:snapToGrid w:val="0"/>
          <w:sz w:val="22"/>
          <w:szCs w:val="22"/>
        </w:rPr>
        <w:t xml:space="preserve">patients at risk of POF </w:t>
      </w:r>
      <w:r w:rsidR="00EB58A0" w:rsidRPr="00274857">
        <w:rPr>
          <w:rFonts w:ascii="Arial" w:hAnsi="Arial" w:cs="Arial"/>
          <w:bCs/>
          <w:snapToGrid w:val="0"/>
          <w:sz w:val="22"/>
          <w:szCs w:val="22"/>
        </w:rPr>
        <w:t>from treatment</w:t>
      </w:r>
      <w:r w:rsidR="00212DE5" w:rsidRPr="00274857">
        <w:rPr>
          <w:rFonts w:ascii="Arial" w:hAnsi="Arial" w:cs="Arial"/>
          <w:bCs/>
          <w:snapToGrid w:val="0"/>
          <w:sz w:val="22"/>
          <w:szCs w:val="22"/>
        </w:rPr>
        <w:t xml:space="preserve"> </w:t>
      </w:r>
      <w:r w:rsidR="00CB2181" w:rsidRPr="00274857">
        <w:rPr>
          <w:rFonts w:ascii="Arial" w:hAnsi="Arial" w:cs="Arial"/>
          <w:bCs/>
          <w:snapToGrid w:val="0"/>
          <w:sz w:val="22"/>
          <w:szCs w:val="22"/>
        </w:rPr>
        <w:t xml:space="preserve">with alkylating agents </w:t>
      </w:r>
      <w:r w:rsidR="00EB58A0" w:rsidRPr="00274857">
        <w:rPr>
          <w:rFonts w:ascii="Arial" w:hAnsi="Arial" w:cs="Arial"/>
          <w:bCs/>
          <w:snapToGrid w:val="0"/>
          <w:sz w:val="22"/>
          <w:szCs w:val="22"/>
        </w:rPr>
        <w:t xml:space="preserve">of cancers </w:t>
      </w:r>
      <w:r w:rsidR="00212DE5" w:rsidRPr="00274857">
        <w:rPr>
          <w:rFonts w:ascii="Arial" w:hAnsi="Arial" w:cs="Arial"/>
          <w:bCs/>
          <w:snapToGrid w:val="0"/>
          <w:sz w:val="22"/>
          <w:szCs w:val="22"/>
        </w:rPr>
        <w:t xml:space="preserve">other than breast cancer, </w:t>
      </w:r>
      <w:r w:rsidR="00EC0B59" w:rsidRPr="00274857">
        <w:rPr>
          <w:rFonts w:ascii="Arial" w:hAnsi="Arial" w:cs="Arial"/>
          <w:bCs/>
          <w:snapToGrid w:val="0"/>
          <w:sz w:val="22"/>
          <w:szCs w:val="22"/>
        </w:rPr>
        <w:t>as well as</w:t>
      </w:r>
      <w:r w:rsidR="00212DE5" w:rsidRPr="00274857">
        <w:rPr>
          <w:rFonts w:ascii="Arial" w:hAnsi="Arial" w:cs="Arial"/>
          <w:bCs/>
          <w:snapToGrid w:val="0"/>
          <w:sz w:val="22"/>
          <w:szCs w:val="22"/>
        </w:rPr>
        <w:t xml:space="preserve"> autoimmune diseases treated with </w:t>
      </w:r>
      <w:r w:rsidR="00CB2181" w:rsidRPr="00274857">
        <w:rPr>
          <w:rFonts w:ascii="Arial" w:hAnsi="Arial" w:cs="Arial"/>
          <w:bCs/>
          <w:snapToGrid w:val="0"/>
          <w:sz w:val="22"/>
          <w:szCs w:val="22"/>
        </w:rPr>
        <w:t xml:space="preserve">alkylating agents </w:t>
      </w:r>
      <w:r w:rsidR="00AF21D7" w:rsidRPr="00274857">
        <w:rPr>
          <w:rFonts w:ascii="Arial" w:hAnsi="Arial" w:cs="Arial"/>
          <w:bCs/>
          <w:snapToGrid w:val="0"/>
          <w:sz w:val="22"/>
          <w:szCs w:val="22"/>
        </w:rPr>
        <w:t xml:space="preserve">who </w:t>
      </w:r>
      <w:r w:rsidR="00E15B0B" w:rsidRPr="00274857">
        <w:rPr>
          <w:rFonts w:ascii="Arial" w:hAnsi="Arial" w:cs="Arial"/>
          <w:bCs/>
          <w:snapToGrid w:val="0"/>
          <w:sz w:val="22"/>
          <w:szCs w:val="22"/>
        </w:rPr>
        <w:t>may elect to</w:t>
      </w:r>
      <w:r w:rsidR="00A70D64" w:rsidRPr="00274857">
        <w:rPr>
          <w:rFonts w:ascii="Arial" w:hAnsi="Arial" w:cs="Arial"/>
          <w:bCs/>
          <w:snapToGrid w:val="0"/>
          <w:sz w:val="22"/>
          <w:szCs w:val="22"/>
        </w:rPr>
        <w:t xml:space="preserve"> use goserelin.</w:t>
      </w:r>
    </w:p>
    <w:p w:rsidR="00431F2F" w:rsidRPr="00957186" w:rsidRDefault="00431F2F" w:rsidP="00274857"/>
    <w:p w:rsidR="00431F2F" w:rsidRPr="00274857" w:rsidRDefault="007A11C6" w:rsidP="00274857">
      <w:pPr>
        <w:widowControl w:val="0"/>
        <w:numPr>
          <w:ilvl w:val="1"/>
          <w:numId w:val="5"/>
        </w:numPr>
        <w:contextualSpacing/>
        <w:jc w:val="both"/>
        <w:rPr>
          <w:rFonts w:ascii="Arial" w:hAnsi="Arial" w:cs="Arial"/>
          <w:bCs/>
          <w:snapToGrid w:val="0"/>
          <w:sz w:val="22"/>
          <w:szCs w:val="22"/>
        </w:rPr>
      </w:pPr>
      <w:r w:rsidRPr="00274857">
        <w:rPr>
          <w:rFonts w:ascii="Arial" w:hAnsi="Arial" w:cs="Arial"/>
          <w:bCs/>
          <w:snapToGrid w:val="0"/>
          <w:sz w:val="22"/>
          <w:szCs w:val="22"/>
        </w:rPr>
        <w:t xml:space="preserve">The PBAC noted </w:t>
      </w:r>
      <w:r w:rsidR="00274857" w:rsidRPr="00274857">
        <w:rPr>
          <w:rFonts w:ascii="Arial" w:hAnsi="Arial" w:cs="Arial"/>
          <w:bCs/>
          <w:snapToGrid w:val="0"/>
          <w:sz w:val="22"/>
          <w:szCs w:val="22"/>
        </w:rPr>
        <w:t>that the</w:t>
      </w:r>
      <w:r w:rsidRPr="00274857">
        <w:rPr>
          <w:rFonts w:ascii="Arial" w:hAnsi="Arial" w:cs="Arial"/>
          <w:bCs/>
          <w:snapToGrid w:val="0"/>
          <w:sz w:val="22"/>
          <w:szCs w:val="22"/>
        </w:rPr>
        <w:t xml:space="preserve"> </w:t>
      </w:r>
      <w:r w:rsidR="00431F2F" w:rsidRPr="00274857">
        <w:rPr>
          <w:rFonts w:ascii="Arial" w:hAnsi="Arial" w:cs="Arial"/>
          <w:bCs/>
          <w:snapToGrid w:val="0"/>
          <w:sz w:val="22"/>
          <w:szCs w:val="22"/>
        </w:rPr>
        <w:t>clinical evidence</w:t>
      </w:r>
      <w:r w:rsidR="00806A11" w:rsidRPr="00274857">
        <w:rPr>
          <w:rFonts w:ascii="Arial" w:hAnsi="Arial" w:cs="Arial"/>
          <w:bCs/>
          <w:snapToGrid w:val="0"/>
          <w:sz w:val="22"/>
          <w:szCs w:val="22"/>
        </w:rPr>
        <w:t xml:space="preserve"> </w:t>
      </w:r>
      <w:r w:rsidR="0073206F" w:rsidRPr="00274857">
        <w:rPr>
          <w:rFonts w:ascii="Arial" w:hAnsi="Arial" w:cs="Arial"/>
          <w:bCs/>
          <w:snapToGrid w:val="0"/>
          <w:sz w:val="22"/>
          <w:szCs w:val="22"/>
        </w:rPr>
        <w:t xml:space="preserve">indicated </w:t>
      </w:r>
      <w:r w:rsidR="00F8001D" w:rsidRPr="00274857">
        <w:rPr>
          <w:rFonts w:ascii="Arial" w:hAnsi="Arial" w:cs="Arial"/>
          <w:bCs/>
          <w:snapToGrid w:val="0"/>
          <w:sz w:val="22"/>
          <w:szCs w:val="22"/>
        </w:rPr>
        <w:t xml:space="preserve">that </w:t>
      </w:r>
      <w:r w:rsidR="00AF21D7" w:rsidRPr="00274857">
        <w:rPr>
          <w:rFonts w:ascii="Arial" w:hAnsi="Arial" w:cs="Arial"/>
          <w:bCs/>
          <w:snapToGrid w:val="0"/>
          <w:sz w:val="22"/>
          <w:szCs w:val="22"/>
        </w:rPr>
        <w:t xml:space="preserve">goserelin </w:t>
      </w:r>
      <w:r w:rsidR="0073206F" w:rsidRPr="00274857">
        <w:rPr>
          <w:rFonts w:ascii="Arial" w:hAnsi="Arial" w:cs="Arial"/>
          <w:bCs/>
          <w:snapToGrid w:val="0"/>
          <w:sz w:val="22"/>
          <w:szCs w:val="22"/>
        </w:rPr>
        <w:t>was effective in reducing the risk of POF in women receiving cyclophosphamide for breast cancer. By extrapolation</w:t>
      </w:r>
      <w:r w:rsidR="005E4819" w:rsidRPr="00274857">
        <w:rPr>
          <w:rFonts w:ascii="Arial" w:hAnsi="Arial" w:cs="Arial"/>
          <w:bCs/>
          <w:snapToGrid w:val="0"/>
          <w:sz w:val="22"/>
          <w:szCs w:val="22"/>
        </w:rPr>
        <w:t>,</w:t>
      </w:r>
      <w:r w:rsidR="0073206F" w:rsidRPr="00274857">
        <w:rPr>
          <w:rFonts w:ascii="Arial" w:hAnsi="Arial" w:cs="Arial"/>
          <w:bCs/>
          <w:snapToGrid w:val="0"/>
          <w:sz w:val="22"/>
          <w:szCs w:val="22"/>
        </w:rPr>
        <w:t xml:space="preserve"> it was biologically plausible that goserelin would also </w:t>
      </w:r>
      <w:r w:rsidR="004B751E" w:rsidRPr="00274857">
        <w:rPr>
          <w:rFonts w:ascii="Arial" w:hAnsi="Arial" w:cs="Arial"/>
          <w:bCs/>
          <w:snapToGrid w:val="0"/>
          <w:sz w:val="22"/>
          <w:szCs w:val="22"/>
        </w:rPr>
        <w:t xml:space="preserve">be effective in other conditions treated with </w:t>
      </w:r>
      <w:r w:rsidR="002F311F" w:rsidRPr="00274857">
        <w:rPr>
          <w:rFonts w:ascii="Arial" w:hAnsi="Arial" w:cs="Arial"/>
          <w:bCs/>
          <w:snapToGrid w:val="0"/>
          <w:sz w:val="22"/>
          <w:szCs w:val="22"/>
        </w:rPr>
        <w:t>alkylating agents</w:t>
      </w:r>
      <w:r w:rsidR="005E4819" w:rsidRPr="00274857">
        <w:rPr>
          <w:rFonts w:ascii="Arial" w:hAnsi="Arial" w:cs="Arial"/>
          <w:bCs/>
          <w:snapToGrid w:val="0"/>
          <w:sz w:val="22"/>
          <w:szCs w:val="22"/>
        </w:rPr>
        <w:t>,</w:t>
      </w:r>
      <w:r w:rsidR="002F311F" w:rsidRPr="00274857">
        <w:rPr>
          <w:rFonts w:ascii="Arial" w:hAnsi="Arial" w:cs="Arial"/>
          <w:bCs/>
          <w:snapToGrid w:val="0"/>
          <w:sz w:val="22"/>
          <w:szCs w:val="22"/>
        </w:rPr>
        <w:t xml:space="preserve"> such as </w:t>
      </w:r>
      <w:r w:rsidR="004B751E" w:rsidRPr="00274857">
        <w:rPr>
          <w:rFonts w:ascii="Arial" w:hAnsi="Arial" w:cs="Arial"/>
          <w:bCs/>
          <w:snapToGrid w:val="0"/>
          <w:sz w:val="22"/>
          <w:szCs w:val="22"/>
        </w:rPr>
        <w:t>cyclophosphamide</w:t>
      </w:r>
      <w:r w:rsidR="0073206F" w:rsidRPr="00274857">
        <w:rPr>
          <w:rFonts w:ascii="Arial" w:hAnsi="Arial" w:cs="Arial"/>
          <w:bCs/>
          <w:snapToGrid w:val="0"/>
          <w:sz w:val="22"/>
          <w:szCs w:val="22"/>
        </w:rPr>
        <w:t xml:space="preserve">. For equity reasons, availability of goserelin should not be only </w:t>
      </w:r>
      <w:r w:rsidR="00112DD4" w:rsidRPr="00274857">
        <w:rPr>
          <w:rFonts w:ascii="Arial" w:hAnsi="Arial" w:cs="Arial"/>
          <w:bCs/>
          <w:snapToGrid w:val="0"/>
          <w:sz w:val="22"/>
          <w:szCs w:val="22"/>
        </w:rPr>
        <w:t>restrict</w:t>
      </w:r>
      <w:r w:rsidR="00806A11" w:rsidRPr="00274857">
        <w:rPr>
          <w:rFonts w:ascii="Arial" w:hAnsi="Arial" w:cs="Arial"/>
          <w:bCs/>
          <w:snapToGrid w:val="0"/>
          <w:sz w:val="22"/>
          <w:szCs w:val="22"/>
        </w:rPr>
        <w:t>ed</w:t>
      </w:r>
      <w:r w:rsidR="00112DD4" w:rsidRPr="00274857">
        <w:rPr>
          <w:rFonts w:ascii="Arial" w:hAnsi="Arial" w:cs="Arial"/>
          <w:bCs/>
          <w:snapToGrid w:val="0"/>
          <w:sz w:val="22"/>
          <w:szCs w:val="22"/>
        </w:rPr>
        <w:t xml:space="preserve"> to</w:t>
      </w:r>
      <w:r w:rsidR="009843A5" w:rsidRPr="00274857">
        <w:rPr>
          <w:rFonts w:ascii="Arial" w:hAnsi="Arial" w:cs="Arial"/>
          <w:bCs/>
          <w:snapToGrid w:val="0"/>
          <w:sz w:val="22"/>
          <w:szCs w:val="22"/>
        </w:rPr>
        <w:t xml:space="preserve"> use in</w:t>
      </w:r>
      <w:r w:rsidR="00112DD4" w:rsidRPr="00274857">
        <w:rPr>
          <w:rFonts w:ascii="Arial" w:hAnsi="Arial" w:cs="Arial"/>
          <w:bCs/>
          <w:snapToGrid w:val="0"/>
          <w:sz w:val="22"/>
          <w:szCs w:val="22"/>
        </w:rPr>
        <w:t xml:space="preserve"> </w:t>
      </w:r>
      <w:r w:rsidR="0073206F" w:rsidRPr="00274857">
        <w:rPr>
          <w:rFonts w:ascii="Arial" w:hAnsi="Arial" w:cs="Arial"/>
          <w:bCs/>
          <w:snapToGrid w:val="0"/>
          <w:sz w:val="22"/>
          <w:szCs w:val="22"/>
        </w:rPr>
        <w:t xml:space="preserve">women with </w:t>
      </w:r>
      <w:r w:rsidR="00112DD4" w:rsidRPr="00274857">
        <w:rPr>
          <w:rFonts w:ascii="Arial" w:hAnsi="Arial" w:cs="Arial"/>
          <w:bCs/>
          <w:snapToGrid w:val="0"/>
          <w:sz w:val="22"/>
          <w:szCs w:val="22"/>
        </w:rPr>
        <w:t>breast cancer</w:t>
      </w:r>
      <w:r w:rsidR="0073206F" w:rsidRPr="00274857">
        <w:rPr>
          <w:rFonts w:ascii="Arial" w:hAnsi="Arial" w:cs="Arial"/>
          <w:bCs/>
          <w:snapToGrid w:val="0"/>
          <w:sz w:val="22"/>
          <w:szCs w:val="22"/>
        </w:rPr>
        <w:t>.</w:t>
      </w:r>
      <w:r w:rsidR="009843A5" w:rsidRPr="00274857">
        <w:rPr>
          <w:rFonts w:ascii="Arial" w:hAnsi="Arial" w:cs="Arial"/>
          <w:bCs/>
          <w:snapToGrid w:val="0"/>
          <w:sz w:val="22"/>
          <w:szCs w:val="22"/>
        </w:rPr>
        <w:t xml:space="preserve"> </w:t>
      </w:r>
    </w:p>
    <w:p w:rsidR="00431F2F" w:rsidRPr="00957186" w:rsidRDefault="00431F2F" w:rsidP="00E93542">
      <w:pPr>
        <w:jc w:val="both"/>
        <w:rPr>
          <w:b/>
        </w:rPr>
      </w:pPr>
    </w:p>
    <w:p w:rsidR="0036057D" w:rsidRPr="00274857" w:rsidRDefault="004B751E" w:rsidP="00274857">
      <w:pPr>
        <w:widowControl w:val="0"/>
        <w:numPr>
          <w:ilvl w:val="1"/>
          <w:numId w:val="5"/>
        </w:numPr>
        <w:contextualSpacing/>
        <w:jc w:val="both"/>
        <w:rPr>
          <w:rFonts w:ascii="Arial" w:hAnsi="Arial" w:cs="Arial"/>
          <w:bCs/>
          <w:snapToGrid w:val="0"/>
          <w:sz w:val="22"/>
          <w:szCs w:val="22"/>
        </w:rPr>
      </w:pPr>
      <w:r w:rsidRPr="00274857">
        <w:rPr>
          <w:rFonts w:ascii="Arial" w:hAnsi="Arial" w:cs="Arial"/>
          <w:bCs/>
          <w:snapToGrid w:val="0"/>
          <w:sz w:val="22"/>
          <w:szCs w:val="22"/>
        </w:rPr>
        <w:t>T</w:t>
      </w:r>
      <w:r w:rsidR="007A11C6" w:rsidRPr="00274857">
        <w:rPr>
          <w:rFonts w:ascii="Arial" w:hAnsi="Arial" w:cs="Arial"/>
          <w:bCs/>
          <w:snapToGrid w:val="0"/>
          <w:sz w:val="22"/>
          <w:szCs w:val="22"/>
        </w:rPr>
        <w:t xml:space="preserve">he PBAC </w:t>
      </w:r>
      <w:r w:rsidRPr="00274857">
        <w:rPr>
          <w:rFonts w:ascii="Arial" w:hAnsi="Arial" w:cs="Arial"/>
          <w:bCs/>
          <w:snapToGrid w:val="0"/>
          <w:sz w:val="22"/>
          <w:szCs w:val="22"/>
        </w:rPr>
        <w:t>noted that while there was unlikely to be use outside the restriction for prevention of POF due to the undesirable side effects of goserelin, a</w:t>
      </w:r>
      <w:r w:rsidR="00121AB3" w:rsidRPr="00274857">
        <w:rPr>
          <w:rFonts w:ascii="Arial" w:hAnsi="Arial" w:cs="Arial"/>
          <w:bCs/>
          <w:snapToGrid w:val="0"/>
          <w:sz w:val="22"/>
          <w:szCs w:val="22"/>
        </w:rPr>
        <w:t>n</w:t>
      </w:r>
      <w:r w:rsidR="007A11C6" w:rsidRPr="00274857">
        <w:rPr>
          <w:rFonts w:ascii="Arial" w:hAnsi="Arial" w:cs="Arial"/>
          <w:bCs/>
          <w:snapToGrid w:val="0"/>
          <w:sz w:val="22"/>
          <w:szCs w:val="22"/>
        </w:rPr>
        <w:t xml:space="preserve"> </w:t>
      </w:r>
      <w:r w:rsidR="004341B8" w:rsidRPr="00274857">
        <w:rPr>
          <w:rFonts w:ascii="Arial" w:hAnsi="Arial" w:cs="Arial"/>
          <w:bCs/>
          <w:snapToGrid w:val="0"/>
          <w:sz w:val="22"/>
          <w:szCs w:val="22"/>
        </w:rPr>
        <w:t>unrestricted</w:t>
      </w:r>
      <w:r w:rsidR="00121AB3" w:rsidRPr="00274857">
        <w:rPr>
          <w:rFonts w:ascii="Arial" w:hAnsi="Arial" w:cs="Arial"/>
          <w:bCs/>
          <w:snapToGrid w:val="0"/>
          <w:sz w:val="22"/>
          <w:szCs w:val="22"/>
        </w:rPr>
        <w:t xml:space="preserve"> listing </w:t>
      </w:r>
      <w:r w:rsidR="004341B8" w:rsidRPr="00274857">
        <w:rPr>
          <w:rFonts w:ascii="Arial" w:hAnsi="Arial" w:cs="Arial"/>
          <w:bCs/>
          <w:snapToGrid w:val="0"/>
          <w:sz w:val="22"/>
          <w:szCs w:val="22"/>
        </w:rPr>
        <w:t>may</w:t>
      </w:r>
      <w:r w:rsidR="00121AB3" w:rsidRPr="00274857">
        <w:rPr>
          <w:rFonts w:ascii="Arial" w:hAnsi="Arial" w:cs="Arial"/>
          <w:bCs/>
          <w:snapToGrid w:val="0"/>
          <w:sz w:val="22"/>
          <w:szCs w:val="22"/>
        </w:rPr>
        <w:t xml:space="preserve"> </w:t>
      </w:r>
      <w:r w:rsidRPr="00274857">
        <w:rPr>
          <w:rFonts w:ascii="Arial" w:hAnsi="Arial" w:cs="Arial"/>
          <w:bCs/>
          <w:snapToGrid w:val="0"/>
          <w:sz w:val="22"/>
          <w:szCs w:val="22"/>
        </w:rPr>
        <w:t xml:space="preserve">also </w:t>
      </w:r>
      <w:r w:rsidR="00121AB3" w:rsidRPr="00274857">
        <w:rPr>
          <w:rFonts w:ascii="Arial" w:hAnsi="Arial" w:cs="Arial"/>
          <w:bCs/>
          <w:snapToGrid w:val="0"/>
          <w:sz w:val="22"/>
          <w:szCs w:val="22"/>
        </w:rPr>
        <w:t>result in</w:t>
      </w:r>
      <w:r w:rsidRPr="00274857">
        <w:rPr>
          <w:rFonts w:ascii="Arial" w:hAnsi="Arial" w:cs="Arial"/>
          <w:bCs/>
          <w:snapToGrid w:val="0"/>
          <w:sz w:val="22"/>
          <w:szCs w:val="22"/>
        </w:rPr>
        <w:t xml:space="preserve"> increased use for</w:t>
      </w:r>
      <w:r w:rsidR="00112DD4" w:rsidRPr="00274857">
        <w:rPr>
          <w:rFonts w:ascii="Arial" w:hAnsi="Arial" w:cs="Arial"/>
          <w:bCs/>
          <w:snapToGrid w:val="0"/>
          <w:sz w:val="22"/>
          <w:szCs w:val="22"/>
        </w:rPr>
        <w:t xml:space="preserve"> </w:t>
      </w:r>
      <w:r w:rsidRPr="00274857">
        <w:rPr>
          <w:rFonts w:ascii="Arial" w:hAnsi="Arial" w:cs="Arial"/>
          <w:bCs/>
          <w:snapToGrid w:val="0"/>
          <w:sz w:val="22"/>
          <w:szCs w:val="22"/>
        </w:rPr>
        <w:t xml:space="preserve">other </w:t>
      </w:r>
      <w:r w:rsidR="00121AB3" w:rsidRPr="00274857">
        <w:rPr>
          <w:rFonts w:ascii="Arial" w:hAnsi="Arial" w:cs="Arial"/>
          <w:bCs/>
          <w:snapToGrid w:val="0"/>
          <w:sz w:val="22"/>
          <w:szCs w:val="22"/>
        </w:rPr>
        <w:t>indications</w:t>
      </w:r>
      <w:r w:rsidRPr="00274857">
        <w:rPr>
          <w:rFonts w:ascii="Arial" w:hAnsi="Arial" w:cs="Arial"/>
          <w:bCs/>
          <w:snapToGrid w:val="0"/>
          <w:sz w:val="22"/>
          <w:szCs w:val="22"/>
        </w:rPr>
        <w:t>,</w:t>
      </w:r>
      <w:r w:rsidR="00121AB3" w:rsidRPr="00274857">
        <w:rPr>
          <w:rFonts w:ascii="Arial" w:hAnsi="Arial" w:cs="Arial"/>
          <w:bCs/>
          <w:snapToGrid w:val="0"/>
          <w:sz w:val="22"/>
          <w:szCs w:val="22"/>
        </w:rPr>
        <w:t xml:space="preserve"> such as </w:t>
      </w:r>
      <w:r w:rsidR="00112DD4" w:rsidRPr="00274857">
        <w:rPr>
          <w:rFonts w:ascii="Arial" w:hAnsi="Arial" w:cs="Arial"/>
          <w:bCs/>
          <w:snapToGrid w:val="0"/>
          <w:sz w:val="22"/>
          <w:szCs w:val="22"/>
        </w:rPr>
        <w:t>endom</w:t>
      </w:r>
      <w:r w:rsidR="00121AB3" w:rsidRPr="00274857">
        <w:rPr>
          <w:rFonts w:ascii="Arial" w:hAnsi="Arial" w:cs="Arial"/>
          <w:bCs/>
          <w:snapToGrid w:val="0"/>
          <w:sz w:val="22"/>
          <w:szCs w:val="22"/>
        </w:rPr>
        <w:t xml:space="preserve">etriosis and uterine fibroids. </w:t>
      </w:r>
      <w:r w:rsidR="009E3488" w:rsidRPr="00274857">
        <w:rPr>
          <w:rFonts w:ascii="Arial" w:hAnsi="Arial" w:cs="Arial"/>
          <w:bCs/>
          <w:snapToGrid w:val="0"/>
          <w:sz w:val="22"/>
          <w:szCs w:val="22"/>
        </w:rPr>
        <w:t>Therefore, the PBAC deferred the application and requested the Department to work with the sponsor of goserelin to develop an appropriate restriction.</w:t>
      </w:r>
    </w:p>
    <w:p w:rsidR="00E93542" w:rsidRPr="00957186" w:rsidRDefault="00E93542" w:rsidP="00E93542">
      <w:pPr>
        <w:pStyle w:val="ListParagraph"/>
        <w:rPr>
          <w:b/>
        </w:rPr>
      </w:pPr>
    </w:p>
    <w:p w:rsidR="00E93542" w:rsidRPr="00BD5C45" w:rsidRDefault="00E93542" w:rsidP="00BD5C45">
      <w:pPr>
        <w:rPr>
          <w:rFonts w:ascii="Arial" w:hAnsi="Arial" w:cs="Arial"/>
          <w:b/>
          <w:sz w:val="22"/>
        </w:rPr>
      </w:pPr>
      <w:r w:rsidRPr="00BD5C45">
        <w:rPr>
          <w:rFonts w:ascii="Arial" w:hAnsi="Arial" w:cs="Arial"/>
          <w:b/>
          <w:sz w:val="22"/>
        </w:rPr>
        <w:t>Outcome:</w:t>
      </w:r>
    </w:p>
    <w:p w:rsidR="00616B86" w:rsidRPr="00BD5C45" w:rsidRDefault="00E93542" w:rsidP="00BD5C45">
      <w:pPr>
        <w:rPr>
          <w:rFonts w:ascii="Arial" w:hAnsi="Arial" w:cs="Arial"/>
          <w:b/>
          <w:sz w:val="22"/>
        </w:rPr>
      </w:pPr>
      <w:r w:rsidRPr="00BD5C45">
        <w:rPr>
          <w:rFonts w:ascii="Arial" w:hAnsi="Arial" w:cs="Arial"/>
          <w:sz w:val="22"/>
        </w:rPr>
        <w:t>Deferred</w:t>
      </w:r>
    </w:p>
    <w:p w:rsidR="00BD5C45" w:rsidRDefault="00BD5C45" w:rsidP="00BD5C45"/>
    <w:p w:rsidR="0017088C" w:rsidRDefault="0017088C" w:rsidP="00BD5C45"/>
    <w:p w:rsidR="00660910" w:rsidRDefault="00660910" w:rsidP="00660910">
      <w:pPr>
        <w:pStyle w:val="PBACHeading1"/>
        <w:ind w:left="709" w:hanging="709"/>
      </w:pPr>
      <w:r w:rsidRPr="00485DD3">
        <w:t>Context for Decision</w:t>
      </w:r>
    </w:p>
    <w:p w:rsidR="00660910" w:rsidRDefault="00660910" w:rsidP="00660910">
      <w:pPr>
        <w:ind w:left="709"/>
        <w:jc w:val="both"/>
        <w:rPr>
          <w:rFonts w:ascii="Arial" w:hAnsi="Arial" w:cs="Arial"/>
          <w:sz w:val="22"/>
        </w:rPr>
      </w:pPr>
    </w:p>
    <w:p w:rsidR="00660910" w:rsidRDefault="00660910" w:rsidP="00660910">
      <w:pPr>
        <w:ind w:left="709"/>
        <w:jc w:val="both"/>
        <w:rPr>
          <w:rFonts w:ascii="Arial" w:hAnsi="Arial" w:cs="Arial"/>
          <w:sz w:val="22"/>
        </w:rPr>
      </w:pPr>
      <w:r w:rsidRPr="004304F6">
        <w:rPr>
          <w:rFonts w:ascii="Arial" w:hAnsi="Arial" w:cs="Arial"/>
          <w:sz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4304F6">
        <w:rPr>
          <w:rFonts w:ascii="Arial" w:hAnsi="Arial" w:cs="Arial"/>
          <w:sz w:val="22"/>
        </w:rPr>
        <w:lastRenderedPageBreak/>
        <w:t>PBAC view about the merits of the medicine. A company can resubmit to the PBAC or seek independent review of the PBAC decision.</w:t>
      </w:r>
    </w:p>
    <w:p w:rsidR="00660910" w:rsidRDefault="00660910" w:rsidP="00660910">
      <w:pPr>
        <w:ind w:left="709"/>
        <w:jc w:val="both"/>
        <w:rPr>
          <w:rFonts w:ascii="Arial" w:hAnsi="Arial" w:cs="Arial"/>
          <w:sz w:val="22"/>
        </w:rPr>
      </w:pPr>
    </w:p>
    <w:p w:rsidR="00660910" w:rsidRDefault="00660910" w:rsidP="00660910">
      <w:pPr>
        <w:ind w:left="709"/>
        <w:jc w:val="both"/>
        <w:rPr>
          <w:rFonts w:ascii="Arial" w:hAnsi="Arial" w:cs="Arial"/>
          <w:sz w:val="22"/>
        </w:rPr>
      </w:pPr>
    </w:p>
    <w:p w:rsidR="00660910" w:rsidRPr="00B0280B" w:rsidRDefault="00660910" w:rsidP="00660910">
      <w:pPr>
        <w:pStyle w:val="PBACHeading1"/>
        <w:ind w:left="709" w:hanging="709"/>
      </w:pPr>
      <w:r w:rsidRPr="00485DD3">
        <w:t>Sponsor’s Comment</w:t>
      </w:r>
    </w:p>
    <w:p w:rsidR="0072084E" w:rsidRDefault="0072084E" w:rsidP="00660910">
      <w:pPr>
        <w:spacing w:after="120"/>
        <w:ind w:left="426" w:firstLine="283"/>
        <w:jc w:val="both"/>
        <w:rPr>
          <w:rFonts w:ascii="Arial" w:hAnsi="Arial" w:cs="Arial"/>
          <w:bCs/>
          <w:sz w:val="22"/>
        </w:rPr>
      </w:pPr>
    </w:p>
    <w:p w:rsidR="00660910" w:rsidRDefault="00660910" w:rsidP="00660910">
      <w:pPr>
        <w:spacing w:after="120"/>
        <w:ind w:left="426" w:firstLine="283"/>
        <w:jc w:val="both"/>
        <w:rPr>
          <w:rFonts w:ascii="Arial" w:hAnsi="Arial" w:cs="Arial"/>
          <w:bCs/>
          <w:sz w:val="22"/>
        </w:rPr>
      </w:pPr>
      <w:r w:rsidRPr="003035CC">
        <w:rPr>
          <w:rFonts w:ascii="Arial" w:hAnsi="Arial" w:cs="Arial"/>
          <w:bCs/>
          <w:sz w:val="22"/>
        </w:rPr>
        <w:t>The sponsor had no comment.</w:t>
      </w:r>
    </w:p>
    <w:p w:rsidR="00660910" w:rsidRPr="00441136" w:rsidRDefault="00660910" w:rsidP="00BD5C45"/>
    <w:sectPr w:rsidR="00660910" w:rsidRPr="0044113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BA16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59" w:rsidRDefault="008D4959">
      <w:r>
        <w:separator/>
      </w:r>
    </w:p>
    <w:p w:rsidR="008D4959" w:rsidRDefault="008D4959"/>
  </w:endnote>
  <w:endnote w:type="continuationSeparator" w:id="0">
    <w:p w:rsidR="008D4959" w:rsidRDefault="008D4959">
      <w:r>
        <w:continuationSeparator/>
      </w:r>
    </w:p>
    <w:p w:rsidR="008D4959" w:rsidRDefault="008D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p w:rsidR="00962223" w:rsidRDefault="0096222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223" w:rsidRDefault="00962223">
    <w:pPr>
      <w:pStyle w:val="Footer"/>
    </w:pPr>
  </w:p>
  <w:p w:rsidR="00962223" w:rsidRDefault="00962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23" w:rsidRDefault="00962223" w:rsidP="00EF44A0">
    <w:pPr>
      <w:pStyle w:val="Footer"/>
      <w:jc w:val="center"/>
      <w:rPr>
        <w:rFonts w:ascii="Arial" w:hAnsi="Arial" w:cs="Arial"/>
        <w:b/>
        <w:sz w:val="20"/>
        <w:szCs w:val="20"/>
      </w:rPr>
    </w:pPr>
  </w:p>
  <w:p w:rsidR="009A2124" w:rsidRPr="00D67EC7" w:rsidRDefault="009A2124" w:rsidP="009A2124">
    <w:pPr>
      <w:ind w:right="360"/>
      <w:jc w:val="center"/>
      <w:rPr>
        <w:rFonts w:ascii="Arial" w:hAnsi="Arial" w:cs="Arial"/>
        <w:b/>
        <w:sz w:val="20"/>
      </w:rPr>
    </w:pPr>
    <w:r w:rsidRPr="00D67EC7">
      <w:rPr>
        <w:rFonts w:ascii="Arial" w:hAnsi="Arial" w:cs="Arial"/>
        <w:sz w:val="20"/>
      </w:rPr>
      <w:fldChar w:fldCharType="begin"/>
    </w:r>
    <w:r w:rsidRPr="00D67EC7">
      <w:rPr>
        <w:rFonts w:ascii="Arial" w:hAnsi="Arial" w:cs="Arial"/>
        <w:sz w:val="20"/>
      </w:rPr>
      <w:instrText xml:space="preserve"> PAGE   \* MERGEFORMAT </w:instrText>
    </w:r>
    <w:r w:rsidRPr="00D67EC7">
      <w:rPr>
        <w:rFonts w:ascii="Arial" w:hAnsi="Arial" w:cs="Arial"/>
        <w:sz w:val="20"/>
      </w:rPr>
      <w:fldChar w:fldCharType="separate"/>
    </w:r>
    <w:r w:rsidR="008D4959">
      <w:rPr>
        <w:rFonts w:ascii="Arial" w:hAnsi="Arial" w:cs="Arial"/>
        <w:noProof/>
        <w:sz w:val="20"/>
      </w:rPr>
      <w:t>5</w:t>
    </w:r>
    <w:r w:rsidRPr="00D67EC7">
      <w:rPr>
        <w:rFonts w:ascii="Arial" w:hAnsi="Arial" w:cs="Arial"/>
        <w:noProof/>
        <w:sz w:val="20"/>
      </w:rPr>
      <w:fldChar w:fldCharType="end"/>
    </w:r>
  </w:p>
  <w:p w:rsidR="00962223" w:rsidRDefault="00962223" w:rsidP="009A2124">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p w:rsidR="00962223" w:rsidRPr="007C0F57" w:rsidRDefault="0096222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62223" w:rsidRPr="007C0F57" w:rsidRDefault="00962223" w:rsidP="007C0F57">
    <w:pPr>
      <w:pStyle w:val="Footer"/>
      <w:jc w:val="center"/>
      <w:rPr>
        <w:b/>
        <w:i/>
        <w:sz w:val="20"/>
        <w:szCs w:val="20"/>
      </w:rPr>
    </w:pPr>
    <w:r w:rsidRPr="007C0F57">
      <w:rPr>
        <w:b/>
        <w:i/>
        <w:sz w:val="20"/>
        <w:szCs w:val="20"/>
      </w:rPr>
      <w:t>Commercial-in-Confidence</w:t>
    </w:r>
  </w:p>
  <w:p w:rsidR="00962223" w:rsidRDefault="00962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59" w:rsidRDefault="008D4959">
      <w:r>
        <w:separator/>
      </w:r>
    </w:p>
    <w:p w:rsidR="008D4959" w:rsidRDefault="008D4959"/>
  </w:footnote>
  <w:footnote w:type="continuationSeparator" w:id="0">
    <w:p w:rsidR="008D4959" w:rsidRDefault="008D4959">
      <w:r>
        <w:continuationSeparator/>
      </w:r>
    </w:p>
    <w:p w:rsidR="008D4959" w:rsidRDefault="008D4959"/>
  </w:footnote>
  <w:footnote w:id="1">
    <w:p w:rsidR="001D3EB1" w:rsidRPr="002622EB" w:rsidRDefault="001D3EB1" w:rsidP="00626751">
      <w:pPr>
        <w:pStyle w:val="Default"/>
        <w:rPr>
          <w:rFonts w:ascii="Arial" w:hAnsi="Arial" w:cs="Arial"/>
          <w:sz w:val="20"/>
          <w:szCs w:val="20"/>
        </w:rPr>
      </w:pPr>
      <w:r w:rsidRPr="002622EB">
        <w:rPr>
          <w:rStyle w:val="FootnoteReference"/>
          <w:rFonts w:ascii="Arial" w:hAnsi="Arial" w:cs="Arial"/>
          <w:color w:val="auto"/>
          <w:sz w:val="18"/>
          <w:szCs w:val="20"/>
        </w:rPr>
        <w:footnoteRef/>
      </w:r>
      <w:r w:rsidRPr="002622EB">
        <w:rPr>
          <w:rFonts w:ascii="Arial" w:hAnsi="Arial" w:cs="Arial"/>
          <w:color w:val="auto"/>
          <w:sz w:val="18"/>
          <w:szCs w:val="20"/>
        </w:rPr>
        <w:t xml:space="preserve"> </w:t>
      </w:r>
      <w:hyperlink r:id="rId1" w:history="1">
        <w:r w:rsidR="00FD3DD3" w:rsidRPr="002622EB">
          <w:rPr>
            <w:rStyle w:val="Hyperlink"/>
            <w:rFonts w:ascii="Arial" w:hAnsi="Arial" w:cs="Arial"/>
            <w:color w:val="auto"/>
            <w:sz w:val="18"/>
            <w:szCs w:val="20"/>
          </w:rPr>
          <w:t>Breast Cancer statistics by Cancer Australia</w:t>
        </w:r>
      </w:hyperlink>
      <w:r w:rsidR="002622EB" w:rsidRPr="002622EB">
        <w:rPr>
          <w:rStyle w:val="Hyperlink"/>
          <w:rFonts w:ascii="Arial" w:hAnsi="Arial" w:cs="Arial"/>
          <w:color w:val="auto"/>
          <w:sz w:val="18"/>
          <w:szCs w:val="20"/>
        </w:rPr>
        <w:t>,</w:t>
      </w:r>
      <w:r w:rsidR="00F25BF7" w:rsidRPr="002622EB">
        <w:rPr>
          <w:rStyle w:val="Hyperlink"/>
          <w:rFonts w:ascii="Arial" w:hAnsi="Arial" w:cs="Arial"/>
          <w:color w:val="auto"/>
          <w:sz w:val="18"/>
          <w:szCs w:val="20"/>
        </w:rPr>
        <w:t xml:space="preserve"> </w:t>
      </w:r>
      <w:r w:rsidR="00F25BF7" w:rsidRPr="002622EB">
        <w:rPr>
          <w:rFonts w:ascii="Arial" w:hAnsi="Arial" w:cs="Arial"/>
          <w:color w:val="auto"/>
          <w:sz w:val="18"/>
          <w:szCs w:val="20"/>
        </w:rPr>
        <w:t>(https://canceraustralia.gov.au/affected-cancer/cancer-types/breast-cancer/breast-cancer-statistics)</w:t>
      </w:r>
      <w:r w:rsidR="00DD21FF" w:rsidRPr="002622EB">
        <w:rPr>
          <w:rFonts w:ascii="Arial" w:hAnsi="Arial" w:cs="Arial"/>
          <w:color w:val="auto"/>
          <w:sz w:val="18"/>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62223" w:rsidRPr="008E0D90" w:rsidTr="00A06225">
      <w:trPr>
        <w:trHeight w:val="151"/>
      </w:trPr>
      <w:tc>
        <w:tcPr>
          <w:tcW w:w="2389" w:type="pct"/>
          <w:tcBorders>
            <w:top w:val="nil"/>
            <w:left w:val="nil"/>
            <w:bottom w:val="single" w:sz="4" w:space="0" w:color="4F81BD"/>
            <w:right w:val="nil"/>
          </w:tcBorders>
        </w:tcPr>
        <w:p w:rsidR="00962223" w:rsidRPr="00A06225" w:rsidRDefault="00962223">
          <w:pPr>
            <w:pStyle w:val="Header"/>
            <w:spacing w:line="276" w:lineRule="auto"/>
            <w:rPr>
              <w:rFonts w:ascii="Cambria" w:eastAsia="MS Gothic" w:hAnsi="Cambria"/>
              <w:b/>
              <w:bCs/>
              <w:color w:val="4F81BD"/>
            </w:rPr>
          </w:pPr>
        </w:p>
      </w:tc>
      <w:tc>
        <w:tcPr>
          <w:tcW w:w="333" w:type="pct"/>
          <w:vMerge w:val="restart"/>
          <w:noWrap/>
          <w:vAlign w:val="center"/>
          <w:hideMark/>
        </w:tcPr>
        <w:p w:rsidR="00962223" w:rsidRPr="00A06225" w:rsidRDefault="0096222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62223" w:rsidRPr="00A06225" w:rsidRDefault="00962223">
          <w:pPr>
            <w:pStyle w:val="Header"/>
            <w:spacing w:line="276" w:lineRule="auto"/>
            <w:rPr>
              <w:rFonts w:ascii="Cambria" w:eastAsia="MS Gothic" w:hAnsi="Cambria"/>
              <w:b/>
              <w:bCs/>
              <w:color w:val="4F81BD"/>
            </w:rPr>
          </w:pPr>
        </w:p>
      </w:tc>
    </w:tr>
    <w:tr w:rsidR="00962223" w:rsidRPr="008E0D90" w:rsidTr="00A06225">
      <w:trPr>
        <w:trHeight w:val="150"/>
      </w:trPr>
      <w:tc>
        <w:tcPr>
          <w:tcW w:w="2389" w:type="pct"/>
          <w:tcBorders>
            <w:top w:val="single" w:sz="4" w:space="0" w:color="4F81BD"/>
            <w:left w:val="nil"/>
            <w:bottom w:val="nil"/>
            <w:right w:val="nil"/>
          </w:tcBorders>
        </w:tcPr>
        <w:p w:rsidR="00962223" w:rsidRPr="00A06225" w:rsidRDefault="00962223">
          <w:pPr>
            <w:pStyle w:val="Header"/>
            <w:spacing w:line="276" w:lineRule="auto"/>
            <w:rPr>
              <w:rFonts w:ascii="Cambria" w:eastAsia="MS Gothic" w:hAnsi="Cambria"/>
              <w:b/>
              <w:bCs/>
              <w:color w:val="4F81BD"/>
            </w:rPr>
          </w:pPr>
        </w:p>
      </w:tc>
      <w:tc>
        <w:tcPr>
          <w:tcW w:w="0" w:type="auto"/>
          <w:vMerge/>
          <w:vAlign w:val="center"/>
          <w:hideMark/>
        </w:tcPr>
        <w:p w:rsidR="00962223" w:rsidRPr="00A06225" w:rsidRDefault="00962223">
          <w:pPr>
            <w:rPr>
              <w:rFonts w:ascii="Cambria" w:hAnsi="Cambria"/>
              <w:color w:val="4F81BD"/>
              <w:sz w:val="22"/>
              <w:szCs w:val="22"/>
            </w:rPr>
          </w:pPr>
        </w:p>
      </w:tc>
      <w:tc>
        <w:tcPr>
          <w:tcW w:w="2278" w:type="pct"/>
          <w:tcBorders>
            <w:top w:val="single" w:sz="4" w:space="0" w:color="4F81BD"/>
            <w:left w:val="nil"/>
            <w:bottom w:val="nil"/>
            <w:right w:val="nil"/>
          </w:tcBorders>
        </w:tcPr>
        <w:p w:rsidR="00962223" w:rsidRPr="00A06225" w:rsidRDefault="00962223">
          <w:pPr>
            <w:pStyle w:val="Header"/>
            <w:spacing w:line="276" w:lineRule="auto"/>
            <w:rPr>
              <w:rFonts w:ascii="Cambria" w:eastAsia="MS Gothic" w:hAnsi="Cambria"/>
              <w:b/>
              <w:bCs/>
              <w:color w:val="4F81BD"/>
            </w:rPr>
          </w:pPr>
        </w:p>
      </w:tc>
    </w:tr>
  </w:tbl>
  <w:p w:rsidR="00962223" w:rsidRDefault="00962223">
    <w:pPr>
      <w:pStyle w:val="Header"/>
    </w:pPr>
  </w:p>
  <w:p w:rsidR="00962223" w:rsidRDefault="009622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45" w:rsidRPr="00DF217D" w:rsidRDefault="00BD5C45" w:rsidP="00BD5C45">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962223" w:rsidRDefault="00962223"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59" w:rsidRDefault="008D4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350DBF"/>
    <w:multiLevelType w:val="hybridMultilevel"/>
    <w:tmpl w:val="5644E408"/>
    <w:lvl w:ilvl="0" w:tplc="BF36FA9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94400A4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2"/>
  </w:num>
  <w:num w:numId="5">
    <w:abstractNumId w:val="13"/>
  </w:num>
  <w:num w:numId="6">
    <w:abstractNumId w:val="5"/>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3"/>
  </w:num>
  <w:num w:numId="15">
    <w:abstractNumId w:val="6"/>
  </w:num>
  <w:num w:numId="16">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C62"/>
    <w:rsid w:val="000025AD"/>
    <w:rsid w:val="0002464A"/>
    <w:rsid w:val="0003106B"/>
    <w:rsid w:val="000364E1"/>
    <w:rsid w:val="000421A1"/>
    <w:rsid w:val="0004240E"/>
    <w:rsid w:val="00045E26"/>
    <w:rsid w:val="0005000A"/>
    <w:rsid w:val="000514B5"/>
    <w:rsid w:val="00060E64"/>
    <w:rsid w:val="00066755"/>
    <w:rsid w:val="000728A3"/>
    <w:rsid w:val="00077143"/>
    <w:rsid w:val="00081805"/>
    <w:rsid w:val="000969AD"/>
    <w:rsid w:val="000B558D"/>
    <w:rsid w:val="000C6996"/>
    <w:rsid w:val="000D23BA"/>
    <w:rsid w:val="000D2CAB"/>
    <w:rsid w:val="000E2873"/>
    <w:rsid w:val="000E681E"/>
    <w:rsid w:val="000E73CD"/>
    <w:rsid w:val="000F4E6A"/>
    <w:rsid w:val="001107BF"/>
    <w:rsid w:val="00112DD4"/>
    <w:rsid w:val="00116544"/>
    <w:rsid w:val="00121AB3"/>
    <w:rsid w:val="0012417C"/>
    <w:rsid w:val="00140AF2"/>
    <w:rsid w:val="00141169"/>
    <w:rsid w:val="00142395"/>
    <w:rsid w:val="00142714"/>
    <w:rsid w:val="0014314F"/>
    <w:rsid w:val="001452ED"/>
    <w:rsid w:val="00154281"/>
    <w:rsid w:val="001624C6"/>
    <w:rsid w:val="0017088C"/>
    <w:rsid w:val="00174120"/>
    <w:rsid w:val="00175A17"/>
    <w:rsid w:val="001830CE"/>
    <w:rsid w:val="0018643B"/>
    <w:rsid w:val="00196307"/>
    <w:rsid w:val="001A33EA"/>
    <w:rsid w:val="001B017F"/>
    <w:rsid w:val="001B5129"/>
    <w:rsid w:val="001C1195"/>
    <w:rsid w:val="001C46EA"/>
    <w:rsid w:val="001C5716"/>
    <w:rsid w:val="001D10CD"/>
    <w:rsid w:val="001D3EB1"/>
    <w:rsid w:val="00212DE5"/>
    <w:rsid w:val="00213CFB"/>
    <w:rsid w:val="00251322"/>
    <w:rsid w:val="002622EB"/>
    <w:rsid w:val="00271BA1"/>
    <w:rsid w:val="00272FD4"/>
    <w:rsid w:val="00274857"/>
    <w:rsid w:val="002762FA"/>
    <w:rsid w:val="00277505"/>
    <w:rsid w:val="00280D9F"/>
    <w:rsid w:val="0029458F"/>
    <w:rsid w:val="00297654"/>
    <w:rsid w:val="002A104C"/>
    <w:rsid w:val="002A4960"/>
    <w:rsid w:val="002B1AE6"/>
    <w:rsid w:val="002B30F8"/>
    <w:rsid w:val="002C212F"/>
    <w:rsid w:val="002D5384"/>
    <w:rsid w:val="002E3153"/>
    <w:rsid w:val="002E39C2"/>
    <w:rsid w:val="002E65FE"/>
    <w:rsid w:val="002E72CA"/>
    <w:rsid w:val="002F311F"/>
    <w:rsid w:val="00300AD6"/>
    <w:rsid w:val="00304BE9"/>
    <w:rsid w:val="00313019"/>
    <w:rsid w:val="00321F6E"/>
    <w:rsid w:val="00326E79"/>
    <w:rsid w:val="003367EF"/>
    <w:rsid w:val="00341AE4"/>
    <w:rsid w:val="0036057D"/>
    <w:rsid w:val="0037458F"/>
    <w:rsid w:val="003849B4"/>
    <w:rsid w:val="00385555"/>
    <w:rsid w:val="003872CF"/>
    <w:rsid w:val="0039782C"/>
    <w:rsid w:val="003A47D7"/>
    <w:rsid w:val="003A5B4A"/>
    <w:rsid w:val="003B23C5"/>
    <w:rsid w:val="003B2A75"/>
    <w:rsid w:val="003D090F"/>
    <w:rsid w:val="003D4AC4"/>
    <w:rsid w:val="003D63B7"/>
    <w:rsid w:val="003E468B"/>
    <w:rsid w:val="003F5C8C"/>
    <w:rsid w:val="00413D18"/>
    <w:rsid w:val="004213EA"/>
    <w:rsid w:val="00431F2F"/>
    <w:rsid w:val="004341B8"/>
    <w:rsid w:val="0043563A"/>
    <w:rsid w:val="00441136"/>
    <w:rsid w:val="004465BD"/>
    <w:rsid w:val="004611A6"/>
    <w:rsid w:val="00466ADA"/>
    <w:rsid w:val="00476245"/>
    <w:rsid w:val="00485940"/>
    <w:rsid w:val="004A2484"/>
    <w:rsid w:val="004A5A85"/>
    <w:rsid w:val="004A5A95"/>
    <w:rsid w:val="004B5640"/>
    <w:rsid w:val="004B6359"/>
    <w:rsid w:val="004B751E"/>
    <w:rsid w:val="004C1BD7"/>
    <w:rsid w:val="004C691D"/>
    <w:rsid w:val="004E23E5"/>
    <w:rsid w:val="004E692D"/>
    <w:rsid w:val="00501554"/>
    <w:rsid w:val="00511666"/>
    <w:rsid w:val="00514CD7"/>
    <w:rsid w:val="005319B2"/>
    <w:rsid w:val="00532C74"/>
    <w:rsid w:val="00534E2E"/>
    <w:rsid w:val="00544552"/>
    <w:rsid w:val="00581932"/>
    <w:rsid w:val="005963BB"/>
    <w:rsid w:val="005A3173"/>
    <w:rsid w:val="005A3223"/>
    <w:rsid w:val="005A3DA3"/>
    <w:rsid w:val="005A52C4"/>
    <w:rsid w:val="005D03AB"/>
    <w:rsid w:val="005D5017"/>
    <w:rsid w:val="005E4819"/>
    <w:rsid w:val="005E5152"/>
    <w:rsid w:val="005F210A"/>
    <w:rsid w:val="005F5987"/>
    <w:rsid w:val="00601A91"/>
    <w:rsid w:val="00602BA3"/>
    <w:rsid w:val="00614159"/>
    <w:rsid w:val="00616B86"/>
    <w:rsid w:val="00617C00"/>
    <w:rsid w:val="006263BF"/>
    <w:rsid w:val="00626751"/>
    <w:rsid w:val="0062748A"/>
    <w:rsid w:val="00630A2C"/>
    <w:rsid w:val="00651169"/>
    <w:rsid w:val="00653D69"/>
    <w:rsid w:val="00657D97"/>
    <w:rsid w:val="00660910"/>
    <w:rsid w:val="006631AA"/>
    <w:rsid w:val="00670A76"/>
    <w:rsid w:val="006711AA"/>
    <w:rsid w:val="00672B57"/>
    <w:rsid w:val="00675622"/>
    <w:rsid w:val="0068790A"/>
    <w:rsid w:val="006906DB"/>
    <w:rsid w:val="006A12A5"/>
    <w:rsid w:val="006B0D94"/>
    <w:rsid w:val="006B485D"/>
    <w:rsid w:val="006C4A46"/>
    <w:rsid w:val="006C708E"/>
    <w:rsid w:val="006D6EC7"/>
    <w:rsid w:val="006E448A"/>
    <w:rsid w:val="006F2648"/>
    <w:rsid w:val="006F5125"/>
    <w:rsid w:val="0070385A"/>
    <w:rsid w:val="007134A7"/>
    <w:rsid w:val="007174BB"/>
    <w:rsid w:val="0072084E"/>
    <w:rsid w:val="0073206F"/>
    <w:rsid w:val="007400C0"/>
    <w:rsid w:val="00751796"/>
    <w:rsid w:val="0076420C"/>
    <w:rsid w:val="007753C2"/>
    <w:rsid w:val="007838B8"/>
    <w:rsid w:val="007A11C6"/>
    <w:rsid w:val="007C0F57"/>
    <w:rsid w:val="007C40B6"/>
    <w:rsid w:val="007C729F"/>
    <w:rsid w:val="007D5FE2"/>
    <w:rsid w:val="007E1D28"/>
    <w:rsid w:val="007F2641"/>
    <w:rsid w:val="007F52F3"/>
    <w:rsid w:val="007F7C36"/>
    <w:rsid w:val="00806796"/>
    <w:rsid w:val="00806A11"/>
    <w:rsid w:val="008151D6"/>
    <w:rsid w:val="00825D33"/>
    <w:rsid w:val="00826F6D"/>
    <w:rsid w:val="00852F43"/>
    <w:rsid w:val="00856DDD"/>
    <w:rsid w:val="00863E68"/>
    <w:rsid w:val="00870DA7"/>
    <w:rsid w:val="00872D57"/>
    <w:rsid w:val="00882085"/>
    <w:rsid w:val="00883188"/>
    <w:rsid w:val="00897D58"/>
    <w:rsid w:val="008A1956"/>
    <w:rsid w:val="008A4937"/>
    <w:rsid w:val="008A50F1"/>
    <w:rsid w:val="008D1B5C"/>
    <w:rsid w:val="008D3C82"/>
    <w:rsid w:val="008D447E"/>
    <w:rsid w:val="008D4959"/>
    <w:rsid w:val="008D7A41"/>
    <w:rsid w:val="008E3680"/>
    <w:rsid w:val="008E5870"/>
    <w:rsid w:val="008F1434"/>
    <w:rsid w:val="008F7355"/>
    <w:rsid w:val="009067B7"/>
    <w:rsid w:val="00910015"/>
    <w:rsid w:val="00930937"/>
    <w:rsid w:val="00933E6C"/>
    <w:rsid w:val="00942160"/>
    <w:rsid w:val="0095146F"/>
    <w:rsid w:val="00957186"/>
    <w:rsid w:val="009602C5"/>
    <w:rsid w:val="00962223"/>
    <w:rsid w:val="00974C21"/>
    <w:rsid w:val="009763DA"/>
    <w:rsid w:val="009843A5"/>
    <w:rsid w:val="00991586"/>
    <w:rsid w:val="009A2124"/>
    <w:rsid w:val="009B0F67"/>
    <w:rsid w:val="009C703C"/>
    <w:rsid w:val="009D3CAA"/>
    <w:rsid w:val="009D6374"/>
    <w:rsid w:val="009E3488"/>
    <w:rsid w:val="009F2FC1"/>
    <w:rsid w:val="009F4E46"/>
    <w:rsid w:val="009F5B65"/>
    <w:rsid w:val="009F5F2E"/>
    <w:rsid w:val="00A06225"/>
    <w:rsid w:val="00A069DD"/>
    <w:rsid w:val="00A128E6"/>
    <w:rsid w:val="00A325CF"/>
    <w:rsid w:val="00A34F97"/>
    <w:rsid w:val="00A37C8D"/>
    <w:rsid w:val="00A51687"/>
    <w:rsid w:val="00A5273B"/>
    <w:rsid w:val="00A53A9D"/>
    <w:rsid w:val="00A55FEE"/>
    <w:rsid w:val="00A60C51"/>
    <w:rsid w:val="00A62C1A"/>
    <w:rsid w:val="00A6426D"/>
    <w:rsid w:val="00A70622"/>
    <w:rsid w:val="00A70977"/>
    <w:rsid w:val="00A70D64"/>
    <w:rsid w:val="00A71EC9"/>
    <w:rsid w:val="00A77613"/>
    <w:rsid w:val="00A8390C"/>
    <w:rsid w:val="00A928BD"/>
    <w:rsid w:val="00A96B5F"/>
    <w:rsid w:val="00AA4D1C"/>
    <w:rsid w:val="00AC193C"/>
    <w:rsid w:val="00AC5206"/>
    <w:rsid w:val="00AE11A5"/>
    <w:rsid w:val="00AE13E2"/>
    <w:rsid w:val="00AE4866"/>
    <w:rsid w:val="00AF21D7"/>
    <w:rsid w:val="00AF68CC"/>
    <w:rsid w:val="00B1059E"/>
    <w:rsid w:val="00B205AA"/>
    <w:rsid w:val="00B22E84"/>
    <w:rsid w:val="00B25F75"/>
    <w:rsid w:val="00B4111F"/>
    <w:rsid w:val="00B43E90"/>
    <w:rsid w:val="00B45876"/>
    <w:rsid w:val="00B467DC"/>
    <w:rsid w:val="00B56118"/>
    <w:rsid w:val="00B56D23"/>
    <w:rsid w:val="00B6773F"/>
    <w:rsid w:val="00B801BA"/>
    <w:rsid w:val="00BB69F5"/>
    <w:rsid w:val="00BB7781"/>
    <w:rsid w:val="00BB7968"/>
    <w:rsid w:val="00BB7EC3"/>
    <w:rsid w:val="00BC4B9A"/>
    <w:rsid w:val="00BD5C45"/>
    <w:rsid w:val="00BD784C"/>
    <w:rsid w:val="00BD79BF"/>
    <w:rsid w:val="00BF4CB6"/>
    <w:rsid w:val="00C00DA7"/>
    <w:rsid w:val="00C12768"/>
    <w:rsid w:val="00C27B58"/>
    <w:rsid w:val="00C35996"/>
    <w:rsid w:val="00C5119E"/>
    <w:rsid w:val="00C5342C"/>
    <w:rsid w:val="00C603D4"/>
    <w:rsid w:val="00C6256A"/>
    <w:rsid w:val="00C70FE5"/>
    <w:rsid w:val="00C91449"/>
    <w:rsid w:val="00C92D10"/>
    <w:rsid w:val="00CB2181"/>
    <w:rsid w:val="00CE10C4"/>
    <w:rsid w:val="00CE27B5"/>
    <w:rsid w:val="00D0321E"/>
    <w:rsid w:val="00D1455A"/>
    <w:rsid w:val="00D26D5A"/>
    <w:rsid w:val="00D3138B"/>
    <w:rsid w:val="00D3280C"/>
    <w:rsid w:val="00D3406A"/>
    <w:rsid w:val="00D432D1"/>
    <w:rsid w:val="00D46538"/>
    <w:rsid w:val="00D469B2"/>
    <w:rsid w:val="00D741EB"/>
    <w:rsid w:val="00D84934"/>
    <w:rsid w:val="00D91271"/>
    <w:rsid w:val="00D91AA8"/>
    <w:rsid w:val="00DA2CB5"/>
    <w:rsid w:val="00DA43DB"/>
    <w:rsid w:val="00DA4BAC"/>
    <w:rsid w:val="00DC27B8"/>
    <w:rsid w:val="00DD21FF"/>
    <w:rsid w:val="00DE6D27"/>
    <w:rsid w:val="00DF217D"/>
    <w:rsid w:val="00DF24D3"/>
    <w:rsid w:val="00DF26A7"/>
    <w:rsid w:val="00DF4E18"/>
    <w:rsid w:val="00DF5C91"/>
    <w:rsid w:val="00E15627"/>
    <w:rsid w:val="00E15B0B"/>
    <w:rsid w:val="00E164B3"/>
    <w:rsid w:val="00E16910"/>
    <w:rsid w:val="00E35639"/>
    <w:rsid w:val="00E42214"/>
    <w:rsid w:val="00E56B8A"/>
    <w:rsid w:val="00E65E54"/>
    <w:rsid w:val="00E67DCC"/>
    <w:rsid w:val="00E80155"/>
    <w:rsid w:val="00E815BC"/>
    <w:rsid w:val="00E848C0"/>
    <w:rsid w:val="00E91B96"/>
    <w:rsid w:val="00E93542"/>
    <w:rsid w:val="00E94140"/>
    <w:rsid w:val="00E941A1"/>
    <w:rsid w:val="00E95CE3"/>
    <w:rsid w:val="00EA17D8"/>
    <w:rsid w:val="00EA2825"/>
    <w:rsid w:val="00EB5088"/>
    <w:rsid w:val="00EB58A0"/>
    <w:rsid w:val="00EC0B59"/>
    <w:rsid w:val="00ED1644"/>
    <w:rsid w:val="00ED2593"/>
    <w:rsid w:val="00EF44A0"/>
    <w:rsid w:val="00EF4FED"/>
    <w:rsid w:val="00F050BD"/>
    <w:rsid w:val="00F05657"/>
    <w:rsid w:val="00F25578"/>
    <w:rsid w:val="00F258E5"/>
    <w:rsid w:val="00F25BF7"/>
    <w:rsid w:val="00F300BC"/>
    <w:rsid w:val="00F3334E"/>
    <w:rsid w:val="00F50EC4"/>
    <w:rsid w:val="00F57A6D"/>
    <w:rsid w:val="00F60828"/>
    <w:rsid w:val="00F638CC"/>
    <w:rsid w:val="00F64CC1"/>
    <w:rsid w:val="00F8001D"/>
    <w:rsid w:val="00F8247A"/>
    <w:rsid w:val="00F90115"/>
    <w:rsid w:val="00F9629A"/>
    <w:rsid w:val="00FA5883"/>
    <w:rsid w:val="00FA6055"/>
    <w:rsid w:val="00FA6D96"/>
    <w:rsid w:val="00FB322F"/>
    <w:rsid w:val="00FB442F"/>
    <w:rsid w:val="00FC1929"/>
    <w:rsid w:val="00FC5B46"/>
    <w:rsid w:val="00FD07DA"/>
    <w:rsid w:val="00FD3DD3"/>
    <w:rsid w:val="00FE0E94"/>
    <w:rsid w:val="00FF00BD"/>
    <w:rsid w:val="00FF1ED4"/>
    <w:rsid w:val="00FF2801"/>
    <w:rsid w:val="00FF6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1D3EB1"/>
    <w:rPr>
      <w:sz w:val="24"/>
      <w:szCs w:val="24"/>
    </w:rPr>
  </w:style>
  <w:style w:type="paragraph" w:styleId="FootnoteText">
    <w:name w:val="footnote text"/>
    <w:basedOn w:val="Normal"/>
    <w:link w:val="FootnoteTextChar"/>
    <w:rsid w:val="001D3EB1"/>
    <w:rPr>
      <w:sz w:val="20"/>
      <w:szCs w:val="20"/>
    </w:rPr>
  </w:style>
  <w:style w:type="character" w:customStyle="1" w:styleId="FootnoteTextChar">
    <w:name w:val="Footnote Text Char"/>
    <w:basedOn w:val="DefaultParagraphFont"/>
    <w:link w:val="FootnoteText"/>
    <w:rsid w:val="001D3EB1"/>
  </w:style>
  <w:style w:type="character" w:styleId="FootnoteReference">
    <w:name w:val="footnote reference"/>
    <w:basedOn w:val="DefaultParagraphFont"/>
    <w:rsid w:val="001D3EB1"/>
    <w:rPr>
      <w:vertAlign w:val="superscript"/>
    </w:rPr>
  </w:style>
  <w:style w:type="paragraph" w:customStyle="1" w:styleId="Default">
    <w:name w:val="Default"/>
    <w:rsid w:val="001D3EB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616B86"/>
    <w:rPr>
      <w:rFonts w:ascii="Arial" w:hAnsi="Arial"/>
      <w:b/>
      <w:i/>
      <w:sz w:val="22"/>
      <w:szCs w:val="24"/>
    </w:rPr>
  </w:style>
  <w:style w:type="character" w:styleId="FollowedHyperlink">
    <w:name w:val="FollowedHyperlink"/>
    <w:basedOn w:val="DefaultParagraphFont"/>
    <w:semiHidden/>
    <w:unhideWhenUsed/>
    <w:rsid w:val="00280D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1D3EB1"/>
    <w:rPr>
      <w:sz w:val="24"/>
      <w:szCs w:val="24"/>
    </w:rPr>
  </w:style>
  <w:style w:type="paragraph" w:styleId="FootnoteText">
    <w:name w:val="footnote text"/>
    <w:basedOn w:val="Normal"/>
    <w:link w:val="FootnoteTextChar"/>
    <w:rsid w:val="001D3EB1"/>
    <w:rPr>
      <w:sz w:val="20"/>
      <w:szCs w:val="20"/>
    </w:rPr>
  </w:style>
  <w:style w:type="character" w:customStyle="1" w:styleId="FootnoteTextChar">
    <w:name w:val="Footnote Text Char"/>
    <w:basedOn w:val="DefaultParagraphFont"/>
    <w:link w:val="FootnoteText"/>
    <w:rsid w:val="001D3EB1"/>
  </w:style>
  <w:style w:type="character" w:styleId="FootnoteReference">
    <w:name w:val="footnote reference"/>
    <w:basedOn w:val="DefaultParagraphFont"/>
    <w:rsid w:val="001D3EB1"/>
    <w:rPr>
      <w:vertAlign w:val="superscript"/>
    </w:rPr>
  </w:style>
  <w:style w:type="paragraph" w:customStyle="1" w:styleId="Default">
    <w:name w:val="Default"/>
    <w:rsid w:val="001D3EB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616B86"/>
    <w:rPr>
      <w:rFonts w:ascii="Arial" w:hAnsi="Arial"/>
      <w:b/>
      <w:i/>
      <w:sz w:val="22"/>
      <w:szCs w:val="24"/>
    </w:rPr>
  </w:style>
  <w:style w:type="character" w:styleId="FollowedHyperlink">
    <w:name w:val="FollowedHyperlink"/>
    <w:basedOn w:val="DefaultParagraphFont"/>
    <w:semiHidden/>
    <w:unhideWhenUsed/>
    <w:rsid w:val="00280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anceraustralia.gov.au/affected-cancer/cancer-types/breast-cancer/breast-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FA88-73F6-43B5-B9C9-D3B03B79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2017-06-19T06:36:00Z</dcterms:created>
  <dcterms:modified xsi:type="dcterms:W3CDTF">2017-06-19T06:37:00Z</dcterms:modified>
</cp:coreProperties>
</file>