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701A" w14:textId="667864F5" w:rsidR="00B60939" w:rsidRPr="002A30B3" w:rsidRDefault="000A6686" w:rsidP="00207D00">
      <w:pPr>
        <w:pStyle w:val="Heading1"/>
        <w:rPr>
          <w:sz w:val="28"/>
        </w:rPr>
      </w:pPr>
      <w:bookmarkStart w:id="0" w:name="_Toc470161806"/>
      <w:r w:rsidRPr="002A30B3">
        <w:rPr>
          <w:sz w:val="28"/>
        </w:rPr>
        <w:t>5</w:t>
      </w:r>
      <w:r w:rsidR="00433044" w:rsidRPr="002A30B3">
        <w:rPr>
          <w:sz w:val="28"/>
        </w:rPr>
        <w:t>.</w:t>
      </w:r>
      <w:r w:rsidRPr="002A30B3">
        <w:rPr>
          <w:sz w:val="28"/>
        </w:rPr>
        <w:t>03</w:t>
      </w:r>
      <w:r w:rsidR="002B406B" w:rsidRPr="002A30B3">
        <w:rPr>
          <w:sz w:val="28"/>
        </w:rPr>
        <w:tab/>
        <w:t>MESALAZINE</w:t>
      </w:r>
      <w:r w:rsidR="00B60939" w:rsidRPr="002A30B3">
        <w:rPr>
          <w:sz w:val="28"/>
        </w:rPr>
        <w:t xml:space="preserve">, </w:t>
      </w:r>
      <w:r w:rsidRPr="002A30B3">
        <w:rPr>
          <w:caps w:val="0"/>
          <w:sz w:val="28"/>
        </w:rPr>
        <w:t>Tablet</w:t>
      </w:r>
      <w:r w:rsidR="002B406B" w:rsidRPr="002A30B3">
        <w:rPr>
          <w:caps w:val="0"/>
          <w:sz w:val="28"/>
        </w:rPr>
        <w:t xml:space="preserve"> </w:t>
      </w:r>
      <w:r w:rsidRPr="002A30B3">
        <w:rPr>
          <w:caps w:val="0"/>
          <w:sz w:val="28"/>
        </w:rPr>
        <w:t>(</w:t>
      </w:r>
      <w:r w:rsidR="002B406B" w:rsidRPr="002A30B3">
        <w:rPr>
          <w:caps w:val="0"/>
          <w:sz w:val="28"/>
        </w:rPr>
        <w:t>enteric coated</w:t>
      </w:r>
      <w:r w:rsidRPr="002A30B3">
        <w:rPr>
          <w:caps w:val="0"/>
          <w:sz w:val="28"/>
        </w:rPr>
        <w:t>) 800 mg</w:t>
      </w:r>
      <w:r w:rsidR="00B60939" w:rsidRPr="002A30B3">
        <w:rPr>
          <w:sz w:val="28"/>
        </w:rPr>
        <w:t xml:space="preserve">, </w:t>
      </w:r>
      <w:r w:rsidR="002B406B" w:rsidRPr="002A30B3">
        <w:rPr>
          <w:caps w:val="0"/>
          <w:sz w:val="28"/>
        </w:rPr>
        <w:t>Asacol</w:t>
      </w:r>
      <w:r w:rsidR="00B60939" w:rsidRPr="002A30B3">
        <w:rPr>
          <w:sz w:val="28"/>
          <w:vertAlign w:val="superscript"/>
        </w:rPr>
        <w:t>®</w:t>
      </w:r>
      <w:r w:rsidR="00B60939" w:rsidRPr="002A30B3">
        <w:rPr>
          <w:sz w:val="28"/>
        </w:rPr>
        <w:t xml:space="preserve">, </w:t>
      </w:r>
      <w:r w:rsidR="002B406B" w:rsidRPr="002A30B3">
        <w:rPr>
          <w:caps w:val="0"/>
          <w:sz w:val="28"/>
        </w:rPr>
        <w:t>Baxter Australia Pty Ltd</w:t>
      </w:r>
      <w:r w:rsidR="00B60939" w:rsidRPr="002A30B3">
        <w:rPr>
          <w:sz w:val="28"/>
        </w:rPr>
        <w:t>.</w:t>
      </w:r>
      <w:bookmarkEnd w:id="0"/>
    </w:p>
    <w:p w14:paraId="530E6CC5" w14:textId="77777777" w:rsidR="00F004CA" w:rsidRPr="002A30B3" w:rsidRDefault="00F004CA" w:rsidP="00DE4CCD">
      <w:pPr>
        <w:ind w:firstLine="720"/>
        <w:jc w:val="left"/>
        <w:rPr>
          <w:b/>
          <w:sz w:val="24"/>
          <w:szCs w:val="22"/>
        </w:rPr>
      </w:pPr>
    </w:p>
    <w:p w14:paraId="30DFE262" w14:textId="77777777" w:rsidR="00B60939" w:rsidRPr="002A30B3" w:rsidRDefault="00B60939" w:rsidP="00207D00"/>
    <w:p w14:paraId="11C00795" w14:textId="77777777" w:rsidR="00B50DB8" w:rsidRPr="002A30B3" w:rsidRDefault="00B50DB8" w:rsidP="00433246">
      <w:pPr>
        <w:pStyle w:val="Heading2"/>
        <w:widowControl/>
        <w:numPr>
          <w:ilvl w:val="0"/>
          <w:numId w:val="5"/>
        </w:numPr>
        <w:snapToGrid w:val="0"/>
        <w:jc w:val="left"/>
        <w:rPr>
          <w:snapToGrid/>
          <w:szCs w:val="22"/>
        </w:rPr>
      </w:pPr>
      <w:bookmarkStart w:id="1" w:name="_Toc470161808"/>
      <w:r w:rsidRPr="002A30B3">
        <w:rPr>
          <w:snapToGrid/>
          <w:szCs w:val="22"/>
        </w:rPr>
        <w:t>Purpose of Application</w:t>
      </w:r>
      <w:bookmarkEnd w:id="1"/>
    </w:p>
    <w:p w14:paraId="51C67B58" w14:textId="77777777" w:rsidR="00B60939" w:rsidRPr="002A30B3" w:rsidRDefault="00B60939" w:rsidP="00B60939">
      <w:pPr>
        <w:rPr>
          <w:szCs w:val="22"/>
        </w:rPr>
      </w:pPr>
    </w:p>
    <w:p w14:paraId="19414AA1" w14:textId="37726CC2" w:rsidR="002C2775" w:rsidRPr="002A30B3" w:rsidRDefault="00A714E3" w:rsidP="003F73CE">
      <w:pPr>
        <w:pStyle w:val="ListParagraph"/>
        <w:widowControl/>
        <w:numPr>
          <w:ilvl w:val="1"/>
          <w:numId w:val="5"/>
        </w:numPr>
        <w:rPr>
          <w:szCs w:val="22"/>
        </w:rPr>
      </w:pPr>
      <w:r w:rsidRPr="002A30B3">
        <w:t>The submission requested a</w:t>
      </w:r>
      <w:r w:rsidR="00D97EA1" w:rsidRPr="002A30B3">
        <w:t xml:space="preserve"> General Schedule</w:t>
      </w:r>
      <w:r w:rsidRPr="002A30B3">
        <w:t xml:space="preserve"> Authority Required (Streamlined) listing for </w:t>
      </w:r>
      <w:r w:rsidR="008D1390" w:rsidRPr="002A30B3">
        <w:t>Asacol</w:t>
      </w:r>
      <w:r w:rsidR="007451D5" w:rsidRPr="002A30B3">
        <w:t xml:space="preserve"> (</w:t>
      </w:r>
      <w:r w:rsidR="00F66817" w:rsidRPr="002A30B3">
        <w:t>800 mg</w:t>
      </w:r>
      <w:r w:rsidR="007451D5" w:rsidRPr="002A30B3">
        <w:t xml:space="preserve"> mesalazine enteric coated tablet)</w:t>
      </w:r>
      <w:r w:rsidR="008D1390" w:rsidRPr="002A30B3">
        <w:t xml:space="preserve"> for the treatment of ulcerative colitis.</w:t>
      </w:r>
    </w:p>
    <w:p w14:paraId="5396EF21" w14:textId="77777777" w:rsidR="00B60939" w:rsidRPr="002A30B3" w:rsidRDefault="00B60939" w:rsidP="004B1CB4"/>
    <w:p w14:paraId="736AE957" w14:textId="77777777" w:rsidR="00E70904" w:rsidRPr="002A30B3" w:rsidRDefault="00E70904" w:rsidP="004B1CB4"/>
    <w:p w14:paraId="00E4415F" w14:textId="52005FE0" w:rsidR="00E70904" w:rsidRPr="002A30B3" w:rsidRDefault="00E70904" w:rsidP="00433246">
      <w:pPr>
        <w:pStyle w:val="Heading2"/>
        <w:widowControl/>
        <w:numPr>
          <w:ilvl w:val="0"/>
          <w:numId w:val="5"/>
        </w:numPr>
        <w:snapToGrid w:val="0"/>
        <w:jc w:val="left"/>
        <w:rPr>
          <w:snapToGrid/>
          <w:szCs w:val="22"/>
        </w:rPr>
      </w:pPr>
      <w:r w:rsidRPr="002A30B3">
        <w:rPr>
          <w:snapToGrid/>
          <w:szCs w:val="22"/>
        </w:rPr>
        <w:t>Requested listing</w:t>
      </w:r>
    </w:p>
    <w:p w14:paraId="17859639" w14:textId="77777777" w:rsidR="00E70904" w:rsidRPr="002A30B3" w:rsidRDefault="00E70904" w:rsidP="00E70904">
      <w:pPr>
        <w:pStyle w:val="PBACHeading1"/>
        <w:numPr>
          <w:ilvl w:val="0"/>
          <w:numId w:val="0"/>
        </w:numPr>
        <w:ind w:left="720"/>
      </w:pPr>
    </w:p>
    <w:p w14:paraId="3174581E" w14:textId="686D508F" w:rsidR="00E70904" w:rsidRPr="002A30B3" w:rsidRDefault="00E70904" w:rsidP="00E70904">
      <w:pPr>
        <w:pStyle w:val="ListParagraph"/>
        <w:widowControl/>
        <w:numPr>
          <w:ilvl w:val="1"/>
          <w:numId w:val="5"/>
        </w:numPr>
      </w:pPr>
      <w:r w:rsidRPr="002A30B3">
        <w:t>Suggestions and additions proposed by the Secretariat to the requested listing are added in italics and suggested deletions are crossed out with strikethrough.</w:t>
      </w:r>
    </w:p>
    <w:p w14:paraId="6A9B4239" w14:textId="77777777" w:rsidR="00296091" w:rsidRPr="002A30B3" w:rsidRDefault="00296091" w:rsidP="004B1CB4"/>
    <w:tbl>
      <w:tblPr>
        <w:tblW w:w="0" w:type="auto"/>
        <w:tblInd w:w="817" w:type="dxa"/>
        <w:tblLayout w:type="fixed"/>
        <w:tblLook w:val="0000" w:firstRow="0" w:lastRow="0" w:firstColumn="0" w:lastColumn="0" w:noHBand="0" w:noVBand="0"/>
      </w:tblPr>
      <w:tblGrid>
        <w:gridCol w:w="2126"/>
        <w:gridCol w:w="780"/>
        <w:gridCol w:w="709"/>
        <w:gridCol w:w="850"/>
        <w:gridCol w:w="1420"/>
        <w:gridCol w:w="830"/>
        <w:gridCol w:w="1639"/>
      </w:tblGrid>
      <w:tr w:rsidR="00E70904" w:rsidRPr="002A30B3" w14:paraId="1DED2288" w14:textId="77777777" w:rsidTr="00E70904">
        <w:trPr>
          <w:cantSplit/>
          <w:trHeight w:val="471"/>
        </w:trPr>
        <w:tc>
          <w:tcPr>
            <w:tcW w:w="2906" w:type="dxa"/>
            <w:gridSpan w:val="2"/>
            <w:tcBorders>
              <w:bottom w:val="single" w:sz="4" w:space="0" w:color="auto"/>
            </w:tcBorders>
          </w:tcPr>
          <w:p w14:paraId="007C05EC" w14:textId="77777777" w:rsidR="00296091" w:rsidRPr="002A30B3" w:rsidRDefault="00296091" w:rsidP="00E70904">
            <w:pPr>
              <w:keepNext/>
              <w:ind w:left="-108"/>
              <w:jc w:val="left"/>
              <w:rPr>
                <w:rFonts w:ascii="Arial Narrow" w:hAnsi="Arial Narrow"/>
                <w:b/>
                <w:sz w:val="20"/>
              </w:rPr>
            </w:pPr>
            <w:r w:rsidRPr="002A30B3">
              <w:rPr>
                <w:rFonts w:ascii="Arial Narrow" w:hAnsi="Arial Narrow"/>
                <w:b/>
                <w:sz w:val="20"/>
              </w:rPr>
              <w:t>Name, Restriction,</w:t>
            </w:r>
          </w:p>
          <w:p w14:paraId="30FBEA74" w14:textId="77777777" w:rsidR="00296091" w:rsidRPr="002A30B3" w:rsidRDefault="00296091" w:rsidP="00E70904">
            <w:pPr>
              <w:keepNext/>
              <w:ind w:left="-108"/>
              <w:jc w:val="left"/>
              <w:rPr>
                <w:rFonts w:ascii="Arial Narrow" w:hAnsi="Arial Narrow"/>
                <w:b/>
                <w:sz w:val="20"/>
              </w:rPr>
            </w:pPr>
            <w:r w:rsidRPr="002A30B3">
              <w:rPr>
                <w:rFonts w:ascii="Arial Narrow" w:hAnsi="Arial Narrow"/>
                <w:b/>
                <w:sz w:val="20"/>
              </w:rPr>
              <w:t>Manner of administration and form</w:t>
            </w:r>
          </w:p>
        </w:tc>
        <w:tc>
          <w:tcPr>
            <w:tcW w:w="709" w:type="dxa"/>
            <w:tcBorders>
              <w:bottom w:val="single" w:sz="4" w:space="0" w:color="auto"/>
            </w:tcBorders>
          </w:tcPr>
          <w:p w14:paraId="4B5E3510" w14:textId="77777777" w:rsidR="00296091" w:rsidRPr="002A30B3" w:rsidRDefault="00296091" w:rsidP="00E70904">
            <w:pPr>
              <w:keepNext/>
              <w:ind w:left="-108"/>
              <w:jc w:val="center"/>
              <w:rPr>
                <w:rFonts w:ascii="Arial Narrow" w:hAnsi="Arial Narrow"/>
                <w:b/>
                <w:sz w:val="20"/>
              </w:rPr>
            </w:pPr>
            <w:r w:rsidRPr="002A30B3">
              <w:rPr>
                <w:rFonts w:ascii="Arial Narrow" w:hAnsi="Arial Narrow"/>
                <w:b/>
                <w:sz w:val="20"/>
              </w:rPr>
              <w:t>Max.</w:t>
            </w:r>
          </w:p>
          <w:p w14:paraId="782692BE" w14:textId="77777777" w:rsidR="00296091" w:rsidRPr="002A30B3" w:rsidRDefault="00296091" w:rsidP="00E70904">
            <w:pPr>
              <w:keepNext/>
              <w:ind w:left="-108"/>
              <w:jc w:val="center"/>
              <w:rPr>
                <w:rFonts w:ascii="Arial Narrow" w:hAnsi="Arial Narrow"/>
                <w:b/>
                <w:sz w:val="20"/>
              </w:rPr>
            </w:pPr>
            <w:r w:rsidRPr="002A30B3">
              <w:rPr>
                <w:rFonts w:ascii="Arial Narrow" w:hAnsi="Arial Narrow"/>
                <w:b/>
                <w:sz w:val="20"/>
              </w:rPr>
              <w:t>Qty</w:t>
            </w:r>
          </w:p>
        </w:tc>
        <w:tc>
          <w:tcPr>
            <w:tcW w:w="850" w:type="dxa"/>
            <w:tcBorders>
              <w:bottom w:val="single" w:sz="4" w:space="0" w:color="auto"/>
            </w:tcBorders>
          </w:tcPr>
          <w:p w14:paraId="7AD88924" w14:textId="77777777" w:rsidR="00296091" w:rsidRPr="002A30B3" w:rsidRDefault="00296091" w:rsidP="00E70904">
            <w:pPr>
              <w:keepNext/>
              <w:ind w:left="-108"/>
              <w:jc w:val="center"/>
              <w:rPr>
                <w:rFonts w:ascii="Arial Narrow" w:hAnsi="Arial Narrow"/>
                <w:b/>
                <w:sz w:val="20"/>
              </w:rPr>
            </w:pPr>
            <w:r w:rsidRPr="002A30B3">
              <w:rPr>
                <w:rFonts w:ascii="Arial Narrow" w:hAnsi="Arial Narrow"/>
                <w:b/>
                <w:sz w:val="20"/>
              </w:rPr>
              <w:t>№.of</w:t>
            </w:r>
          </w:p>
          <w:p w14:paraId="60122F86" w14:textId="77777777" w:rsidR="00296091" w:rsidRPr="002A30B3" w:rsidRDefault="00296091" w:rsidP="00E70904">
            <w:pPr>
              <w:keepNext/>
              <w:ind w:left="-108"/>
              <w:jc w:val="center"/>
              <w:rPr>
                <w:rFonts w:ascii="Arial Narrow" w:hAnsi="Arial Narrow"/>
                <w:b/>
                <w:sz w:val="20"/>
              </w:rPr>
            </w:pPr>
            <w:r w:rsidRPr="002A30B3">
              <w:rPr>
                <w:rFonts w:ascii="Arial Narrow" w:hAnsi="Arial Narrow"/>
                <w:b/>
                <w:sz w:val="20"/>
              </w:rPr>
              <w:t>Rpts</w:t>
            </w:r>
          </w:p>
        </w:tc>
        <w:tc>
          <w:tcPr>
            <w:tcW w:w="1420" w:type="dxa"/>
            <w:tcBorders>
              <w:bottom w:val="single" w:sz="4" w:space="0" w:color="auto"/>
            </w:tcBorders>
          </w:tcPr>
          <w:p w14:paraId="34B614DA" w14:textId="77777777" w:rsidR="00296091" w:rsidRPr="002A30B3" w:rsidRDefault="00296091" w:rsidP="00E70904">
            <w:pPr>
              <w:keepNext/>
              <w:ind w:left="-108"/>
              <w:jc w:val="center"/>
              <w:rPr>
                <w:rFonts w:ascii="Arial Narrow" w:hAnsi="Arial Narrow"/>
                <w:b/>
                <w:sz w:val="20"/>
              </w:rPr>
            </w:pPr>
            <w:r w:rsidRPr="002A30B3">
              <w:rPr>
                <w:rFonts w:ascii="Arial Narrow" w:hAnsi="Arial Narrow"/>
                <w:b/>
                <w:sz w:val="20"/>
              </w:rPr>
              <w:t>Dispensed Price for Max. Qty</w:t>
            </w:r>
          </w:p>
        </w:tc>
        <w:tc>
          <w:tcPr>
            <w:tcW w:w="2469" w:type="dxa"/>
            <w:gridSpan w:val="2"/>
            <w:tcBorders>
              <w:bottom w:val="single" w:sz="4" w:space="0" w:color="auto"/>
            </w:tcBorders>
          </w:tcPr>
          <w:p w14:paraId="484ABB9F" w14:textId="77777777" w:rsidR="00296091" w:rsidRPr="002A30B3" w:rsidRDefault="00296091" w:rsidP="00E70904">
            <w:pPr>
              <w:keepNext/>
              <w:jc w:val="center"/>
              <w:rPr>
                <w:rFonts w:ascii="Arial Narrow" w:hAnsi="Arial Narrow"/>
                <w:b/>
                <w:sz w:val="20"/>
              </w:rPr>
            </w:pPr>
            <w:r w:rsidRPr="002A30B3">
              <w:rPr>
                <w:rFonts w:ascii="Arial Narrow" w:hAnsi="Arial Narrow"/>
                <w:b/>
                <w:sz w:val="20"/>
              </w:rPr>
              <w:t>Proprietary Name and Manufacturer</w:t>
            </w:r>
          </w:p>
        </w:tc>
      </w:tr>
      <w:tr w:rsidR="00E70904" w:rsidRPr="002A30B3" w14:paraId="30F93C47" w14:textId="77777777" w:rsidTr="00E70904">
        <w:trPr>
          <w:cantSplit/>
          <w:trHeight w:val="577"/>
        </w:trPr>
        <w:tc>
          <w:tcPr>
            <w:tcW w:w="2906" w:type="dxa"/>
            <w:gridSpan w:val="2"/>
          </w:tcPr>
          <w:p w14:paraId="5E72FF83" w14:textId="77777777" w:rsidR="00296091" w:rsidRPr="002A30B3" w:rsidRDefault="00296091" w:rsidP="00CD34CF">
            <w:pPr>
              <w:keepNext/>
              <w:spacing w:line="276" w:lineRule="auto"/>
              <w:ind w:left="-108"/>
              <w:rPr>
                <w:rFonts w:ascii="Arial Narrow" w:hAnsi="Arial Narrow"/>
                <w:smallCaps/>
                <w:sz w:val="20"/>
              </w:rPr>
            </w:pPr>
            <w:r w:rsidRPr="002A30B3">
              <w:rPr>
                <w:rFonts w:ascii="Arial Narrow" w:hAnsi="Arial Narrow"/>
                <w:smallCaps/>
                <w:sz w:val="20"/>
              </w:rPr>
              <w:t>MESALAZINE</w:t>
            </w:r>
          </w:p>
          <w:p w14:paraId="176E7700" w14:textId="2052918B" w:rsidR="00296091" w:rsidRPr="002A30B3" w:rsidRDefault="00296091" w:rsidP="00CD34CF">
            <w:pPr>
              <w:keepNext/>
              <w:spacing w:line="276" w:lineRule="auto"/>
              <w:ind w:left="-108"/>
              <w:rPr>
                <w:rFonts w:ascii="Arial Narrow" w:hAnsi="Arial Narrow" w:cs="Calibri"/>
                <w:sz w:val="20"/>
              </w:rPr>
            </w:pPr>
            <w:r w:rsidRPr="002A30B3">
              <w:rPr>
                <w:rFonts w:ascii="Arial Narrow" w:hAnsi="Arial Narrow" w:cs="Calibri"/>
                <w:sz w:val="20"/>
              </w:rPr>
              <w:t>mesalazine 800 mg enteric tablet, 90</w:t>
            </w:r>
          </w:p>
        </w:tc>
        <w:tc>
          <w:tcPr>
            <w:tcW w:w="709" w:type="dxa"/>
          </w:tcPr>
          <w:p w14:paraId="0CA29E7B" w14:textId="77777777" w:rsidR="00296091" w:rsidRPr="002A30B3" w:rsidRDefault="00296091" w:rsidP="00CD34CF">
            <w:pPr>
              <w:keepNext/>
              <w:spacing w:line="276" w:lineRule="auto"/>
              <w:ind w:left="-108"/>
              <w:jc w:val="center"/>
              <w:rPr>
                <w:rFonts w:ascii="Arial Narrow" w:hAnsi="Arial Narrow"/>
                <w:sz w:val="20"/>
              </w:rPr>
            </w:pPr>
            <w:r w:rsidRPr="002A30B3">
              <w:rPr>
                <w:rFonts w:ascii="Arial Narrow" w:hAnsi="Arial Narrow"/>
                <w:sz w:val="20"/>
              </w:rPr>
              <w:t>2</w:t>
            </w:r>
          </w:p>
        </w:tc>
        <w:tc>
          <w:tcPr>
            <w:tcW w:w="850" w:type="dxa"/>
          </w:tcPr>
          <w:p w14:paraId="70DF1D45" w14:textId="77777777" w:rsidR="00296091" w:rsidRPr="002A30B3" w:rsidRDefault="00296091" w:rsidP="00CD34CF">
            <w:pPr>
              <w:keepNext/>
              <w:spacing w:line="276" w:lineRule="auto"/>
              <w:ind w:left="-108"/>
              <w:jc w:val="center"/>
              <w:rPr>
                <w:rFonts w:ascii="Arial Narrow" w:hAnsi="Arial Narrow"/>
                <w:sz w:val="20"/>
              </w:rPr>
            </w:pPr>
            <w:r w:rsidRPr="002A30B3">
              <w:rPr>
                <w:rFonts w:ascii="Arial Narrow" w:hAnsi="Arial Narrow"/>
                <w:sz w:val="20"/>
              </w:rPr>
              <w:t>5</w:t>
            </w:r>
          </w:p>
        </w:tc>
        <w:tc>
          <w:tcPr>
            <w:tcW w:w="1420" w:type="dxa"/>
          </w:tcPr>
          <w:p w14:paraId="63940E80" w14:textId="77777777" w:rsidR="00296091" w:rsidRPr="002A30B3" w:rsidRDefault="00296091" w:rsidP="00CD34CF">
            <w:pPr>
              <w:keepNext/>
              <w:spacing w:line="276" w:lineRule="auto"/>
              <w:ind w:left="-108"/>
              <w:jc w:val="center"/>
              <w:rPr>
                <w:rFonts w:ascii="Arial Narrow" w:hAnsi="Arial Narrow"/>
                <w:sz w:val="20"/>
              </w:rPr>
            </w:pPr>
            <w:r w:rsidRPr="002A30B3">
              <w:rPr>
                <w:rFonts w:ascii="Arial Narrow" w:hAnsi="Arial Narrow"/>
                <w:sz w:val="20"/>
              </w:rPr>
              <w:t>$390.81</w:t>
            </w:r>
          </w:p>
        </w:tc>
        <w:tc>
          <w:tcPr>
            <w:tcW w:w="830" w:type="dxa"/>
          </w:tcPr>
          <w:p w14:paraId="41FD40BB" w14:textId="7A772BE7" w:rsidR="00296091" w:rsidRPr="002A30B3" w:rsidRDefault="00296091" w:rsidP="00CD34CF">
            <w:pPr>
              <w:keepNext/>
              <w:spacing w:line="276" w:lineRule="auto"/>
              <w:jc w:val="center"/>
              <w:rPr>
                <w:rFonts w:ascii="Arial Narrow" w:hAnsi="Arial Narrow"/>
                <w:sz w:val="20"/>
              </w:rPr>
            </w:pPr>
            <w:r w:rsidRPr="002A30B3">
              <w:rPr>
                <w:rFonts w:ascii="Arial Narrow" w:hAnsi="Arial Narrow"/>
                <w:sz w:val="20"/>
              </w:rPr>
              <w:t>Asacol</w:t>
            </w:r>
            <w:r w:rsidR="00E70904" w:rsidRPr="002A30B3">
              <w:rPr>
                <w:rFonts w:ascii="Arial Narrow" w:hAnsi="Arial Narrow"/>
                <w:sz w:val="20"/>
              </w:rPr>
              <w:t>®</w:t>
            </w:r>
          </w:p>
        </w:tc>
        <w:tc>
          <w:tcPr>
            <w:tcW w:w="1639" w:type="dxa"/>
          </w:tcPr>
          <w:p w14:paraId="2BA925EB" w14:textId="77777777" w:rsidR="00296091" w:rsidRPr="002A30B3" w:rsidRDefault="00296091" w:rsidP="00CD34CF">
            <w:pPr>
              <w:keepNext/>
              <w:spacing w:line="276" w:lineRule="auto"/>
              <w:jc w:val="center"/>
              <w:rPr>
                <w:rFonts w:ascii="Arial Narrow" w:hAnsi="Arial Narrow"/>
                <w:sz w:val="20"/>
              </w:rPr>
            </w:pPr>
            <w:r w:rsidRPr="002A30B3">
              <w:rPr>
                <w:rFonts w:ascii="Arial Narrow" w:hAnsi="Arial Narrow"/>
                <w:sz w:val="20"/>
              </w:rPr>
              <w:t>Baxter Australia</w:t>
            </w:r>
          </w:p>
        </w:tc>
      </w:tr>
      <w:tr w:rsidR="00E10EBF" w:rsidRPr="002A30B3" w14:paraId="727A4036" w14:textId="77777777" w:rsidTr="00E10EBF">
        <w:trPr>
          <w:cantSplit/>
          <w:trHeight w:val="299"/>
        </w:trPr>
        <w:tc>
          <w:tcPr>
            <w:tcW w:w="2906" w:type="dxa"/>
            <w:gridSpan w:val="2"/>
          </w:tcPr>
          <w:p w14:paraId="7CE0478E" w14:textId="77777777" w:rsidR="00E10EBF" w:rsidRPr="002A30B3" w:rsidRDefault="00E10EBF" w:rsidP="0095723B">
            <w:pPr>
              <w:keepNext/>
              <w:ind w:left="-108"/>
              <w:rPr>
                <w:rFonts w:ascii="Arial Narrow" w:hAnsi="Arial Narrow"/>
                <w:smallCaps/>
                <w:sz w:val="20"/>
              </w:rPr>
            </w:pPr>
          </w:p>
        </w:tc>
        <w:tc>
          <w:tcPr>
            <w:tcW w:w="709" w:type="dxa"/>
          </w:tcPr>
          <w:p w14:paraId="43261BA1" w14:textId="77777777" w:rsidR="00E10EBF" w:rsidRPr="002A30B3" w:rsidRDefault="00E10EBF" w:rsidP="00E70904">
            <w:pPr>
              <w:keepNext/>
              <w:ind w:left="-108"/>
              <w:jc w:val="center"/>
              <w:rPr>
                <w:rFonts w:ascii="Arial Narrow" w:hAnsi="Arial Narrow"/>
                <w:sz w:val="20"/>
              </w:rPr>
            </w:pPr>
          </w:p>
        </w:tc>
        <w:tc>
          <w:tcPr>
            <w:tcW w:w="850" w:type="dxa"/>
          </w:tcPr>
          <w:p w14:paraId="27FED1DF" w14:textId="77777777" w:rsidR="00E10EBF" w:rsidRPr="002A30B3" w:rsidRDefault="00E10EBF" w:rsidP="00E70904">
            <w:pPr>
              <w:keepNext/>
              <w:ind w:left="-108"/>
              <w:jc w:val="center"/>
              <w:rPr>
                <w:rFonts w:ascii="Arial Narrow" w:hAnsi="Arial Narrow"/>
                <w:sz w:val="20"/>
              </w:rPr>
            </w:pPr>
          </w:p>
        </w:tc>
        <w:tc>
          <w:tcPr>
            <w:tcW w:w="1420" w:type="dxa"/>
          </w:tcPr>
          <w:p w14:paraId="75C61E71" w14:textId="77777777" w:rsidR="00E10EBF" w:rsidRPr="002A30B3" w:rsidRDefault="00E10EBF" w:rsidP="00E70904">
            <w:pPr>
              <w:keepNext/>
              <w:ind w:left="-108"/>
              <w:jc w:val="center"/>
              <w:rPr>
                <w:rFonts w:ascii="Arial Narrow" w:hAnsi="Arial Narrow"/>
                <w:sz w:val="20"/>
              </w:rPr>
            </w:pPr>
          </w:p>
        </w:tc>
        <w:tc>
          <w:tcPr>
            <w:tcW w:w="830" w:type="dxa"/>
          </w:tcPr>
          <w:p w14:paraId="4C8ACB5D" w14:textId="77777777" w:rsidR="00E10EBF" w:rsidRPr="002A30B3" w:rsidRDefault="00E10EBF" w:rsidP="00E70904">
            <w:pPr>
              <w:keepNext/>
              <w:jc w:val="center"/>
              <w:rPr>
                <w:rFonts w:ascii="Arial Narrow" w:hAnsi="Arial Narrow"/>
                <w:sz w:val="20"/>
              </w:rPr>
            </w:pPr>
          </w:p>
        </w:tc>
        <w:tc>
          <w:tcPr>
            <w:tcW w:w="1639" w:type="dxa"/>
          </w:tcPr>
          <w:p w14:paraId="03A8816F" w14:textId="77777777" w:rsidR="00E10EBF" w:rsidRPr="002A30B3" w:rsidRDefault="00E10EBF" w:rsidP="00E70904">
            <w:pPr>
              <w:keepNext/>
              <w:jc w:val="center"/>
              <w:rPr>
                <w:rFonts w:ascii="Arial Narrow" w:hAnsi="Arial Narrow"/>
                <w:sz w:val="20"/>
              </w:rPr>
            </w:pPr>
          </w:p>
        </w:tc>
      </w:tr>
      <w:tr w:rsidR="00296091" w:rsidRPr="002A30B3" w14:paraId="69CE6B5E"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0B9935A4" w14:textId="2E55D773" w:rsidR="00296091" w:rsidRPr="002A30B3" w:rsidRDefault="00296091" w:rsidP="00E70904">
            <w:pPr>
              <w:jc w:val="left"/>
              <w:rPr>
                <w:rFonts w:ascii="Arial Narrow" w:hAnsi="Arial Narrow"/>
                <w:b/>
                <w:sz w:val="20"/>
              </w:rPr>
            </w:pPr>
            <w:r w:rsidRPr="002A30B3">
              <w:rPr>
                <w:rFonts w:ascii="Arial Narrow" w:hAnsi="Arial Narrow"/>
                <w:b/>
                <w:sz w:val="20"/>
              </w:rPr>
              <w:t xml:space="preserve">Category / </w:t>
            </w:r>
            <w:r w:rsidR="00E70904" w:rsidRPr="002A30B3">
              <w:rPr>
                <w:rFonts w:ascii="Arial Narrow" w:hAnsi="Arial Narrow"/>
                <w:b/>
                <w:sz w:val="20"/>
              </w:rPr>
              <w:t xml:space="preserve"> </w:t>
            </w:r>
            <w:r w:rsidRPr="002A30B3">
              <w:rPr>
                <w:rFonts w:ascii="Arial Narrow" w:hAnsi="Arial Narrow"/>
                <w:b/>
                <w:sz w:val="20"/>
              </w:rPr>
              <w:t>Program</w:t>
            </w:r>
          </w:p>
        </w:tc>
        <w:tc>
          <w:tcPr>
            <w:tcW w:w="6228" w:type="dxa"/>
            <w:gridSpan w:val="6"/>
            <w:tcBorders>
              <w:top w:val="single" w:sz="4" w:space="0" w:color="auto"/>
              <w:left w:val="single" w:sz="4" w:space="0" w:color="auto"/>
              <w:bottom w:val="single" w:sz="4" w:space="0" w:color="auto"/>
              <w:right w:val="single" w:sz="4" w:space="0" w:color="auto"/>
            </w:tcBorders>
          </w:tcPr>
          <w:p w14:paraId="0FAB8F40" w14:textId="77777777" w:rsidR="00296091" w:rsidRPr="002A30B3" w:rsidRDefault="00296091" w:rsidP="0095723B">
            <w:pPr>
              <w:rPr>
                <w:rFonts w:ascii="Arial Narrow" w:hAnsi="Arial Narrow"/>
                <w:sz w:val="20"/>
              </w:rPr>
            </w:pPr>
            <w:r w:rsidRPr="002A30B3">
              <w:rPr>
                <w:rFonts w:ascii="Arial Narrow" w:hAnsi="Arial Narrow"/>
                <w:sz w:val="20"/>
              </w:rPr>
              <w:t>GENERAL – General Schedule (Code GE)</w:t>
            </w:r>
          </w:p>
          <w:p w14:paraId="43A34658" w14:textId="77777777" w:rsidR="00296091" w:rsidRPr="002A30B3" w:rsidRDefault="00296091" w:rsidP="0095723B">
            <w:pPr>
              <w:rPr>
                <w:rFonts w:ascii="Arial Narrow" w:hAnsi="Arial Narrow"/>
                <w:sz w:val="20"/>
              </w:rPr>
            </w:pPr>
          </w:p>
        </w:tc>
      </w:tr>
      <w:tr w:rsidR="00296091" w:rsidRPr="002A30B3" w14:paraId="112CC072"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2EF9E757" w14:textId="77777777" w:rsidR="00296091" w:rsidRPr="002A30B3" w:rsidRDefault="00296091" w:rsidP="0095723B">
            <w:pPr>
              <w:rPr>
                <w:rFonts w:ascii="Arial Narrow" w:hAnsi="Arial Narrow"/>
                <w:b/>
                <w:sz w:val="20"/>
              </w:rPr>
            </w:pPr>
            <w:r w:rsidRPr="002A30B3">
              <w:rPr>
                <w:rFonts w:ascii="Arial Narrow" w:hAnsi="Arial Narrow"/>
                <w:b/>
                <w:sz w:val="20"/>
              </w:rPr>
              <w:t>Prescriber type:</w:t>
            </w:r>
          </w:p>
        </w:tc>
        <w:tc>
          <w:tcPr>
            <w:tcW w:w="6228" w:type="dxa"/>
            <w:gridSpan w:val="6"/>
            <w:tcBorders>
              <w:top w:val="single" w:sz="4" w:space="0" w:color="auto"/>
              <w:left w:val="single" w:sz="4" w:space="0" w:color="auto"/>
              <w:bottom w:val="single" w:sz="4" w:space="0" w:color="auto"/>
              <w:right w:val="single" w:sz="4" w:space="0" w:color="auto"/>
            </w:tcBorders>
          </w:tcPr>
          <w:p w14:paraId="442CC78D" w14:textId="77777777" w:rsidR="00296091" w:rsidRPr="002A30B3" w:rsidRDefault="00296091" w:rsidP="00E70904">
            <w:pPr>
              <w:jc w:val="left"/>
              <w:rPr>
                <w:rFonts w:ascii="Arial Narrow" w:hAnsi="Arial Narrow"/>
                <w:sz w:val="20"/>
              </w:rPr>
            </w:pPr>
            <w:r w:rsidRPr="002A30B3">
              <w:rPr>
                <w:rFonts w:ascii="Arial Narrow" w:hAnsi="Arial Narrow"/>
                <w:sz w:val="20"/>
              </w:rPr>
              <w:fldChar w:fldCharType="begin">
                <w:ffData>
                  <w:name w:val="Check1"/>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 xml:space="preserve">Dental  </w:t>
            </w:r>
            <w:r w:rsidRPr="002A30B3">
              <w:rPr>
                <w:rFonts w:ascii="Arial Narrow" w:hAnsi="Arial Narrow"/>
                <w:sz w:val="20"/>
              </w:rPr>
              <w:fldChar w:fldCharType="begin">
                <w:ffData>
                  <w:name w:val=""/>
                  <w:enabled/>
                  <w:calcOnExit w:val="0"/>
                  <w:checkBox>
                    <w:sizeAuto/>
                    <w:default w:val="1"/>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 xml:space="preserve">Medical Practitioners  </w:t>
            </w:r>
            <w:r w:rsidRPr="002A30B3">
              <w:rPr>
                <w:rFonts w:ascii="Arial Narrow" w:hAnsi="Arial Narrow"/>
                <w:sz w:val="20"/>
              </w:rPr>
              <w:fldChar w:fldCharType="begin">
                <w:ffData>
                  <w:name w:val="Check3"/>
                  <w:enabled/>
                  <w:calcOnExit w:val="0"/>
                  <w:checkBox>
                    <w:sizeAuto/>
                    <w:default w:val="1"/>
                  </w:checkBox>
                </w:ffData>
              </w:fldChar>
            </w:r>
            <w:bookmarkStart w:id="2" w:name="Check3"/>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bookmarkEnd w:id="2"/>
            <w:r w:rsidRPr="002A30B3">
              <w:rPr>
                <w:rFonts w:ascii="Arial Narrow" w:hAnsi="Arial Narrow"/>
                <w:sz w:val="20"/>
              </w:rPr>
              <w:t xml:space="preserve">Nurse practitioners  </w:t>
            </w:r>
            <w:r w:rsidRPr="002A30B3">
              <w:rPr>
                <w:rFonts w:ascii="Arial Narrow" w:hAnsi="Arial Narrow"/>
                <w:sz w:val="20"/>
              </w:rPr>
              <w:fldChar w:fldCharType="begin">
                <w:ffData>
                  <w:name w:val=""/>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Optometrists</w:t>
            </w:r>
          </w:p>
          <w:p w14:paraId="04F048FD" w14:textId="77777777" w:rsidR="00296091" w:rsidRPr="002A30B3" w:rsidRDefault="00296091" w:rsidP="00E70904">
            <w:pPr>
              <w:jc w:val="left"/>
              <w:rPr>
                <w:rFonts w:ascii="Arial Narrow" w:hAnsi="Arial Narrow"/>
                <w:sz w:val="20"/>
              </w:rPr>
            </w:pPr>
            <w:r w:rsidRPr="002A30B3">
              <w:rPr>
                <w:rFonts w:ascii="Arial Narrow" w:hAnsi="Arial Narrow"/>
                <w:sz w:val="20"/>
              </w:rPr>
              <w:fldChar w:fldCharType="begin">
                <w:ffData>
                  <w:name w:val="Check5"/>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Midwives</w:t>
            </w:r>
          </w:p>
        </w:tc>
      </w:tr>
      <w:tr w:rsidR="00296091" w:rsidRPr="002A30B3" w14:paraId="4C9C2DF8"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34F68FB9" w14:textId="433295DD" w:rsidR="00296091" w:rsidRPr="002A30B3" w:rsidRDefault="00296091" w:rsidP="0095723B">
            <w:pPr>
              <w:rPr>
                <w:rFonts w:ascii="Arial Narrow" w:hAnsi="Arial Narrow"/>
                <w:b/>
                <w:sz w:val="20"/>
              </w:rPr>
            </w:pPr>
            <w:r w:rsidRPr="002A30B3">
              <w:rPr>
                <w:rFonts w:ascii="Arial Narrow" w:hAnsi="Arial Narrow"/>
                <w:b/>
                <w:sz w:val="20"/>
              </w:rPr>
              <w:t>PBS Indication:</w:t>
            </w:r>
          </w:p>
        </w:tc>
        <w:tc>
          <w:tcPr>
            <w:tcW w:w="6228" w:type="dxa"/>
            <w:gridSpan w:val="6"/>
            <w:tcBorders>
              <w:top w:val="single" w:sz="4" w:space="0" w:color="auto"/>
              <w:left w:val="single" w:sz="4" w:space="0" w:color="auto"/>
              <w:bottom w:val="single" w:sz="4" w:space="0" w:color="auto"/>
              <w:right w:val="single" w:sz="4" w:space="0" w:color="auto"/>
            </w:tcBorders>
          </w:tcPr>
          <w:p w14:paraId="71F484EB" w14:textId="77777777" w:rsidR="00296091" w:rsidRPr="002A30B3" w:rsidRDefault="00296091" w:rsidP="0095723B">
            <w:pPr>
              <w:rPr>
                <w:rFonts w:ascii="Arial Narrow" w:hAnsi="Arial Narrow"/>
                <w:sz w:val="20"/>
              </w:rPr>
            </w:pPr>
            <w:r w:rsidRPr="002A30B3">
              <w:rPr>
                <w:rFonts w:ascii="Arial Narrow" w:hAnsi="Arial Narrow"/>
                <w:sz w:val="20"/>
              </w:rPr>
              <w:t>Ulcerative colitis</w:t>
            </w:r>
          </w:p>
        </w:tc>
      </w:tr>
      <w:tr w:rsidR="00296091" w:rsidRPr="002A30B3" w14:paraId="3F6282ED"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5CA342CB" w14:textId="1C2E2E99" w:rsidR="00296091" w:rsidRPr="002A30B3" w:rsidRDefault="00296091" w:rsidP="007E1BF3">
            <w:pPr>
              <w:jc w:val="left"/>
              <w:rPr>
                <w:rFonts w:ascii="Arial Narrow" w:hAnsi="Arial Narrow"/>
                <w:i/>
                <w:sz w:val="20"/>
              </w:rPr>
            </w:pPr>
            <w:r w:rsidRPr="002A30B3">
              <w:rPr>
                <w:rFonts w:ascii="Arial Narrow" w:hAnsi="Arial Narrow"/>
                <w:b/>
                <w:sz w:val="20"/>
              </w:rPr>
              <w:t>Restriction Level / Method:</w:t>
            </w:r>
          </w:p>
        </w:tc>
        <w:tc>
          <w:tcPr>
            <w:tcW w:w="6228" w:type="dxa"/>
            <w:gridSpan w:val="6"/>
            <w:tcBorders>
              <w:top w:val="single" w:sz="4" w:space="0" w:color="auto"/>
              <w:left w:val="single" w:sz="4" w:space="0" w:color="auto"/>
              <w:bottom w:val="single" w:sz="4" w:space="0" w:color="auto"/>
              <w:right w:val="single" w:sz="4" w:space="0" w:color="auto"/>
            </w:tcBorders>
          </w:tcPr>
          <w:p w14:paraId="3660ECA0" w14:textId="77777777" w:rsidR="00296091" w:rsidRPr="002A30B3" w:rsidRDefault="00296091" w:rsidP="0095723B">
            <w:pPr>
              <w:rPr>
                <w:rFonts w:ascii="Arial Narrow" w:hAnsi="Arial Narrow"/>
                <w:sz w:val="20"/>
              </w:rPr>
            </w:pPr>
            <w:r w:rsidRPr="002A30B3">
              <w:rPr>
                <w:rFonts w:ascii="Arial Narrow" w:hAnsi="Arial Narrow"/>
                <w:sz w:val="20"/>
              </w:rPr>
              <w:fldChar w:fldCharType="begin">
                <w:ffData>
                  <w:name w:val="Check5"/>
                  <w:enabled/>
                  <w:calcOnExit w:val="0"/>
                  <w:checkBox>
                    <w:sizeAuto/>
                    <w:default w:val="1"/>
                  </w:checkBox>
                </w:ffData>
              </w:fldChar>
            </w:r>
            <w:r w:rsidRPr="002A30B3">
              <w:rPr>
                <w:rFonts w:ascii="Arial Narrow" w:hAnsi="Arial Narrow"/>
                <w:sz w:val="20"/>
              </w:rPr>
              <w:instrText xml:space="preserve"> </w:instrText>
            </w:r>
            <w:bookmarkStart w:id="3" w:name="Check5"/>
            <w:r w:rsidRPr="002A30B3">
              <w:rPr>
                <w:rFonts w:ascii="Arial Narrow" w:hAnsi="Arial Narrow"/>
                <w:sz w:val="20"/>
              </w:rPr>
              <w:instrText xml:space="preserve">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bookmarkEnd w:id="3"/>
            <w:r w:rsidRPr="002A30B3">
              <w:rPr>
                <w:rFonts w:ascii="Arial Narrow" w:hAnsi="Arial Narrow"/>
                <w:sz w:val="20"/>
              </w:rPr>
              <w:t>Streamlined</w:t>
            </w:r>
          </w:p>
        </w:tc>
      </w:tr>
      <w:tr w:rsidR="00296091" w:rsidRPr="002A30B3" w14:paraId="7D4BAD0B"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41459EE8" w14:textId="77777777" w:rsidR="00296091" w:rsidRPr="002A30B3" w:rsidRDefault="00296091" w:rsidP="0095723B">
            <w:pPr>
              <w:rPr>
                <w:rFonts w:ascii="Arial Narrow" w:hAnsi="Arial Narrow"/>
                <w:b/>
                <w:sz w:val="20"/>
              </w:rPr>
            </w:pPr>
            <w:r w:rsidRPr="002A30B3">
              <w:rPr>
                <w:rFonts w:ascii="Arial Narrow" w:hAnsi="Arial Narrow"/>
                <w:b/>
                <w:sz w:val="20"/>
              </w:rPr>
              <w:t>Clinical criteria:</w:t>
            </w:r>
          </w:p>
        </w:tc>
        <w:tc>
          <w:tcPr>
            <w:tcW w:w="6228" w:type="dxa"/>
            <w:gridSpan w:val="6"/>
            <w:tcBorders>
              <w:top w:val="single" w:sz="4" w:space="0" w:color="auto"/>
              <w:left w:val="single" w:sz="4" w:space="0" w:color="auto"/>
              <w:bottom w:val="single" w:sz="4" w:space="0" w:color="auto"/>
              <w:right w:val="single" w:sz="4" w:space="0" w:color="auto"/>
            </w:tcBorders>
          </w:tcPr>
          <w:p w14:paraId="26EDF7D5" w14:textId="5E8D8E3A" w:rsidR="00296091" w:rsidRPr="002A30B3" w:rsidRDefault="00296091" w:rsidP="0095723B">
            <w:pPr>
              <w:rPr>
                <w:rFonts w:ascii="Arial Narrow" w:hAnsi="Arial Narrow"/>
                <w:sz w:val="20"/>
              </w:rPr>
            </w:pPr>
            <w:r w:rsidRPr="002A30B3">
              <w:rPr>
                <w:rFonts w:ascii="Arial Narrow" w:hAnsi="Arial Narrow"/>
                <w:sz w:val="20"/>
              </w:rPr>
              <w:t>Patient must have had a documented hypersensitivity reaction to a sulphonamide</w:t>
            </w:r>
            <w:r w:rsidR="007E1BF3" w:rsidRPr="002A30B3">
              <w:rPr>
                <w:rFonts w:ascii="Arial Narrow" w:hAnsi="Arial Narrow"/>
                <w:sz w:val="20"/>
              </w:rPr>
              <w:t>,</w:t>
            </w:r>
            <w:r w:rsidRPr="002A30B3">
              <w:rPr>
                <w:rFonts w:ascii="Arial Narrow" w:hAnsi="Arial Narrow"/>
                <w:sz w:val="20"/>
              </w:rPr>
              <w:t xml:space="preserve"> </w:t>
            </w:r>
          </w:p>
          <w:p w14:paraId="28C5D626" w14:textId="77777777" w:rsidR="00296091" w:rsidRPr="002A30B3" w:rsidRDefault="00296091" w:rsidP="0095723B">
            <w:pPr>
              <w:rPr>
                <w:rFonts w:ascii="Arial Narrow" w:hAnsi="Arial Narrow"/>
                <w:sz w:val="20"/>
              </w:rPr>
            </w:pPr>
            <w:r w:rsidRPr="002A30B3">
              <w:rPr>
                <w:rFonts w:ascii="Arial Narrow" w:hAnsi="Arial Narrow"/>
                <w:sz w:val="20"/>
              </w:rPr>
              <w:t>OR</w:t>
            </w:r>
          </w:p>
          <w:p w14:paraId="68A42C7D" w14:textId="77777777" w:rsidR="00296091" w:rsidRPr="002A30B3" w:rsidRDefault="00296091" w:rsidP="0095723B">
            <w:pPr>
              <w:rPr>
                <w:rFonts w:ascii="Arial Narrow" w:hAnsi="Arial Narrow"/>
                <w:sz w:val="20"/>
              </w:rPr>
            </w:pPr>
            <w:r w:rsidRPr="002A30B3">
              <w:rPr>
                <w:rFonts w:ascii="Arial Narrow" w:hAnsi="Arial Narrow"/>
                <w:sz w:val="20"/>
              </w:rPr>
              <w:t>Patient must be intolerant to sulfasalazine.</w:t>
            </w:r>
          </w:p>
        </w:tc>
      </w:tr>
      <w:tr w:rsidR="00296091" w:rsidRPr="002A30B3" w14:paraId="2A2B882B" w14:textId="77777777" w:rsidTr="00E70904">
        <w:trPr>
          <w:cantSplit/>
          <w:trHeight w:val="360"/>
        </w:trPr>
        <w:tc>
          <w:tcPr>
            <w:tcW w:w="2126" w:type="dxa"/>
            <w:tcBorders>
              <w:top w:val="single" w:sz="4" w:space="0" w:color="auto"/>
              <w:left w:val="single" w:sz="4" w:space="0" w:color="auto"/>
              <w:bottom w:val="single" w:sz="4" w:space="0" w:color="auto"/>
              <w:right w:val="single" w:sz="4" w:space="0" w:color="auto"/>
            </w:tcBorders>
          </w:tcPr>
          <w:p w14:paraId="5B3A85F1" w14:textId="77777777" w:rsidR="00296091" w:rsidRPr="002A30B3" w:rsidRDefault="00296091" w:rsidP="0095723B">
            <w:pPr>
              <w:rPr>
                <w:rFonts w:ascii="Arial Narrow" w:hAnsi="Arial Narrow"/>
                <w:b/>
                <w:sz w:val="20"/>
              </w:rPr>
            </w:pPr>
            <w:r w:rsidRPr="002A30B3">
              <w:rPr>
                <w:rFonts w:ascii="Arial Narrow" w:hAnsi="Arial Narrow"/>
                <w:b/>
                <w:sz w:val="20"/>
              </w:rPr>
              <w:t>Administrative Advice</w:t>
            </w:r>
          </w:p>
        </w:tc>
        <w:tc>
          <w:tcPr>
            <w:tcW w:w="6228" w:type="dxa"/>
            <w:gridSpan w:val="6"/>
            <w:tcBorders>
              <w:top w:val="single" w:sz="4" w:space="0" w:color="auto"/>
              <w:left w:val="single" w:sz="4" w:space="0" w:color="auto"/>
              <w:bottom w:val="single" w:sz="4" w:space="0" w:color="auto"/>
              <w:right w:val="single" w:sz="4" w:space="0" w:color="auto"/>
            </w:tcBorders>
          </w:tcPr>
          <w:p w14:paraId="6F314DA2" w14:textId="77777777" w:rsidR="00296091" w:rsidRPr="002A30B3" w:rsidRDefault="00296091" w:rsidP="0095723B">
            <w:pPr>
              <w:rPr>
                <w:rFonts w:ascii="Arial Narrow" w:hAnsi="Arial Narrow"/>
                <w:i/>
                <w:sz w:val="20"/>
              </w:rPr>
            </w:pPr>
            <w:r w:rsidRPr="002A30B3">
              <w:rPr>
                <w:rFonts w:ascii="Arial Narrow" w:hAnsi="Arial Narrow"/>
                <w:b/>
                <w:i/>
                <w:sz w:val="20"/>
              </w:rPr>
              <w:t xml:space="preserve">Note </w:t>
            </w:r>
            <w:r w:rsidRPr="002A30B3">
              <w:rPr>
                <w:rFonts w:ascii="Arial Narrow" w:hAnsi="Arial Narrow"/>
                <w:i/>
                <w:sz w:val="20"/>
              </w:rPr>
              <w:t>Not for the treatment of Crohn disease</w:t>
            </w:r>
          </w:p>
          <w:p w14:paraId="23D52BBD" w14:textId="77777777" w:rsidR="00296091" w:rsidRPr="002A30B3" w:rsidRDefault="00296091" w:rsidP="0095723B">
            <w:pPr>
              <w:rPr>
                <w:rFonts w:ascii="Arial Narrow" w:hAnsi="Arial Narrow"/>
                <w:i/>
                <w:sz w:val="20"/>
              </w:rPr>
            </w:pPr>
            <w:r w:rsidRPr="002A30B3">
              <w:rPr>
                <w:rFonts w:ascii="Arial Narrow" w:hAnsi="Arial Narrow"/>
                <w:b/>
                <w:i/>
                <w:sz w:val="20"/>
              </w:rPr>
              <w:t>Note</w:t>
            </w:r>
            <w:r w:rsidRPr="002A30B3">
              <w:rPr>
                <w:rFonts w:ascii="Arial Narrow" w:hAnsi="Arial Narrow"/>
                <w:i/>
                <w:sz w:val="20"/>
              </w:rPr>
              <w:t xml:space="preserve"> Continuing Therapy Only:</w:t>
            </w:r>
          </w:p>
          <w:p w14:paraId="43FBB3BF" w14:textId="77777777" w:rsidR="00296091" w:rsidRPr="002A30B3" w:rsidRDefault="00296091" w:rsidP="0095723B">
            <w:pPr>
              <w:rPr>
                <w:rFonts w:ascii="Arial Narrow" w:hAnsi="Arial Narrow"/>
                <w:sz w:val="20"/>
              </w:rPr>
            </w:pPr>
            <w:r w:rsidRPr="002A30B3">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6313B508" w14:textId="77777777" w:rsidR="00296091" w:rsidRPr="002A30B3" w:rsidRDefault="00296091" w:rsidP="00296091">
      <w:pPr>
        <w:rPr>
          <w:szCs w:val="22"/>
        </w:rPr>
      </w:pPr>
    </w:p>
    <w:p w14:paraId="23E9C998" w14:textId="313E2051" w:rsidR="00296091" w:rsidRPr="002A30B3" w:rsidRDefault="00E10EBF" w:rsidP="00DE6898">
      <w:pPr>
        <w:pStyle w:val="ListParagraph"/>
        <w:widowControl/>
        <w:numPr>
          <w:ilvl w:val="1"/>
          <w:numId w:val="5"/>
        </w:numPr>
      </w:pPr>
      <w:r w:rsidRPr="002A30B3">
        <w:rPr>
          <w:szCs w:val="22"/>
        </w:rPr>
        <w:t>The listing was requested on a cost-minimisation basis compared to Mezavant (1.2 g mesalazine prolonged release tablet).</w:t>
      </w:r>
    </w:p>
    <w:p w14:paraId="634D9781" w14:textId="77777777" w:rsidR="000521F1" w:rsidRPr="002A30B3" w:rsidRDefault="000521F1" w:rsidP="000521F1">
      <w:pPr>
        <w:pStyle w:val="ListParagraph"/>
        <w:widowControl/>
        <w:rPr>
          <w:szCs w:val="22"/>
        </w:rPr>
      </w:pPr>
    </w:p>
    <w:p w14:paraId="32BA098E" w14:textId="04122B54" w:rsidR="000521F1" w:rsidRPr="002A30B3" w:rsidRDefault="000521F1" w:rsidP="000521F1">
      <w:pPr>
        <w:ind w:firstLine="720"/>
        <w:rPr>
          <w:bCs/>
          <w:szCs w:val="22"/>
        </w:rPr>
      </w:pPr>
      <w:r w:rsidRPr="002A30B3">
        <w:rPr>
          <w:bCs/>
          <w:i/>
          <w:szCs w:val="22"/>
        </w:rPr>
        <w:t>For more detail on PBAC’s view, see section 7 “PBAC outcome”</w:t>
      </w:r>
    </w:p>
    <w:p w14:paraId="044FEC29" w14:textId="77777777" w:rsidR="00BC63E5" w:rsidRPr="002A30B3" w:rsidRDefault="00BC63E5" w:rsidP="004B1CB4"/>
    <w:p w14:paraId="3F99520D" w14:textId="77777777" w:rsidR="00B50DB8" w:rsidRPr="002A30B3" w:rsidRDefault="00B50DB8" w:rsidP="00433246">
      <w:pPr>
        <w:pStyle w:val="Heading2"/>
        <w:widowControl/>
        <w:numPr>
          <w:ilvl w:val="0"/>
          <w:numId w:val="5"/>
        </w:numPr>
        <w:snapToGrid w:val="0"/>
        <w:jc w:val="left"/>
        <w:rPr>
          <w:snapToGrid/>
          <w:szCs w:val="22"/>
        </w:rPr>
      </w:pPr>
      <w:bookmarkStart w:id="4" w:name="_Toc470161810"/>
      <w:r w:rsidRPr="002A30B3">
        <w:rPr>
          <w:snapToGrid/>
          <w:szCs w:val="22"/>
        </w:rPr>
        <w:t>Background</w:t>
      </w:r>
      <w:bookmarkEnd w:id="4"/>
    </w:p>
    <w:p w14:paraId="4E1593CA" w14:textId="77777777" w:rsidR="00B60939" w:rsidRPr="002A30B3" w:rsidRDefault="00B60939" w:rsidP="00B60939">
      <w:pPr>
        <w:rPr>
          <w:szCs w:val="22"/>
        </w:rPr>
      </w:pPr>
    </w:p>
    <w:p w14:paraId="6DC60588" w14:textId="28C8AA6E" w:rsidR="00B60939" w:rsidRPr="002A30B3" w:rsidRDefault="001D704F" w:rsidP="003F73CE">
      <w:pPr>
        <w:pStyle w:val="ListParagraph"/>
        <w:widowControl/>
        <w:numPr>
          <w:ilvl w:val="1"/>
          <w:numId w:val="5"/>
        </w:numPr>
        <w:rPr>
          <w:szCs w:val="22"/>
        </w:rPr>
      </w:pPr>
      <w:r w:rsidRPr="002A30B3">
        <w:rPr>
          <w:b/>
          <w:bCs/>
          <w:szCs w:val="22"/>
        </w:rPr>
        <w:t xml:space="preserve">TGA status at time of </w:t>
      </w:r>
      <w:r w:rsidR="00CD34CF" w:rsidRPr="002A30B3">
        <w:rPr>
          <w:b/>
          <w:bCs/>
          <w:szCs w:val="22"/>
        </w:rPr>
        <w:t>PBAC consideration</w:t>
      </w:r>
      <w:r w:rsidRPr="002A30B3">
        <w:rPr>
          <w:b/>
          <w:bCs/>
          <w:szCs w:val="22"/>
        </w:rPr>
        <w:t>:</w:t>
      </w:r>
      <w:r w:rsidRPr="002A30B3">
        <w:rPr>
          <w:bCs/>
          <w:szCs w:val="22"/>
        </w:rPr>
        <w:t xml:space="preserve"> </w:t>
      </w:r>
      <w:r w:rsidR="008D1390" w:rsidRPr="002A30B3">
        <w:rPr>
          <w:szCs w:val="22"/>
        </w:rPr>
        <w:t xml:space="preserve">Asacol </w:t>
      </w:r>
      <w:r w:rsidR="007451D5" w:rsidRPr="002A30B3">
        <w:rPr>
          <w:szCs w:val="22"/>
        </w:rPr>
        <w:t>(</w:t>
      </w:r>
      <w:r w:rsidR="00F66817" w:rsidRPr="002A30B3">
        <w:rPr>
          <w:szCs w:val="22"/>
        </w:rPr>
        <w:t xml:space="preserve">800 mg </w:t>
      </w:r>
      <w:r w:rsidR="007451D5" w:rsidRPr="002A30B3">
        <w:rPr>
          <w:szCs w:val="22"/>
        </w:rPr>
        <w:t xml:space="preserve">mesalazine enteric coated tablet) </w:t>
      </w:r>
      <w:r w:rsidR="00ED164A" w:rsidRPr="002A30B3">
        <w:rPr>
          <w:szCs w:val="22"/>
        </w:rPr>
        <w:t>is</w:t>
      </w:r>
      <w:r w:rsidR="008D1390" w:rsidRPr="002A30B3">
        <w:rPr>
          <w:szCs w:val="22"/>
        </w:rPr>
        <w:t xml:space="preserve"> TGA</w:t>
      </w:r>
      <w:r w:rsidR="00ED164A" w:rsidRPr="002A30B3">
        <w:rPr>
          <w:szCs w:val="22"/>
        </w:rPr>
        <w:t>-approved</w:t>
      </w:r>
      <w:r w:rsidR="008D1390" w:rsidRPr="002A30B3">
        <w:rPr>
          <w:szCs w:val="22"/>
        </w:rPr>
        <w:t xml:space="preserve"> for the treatment of mild to moderate ulcerative colitis and maintenance of remission in adults. A lower strength of Asacol (400</w:t>
      </w:r>
      <w:r w:rsidR="00E10EBF" w:rsidRPr="002A30B3">
        <w:rPr>
          <w:szCs w:val="22"/>
        </w:rPr>
        <w:t xml:space="preserve"> </w:t>
      </w:r>
      <w:r w:rsidR="008D1390" w:rsidRPr="002A30B3">
        <w:rPr>
          <w:szCs w:val="22"/>
        </w:rPr>
        <w:t xml:space="preserve">mg </w:t>
      </w:r>
      <w:r w:rsidR="0002612A" w:rsidRPr="002A30B3">
        <w:rPr>
          <w:szCs w:val="22"/>
        </w:rPr>
        <w:t xml:space="preserve">mesalazine </w:t>
      </w:r>
      <w:r w:rsidR="008D1390" w:rsidRPr="002A30B3">
        <w:rPr>
          <w:szCs w:val="22"/>
        </w:rPr>
        <w:t xml:space="preserve">enteric coated tablet) </w:t>
      </w:r>
      <w:r w:rsidR="00ED164A" w:rsidRPr="002A30B3">
        <w:rPr>
          <w:szCs w:val="22"/>
        </w:rPr>
        <w:t>i</w:t>
      </w:r>
      <w:r w:rsidR="008D1390" w:rsidRPr="002A30B3">
        <w:rPr>
          <w:szCs w:val="22"/>
        </w:rPr>
        <w:t xml:space="preserve">s also approved but </w:t>
      </w:r>
      <w:r w:rsidR="008E1BF4" w:rsidRPr="002A30B3">
        <w:rPr>
          <w:szCs w:val="22"/>
        </w:rPr>
        <w:t>was not included in the submission</w:t>
      </w:r>
      <w:r w:rsidR="00B71356" w:rsidRPr="002A30B3">
        <w:rPr>
          <w:szCs w:val="22"/>
        </w:rPr>
        <w:t xml:space="preserve"> for PBS listing.</w:t>
      </w:r>
    </w:p>
    <w:p w14:paraId="609B4569" w14:textId="77777777" w:rsidR="008D1390" w:rsidRPr="002A30B3" w:rsidRDefault="008D1390" w:rsidP="008D1390">
      <w:pPr>
        <w:pStyle w:val="ListParagraph"/>
        <w:widowControl/>
        <w:rPr>
          <w:szCs w:val="22"/>
        </w:rPr>
      </w:pPr>
    </w:p>
    <w:p w14:paraId="17CB5AA4" w14:textId="77777777" w:rsidR="007451D5" w:rsidRPr="002A30B3" w:rsidRDefault="00E1404B" w:rsidP="003F73CE">
      <w:pPr>
        <w:pStyle w:val="ListParagraph"/>
        <w:widowControl/>
        <w:numPr>
          <w:ilvl w:val="1"/>
          <w:numId w:val="5"/>
        </w:numPr>
        <w:rPr>
          <w:szCs w:val="22"/>
        </w:rPr>
      </w:pPr>
      <w:r w:rsidRPr="002A30B3">
        <w:rPr>
          <w:szCs w:val="22"/>
        </w:rPr>
        <w:t>Asacol has not previously been considered by the PBAC for the treatment of ulcerative colitis.</w:t>
      </w:r>
    </w:p>
    <w:p w14:paraId="0E254DB3" w14:textId="77777777" w:rsidR="0069254B" w:rsidRPr="002A30B3" w:rsidRDefault="0069254B" w:rsidP="0069254B">
      <w:pPr>
        <w:pStyle w:val="ListParagraph"/>
        <w:widowControl/>
        <w:rPr>
          <w:szCs w:val="22"/>
        </w:rPr>
      </w:pPr>
    </w:p>
    <w:p w14:paraId="128EDF9D" w14:textId="3DCECBA7" w:rsidR="0069254B" w:rsidRPr="002A30B3" w:rsidRDefault="0069254B" w:rsidP="003F73CE">
      <w:pPr>
        <w:pStyle w:val="ListParagraph"/>
        <w:widowControl/>
        <w:numPr>
          <w:ilvl w:val="1"/>
          <w:numId w:val="5"/>
        </w:numPr>
        <w:rPr>
          <w:szCs w:val="22"/>
        </w:rPr>
      </w:pPr>
      <w:r w:rsidRPr="002A30B3">
        <w:rPr>
          <w:szCs w:val="22"/>
        </w:rPr>
        <w:t>There are six other oral formulations of mesalazine already listed on the PBS for the treatment of ulcerative colitis marketed under four proprietary names (i.e. Mezavant tablets, Pentasa tablets and granules, Salofalk tablets and granules, and Mesasal tablets)</w:t>
      </w:r>
      <w:r w:rsidR="003127A2" w:rsidRPr="002A30B3">
        <w:rPr>
          <w:szCs w:val="22"/>
        </w:rPr>
        <w:t xml:space="preserve"> as summarised in Table 1.</w:t>
      </w:r>
    </w:p>
    <w:p w14:paraId="241B63E4" w14:textId="77777777" w:rsidR="0069254B" w:rsidRPr="002A30B3" w:rsidRDefault="0069254B" w:rsidP="0069254B">
      <w:pPr>
        <w:pStyle w:val="ListParagraph"/>
        <w:widowControl/>
        <w:rPr>
          <w:szCs w:val="22"/>
        </w:rPr>
      </w:pPr>
    </w:p>
    <w:p w14:paraId="28B3F31B" w14:textId="63D34689" w:rsidR="0069254B" w:rsidRPr="002A30B3" w:rsidRDefault="003127A2" w:rsidP="003127A2">
      <w:pPr>
        <w:ind w:firstLine="720"/>
        <w:rPr>
          <w:rStyle w:val="CommentReference"/>
        </w:rPr>
      </w:pPr>
      <w:r w:rsidRPr="002A30B3">
        <w:rPr>
          <w:rStyle w:val="CommentReference"/>
        </w:rPr>
        <w:t>Table 1</w:t>
      </w:r>
      <w:r w:rsidR="0069254B" w:rsidRPr="002A30B3">
        <w:rPr>
          <w:rStyle w:val="CommentReference"/>
        </w:rPr>
        <w:t xml:space="preserve">: Summary of PBS-listed oral formulations of mesalazine </w:t>
      </w:r>
    </w:p>
    <w:tbl>
      <w:tblPr>
        <w:tblStyle w:val="TableGrid"/>
        <w:tblW w:w="8287" w:type="dxa"/>
        <w:tblInd w:w="709" w:type="dxa"/>
        <w:tblLook w:val="04A0" w:firstRow="1" w:lastRow="0" w:firstColumn="1" w:lastColumn="0" w:noHBand="0" w:noVBand="1"/>
        <w:tblCaption w:val="Table 1: Summary of PBS-listed oral formulations of mesalazine "/>
      </w:tblPr>
      <w:tblGrid>
        <w:gridCol w:w="1400"/>
        <w:gridCol w:w="2296"/>
        <w:gridCol w:w="1252"/>
        <w:gridCol w:w="1253"/>
        <w:gridCol w:w="2086"/>
      </w:tblGrid>
      <w:tr w:rsidR="003127A2" w:rsidRPr="002A30B3" w14:paraId="359F2AC2" w14:textId="77777777" w:rsidTr="008531FB">
        <w:trPr>
          <w:tblHeader/>
        </w:trPr>
        <w:tc>
          <w:tcPr>
            <w:tcW w:w="1400" w:type="dxa"/>
            <w:vMerge w:val="restart"/>
            <w:vAlign w:val="center"/>
          </w:tcPr>
          <w:p w14:paraId="1A821A4B" w14:textId="77777777" w:rsidR="003127A2" w:rsidRPr="002A30B3" w:rsidRDefault="003127A2" w:rsidP="009D7671">
            <w:pPr>
              <w:rPr>
                <w:rFonts w:ascii="Arial Narrow" w:hAnsi="Arial Narrow"/>
                <w:b/>
                <w:sz w:val="20"/>
              </w:rPr>
            </w:pPr>
            <w:r w:rsidRPr="002A30B3">
              <w:rPr>
                <w:rFonts w:ascii="Arial Narrow" w:hAnsi="Arial Narrow"/>
                <w:b/>
                <w:sz w:val="20"/>
              </w:rPr>
              <w:t>Brand (active ingredient)</w:t>
            </w:r>
          </w:p>
        </w:tc>
        <w:tc>
          <w:tcPr>
            <w:tcW w:w="2296" w:type="dxa"/>
            <w:vMerge w:val="restart"/>
            <w:vAlign w:val="center"/>
          </w:tcPr>
          <w:p w14:paraId="0C376DAA" w14:textId="77777777" w:rsidR="003127A2" w:rsidRPr="002A30B3" w:rsidRDefault="003127A2" w:rsidP="009D7671">
            <w:pPr>
              <w:rPr>
                <w:rFonts w:ascii="Arial Narrow" w:hAnsi="Arial Narrow"/>
                <w:b/>
                <w:sz w:val="20"/>
              </w:rPr>
            </w:pPr>
            <w:r w:rsidRPr="002A30B3">
              <w:rPr>
                <w:rFonts w:ascii="Arial Narrow" w:hAnsi="Arial Narrow"/>
                <w:b/>
                <w:sz w:val="20"/>
              </w:rPr>
              <w:t>Formulation</w:t>
            </w:r>
          </w:p>
        </w:tc>
        <w:tc>
          <w:tcPr>
            <w:tcW w:w="2505" w:type="dxa"/>
            <w:gridSpan w:val="2"/>
            <w:vAlign w:val="center"/>
          </w:tcPr>
          <w:p w14:paraId="4576D1FF" w14:textId="77777777" w:rsidR="003127A2" w:rsidRPr="002A30B3" w:rsidRDefault="003127A2" w:rsidP="009D7671">
            <w:pPr>
              <w:jc w:val="center"/>
              <w:rPr>
                <w:rFonts w:ascii="Arial Narrow" w:hAnsi="Arial Narrow"/>
                <w:b/>
                <w:sz w:val="20"/>
              </w:rPr>
            </w:pPr>
            <w:r w:rsidRPr="002A30B3">
              <w:rPr>
                <w:rFonts w:ascii="Arial Narrow" w:hAnsi="Arial Narrow"/>
                <w:b/>
                <w:sz w:val="20"/>
              </w:rPr>
              <w:t xml:space="preserve">Recommended dose </w:t>
            </w:r>
          </w:p>
        </w:tc>
        <w:tc>
          <w:tcPr>
            <w:tcW w:w="2086" w:type="dxa"/>
            <w:vMerge w:val="restart"/>
            <w:vAlign w:val="center"/>
          </w:tcPr>
          <w:p w14:paraId="7A630929" w14:textId="77777777" w:rsidR="003127A2" w:rsidRPr="002A30B3" w:rsidRDefault="003127A2" w:rsidP="009D7671">
            <w:pPr>
              <w:jc w:val="center"/>
              <w:rPr>
                <w:rFonts w:ascii="Arial Narrow" w:hAnsi="Arial Narrow"/>
                <w:b/>
                <w:sz w:val="20"/>
              </w:rPr>
            </w:pPr>
            <w:r w:rsidRPr="002A30B3">
              <w:rPr>
                <w:rFonts w:ascii="Arial Narrow" w:hAnsi="Arial Narrow"/>
                <w:b/>
                <w:sz w:val="20"/>
              </w:rPr>
              <w:t>Frequency of administration</w:t>
            </w:r>
          </w:p>
        </w:tc>
      </w:tr>
      <w:tr w:rsidR="003127A2" w:rsidRPr="002A30B3" w14:paraId="50C27D41" w14:textId="77777777" w:rsidTr="008531FB">
        <w:trPr>
          <w:tblHeader/>
        </w:trPr>
        <w:tc>
          <w:tcPr>
            <w:tcW w:w="1400" w:type="dxa"/>
            <w:vMerge/>
            <w:vAlign w:val="center"/>
          </w:tcPr>
          <w:p w14:paraId="36381E5B" w14:textId="77777777" w:rsidR="003127A2" w:rsidRPr="002A30B3" w:rsidRDefault="003127A2" w:rsidP="009D7671">
            <w:pPr>
              <w:rPr>
                <w:rFonts w:ascii="Arial Narrow" w:hAnsi="Arial Narrow"/>
                <w:b/>
                <w:sz w:val="20"/>
              </w:rPr>
            </w:pPr>
          </w:p>
        </w:tc>
        <w:tc>
          <w:tcPr>
            <w:tcW w:w="2296" w:type="dxa"/>
            <w:vMerge/>
            <w:vAlign w:val="center"/>
          </w:tcPr>
          <w:p w14:paraId="21F166A5" w14:textId="77777777" w:rsidR="003127A2" w:rsidRPr="002A30B3" w:rsidRDefault="003127A2" w:rsidP="009D7671">
            <w:pPr>
              <w:rPr>
                <w:rFonts w:ascii="Arial Narrow" w:hAnsi="Arial Narrow"/>
                <w:b/>
                <w:sz w:val="20"/>
              </w:rPr>
            </w:pPr>
          </w:p>
        </w:tc>
        <w:tc>
          <w:tcPr>
            <w:tcW w:w="1252" w:type="dxa"/>
            <w:vAlign w:val="center"/>
          </w:tcPr>
          <w:p w14:paraId="44FB9CC3" w14:textId="77777777" w:rsidR="003127A2" w:rsidRPr="002A30B3" w:rsidRDefault="003127A2" w:rsidP="009D7671">
            <w:pPr>
              <w:jc w:val="center"/>
              <w:rPr>
                <w:rFonts w:ascii="Arial Narrow" w:hAnsi="Arial Narrow"/>
                <w:b/>
                <w:sz w:val="20"/>
              </w:rPr>
            </w:pPr>
            <w:r w:rsidRPr="002A30B3">
              <w:rPr>
                <w:rFonts w:ascii="Arial Narrow" w:hAnsi="Arial Narrow"/>
                <w:b/>
                <w:sz w:val="20"/>
              </w:rPr>
              <w:t>Induction</w:t>
            </w:r>
          </w:p>
        </w:tc>
        <w:tc>
          <w:tcPr>
            <w:tcW w:w="1253" w:type="dxa"/>
            <w:vAlign w:val="center"/>
          </w:tcPr>
          <w:p w14:paraId="03B9AFFF" w14:textId="77777777" w:rsidR="003127A2" w:rsidRPr="002A30B3" w:rsidRDefault="003127A2" w:rsidP="009D7671">
            <w:pPr>
              <w:jc w:val="center"/>
              <w:rPr>
                <w:rFonts w:ascii="Arial Narrow" w:hAnsi="Arial Narrow"/>
                <w:b/>
                <w:sz w:val="20"/>
              </w:rPr>
            </w:pPr>
            <w:r w:rsidRPr="002A30B3">
              <w:rPr>
                <w:rFonts w:ascii="Arial Narrow" w:hAnsi="Arial Narrow"/>
                <w:b/>
                <w:sz w:val="20"/>
              </w:rPr>
              <w:t>Maintenance</w:t>
            </w:r>
          </w:p>
        </w:tc>
        <w:tc>
          <w:tcPr>
            <w:tcW w:w="2086" w:type="dxa"/>
            <w:vMerge/>
          </w:tcPr>
          <w:p w14:paraId="05A1843C" w14:textId="77777777" w:rsidR="003127A2" w:rsidRPr="002A30B3" w:rsidRDefault="003127A2" w:rsidP="009D7671">
            <w:pPr>
              <w:jc w:val="center"/>
              <w:rPr>
                <w:rFonts w:ascii="Arial Narrow" w:hAnsi="Arial Narrow"/>
                <w:b/>
                <w:sz w:val="20"/>
              </w:rPr>
            </w:pPr>
          </w:p>
        </w:tc>
      </w:tr>
      <w:tr w:rsidR="003127A2" w:rsidRPr="002A30B3" w14:paraId="49D18500" w14:textId="77777777" w:rsidTr="003127A2">
        <w:tc>
          <w:tcPr>
            <w:tcW w:w="1400" w:type="dxa"/>
            <w:vAlign w:val="center"/>
          </w:tcPr>
          <w:p w14:paraId="504C186E" w14:textId="77777777" w:rsidR="003127A2" w:rsidRPr="002A30B3" w:rsidRDefault="003127A2" w:rsidP="009D7671">
            <w:pPr>
              <w:rPr>
                <w:rFonts w:ascii="Arial Narrow" w:hAnsi="Arial Narrow"/>
                <w:sz w:val="20"/>
              </w:rPr>
            </w:pPr>
            <w:r w:rsidRPr="002A30B3">
              <w:rPr>
                <w:rFonts w:ascii="Arial Narrow" w:hAnsi="Arial Narrow"/>
                <w:sz w:val="20"/>
              </w:rPr>
              <w:t>Asacol (mesalazine)</w:t>
            </w:r>
          </w:p>
        </w:tc>
        <w:tc>
          <w:tcPr>
            <w:tcW w:w="2296" w:type="dxa"/>
            <w:vAlign w:val="center"/>
          </w:tcPr>
          <w:p w14:paraId="12520A6E" w14:textId="77777777" w:rsidR="003127A2" w:rsidRPr="002A30B3" w:rsidRDefault="003127A2" w:rsidP="009D7671">
            <w:pPr>
              <w:jc w:val="left"/>
              <w:rPr>
                <w:rFonts w:ascii="Arial Narrow" w:hAnsi="Arial Narrow"/>
                <w:sz w:val="20"/>
              </w:rPr>
            </w:pPr>
            <w:r w:rsidRPr="002A30B3">
              <w:rPr>
                <w:rFonts w:ascii="Arial Narrow" w:hAnsi="Arial Narrow"/>
                <w:sz w:val="20"/>
              </w:rPr>
              <w:t>Enteric coated tablets, pH≥7.0 release</w:t>
            </w:r>
          </w:p>
        </w:tc>
        <w:tc>
          <w:tcPr>
            <w:tcW w:w="1252" w:type="dxa"/>
            <w:vAlign w:val="center"/>
          </w:tcPr>
          <w:p w14:paraId="7066E8F6" w14:textId="2EECFDBB" w:rsidR="003127A2" w:rsidRPr="002A30B3" w:rsidRDefault="00F66817" w:rsidP="009D7671">
            <w:pPr>
              <w:jc w:val="center"/>
              <w:rPr>
                <w:rFonts w:ascii="Arial Narrow" w:hAnsi="Arial Narrow"/>
                <w:sz w:val="20"/>
              </w:rPr>
            </w:pPr>
            <w:r w:rsidRPr="002A30B3">
              <w:rPr>
                <w:rFonts w:ascii="Arial Narrow" w:hAnsi="Arial Narrow"/>
                <w:sz w:val="20"/>
              </w:rPr>
              <w:t>2.4 g</w:t>
            </w:r>
            <w:r w:rsidR="003127A2" w:rsidRPr="002A30B3">
              <w:rPr>
                <w:rFonts w:ascii="Arial Narrow" w:hAnsi="Arial Narrow"/>
                <w:sz w:val="20"/>
              </w:rPr>
              <w:t xml:space="preserve"> to </w:t>
            </w:r>
            <w:r w:rsidRPr="002A30B3">
              <w:rPr>
                <w:rFonts w:ascii="Arial Narrow" w:hAnsi="Arial Narrow"/>
                <w:sz w:val="20"/>
              </w:rPr>
              <w:t>4.8 g</w:t>
            </w:r>
          </w:p>
        </w:tc>
        <w:tc>
          <w:tcPr>
            <w:tcW w:w="1253" w:type="dxa"/>
            <w:vAlign w:val="center"/>
          </w:tcPr>
          <w:p w14:paraId="37041EC0" w14:textId="0E37EDFD" w:rsidR="003127A2" w:rsidRPr="002A30B3" w:rsidRDefault="00F66817" w:rsidP="009D7671">
            <w:pPr>
              <w:jc w:val="center"/>
              <w:rPr>
                <w:rFonts w:ascii="Arial Narrow" w:hAnsi="Arial Narrow"/>
                <w:sz w:val="20"/>
              </w:rPr>
            </w:pPr>
            <w:r w:rsidRPr="002A30B3">
              <w:rPr>
                <w:rFonts w:ascii="Arial Narrow" w:hAnsi="Arial Narrow"/>
                <w:sz w:val="20"/>
              </w:rPr>
              <w:t>1.6 g</w:t>
            </w:r>
            <w:r w:rsidR="003127A2" w:rsidRPr="002A30B3">
              <w:rPr>
                <w:rFonts w:ascii="Arial Narrow" w:hAnsi="Arial Narrow"/>
                <w:sz w:val="20"/>
              </w:rPr>
              <w:t xml:space="preserve"> to </w:t>
            </w:r>
            <w:r w:rsidRPr="002A30B3">
              <w:rPr>
                <w:rFonts w:ascii="Arial Narrow" w:hAnsi="Arial Narrow"/>
                <w:sz w:val="20"/>
              </w:rPr>
              <w:t>2.4 g</w:t>
            </w:r>
          </w:p>
        </w:tc>
        <w:tc>
          <w:tcPr>
            <w:tcW w:w="2086" w:type="dxa"/>
            <w:vAlign w:val="center"/>
          </w:tcPr>
          <w:p w14:paraId="341C8F7B" w14:textId="7757A75E" w:rsidR="003127A2" w:rsidRPr="002A30B3" w:rsidRDefault="003127A2" w:rsidP="009D7671">
            <w:pPr>
              <w:jc w:val="center"/>
              <w:rPr>
                <w:rFonts w:ascii="Arial Narrow" w:hAnsi="Arial Narrow"/>
                <w:sz w:val="20"/>
              </w:rPr>
            </w:pPr>
            <w:r w:rsidRPr="002A30B3">
              <w:rPr>
                <w:rFonts w:ascii="Arial Narrow" w:hAnsi="Arial Narrow"/>
                <w:sz w:val="20"/>
              </w:rPr>
              <w:t>Once daily or in divided doses. Doses &gt;</w:t>
            </w:r>
            <w:r w:rsidR="00F66817" w:rsidRPr="002A30B3">
              <w:rPr>
                <w:rFonts w:ascii="Arial Narrow" w:hAnsi="Arial Narrow"/>
                <w:sz w:val="20"/>
              </w:rPr>
              <w:t>2.4 g</w:t>
            </w:r>
            <w:r w:rsidRPr="002A30B3">
              <w:rPr>
                <w:rFonts w:ascii="Arial Narrow" w:hAnsi="Arial Narrow"/>
                <w:sz w:val="20"/>
              </w:rPr>
              <w:t xml:space="preserve"> per day must be administered in divided doses</w:t>
            </w:r>
          </w:p>
        </w:tc>
      </w:tr>
      <w:tr w:rsidR="003127A2" w:rsidRPr="002A30B3" w14:paraId="1A6FA62A" w14:textId="77777777" w:rsidTr="003127A2">
        <w:tc>
          <w:tcPr>
            <w:tcW w:w="1400" w:type="dxa"/>
            <w:vAlign w:val="center"/>
          </w:tcPr>
          <w:p w14:paraId="05E82A52" w14:textId="77777777" w:rsidR="003127A2" w:rsidRPr="002A30B3" w:rsidRDefault="003127A2" w:rsidP="009D7671">
            <w:pPr>
              <w:rPr>
                <w:rFonts w:ascii="Arial Narrow" w:hAnsi="Arial Narrow"/>
                <w:sz w:val="20"/>
              </w:rPr>
            </w:pPr>
            <w:r w:rsidRPr="002A30B3">
              <w:rPr>
                <w:rFonts w:ascii="Arial Narrow" w:hAnsi="Arial Narrow"/>
                <w:sz w:val="20"/>
              </w:rPr>
              <w:t>Mezavant (mesalazine)</w:t>
            </w:r>
          </w:p>
        </w:tc>
        <w:tc>
          <w:tcPr>
            <w:tcW w:w="2296" w:type="dxa"/>
            <w:vAlign w:val="center"/>
          </w:tcPr>
          <w:p w14:paraId="36AC2CAF" w14:textId="77777777" w:rsidR="003127A2" w:rsidRPr="002A30B3" w:rsidRDefault="003127A2" w:rsidP="009D7671">
            <w:pPr>
              <w:jc w:val="left"/>
              <w:rPr>
                <w:rFonts w:ascii="Arial Narrow" w:hAnsi="Arial Narrow"/>
                <w:sz w:val="20"/>
              </w:rPr>
            </w:pPr>
            <w:r w:rsidRPr="002A30B3">
              <w:rPr>
                <w:rFonts w:ascii="Arial Narrow" w:hAnsi="Arial Narrow"/>
                <w:sz w:val="20"/>
              </w:rPr>
              <w:t>Gastro-resistant prolonged release tablets, pH≥7.0 release</w:t>
            </w:r>
          </w:p>
        </w:tc>
        <w:tc>
          <w:tcPr>
            <w:tcW w:w="1252" w:type="dxa"/>
            <w:vAlign w:val="center"/>
          </w:tcPr>
          <w:p w14:paraId="063B0574" w14:textId="1C9CFE3C" w:rsidR="003127A2" w:rsidRPr="002A30B3" w:rsidRDefault="00F66817" w:rsidP="009D7671">
            <w:pPr>
              <w:jc w:val="center"/>
              <w:rPr>
                <w:rFonts w:ascii="Arial Narrow" w:hAnsi="Arial Narrow"/>
                <w:sz w:val="20"/>
              </w:rPr>
            </w:pPr>
            <w:r w:rsidRPr="002A30B3">
              <w:rPr>
                <w:rFonts w:ascii="Arial Narrow" w:hAnsi="Arial Narrow"/>
                <w:sz w:val="20"/>
              </w:rPr>
              <w:t>2.4 g</w:t>
            </w:r>
            <w:r w:rsidR="003127A2" w:rsidRPr="002A30B3">
              <w:rPr>
                <w:rFonts w:ascii="Arial Narrow" w:hAnsi="Arial Narrow"/>
                <w:sz w:val="20"/>
              </w:rPr>
              <w:t xml:space="preserve"> to </w:t>
            </w:r>
            <w:r w:rsidRPr="002A30B3">
              <w:rPr>
                <w:rFonts w:ascii="Arial Narrow" w:hAnsi="Arial Narrow"/>
                <w:sz w:val="20"/>
              </w:rPr>
              <w:t>4.8 g</w:t>
            </w:r>
          </w:p>
        </w:tc>
        <w:tc>
          <w:tcPr>
            <w:tcW w:w="1253" w:type="dxa"/>
            <w:vAlign w:val="center"/>
          </w:tcPr>
          <w:p w14:paraId="214CD862" w14:textId="3B2ABE26" w:rsidR="003127A2" w:rsidRPr="002A30B3" w:rsidRDefault="00F66817" w:rsidP="009D7671">
            <w:pPr>
              <w:jc w:val="center"/>
              <w:rPr>
                <w:rFonts w:ascii="Arial Narrow" w:hAnsi="Arial Narrow"/>
                <w:sz w:val="20"/>
              </w:rPr>
            </w:pPr>
            <w:r w:rsidRPr="002A30B3">
              <w:rPr>
                <w:rFonts w:ascii="Arial Narrow" w:hAnsi="Arial Narrow"/>
                <w:sz w:val="20"/>
              </w:rPr>
              <w:t>2.4 g</w:t>
            </w:r>
          </w:p>
        </w:tc>
        <w:tc>
          <w:tcPr>
            <w:tcW w:w="2086" w:type="dxa"/>
            <w:vAlign w:val="center"/>
          </w:tcPr>
          <w:p w14:paraId="1C15E5A5" w14:textId="77777777" w:rsidR="003127A2" w:rsidRPr="002A30B3" w:rsidRDefault="003127A2" w:rsidP="009D7671">
            <w:pPr>
              <w:jc w:val="center"/>
              <w:rPr>
                <w:rFonts w:ascii="Arial Narrow" w:hAnsi="Arial Narrow"/>
                <w:sz w:val="20"/>
              </w:rPr>
            </w:pPr>
            <w:r w:rsidRPr="002A30B3">
              <w:rPr>
                <w:rFonts w:ascii="Arial Narrow" w:hAnsi="Arial Narrow"/>
                <w:sz w:val="20"/>
              </w:rPr>
              <w:t>Once daily</w:t>
            </w:r>
          </w:p>
        </w:tc>
      </w:tr>
      <w:tr w:rsidR="003127A2" w:rsidRPr="002A30B3" w14:paraId="4BC9CC79" w14:textId="77777777" w:rsidTr="003127A2">
        <w:tc>
          <w:tcPr>
            <w:tcW w:w="1400" w:type="dxa"/>
            <w:vMerge w:val="restart"/>
            <w:vAlign w:val="center"/>
          </w:tcPr>
          <w:p w14:paraId="48464F95" w14:textId="77777777" w:rsidR="003127A2" w:rsidRPr="002A30B3" w:rsidRDefault="003127A2" w:rsidP="009D7671">
            <w:pPr>
              <w:rPr>
                <w:rFonts w:ascii="Arial Narrow" w:hAnsi="Arial Narrow"/>
                <w:sz w:val="20"/>
              </w:rPr>
            </w:pPr>
            <w:r w:rsidRPr="002A30B3">
              <w:rPr>
                <w:rFonts w:ascii="Arial Narrow" w:hAnsi="Arial Narrow"/>
                <w:sz w:val="20"/>
              </w:rPr>
              <w:t>Pentasa</w:t>
            </w:r>
            <w:r w:rsidRPr="002A30B3">
              <w:rPr>
                <w:rFonts w:ascii="Arial Narrow" w:hAnsi="Arial Narrow"/>
                <w:sz w:val="20"/>
                <w:vertAlign w:val="superscript"/>
              </w:rPr>
              <w:t xml:space="preserve">a </w:t>
            </w:r>
            <w:r w:rsidRPr="002A30B3">
              <w:rPr>
                <w:rFonts w:ascii="Arial Narrow" w:hAnsi="Arial Narrow"/>
                <w:sz w:val="20"/>
              </w:rPr>
              <w:t>(mesalazine)</w:t>
            </w:r>
          </w:p>
        </w:tc>
        <w:tc>
          <w:tcPr>
            <w:tcW w:w="2296" w:type="dxa"/>
            <w:vAlign w:val="center"/>
          </w:tcPr>
          <w:p w14:paraId="4C67D50E" w14:textId="5F9BC296" w:rsidR="003127A2" w:rsidRPr="002A30B3" w:rsidRDefault="003127A2" w:rsidP="001B52D5">
            <w:pPr>
              <w:jc w:val="left"/>
              <w:rPr>
                <w:rFonts w:ascii="Arial Narrow" w:hAnsi="Arial Narrow"/>
                <w:sz w:val="20"/>
              </w:rPr>
            </w:pPr>
            <w:r w:rsidRPr="002A30B3">
              <w:rPr>
                <w:rFonts w:ascii="Arial Narrow" w:hAnsi="Arial Narrow"/>
                <w:sz w:val="20"/>
              </w:rPr>
              <w:t>Prolonged release tablets</w:t>
            </w:r>
          </w:p>
        </w:tc>
        <w:tc>
          <w:tcPr>
            <w:tcW w:w="1252" w:type="dxa"/>
            <w:vAlign w:val="center"/>
          </w:tcPr>
          <w:p w14:paraId="46655054" w14:textId="657DCF7C" w:rsidR="003127A2" w:rsidRPr="002A30B3" w:rsidRDefault="003127A2" w:rsidP="009D7671">
            <w:pPr>
              <w:jc w:val="center"/>
              <w:rPr>
                <w:rFonts w:ascii="Arial Narrow" w:hAnsi="Arial Narrow"/>
                <w:sz w:val="20"/>
              </w:rPr>
            </w:pPr>
            <w:r w:rsidRPr="002A30B3">
              <w:rPr>
                <w:rFonts w:ascii="Arial Narrow" w:hAnsi="Arial Narrow"/>
                <w:sz w:val="20"/>
              </w:rPr>
              <w:t xml:space="preserve">Up to </w:t>
            </w:r>
            <w:r w:rsidR="00F66817" w:rsidRPr="002A30B3">
              <w:rPr>
                <w:rFonts w:ascii="Arial Narrow" w:hAnsi="Arial Narrow"/>
                <w:sz w:val="20"/>
              </w:rPr>
              <w:t>4 g</w:t>
            </w:r>
          </w:p>
        </w:tc>
        <w:tc>
          <w:tcPr>
            <w:tcW w:w="1253" w:type="dxa"/>
            <w:vAlign w:val="center"/>
          </w:tcPr>
          <w:p w14:paraId="37C782FA" w14:textId="22E4AAE6" w:rsidR="003127A2" w:rsidRPr="002A30B3" w:rsidRDefault="00F66817" w:rsidP="009D7671">
            <w:pPr>
              <w:jc w:val="center"/>
              <w:rPr>
                <w:rFonts w:ascii="Arial Narrow" w:hAnsi="Arial Narrow"/>
                <w:sz w:val="20"/>
              </w:rPr>
            </w:pPr>
            <w:r w:rsidRPr="002A30B3">
              <w:rPr>
                <w:rFonts w:ascii="Arial Narrow" w:hAnsi="Arial Narrow"/>
                <w:sz w:val="20"/>
              </w:rPr>
              <w:t>2 g</w:t>
            </w:r>
          </w:p>
        </w:tc>
        <w:tc>
          <w:tcPr>
            <w:tcW w:w="2086" w:type="dxa"/>
            <w:vAlign w:val="center"/>
          </w:tcPr>
          <w:p w14:paraId="7BF89033" w14:textId="77777777" w:rsidR="003127A2" w:rsidRPr="002A30B3" w:rsidRDefault="003127A2" w:rsidP="009D7671">
            <w:pPr>
              <w:jc w:val="center"/>
              <w:rPr>
                <w:rFonts w:ascii="Arial Narrow" w:hAnsi="Arial Narrow"/>
                <w:sz w:val="20"/>
              </w:rPr>
            </w:pPr>
            <w:r w:rsidRPr="002A30B3">
              <w:rPr>
                <w:rFonts w:ascii="Arial Narrow" w:hAnsi="Arial Narrow"/>
                <w:sz w:val="20"/>
              </w:rPr>
              <w:t>Once daily or in divided doses</w:t>
            </w:r>
          </w:p>
        </w:tc>
      </w:tr>
      <w:tr w:rsidR="003127A2" w:rsidRPr="002A30B3" w14:paraId="3B5A87D7" w14:textId="77777777" w:rsidTr="003127A2">
        <w:tc>
          <w:tcPr>
            <w:tcW w:w="1400" w:type="dxa"/>
            <w:vMerge/>
            <w:vAlign w:val="center"/>
          </w:tcPr>
          <w:p w14:paraId="17B627E9" w14:textId="77777777" w:rsidR="003127A2" w:rsidRPr="002A30B3" w:rsidRDefault="003127A2" w:rsidP="009D7671">
            <w:pPr>
              <w:rPr>
                <w:rFonts w:ascii="Arial Narrow" w:hAnsi="Arial Narrow"/>
                <w:sz w:val="20"/>
              </w:rPr>
            </w:pPr>
          </w:p>
        </w:tc>
        <w:tc>
          <w:tcPr>
            <w:tcW w:w="2296" w:type="dxa"/>
            <w:vAlign w:val="center"/>
          </w:tcPr>
          <w:p w14:paraId="4225C2FA" w14:textId="77777777" w:rsidR="003127A2" w:rsidRPr="002A30B3" w:rsidRDefault="003127A2" w:rsidP="009D7671">
            <w:pPr>
              <w:jc w:val="left"/>
              <w:rPr>
                <w:rFonts w:ascii="Arial Narrow" w:hAnsi="Arial Narrow"/>
                <w:sz w:val="20"/>
              </w:rPr>
            </w:pPr>
            <w:r w:rsidRPr="002A30B3">
              <w:rPr>
                <w:rFonts w:ascii="Arial Narrow" w:hAnsi="Arial Narrow"/>
                <w:sz w:val="20"/>
              </w:rPr>
              <w:t>Prolonged release granules</w:t>
            </w:r>
          </w:p>
        </w:tc>
        <w:tc>
          <w:tcPr>
            <w:tcW w:w="1252" w:type="dxa"/>
            <w:vAlign w:val="center"/>
          </w:tcPr>
          <w:p w14:paraId="3DB5C68A" w14:textId="23D5C423" w:rsidR="003127A2" w:rsidRPr="002A30B3" w:rsidRDefault="003127A2" w:rsidP="009D7671">
            <w:pPr>
              <w:jc w:val="center"/>
              <w:rPr>
                <w:rFonts w:ascii="Arial Narrow" w:hAnsi="Arial Narrow"/>
                <w:sz w:val="20"/>
              </w:rPr>
            </w:pPr>
            <w:r w:rsidRPr="002A30B3">
              <w:rPr>
                <w:rFonts w:ascii="Arial Narrow" w:hAnsi="Arial Narrow"/>
                <w:sz w:val="20"/>
              </w:rPr>
              <w:t xml:space="preserve">Up to </w:t>
            </w:r>
            <w:r w:rsidR="00F66817" w:rsidRPr="002A30B3">
              <w:rPr>
                <w:rFonts w:ascii="Arial Narrow" w:hAnsi="Arial Narrow"/>
                <w:sz w:val="20"/>
              </w:rPr>
              <w:t>4 g</w:t>
            </w:r>
          </w:p>
        </w:tc>
        <w:tc>
          <w:tcPr>
            <w:tcW w:w="1253" w:type="dxa"/>
            <w:vAlign w:val="center"/>
          </w:tcPr>
          <w:p w14:paraId="018E6E2F" w14:textId="0E0A7F1E" w:rsidR="003127A2" w:rsidRPr="002A30B3" w:rsidRDefault="00F66817" w:rsidP="009D7671">
            <w:pPr>
              <w:jc w:val="center"/>
              <w:rPr>
                <w:rFonts w:ascii="Arial Narrow" w:hAnsi="Arial Narrow"/>
                <w:sz w:val="20"/>
              </w:rPr>
            </w:pPr>
            <w:r w:rsidRPr="002A30B3">
              <w:rPr>
                <w:rFonts w:ascii="Arial Narrow" w:hAnsi="Arial Narrow"/>
                <w:sz w:val="20"/>
              </w:rPr>
              <w:t>2 g</w:t>
            </w:r>
          </w:p>
        </w:tc>
        <w:tc>
          <w:tcPr>
            <w:tcW w:w="2086" w:type="dxa"/>
            <w:vAlign w:val="center"/>
          </w:tcPr>
          <w:p w14:paraId="5025B094" w14:textId="77777777" w:rsidR="003127A2" w:rsidRPr="002A30B3" w:rsidRDefault="003127A2" w:rsidP="009D7671">
            <w:pPr>
              <w:jc w:val="center"/>
              <w:rPr>
                <w:rFonts w:ascii="Arial Narrow" w:hAnsi="Arial Narrow"/>
                <w:sz w:val="20"/>
              </w:rPr>
            </w:pPr>
            <w:r w:rsidRPr="002A30B3">
              <w:rPr>
                <w:rFonts w:ascii="Arial Narrow" w:hAnsi="Arial Narrow"/>
                <w:sz w:val="20"/>
              </w:rPr>
              <w:t>Once daily or in divided doses</w:t>
            </w:r>
          </w:p>
        </w:tc>
      </w:tr>
      <w:tr w:rsidR="003127A2" w:rsidRPr="002A30B3" w14:paraId="34673990" w14:textId="77777777" w:rsidTr="003127A2">
        <w:tc>
          <w:tcPr>
            <w:tcW w:w="1400" w:type="dxa"/>
            <w:vMerge w:val="restart"/>
            <w:vAlign w:val="center"/>
          </w:tcPr>
          <w:p w14:paraId="1B1A1BD3" w14:textId="77777777" w:rsidR="003127A2" w:rsidRPr="002A30B3" w:rsidRDefault="003127A2" w:rsidP="009D7671">
            <w:pPr>
              <w:rPr>
                <w:rFonts w:ascii="Arial Narrow" w:hAnsi="Arial Narrow"/>
                <w:sz w:val="20"/>
              </w:rPr>
            </w:pPr>
            <w:r w:rsidRPr="002A30B3">
              <w:rPr>
                <w:rFonts w:ascii="Arial Narrow" w:hAnsi="Arial Narrow"/>
                <w:sz w:val="20"/>
              </w:rPr>
              <w:t>Salofalk</w:t>
            </w:r>
            <w:r w:rsidRPr="002A30B3">
              <w:rPr>
                <w:rFonts w:ascii="Arial Narrow" w:hAnsi="Arial Narrow"/>
                <w:sz w:val="20"/>
                <w:vertAlign w:val="superscript"/>
              </w:rPr>
              <w:t xml:space="preserve">a </w:t>
            </w:r>
            <w:r w:rsidRPr="002A30B3">
              <w:rPr>
                <w:rFonts w:ascii="Arial Narrow" w:hAnsi="Arial Narrow"/>
                <w:sz w:val="20"/>
              </w:rPr>
              <w:t>(mesalazine)</w:t>
            </w:r>
          </w:p>
        </w:tc>
        <w:tc>
          <w:tcPr>
            <w:tcW w:w="2296" w:type="dxa"/>
            <w:vAlign w:val="center"/>
          </w:tcPr>
          <w:p w14:paraId="53AA2386" w14:textId="77777777" w:rsidR="003127A2" w:rsidRPr="002A30B3" w:rsidRDefault="003127A2" w:rsidP="009D7671">
            <w:pPr>
              <w:jc w:val="left"/>
              <w:rPr>
                <w:rFonts w:ascii="Arial Narrow" w:hAnsi="Arial Narrow"/>
                <w:sz w:val="20"/>
              </w:rPr>
            </w:pPr>
            <w:r w:rsidRPr="002A30B3">
              <w:rPr>
                <w:rFonts w:ascii="Arial Narrow" w:hAnsi="Arial Narrow"/>
                <w:sz w:val="20"/>
              </w:rPr>
              <w:t>Gastro-resistant prolonged release tablets, pH≥6.0 release</w:t>
            </w:r>
          </w:p>
        </w:tc>
        <w:tc>
          <w:tcPr>
            <w:tcW w:w="1252" w:type="dxa"/>
            <w:vAlign w:val="center"/>
          </w:tcPr>
          <w:p w14:paraId="4121BC86" w14:textId="042D72F7" w:rsidR="003127A2" w:rsidRPr="002A30B3" w:rsidRDefault="00F66817" w:rsidP="009D7671">
            <w:pPr>
              <w:jc w:val="center"/>
              <w:rPr>
                <w:rFonts w:ascii="Arial Narrow" w:hAnsi="Arial Narrow"/>
                <w:sz w:val="20"/>
              </w:rPr>
            </w:pPr>
            <w:r w:rsidRPr="002A30B3">
              <w:rPr>
                <w:rFonts w:ascii="Arial Narrow" w:hAnsi="Arial Narrow"/>
                <w:sz w:val="20"/>
              </w:rPr>
              <w:t>1.5 g</w:t>
            </w:r>
            <w:r w:rsidR="003127A2" w:rsidRPr="002A30B3">
              <w:rPr>
                <w:rFonts w:ascii="Arial Narrow" w:hAnsi="Arial Narrow"/>
                <w:sz w:val="20"/>
              </w:rPr>
              <w:t xml:space="preserve"> to </w:t>
            </w:r>
            <w:r w:rsidRPr="002A30B3">
              <w:rPr>
                <w:rFonts w:ascii="Arial Narrow" w:hAnsi="Arial Narrow"/>
                <w:sz w:val="20"/>
              </w:rPr>
              <w:t>3 g</w:t>
            </w:r>
          </w:p>
        </w:tc>
        <w:tc>
          <w:tcPr>
            <w:tcW w:w="1253" w:type="dxa"/>
            <w:vAlign w:val="center"/>
          </w:tcPr>
          <w:p w14:paraId="464A2949" w14:textId="4F22A044" w:rsidR="003127A2" w:rsidRPr="002A30B3" w:rsidRDefault="00F66817" w:rsidP="009D7671">
            <w:pPr>
              <w:jc w:val="center"/>
              <w:rPr>
                <w:rFonts w:ascii="Arial Narrow" w:hAnsi="Arial Narrow"/>
                <w:sz w:val="20"/>
              </w:rPr>
            </w:pPr>
            <w:r w:rsidRPr="002A30B3">
              <w:rPr>
                <w:rFonts w:ascii="Arial Narrow" w:hAnsi="Arial Narrow"/>
                <w:sz w:val="20"/>
              </w:rPr>
              <w:t>1.5 g</w:t>
            </w:r>
          </w:p>
        </w:tc>
        <w:tc>
          <w:tcPr>
            <w:tcW w:w="2086" w:type="dxa"/>
            <w:vAlign w:val="center"/>
          </w:tcPr>
          <w:p w14:paraId="261EAFBC" w14:textId="77777777" w:rsidR="003127A2" w:rsidRPr="002A30B3" w:rsidRDefault="003127A2" w:rsidP="009D7671">
            <w:pPr>
              <w:jc w:val="center"/>
              <w:rPr>
                <w:rFonts w:ascii="Arial Narrow" w:hAnsi="Arial Narrow"/>
                <w:sz w:val="20"/>
              </w:rPr>
            </w:pPr>
            <w:r w:rsidRPr="002A30B3">
              <w:rPr>
                <w:rFonts w:ascii="Arial Narrow" w:hAnsi="Arial Narrow"/>
                <w:sz w:val="20"/>
              </w:rPr>
              <w:t>Once daily or in divided doses</w:t>
            </w:r>
          </w:p>
        </w:tc>
      </w:tr>
      <w:tr w:rsidR="003127A2" w:rsidRPr="002A30B3" w14:paraId="1D06F6D4" w14:textId="77777777" w:rsidTr="003127A2">
        <w:tc>
          <w:tcPr>
            <w:tcW w:w="1400" w:type="dxa"/>
            <w:vMerge/>
            <w:vAlign w:val="center"/>
          </w:tcPr>
          <w:p w14:paraId="77181969" w14:textId="77777777" w:rsidR="003127A2" w:rsidRPr="002A30B3" w:rsidRDefault="003127A2" w:rsidP="009D7671">
            <w:pPr>
              <w:rPr>
                <w:rFonts w:ascii="Arial Narrow" w:hAnsi="Arial Narrow"/>
                <w:sz w:val="20"/>
              </w:rPr>
            </w:pPr>
          </w:p>
        </w:tc>
        <w:tc>
          <w:tcPr>
            <w:tcW w:w="2296" w:type="dxa"/>
            <w:vAlign w:val="center"/>
          </w:tcPr>
          <w:p w14:paraId="7293C8A7" w14:textId="77777777" w:rsidR="003127A2" w:rsidRPr="002A30B3" w:rsidRDefault="003127A2" w:rsidP="009D7671">
            <w:pPr>
              <w:jc w:val="left"/>
              <w:rPr>
                <w:rFonts w:ascii="Arial Narrow" w:hAnsi="Arial Narrow"/>
                <w:sz w:val="20"/>
              </w:rPr>
            </w:pPr>
            <w:r w:rsidRPr="002A30B3">
              <w:rPr>
                <w:rFonts w:ascii="Arial Narrow" w:hAnsi="Arial Narrow"/>
                <w:sz w:val="20"/>
              </w:rPr>
              <w:t>Gastro-resistant prolonged release granules, pH≥6.0 release</w:t>
            </w:r>
          </w:p>
        </w:tc>
        <w:tc>
          <w:tcPr>
            <w:tcW w:w="1252" w:type="dxa"/>
            <w:vAlign w:val="center"/>
          </w:tcPr>
          <w:p w14:paraId="2A85A415" w14:textId="408E3B45" w:rsidR="003127A2" w:rsidRPr="002A30B3" w:rsidRDefault="00F66817" w:rsidP="009D7671">
            <w:pPr>
              <w:jc w:val="center"/>
              <w:rPr>
                <w:rFonts w:ascii="Arial Narrow" w:hAnsi="Arial Narrow"/>
                <w:sz w:val="20"/>
              </w:rPr>
            </w:pPr>
            <w:r w:rsidRPr="002A30B3">
              <w:rPr>
                <w:rFonts w:ascii="Arial Narrow" w:hAnsi="Arial Narrow"/>
                <w:sz w:val="20"/>
              </w:rPr>
              <w:t>1.5 g</w:t>
            </w:r>
            <w:r w:rsidR="003127A2" w:rsidRPr="002A30B3">
              <w:rPr>
                <w:rFonts w:ascii="Arial Narrow" w:hAnsi="Arial Narrow"/>
                <w:sz w:val="20"/>
              </w:rPr>
              <w:t xml:space="preserve"> to </w:t>
            </w:r>
            <w:r w:rsidRPr="002A30B3">
              <w:rPr>
                <w:rFonts w:ascii="Arial Narrow" w:hAnsi="Arial Narrow"/>
                <w:sz w:val="20"/>
              </w:rPr>
              <w:t>3 g</w:t>
            </w:r>
          </w:p>
        </w:tc>
        <w:tc>
          <w:tcPr>
            <w:tcW w:w="1253" w:type="dxa"/>
            <w:vAlign w:val="center"/>
          </w:tcPr>
          <w:p w14:paraId="63F48561" w14:textId="12055EFE" w:rsidR="003127A2" w:rsidRPr="002A30B3" w:rsidRDefault="00F66817" w:rsidP="009D7671">
            <w:pPr>
              <w:jc w:val="center"/>
              <w:rPr>
                <w:rFonts w:ascii="Arial Narrow" w:hAnsi="Arial Narrow"/>
                <w:sz w:val="20"/>
              </w:rPr>
            </w:pPr>
            <w:r w:rsidRPr="002A30B3">
              <w:rPr>
                <w:rFonts w:ascii="Arial Narrow" w:hAnsi="Arial Narrow"/>
                <w:sz w:val="20"/>
              </w:rPr>
              <w:t>1.5 g</w:t>
            </w:r>
          </w:p>
        </w:tc>
        <w:tc>
          <w:tcPr>
            <w:tcW w:w="2086" w:type="dxa"/>
            <w:vAlign w:val="center"/>
          </w:tcPr>
          <w:p w14:paraId="36ADCC94" w14:textId="77777777" w:rsidR="003127A2" w:rsidRPr="002A30B3" w:rsidRDefault="003127A2" w:rsidP="009D7671">
            <w:pPr>
              <w:jc w:val="center"/>
              <w:rPr>
                <w:rFonts w:ascii="Arial Narrow" w:hAnsi="Arial Narrow"/>
                <w:sz w:val="20"/>
              </w:rPr>
            </w:pPr>
            <w:r w:rsidRPr="002A30B3">
              <w:rPr>
                <w:rFonts w:ascii="Arial Narrow" w:hAnsi="Arial Narrow"/>
                <w:sz w:val="20"/>
              </w:rPr>
              <w:t>Once daily or in divided doses</w:t>
            </w:r>
          </w:p>
        </w:tc>
      </w:tr>
      <w:tr w:rsidR="003127A2" w:rsidRPr="002A30B3" w14:paraId="13311E1E" w14:textId="77777777" w:rsidTr="003127A2">
        <w:tc>
          <w:tcPr>
            <w:tcW w:w="1400" w:type="dxa"/>
            <w:vAlign w:val="center"/>
          </w:tcPr>
          <w:p w14:paraId="2F37D24C" w14:textId="77777777" w:rsidR="003127A2" w:rsidRPr="002A30B3" w:rsidRDefault="003127A2" w:rsidP="009D7671">
            <w:pPr>
              <w:rPr>
                <w:rFonts w:ascii="Arial Narrow" w:hAnsi="Arial Narrow"/>
                <w:sz w:val="20"/>
              </w:rPr>
            </w:pPr>
            <w:r w:rsidRPr="002A30B3">
              <w:rPr>
                <w:rFonts w:ascii="Arial Narrow" w:hAnsi="Arial Narrow"/>
                <w:sz w:val="20"/>
              </w:rPr>
              <w:t>Mesasal</w:t>
            </w:r>
            <w:r w:rsidRPr="002A30B3">
              <w:rPr>
                <w:rFonts w:ascii="Arial Narrow" w:hAnsi="Arial Narrow"/>
                <w:sz w:val="20"/>
                <w:vertAlign w:val="superscript"/>
              </w:rPr>
              <w:t>a</w:t>
            </w:r>
            <w:r w:rsidRPr="002A30B3">
              <w:rPr>
                <w:rFonts w:ascii="Arial Narrow" w:hAnsi="Arial Narrow"/>
                <w:sz w:val="20"/>
              </w:rPr>
              <w:t xml:space="preserve"> (mesalazine)</w:t>
            </w:r>
          </w:p>
        </w:tc>
        <w:tc>
          <w:tcPr>
            <w:tcW w:w="2296" w:type="dxa"/>
            <w:vAlign w:val="center"/>
          </w:tcPr>
          <w:p w14:paraId="0B8B78B1" w14:textId="77777777" w:rsidR="003127A2" w:rsidRPr="002A30B3" w:rsidRDefault="003127A2" w:rsidP="009D7671">
            <w:pPr>
              <w:jc w:val="left"/>
              <w:rPr>
                <w:rFonts w:ascii="Arial Narrow" w:hAnsi="Arial Narrow"/>
                <w:sz w:val="20"/>
              </w:rPr>
            </w:pPr>
            <w:r w:rsidRPr="002A30B3">
              <w:rPr>
                <w:rFonts w:ascii="Arial Narrow" w:hAnsi="Arial Narrow"/>
                <w:sz w:val="20"/>
              </w:rPr>
              <w:t>Enteric coated tablets, pH≥6.4</w:t>
            </w:r>
          </w:p>
        </w:tc>
        <w:tc>
          <w:tcPr>
            <w:tcW w:w="1252" w:type="dxa"/>
            <w:vAlign w:val="center"/>
          </w:tcPr>
          <w:p w14:paraId="00A1D1EE" w14:textId="452BF0C8" w:rsidR="003127A2" w:rsidRPr="002A30B3" w:rsidRDefault="00F66817" w:rsidP="009D7671">
            <w:pPr>
              <w:jc w:val="center"/>
              <w:rPr>
                <w:rFonts w:ascii="Arial Narrow" w:hAnsi="Arial Narrow"/>
                <w:sz w:val="20"/>
              </w:rPr>
            </w:pPr>
            <w:r w:rsidRPr="002A30B3">
              <w:rPr>
                <w:rFonts w:ascii="Arial Narrow" w:hAnsi="Arial Narrow"/>
                <w:sz w:val="20"/>
              </w:rPr>
              <w:t>1.5 g</w:t>
            </w:r>
          </w:p>
        </w:tc>
        <w:tc>
          <w:tcPr>
            <w:tcW w:w="1253" w:type="dxa"/>
            <w:vAlign w:val="center"/>
          </w:tcPr>
          <w:p w14:paraId="5AFF50B4" w14:textId="0D7005F4" w:rsidR="003127A2" w:rsidRPr="002A30B3" w:rsidRDefault="00F66817" w:rsidP="009D7671">
            <w:pPr>
              <w:jc w:val="center"/>
              <w:rPr>
                <w:rFonts w:ascii="Arial Narrow" w:hAnsi="Arial Narrow"/>
                <w:sz w:val="20"/>
              </w:rPr>
            </w:pPr>
            <w:r w:rsidRPr="002A30B3">
              <w:rPr>
                <w:rFonts w:ascii="Arial Narrow" w:hAnsi="Arial Narrow"/>
                <w:sz w:val="20"/>
              </w:rPr>
              <w:t>0.75 g</w:t>
            </w:r>
          </w:p>
        </w:tc>
        <w:tc>
          <w:tcPr>
            <w:tcW w:w="2086" w:type="dxa"/>
            <w:vAlign w:val="center"/>
          </w:tcPr>
          <w:p w14:paraId="0FC800E8" w14:textId="77777777" w:rsidR="003127A2" w:rsidRPr="002A30B3" w:rsidRDefault="003127A2" w:rsidP="009D7671">
            <w:pPr>
              <w:jc w:val="center"/>
              <w:rPr>
                <w:rFonts w:ascii="Arial Narrow" w:hAnsi="Arial Narrow"/>
                <w:sz w:val="20"/>
              </w:rPr>
            </w:pPr>
            <w:r w:rsidRPr="002A30B3">
              <w:rPr>
                <w:rFonts w:ascii="Arial Narrow" w:hAnsi="Arial Narrow"/>
                <w:sz w:val="20"/>
              </w:rPr>
              <w:t>Divided doses</w:t>
            </w:r>
          </w:p>
        </w:tc>
      </w:tr>
    </w:tbl>
    <w:p w14:paraId="5E5D1D51" w14:textId="23F1E65F" w:rsidR="0069254B" w:rsidRPr="002A30B3" w:rsidRDefault="0069254B" w:rsidP="003127A2">
      <w:pPr>
        <w:pStyle w:val="TableFooter"/>
        <w:ind w:firstLine="720"/>
      </w:pPr>
      <w:r w:rsidRPr="002A30B3">
        <w:t>Source: Table 2, p3 and Figure 2, p</w:t>
      </w:r>
      <w:r w:rsidR="007C04C0" w:rsidRPr="002A30B3">
        <w:t>8</w:t>
      </w:r>
      <w:r w:rsidRPr="002A30B3">
        <w:t xml:space="preserve"> of the submission, Asacol, Mezavant, Pentasa, Salofalk and Mesasal Product Information</w:t>
      </w:r>
    </w:p>
    <w:p w14:paraId="2B8981DA" w14:textId="6F610B09" w:rsidR="002C2775" w:rsidRPr="002A30B3" w:rsidRDefault="00E1404B" w:rsidP="007451D5">
      <w:pPr>
        <w:pStyle w:val="ListParagraph"/>
        <w:widowControl/>
        <w:rPr>
          <w:szCs w:val="22"/>
        </w:rPr>
      </w:pPr>
      <w:r w:rsidRPr="002A30B3">
        <w:rPr>
          <w:szCs w:val="22"/>
        </w:rPr>
        <w:t xml:space="preserve"> </w:t>
      </w:r>
    </w:p>
    <w:p w14:paraId="1EFAD508" w14:textId="2B873F1F" w:rsidR="007451D5" w:rsidRPr="002A30B3" w:rsidRDefault="007451D5" w:rsidP="003127A2">
      <w:pPr>
        <w:pStyle w:val="ListParagraph"/>
        <w:widowControl/>
        <w:numPr>
          <w:ilvl w:val="1"/>
          <w:numId w:val="5"/>
        </w:numPr>
        <w:rPr>
          <w:szCs w:val="22"/>
        </w:rPr>
      </w:pPr>
      <w:r w:rsidRPr="002A30B3">
        <w:rPr>
          <w:szCs w:val="22"/>
        </w:rPr>
        <w:t xml:space="preserve">Any further reference to Asacol </w:t>
      </w:r>
      <w:r w:rsidR="000757AB" w:rsidRPr="002A30B3">
        <w:rPr>
          <w:szCs w:val="22"/>
        </w:rPr>
        <w:t xml:space="preserve">in </w:t>
      </w:r>
      <w:r w:rsidR="00880839" w:rsidRPr="002A30B3">
        <w:rPr>
          <w:szCs w:val="22"/>
        </w:rPr>
        <w:t>this document</w:t>
      </w:r>
      <w:r w:rsidR="000757AB" w:rsidRPr="002A30B3">
        <w:rPr>
          <w:szCs w:val="22"/>
        </w:rPr>
        <w:t xml:space="preserve"> </w:t>
      </w:r>
      <w:r w:rsidRPr="002A30B3">
        <w:rPr>
          <w:szCs w:val="22"/>
        </w:rPr>
        <w:t xml:space="preserve">refers to the </w:t>
      </w:r>
      <w:r w:rsidR="00F66817" w:rsidRPr="002A30B3">
        <w:rPr>
          <w:szCs w:val="22"/>
        </w:rPr>
        <w:t xml:space="preserve">800 mg </w:t>
      </w:r>
      <w:r w:rsidRPr="002A30B3">
        <w:rPr>
          <w:szCs w:val="22"/>
        </w:rPr>
        <w:t xml:space="preserve">mesalazine enteric coated tablet formulation. </w:t>
      </w:r>
      <w:r w:rsidR="00880839" w:rsidRPr="002A30B3">
        <w:rPr>
          <w:szCs w:val="22"/>
        </w:rPr>
        <w:t>T</w:t>
      </w:r>
      <w:r w:rsidRPr="002A30B3">
        <w:rPr>
          <w:szCs w:val="22"/>
        </w:rPr>
        <w:t xml:space="preserve">he different oral formulations of mesalazine </w:t>
      </w:r>
      <w:r w:rsidR="00880839" w:rsidRPr="002A30B3">
        <w:rPr>
          <w:szCs w:val="22"/>
        </w:rPr>
        <w:t xml:space="preserve">are also referred to </w:t>
      </w:r>
      <w:r w:rsidRPr="002A30B3">
        <w:rPr>
          <w:szCs w:val="22"/>
        </w:rPr>
        <w:t>using proprietary names.</w:t>
      </w:r>
    </w:p>
    <w:p w14:paraId="76BE1093" w14:textId="77777777" w:rsidR="000521F1" w:rsidRPr="002A30B3" w:rsidRDefault="000521F1" w:rsidP="000521F1">
      <w:pPr>
        <w:pStyle w:val="ListParagraph"/>
        <w:widowControl/>
        <w:rPr>
          <w:szCs w:val="22"/>
        </w:rPr>
      </w:pPr>
    </w:p>
    <w:p w14:paraId="748EDC3F" w14:textId="77777777" w:rsidR="000521F1" w:rsidRPr="002A30B3" w:rsidRDefault="000521F1" w:rsidP="000521F1">
      <w:pPr>
        <w:pStyle w:val="ListParagraph"/>
        <w:widowControl/>
        <w:rPr>
          <w:szCs w:val="22"/>
        </w:rPr>
      </w:pPr>
    </w:p>
    <w:p w14:paraId="7075B85C" w14:textId="77777777" w:rsidR="00B50DB8" w:rsidRPr="002A30B3" w:rsidRDefault="00B50DB8" w:rsidP="00D17BFB">
      <w:pPr>
        <w:pStyle w:val="Heading2"/>
        <w:widowControl/>
        <w:numPr>
          <w:ilvl w:val="0"/>
          <w:numId w:val="5"/>
        </w:numPr>
        <w:snapToGrid w:val="0"/>
        <w:jc w:val="left"/>
      </w:pPr>
      <w:bookmarkStart w:id="5" w:name="_Toc470161811"/>
      <w:r w:rsidRPr="002A30B3">
        <w:rPr>
          <w:snapToGrid/>
          <w:szCs w:val="22"/>
        </w:rPr>
        <w:t>Clinical place for the proposed therapy</w:t>
      </w:r>
      <w:bookmarkEnd w:id="5"/>
    </w:p>
    <w:p w14:paraId="7D83E5E1" w14:textId="01C40BC6" w:rsidR="00B60939" w:rsidRPr="002A30B3" w:rsidRDefault="00B60939" w:rsidP="00B60939">
      <w:pPr>
        <w:rPr>
          <w:szCs w:val="22"/>
        </w:rPr>
      </w:pPr>
    </w:p>
    <w:p w14:paraId="4816DCE1" w14:textId="2D1DB20C" w:rsidR="00B60939" w:rsidRPr="002A30B3" w:rsidRDefault="00E1404B" w:rsidP="003F73CE">
      <w:pPr>
        <w:pStyle w:val="ListParagraph"/>
        <w:widowControl/>
        <w:numPr>
          <w:ilvl w:val="1"/>
          <w:numId w:val="5"/>
        </w:numPr>
        <w:rPr>
          <w:szCs w:val="22"/>
        </w:rPr>
      </w:pPr>
      <w:r w:rsidRPr="002A30B3">
        <w:t>Mesalazine belongs to the 5-aminosalicylic acid (5-ASA) class of drugs used for the treatment of ulcerative colitis, a chronic inflammatory bowel condition characterised by relapsing and remitting episodes limited to the colon.</w:t>
      </w:r>
      <w:r w:rsidR="000B61CA" w:rsidRPr="002A30B3">
        <w:t xml:space="preserve"> Asacol</w:t>
      </w:r>
      <w:r w:rsidR="002B7157" w:rsidRPr="002A30B3">
        <w:t xml:space="preserve"> is an enteric coated tablet, formulated to be gastro-resistant </w:t>
      </w:r>
      <w:r w:rsidR="000B61CA" w:rsidRPr="002A30B3">
        <w:t xml:space="preserve">that </w:t>
      </w:r>
      <w:r w:rsidR="002B7157" w:rsidRPr="002A30B3">
        <w:t xml:space="preserve">releases at the terminal ileum and colon (pH 7 and above). </w:t>
      </w:r>
    </w:p>
    <w:p w14:paraId="3AB5F221" w14:textId="77777777" w:rsidR="00E1404B" w:rsidRPr="002A30B3" w:rsidRDefault="00E1404B" w:rsidP="00E1404B">
      <w:pPr>
        <w:pStyle w:val="ListParagraph"/>
        <w:widowControl/>
        <w:rPr>
          <w:szCs w:val="22"/>
        </w:rPr>
      </w:pPr>
    </w:p>
    <w:p w14:paraId="122F9F0C" w14:textId="0FF7E1AA" w:rsidR="00A45A84" w:rsidRPr="002A30B3" w:rsidRDefault="00E1404B" w:rsidP="00A45A84">
      <w:pPr>
        <w:pStyle w:val="ListParagraph"/>
        <w:widowControl/>
        <w:numPr>
          <w:ilvl w:val="1"/>
          <w:numId w:val="5"/>
        </w:numPr>
        <w:rPr>
          <w:szCs w:val="22"/>
        </w:rPr>
      </w:pPr>
      <w:r w:rsidRPr="002A30B3">
        <w:rPr>
          <w:szCs w:val="22"/>
        </w:rPr>
        <w:t xml:space="preserve">The proposed treatment algorithm was a simplified representation of the treatment options for patients </w:t>
      </w:r>
      <w:r w:rsidR="00A45A84" w:rsidRPr="002A30B3">
        <w:rPr>
          <w:szCs w:val="22"/>
        </w:rPr>
        <w:t xml:space="preserve">with ulcerative colitis. The algorithm </w:t>
      </w:r>
      <w:r w:rsidR="00ED164A" w:rsidRPr="002A30B3">
        <w:rPr>
          <w:szCs w:val="22"/>
        </w:rPr>
        <w:t>i</w:t>
      </w:r>
      <w:r w:rsidR="00A45A84" w:rsidRPr="002A30B3">
        <w:rPr>
          <w:szCs w:val="22"/>
        </w:rPr>
        <w:t>s consistent with the proposed restriction but wider than the approved TGA indicatio</w:t>
      </w:r>
      <w:r w:rsidR="000B61CA" w:rsidRPr="002A30B3">
        <w:rPr>
          <w:szCs w:val="22"/>
        </w:rPr>
        <w:t>n as use of mesalazine is not limited to adults with mild to moderate disease.</w:t>
      </w:r>
      <w:r w:rsidR="00A45A84" w:rsidRPr="002A30B3">
        <w:rPr>
          <w:szCs w:val="22"/>
        </w:rPr>
        <w:t xml:space="preserve"> </w:t>
      </w:r>
    </w:p>
    <w:p w14:paraId="32E5F35C" w14:textId="77777777" w:rsidR="00E1404B" w:rsidRPr="002A30B3" w:rsidRDefault="00E1404B" w:rsidP="00894489">
      <w:pPr>
        <w:widowControl/>
        <w:rPr>
          <w:szCs w:val="22"/>
        </w:rPr>
      </w:pPr>
    </w:p>
    <w:p w14:paraId="00578672" w14:textId="5B3B3664" w:rsidR="00B60939" w:rsidRPr="002A30B3" w:rsidRDefault="002B7157" w:rsidP="003F73CE">
      <w:pPr>
        <w:pStyle w:val="ListParagraph"/>
        <w:widowControl/>
        <w:numPr>
          <w:ilvl w:val="1"/>
          <w:numId w:val="5"/>
        </w:numPr>
        <w:rPr>
          <w:szCs w:val="22"/>
        </w:rPr>
      </w:pPr>
      <w:r w:rsidRPr="002A30B3">
        <w:rPr>
          <w:szCs w:val="22"/>
        </w:rPr>
        <w:lastRenderedPageBreak/>
        <w:t xml:space="preserve">The submission positioned Asacol as a treatment alternative to other oral formulations of mesalazine used as first-line treatment in the induction of remission or maintenance therapy for ulcerative colitis. The recommended </w:t>
      </w:r>
      <w:r w:rsidR="00ED164A" w:rsidRPr="002A30B3">
        <w:rPr>
          <w:szCs w:val="22"/>
        </w:rPr>
        <w:t xml:space="preserve">daily </w:t>
      </w:r>
      <w:r w:rsidRPr="002A30B3">
        <w:rPr>
          <w:szCs w:val="22"/>
        </w:rPr>
        <w:t xml:space="preserve">dose </w:t>
      </w:r>
      <w:r w:rsidR="00ED164A" w:rsidRPr="002A30B3">
        <w:rPr>
          <w:szCs w:val="22"/>
        </w:rPr>
        <w:t xml:space="preserve">of Asacol </w:t>
      </w:r>
      <w:r w:rsidRPr="002A30B3">
        <w:rPr>
          <w:szCs w:val="22"/>
        </w:rPr>
        <w:t xml:space="preserve">is </w:t>
      </w:r>
      <w:r w:rsidR="00F66817" w:rsidRPr="002A30B3">
        <w:rPr>
          <w:szCs w:val="22"/>
        </w:rPr>
        <w:t>2.4 g</w:t>
      </w:r>
      <w:r w:rsidRPr="002A30B3">
        <w:rPr>
          <w:szCs w:val="22"/>
        </w:rPr>
        <w:t xml:space="preserve"> to </w:t>
      </w:r>
      <w:r w:rsidR="00F66817" w:rsidRPr="002A30B3">
        <w:rPr>
          <w:szCs w:val="22"/>
        </w:rPr>
        <w:t>4.8 g</w:t>
      </w:r>
      <w:r w:rsidRPr="002A30B3">
        <w:rPr>
          <w:szCs w:val="22"/>
        </w:rPr>
        <w:t xml:space="preserve"> for induction of remission and </w:t>
      </w:r>
      <w:r w:rsidR="00F66817" w:rsidRPr="002A30B3">
        <w:rPr>
          <w:szCs w:val="22"/>
        </w:rPr>
        <w:t>1.6 g</w:t>
      </w:r>
      <w:r w:rsidRPr="002A30B3">
        <w:rPr>
          <w:szCs w:val="22"/>
        </w:rPr>
        <w:t xml:space="preserve"> to </w:t>
      </w:r>
      <w:r w:rsidR="00F66817" w:rsidRPr="002A30B3">
        <w:rPr>
          <w:szCs w:val="22"/>
        </w:rPr>
        <w:t>2.4 g</w:t>
      </w:r>
      <w:r w:rsidRPr="002A30B3">
        <w:rPr>
          <w:szCs w:val="22"/>
        </w:rPr>
        <w:t xml:space="preserve"> for maintenance of remission.</w:t>
      </w:r>
      <w:r w:rsidR="000B61CA" w:rsidRPr="002A30B3">
        <w:rPr>
          <w:szCs w:val="22"/>
        </w:rPr>
        <w:t xml:space="preserve"> There were differences in recommended doses for each oral mesalazine formulation, with published guidelines suggesting a range of </w:t>
      </w:r>
      <w:r w:rsidR="00E4260B" w:rsidRPr="002A30B3">
        <w:rPr>
          <w:szCs w:val="22"/>
        </w:rPr>
        <w:t>2.0 g</w:t>
      </w:r>
      <w:r w:rsidR="000B61CA" w:rsidRPr="002A30B3">
        <w:rPr>
          <w:szCs w:val="22"/>
        </w:rPr>
        <w:t xml:space="preserve"> to </w:t>
      </w:r>
      <w:r w:rsidR="00F66817" w:rsidRPr="002A30B3">
        <w:rPr>
          <w:szCs w:val="22"/>
        </w:rPr>
        <w:t>4.8 g</w:t>
      </w:r>
      <w:r w:rsidR="000B61CA" w:rsidRPr="002A30B3">
        <w:rPr>
          <w:szCs w:val="22"/>
        </w:rPr>
        <w:t xml:space="preserve"> per day for induction of remission and 1.0</w:t>
      </w:r>
      <w:r w:rsidR="00880839" w:rsidRPr="002A30B3">
        <w:rPr>
          <w:szCs w:val="22"/>
        </w:rPr>
        <w:t xml:space="preserve"> </w:t>
      </w:r>
      <w:r w:rsidR="000B61CA" w:rsidRPr="002A30B3">
        <w:rPr>
          <w:szCs w:val="22"/>
        </w:rPr>
        <w:t>g to 3.0</w:t>
      </w:r>
      <w:r w:rsidR="00880839" w:rsidRPr="002A30B3">
        <w:rPr>
          <w:szCs w:val="22"/>
        </w:rPr>
        <w:t xml:space="preserve"> </w:t>
      </w:r>
      <w:r w:rsidR="000B61CA" w:rsidRPr="002A30B3">
        <w:rPr>
          <w:szCs w:val="22"/>
        </w:rPr>
        <w:t>g</w:t>
      </w:r>
      <w:r w:rsidR="0053138B" w:rsidRPr="002A30B3">
        <w:rPr>
          <w:szCs w:val="22"/>
        </w:rPr>
        <w:t xml:space="preserve"> daily for maintenance therapy.</w:t>
      </w:r>
    </w:p>
    <w:p w14:paraId="004B4A62" w14:textId="77777777" w:rsidR="002B7157" w:rsidRPr="002A30B3" w:rsidRDefault="002B7157" w:rsidP="002B7157">
      <w:pPr>
        <w:pStyle w:val="ListParagraph"/>
        <w:widowControl/>
        <w:rPr>
          <w:szCs w:val="22"/>
        </w:rPr>
      </w:pPr>
    </w:p>
    <w:p w14:paraId="4349C65A" w14:textId="14870653" w:rsidR="002B7157" w:rsidRPr="002A30B3" w:rsidRDefault="002B7157" w:rsidP="003F73CE">
      <w:pPr>
        <w:pStyle w:val="ListParagraph"/>
        <w:widowControl/>
        <w:numPr>
          <w:ilvl w:val="1"/>
          <w:numId w:val="5"/>
        </w:numPr>
        <w:rPr>
          <w:szCs w:val="22"/>
        </w:rPr>
      </w:pPr>
      <w:r w:rsidRPr="002A30B3">
        <w:rPr>
          <w:szCs w:val="22"/>
        </w:rPr>
        <w:t>Published guidelines d</w:t>
      </w:r>
      <w:r w:rsidR="00E475E0" w:rsidRPr="002A30B3">
        <w:rPr>
          <w:szCs w:val="22"/>
        </w:rPr>
        <w:t xml:space="preserve">o not differentiate between </w:t>
      </w:r>
      <w:r w:rsidRPr="002A30B3">
        <w:rPr>
          <w:szCs w:val="22"/>
        </w:rPr>
        <w:t xml:space="preserve">oral formulations of mesalazine </w:t>
      </w:r>
      <w:r w:rsidR="00E475E0" w:rsidRPr="002A30B3">
        <w:rPr>
          <w:szCs w:val="22"/>
        </w:rPr>
        <w:t xml:space="preserve">although the </w:t>
      </w:r>
      <w:r w:rsidR="00604296" w:rsidRPr="002A30B3">
        <w:rPr>
          <w:szCs w:val="22"/>
        </w:rPr>
        <w:t xml:space="preserve">Gastrointestinal </w:t>
      </w:r>
      <w:r w:rsidR="00E475E0" w:rsidRPr="002A30B3">
        <w:rPr>
          <w:szCs w:val="22"/>
        </w:rPr>
        <w:t xml:space="preserve">Therapeutic Guidelines </w:t>
      </w:r>
      <w:r w:rsidR="00604296" w:rsidRPr="002A30B3">
        <w:rPr>
          <w:szCs w:val="22"/>
        </w:rPr>
        <w:t xml:space="preserve">2016 </w:t>
      </w:r>
      <w:r w:rsidR="00E475E0" w:rsidRPr="002A30B3">
        <w:rPr>
          <w:szCs w:val="22"/>
        </w:rPr>
        <w:t xml:space="preserve">suggests that different brands of mesalazine are not interchangeable, especially if the disease is well-controlled. </w:t>
      </w:r>
    </w:p>
    <w:p w14:paraId="5552A20A" w14:textId="77777777" w:rsidR="00453FFC" w:rsidRPr="002A30B3" w:rsidRDefault="00453FFC" w:rsidP="00453FFC">
      <w:pPr>
        <w:pStyle w:val="ListParagraph"/>
        <w:rPr>
          <w:szCs w:val="22"/>
        </w:rPr>
      </w:pPr>
    </w:p>
    <w:p w14:paraId="3030F034" w14:textId="25E95198" w:rsidR="007D007F" w:rsidRPr="002A30B3" w:rsidRDefault="00821F75" w:rsidP="00121152">
      <w:pPr>
        <w:pStyle w:val="ListParagraph"/>
        <w:widowControl/>
        <w:numPr>
          <w:ilvl w:val="1"/>
          <w:numId w:val="5"/>
        </w:numPr>
        <w:rPr>
          <w:szCs w:val="22"/>
        </w:rPr>
      </w:pPr>
      <w:r w:rsidRPr="002A30B3">
        <w:rPr>
          <w:szCs w:val="22"/>
        </w:rPr>
        <w:t>The ESC advised that the clinical need for the therapy was unclear. The P</w:t>
      </w:r>
      <w:r w:rsidR="008E6740" w:rsidRPr="002A30B3">
        <w:rPr>
          <w:szCs w:val="22"/>
        </w:rPr>
        <w:t>re-</w:t>
      </w:r>
      <w:r w:rsidRPr="002A30B3">
        <w:rPr>
          <w:szCs w:val="22"/>
        </w:rPr>
        <w:t>S</w:t>
      </w:r>
      <w:r w:rsidR="008E6740" w:rsidRPr="002A30B3">
        <w:rPr>
          <w:szCs w:val="22"/>
        </w:rPr>
        <w:t>ub-</w:t>
      </w:r>
      <w:r w:rsidRPr="002A30B3">
        <w:rPr>
          <w:szCs w:val="22"/>
        </w:rPr>
        <w:t>C</w:t>
      </w:r>
      <w:r w:rsidR="008E6740" w:rsidRPr="002A30B3">
        <w:rPr>
          <w:szCs w:val="22"/>
        </w:rPr>
        <w:t xml:space="preserve">ommittee </w:t>
      </w:r>
      <w:r w:rsidRPr="002A30B3">
        <w:rPr>
          <w:szCs w:val="22"/>
        </w:rPr>
        <w:t>R</w:t>
      </w:r>
      <w:r w:rsidR="008E6740" w:rsidRPr="002A30B3">
        <w:rPr>
          <w:szCs w:val="22"/>
        </w:rPr>
        <w:t>esponse (PSCR)</w:t>
      </w:r>
      <w:r w:rsidRPr="002A30B3">
        <w:rPr>
          <w:szCs w:val="22"/>
        </w:rPr>
        <w:t xml:space="preserve"> </w:t>
      </w:r>
      <w:proofErr w:type="gramStart"/>
      <w:r w:rsidRPr="002A30B3">
        <w:rPr>
          <w:szCs w:val="22"/>
        </w:rPr>
        <w:t>claimed  that</w:t>
      </w:r>
      <w:proofErr w:type="gramEnd"/>
      <w:r w:rsidRPr="002A30B3">
        <w:rPr>
          <w:szCs w:val="22"/>
        </w:rPr>
        <w:t xml:space="preserve"> clinicians and patients may prefer the </w:t>
      </w:r>
      <w:r w:rsidR="00EB6FD9" w:rsidRPr="002A30B3">
        <w:rPr>
          <w:szCs w:val="22"/>
        </w:rPr>
        <w:t xml:space="preserve">flexibility in </w:t>
      </w:r>
      <w:r w:rsidRPr="002A30B3">
        <w:rPr>
          <w:szCs w:val="22"/>
        </w:rPr>
        <w:t>dose titration provided by Asacol 800 mg tablets</w:t>
      </w:r>
      <w:r w:rsidR="00243FA4" w:rsidRPr="002A30B3">
        <w:rPr>
          <w:szCs w:val="22"/>
        </w:rPr>
        <w:t xml:space="preserve">, </w:t>
      </w:r>
      <w:r w:rsidR="00243FA4" w:rsidRPr="002A30B3">
        <w:t>compared with Mezavant 1.2 g tablets</w:t>
      </w:r>
      <w:r w:rsidRPr="002A30B3">
        <w:rPr>
          <w:szCs w:val="22"/>
        </w:rPr>
        <w:t xml:space="preserve">. </w:t>
      </w:r>
      <w:r w:rsidR="000E490E" w:rsidRPr="002A30B3">
        <w:rPr>
          <w:szCs w:val="22"/>
        </w:rPr>
        <w:t>T</w:t>
      </w:r>
      <w:r w:rsidRPr="002A30B3">
        <w:rPr>
          <w:szCs w:val="22"/>
        </w:rPr>
        <w:t xml:space="preserve">he ESC advised that this claim had not been </w:t>
      </w:r>
      <w:r w:rsidR="001700F6" w:rsidRPr="002A30B3">
        <w:rPr>
          <w:szCs w:val="22"/>
        </w:rPr>
        <w:t xml:space="preserve">sufficiently </w:t>
      </w:r>
      <w:r w:rsidR="00243FA4" w:rsidRPr="002A30B3">
        <w:rPr>
          <w:szCs w:val="22"/>
        </w:rPr>
        <w:t>substantiated given that a dose response was not demonstrated</w:t>
      </w:r>
      <w:r w:rsidR="002A1417">
        <w:rPr>
          <w:szCs w:val="22"/>
        </w:rPr>
        <w:t>. S</w:t>
      </w:r>
      <w:r w:rsidR="00243FA4" w:rsidRPr="002A30B3">
        <w:rPr>
          <w:szCs w:val="22"/>
        </w:rPr>
        <w:t xml:space="preserve">pecifically </w:t>
      </w:r>
      <w:r w:rsidRPr="002A30B3">
        <w:rPr>
          <w:szCs w:val="22"/>
        </w:rPr>
        <w:t>there may be no treatment effect difference between high and low dose oral mesalazine treatment for induction of remission, and th</w:t>
      </w:r>
      <w:r w:rsidR="00507434" w:rsidRPr="002A30B3">
        <w:rPr>
          <w:szCs w:val="22"/>
        </w:rPr>
        <w:t>at there ar</w:t>
      </w:r>
      <w:r w:rsidRPr="002A30B3">
        <w:rPr>
          <w:szCs w:val="22"/>
        </w:rPr>
        <w:t>e limited data to support the use of a lower dose (i.e. 1.6</w:t>
      </w:r>
      <w:r w:rsidR="00BD423C" w:rsidRPr="002A30B3">
        <w:rPr>
          <w:szCs w:val="22"/>
        </w:rPr>
        <w:t> </w:t>
      </w:r>
      <w:r w:rsidRPr="002A30B3">
        <w:rPr>
          <w:szCs w:val="22"/>
        </w:rPr>
        <w:t>g per day) for maintenance of remission (see “Comparative effectiveness”).</w:t>
      </w:r>
    </w:p>
    <w:p w14:paraId="4235A558" w14:textId="77777777" w:rsidR="0053138B" w:rsidRPr="002A30B3" w:rsidRDefault="0053138B" w:rsidP="0053138B">
      <w:pPr>
        <w:pStyle w:val="ListParagraph"/>
        <w:rPr>
          <w:szCs w:val="22"/>
        </w:rPr>
      </w:pPr>
    </w:p>
    <w:p w14:paraId="5F9069BF" w14:textId="02EC0A04" w:rsidR="0053138B" w:rsidRPr="002A30B3" w:rsidRDefault="0053138B" w:rsidP="00121152">
      <w:pPr>
        <w:pStyle w:val="ListParagraph"/>
        <w:widowControl/>
        <w:numPr>
          <w:ilvl w:val="1"/>
          <w:numId w:val="5"/>
        </w:numPr>
        <w:rPr>
          <w:szCs w:val="22"/>
        </w:rPr>
      </w:pPr>
      <w:r w:rsidRPr="002A30B3">
        <w:rPr>
          <w:szCs w:val="22"/>
        </w:rPr>
        <w:t xml:space="preserve">The Pre-PBAC </w:t>
      </w:r>
      <w:proofErr w:type="gramStart"/>
      <w:r w:rsidRPr="002A30B3">
        <w:rPr>
          <w:szCs w:val="22"/>
        </w:rPr>
        <w:t xml:space="preserve">Response  </w:t>
      </w:r>
      <w:r w:rsidR="002A1417" w:rsidRPr="002A30B3">
        <w:rPr>
          <w:szCs w:val="22"/>
        </w:rPr>
        <w:t>reiterated</w:t>
      </w:r>
      <w:proofErr w:type="gramEnd"/>
      <w:r w:rsidR="002A1417" w:rsidRPr="002A30B3">
        <w:rPr>
          <w:szCs w:val="22"/>
        </w:rPr>
        <w:t>,</w:t>
      </w:r>
      <w:r w:rsidRPr="002A30B3">
        <w:rPr>
          <w:szCs w:val="22"/>
        </w:rPr>
        <w:t xml:space="preserve"> “the availability of an additional oral tablet formulation of mesalazine may provide a valuable treatment option for some patients with UC”. The Pre-PBAC Response stated that all mesalazine oral tablets have different release properties, which may benefit different patients.</w:t>
      </w:r>
    </w:p>
    <w:p w14:paraId="48E8D5D0" w14:textId="77777777" w:rsidR="000E490E" w:rsidRPr="002A30B3" w:rsidRDefault="000E490E" w:rsidP="000E490E">
      <w:pPr>
        <w:pStyle w:val="ListParagraph"/>
        <w:rPr>
          <w:szCs w:val="22"/>
        </w:rPr>
      </w:pPr>
    </w:p>
    <w:p w14:paraId="06AA28B8" w14:textId="34D1C6D1" w:rsidR="000E490E" w:rsidRPr="002A30B3" w:rsidRDefault="000E490E" w:rsidP="00121152">
      <w:pPr>
        <w:pStyle w:val="ListParagraph"/>
        <w:widowControl/>
        <w:numPr>
          <w:ilvl w:val="1"/>
          <w:numId w:val="5"/>
        </w:numPr>
        <w:rPr>
          <w:szCs w:val="22"/>
        </w:rPr>
      </w:pPr>
      <w:r w:rsidRPr="002A30B3">
        <w:rPr>
          <w:szCs w:val="22"/>
        </w:rPr>
        <w:t xml:space="preserve">In terms of dose titration, the PBAC agreed with the ESC that a dose response was not demonstrated, but noted that </w:t>
      </w:r>
      <w:r w:rsidR="00880839" w:rsidRPr="002A30B3">
        <w:rPr>
          <w:szCs w:val="22"/>
        </w:rPr>
        <w:t xml:space="preserve">the </w:t>
      </w:r>
      <w:r w:rsidRPr="002A30B3">
        <w:rPr>
          <w:szCs w:val="22"/>
        </w:rPr>
        <w:t xml:space="preserve">800 mg tablet did allow </w:t>
      </w:r>
      <w:r w:rsidR="002A1417" w:rsidRPr="002A30B3">
        <w:rPr>
          <w:szCs w:val="22"/>
        </w:rPr>
        <w:t>different</w:t>
      </w:r>
      <w:r w:rsidRPr="002A30B3">
        <w:rPr>
          <w:szCs w:val="22"/>
        </w:rPr>
        <w:t xml:space="preserve"> doses to be prescribed consistent with the TGA Product Information.</w:t>
      </w:r>
    </w:p>
    <w:p w14:paraId="68EE3FF5" w14:textId="77777777" w:rsidR="000521F1" w:rsidRPr="002A30B3" w:rsidRDefault="000521F1" w:rsidP="000521F1">
      <w:pPr>
        <w:pStyle w:val="ListParagraph"/>
        <w:rPr>
          <w:szCs w:val="22"/>
        </w:rPr>
      </w:pPr>
    </w:p>
    <w:p w14:paraId="67DEC9BD" w14:textId="781529FF" w:rsidR="000521F1" w:rsidRPr="002A30B3" w:rsidRDefault="000521F1" w:rsidP="000521F1">
      <w:pPr>
        <w:ind w:firstLine="720"/>
        <w:rPr>
          <w:bCs/>
          <w:szCs w:val="22"/>
        </w:rPr>
      </w:pPr>
      <w:r w:rsidRPr="002A30B3">
        <w:rPr>
          <w:bCs/>
          <w:i/>
          <w:szCs w:val="22"/>
        </w:rPr>
        <w:t>For more detail on PBAC’s view, see section 7 “PBAC outcome”</w:t>
      </w:r>
    </w:p>
    <w:p w14:paraId="4C89DC16" w14:textId="77777777" w:rsidR="00121152" w:rsidRPr="002A30B3" w:rsidRDefault="00121152" w:rsidP="00121152">
      <w:pPr>
        <w:widowControl/>
        <w:rPr>
          <w:i/>
          <w:szCs w:val="22"/>
        </w:rPr>
      </w:pPr>
    </w:p>
    <w:p w14:paraId="45C94D80" w14:textId="77777777" w:rsidR="008F0169" w:rsidRPr="002A30B3" w:rsidRDefault="008F0169" w:rsidP="00B60939">
      <w:pPr>
        <w:pStyle w:val="Header"/>
        <w:rPr>
          <w:szCs w:val="22"/>
        </w:rPr>
      </w:pPr>
    </w:p>
    <w:p w14:paraId="51E5AE96" w14:textId="77777777" w:rsidR="00B50DB8" w:rsidRPr="002A30B3" w:rsidRDefault="00B50DB8" w:rsidP="00D17BFB">
      <w:pPr>
        <w:pStyle w:val="Heading2"/>
        <w:widowControl/>
        <w:numPr>
          <w:ilvl w:val="0"/>
          <w:numId w:val="5"/>
        </w:numPr>
        <w:snapToGrid w:val="0"/>
        <w:jc w:val="left"/>
        <w:rPr>
          <w:snapToGrid/>
          <w:szCs w:val="22"/>
        </w:rPr>
      </w:pPr>
      <w:bookmarkStart w:id="6" w:name="_Toc470161812"/>
      <w:r w:rsidRPr="002A30B3">
        <w:rPr>
          <w:snapToGrid/>
          <w:szCs w:val="22"/>
        </w:rPr>
        <w:t>Comparator</w:t>
      </w:r>
      <w:bookmarkEnd w:id="6"/>
    </w:p>
    <w:p w14:paraId="2012729E" w14:textId="77777777" w:rsidR="00121152" w:rsidRPr="002A30B3" w:rsidRDefault="00121152" w:rsidP="00121152"/>
    <w:p w14:paraId="7389B7F4" w14:textId="680965F2" w:rsidR="00657BC5" w:rsidRPr="002A30B3" w:rsidRDefault="00C40765" w:rsidP="00121152">
      <w:pPr>
        <w:pStyle w:val="ListParagraph"/>
        <w:widowControl/>
        <w:numPr>
          <w:ilvl w:val="1"/>
          <w:numId w:val="5"/>
        </w:numPr>
        <w:rPr>
          <w:szCs w:val="22"/>
        </w:rPr>
      </w:pPr>
      <w:r w:rsidRPr="002A30B3">
        <w:rPr>
          <w:szCs w:val="22"/>
        </w:rPr>
        <w:t>The submission claimed that Mezavant</w:t>
      </w:r>
      <w:r w:rsidR="001C038C" w:rsidRPr="002A30B3">
        <w:rPr>
          <w:szCs w:val="22"/>
        </w:rPr>
        <w:t xml:space="preserve"> 1.2 g tablet</w:t>
      </w:r>
      <w:r w:rsidRPr="002A30B3">
        <w:rPr>
          <w:szCs w:val="22"/>
        </w:rPr>
        <w:t xml:space="preserve"> was the appropriate comparator based on highest market share compared with other oral mesalazine formulations using PBS utilisation estimates. </w:t>
      </w:r>
      <w:r w:rsidR="0001110B" w:rsidRPr="002A30B3">
        <w:t xml:space="preserve">The PSCR  reiterated that </w:t>
      </w:r>
      <w:proofErr w:type="spellStart"/>
      <w:r w:rsidR="0001110B" w:rsidRPr="002A30B3">
        <w:t>Mezavant</w:t>
      </w:r>
      <w:proofErr w:type="spellEnd"/>
      <w:r w:rsidR="0001110B" w:rsidRPr="002A30B3">
        <w:t xml:space="preserve"> is the only oral tablet formulation that is reimbursed for </w:t>
      </w:r>
      <w:r w:rsidR="007F260D" w:rsidRPr="002A30B3">
        <w:t xml:space="preserve">ulcerative colitis </w:t>
      </w:r>
      <w:r w:rsidR="0001110B" w:rsidRPr="002A30B3">
        <w:t xml:space="preserve">alone (other brands are also reimbursed for Crohn’s Disease). </w:t>
      </w:r>
      <w:r w:rsidR="00657BC5" w:rsidRPr="002A30B3">
        <w:rPr>
          <w:szCs w:val="22"/>
        </w:rPr>
        <w:t xml:space="preserve">The ESC </w:t>
      </w:r>
      <w:r w:rsidR="0003259C" w:rsidRPr="002A30B3">
        <w:rPr>
          <w:szCs w:val="22"/>
        </w:rPr>
        <w:t>advised that</w:t>
      </w:r>
      <w:r w:rsidR="00657BC5" w:rsidRPr="002A30B3">
        <w:rPr>
          <w:szCs w:val="22"/>
        </w:rPr>
        <w:t xml:space="preserve"> while Mezavant has the highest market share, </w:t>
      </w:r>
      <w:r w:rsidR="002507A1" w:rsidRPr="002A30B3">
        <w:rPr>
          <w:szCs w:val="22"/>
        </w:rPr>
        <w:t xml:space="preserve">based on information presented in the submission </w:t>
      </w:r>
      <w:r w:rsidR="00657BC5" w:rsidRPr="002A30B3">
        <w:rPr>
          <w:szCs w:val="22"/>
        </w:rPr>
        <w:t>it accounts for less than half of the market</w:t>
      </w:r>
      <w:r w:rsidR="003E4686" w:rsidRPr="002A30B3">
        <w:rPr>
          <w:szCs w:val="22"/>
        </w:rPr>
        <w:t>.</w:t>
      </w:r>
      <w:r w:rsidR="00657BC5" w:rsidRPr="002A30B3">
        <w:rPr>
          <w:szCs w:val="22"/>
        </w:rPr>
        <w:t xml:space="preserve"> </w:t>
      </w:r>
      <w:r w:rsidR="0003259C" w:rsidRPr="002A30B3">
        <w:rPr>
          <w:szCs w:val="22"/>
        </w:rPr>
        <w:t xml:space="preserve">The ESC advised that </w:t>
      </w:r>
      <w:r w:rsidR="00121152" w:rsidRPr="002A30B3">
        <w:rPr>
          <w:szCs w:val="22"/>
        </w:rPr>
        <w:t>o</w:t>
      </w:r>
      <w:r w:rsidR="00657BC5" w:rsidRPr="002A30B3">
        <w:rPr>
          <w:szCs w:val="22"/>
        </w:rPr>
        <w:t xml:space="preserve">ther </w:t>
      </w:r>
      <w:r w:rsidR="002507A1" w:rsidRPr="002A30B3">
        <w:rPr>
          <w:szCs w:val="22"/>
        </w:rPr>
        <w:t>less expensive</w:t>
      </w:r>
      <w:r w:rsidR="0001110B" w:rsidRPr="002A30B3">
        <w:rPr>
          <w:szCs w:val="22"/>
        </w:rPr>
        <w:t xml:space="preserve"> </w:t>
      </w:r>
      <w:r w:rsidR="00657BC5" w:rsidRPr="002A30B3">
        <w:rPr>
          <w:szCs w:val="22"/>
        </w:rPr>
        <w:t>oral formulations of mesalazine (i.e. Salofalk, Pentasa or Mesasal) may also be relevant comparators</w:t>
      </w:r>
      <w:r w:rsidR="00121152" w:rsidRPr="002A30B3">
        <w:rPr>
          <w:szCs w:val="22"/>
        </w:rPr>
        <w:t xml:space="preserve"> where used for </w:t>
      </w:r>
      <w:r w:rsidR="007F260D" w:rsidRPr="002A30B3">
        <w:rPr>
          <w:szCs w:val="22"/>
        </w:rPr>
        <w:t>ulcerative colitis</w:t>
      </w:r>
      <w:r w:rsidR="00657BC5" w:rsidRPr="002A30B3">
        <w:rPr>
          <w:szCs w:val="22"/>
        </w:rPr>
        <w:t>.</w:t>
      </w:r>
    </w:p>
    <w:p w14:paraId="7251D2EE" w14:textId="77777777" w:rsidR="00EB7F8B" w:rsidRPr="002A30B3" w:rsidRDefault="00EB7F8B" w:rsidP="00EB7F8B">
      <w:pPr>
        <w:pStyle w:val="ListParagraph"/>
        <w:widowControl/>
        <w:rPr>
          <w:szCs w:val="22"/>
        </w:rPr>
      </w:pPr>
    </w:p>
    <w:p w14:paraId="5866943D" w14:textId="424BBC3F" w:rsidR="00EB7F8B" w:rsidRPr="002A30B3" w:rsidRDefault="00C04496" w:rsidP="00C04496">
      <w:pPr>
        <w:pStyle w:val="ListParagraph"/>
        <w:widowControl/>
        <w:numPr>
          <w:ilvl w:val="1"/>
          <w:numId w:val="5"/>
        </w:numPr>
        <w:rPr>
          <w:szCs w:val="22"/>
        </w:rPr>
      </w:pPr>
      <w:r w:rsidRPr="002A30B3">
        <w:rPr>
          <w:szCs w:val="22"/>
        </w:rPr>
        <w:t xml:space="preserve">The </w:t>
      </w:r>
      <w:r w:rsidR="00895026" w:rsidRPr="002A30B3">
        <w:rPr>
          <w:szCs w:val="22"/>
        </w:rPr>
        <w:t>P</w:t>
      </w:r>
      <w:r w:rsidRPr="002A30B3">
        <w:rPr>
          <w:szCs w:val="22"/>
        </w:rPr>
        <w:t>re</w:t>
      </w:r>
      <w:r w:rsidR="00895026" w:rsidRPr="002A30B3">
        <w:rPr>
          <w:szCs w:val="22"/>
        </w:rPr>
        <w:t>-</w:t>
      </w:r>
      <w:r w:rsidRPr="002A30B3">
        <w:rPr>
          <w:szCs w:val="22"/>
        </w:rPr>
        <w:t>PBAC</w:t>
      </w:r>
      <w:r w:rsidR="00895026" w:rsidRPr="002A30B3">
        <w:rPr>
          <w:szCs w:val="22"/>
        </w:rPr>
        <w:t xml:space="preserve"> Response</w:t>
      </w:r>
      <w:r w:rsidRPr="002A30B3">
        <w:rPr>
          <w:szCs w:val="22"/>
        </w:rPr>
        <w:t xml:space="preserve"> noted  that all randomised trials comparing Asacol with another form of mesalazine were included in the submission. In addition to the </w:t>
      </w:r>
      <w:r w:rsidR="001C038C" w:rsidRPr="002A30B3">
        <w:rPr>
          <w:szCs w:val="22"/>
        </w:rPr>
        <w:t>three</w:t>
      </w:r>
      <w:r w:rsidRPr="002A30B3">
        <w:rPr>
          <w:szCs w:val="22"/>
        </w:rPr>
        <w:t xml:space="preserve"> trials versus Mezavant</w:t>
      </w:r>
      <w:r w:rsidR="00F3146B" w:rsidRPr="002A30B3">
        <w:rPr>
          <w:szCs w:val="22"/>
        </w:rPr>
        <w:t>,</w:t>
      </w:r>
      <w:r w:rsidRPr="002A30B3">
        <w:rPr>
          <w:szCs w:val="22"/>
        </w:rPr>
        <w:t xml:space="preserve"> there is only one trial of Asacol versus another brand of mesalazine available in Australia (Pentasa) and this was </w:t>
      </w:r>
      <w:r w:rsidR="001C038C" w:rsidRPr="002A30B3">
        <w:rPr>
          <w:szCs w:val="22"/>
        </w:rPr>
        <w:t>presented</w:t>
      </w:r>
      <w:r w:rsidRPr="002A30B3">
        <w:rPr>
          <w:szCs w:val="22"/>
        </w:rPr>
        <w:t xml:space="preserve"> </w:t>
      </w:r>
      <w:r w:rsidR="00F3146B" w:rsidRPr="002A30B3">
        <w:rPr>
          <w:szCs w:val="22"/>
        </w:rPr>
        <w:t xml:space="preserve">in the submission </w:t>
      </w:r>
      <w:r w:rsidRPr="002A30B3">
        <w:rPr>
          <w:szCs w:val="22"/>
        </w:rPr>
        <w:lastRenderedPageBreak/>
        <w:t xml:space="preserve">as a supportive study. The </w:t>
      </w:r>
      <w:r w:rsidR="00895026" w:rsidRPr="002A30B3">
        <w:rPr>
          <w:szCs w:val="22"/>
        </w:rPr>
        <w:t>P</w:t>
      </w:r>
      <w:r w:rsidRPr="002A30B3">
        <w:rPr>
          <w:szCs w:val="22"/>
        </w:rPr>
        <w:t>re</w:t>
      </w:r>
      <w:r w:rsidR="00895026" w:rsidRPr="002A30B3">
        <w:rPr>
          <w:szCs w:val="22"/>
        </w:rPr>
        <w:t>-</w:t>
      </w:r>
      <w:r w:rsidRPr="002A30B3">
        <w:rPr>
          <w:szCs w:val="22"/>
        </w:rPr>
        <w:t>PBAC</w:t>
      </w:r>
      <w:r w:rsidR="00895026" w:rsidRPr="002A30B3">
        <w:rPr>
          <w:szCs w:val="22"/>
        </w:rPr>
        <w:t xml:space="preserve"> Response</w:t>
      </w:r>
      <w:r w:rsidRPr="002A30B3">
        <w:rPr>
          <w:szCs w:val="22"/>
        </w:rPr>
        <w:t xml:space="preserve"> stated</w:t>
      </w:r>
      <w:r w:rsidR="001C038C" w:rsidRPr="002A30B3">
        <w:rPr>
          <w:szCs w:val="22"/>
        </w:rPr>
        <w:t xml:space="preserve"> </w:t>
      </w:r>
      <w:r w:rsidRPr="002A30B3">
        <w:rPr>
          <w:szCs w:val="22"/>
        </w:rPr>
        <w:t xml:space="preserve"> that this study demonstrated the superiority of Asacol 3.6 g per day v</w:t>
      </w:r>
      <w:r w:rsidR="00BC1FB0" w:rsidRPr="002A30B3">
        <w:rPr>
          <w:szCs w:val="22"/>
        </w:rPr>
        <w:t>ersu</w:t>
      </w:r>
      <w:r w:rsidRPr="002A30B3">
        <w:rPr>
          <w:szCs w:val="22"/>
        </w:rPr>
        <w:t>s Pentasa 2.25 g</w:t>
      </w:r>
      <w:r w:rsidR="001C038C" w:rsidRPr="002A30B3">
        <w:rPr>
          <w:szCs w:val="22"/>
        </w:rPr>
        <w:t>,</w:t>
      </w:r>
      <w:r w:rsidRPr="002A30B3">
        <w:rPr>
          <w:szCs w:val="22"/>
        </w:rPr>
        <w:t xml:space="preserve"> and noninferiority of Asacol 2.4 g v</w:t>
      </w:r>
      <w:r w:rsidR="00BC1FB0" w:rsidRPr="002A30B3">
        <w:rPr>
          <w:szCs w:val="22"/>
        </w:rPr>
        <w:t>ersu</w:t>
      </w:r>
      <w:r w:rsidRPr="002A30B3">
        <w:rPr>
          <w:szCs w:val="22"/>
        </w:rPr>
        <w:t>s Pentasa 2.25 g for the induction and maintenance of remission (Ito 2010a</w:t>
      </w:r>
      <w:r w:rsidR="00CA223B" w:rsidRPr="002A30B3">
        <w:rPr>
          <w:rStyle w:val="FootnoteReference"/>
          <w:szCs w:val="22"/>
        </w:rPr>
        <w:footnoteReference w:id="1"/>
      </w:r>
      <w:r w:rsidRPr="002A30B3">
        <w:rPr>
          <w:szCs w:val="22"/>
        </w:rPr>
        <w:t>, Ito 2010b</w:t>
      </w:r>
      <w:r w:rsidR="00CA223B" w:rsidRPr="002A30B3">
        <w:rPr>
          <w:rStyle w:val="FootnoteReference"/>
          <w:szCs w:val="22"/>
        </w:rPr>
        <w:t xml:space="preserve"> </w:t>
      </w:r>
      <w:r w:rsidR="00CA223B" w:rsidRPr="002A30B3">
        <w:rPr>
          <w:rStyle w:val="FootnoteReference"/>
          <w:szCs w:val="22"/>
        </w:rPr>
        <w:footnoteReference w:id="2"/>
      </w:r>
      <w:r w:rsidRPr="002A30B3">
        <w:rPr>
          <w:szCs w:val="22"/>
        </w:rPr>
        <w:t>).</w:t>
      </w:r>
    </w:p>
    <w:p w14:paraId="1370D91D" w14:textId="77777777" w:rsidR="003B1616" w:rsidRPr="002A30B3" w:rsidRDefault="003B1616" w:rsidP="003B1616">
      <w:pPr>
        <w:pStyle w:val="ListParagraph"/>
        <w:rPr>
          <w:szCs w:val="22"/>
        </w:rPr>
      </w:pPr>
    </w:p>
    <w:p w14:paraId="373F5371" w14:textId="7583D305" w:rsidR="003B1616" w:rsidRPr="002A30B3" w:rsidRDefault="003B1616" w:rsidP="007B69C0">
      <w:pPr>
        <w:pStyle w:val="ListParagraph"/>
        <w:widowControl/>
        <w:numPr>
          <w:ilvl w:val="1"/>
          <w:numId w:val="5"/>
        </w:numPr>
        <w:rPr>
          <w:szCs w:val="22"/>
        </w:rPr>
      </w:pPr>
      <w:r w:rsidRPr="002A30B3">
        <w:rPr>
          <w:szCs w:val="22"/>
        </w:rPr>
        <w:t xml:space="preserve">The PBAC recalled that mesalazine granules were recommended for listing on the basis of the same price per </w:t>
      </w:r>
      <w:r w:rsidR="00F15825" w:rsidRPr="002A30B3">
        <w:rPr>
          <w:szCs w:val="22"/>
        </w:rPr>
        <w:t>milligram (</w:t>
      </w:r>
      <w:r w:rsidRPr="002A30B3">
        <w:rPr>
          <w:szCs w:val="22"/>
        </w:rPr>
        <w:t>mg</w:t>
      </w:r>
      <w:r w:rsidR="00F15825" w:rsidRPr="002A30B3">
        <w:rPr>
          <w:szCs w:val="22"/>
        </w:rPr>
        <w:t>)</w:t>
      </w:r>
      <w:r w:rsidRPr="002A30B3">
        <w:rPr>
          <w:szCs w:val="22"/>
        </w:rPr>
        <w:t xml:space="preserve"> compared to the tablets, and that Mezavant was recommended on a cost minimisation basis with Salofalk and Pentasa brands of mesalazine at the same price per mg of mesalazine.</w:t>
      </w:r>
      <w:r w:rsidR="007B69C0" w:rsidRPr="002A30B3">
        <w:rPr>
          <w:szCs w:val="22"/>
        </w:rPr>
        <w:t xml:space="preserve"> The PBAC noted that it could only recommend listing Asacol at a higher price than an alternative therapy or therapies if it is satisfied that it provides, for some patients, a significant improvement in efficacy or reduction of toxicity over the alternative therapy or therapies. The PBAC considered all oral form</w:t>
      </w:r>
      <w:r w:rsidR="00D856F9" w:rsidRPr="002A30B3">
        <w:rPr>
          <w:szCs w:val="22"/>
        </w:rPr>
        <w:t>ulations</w:t>
      </w:r>
      <w:r w:rsidR="007B69C0" w:rsidRPr="002A30B3">
        <w:rPr>
          <w:szCs w:val="22"/>
        </w:rPr>
        <w:t xml:space="preserve"> of mesalazine to be alternative therap</w:t>
      </w:r>
      <w:r w:rsidR="00D856F9" w:rsidRPr="002A30B3">
        <w:rPr>
          <w:szCs w:val="22"/>
        </w:rPr>
        <w:t>ies</w:t>
      </w:r>
      <w:r w:rsidR="009936C1" w:rsidRPr="002A30B3">
        <w:rPr>
          <w:szCs w:val="22"/>
        </w:rPr>
        <w:t xml:space="preserve"> and</w:t>
      </w:r>
      <w:r w:rsidR="001C038C" w:rsidRPr="002A30B3">
        <w:rPr>
          <w:szCs w:val="22"/>
        </w:rPr>
        <w:t>,</w:t>
      </w:r>
      <w:r w:rsidR="009936C1" w:rsidRPr="002A30B3">
        <w:rPr>
          <w:szCs w:val="22"/>
        </w:rPr>
        <w:t xml:space="preserve"> as a</w:t>
      </w:r>
      <w:r w:rsidR="007B69C0" w:rsidRPr="002A30B3">
        <w:rPr>
          <w:szCs w:val="22"/>
        </w:rPr>
        <w:t xml:space="preserve"> significant improvement in efficacy or reduction in toxicity had not been demonstrated </w:t>
      </w:r>
      <w:r w:rsidR="00D856F9" w:rsidRPr="002A30B3">
        <w:rPr>
          <w:szCs w:val="22"/>
        </w:rPr>
        <w:t xml:space="preserve">over </w:t>
      </w:r>
      <w:r w:rsidR="009936C1" w:rsidRPr="002A30B3">
        <w:rPr>
          <w:szCs w:val="22"/>
        </w:rPr>
        <w:t>other oral formulations, Salofalk and Pentasa were relevant comparators with a lower price per mg of mesalazine compared with Mezavant (see Table 9 below).</w:t>
      </w:r>
    </w:p>
    <w:p w14:paraId="5EF90BBA" w14:textId="77777777" w:rsidR="000521F1" w:rsidRPr="002A30B3" w:rsidRDefault="000521F1" w:rsidP="000521F1">
      <w:pPr>
        <w:pStyle w:val="ListParagraph"/>
        <w:widowControl/>
        <w:rPr>
          <w:szCs w:val="22"/>
        </w:rPr>
      </w:pPr>
    </w:p>
    <w:p w14:paraId="1343D496" w14:textId="18ECB01C" w:rsidR="000521F1" w:rsidRPr="002A30B3" w:rsidRDefault="000521F1" w:rsidP="000521F1">
      <w:pPr>
        <w:ind w:firstLine="720"/>
        <w:rPr>
          <w:bCs/>
          <w:szCs w:val="22"/>
        </w:rPr>
      </w:pPr>
      <w:r w:rsidRPr="002A30B3">
        <w:rPr>
          <w:bCs/>
          <w:i/>
          <w:szCs w:val="22"/>
        </w:rPr>
        <w:t>For more detail on PBAC’s view, see section 7 “PBAC outcome”</w:t>
      </w:r>
    </w:p>
    <w:p w14:paraId="5D50D305" w14:textId="00B8EE5C" w:rsidR="00B60939" w:rsidRPr="002A30B3" w:rsidRDefault="00B60939" w:rsidP="00DF5D2B">
      <w:pPr>
        <w:rPr>
          <w:szCs w:val="22"/>
        </w:rPr>
      </w:pPr>
    </w:p>
    <w:p w14:paraId="30A067BB" w14:textId="45C7B315" w:rsidR="00B50DB8" w:rsidRPr="002A30B3" w:rsidRDefault="00BD6CF3" w:rsidP="00D17BFB">
      <w:pPr>
        <w:pStyle w:val="Heading2"/>
        <w:widowControl/>
        <w:numPr>
          <w:ilvl w:val="0"/>
          <w:numId w:val="5"/>
        </w:numPr>
        <w:snapToGrid w:val="0"/>
        <w:jc w:val="left"/>
        <w:rPr>
          <w:snapToGrid/>
          <w:szCs w:val="22"/>
        </w:rPr>
      </w:pPr>
      <w:bookmarkStart w:id="7" w:name="_Toc470161813"/>
      <w:r w:rsidRPr="002A30B3">
        <w:rPr>
          <w:snapToGrid/>
          <w:szCs w:val="22"/>
        </w:rPr>
        <w:t>C</w:t>
      </w:r>
      <w:r w:rsidR="00B50DB8" w:rsidRPr="002A30B3">
        <w:rPr>
          <w:snapToGrid/>
          <w:szCs w:val="22"/>
        </w:rPr>
        <w:t>onsideration of the evidence</w:t>
      </w:r>
      <w:bookmarkEnd w:id="7"/>
    </w:p>
    <w:p w14:paraId="697983F9" w14:textId="77777777" w:rsidR="000521F1" w:rsidRPr="002A30B3" w:rsidRDefault="000521F1" w:rsidP="000521F1"/>
    <w:p w14:paraId="35FC209F" w14:textId="77777777" w:rsidR="000521F1" w:rsidRPr="002A30B3" w:rsidRDefault="000521F1" w:rsidP="00675F6D">
      <w:pPr>
        <w:pStyle w:val="Heading3"/>
        <w:rPr>
          <w:b/>
          <w:i/>
          <w:u w:val="none"/>
        </w:rPr>
      </w:pPr>
      <w:r w:rsidRPr="002A30B3">
        <w:rPr>
          <w:b/>
          <w:i/>
          <w:u w:val="none"/>
        </w:rPr>
        <w:t>Sponsor hearing</w:t>
      </w:r>
    </w:p>
    <w:p w14:paraId="247C4390" w14:textId="77777777" w:rsidR="000521F1" w:rsidRPr="002A30B3" w:rsidRDefault="000521F1" w:rsidP="000521F1">
      <w:pPr>
        <w:rPr>
          <w:b/>
          <w:bCs/>
          <w:szCs w:val="22"/>
        </w:rPr>
      </w:pPr>
    </w:p>
    <w:p w14:paraId="1D371471" w14:textId="2AF286CC" w:rsidR="000521F1" w:rsidRPr="002A30B3" w:rsidRDefault="000521F1" w:rsidP="000521F1">
      <w:pPr>
        <w:widowControl/>
        <w:numPr>
          <w:ilvl w:val="1"/>
          <w:numId w:val="5"/>
        </w:numPr>
        <w:jc w:val="left"/>
        <w:rPr>
          <w:bCs/>
          <w:szCs w:val="22"/>
        </w:rPr>
      </w:pPr>
      <w:r w:rsidRPr="002A30B3">
        <w:rPr>
          <w:bCs/>
          <w:szCs w:val="22"/>
        </w:rPr>
        <w:t>There was no hearing for this item.</w:t>
      </w:r>
    </w:p>
    <w:p w14:paraId="57292796" w14:textId="77777777" w:rsidR="000521F1" w:rsidRPr="002A30B3" w:rsidRDefault="000521F1" w:rsidP="000521F1">
      <w:pPr>
        <w:rPr>
          <w:bCs/>
          <w:i/>
          <w:szCs w:val="22"/>
          <w:highlight w:val="yellow"/>
        </w:rPr>
      </w:pPr>
    </w:p>
    <w:p w14:paraId="60E08D57" w14:textId="77777777" w:rsidR="000521F1" w:rsidRPr="002A30B3" w:rsidRDefault="000521F1" w:rsidP="00675F6D">
      <w:pPr>
        <w:pStyle w:val="Heading3"/>
        <w:rPr>
          <w:b/>
          <w:i/>
          <w:u w:val="none"/>
        </w:rPr>
      </w:pPr>
      <w:r w:rsidRPr="002A30B3">
        <w:rPr>
          <w:b/>
          <w:i/>
          <w:u w:val="none"/>
        </w:rPr>
        <w:t>Consumer comments</w:t>
      </w:r>
    </w:p>
    <w:p w14:paraId="219B395E" w14:textId="77777777" w:rsidR="000521F1" w:rsidRPr="002A30B3" w:rsidRDefault="000521F1" w:rsidP="000521F1">
      <w:pPr>
        <w:rPr>
          <w:b/>
          <w:bCs/>
          <w:szCs w:val="22"/>
          <w:highlight w:val="yellow"/>
        </w:rPr>
      </w:pPr>
    </w:p>
    <w:p w14:paraId="75C8DE11" w14:textId="6FF50F6E" w:rsidR="000521F1" w:rsidRPr="002A30B3" w:rsidRDefault="000521F1" w:rsidP="000521F1">
      <w:pPr>
        <w:widowControl/>
        <w:numPr>
          <w:ilvl w:val="1"/>
          <w:numId w:val="5"/>
        </w:numPr>
        <w:jc w:val="left"/>
        <w:rPr>
          <w:bCs/>
          <w:szCs w:val="22"/>
        </w:rPr>
      </w:pPr>
      <w:r w:rsidRPr="002A30B3">
        <w:rPr>
          <w:bCs/>
          <w:szCs w:val="22"/>
        </w:rPr>
        <w:t>The PBAC noted that no consumer comme</w:t>
      </w:r>
      <w:r w:rsidR="0054603D" w:rsidRPr="002A30B3">
        <w:rPr>
          <w:bCs/>
          <w:szCs w:val="22"/>
        </w:rPr>
        <w:t>nts were received for this item.</w:t>
      </w:r>
    </w:p>
    <w:p w14:paraId="70F776F8" w14:textId="77777777" w:rsidR="00B60939" w:rsidRPr="002A30B3" w:rsidRDefault="00B60939" w:rsidP="004B1CB4"/>
    <w:p w14:paraId="609C0765" w14:textId="77777777" w:rsidR="00B60939" w:rsidRPr="002A30B3" w:rsidRDefault="00B60939" w:rsidP="00D17BFB">
      <w:pPr>
        <w:pStyle w:val="Heading3"/>
        <w:rPr>
          <w:b/>
          <w:i/>
          <w:u w:val="none"/>
        </w:rPr>
      </w:pPr>
      <w:bookmarkStart w:id="8" w:name="_Toc470161814"/>
      <w:r w:rsidRPr="002A30B3">
        <w:rPr>
          <w:b/>
          <w:i/>
          <w:u w:val="none"/>
        </w:rPr>
        <w:t>Clinical trials</w:t>
      </w:r>
      <w:bookmarkEnd w:id="8"/>
    </w:p>
    <w:p w14:paraId="5CD49EE8" w14:textId="77777777" w:rsidR="00B60939" w:rsidRPr="002A30B3" w:rsidRDefault="00B60939" w:rsidP="00B60939">
      <w:pPr>
        <w:rPr>
          <w:szCs w:val="22"/>
        </w:rPr>
      </w:pPr>
    </w:p>
    <w:p w14:paraId="17DE34DC" w14:textId="1D1E2112" w:rsidR="007F1017" w:rsidRPr="002A30B3" w:rsidRDefault="00C56C09" w:rsidP="003F73CE">
      <w:pPr>
        <w:pStyle w:val="ListParagraph"/>
        <w:widowControl/>
        <w:numPr>
          <w:ilvl w:val="1"/>
          <w:numId w:val="5"/>
        </w:numPr>
        <w:rPr>
          <w:szCs w:val="22"/>
        </w:rPr>
      </w:pPr>
      <w:r w:rsidRPr="002A30B3">
        <w:t xml:space="preserve">The submission </w:t>
      </w:r>
      <w:r w:rsidR="00ED164A" w:rsidRPr="002A30B3">
        <w:t>wa</w:t>
      </w:r>
      <w:r w:rsidRPr="002A30B3">
        <w:t>s based on the following comparisons:</w:t>
      </w:r>
      <w:r w:rsidR="00862502" w:rsidRPr="002A30B3">
        <w:t xml:space="preserve"> </w:t>
      </w:r>
    </w:p>
    <w:p w14:paraId="2A1BB50F" w14:textId="273645D5" w:rsidR="00862502" w:rsidRPr="002A30B3" w:rsidRDefault="00C56C09" w:rsidP="00C56C09">
      <w:pPr>
        <w:pStyle w:val="ListParagraph"/>
        <w:widowControl/>
        <w:numPr>
          <w:ilvl w:val="0"/>
          <w:numId w:val="18"/>
        </w:numPr>
        <w:rPr>
          <w:szCs w:val="22"/>
        </w:rPr>
      </w:pPr>
      <w:r w:rsidRPr="002A30B3">
        <w:rPr>
          <w:szCs w:val="22"/>
        </w:rPr>
        <w:t xml:space="preserve">Induction of remission: a head-to-head trial </w:t>
      </w:r>
      <w:r w:rsidR="00ED164A" w:rsidRPr="002A30B3">
        <w:rPr>
          <w:szCs w:val="22"/>
        </w:rPr>
        <w:t xml:space="preserve">comparing Asacol </w:t>
      </w:r>
      <w:r w:rsidR="00F66817" w:rsidRPr="002A30B3">
        <w:rPr>
          <w:szCs w:val="22"/>
        </w:rPr>
        <w:t>2.4 g</w:t>
      </w:r>
      <w:r w:rsidR="00ED164A" w:rsidRPr="002A30B3">
        <w:rPr>
          <w:szCs w:val="22"/>
        </w:rPr>
        <w:t xml:space="preserve"> versus Mezavant </w:t>
      </w:r>
      <w:r w:rsidR="00F66817" w:rsidRPr="002A30B3">
        <w:rPr>
          <w:szCs w:val="22"/>
        </w:rPr>
        <w:t>2.4 g</w:t>
      </w:r>
      <w:r w:rsidR="00ED164A" w:rsidRPr="002A30B3">
        <w:rPr>
          <w:szCs w:val="22"/>
        </w:rPr>
        <w:t xml:space="preserve"> </w:t>
      </w:r>
      <w:r w:rsidRPr="002A30B3">
        <w:rPr>
          <w:szCs w:val="22"/>
        </w:rPr>
        <w:t>(Kamm 2007)</w:t>
      </w:r>
    </w:p>
    <w:p w14:paraId="5518BDFA" w14:textId="751E877B" w:rsidR="00C56C09" w:rsidRPr="002A30B3" w:rsidRDefault="00C56C09" w:rsidP="00C56C09">
      <w:pPr>
        <w:pStyle w:val="ListParagraph"/>
        <w:widowControl/>
        <w:numPr>
          <w:ilvl w:val="0"/>
          <w:numId w:val="18"/>
        </w:numPr>
        <w:rPr>
          <w:szCs w:val="22"/>
        </w:rPr>
      </w:pPr>
      <w:r w:rsidRPr="002A30B3">
        <w:rPr>
          <w:szCs w:val="22"/>
        </w:rPr>
        <w:t>Maintenance of remission: two head-to-head trials comparing;</w:t>
      </w:r>
    </w:p>
    <w:p w14:paraId="382B1D6A" w14:textId="30294F10" w:rsidR="00C56C09" w:rsidRPr="002A30B3" w:rsidRDefault="00C56C09" w:rsidP="00C56C09">
      <w:pPr>
        <w:pStyle w:val="ListParagraph"/>
        <w:widowControl/>
        <w:numPr>
          <w:ilvl w:val="1"/>
          <w:numId w:val="18"/>
        </w:numPr>
        <w:rPr>
          <w:szCs w:val="22"/>
        </w:rPr>
      </w:pPr>
      <w:r w:rsidRPr="002A30B3">
        <w:rPr>
          <w:szCs w:val="22"/>
        </w:rPr>
        <w:t xml:space="preserve">Asacol </w:t>
      </w:r>
      <w:r w:rsidR="00F66817" w:rsidRPr="002A30B3">
        <w:rPr>
          <w:szCs w:val="22"/>
        </w:rPr>
        <w:t>2.4 g</w:t>
      </w:r>
      <w:r w:rsidRPr="002A30B3">
        <w:rPr>
          <w:szCs w:val="22"/>
        </w:rPr>
        <w:t xml:space="preserve"> versus Mezavant </w:t>
      </w:r>
      <w:r w:rsidR="00F66817" w:rsidRPr="002A30B3">
        <w:rPr>
          <w:szCs w:val="22"/>
        </w:rPr>
        <w:t>2.4 g</w:t>
      </w:r>
      <w:r w:rsidRPr="002A30B3">
        <w:rPr>
          <w:szCs w:val="22"/>
        </w:rPr>
        <w:t xml:space="preserve"> (Prantera 2009); and</w:t>
      </w:r>
    </w:p>
    <w:p w14:paraId="7E8D146F" w14:textId="27E43D7D" w:rsidR="00C56C09" w:rsidRPr="002A30B3" w:rsidRDefault="00C56C09" w:rsidP="00C56C09">
      <w:pPr>
        <w:pStyle w:val="ListParagraph"/>
        <w:widowControl/>
        <w:numPr>
          <w:ilvl w:val="1"/>
          <w:numId w:val="18"/>
        </w:numPr>
        <w:rPr>
          <w:szCs w:val="22"/>
        </w:rPr>
      </w:pPr>
      <w:r w:rsidRPr="002A30B3">
        <w:rPr>
          <w:szCs w:val="22"/>
        </w:rPr>
        <w:t xml:space="preserve">Asacol </w:t>
      </w:r>
      <w:r w:rsidR="00F66817" w:rsidRPr="002A30B3">
        <w:rPr>
          <w:szCs w:val="22"/>
        </w:rPr>
        <w:t>1.6 g</w:t>
      </w:r>
      <w:r w:rsidRPr="002A30B3">
        <w:rPr>
          <w:szCs w:val="22"/>
        </w:rPr>
        <w:t xml:space="preserve"> versus Mezavant </w:t>
      </w:r>
      <w:r w:rsidR="00F66817" w:rsidRPr="002A30B3">
        <w:rPr>
          <w:szCs w:val="22"/>
        </w:rPr>
        <w:t>2.4 g</w:t>
      </w:r>
      <w:r w:rsidRPr="002A30B3">
        <w:rPr>
          <w:szCs w:val="22"/>
        </w:rPr>
        <w:t xml:space="preserve"> (D’Haens 2012)</w:t>
      </w:r>
      <w:r w:rsidR="00ED164A" w:rsidRPr="002A30B3">
        <w:rPr>
          <w:szCs w:val="22"/>
        </w:rPr>
        <w:t>.</w:t>
      </w:r>
    </w:p>
    <w:p w14:paraId="5B6098DD" w14:textId="77777777" w:rsidR="0052306C" w:rsidRPr="002A30B3" w:rsidRDefault="0052306C" w:rsidP="0052306C">
      <w:pPr>
        <w:widowControl/>
        <w:rPr>
          <w:szCs w:val="22"/>
        </w:rPr>
      </w:pPr>
    </w:p>
    <w:p w14:paraId="1901E485" w14:textId="6E594043" w:rsidR="0052306C" w:rsidRPr="002A30B3" w:rsidRDefault="0052306C" w:rsidP="00232785">
      <w:pPr>
        <w:pStyle w:val="ListParagraph"/>
        <w:widowControl/>
        <w:numPr>
          <w:ilvl w:val="1"/>
          <w:numId w:val="5"/>
        </w:numPr>
        <w:rPr>
          <w:szCs w:val="22"/>
        </w:rPr>
      </w:pPr>
      <w:r w:rsidRPr="002A30B3">
        <w:rPr>
          <w:szCs w:val="22"/>
        </w:rPr>
        <w:t>No comparative data were presented to support the use of high dose Asacol (</w:t>
      </w:r>
      <w:r w:rsidR="00F66817" w:rsidRPr="002A30B3">
        <w:rPr>
          <w:szCs w:val="22"/>
        </w:rPr>
        <w:t>3.6 g</w:t>
      </w:r>
      <w:r w:rsidRPr="002A30B3">
        <w:rPr>
          <w:szCs w:val="22"/>
        </w:rPr>
        <w:t xml:space="preserve"> or </w:t>
      </w:r>
      <w:r w:rsidR="00F66817" w:rsidRPr="002A30B3">
        <w:rPr>
          <w:szCs w:val="22"/>
        </w:rPr>
        <w:t>4.8 g</w:t>
      </w:r>
      <w:r w:rsidRPr="002A30B3">
        <w:rPr>
          <w:szCs w:val="22"/>
        </w:rPr>
        <w:t>) for induction of remission.</w:t>
      </w:r>
    </w:p>
    <w:p w14:paraId="574DC3A3" w14:textId="77777777" w:rsidR="00C56C09" w:rsidRPr="002A30B3" w:rsidRDefault="00C56C09" w:rsidP="00862502">
      <w:pPr>
        <w:widowControl/>
        <w:rPr>
          <w:szCs w:val="22"/>
        </w:rPr>
      </w:pPr>
    </w:p>
    <w:p w14:paraId="1B79B649" w14:textId="5614E039" w:rsidR="00C56C09" w:rsidRPr="002A30B3" w:rsidRDefault="0052306C" w:rsidP="00C56C09">
      <w:pPr>
        <w:pStyle w:val="ListParagraph"/>
        <w:widowControl/>
        <w:numPr>
          <w:ilvl w:val="1"/>
          <w:numId w:val="5"/>
        </w:numPr>
        <w:rPr>
          <w:szCs w:val="22"/>
        </w:rPr>
      </w:pPr>
      <w:r w:rsidRPr="002A30B3">
        <w:rPr>
          <w:szCs w:val="22"/>
        </w:rPr>
        <w:t xml:space="preserve">The submission provided supportive analyses </w:t>
      </w:r>
      <w:r w:rsidR="001C5674" w:rsidRPr="002A30B3">
        <w:rPr>
          <w:szCs w:val="22"/>
        </w:rPr>
        <w:t xml:space="preserve">from two systematic reviews (Wang 2016a and Wang 2016b) of oral 5-ASAs (e.g. mesalazine, sulfasalazine, balsalazide and olsalazine) versus placebo. A comparison of active treatments (i.e. oral 5-ASAs, </w:t>
      </w:r>
      <w:r w:rsidR="001C5674" w:rsidRPr="002A30B3">
        <w:rPr>
          <w:szCs w:val="22"/>
        </w:rPr>
        <w:lastRenderedPageBreak/>
        <w:t xml:space="preserve">Asacol or Mezavant) versus placebo </w:t>
      </w:r>
      <w:r w:rsidR="00C72FAD" w:rsidRPr="002A30B3">
        <w:rPr>
          <w:szCs w:val="22"/>
        </w:rPr>
        <w:t xml:space="preserve">was presented for both induction and maintenance of remission. </w:t>
      </w:r>
      <w:r w:rsidR="002C16B1" w:rsidRPr="002A30B3">
        <w:rPr>
          <w:szCs w:val="22"/>
        </w:rPr>
        <w:t>A</w:t>
      </w:r>
      <w:r w:rsidR="00C72FAD" w:rsidRPr="002A30B3">
        <w:rPr>
          <w:szCs w:val="22"/>
        </w:rPr>
        <w:t>dditional</w:t>
      </w:r>
      <w:r w:rsidR="002C16B1" w:rsidRPr="002A30B3">
        <w:rPr>
          <w:szCs w:val="22"/>
        </w:rPr>
        <w:t xml:space="preserve"> subgroup analyse</w:t>
      </w:r>
      <w:r w:rsidR="001C5674" w:rsidRPr="002A30B3">
        <w:rPr>
          <w:szCs w:val="22"/>
        </w:rPr>
        <w:t xml:space="preserve">s of dose-ranging studies of Asacol </w:t>
      </w:r>
      <w:r w:rsidR="00F66817" w:rsidRPr="002A30B3">
        <w:rPr>
          <w:szCs w:val="22"/>
        </w:rPr>
        <w:t>4.8 g</w:t>
      </w:r>
      <w:r w:rsidR="001C5674" w:rsidRPr="002A30B3">
        <w:rPr>
          <w:szCs w:val="22"/>
        </w:rPr>
        <w:t xml:space="preserve"> versus Asacol </w:t>
      </w:r>
      <w:r w:rsidR="00F66817" w:rsidRPr="002A30B3">
        <w:rPr>
          <w:szCs w:val="22"/>
        </w:rPr>
        <w:t>2.4 g</w:t>
      </w:r>
      <w:r w:rsidR="001C5674" w:rsidRPr="002A30B3">
        <w:rPr>
          <w:szCs w:val="22"/>
        </w:rPr>
        <w:t xml:space="preserve"> and Mezavant </w:t>
      </w:r>
      <w:r w:rsidR="00F66817" w:rsidRPr="002A30B3">
        <w:rPr>
          <w:szCs w:val="22"/>
        </w:rPr>
        <w:t>4.8 g</w:t>
      </w:r>
      <w:r w:rsidR="001C5674" w:rsidRPr="002A30B3">
        <w:rPr>
          <w:szCs w:val="22"/>
        </w:rPr>
        <w:t xml:space="preserve"> versus Mezavant </w:t>
      </w:r>
      <w:r w:rsidR="00F66817" w:rsidRPr="002A30B3">
        <w:rPr>
          <w:szCs w:val="22"/>
        </w:rPr>
        <w:t>2.4 g</w:t>
      </w:r>
      <w:r w:rsidR="002C16B1" w:rsidRPr="002A30B3">
        <w:rPr>
          <w:szCs w:val="22"/>
        </w:rPr>
        <w:t xml:space="preserve"> were</w:t>
      </w:r>
      <w:r w:rsidR="00C72FAD" w:rsidRPr="002A30B3">
        <w:rPr>
          <w:szCs w:val="22"/>
        </w:rPr>
        <w:t xml:space="preserve"> provided for induction of remission. </w:t>
      </w:r>
    </w:p>
    <w:p w14:paraId="56B11FA6" w14:textId="77777777" w:rsidR="00C72FAD" w:rsidRPr="002A30B3" w:rsidRDefault="00C72FAD" w:rsidP="00C72FAD">
      <w:pPr>
        <w:pStyle w:val="ListParagraph"/>
        <w:widowControl/>
        <w:rPr>
          <w:szCs w:val="22"/>
        </w:rPr>
      </w:pPr>
    </w:p>
    <w:p w14:paraId="641818A4" w14:textId="0B7636A7" w:rsidR="00C72FAD" w:rsidRPr="002A30B3" w:rsidRDefault="00C72FAD" w:rsidP="00232785">
      <w:pPr>
        <w:pStyle w:val="ListParagraph"/>
        <w:widowControl/>
        <w:numPr>
          <w:ilvl w:val="1"/>
          <w:numId w:val="5"/>
        </w:numPr>
        <w:rPr>
          <w:szCs w:val="22"/>
        </w:rPr>
      </w:pPr>
      <w:r w:rsidRPr="002A30B3">
        <w:rPr>
          <w:szCs w:val="22"/>
        </w:rPr>
        <w:t>No formal indirect analyses were conducted for comparisons using supportive data.</w:t>
      </w:r>
    </w:p>
    <w:p w14:paraId="1E841871" w14:textId="77777777" w:rsidR="00C72FAD" w:rsidRPr="002A30B3" w:rsidRDefault="00C72FAD" w:rsidP="00C72FAD">
      <w:pPr>
        <w:pStyle w:val="ListParagraph"/>
        <w:widowControl/>
        <w:rPr>
          <w:szCs w:val="22"/>
        </w:rPr>
      </w:pPr>
    </w:p>
    <w:p w14:paraId="2B59ABAC" w14:textId="12B22E0F" w:rsidR="00862502" w:rsidRPr="002A30B3" w:rsidRDefault="00862502" w:rsidP="003F73CE">
      <w:pPr>
        <w:pStyle w:val="ListParagraph"/>
        <w:widowControl/>
        <w:numPr>
          <w:ilvl w:val="1"/>
          <w:numId w:val="5"/>
        </w:numPr>
        <w:rPr>
          <w:szCs w:val="22"/>
        </w:rPr>
      </w:pPr>
      <w:r w:rsidRPr="002A30B3">
        <w:rPr>
          <w:szCs w:val="22"/>
        </w:rPr>
        <w:t xml:space="preserve">Details of the trials presented in the submission are provided in the table below. </w:t>
      </w:r>
    </w:p>
    <w:p w14:paraId="33CE714A" w14:textId="77777777" w:rsidR="00862502" w:rsidRPr="002A30B3" w:rsidRDefault="00862502" w:rsidP="00C72FAD">
      <w:pPr>
        <w:widowControl/>
        <w:ind w:left="720"/>
        <w:rPr>
          <w:szCs w:val="22"/>
        </w:rPr>
      </w:pPr>
    </w:p>
    <w:p w14:paraId="3CA2E2D5" w14:textId="250FD1CE" w:rsidR="00C72FAD" w:rsidRPr="002A30B3" w:rsidRDefault="00454714" w:rsidP="00C72FAD">
      <w:pPr>
        <w:ind w:firstLine="720"/>
        <w:rPr>
          <w:rStyle w:val="CommentReference"/>
        </w:rPr>
      </w:pPr>
      <w:r w:rsidRPr="002A30B3">
        <w:rPr>
          <w:rStyle w:val="CommentReference"/>
        </w:rPr>
        <w:t>Table 2</w:t>
      </w:r>
      <w:r w:rsidR="00C72FAD" w:rsidRPr="002A30B3">
        <w:rPr>
          <w:rStyle w:val="CommentReference"/>
        </w:rPr>
        <w:t>: Trials and associated reports presented in the submission</w:t>
      </w:r>
    </w:p>
    <w:tbl>
      <w:tblPr>
        <w:tblW w:w="459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2"/>
        <w:gridCol w:w="5141"/>
        <w:gridCol w:w="1946"/>
      </w:tblGrid>
      <w:tr w:rsidR="00C72FAD" w:rsidRPr="002A30B3" w14:paraId="06A2733D" w14:textId="77777777" w:rsidTr="003A4090">
        <w:tc>
          <w:tcPr>
            <w:tcW w:w="1243" w:type="dxa"/>
          </w:tcPr>
          <w:p w14:paraId="4FE4DD92" w14:textId="77777777" w:rsidR="00C72FAD" w:rsidRPr="002A30B3" w:rsidRDefault="00C72FAD" w:rsidP="00635FCC">
            <w:pPr>
              <w:jc w:val="left"/>
              <w:rPr>
                <w:rFonts w:ascii="Arial Narrow" w:hAnsi="Arial Narrow"/>
                <w:b/>
                <w:sz w:val="20"/>
              </w:rPr>
            </w:pPr>
            <w:r w:rsidRPr="002A30B3">
              <w:rPr>
                <w:rFonts w:ascii="Arial Narrow" w:hAnsi="Arial Narrow"/>
                <w:b/>
                <w:sz w:val="20"/>
              </w:rPr>
              <w:t>Trial ID</w:t>
            </w:r>
          </w:p>
        </w:tc>
        <w:tc>
          <w:tcPr>
            <w:tcW w:w="5103" w:type="dxa"/>
          </w:tcPr>
          <w:p w14:paraId="1A14FBDD" w14:textId="77777777" w:rsidR="00C72FAD" w:rsidRPr="002A30B3" w:rsidRDefault="00C72FAD" w:rsidP="00635FCC">
            <w:pPr>
              <w:jc w:val="center"/>
              <w:rPr>
                <w:rFonts w:ascii="Arial Narrow" w:hAnsi="Arial Narrow"/>
                <w:b/>
                <w:sz w:val="20"/>
              </w:rPr>
            </w:pPr>
            <w:r w:rsidRPr="002A30B3">
              <w:rPr>
                <w:rFonts w:ascii="Arial Narrow" w:hAnsi="Arial Narrow"/>
                <w:b/>
                <w:sz w:val="20"/>
              </w:rPr>
              <w:t>Protocol title/ Publication title</w:t>
            </w:r>
          </w:p>
        </w:tc>
        <w:tc>
          <w:tcPr>
            <w:tcW w:w="1932" w:type="dxa"/>
          </w:tcPr>
          <w:p w14:paraId="320F0E40" w14:textId="77777777" w:rsidR="00C72FAD" w:rsidRPr="002A30B3" w:rsidRDefault="00C72FAD" w:rsidP="00635FCC">
            <w:pPr>
              <w:jc w:val="center"/>
              <w:rPr>
                <w:rFonts w:ascii="Arial Narrow" w:hAnsi="Arial Narrow"/>
                <w:b/>
                <w:sz w:val="20"/>
              </w:rPr>
            </w:pPr>
            <w:r w:rsidRPr="002A30B3">
              <w:rPr>
                <w:rFonts w:ascii="Arial Narrow" w:hAnsi="Arial Narrow"/>
                <w:b/>
                <w:sz w:val="20"/>
              </w:rPr>
              <w:t>Publication citation</w:t>
            </w:r>
          </w:p>
        </w:tc>
      </w:tr>
      <w:tr w:rsidR="00C72FAD" w:rsidRPr="002A30B3" w14:paraId="1F71FBE9" w14:textId="77777777" w:rsidTr="00C72FAD">
        <w:tc>
          <w:tcPr>
            <w:tcW w:w="8278" w:type="dxa"/>
            <w:gridSpan w:val="3"/>
          </w:tcPr>
          <w:p w14:paraId="212B914D" w14:textId="77777777" w:rsidR="00C72FAD" w:rsidRPr="002A30B3" w:rsidRDefault="00C72FAD" w:rsidP="00635FCC">
            <w:pPr>
              <w:jc w:val="left"/>
              <w:rPr>
                <w:rFonts w:ascii="Arial Narrow" w:hAnsi="Arial Narrow"/>
                <w:b/>
                <w:sz w:val="20"/>
              </w:rPr>
            </w:pPr>
            <w:r w:rsidRPr="002A30B3">
              <w:rPr>
                <w:rFonts w:ascii="Arial Narrow" w:hAnsi="Arial Narrow"/>
                <w:b/>
                <w:sz w:val="20"/>
              </w:rPr>
              <w:t>Induction of remission</w:t>
            </w:r>
          </w:p>
        </w:tc>
      </w:tr>
      <w:tr w:rsidR="00C72FAD" w:rsidRPr="002A30B3" w14:paraId="3AEC6C00" w14:textId="77777777" w:rsidTr="003A4090">
        <w:tc>
          <w:tcPr>
            <w:tcW w:w="1243" w:type="dxa"/>
          </w:tcPr>
          <w:p w14:paraId="13CEA73E" w14:textId="77777777" w:rsidR="00C72FAD" w:rsidRPr="002A30B3" w:rsidRDefault="00C72FAD" w:rsidP="00635FCC">
            <w:pPr>
              <w:jc w:val="left"/>
              <w:rPr>
                <w:rFonts w:ascii="Arial Narrow" w:hAnsi="Arial Narrow"/>
                <w:sz w:val="20"/>
              </w:rPr>
            </w:pPr>
            <w:r w:rsidRPr="002A30B3">
              <w:rPr>
                <w:rFonts w:ascii="Arial Narrow" w:hAnsi="Arial Narrow"/>
                <w:sz w:val="20"/>
              </w:rPr>
              <w:t>Kamm 2007</w:t>
            </w:r>
          </w:p>
          <w:p w14:paraId="70C82E73" w14:textId="77777777" w:rsidR="00C72FAD" w:rsidRPr="002A30B3" w:rsidRDefault="00C72FAD" w:rsidP="00635FCC">
            <w:pPr>
              <w:jc w:val="left"/>
              <w:rPr>
                <w:rFonts w:ascii="Arial Narrow" w:hAnsi="Arial Narrow"/>
                <w:sz w:val="20"/>
              </w:rPr>
            </w:pPr>
          </w:p>
          <w:p w14:paraId="4AAAE1F2" w14:textId="0F513504" w:rsidR="00C72FAD" w:rsidRPr="002A30B3" w:rsidRDefault="00C72FAD" w:rsidP="00635FCC">
            <w:pPr>
              <w:jc w:val="left"/>
              <w:rPr>
                <w:rFonts w:ascii="Arial Narrow" w:hAnsi="Arial Narrow"/>
                <w:sz w:val="20"/>
              </w:rPr>
            </w:pPr>
          </w:p>
        </w:tc>
        <w:tc>
          <w:tcPr>
            <w:tcW w:w="5103" w:type="dxa"/>
          </w:tcPr>
          <w:p w14:paraId="18AAD79C" w14:textId="35740570" w:rsidR="00C72FAD" w:rsidRPr="002A30B3" w:rsidRDefault="00C72FAD" w:rsidP="008030DF">
            <w:pPr>
              <w:jc w:val="left"/>
              <w:rPr>
                <w:rFonts w:ascii="Arial Narrow" w:hAnsi="Arial Narrow"/>
                <w:b/>
                <w:sz w:val="20"/>
              </w:rPr>
            </w:pPr>
            <w:r w:rsidRPr="002A30B3">
              <w:rPr>
                <w:rFonts w:ascii="Arial Narrow" w:hAnsi="Arial Narrow"/>
                <w:sz w:val="20"/>
              </w:rPr>
              <w:t>Kamm MA, Colombel J, Kornbluth A, et al. A randomised comparison of once- versus twice-</w:t>
            </w:r>
            <w:r w:rsidR="008030DF" w:rsidRPr="002A30B3">
              <w:rPr>
                <w:rFonts w:ascii="Arial Narrow" w:hAnsi="Arial Narrow"/>
                <w:sz w:val="20"/>
              </w:rPr>
              <w:t xml:space="preserve">daily </w:t>
            </w:r>
            <w:r w:rsidRPr="002A30B3">
              <w:rPr>
                <w:rFonts w:ascii="Arial Narrow" w:hAnsi="Arial Narrow"/>
                <w:sz w:val="20"/>
              </w:rPr>
              <w:t>MMX</w:t>
            </w:r>
            <w:r w:rsidRPr="002A30B3">
              <w:rPr>
                <w:rFonts w:ascii="Arial Narrow" w:hAnsi="Arial Narrow"/>
                <w:sz w:val="20"/>
                <w:vertAlign w:val="superscript"/>
              </w:rPr>
              <w:t>®</w:t>
            </w:r>
            <w:r w:rsidRPr="002A30B3">
              <w:rPr>
                <w:rFonts w:ascii="Arial Narrow" w:hAnsi="Arial Narrow"/>
                <w:sz w:val="20"/>
              </w:rPr>
              <w:t xml:space="preserve"> mesalamine for the maintenance of remission in mild-to-moderate ulcerative colitis.</w:t>
            </w:r>
          </w:p>
        </w:tc>
        <w:tc>
          <w:tcPr>
            <w:tcW w:w="1932" w:type="dxa"/>
          </w:tcPr>
          <w:p w14:paraId="6D1E3537" w14:textId="027CF4DC" w:rsidR="00C72FAD" w:rsidRPr="002A30B3" w:rsidRDefault="00C72FAD" w:rsidP="00635FCC">
            <w:pPr>
              <w:jc w:val="left"/>
              <w:rPr>
                <w:rFonts w:ascii="Arial Narrow" w:hAnsi="Arial Narrow"/>
                <w:b/>
                <w:sz w:val="20"/>
              </w:rPr>
            </w:pPr>
            <w:r w:rsidRPr="002A30B3">
              <w:rPr>
                <w:rFonts w:ascii="Arial Narrow" w:hAnsi="Arial Narrow"/>
                <w:sz w:val="20"/>
              </w:rPr>
              <w:t>Gastroenterology;</w:t>
            </w:r>
            <w:r w:rsidR="002C16B1" w:rsidRPr="002A30B3">
              <w:rPr>
                <w:rFonts w:ascii="Arial Narrow" w:hAnsi="Arial Narrow"/>
                <w:sz w:val="20"/>
              </w:rPr>
              <w:t xml:space="preserve"> 2007;</w:t>
            </w:r>
            <w:r w:rsidRPr="002A30B3">
              <w:rPr>
                <w:rFonts w:ascii="Arial Narrow" w:hAnsi="Arial Narrow"/>
                <w:sz w:val="20"/>
              </w:rPr>
              <w:t xml:space="preserve"> 132(4 Suppl 1):A510 </w:t>
            </w:r>
          </w:p>
        </w:tc>
      </w:tr>
      <w:tr w:rsidR="00C72FAD" w:rsidRPr="002A30B3" w14:paraId="5DCCEDAE" w14:textId="77777777" w:rsidTr="00C72FAD">
        <w:tc>
          <w:tcPr>
            <w:tcW w:w="8278" w:type="dxa"/>
            <w:gridSpan w:val="3"/>
          </w:tcPr>
          <w:p w14:paraId="3E3DA417" w14:textId="77777777" w:rsidR="00C72FAD" w:rsidRPr="002A30B3" w:rsidRDefault="00C72FAD" w:rsidP="00635FCC">
            <w:pPr>
              <w:jc w:val="left"/>
              <w:rPr>
                <w:rFonts w:ascii="Arial Narrow" w:hAnsi="Arial Narrow"/>
                <w:b/>
                <w:sz w:val="20"/>
              </w:rPr>
            </w:pPr>
            <w:r w:rsidRPr="002A30B3">
              <w:rPr>
                <w:rFonts w:ascii="Arial Narrow" w:hAnsi="Arial Narrow"/>
                <w:b/>
                <w:sz w:val="20"/>
              </w:rPr>
              <w:t>Maintenance of remission</w:t>
            </w:r>
          </w:p>
        </w:tc>
      </w:tr>
      <w:tr w:rsidR="00C72FAD" w:rsidRPr="002A30B3" w14:paraId="122EC082" w14:textId="77777777" w:rsidTr="003A4090">
        <w:tc>
          <w:tcPr>
            <w:tcW w:w="1243" w:type="dxa"/>
          </w:tcPr>
          <w:p w14:paraId="4FFF799A" w14:textId="77777777" w:rsidR="00C72FAD" w:rsidRPr="002A30B3" w:rsidRDefault="00C72FAD" w:rsidP="00635FCC">
            <w:pPr>
              <w:jc w:val="left"/>
              <w:rPr>
                <w:rFonts w:ascii="Arial Narrow" w:hAnsi="Arial Narrow"/>
                <w:sz w:val="20"/>
              </w:rPr>
            </w:pPr>
            <w:r w:rsidRPr="002A30B3">
              <w:rPr>
                <w:rFonts w:ascii="Arial Narrow" w:hAnsi="Arial Narrow"/>
                <w:sz w:val="20"/>
              </w:rPr>
              <w:t>Prantera 2009</w:t>
            </w:r>
          </w:p>
        </w:tc>
        <w:tc>
          <w:tcPr>
            <w:tcW w:w="5103" w:type="dxa"/>
          </w:tcPr>
          <w:p w14:paraId="16E8E915" w14:textId="77777777" w:rsidR="00C72FAD" w:rsidRPr="002A30B3" w:rsidRDefault="00C72FAD" w:rsidP="00635FCC">
            <w:pPr>
              <w:jc w:val="left"/>
              <w:rPr>
                <w:rFonts w:ascii="Arial Narrow" w:hAnsi="Arial Narrow"/>
                <w:b/>
                <w:sz w:val="20"/>
              </w:rPr>
            </w:pPr>
            <w:r w:rsidRPr="002A30B3">
              <w:rPr>
                <w:rFonts w:ascii="Arial Narrow" w:hAnsi="Arial Narrow"/>
                <w:sz w:val="20"/>
              </w:rPr>
              <w:t>Prantera C, Kohn A, Campieri M, et al. Clinical trial: Ulcerative colitis maintenance treatment with 5-ASA: a 1-year, randomized multicentre study comparing MMX with Asacol.</w:t>
            </w:r>
          </w:p>
        </w:tc>
        <w:tc>
          <w:tcPr>
            <w:tcW w:w="1932" w:type="dxa"/>
          </w:tcPr>
          <w:p w14:paraId="00427FD5" w14:textId="0ECA5A0A" w:rsidR="00C72FAD" w:rsidRPr="002A30B3" w:rsidRDefault="00C72FAD" w:rsidP="00635FCC">
            <w:pPr>
              <w:jc w:val="left"/>
              <w:rPr>
                <w:rFonts w:ascii="Arial Narrow" w:hAnsi="Arial Narrow"/>
                <w:b/>
                <w:sz w:val="20"/>
              </w:rPr>
            </w:pPr>
            <w:r w:rsidRPr="002A30B3">
              <w:rPr>
                <w:rFonts w:ascii="Arial Narrow" w:hAnsi="Arial Narrow"/>
                <w:sz w:val="20"/>
              </w:rPr>
              <w:t xml:space="preserve">Alimentary Pharmacology and Therapeutics; </w:t>
            </w:r>
            <w:r w:rsidR="002C16B1" w:rsidRPr="002A30B3">
              <w:rPr>
                <w:rFonts w:ascii="Arial Narrow" w:hAnsi="Arial Narrow"/>
                <w:sz w:val="20"/>
              </w:rPr>
              <w:t xml:space="preserve">2009; </w:t>
            </w:r>
            <w:r w:rsidRPr="002A30B3">
              <w:rPr>
                <w:rFonts w:ascii="Arial Narrow" w:hAnsi="Arial Narrow"/>
                <w:sz w:val="20"/>
              </w:rPr>
              <w:t>30(9):908-18</w:t>
            </w:r>
          </w:p>
        </w:tc>
      </w:tr>
      <w:tr w:rsidR="00EF6F31" w:rsidRPr="002A30B3" w14:paraId="3AFB4964" w14:textId="77777777" w:rsidTr="003A4090">
        <w:tc>
          <w:tcPr>
            <w:tcW w:w="1243" w:type="dxa"/>
          </w:tcPr>
          <w:p w14:paraId="159A2A87" w14:textId="77777777" w:rsidR="00EF6F31" w:rsidRPr="002A30B3" w:rsidRDefault="00EF6F31" w:rsidP="00635FCC">
            <w:pPr>
              <w:jc w:val="left"/>
              <w:rPr>
                <w:rFonts w:ascii="Arial Narrow" w:hAnsi="Arial Narrow"/>
                <w:sz w:val="20"/>
              </w:rPr>
            </w:pPr>
            <w:r w:rsidRPr="002A30B3">
              <w:rPr>
                <w:rFonts w:ascii="Arial Narrow" w:hAnsi="Arial Narrow"/>
                <w:sz w:val="20"/>
              </w:rPr>
              <w:t>D’Haens 2012</w:t>
            </w:r>
          </w:p>
          <w:p w14:paraId="565E2A73" w14:textId="77777777" w:rsidR="00EF6F31" w:rsidRPr="002A30B3" w:rsidRDefault="00EF6F31" w:rsidP="00635FCC">
            <w:pPr>
              <w:jc w:val="left"/>
              <w:rPr>
                <w:rFonts w:ascii="Arial Narrow" w:hAnsi="Arial Narrow"/>
                <w:sz w:val="20"/>
              </w:rPr>
            </w:pPr>
          </w:p>
          <w:p w14:paraId="758F5A76" w14:textId="77777777" w:rsidR="00EF6F31" w:rsidRPr="002A30B3" w:rsidRDefault="00EF6F31" w:rsidP="00635FCC">
            <w:pPr>
              <w:jc w:val="left"/>
              <w:rPr>
                <w:rFonts w:ascii="Arial Narrow" w:hAnsi="Arial Narrow"/>
                <w:sz w:val="20"/>
              </w:rPr>
            </w:pPr>
          </w:p>
        </w:tc>
        <w:tc>
          <w:tcPr>
            <w:tcW w:w="5103" w:type="dxa"/>
          </w:tcPr>
          <w:p w14:paraId="178E5529" w14:textId="77777777" w:rsidR="00EF6F31" w:rsidRPr="002A30B3" w:rsidRDefault="00EF6F31" w:rsidP="00635FCC">
            <w:pPr>
              <w:jc w:val="left"/>
              <w:rPr>
                <w:rFonts w:ascii="Arial Narrow" w:hAnsi="Arial Narrow"/>
                <w:b/>
                <w:sz w:val="20"/>
              </w:rPr>
            </w:pPr>
            <w:r w:rsidRPr="002A30B3">
              <w:rPr>
                <w:rFonts w:ascii="Arial Narrow" w:hAnsi="Arial Narrow"/>
                <w:sz w:val="20"/>
              </w:rPr>
              <w:t>D’Haens G, Sandborn WJ, Barrett K, et al. Once-daily MMX</w:t>
            </w:r>
            <w:r w:rsidRPr="002A30B3">
              <w:rPr>
                <w:rFonts w:ascii="Arial Narrow" w:hAnsi="Arial Narrow"/>
                <w:sz w:val="20"/>
                <w:vertAlign w:val="superscript"/>
              </w:rPr>
              <w:t>®</w:t>
            </w:r>
            <w:r w:rsidRPr="002A30B3">
              <w:rPr>
                <w:rFonts w:ascii="Arial Narrow" w:hAnsi="Arial Narrow"/>
                <w:sz w:val="20"/>
              </w:rPr>
              <w:t xml:space="preserve"> mesalamine for endoscopic maintenance of remission of ulcerative colitis.</w:t>
            </w:r>
          </w:p>
        </w:tc>
        <w:tc>
          <w:tcPr>
            <w:tcW w:w="1932" w:type="dxa"/>
          </w:tcPr>
          <w:p w14:paraId="4A65B5C6" w14:textId="597C51A7" w:rsidR="00EF6F31" w:rsidRPr="002A30B3" w:rsidRDefault="00922685" w:rsidP="00635FCC">
            <w:pPr>
              <w:jc w:val="left"/>
              <w:rPr>
                <w:rFonts w:ascii="Arial Narrow" w:hAnsi="Arial Narrow"/>
                <w:b/>
                <w:sz w:val="20"/>
              </w:rPr>
            </w:pPr>
            <w:r w:rsidRPr="002A30B3">
              <w:rPr>
                <w:rFonts w:ascii="Arial Narrow" w:hAnsi="Arial Narrow"/>
                <w:sz w:val="20"/>
              </w:rPr>
              <w:t>American Journal of Gast</w:t>
            </w:r>
            <w:r w:rsidR="00EF6F31" w:rsidRPr="002A30B3">
              <w:rPr>
                <w:rFonts w:ascii="Arial Narrow" w:hAnsi="Arial Narrow"/>
                <w:sz w:val="20"/>
              </w:rPr>
              <w:t xml:space="preserve">roenterology; </w:t>
            </w:r>
            <w:r w:rsidR="002C16B1" w:rsidRPr="002A30B3">
              <w:rPr>
                <w:rFonts w:ascii="Arial Narrow" w:hAnsi="Arial Narrow"/>
                <w:sz w:val="20"/>
              </w:rPr>
              <w:t xml:space="preserve">2012; </w:t>
            </w:r>
            <w:r w:rsidR="00EF6F31" w:rsidRPr="002A30B3">
              <w:rPr>
                <w:rFonts w:ascii="Arial Narrow" w:hAnsi="Arial Narrow"/>
                <w:sz w:val="20"/>
              </w:rPr>
              <w:t>107(7):1064-77</w:t>
            </w:r>
          </w:p>
        </w:tc>
      </w:tr>
    </w:tbl>
    <w:p w14:paraId="6090C088" w14:textId="176A64A3" w:rsidR="00C72FAD" w:rsidRPr="002A30B3" w:rsidRDefault="00F66A54" w:rsidP="00C72FAD">
      <w:pPr>
        <w:pStyle w:val="TableFooter"/>
        <w:ind w:firstLine="720"/>
      </w:pPr>
      <w:r w:rsidRPr="002A30B3">
        <w:t>Source: Table 8, pp1</w:t>
      </w:r>
      <w:r w:rsidR="00513794" w:rsidRPr="002A30B3">
        <w:t>5</w:t>
      </w:r>
      <w:r w:rsidRPr="002A30B3">
        <w:t>-1</w:t>
      </w:r>
      <w:r w:rsidR="00513794" w:rsidRPr="002A30B3">
        <w:t>7</w:t>
      </w:r>
      <w:r w:rsidR="00C72FAD" w:rsidRPr="002A30B3">
        <w:t xml:space="preserve"> of the submission</w:t>
      </w:r>
    </w:p>
    <w:p w14:paraId="0D4857B6" w14:textId="77777777" w:rsidR="00862502" w:rsidRPr="002A30B3" w:rsidRDefault="00862502" w:rsidP="008F120A">
      <w:pPr>
        <w:widowControl/>
        <w:rPr>
          <w:szCs w:val="22"/>
        </w:rPr>
      </w:pPr>
    </w:p>
    <w:p w14:paraId="6CDD9FCC" w14:textId="296D596C" w:rsidR="00862502" w:rsidRPr="002A30B3" w:rsidRDefault="008F120A" w:rsidP="003F73CE">
      <w:pPr>
        <w:pStyle w:val="ListParagraph"/>
        <w:widowControl/>
        <w:numPr>
          <w:ilvl w:val="1"/>
          <w:numId w:val="5"/>
        </w:numPr>
        <w:rPr>
          <w:szCs w:val="22"/>
        </w:rPr>
      </w:pPr>
      <w:r w:rsidRPr="002A30B3">
        <w:rPr>
          <w:szCs w:val="22"/>
        </w:rPr>
        <w:t>The key features of the</w:t>
      </w:r>
      <w:r w:rsidR="00EF6F31" w:rsidRPr="002A30B3">
        <w:rPr>
          <w:szCs w:val="22"/>
        </w:rPr>
        <w:t xml:space="preserve"> direct randomised </w:t>
      </w:r>
      <w:r w:rsidR="00454714" w:rsidRPr="002A30B3">
        <w:rPr>
          <w:szCs w:val="22"/>
        </w:rPr>
        <w:t>trials are summarised in Table 3</w:t>
      </w:r>
      <w:r w:rsidR="00EF6F31" w:rsidRPr="002A30B3">
        <w:rPr>
          <w:szCs w:val="22"/>
        </w:rPr>
        <w:t>.</w:t>
      </w:r>
    </w:p>
    <w:p w14:paraId="684F08FB" w14:textId="511AF34C" w:rsidR="001A0C3A" w:rsidRDefault="001A0C3A">
      <w:pPr>
        <w:widowControl/>
        <w:jc w:val="left"/>
        <w:rPr>
          <w:szCs w:val="22"/>
        </w:rPr>
      </w:pPr>
      <w:r>
        <w:rPr>
          <w:szCs w:val="22"/>
        </w:rPr>
        <w:br w:type="page"/>
      </w:r>
    </w:p>
    <w:p w14:paraId="11F495E9" w14:textId="77777777" w:rsidR="00EF6F31" w:rsidRPr="002A30B3" w:rsidRDefault="00EF6F31" w:rsidP="00EF6F31">
      <w:pPr>
        <w:pStyle w:val="ListParagraph"/>
        <w:widowControl/>
        <w:rPr>
          <w:szCs w:val="22"/>
        </w:rPr>
      </w:pPr>
    </w:p>
    <w:p w14:paraId="0B19EFBF" w14:textId="793B73E4" w:rsidR="00EF6F31" w:rsidRPr="002A30B3" w:rsidRDefault="00EF6F31" w:rsidP="00EF6F31">
      <w:pPr>
        <w:pStyle w:val="ListParagraph"/>
        <w:widowControl/>
        <w:rPr>
          <w:rStyle w:val="CommentReference"/>
        </w:rPr>
      </w:pPr>
      <w:r w:rsidRPr="002A30B3">
        <w:rPr>
          <w:rStyle w:val="CommentReference"/>
        </w:rPr>
        <w:t xml:space="preserve">Table </w:t>
      </w:r>
      <w:r w:rsidR="00454714" w:rsidRPr="002A30B3">
        <w:rPr>
          <w:rStyle w:val="CommentReference"/>
        </w:rPr>
        <w:t>3</w:t>
      </w:r>
      <w:r w:rsidRPr="002A30B3">
        <w:rPr>
          <w:rStyle w:val="CommentReference"/>
        </w:rPr>
        <w:t>: Key features of the direct randomised trials</w:t>
      </w:r>
    </w:p>
    <w:tbl>
      <w:tblPr>
        <w:tblW w:w="461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2"/>
        <w:gridCol w:w="427"/>
        <w:gridCol w:w="865"/>
        <w:gridCol w:w="1421"/>
        <w:gridCol w:w="714"/>
        <w:gridCol w:w="1714"/>
        <w:gridCol w:w="2094"/>
      </w:tblGrid>
      <w:tr w:rsidR="00BB2380" w:rsidRPr="002A30B3" w14:paraId="70087A0F" w14:textId="77777777" w:rsidTr="00580A18">
        <w:trPr>
          <w:tblHeader/>
        </w:trPr>
        <w:tc>
          <w:tcPr>
            <w:tcW w:w="682" w:type="pct"/>
            <w:shd w:val="clear" w:color="auto" w:fill="auto"/>
            <w:vAlign w:val="center"/>
          </w:tcPr>
          <w:p w14:paraId="35D9231D" w14:textId="77777777" w:rsidR="00EF6F31" w:rsidRPr="002A30B3" w:rsidRDefault="00EF6F31" w:rsidP="00635FCC">
            <w:pPr>
              <w:jc w:val="left"/>
              <w:rPr>
                <w:rFonts w:ascii="Arial Narrow" w:hAnsi="Arial Narrow"/>
                <w:b/>
                <w:sz w:val="20"/>
                <w:szCs w:val="16"/>
              </w:rPr>
            </w:pPr>
            <w:r w:rsidRPr="002A30B3">
              <w:rPr>
                <w:rFonts w:ascii="Arial Narrow" w:hAnsi="Arial Narrow"/>
                <w:b/>
                <w:sz w:val="20"/>
                <w:szCs w:val="16"/>
              </w:rPr>
              <w:t>Trial</w:t>
            </w:r>
          </w:p>
        </w:tc>
        <w:tc>
          <w:tcPr>
            <w:tcW w:w="255" w:type="pct"/>
            <w:shd w:val="clear" w:color="auto" w:fill="auto"/>
            <w:vAlign w:val="center"/>
          </w:tcPr>
          <w:p w14:paraId="6624DD75" w14:textId="77777777" w:rsidR="00EF6F31" w:rsidRPr="002A30B3" w:rsidRDefault="00EF6F31" w:rsidP="00635FCC">
            <w:pPr>
              <w:jc w:val="center"/>
              <w:rPr>
                <w:rFonts w:ascii="Arial Narrow" w:hAnsi="Arial Narrow"/>
                <w:b/>
                <w:sz w:val="20"/>
                <w:szCs w:val="16"/>
              </w:rPr>
            </w:pPr>
            <w:r w:rsidRPr="002A30B3">
              <w:rPr>
                <w:rFonts w:ascii="Arial Narrow" w:hAnsi="Arial Narrow"/>
                <w:b/>
                <w:sz w:val="20"/>
                <w:szCs w:val="16"/>
              </w:rPr>
              <w:t>N</w:t>
            </w:r>
          </w:p>
        </w:tc>
        <w:tc>
          <w:tcPr>
            <w:tcW w:w="516" w:type="pct"/>
            <w:vAlign w:val="center"/>
          </w:tcPr>
          <w:p w14:paraId="2F50CE1C" w14:textId="77777777" w:rsidR="00EF6F31" w:rsidRPr="002A30B3" w:rsidRDefault="00EF6F31" w:rsidP="00635FCC">
            <w:pPr>
              <w:jc w:val="center"/>
              <w:rPr>
                <w:rFonts w:ascii="Arial Narrow" w:hAnsi="Arial Narrow"/>
                <w:b/>
                <w:sz w:val="20"/>
                <w:szCs w:val="16"/>
              </w:rPr>
            </w:pPr>
            <w:r w:rsidRPr="002A30B3">
              <w:rPr>
                <w:rFonts w:ascii="Arial Narrow" w:hAnsi="Arial Narrow"/>
                <w:b/>
                <w:sz w:val="20"/>
                <w:szCs w:val="16"/>
              </w:rPr>
              <w:t>Design</w:t>
            </w:r>
          </w:p>
        </w:tc>
        <w:tc>
          <w:tcPr>
            <w:tcW w:w="848" w:type="pct"/>
            <w:shd w:val="clear" w:color="auto" w:fill="auto"/>
            <w:vAlign w:val="center"/>
          </w:tcPr>
          <w:p w14:paraId="49FFE4A2" w14:textId="77777777" w:rsidR="00EF6F31" w:rsidRPr="002A30B3" w:rsidRDefault="00EF6F31" w:rsidP="00635FCC">
            <w:pPr>
              <w:jc w:val="center"/>
              <w:rPr>
                <w:rFonts w:ascii="Arial Narrow" w:hAnsi="Arial Narrow"/>
                <w:b/>
                <w:sz w:val="20"/>
                <w:szCs w:val="16"/>
              </w:rPr>
            </w:pPr>
            <w:r w:rsidRPr="002A30B3">
              <w:rPr>
                <w:rFonts w:ascii="Arial Narrow" w:hAnsi="Arial Narrow"/>
                <w:b/>
                <w:sz w:val="20"/>
                <w:szCs w:val="16"/>
              </w:rPr>
              <w:t>Dosing regimen</w:t>
            </w:r>
          </w:p>
        </w:tc>
        <w:tc>
          <w:tcPr>
            <w:tcW w:w="426" w:type="pct"/>
            <w:shd w:val="clear" w:color="auto" w:fill="auto"/>
            <w:vAlign w:val="center"/>
          </w:tcPr>
          <w:p w14:paraId="78F2FA3B" w14:textId="77777777" w:rsidR="00EF6F31" w:rsidRPr="002A30B3" w:rsidRDefault="00EF6F31" w:rsidP="00635FCC">
            <w:pPr>
              <w:jc w:val="center"/>
              <w:rPr>
                <w:rFonts w:ascii="Arial Narrow" w:hAnsi="Arial Narrow"/>
                <w:b/>
                <w:sz w:val="20"/>
                <w:szCs w:val="16"/>
              </w:rPr>
            </w:pPr>
            <w:r w:rsidRPr="002A30B3">
              <w:rPr>
                <w:rFonts w:ascii="Arial Narrow" w:hAnsi="Arial Narrow"/>
                <w:b/>
                <w:sz w:val="20"/>
                <w:szCs w:val="16"/>
              </w:rPr>
              <w:t>Risk of bias</w:t>
            </w:r>
          </w:p>
        </w:tc>
        <w:tc>
          <w:tcPr>
            <w:tcW w:w="1023" w:type="pct"/>
            <w:shd w:val="clear" w:color="auto" w:fill="auto"/>
            <w:vAlign w:val="center"/>
          </w:tcPr>
          <w:p w14:paraId="1C76B268" w14:textId="77777777" w:rsidR="00EF6F31" w:rsidRPr="002A30B3" w:rsidRDefault="00EF6F31" w:rsidP="00635FCC">
            <w:pPr>
              <w:jc w:val="center"/>
              <w:rPr>
                <w:rFonts w:ascii="Arial Narrow" w:hAnsi="Arial Narrow"/>
                <w:b/>
                <w:sz w:val="20"/>
                <w:szCs w:val="16"/>
              </w:rPr>
            </w:pPr>
            <w:r w:rsidRPr="002A30B3">
              <w:rPr>
                <w:rFonts w:ascii="Arial Narrow" w:hAnsi="Arial Narrow"/>
                <w:b/>
                <w:sz w:val="20"/>
                <w:szCs w:val="16"/>
              </w:rPr>
              <w:t>Patient population</w:t>
            </w:r>
          </w:p>
        </w:tc>
        <w:tc>
          <w:tcPr>
            <w:tcW w:w="1250" w:type="pct"/>
            <w:shd w:val="clear" w:color="auto" w:fill="auto"/>
            <w:vAlign w:val="center"/>
          </w:tcPr>
          <w:p w14:paraId="10A6F4C2" w14:textId="60F0B27A" w:rsidR="00EF6F31" w:rsidRPr="002A30B3" w:rsidRDefault="00EF6F31" w:rsidP="008030DF">
            <w:pPr>
              <w:jc w:val="center"/>
              <w:rPr>
                <w:rFonts w:ascii="Arial Narrow" w:hAnsi="Arial Narrow"/>
                <w:b/>
                <w:sz w:val="20"/>
                <w:szCs w:val="16"/>
              </w:rPr>
            </w:pPr>
            <w:r w:rsidRPr="002A30B3">
              <w:rPr>
                <w:rFonts w:ascii="Arial Narrow" w:hAnsi="Arial Narrow"/>
                <w:b/>
                <w:sz w:val="20"/>
                <w:szCs w:val="16"/>
              </w:rPr>
              <w:t>Outcomes</w:t>
            </w:r>
          </w:p>
        </w:tc>
      </w:tr>
      <w:tr w:rsidR="00EF6F31" w:rsidRPr="002A30B3" w14:paraId="70D7D004" w14:textId="77777777" w:rsidTr="00580A18">
        <w:tc>
          <w:tcPr>
            <w:tcW w:w="5000" w:type="pct"/>
            <w:gridSpan w:val="7"/>
          </w:tcPr>
          <w:p w14:paraId="103F8B83" w14:textId="51B0C3ED" w:rsidR="00EF6F31" w:rsidRPr="002A30B3" w:rsidRDefault="00EF6F31" w:rsidP="00635FCC">
            <w:pPr>
              <w:jc w:val="left"/>
              <w:rPr>
                <w:rFonts w:ascii="Arial Narrow" w:hAnsi="Arial Narrow"/>
                <w:b/>
                <w:sz w:val="20"/>
                <w:szCs w:val="16"/>
              </w:rPr>
            </w:pPr>
            <w:r w:rsidRPr="002A30B3">
              <w:rPr>
                <w:rFonts w:ascii="Arial Narrow" w:hAnsi="Arial Narrow"/>
                <w:b/>
                <w:sz w:val="20"/>
                <w:szCs w:val="16"/>
              </w:rPr>
              <w:t>Induction of remission</w:t>
            </w:r>
          </w:p>
        </w:tc>
      </w:tr>
      <w:tr w:rsidR="00BB2380" w:rsidRPr="002A30B3" w14:paraId="4FB8A27A" w14:textId="77777777" w:rsidTr="00580A18">
        <w:tc>
          <w:tcPr>
            <w:tcW w:w="682" w:type="pct"/>
            <w:shd w:val="clear" w:color="auto" w:fill="auto"/>
            <w:vAlign w:val="center"/>
          </w:tcPr>
          <w:p w14:paraId="4F4173D1" w14:textId="77777777" w:rsidR="00BB2380" w:rsidRPr="002A30B3" w:rsidRDefault="00EF6F31" w:rsidP="00635FCC">
            <w:pPr>
              <w:jc w:val="left"/>
              <w:rPr>
                <w:rFonts w:ascii="Arial Narrow" w:hAnsi="Arial Narrow"/>
                <w:sz w:val="20"/>
                <w:szCs w:val="16"/>
              </w:rPr>
            </w:pPr>
            <w:r w:rsidRPr="002A30B3">
              <w:rPr>
                <w:rFonts w:ascii="Arial Narrow" w:hAnsi="Arial Narrow"/>
                <w:sz w:val="20"/>
                <w:szCs w:val="16"/>
              </w:rPr>
              <w:t>Kamm 2007</w:t>
            </w:r>
            <w:r w:rsidR="00BB2380" w:rsidRPr="002A30B3">
              <w:rPr>
                <w:rFonts w:ascii="Arial Narrow" w:hAnsi="Arial Narrow"/>
                <w:sz w:val="20"/>
                <w:szCs w:val="16"/>
              </w:rPr>
              <w:t xml:space="preserve"> </w:t>
            </w:r>
          </w:p>
          <w:p w14:paraId="225428D5" w14:textId="1D05016A" w:rsidR="00EF6F31" w:rsidRPr="002A30B3" w:rsidRDefault="00BB2380" w:rsidP="00635FCC">
            <w:pPr>
              <w:jc w:val="left"/>
              <w:rPr>
                <w:rFonts w:ascii="Arial Narrow" w:hAnsi="Arial Narrow"/>
                <w:sz w:val="20"/>
                <w:szCs w:val="16"/>
              </w:rPr>
            </w:pPr>
            <w:r w:rsidRPr="002A30B3">
              <w:rPr>
                <w:rFonts w:ascii="Arial Narrow" w:hAnsi="Arial Narrow"/>
                <w:sz w:val="20"/>
                <w:szCs w:val="16"/>
              </w:rPr>
              <w:t>(8 weeks)</w:t>
            </w:r>
          </w:p>
        </w:tc>
        <w:tc>
          <w:tcPr>
            <w:tcW w:w="255" w:type="pct"/>
            <w:shd w:val="clear" w:color="auto" w:fill="auto"/>
            <w:vAlign w:val="center"/>
          </w:tcPr>
          <w:p w14:paraId="11AF4521" w14:textId="66990FC7" w:rsidR="00EF6F31" w:rsidRPr="002A30B3" w:rsidRDefault="00EF6F31" w:rsidP="00635FCC">
            <w:pPr>
              <w:jc w:val="center"/>
              <w:rPr>
                <w:rFonts w:ascii="Arial Narrow" w:hAnsi="Arial Narrow"/>
                <w:sz w:val="20"/>
                <w:szCs w:val="16"/>
              </w:rPr>
            </w:pPr>
            <w:r w:rsidRPr="002A30B3">
              <w:rPr>
                <w:rFonts w:ascii="Arial Narrow" w:hAnsi="Arial Narrow"/>
                <w:sz w:val="20"/>
                <w:szCs w:val="16"/>
              </w:rPr>
              <w:t>341</w:t>
            </w:r>
          </w:p>
        </w:tc>
        <w:tc>
          <w:tcPr>
            <w:tcW w:w="516" w:type="pct"/>
            <w:vAlign w:val="center"/>
          </w:tcPr>
          <w:p w14:paraId="0BFBBCFC" w14:textId="509FACA8" w:rsidR="00EF6F31" w:rsidRPr="002A30B3" w:rsidRDefault="0070297E" w:rsidP="00635FCC">
            <w:pPr>
              <w:jc w:val="center"/>
              <w:rPr>
                <w:rFonts w:ascii="Arial Narrow" w:hAnsi="Arial Narrow"/>
                <w:sz w:val="20"/>
                <w:szCs w:val="16"/>
              </w:rPr>
            </w:pPr>
            <w:r w:rsidRPr="002A30B3">
              <w:rPr>
                <w:rFonts w:ascii="Arial Narrow" w:hAnsi="Arial Narrow"/>
                <w:sz w:val="20"/>
                <w:szCs w:val="16"/>
              </w:rPr>
              <w:t>Double-blind</w:t>
            </w:r>
            <w:r w:rsidR="00EF6F31" w:rsidRPr="002A30B3">
              <w:rPr>
                <w:rFonts w:ascii="Arial Narrow" w:hAnsi="Arial Narrow"/>
                <w:sz w:val="20"/>
                <w:szCs w:val="16"/>
              </w:rPr>
              <w:t>, double-dummy multicentre RCT</w:t>
            </w:r>
          </w:p>
        </w:tc>
        <w:tc>
          <w:tcPr>
            <w:tcW w:w="848" w:type="pct"/>
            <w:shd w:val="clear" w:color="auto" w:fill="auto"/>
            <w:vAlign w:val="center"/>
          </w:tcPr>
          <w:p w14:paraId="538DD9A6" w14:textId="5200A20E" w:rsidR="00BB2380" w:rsidRPr="002A30B3" w:rsidRDefault="00BB2380" w:rsidP="00BB2380">
            <w:pPr>
              <w:jc w:val="center"/>
              <w:rPr>
                <w:rFonts w:ascii="Arial Narrow" w:hAnsi="Arial Narrow"/>
                <w:sz w:val="20"/>
                <w:szCs w:val="16"/>
              </w:rPr>
            </w:pPr>
            <w:r w:rsidRPr="002A30B3">
              <w:rPr>
                <w:rFonts w:ascii="Arial Narrow" w:hAnsi="Arial Narrow"/>
                <w:sz w:val="20"/>
                <w:szCs w:val="16"/>
              </w:rPr>
              <w:t xml:space="preserve">Mezavant </w:t>
            </w:r>
            <w:r w:rsidR="00F66817" w:rsidRPr="002A30B3">
              <w:rPr>
                <w:rFonts w:ascii="Arial Narrow" w:hAnsi="Arial Narrow"/>
                <w:sz w:val="20"/>
                <w:szCs w:val="16"/>
              </w:rPr>
              <w:t>2.4 g</w:t>
            </w:r>
            <w:r w:rsidRPr="002A30B3">
              <w:rPr>
                <w:rFonts w:ascii="Arial Narrow" w:hAnsi="Arial Narrow"/>
                <w:sz w:val="20"/>
                <w:szCs w:val="16"/>
              </w:rPr>
              <w:t xml:space="preserve"> once daily vs. Mezavant </w:t>
            </w:r>
            <w:r w:rsidR="00F66817" w:rsidRPr="002A30B3">
              <w:rPr>
                <w:rFonts w:ascii="Arial Narrow" w:hAnsi="Arial Narrow"/>
                <w:sz w:val="20"/>
                <w:szCs w:val="16"/>
              </w:rPr>
              <w:t>4.8 g</w:t>
            </w:r>
            <w:r w:rsidRPr="002A30B3">
              <w:rPr>
                <w:rFonts w:ascii="Arial Narrow" w:hAnsi="Arial Narrow"/>
                <w:sz w:val="20"/>
                <w:szCs w:val="16"/>
              </w:rPr>
              <w:t xml:space="preserve"> once daily vs. Asacol </w:t>
            </w:r>
            <w:r w:rsidR="00F66817" w:rsidRPr="002A30B3">
              <w:rPr>
                <w:rFonts w:ascii="Arial Narrow" w:hAnsi="Arial Narrow"/>
                <w:sz w:val="20"/>
                <w:szCs w:val="16"/>
              </w:rPr>
              <w:t>2.4 g</w:t>
            </w:r>
            <w:r w:rsidRPr="002A30B3">
              <w:rPr>
                <w:rFonts w:ascii="Arial Narrow" w:hAnsi="Arial Narrow"/>
                <w:sz w:val="20"/>
                <w:szCs w:val="16"/>
              </w:rPr>
              <w:t xml:space="preserve"> per day (</w:t>
            </w:r>
            <w:r w:rsidR="0070297E" w:rsidRPr="002A30B3">
              <w:rPr>
                <w:rFonts w:ascii="Arial Narrow" w:hAnsi="Arial Narrow"/>
                <w:sz w:val="20"/>
                <w:szCs w:val="16"/>
              </w:rPr>
              <w:t>3</w:t>
            </w:r>
            <w:r w:rsidRPr="002A30B3">
              <w:rPr>
                <w:rFonts w:ascii="Arial Narrow" w:hAnsi="Arial Narrow"/>
                <w:sz w:val="20"/>
                <w:szCs w:val="16"/>
              </w:rPr>
              <w:t xml:space="preserve"> divided doses) vs. placebo</w:t>
            </w:r>
          </w:p>
        </w:tc>
        <w:tc>
          <w:tcPr>
            <w:tcW w:w="426" w:type="pct"/>
            <w:shd w:val="clear" w:color="auto" w:fill="auto"/>
            <w:vAlign w:val="center"/>
          </w:tcPr>
          <w:p w14:paraId="03E3A7CD" w14:textId="5F5E16DF" w:rsidR="00EF6F31" w:rsidRPr="002A30B3" w:rsidRDefault="00EF6F31" w:rsidP="00635FCC">
            <w:pPr>
              <w:jc w:val="center"/>
              <w:rPr>
                <w:rFonts w:ascii="Arial Narrow" w:hAnsi="Arial Narrow"/>
                <w:sz w:val="20"/>
                <w:szCs w:val="16"/>
              </w:rPr>
            </w:pPr>
            <w:r w:rsidRPr="002A30B3">
              <w:rPr>
                <w:rFonts w:ascii="Arial Narrow" w:hAnsi="Arial Narrow"/>
                <w:sz w:val="20"/>
                <w:szCs w:val="16"/>
              </w:rPr>
              <w:t>High</w:t>
            </w:r>
          </w:p>
        </w:tc>
        <w:tc>
          <w:tcPr>
            <w:tcW w:w="1023" w:type="pct"/>
            <w:shd w:val="clear" w:color="auto" w:fill="auto"/>
            <w:vAlign w:val="center"/>
          </w:tcPr>
          <w:p w14:paraId="6C7674CC" w14:textId="77777777" w:rsidR="00EF6F31" w:rsidRPr="002A30B3" w:rsidRDefault="00BB2380" w:rsidP="00BB2380">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Adult</w:t>
            </w:r>
          </w:p>
          <w:p w14:paraId="1927196E" w14:textId="77777777" w:rsidR="00BB2380" w:rsidRPr="002A30B3" w:rsidRDefault="00BB2380" w:rsidP="00BB2380">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Newly diagnosed or relapsing</w:t>
            </w:r>
          </w:p>
          <w:p w14:paraId="26060209" w14:textId="1248BB47" w:rsidR="00BB2380" w:rsidRPr="002A30B3" w:rsidRDefault="00BB2380" w:rsidP="00BB2380">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Active, mild to moderate ulcerative colitis</w:t>
            </w:r>
          </w:p>
        </w:tc>
        <w:tc>
          <w:tcPr>
            <w:tcW w:w="1250" w:type="pct"/>
            <w:shd w:val="clear" w:color="auto" w:fill="auto"/>
            <w:vAlign w:val="center"/>
          </w:tcPr>
          <w:p w14:paraId="502D540C" w14:textId="5F6FB419" w:rsidR="00BB2380" w:rsidRPr="002A30B3" w:rsidRDefault="00BB2380" w:rsidP="00635FCC">
            <w:pPr>
              <w:jc w:val="center"/>
              <w:rPr>
                <w:rFonts w:ascii="Arial Narrow" w:hAnsi="Arial Narrow"/>
                <w:sz w:val="20"/>
                <w:szCs w:val="16"/>
              </w:rPr>
            </w:pPr>
            <w:r w:rsidRPr="002A30B3">
              <w:rPr>
                <w:rFonts w:ascii="Arial Narrow" w:hAnsi="Arial Narrow"/>
                <w:sz w:val="20"/>
                <w:szCs w:val="16"/>
              </w:rPr>
              <w:t>Proportion of patients in clinical and endoscopic remission for Mezava</w:t>
            </w:r>
            <w:r w:rsidR="0070297E" w:rsidRPr="002A30B3">
              <w:rPr>
                <w:rFonts w:ascii="Arial Narrow" w:hAnsi="Arial Narrow"/>
                <w:sz w:val="20"/>
                <w:szCs w:val="16"/>
              </w:rPr>
              <w:t>nt (</w:t>
            </w:r>
            <w:r w:rsidR="00F66817" w:rsidRPr="002A30B3">
              <w:rPr>
                <w:rFonts w:ascii="Arial Narrow" w:hAnsi="Arial Narrow"/>
                <w:sz w:val="20"/>
                <w:szCs w:val="16"/>
              </w:rPr>
              <w:t>2.4 g</w:t>
            </w:r>
            <w:r w:rsidR="0070297E" w:rsidRPr="002A30B3">
              <w:rPr>
                <w:rFonts w:ascii="Arial Narrow" w:hAnsi="Arial Narrow"/>
                <w:sz w:val="20"/>
                <w:szCs w:val="16"/>
              </w:rPr>
              <w:t xml:space="preserve"> and </w:t>
            </w:r>
            <w:r w:rsidR="00F66817" w:rsidRPr="002A30B3">
              <w:rPr>
                <w:rFonts w:ascii="Arial Narrow" w:hAnsi="Arial Narrow"/>
                <w:sz w:val="20"/>
                <w:szCs w:val="16"/>
              </w:rPr>
              <w:t>4.8 g</w:t>
            </w:r>
            <w:r w:rsidR="0070297E" w:rsidRPr="002A30B3">
              <w:rPr>
                <w:rFonts w:ascii="Arial Narrow" w:hAnsi="Arial Narrow"/>
                <w:sz w:val="20"/>
                <w:szCs w:val="16"/>
              </w:rPr>
              <w:t>) vs. placebo at 8 weeks.</w:t>
            </w:r>
          </w:p>
          <w:p w14:paraId="4F88D74E" w14:textId="75FE2F97" w:rsidR="00EF6F31" w:rsidRPr="002A30B3" w:rsidRDefault="00BB2380" w:rsidP="00635FCC">
            <w:pPr>
              <w:jc w:val="center"/>
              <w:rPr>
                <w:rFonts w:ascii="Arial Narrow" w:hAnsi="Arial Narrow"/>
                <w:sz w:val="20"/>
                <w:szCs w:val="16"/>
              </w:rPr>
            </w:pPr>
            <w:r w:rsidRPr="002A30B3">
              <w:rPr>
                <w:rFonts w:ascii="Arial Narrow" w:hAnsi="Arial Narrow"/>
                <w:sz w:val="20"/>
                <w:szCs w:val="16"/>
              </w:rPr>
              <w:t>Secondary objective of safety and tolerability of Mezavant vs. placebo or Asacol.</w:t>
            </w:r>
          </w:p>
        </w:tc>
      </w:tr>
      <w:tr w:rsidR="00EF6F31" w:rsidRPr="002A30B3" w14:paraId="64EE3172" w14:textId="77777777" w:rsidTr="00580A18">
        <w:tc>
          <w:tcPr>
            <w:tcW w:w="5000" w:type="pct"/>
            <w:gridSpan w:val="7"/>
          </w:tcPr>
          <w:p w14:paraId="6B1377F7" w14:textId="0C076209" w:rsidR="00EF6F31" w:rsidRPr="002A30B3" w:rsidRDefault="00EF6F31" w:rsidP="00635FCC">
            <w:pPr>
              <w:jc w:val="left"/>
              <w:rPr>
                <w:rFonts w:ascii="Arial Narrow" w:hAnsi="Arial Narrow"/>
                <w:b/>
                <w:sz w:val="20"/>
                <w:szCs w:val="16"/>
              </w:rPr>
            </w:pPr>
            <w:r w:rsidRPr="002A30B3">
              <w:rPr>
                <w:rFonts w:ascii="Arial Narrow" w:hAnsi="Arial Narrow"/>
                <w:b/>
                <w:sz w:val="20"/>
                <w:szCs w:val="16"/>
              </w:rPr>
              <w:t>Maintenance of remission</w:t>
            </w:r>
          </w:p>
        </w:tc>
      </w:tr>
      <w:tr w:rsidR="00BB2380" w:rsidRPr="002A30B3" w14:paraId="15EEDA63" w14:textId="77777777" w:rsidTr="00580A18">
        <w:tc>
          <w:tcPr>
            <w:tcW w:w="682" w:type="pct"/>
            <w:shd w:val="clear" w:color="auto" w:fill="auto"/>
            <w:vAlign w:val="center"/>
          </w:tcPr>
          <w:p w14:paraId="20EBBFDA" w14:textId="4DD33C60" w:rsidR="00EF6F31" w:rsidRPr="002A30B3" w:rsidRDefault="00EF6F31" w:rsidP="00635FCC">
            <w:pPr>
              <w:jc w:val="left"/>
              <w:rPr>
                <w:rFonts w:ascii="Arial Narrow" w:hAnsi="Arial Narrow"/>
                <w:sz w:val="20"/>
                <w:szCs w:val="16"/>
              </w:rPr>
            </w:pPr>
            <w:r w:rsidRPr="002A30B3">
              <w:rPr>
                <w:rFonts w:ascii="Arial Narrow" w:hAnsi="Arial Narrow"/>
                <w:sz w:val="20"/>
                <w:szCs w:val="16"/>
              </w:rPr>
              <w:t>Prantera 2009</w:t>
            </w:r>
            <w:r w:rsidR="00BB2380" w:rsidRPr="002A30B3">
              <w:rPr>
                <w:rFonts w:ascii="Arial Narrow" w:hAnsi="Arial Narrow"/>
                <w:sz w:val="20"/>
                <w:szCs w:val="16"/>
              </w:rPr>
              <w:t xml:space="preserve"> (12 months)</w:t>
            </w:r>
          </w:p>
        </w:tc>
        <w:tc>
          <w:tcPr>
            <w:tcW w:w="255" w:type="pct"/>
            <w:shd w:val="clear" w:color="auto" w:fill="auto"/>
            <w:vAlign w:val="center"/>
          </w:tcPr>
          <w:p w14:paraId="0F2BD515" w14:textId="31AED365" w:rsidR="00EF6F31" w:rsidRPr="002A30B3" w:rsidRDefault="00BB2380" w:rsidP="00635FCC">
            <w:pPr>
              <w:jc w:val="center"/>
              <w:rPr>
                <w:rFonts w:ascii="Arial Narrow" w:hAnsi="Arial Narrow"/>
                <w:sz w:val="20"/>
                <w:szCs w:val="16"/>
              </w:rPr>
            </w:pPr>
            <w:r w:rsidRPr="002A30B3">
              <w:rPr>
                <w:rFonts w:ascii="Arial Narrow" w:hAnsi="Arial Narrow"/>
                <w:sz w:val="20"/>
                <w:szCs w:val="16"/>
              </w:rPr>
              <w:t>331</w:t>
            </w:r>
          </w:p>
        </w:tc>
        <w:tc>
          <w:tcPr>
            <w:tcW w:w="516" w:type="pct"/>
            <w:vAlign w:val="center"/>
          </w:tcPr>
          <w:p w14:paraId="1F9A33AA" w14:textId="668FADA9" w:rsidR="00EF6F31" w:rsidRPr="002A30B3" w:rsidRDefault="0070297E" w:rsidP="00635FCC">
            <w:pPr>
              <w:jc w:val="center"/>
              <w:rPr>
                <w:rFonts w:ascii="Arial Narrow" w:hAnsi="Arial Narrow"/>
                <w:sz w:val="20"/>
                <w:szCs w:val="16"/>
              </w:rPr>
            </w:pPr>
            <w:r w:rsidRPr="002A30B3">
              <w:rPr>
                <w:rFonts w:ascii="Arial Narrow" w:hAnsi="Arial Narrow"/>
                <w:sz w:val="20"/>
                <w:szCs w:val="16"/>
              </w:rPr>
              <w:t>Double-blind</w:t>
            </w:r>
            <w:r w:rsidR="00BB2380" w:rsidRPr="002A30B3">
              <w:rPr>
                <w:rFonts w:ascii="Arial Narrow" w:hAnsi="Arial Narrow"/>
                <w:sz w:val="20"/>
                <w:szCs w:val="16"/>
              </w:rPr>
              <w:t>, double-dummy multicentre RCT</w:t>
            </w:r>
          </w:p>
        </w:tc>
        <w:tc>
          <w:tcPr>
            <w:tcW w:w="848" w:type="pct"/>
            <w:shd w:val="clear" w:color="auto" w:fill="auto"/>
            <w:vAlign w:val="center"/>
          </w:tcPr>
          <w:p w14:paraId="79BCBA99" w14:textId="2735E9C7" w:rsidR="00EF6F31" w:rsidRPr="002A30B3" w:rsidRDefault="0070297E" w:rsidP="00635FCC">
            <w:pPr>
              <w:jc w:val="center"/>
              <w:rPr>
                <w:rFonts w:ascii="Arial Narrow" w:hAnsi="Arial Narrow"/>
                <w:sz w:val="20"/>
                <w:szCs w:val="16"/>
              </w:rPr>
            </w:pPr>
            <w:r w:rsidRPr="002A30B3">
              <w:rPr>
                <w:rFonts w:ascii="Arial Narrow" w:hAnsi="Arial Narrow"/>
                <w:sz w:val="20"/>
                <w:szCs w:val="16"/>
              </w:rPr>
              <w:t xml:space="preserve">Mezavant </w:t>
            </w:r>
            <w:r w:rsidR="00F66817" w:rsidRPr="002A30B3">
              <w:rPr>
                <w:rFonts w:ascii="Arial Narrow" w:hAnsi="Arial Narrow"/>
                <w:sz w:val="20"/>
                <w:szCs w:val="16"/>
              </w:rPr>
              <w:t>2.4 g</w:t>
            </w:r>
            <w:r w:rsidRPr="002A30B3">
              <w:rPr>
                <w:rFonts w:ascii="Arial Narrow" w:hAnsi="Arial Narrow"/>
                <w:sz w:val="20"/>
                <w:szCs w:val="16"/>
              </w:rPr>
              <w:t xml:space="preserve"> once daily vs. Asacol </w:t>
            </w:r>
            <w:r w:rsidR="00F66817" w:rsidRPr="002A30B3">
              <w:rPr>
                <w:rFonts w:ascii="Arial Narrow" w:hAnsi="Arial Narrow"/>
                <w:sz w:val="20"/>
                <w:szCs w:val="16"/>
              </w:rPr>
              <w:t>2.4 g</w:t>
            </w:r>
            <w:r w:rsidRPr="002A30B3">
              <w:rPr>
                <w:rFonts w:ascii="Arial Narrow" w:hAnsi="Arial Narrow"/>
                <w:sz w:val="20"/>
                <w:szCs w:val="16"/>
              </w:rPr>
              <w:t xml:space="preserve"> per day (2 divided doses)   </w:t>
            </w:r>
          </w:p>
        </w:tc>
        <w:tc>
          <w:tcPr>
            <w:tcW w:w="426" w:type="pct"/>
            <w:shd w:val="clear" w:color="auto" w:fill="auto"/>
            <w:vAlign w:val="center"/>
          </w:tcPr>
          <w:p w14:paraId="584F887A" w14:textId="37A04F5D" w:rsidR="00EF6F31" w:rsidRPr="002A30B3" w:rsidRDefault="00EF6F31" w:rsidP="00635FCC">
            <w:pPr>
              <w:jc w:val="center"/>
              <w:rPr>
                <w:rFonts w:ascii="Arial Narrow" w:hAnsi="Arial Narrow"/>
                <w:sz w:val="20"/>
                <w:szCs w:val="16"/>
              </w:rPr>
            </w:pPr>
            <w:r w:rsidRPr="002A30B3">
              <w:rPr>
                <w:rFonts w:ascii="Arial Narrow" w:hAnsi="Arial Narrow"/>
                <w:sz w:val="20"/>
                <w:szCs w:val="16"/>
              </w:rPr>
              <w:t>Low</w:t>
            </w:r>
          </w:p>
        </w:tc>
        <w:tc>
          <w:tcPr>
            <w:tcW w:w="1023" w:type="pct"/>
            <w:shd w:val="clear" w:color="auto" w:fill="auto"/>
          </w:tcPr>
          <w:p w14:paraId="778AEDE4" w14:textId="77777777" w:rsidR="00EF6F31" w:rsidRPr="002A30B3" w:rsidRDefault="0070297E" w:rsidP="0070297E">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Adult</w:t>
            </w:r>
          </w:p>
          <w:p w14:paraId="57158416" w14:textId="1FF3E001" w:rsidR="0070297E" w:rsidRPr="002A30B3" w:rsidRDefault="0070297E" w:rsidP="0070297E">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Left-sided ulcerative colitis in remission with ≥1 relapse ≤12 months prior</w:t>
            </w:r>
          </w:p>
        </w:tc>
        <w:tc>
          <w:tcPr>
            <w:tcW w:w="1250" w:type="pct"/>
            <w:shd w:val="clear" w:color="auto" w:fill="auto"/>
            <w:vAlign w:val="center"/>
          </w:tcPr>
          <w:p w14:paraId="6F79278A" w14:textId="4F6A8D89" w:rsidR="00EF6F31" w:rsidRPr="002A30B3" w:rsidRDefault="0070297E" w:rsidP="00635FCC">
            <w:pPr>
              <w:jc w:val="center"/>
              <w:rPr>
                <w:rFonts w:ascii="Arial Narrow" w:hAnsi="Arial Narrow"/>
                <w:sz w:val="20"/>
                <w:szCs w:val="16"/>
              </w:rPr>
            </w:pPr>
            <w:r w:rsidRPr="002A30B3">
              <w:rPr>
                <w:rFonts w:ascii="Arial Narrow" w:hAnsi="Arial Narrow"/>
                <w:sz w:val="20"/>
                <w:szCs w:val="16"/>
              </w:rPr>
              <w:t>Proportion of patients in clinical remission, and proportion of patients in clinical and endoscopic remission at 12 months (co-primary outcomes)</w:t>
            </w:r>
          </w:p>
        </w:tc>
      </w:tr>
      <w:tr w:rsidR="00580A18" w:rsidRPr="002A30B3" w14:paraId="24F4BB3D" w14:textId="77777777" w:rsidTr="00580A18">
        <w:tc>
          <w:tcPr>
            <w:tcW w:w="682" w:type="pct"/>
            <w:shd w:val="clear" w:color="auto" w:fill="auto"/>
            <w:vAlign w:val="center"/>
          </w:tcPr>
          <w:p w14:paraId="2FBA003F" w14:textId="77777777" w:rsidR="00EF6F31" w:rsidRPr="002A30B3" w:rsidRDefault="00EF6F31" w:rsidP="00635FCC">
            <w:pPr>
              <w:jc w:val="left"/>
              <w:rPr>
                <w:rFonts w:ascii="Arial Narrow" w:hAnsi="Arial Narrow"/>
                <w:sz w:val="20"/>
                <w:szCs w:val="16"/>
              </w:rPr>
            </w:pPr>
            <w:r w:rsidRPr="002A30B3">
              <w:rPr>
                <w:rFonts w:ascii="Arial Narrow" w:hAnsi="Arial Narrow"/>
                <w:sz w:val="20"/>
                <w:szCs w:val="16"/>
              </w:rPr>
              <w:t>D’Haens 2012</w:t>
            </w:r>
          </w:p>
          <w:p w14:paraId="2814C281" w14:textId="0DA83945" w:rsidR="0070297E" w:rsidRPr="002A30B3" w:rsidRDefault="0070297E" w:rsidP="00635FCC">
            <w:pPr>
              <w:jc w:val="left"/>
              <w:rPr>
                <w:rFonts w:ascii="Arial Narrow" w:hAnsi="Arial Narrow"/>
                <w:sz w:val="20"/>
                <w:szCs w:val="16"/>
              </w:rPr>
            </w:pPr>
            <w:r w:rsidRPr="002A30B3">
              <w:rPr>
                <w:rFonts w:ascii="Arial Narrow" w:hAnsi="Arial Narrow"/>
                <w:sz w:val="20"/>
                <w:szCs w:val="16"/>
              </w:rPr>
              <w:t>(6 months)</w:t>
            </w:r>
          </w:p>
        </w:tc>
        <w:tc>
          <w:tcPr>
            <w:tcW w:w="255" w:type="pct"/>
            <w:shd w:val="clear" w:color="auto" w:fill="auto"/>
            <w:vAlign w:val="center"/>
          </w:tcPr>
          <w:p w14:paraId="3F768676" w14:textId="45C4AB3E" w:rsidR="00EF6F31" w:rsidRPr="002A30B3" w:rsidRDefault="0070297E" w:rsidP="00635FCC">
            <w:pPr>
              <w:jc w:val="center"/>
              <w:rPr>
                <w:rFonts w:ascii="Arial Narrow" w:hAnsi="Arial Narrow"/>
                <w:sz w:val="20"/>
                <w:szCs w:val="16"/>
              </w:rPr>
            </w:pPr>
            <w:r w:rsidRPr="002A30B3">
              <w:rPr>
                <w:rFonts w:ascii="Arial Narrow" w:hAnsi="Arial Narrow"/>
                <w:sz w:val="20"/>
                <w:szCs w:val="16"/>
              </w:rPr>
              <w:t>826</w:t>
            </w:r>
          </w:p>
        </w:tc>
        <w:tc>
          <w:tcPr>
            <w:tcW w:w="516" w:type="pct"/>
            <w:vAlign w:val="center"/>
          </w:tcPr>
          <w:p w14:paraId="41112E2A" w14:textId="34F4D5C7" w:rsidR="00EF6F31" w:rsidRPr="002A30B3" w:rsidRDefault="0070297E" w:rsidP="00635FCC">
            <w:pPr>
              <w:jc w:val="center"/>
              <w:rPr>
                <w:rFonts w:ascii="Arial Narrow" w:hAnsi="Arial Narrow"/>
                <w:sz w:val="20"/>
                <w:szCs w:val="16"/>
              </w:rPr>
            </w:pPr>
            <w:r w:rsidRPr="002A30B3">
              <w:rPr>
                <w:rFonts w:ascii="Arial Narrow" w:hAnsi="Arial Narrow"/>
                <w:sz w:val="20"/>
                <w:szCs w:val="16"/>
              </w:rPr>
              <w:t>Double-blind, multicentre RCT</w:t>
            </w:r>
          </w:p>
        </w:tc>
        <w:tc>
          <w:tcPr>
            <w:tcW w:w="848" w:type="pct"/>
            <w:shd w:val="clear" w:color="auto" w:fill="auto"/>
            <w:vAlign w:val="center"/>
          </w:tcPr>
          <w:p w14:paraId="4B24DE2B" w14:textId="7B3DF6AE" w:rsidR="00EF6F31" w:rsidRPr="002A30B3" w:rsidRDefault="0070297E" w:rsidP="00635FCC">
            <w:pPr>
              <w:jc w:val="center"/>
              <w:rPr>
                <w:rFonts w:ascii="Arial Narrow" w:hAnsi="Arial Narrow"/>
                <w:sz w:val="20"/>
                <w:szCs w:val="16"/>
              </w:rPr>
            </w:pPr>
            <w:r w:rsidRPr="002A30B3">
              <w:rPr>
                <w:rFonts w:ascii="Arial Narrow" w:hAnsi="Arial Narrow"/>
                <w:sz w:val="20"/>
                <w:szCs w:val="16"/>
              </w:rPr>
              <w:t xml:space="preserve">Mezavant </w:t>
            </w:r>
            <w:r w:rsidR="00F66817" w:rsidRPr="002A30B3">
              <w:rPr>
                <w:rFonts w:ascii="Arial Narrow" w:hAnsi="Arial Narrow"/>
                <w:sz w:val="20"/>
                <w:szCs w:val="16"/>
              </w:rPr>
              <w:t>2.4 g</w:t>
            </w:r>
            <w:r w:rsidRPr="002A30B3">
              <w:rPr>
                <w:rFonts w:ascii="Arial Narrow" w:hAnsi="Arial Narrow"/>
                <w:sz w:val="20"/>
                <w:szCs w:val="16"/>
              </w:rPr>
              <w:t xml:space="preserve"> once daily vs. Asacol </w:t>
            </w:r>
            <w:r w:rsidR="00F66817" w:rsidRPr="002A30B3">
              <w:rPr>
                <w:rFonts w:ascii="Arial Narrow" w:hAnsi="Arial Narrow"/>
                <w:sz w:val="20"/>
                <w:szCs w:val="16"/>
              </w:rPr>
              <w:t>1.6 g</w:t>
            </w:r>
            <w:r w:rsidRPr="002A30B3">
              <w:rPr>
                <w:rFonts w:ascii="Arial Narrow" w:hAnsi="Arial Narrow"/>
                <w:sz w:val="20"/>
                <w:szCs w:val="16"/>
              </w:rPr>
              <w:t xml:space="preserve"> daily (2 divided doses)</w:t>
            </w:r>
          </w:p>
        </w:tc>
        <w:tc>
          <w:tcPr>
            <w:tcW w:w="426" w:type="pct"/>
            <w:shd w:val="clear" w:color="auto" w:fill="auto"/>
            <w:vAlign w:val="center"/>
          </w:tcPr>
          <w:p w14:paraId="606BFA73" w14:textId="1C118146" w:rsidR="00EF6F31" w:rsidRPr="002A30B3" w:rsidRDefault="00EF6F31" w:rsidP="00635FCC">
            <w:pPr>
              <w:jc w:val="center"/>
              <w:rPr>
                <w:rFonts w:ascii="Arial Narrow" w:hAnsi="Arial Narrow"/>
                <w:sz w:val="20"/>
                <w:szCs w:val="16"/>
              </w:rPr>
            </w:pPr>
            <w:r w:rsidRPr="002A30B3">
              <w:rPr>
                <w:rFonts w:ascii="Arial Narrow" w:hAnsi="Arial Narrow"/>
                <w:sz w:val="20"/>
                <w:szCs w:val="16"/>
              </w:rPr>
              <w:t>Low</w:t>
            </w:r>
          </w:p>
        </w:tc>
        <w:tc>
          <w:tcPr>
            <w:tcW w:w="1023" w:type="pct"/>
            <w:shd w:val="clear" w:color="auto" w:fill="auto"/>
          </w:tcPr>
          <w:p w14:paraId="3862D600" w14:textId="77777777" w:rsidR="0070297E" w:rsidRPr="002A30B3" w:rsidRDefault="0070297E" w:rsidP="0070297E">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Adult</w:t>
            </w:r>
          </w:p>
          <w:p w14:paraId="2973FE06" w14:textId="055F6EB2" w:rsidR="00EF6F31" w:rsidRPr="002A30B3" w:rsidRDefault="00580A18" w:rsidP="00635FCC">
            <w:pPr>
              <w:pStyle w:val="ListParagraph"/>
              <w:numPr>
                <w:ilvl w:val="0"/>
                <w:numId w:val="20"/>
              </w:numPr>
              <w:ind w:left="184" w:hanging="142"/>
              <w:jc w:val="left"/>
              <w:rPr>
                <w:rFonts w:ascii="Arial Narrow" w:hAnsi="Arial Narrow"/>
                <w:sz w:val="20"/>
                <w:szCs w:val="16"/>
              </w:rPr>
            </w:pPr>
            <w:r w:rsidRPr="002A30B3">
              <w:rPr>
                <w:rFonts w:ascii="Arial Narrow" w:hAnsi="Arial Narrow"/>
                <w:sz w:val="20"/>
                <w:szCs w:val="16"/>
              </w:rPr>
              <w:t>Ulcerative colitis in remission for ≥30 days on a stable dose of mesalazine (≤</w:t>
            </w:r>
            <w:r w:rsidR="00F66817" w:rsidRPr="002A30B3">
              <w:rPr>
                <w:rFonts w:ascii="Arial Narrow" w:hAnsi="Arial Narrow"/>
                <w:sz w:val="20"/>
                <w:szCs w:val="16"/>
              </w:rPr>
              <w:t>2.4 g</w:t>
            </w:r>
            <w:r w:rsidRPr="002A30B3">
              <w:rPr>
                <w:rFonts w:ascii="Arial Narrow" w:hAnsi="Arial Narrow"/>
                <w:sz w:val="20"/>
                <w:szCs w:val="16"/>
              </w:rPr>
              <w:t xml:space="preserve"> daily) or equivalent dose of sulfasalazine (≤6.</w:t>
            </w:r>
            <w:r w:rsidR="00F66817" w:rsidRPr="002A30B3">
              <w:rPr>
                <w:rFonts w:ascii="Arial Narrow" w:hAnsi="Arial Narrow"/>
                <w:sz w:val="20"/>
                <w:szCs w:val="16"/>
              </w:rPr>
              <w:t>2 g</w:t>
            </w:r>
            <w:r w:rsidRPr="002A30B3">
              <w:rPr>
                <w:rFonts w:ascii="Arial Narrow" w:hAnsi="Arial Narrow"/>
                <w:sz w:val="20"/>
                <w:szCs w:val="16"/>
              </w:rPr>
              <w:t xml:space="preserve"> daily)</w:t>
            </w:r>
          </w:p>
        </w:tc>
        <w:tc>
          <w:tcPr>
            <w:tcW w:w="1250" w:type="pct"/>
            <w:shd w:val="clear" w:color="auto" w:fill="auto"/>
            <w:vAlign w:val="center"/>
          </w:tcPr>
          <w:p w14:paraId="61E4E366" w14:textId="449D4331" w:rsidR="00EF6F31" w:rsidRPr="002A30B3" w:rsidRDefault="00580A18" w:rsidP="00635FCC">
            <w:pPr>
              <w:jc w:val="center"/>
              <w:rPr>
                <w:rFonts w:ascii="Arial Narrow" w:hAnsi="Arial Narrow"/>
                <w:sz w:val="20"/>
                <w:szCs w:val="16"/>
              </w:rPr>
            </w:pPr>
            <w:r w:rsidRPr="002A30B3">
              <w:rPr>
                <w:rFonts w:ascii="Arial Narrow" w:hAnsi="Arial Narrow"/>
                <w:sz w:val="20"/>
                <w:szCs w:val="16"/>
              </w:rPr>
              <w:t>Proportion of patients with endoscopic remission at 6 months</w:t>
            </w:r>
          </w:p>
        </w:tc>
      </w:tr>
    </w:tbl>
    <w:p w14:paraId="3B187F51" w14:textId="6343FA90" w:rsidR="00EF6F31" w:rsidRPr="002A30B3" w:rsidRDefault="00F66A54" w:rsidP="00580A18">
      <w:pPr>
        <w:pStyle w:val="TableFooter"/>
      </w:pPr>
      <w:r w:rsidRPr="002A30B3">
        <w:tab/>
        <w:t>Source: Table 9, pp</w:t>
      </w:r>
      <w:r w:rsidR="000909E7" w:rsidRPr="002A30B3">
        <w:t>20</w:t>
      </w:r>
      <w:r w:rsidRPr="002A30B3">
        <w:t>-</w:t>
      </w:r>
      <w:r w:rsidR="000909E7" w:rsidRPr="002A30B3">
        <w:t>2</w:t>
      </w:r>
      <w:r w:rsidRPr="002A30B3">
        <w:t>1</w:t>
      </w:r>
      <w:r w:rsidR="00580A18" w:rsidRPr="002A30B3">
        <w:t xml:space="preserve"> of the submission</w:t>
      </w:r>
    </w:p>
    <w:p w14:paraId="0D77FE0C" w14:textId="6487F734" w:rsidR="00580A18" w:rsidRPr="002A30B3" w:rsidRDefault="00580A18" w:rsidP="00580A18">
      <w:pPr>
        <w:pStyle w:val="TableFooter"/>
      </w:pPr>
      <w:r w:rsidRPr="002A30B3">
        <w:tab/>
        <w:t>Abbreviations: RCT, randomised controlled trial</w:t>
      </w:r>
    </w:p>
    <w:p w14:paraId="4D0B6C8B" w14:textId="77777777" w:rsidR="00B60939" w:rsidRPr="002A30B3" w:rsidRDefault="00B60939" w:rsidP="00B60939">
      <w:pPr>
        <w:rPr>
          <w:szCs w:val="22"/>
        </w:rPr>
      </w:pPr>
    </w:p>
    <w:p w14:paraId="5B774F06" w14:textId="699B4F99" w:rsidR="0002612A" w:rsidRPr="002A30B3" w:rsidRDefault="0002612A" w:rsidP="006C3F47">
      <w:pPr>
        <w:pStyle w:val="ListParagraph"/>
        <w:widowControl/>
        <w:numPr>
          <w:ilvl w:val="1"/>
          <w:numId w:val="5"/>
        </w:numPr>
        <w:rPr>
          <w:szCs w:val="22"/>
        </w:rPr>
      </w:pPr>
      <w:r w:rsidRPr="002A30B3">
        <w:rPr>
          <w:szCs w:val="22"/>
        </w:rPr>
        <w:t>Overall, the risk of bias for the trials comparing the interventions for maintenance of remission (Prantera 2009 and D’Haens 2012) was low. However, the risk of bias was high in the Kamm 2007 study for induction of remission. Although a central interactive voice response system was used for the majority of treatment allocations, 35 of the 341 recruited patients had forced allocations to the next treatment in the randomisation (e.g. due to delay in medication arrival at the site). There was potential for the randomisation and concealment to be compromised during the study.</w:t>
      </w:r>
      <w:r w:rsidR="006C3F47" w:rsidRPr="002A30B3">
        <w:rPr>
          <w:szCs w:val="22"/>
        </w:rPr>
        <w:t xml:space="preserve"> </w:t>
      </w:r>
      <w:r w:rsidR="00C624BF" w:rsidRPr="002A30B3">
        <w:rPr>
          <w:szCs w:val="22"/>
        </w:rPr>
        <w:t>In the Kamm 2007 study, t</w:t>
      </w:r>
      <w:r w:rsidRPr="002A30B3">
        <w:rPr>
          <w:szCs w:val="22"/>
        </w:rPr>
        <w:t xml:space="preserve">here was a potential for survivor bias due to differential discontinuation, with more patients in the placebo arm discontinuing compared with the active treatment arms (39.5% vs. 15-19% respectively). </w:t>
      </w:r>
      <w:r w:rsidR="00C624BF" w:rsidRPr="002A30B3">
        <w:rPr>
          <w:szCs w:val="22"/>
        </w:rPr>
        <w:t>The majority of patients discontinued due to lack of efficacy.</w:t>
      </w:r>
    </w:p>
    <w:p w14:paraId="5AECDABF" w14:textId="77777777" w:rsidR="00C624BF" w:rsidRPr="002A30B3" w:rsidRDefault="00C624BF" w:rsidP="00C624BF">
      <w:pPr>
        <w:pStyle w:val="ListParagraph"/>
        <w:widowControl/>
        <w:rPr>
          <w:szCs w:val="22"/>
        </w:rPr>
      </w:pPr>
    </w:p>
    <w:p w14:paraId="73162F1A" w14:textId="7793322F" w:rsidR="0002612A" w:rsidRPr="002A30B3" w:rsidRDefault="00C624BF" w:rsidP="00B60939">
      <w:pPr>
        <w:pStyle w:val="ListParagraph"/>
        <w:widowControl/>
        <w:numPr>
          <w:ilvl w:val="1"/>
          <w:numId w:val="5"/>
        </w:numPr>
        <w:rPr>
          <w:szCs w:val="22"/>
        </w:rPr>
      </w:pPr>
      <w:r w:rsidRPr="002A30B3">
        <w:rPr>
          <w:szCs w:val="22"/>
        </w:rPr>
        <w:t xml:space="preserve">There were issues of applicability </w:t>
      </w:r>
      <w:r w:rsidR="00044EA7" w:rsidRPr="002A30B3">
        <w:rPr>
          <w:szCs w:val="22"/>
        </w:rPr>
        <w:t xml:space="preserve">to the proposed PBS population </w:t>
      </w:r>
      <w:r w:rsidRPr="002A30B3">
        <w:rPr>
          <w:szCs w:val="22"/>
        </w:rPr>
        <w:t>for all included trials. Kamm 2007 excluded patients previously receiving 5-ASA doses of more than 2.0</w:t>
      </w:r>
      <w:r w:rsidR="009D7671" w:rsidRPr="002A30B3">
        <w:rPr>
          <w:szCs w:val="22"/>
        </w:rPr>
        <w:t xml:space="preserve"> </w:t>
      </w:r>
      <w:r w:rsidRPr="002A30B3">
        <w:rPr>
          <w:szCs w:val="22"/>
        </w:rPr>
        <w:t xml:space="preserve">g per day or </w:t>
      </w:r>
      <w:r w:rsidR="008030DF" w:rsidRPr="002A30B3">
        <w:rPr>
          <w:szCs w:val="22"/>
        </w:rPr>
        <w:t xml:space="preserve">who </w:t>
      </w:r>
      <w:r w:rsidRPr="002A30B3">
        <w:rPr>
          <w:szCs w:val="22"/>
        </w:rPr>
        <w:t xml:space="preserve">had recent treatment with rectal or oral steroids. The </w:t>
      </w:r>
      <w:r w:rsidR="00044EA7" w:rsidRPr="002A30B3">
        <w:rPr>
          <w:szCs w:val="22"/>
        </w:rPr>
        <w:t xml:space="preserve">trial </w:t>
      </w:r>
      <w:r w:rsidRPr="002A30B3">
        <w:rPr>
          <w:szCs w:val="22"/>
        </w:rPr>
        <w:t>patient population may be more responsive to 5-ASA treatment at l</w:t>
      </w:r>
      <w:r w:rsidR="006C3F47" w:rsidRPr="002A30B3">
        <w:rPr>
          <w:szCs w:val="22"/>
        </w:rPr>
        <w:t>ower doses and may be less representative of patients with more severe disease. Prantera 2009 and D’Haens 2012 both excluded patients with severe ulcerative colitis and those previously receiving other treatments (e.g. rectal mesalazine, corticosteroids or immunosuppressants). The trial populations may not be applicable to the PBS population</w:t>
      </w:r>
      <w:r w:rsidR="00044EA7" w:rsidRPr="002A30B3">
        <w:rPr>
          <w:szCs w:val="22"/>
        </w:rPr>
        <w:t>, which</w:t>
      </w:r>
      <w:r w:rsidR="006C3F47" w:rsidRPr="002A30B3">
        <w:rPr>
          <w:szCs w:val="22"/>
        </w:rPr>
        <w:t xml:space="preserve"> could have severe disease based on the proposed restriction and </w:t>
      </w:r>
      <w:r w:rsidR="006C3F47" w:rsidRPr="002A30B3">
        <w:rPr>
          <w:szCs w:val="22"/>
        </w:rPr>
        <w:lastRenderedPageBreak/>
        <w:t xml:space="preserve">patients </w:t>
      </w:r>
      <w:r w:rsidR="008030DF" w:rsidRPr="002A30B3">
        <w:rPr>
          <w:szCs w:val="22"/>
        </w:rPr>
        <w:t xml:space="preserve">who </w:t>
      </w:r>
      <w:r w:rsidR="006C3F47" w:rsidRPr="002A30B3">
        <w:rPr>
          <w:szCs w:val="22"/>
        </w:rPr>
        <w:t xml:space="preserve">could be treated with Asacol in combination therapy (e.g. with rectal mesalazine or corticosteroids). </w:t>
      </w:r>
    </w:p>
    <w:p w14:paraId="3A05DE8F" w14:textId="77777777" w:rsidR="006C3F47" w:rsidRPr="002A30B3" w:rsidRDefault="006C3F47" w:rsidP="006C3F47">
      <w:pPr>
        <w:pStyle w:val="ListParagraph"/>
        <w:widowControl/>
        <w:rPr>
          <w:szCs w:val="22"/>
        </w:rPr>
      </w:pPr>
    </w:p>
    <w:p w14:paraId="256C1DBF" w14:textId="6A042146" w:rsidR="00A761F6" w:rsidRPr="002A30B3" w:rsidRDefault="00066456" w:rsidP="00B60939">
      <w:pPr>
        <w:pStyle w:val="ListParagraph"/>
        <w:widowControl/>
        <w:numPr>
          <w:ilvl w:val="1"/>
          <w:numId w:val="5"/>
        </w:numPr>
        <w:rPr>
          <w:szCs w:val="22"/>
        </w:rPr>
      </w:pPr>
      <w:r w:rsidRPr="002A30B3">
        <w:rPr>
          <w:szCs w:val="22"/>
        </w:rPr>
        <w:t>The ESC noted that t</w:t>
      </w:r>
      <w:r w:rsidR="006C3F47" w:rsidRPr="002A30B3">
        <w:rPr>
          <w:szCs w:val="22"/>
        </w:rPr>
        <w:t>here were substantial issues of heterogeneity in the Prantera 2009 trial. Study authors conducted an analysis of overall remission rates by country and noted statistically significantly higher proportions of patients in remission in Poland (77.8%) and Ukraine (96.7%)</w:t>
      </w:r>
      <w:r w:rsidR="00B76097" w:rsidRPr="002A30B3">
        <w:rPr>
          <w:szCs w:val="22"/>
        </w:rPr>
        <w:t xml:space="preserve"> compared with Italy (54.6%). The authors acknowledged the differences between Italy, Poland and Ukraine in the proportion of patients receiving a 5-ASA dose of more than </w:t>
      </w:r>
      <w:r w:rsidR="00F66817" w:rsidRPr="002A30B3">
        <w:rPr>
          <w:szCs w:val="22"/>
        </w:rPr>
        <w:t>1.6 g</w:t>
      </w:r>
      <w:r w:rsidR="00B76097" w:rsidRPr="002A30B3">
        <w:rPr>
          <w:szCs w:val="22"/>
        </w:rPr>
        <w:t xml:space="preserve"> per day (79.2% vs.</w:t>
      </w:r>
      <w:r w:rsidR="00767230" w:rsidRPr="002A30B3">
        <w:rPr>
          <w:szCs w:val="22"/>
        </w:rPr>
        <w:t xml:space="preserve"> 49.0% vs. 36.1% respectively).</w:t>
      </w:r>
    </w:p>
    <w:p w14:paraId="7693864F" w14:textId="77777777" w:rsidR="00A761F6" w:rsidRPr="002A30B3" w:rsidRDefault="00A761F6" w:rsidP="00A761F6">
      <w:pPr>
        <w:pStyle w:val="ListParagraph"/>
        <w:widowControl/>
        <w:rPr>
          <w:szCs w:val="22"/>
        </w:rPr>
      </w:pPr>
    </w:p>
    <w:p w14:paraId="28C21E01" w14:textId="589DB703" w:rsidR="006C3F47" w:rsidRPr="002A30B3" w:rsidRDefault="00A761F6" w:rsidP="00B60939">
      <w:pPr>
        <w:pStyle w:val="ListParagraph"/>
        <w:widowControl/>
        <w:numPr>
          <w:ilvl w:val="1"/>
          <w:numId w:val="5"/>
        </w:numPr>
        <w:rPr>
          <w:szCs w:val="22"/>
        </w:rPr>
      </w:pPr>
      <w:r w:rsidRPr="002A30B3">
        <w:rPr>
          <w:szCs w:val="22"/>
        </w:rPr>
        <w:t>It was unclear if the formulations used in the included studies were identical to the proposed Asacol tablet in the submission (Kamm 2007 and D’Haens 2012 administered Asacol 400</w:t>
      </w:r>
      <w:r w:rsidR="001B52D5" w:rsidRPr="002A30B3">
        <w:rPr>
          <w:szCs w:val="22"/>
        </w:rPr>
        <w:t xml:space="preserve"> </w:t>
      </w:r>
      <w:r w:rsidRPr="002A30B3">
        <w:rPr>
          <w:szCs w:val="22"/>
        </w:rPr>
        <w:t xml:space="preserve">mg tablets; Prantera 2009 used Asacol </w:t>
      </w:r>
      <w:r w:rsidR="00F66817" w:rsidRPr="002A30B3">
        <w:rPr>
          <w:szCs w:val="22"/>
        </w:rPr>
        <w:t xml:space="preserve">800 mg </w:t>
      </w:r>
      <w:r w:rsidRPr="002A30B3">
        <w:rPr>
          <w:szCs w:val="22"/>
        </w:rPr>
        <w:t xml:space="preserve">tablets). The TGA clinical evaluator noted the lack of comprehensive pharmacokinetic data in patients with ulcerative colitis and the observed variations in plasma measure between the </w:t>
      </w:r>
      <w:r w:rsidR="009D7671" w:rsidRPr="002A30B3">
        <w:rPr>
          <w:szCs w:val="22"/>
        </w:rPr>
        <w:t>800 mg</w:t>
      </w:r>
      <w:r w:rsidRPr="002A30B3">
        <w:rPr>
          <w:szCs w:val="22"/>
        </w:rPr>
        <w:t xml:space="preserve"> and 400</w:t>
      </w:r>
      <w:r w:rsidR="001B52D5" w:rsidRPr="002A30B3">
        <w:rPr>
          <w:szCs w:val="22"/>
        </w:rPr>
        <w:t xml:space="preserve"> </w:t>
      </w:r>
      <w:r w:rsidRPr="002A30B3">
        <w:rPr>
          <w:szCs w:val="22"/>
        </w:rPr>
        <w:t xml:space="preserve">mg formulations. </w:t>
      </w:r>
    </w:p>
    <w:p w14:paraId="15C15DFC" w14:textId="77777777" w:rsidR="00B76097" w:rsidRPr="002A30B3" w:rsidRDefault="00B76097" w:rsidP="00B76097">
      <w:pPr>
        <w:pStyle w:val="ListParagraph"/>
        <w:widowControl/>
        <w:rPr>
          <w:szCs w:val="22"/>
        </w:rPr>
      </w:pPr>
    </w:p>
    <w:p w14:paraId="0F9658C4" w14:textId="033C9A00" w:rsidR="00666B55" w:rsidRPr="002A30B3" w:rsidRDefault="00B76097" w:rsidP="00666B55">
      <w:pPr>
        <w:pStyle w:val="ListParagraph"/>
        <w:widowControl/>
        <w:numPr>
          <w:ilvl w:val="1"/>
          <w:numId w:val="5"/>
        </w:numPr>
        <w:rPr>
          <w:szCs w:val="22"/>
        </w:rPr>
      </w:pPr>
      <w:r w:rsidRPr="002A30B3">
        <w:rPr>
          <w:szCs w:val="22"/>
        </w:rPr>
        <w:t xml:space="preserve">In all trials, there were differences in dosing frequency and pill burden between active treatments. Although the differences in administration had minimal impact </w:t>
      </w:r>
      <w:r w:rsidR="00556764" w:rsidRPr="002A30B3">
        <w:rPr>
          <w:szCs w:val="22"/>
        </w:rPr>
        <w:t>within the trials, it is</w:t>
      </w:r>
      <w:r w:rsidR="00A761F6" w:rsidRPr="002A30B3">
        <w:rPr>
          <w:szCs w:val="22"/>
        </w:rPr>
        <w:t xml:space="preserve"> unclear if the higher pill burden and dosing frequency in those receiving Asacol compared with Mezavant will affect compliance in the eligible PBS population.</w:t>
      </w:r>
      <w:r w:rsidR="00296091" w:rsidRPr="002A30B3">
        <w:rPr>
          <w:szCs w:val="22"/>
        </w:rPr>
        <w:t xml:space="preserve"> </w:t>
      </w:r>
    </w:p>
    <w:p w14:paraId="498761E7" w14:textId="77777777" w:rsidR="00CD788E" w:rsidRPr="002A30B3" w:rsidRDefault="00CD788E" w:rsidP="00CD788E">
      <w:pPr>
        <w:pStyle w:val="ListParagraph"/>
        <w:rPr>
          <w:szCs w:val="22"/>
        </w:rPr>
      </w:pPr>
    </w:p>
    <w:p w14:paraId="4A4FE085" w14:textId="63CDA096" w:rsidR="00B60939" w:rsidRPr="002A30B3" w:rsidRDefault="00B60939" w:rsidP="00232785">
      <w:pPr>
        <w:pStyle w:val="Heading3"/>
        <w:rPr>
          <w:i/>
          <w:u w:val="none"/>
        </w:rPr>
      </w:pPr>
      <w:bookmarkStart w:id="9" w:name="_Toc470161815"/>
      <w:r w:rsidRPr="002A30B3">
        <w:rPr>
          <w:b/>
          <w:i/>
          <w:u w:val="none"/>
        </w:rPr>
        <w:t>Comparative effectiveness</w:t>
      </w:r>
      <w:bookmarkEnd w:id="9"/>
    </w:p>
    <w:p w14:paraId="452790C6" w14:textId="77777777" w:rsidR="002F3D5B" w:rsidRPr="002A30B3" w:rsidRDefault="002F3D5B" w:rsidP="00DC3D35">
      <w:pPr>
        <w:widowControl/>
        <w:rPr>
          <w:rStyle w:val="CommentReference"/>
          <w:rFonts w:ascii="Arial" w:hAnsi="Arial"/>
          <w:b w:val="0"/>
          <w:sz w:val="22"/>
          <w:szCs w:val="22"/>
        </w:rPr>
      </w:pPr>
    </w:p>
    <w:p w14:paraId="0DFA42EF" w14:textId="26D96A93" w:rsidR="002F3D5B" w:rsidRPr="002A30B3" w:rsidRDefault="00454714" w:rsidP="00EF6F31">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Table 4</w:t>
      </w:r>
      <w:r w:rsidR="002F3D5B" w:rsidRPr="002A30B3">
        <w:rPr>
          <w:rStyle w:val="CommentReference"/>
          <w:rFonts w:ascii="Arial" w:hAnsi="Arial"/>
          <w:b w:val="0"/>
          <w:sz w:val="22"/>
          <w:szCs w:val="22"/>
        </w:rPr>
        <w:t xml:space="preserve"> summarises the main results and</w:t>
      </w:r>
      <w:r w:rsidR="0031016E" w:rsidRPr="002A30B3">
        <w:rPr>
          <w:rStyle w:val="CommentReference"/>
          <w:rFonts w:ascii="Arial" w:hAnsi="Arial"/>
          <w:b w:val="0"/>
          <w:sz w:val="22"/>
          <w:szCs w:val="22"/>
        </w:rPr>
        <w:t xml:space="preserve"> post-hoc analysi</w:t>
      </w:r>
      <w:r w:rsidR="002F3D5B" w:rsidRPr="002A30B3">
        <w:rPr>
          <w:rStyle w:val="CommentReference"/>
          <w:rFonts w:ascii="Arial" w:hAnsi="Arial"/>
          <w:b w:val="0"/>
          <w:sz w:val="22"/>
          <w:szCs w:val="22"/>
        </w:rPr>
        <w:t>s</w:t>
      </w:r>
      <w:r w:rsidR="0031016E" w:rsidRPr="002A30B3">
        <w:rPr>
          <w:rStyle w:val="CommentReference"/>
          <w:rFonts w:ascii="Arial" w:hAnsi="Arial"/>
          <w:b w:val="0"/>
          <w:sz w:val="22"/>
          <w:szCs w:val="22"/>
        </w:rPr>
        <w:t xml:space="preserve"> comparing Asacol </w:t>
      </w:r>
      <w:r w:rsidR="00F66817" w:rsidRPr="002A30B3">
        <w:rPr>
          <w:rStyle w:val="CommentReference"/>
          <w:rFonts w:ascii="Arial" w:hAnsi="Arial"/>
          <w:b w:val="0"/>
          <w:sz w:val="22"/>
          <w:szCs w:val="22"/>
        </w:rPr>
        <w:t>2.4 g</w:t>
      </w:r>
      <w:r w:rsidR="0031016E" w:rsidRPr="002A30B3">
        <w:rPr>
          <w:rStyle w:val="CommentReference"/>
          <w:rFonts w:ascii="Arial" w:hAnsi="Arial"/>
          <w:b w:val="0"/>
          <w:sz w:val="22"/>
          <w:szCs w:val="22"/>
        </w:rPr>
        <w:t xml:space="preserve"> versus Mezavant </w:t>
      </w:r>
      <w:r w:rsidR="00F66817" w:rsidRPr="002A30B3">
        <w:rPr>
          <w:rStyle w:val="CommentReference"/>
          <w:rFonts w:ascii="Arial" w:hAnsi="Arial"/>
          <w:b w:val="0"/>
          <w:sz w:val="22"/>
          <w:szCs w:val="22"/>
        </w:rPr>
        <w:t>2.4 g</w:t>
      </w:r>
      <w:r w:rsidR="002F3D5B" w:rsidRPr="002A30B3">
        <w:rPr>
          <w:rStyle w:val="CommentReference"/>
          <w:rFonts w:ascii="Arial" w:hAnsi="Arial"/>
          <w:b w:val="0"/>
          <w:sz w:val="22"/>
          <w:szCs w:val="22"/>
        </w:rPr>
        <w:t xml:space="preserve"> </w:t>
      </w:r>
      <w:r w:rsidR="0031016E" w:rsidRPr="002A30B3">
        <w:rPr>
          <w:rStyle w:val="CommentReference"/>
          <w:rFonts w:ascii="Arial" w:hAnsi="Arial"/>
          <w:b w:val="0"/>
          <w:sz w:val="22"/>
          <w:szCs w:val="22"/>
        </w:rPr>
        <w:t>from</w:t>
      </w:r>
      <w:r w:rsidR="002F3D5B" w:rsidRPr="002A30B3">
        <w:rPr>
          <w:rStyle w:val="CommentReference"/>
          <w:rFonts w:ascii="Arial" w:hAnsi="Arial"/>
          <w:b w:val="0"/>
          <w:sz w:val="22"/>
          <w:szCs w:val="22"/>
        </w:rPr>
        <w:t xml:space="preserve"> </w:t>
      </w:r>
      <w:r w:rsidR="0031016E" w:rsidRPr="002A30B3">
        <w:rPr>
          <w:rStyle w:val="CommentReference"/>
          <w:rFonts w:ascii="Arial" w:hAnsi="Arial"/>
          <w:b w:val="0"/>
          <w:sz w:val="22"/>
          <w:szCs w:val="22"/>
        </w:rPr>
        <w:t xml:space="preserve">Kamm 2007 </w:t>
      </w:r>
      <w:r w:rsidR="002F3D5B" w:rsidRPr="002A30B3">
        <w:rPr>
          <w:rStyle w:val="CommentReference"/>
          <w:rFonts w:ascii="Arial" w:hAnsi="Arial"/>
          <w:b w:val="0"/>
          <w:sz w:val="22"/>
          <w:szCs w:val="22"/>
        </w:rPr>
        <w:t xml:space="preserve">for induction of remission. </w:t>
      </w:r>
    </w:p>
    <w:p w14:paraId="3DFE9395" w14:textId="77777777" w:rsidR="002F3D5B" w:rsidRPr="002A30B3" w:rsidRDefault="002F3D5B" w:rsidP="002F3D5B">
      <w:pPr>
        <w:pStyle w:val="ListParagraph"/>
        <w:widowControl/>
        <w:rPr>
          <w:rStyle w:val="CommentReference"/>
        </w:rPr>
      </w:pPr>
    </w:p>
    <w:p w14:paraId="6192C7A1" w14:textId="6D8D1C15" w:rsidR="007F1017" w:rsidRPr="002A30B3" w:rsidRDefault="007F1017" w:rsidP="002F3D5B">
      <w:pPr>
        <w:pStyle w:val="ListParagraph"/>
        <w:widowControl/>
        <w:rPr>
          <w:rStyle w:val="CommentReference"/>
        </w:rPr>
      </w:pPr>
      <w:r w:rsidRPr="002A30B3">
        <w:rPr>
          <w:rStyle w:val="CommentReference"/>
        </w:rPr>
        <w:t>Table</w:t>
      </w:r>
      <w:r w:rsidR="00454714" w:rsidRPr="002A30B3">
        <w:rPr>
          <w:rStyle w:val="CommentReference"/>
        </w:rPr>
        <w:t xml:space="preserve"> 4</w:t>
      </w:r>
      <w:r w:rsidRPr="002A30B3">
        <w:rPr>
          <w:rStyle w:val="CommentReference"/>
        </w:rPr>
        <w:t xml:space="preserve">: </w:t>
      </w:r>
      <w:r w:rsidR="002F3D5B" w:rsidRPr="002A30B3">
        <w:rPr>
          <w:rStyle w:val="CommentReference"/>
        </w:rPr>
        <w:t>Induction of remission at 8 weeks, Kamm 2007 (ITT population)</w:t>
      </w:r>
      <w:r w:rsidRPr="002A30B3">
        <w:rPr>
          <w:rStyle w:val="CommentReference"/>
        </w:rPr>
        <w:t xml:space="preserve"> </w:t>
      </w:r>
    </w:p>
    <w:tbl>
      <w:tblPr>
        <w:tblW w:w="460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59"/>
        <w:gridCol w:w="1340"/>
        <w:gridCol w:w="1297"/>
        <w:gridCol w:w="1283"/>
        <w:gridCol w:w="1287"/>
      </w:tblGrid>
      <w:tr w:rsidR="002F3D5B" w:rsidRPr="002A30B3" w14:paraId="50CEC4A5" w14:textId="77777777" w:rsidTr="001D74DB">
        <w:tc>
          <w:tcPr>
            <w:tcW w:w="1888" w:type="pct"/>
            <w:vAlign w:val="center"/>
          </w:tcPr>
          <w:p w14:paraId="0455A4E8" w14:textId="77777777" w:rsidR="002F3D5B" w:rsidRPr="002A30B3" w:rsidRDefault="002F3D5B" w:rsidP="00635FCC">
            <w:pPr>
              <w:jc w:val="left"/>
              <w:rPr>
                <w:rFonts w:ascii="Arial Narrow" w:hAnsi="Arial Narrow"/>
                <w:sz w:val="20"/>
              </w:rPr>
            </w:pPr>
            <w:r w:rsidRPr="002A30B3">
              <w:rPr>
                <w:rFonts w:ascii="Arial Narrow" w:hAnsi="Arial Narrow"/>
                <w:b/>
                <w:sz w:val="20"/>
              </w:rPr>
              <w:t>Clinical and endoscopic remission</w:t>
            </w:r>
          </w:p>
        </w:tc>
        <w:tc>
          <w:tcPr>
            <w:tcW w:w="801" w:type="pct"/>
            <w:vAlign w:val="center"/>
          </w:tcPr>
          <w:p w14:paraId="64A3F893" w14:textId="39108D65" w:rsidR="002F3D5B" w:rsidRPr="002A30B3" w:rsidRDefault="002F3D5B" w:rsidP="00635FCC">
            <w:pPr>
              <w:jc w:val="center"/>
              <w:rPr>
                <w:rFonts w:ascii="Arial Narrow" w:hAnsi="Arial Narrow"/>
                <w:b/>
                <w:sz w:val="20"/>
              </w:rPr>
            </w:pPr>
            <w:r w:rsidRPr="002A30B3">
              <w:rPr>
                <w:rFonts w:ascii="Arial Narrow" w:hAnsi="Arial Narrow"/>
                <w:b/>
                <w:sz w:val="20"/>
              </w:rPr>
              <w:t xml:space="preserve">Asacol </w:t>
            </w:r>
            <w:r w:rsidR="00F66817" w:rsidRPr="002A30B3">
              <w:rPr>
                <w:rFonts w:ascii="Arial Narrow" w:hAnsi="Arial Narrow"/>
                <w:b/>
                <w:sz w:val="20"/>
              </w:rPr>
              <w:t>2.4 g</w:t>
            </w:r>
          </w:p>
          <w:p w14:paraId="01840443" w14:textId="77777777" w:rsidR="002F3D5B" w:rsidRPr="002A30B3" w:rsidRDefault="002F3D5B" w:rsidP="00635FCC">
            <w:pPr>
              <w:ind w:right="-108"/>
              <w:jc w:val="center"/>
              <w:rPr>
                <w:rFonts w:ascii="Arial Narrow" w:hAnsi="Arial Narrow"/>
                <w:b/>
                <w:sz w:val="20"/>
              </w:rPr>
            </w:pPr>
            <w:r w:rsidRPr="002A30B3">
              <w:rPr>
                <w:rFonts w:ascii="Arial Narrow" w:hAnsi="Arial Narrow"/>
                <w:b/>
                <w:sz w:val="20"/>
              </w:rPr>
              <w:t>N=86</w:t>
            </w:r>
          </w:p>
        </w:tc>
        <w:tc>
          <w:tcPr>
            <w:tcW w:w="775" w:type="pct"/>
            <w:vAlign w:val="center"/>
          </w:tcPr>
          <w:p w14:paraId="40A41E2F" w14:textId="50EEA091" w:rsidR="002F3D5B" w:rsidRPr="002A30B3" w:rsidRDefault="002F3D5B" w:rsidP="00635FCC">
            <w:pPr>
              <w:jc w:val="center"/>
              <w:rPr>
                <w:rFonts w:ascii="Arial Narrow" w:hAnsi="Arial Narrow"/>
                <w:b/>
                <w:sz w:val="20"/>
              </w:rPr>
            </w:pPr>
            <w:r w:rsidRPr="002A30B3">
              <w:rPr>
                <w:rFonts w:ascii="Arial Narrow" w:hAnsi="Arial Narrow"/>
                <w:b/>
                <w:sz w:val="20"/>
              </w:rPr>
              <w:t xml:space="preserve">Mezavant </w:t>
            </w:r>
            <w:r w:rsidR="00F66817" w:rsidRPr="002A30B3">
              <w:rPr>
                <w:rFonts w:ascii="Arial Narrow" w:hAnsi="Arial Narrow"/>
                <w:b/>
                <w:sz w:val="20"/>
              </w:rPr>
              <w:t>2.4 g</w:t>
            </w:r>
          </w:p>
          <w:p w14:paraId="7326D27B" w14:textId="77777777" w:rsidR="002F3D5B" w:rsidRPr="002A30B3" w:rsidRDefault="002F3D5B" w:rsidP="00635FCC">
            <w:pPr>
              <w:ind w:right="-108"/>
              <w:jc w:val="center"/>
              <w:rPr>
                <w:rFonts w:ascii="Arial Narrow" w:hAnsi="Arial Narrow"/>
                <w:b/>
                <w:sz w:val="20"/>
              </w:rPr>
            </w:pPr>
            <w:r w:rsidRPr="002A30B3">
              <w:rPr>
                <w:rFonts w:ascii="Arial Narrow" w:hAnsi="Arial Narrow"/>
                <w:b/>
                <w:sz w:val="20"/>
              </w:rPr>
              <w:t>N=84</w:t>
            </w:r>
          </w:p>
        </w:tc>
        <w:tc>
          <w:tcPr>
            <w:tcW w:w="767" w:type="pct"/>
            <w:vAlign w:val="center"/>
          </w:tcPr>
          <w:p w14:paraId="3365A315" w14:textId="18ECC095" w:rsidR="002F3D5B" w:rsidRPr="002A30B3" w:rsidRDefault="002F3D5B" w:rsidP="00635FCC">
            <w:pPr>
              <w:jc w:val="center"/>
              <w:rPr>
                <w:rFonts w:ascii="Arial Narrow" w:hAnsi="Arial Narrow"/>
                <w:b/>
                <w:sz w:val="20"/>
              </w:rPr>
            </w:pPr>
            <w:r w:rsidRPr="002A30B3">
              <w:rPr>
                <w:rFonts w:ascii="Arial Narrow" w:hAnsi="Arial Narrow"/>
                <w:b/>
                <w:sz w:val="20"/>
              </w:rPr>
              <w:t xml:space="preserve">Mezavant </w:t>
            </w:r>
            <w:r w:rsidR="00F66817" w:rsidRPr="002A30B3">
              <w:rPr>
                <w:rFonts w:ascii="Arial Narrow" w:hAnsi="Arial Narrow"/>
                <w:b/>
                <w:sz w:val="20"/>
              </w:rPr>
              <w:t>4.8 g</w:t>
            </w:r>
          </w:p>
          <w:p w14:paraId="5D2E33C5" w14:textId="77777777" w:rsidR="002F3D5B" w:rsidRPr="002A30B3" w:rsidRDefault="002F3D5B" w:rsidP="00635FCC">
            <w:pPr>
              <w:ind w:right="-108"/>
              <w:jc w:val="center"/>
              <w:rPr>
                <w:rFonts w:ascii="Arial Narrow" w:hAnsi="Arial Narrow"/>
                <w:b/>
                <w:sz w:val="20"/>
              </w:rPr>
            </w:pPr>
            <w:r w:rsidRPr="002A30B3">
              <w:rPr>
                <w:rFonts w:ascii="Arial Narrow" w:hAnsi="Arial Narrow"/>
                <w:b/>
                <w:sz w:val="20"/>
              </w:rPr>
              <w:t>N=85</w:t>
            </w:r>
          </w:p>
        </w:tc>
        <w:tc>
          <w:tcPr>
            <w:tcW w:w="770" w:type="pct"/>
            <w:vAlign w:val="center"/>
          </w:tcPr>
          <w:p w14:paraId="5084EFEC" w14:textId="77777777" w:rsidR="002F3D5B" w:rsidRPr="002A30B3" w:rsidRDefault="002F3D5B" w:rsidP="00635FCC">
            <w:pPr>
              <w:ind w:right="-108"/>
              <w:jc w:val="center"/>
              <w:rPr>
                <w:rFonts w:ascii="Arial Narrow" w:hAnsi="Arial Narrow"/>
                <w:b/>
                <w:sz w:val="20"/>
              </w:rPr>
            </w:pPr>
            <w:r w:rsidRPr="002A30B3">
              <w:rPr>
                <w:rFonts w:ascii="Arial Narrow" w:hAnsi="Arial Narrow"/>
                <w:b/>
                <w:sz w:val="20"/>
              </w:rPr>
              <w:t>Placebo</w:t>
            </w:r>
          </w:p>
          <w:p w14:paraId="16F50508" w14:textId="77777777" w:rsidR="002F3D5B" w:rsidRPr="002A30B3" w:rsidRDefault="002F3D5B" w:rsidP="00635FCC">
            <w:pPr>
              <w:ind w:right="-108"/>
              <w:jc w:val="center"/>
              <w:rPr>
                <w:rFonts w:ascii="Arial Narrow" w:hAnsi="Arial Narrow"/>
                <w:b/>
                <w:sz w:val="20"/>
              </w:rPr>
            </w:pPr>
            <w:r w:rsidRPr="002A30B3">
              <w:rPr>
                <w:rFonts w:ascii="Arial Narrow" w:hAnsi="Arial Narrow"/>
                <w:b/>
                <w:sz w:val="20"/>
              </w:rPr>
              <w:t>N=86</w:t>
            </w:r>
          </w:p>
        </w:tc>
      </w:tr>
      <w:tr w:rsidR="002F3D5B" w:rsidRPr="002A30B3" w14:paraId="67A14F8B" w14:textId="77777777" w:rsidTr="001D74DB">
        <w:tc>
          <w:tcPr>
            <w:tcW w:w="1888" w:type="pct"/>
            <w:tcBorders>
              <w:bottom w:val="double" w:sz="4" w:space="0" w:color="auto"/>
            </w:tcBorders>
            <w:vAlign w:val="center"/>
          </w:tcPr>
          <w:p w14:paraId="275AC562" w14:textId="0F0FDF74" w:rsidR="002F3D5B" w:rsidRPr="002A30B3" w:rsidRDefault="002F3D5B" w:rsidP="00635FCC">
            <w:pPr>
              <w:jc w:val="left"/>
              <w:rPr>
                <w:rFonts w:ascii="Arial Narrow" w:hAnsi="Arial Narrow"/>
                <w:sz w:val="20"/>
              </w:rPr>
            </w:pPr>
            <w:r w:rsidRPr="002A30B3">
              <w:rPr>
                <w:rFonts w:ascii="Arial Narrow" w:hAnsi="Arial Narrow"/>
                <w:sz w:val="20"/>
              </w:rPr>
              <w:t>Proportion at 8 weeks, n/N (%)</w:t>
            </w:r>
            <w:r w:rsidR="0035249A" w:rsidRPr="002A30B3">
              <w:rPr>
                <w:rFonts w:ascii="Arial Narrow" w:hAnsi="Arial Narrow"/>
                <w:sz w:val="20"/>
              </w:rPr>
              <w:t>, p-value for comparison versus placebo</w:t>
            </w:r>
          </w:p>
        </w:tc>
        <w:tc>
          <w:tcPr>
            <w:tcW w:w="801" w:type="pct"/>
            <w:tcBorders>
              <w:bottom w:val="double" w:sz="4" w:space="0" w:color="auto"/>
            </w:tcBorders>
            <w:vAlign w:val="center"/>
          </w:tcPr>
          <w:p w14:paraId="60531977" w14:textId="77777777" w:rsidR="002F3D5B" w:rsidRPr="002A30B3" w:rsidRDefault="002F3D5B" w:rsidP="00635FCC">
            <w:pPr>
              <w:jc w:val="center"/>
              <w:rPr>
                <w:rFonts w:ascii="Arial Narrow" w:hAnsi="Arial Narrow"/>
                <w:sz w:val="20"/>
              </w:rPr>
            </w:pPr>
            <w:r w:rsidRPr="002A30B3">
              <w:rPr>
                <w:rFonts w:ascii="Arial Narrow" w:hAnsi="Arial Narrow"/>
                <w:sz w:val="20"/>
              </w:rPr>
              <w:t>28/86 (32.6)</w:t>
            </w:r>
          </w:p>
          <w:p w14:paraId="6F04D467" w14:textId="77777777" w:rsidR="002F3D5B" w:rsidRPr="002A30B3" w:rsidRDefault="002F3D5B" w:rsidP="00635FCC">
            <w:pPr>
              <w:jc w:val="center"/>
              <w:rPr>
                <w:rFonts w:ascii="Arial Narrow" w:hAnsi="Arial Narrow"/>
                <w:sz w:val="20"/>
              </w:rPr>
            </w:pPr>
            <w:r w:rsidRPr="002A30B3">
              <w:rPr>
                <w:rFonts w:ascii="Arial Narrow" w:hAnsi="Arial Narrow"/>
                <w:sz w:val="20"/>
              </w:rPr>
              <w:t>p=0.124</w:t>
            </w:r>
          </w:p>
        </w:tc>
        <w:tc>
          <w:tcPr>
            <w:tcW w:w="775" w:type="pct"/>
            <w:tcBorders>
              <w:bottom w:val="double" w:sz="4" w:space="0" w:color="auto"/>
            </w:tcBorders>
            <w:vAlign w:val="center"/>
          </w:tcPr>
          <w:p w14:paraId="27555C05" w14:textId="77777777" w:rsidR="002F3D5B" w:rsidRPr="002A30B3" w:rsidRDefault="002F3D5B" w:rsidP="00635FCC">
            <w:pPr>
              <w:jc w:val="center"/>
              <w:rPr>
                <w:rFonts w:ascii="Arial Narrow" w:hAnsi="Arial Narrow"/>
                <w:sz w:val="20"/>
              </w:rPr>
            </w:pPr>
            <w:r w:rsidRPr="002A30B3">
              <w:rPr>
                <w:rFonts w:ascii="Arial Narrow" w:hAnsi="Arial Narrow"/>
                <w:sz w:val="20"/>
              </w:rPr>
              <w:t>34/84 (40.5)</w:t>
            </w:r>
          </w:p>
          <w:p w14:paraId="10B7F52D" w14:textId="77777777" w:rsidR="002F3D5B" w:rsidRPr="002A30B3" w:rsidRDefault="002F3D5B" w:rsidP="00635FCC">
            <w:pPr>
              <w:jc w:val="center"/>
              <w:rPr>
                <w:rFonts w:ascii="Arial Narrow" w:hAnsi="Arial Narrow"/>
                <w:sz w:val="20"/>
              </w:rPr>
            </w:pPr>
            <w:r w:rsidRPr="002A30B3">
              <w:rPr>
                <w:rFonts w:ascii="Arial Narrow" w:hAnsi="Arial Narrow"/>
                <w:sz w:val="20"/>
              </w:rPr>
              <w:t>p=0.010</w:t>
            </w:r>
          </w:p>
        </w:tc>
        <w:tc>
          <w:tcPr>
            <w:tcW w:w="767" w:type="pct"/>
            <w:tcBorders>
              <w:bottom w:val="double" w:sz="4" w:space="0" w:color="auto"/>
            </w:tcBorders>
            <w:vAlign w:val="center"/>
          </w:tcPr>
          <w:p w14:paraId="7C456C27" w14:textId="77777777" w:rsidR="002F3D5B" w:rsidRPr="002A30B3" w:rsidRDefault="002F3D5B" w:rsidP="00635FCC">
            <w:pPr>
              <w:jc w:val="center"/>
              <w:rPr>
                <w:rFonts w:ascii="Arial Narrow" w:hAnsi="Arial Narrow"/>
                <w:sz w:val="20"/>
              </w:rPr>
            </w:pPr>
            <w:r w:rsidRPr="002A30B3">
              <w:rPr>
                <w:rFonts w:ascii="Arial Narrow" w:hAnsi="Arial Narrow"/>
                <w:sz w:val="20"/>
              </w:rPr>
              <w:t>35/85 (41.2)</w:t>
            </w:r>
          </w:p>
          <w:p w14:paraId="0E5305D6" w14:textId="77777777" w:rsidR="002F3D5B" w:rsidRPr="002A30B3" w:rsidRDefault="002F3D5B" w:rsidP="00635FCC">
            <w:pPr>
              <w:jc w:val="center"/>
              <w:rPr>
                <w:rFonts w:ascii="Arial Narrow" w:hAnsi="Arial Narrow"/>
                <w:sz w:val="20"/>
              </w:rPr>
            </w:pPr>
            <w:r w:rsidRPr="002A30B3">
              <w:rPr>
                <w:rFonts w:ascii="Arial Narrow" w:hAnsi="Arial Narrow"/>
                <w:sz w:val="20"/>
              </w:rPr>
              <w:t>p=0.007</w:t>
            </w:r>
          </w:p>
        </w:tc>
        <w:tc>
          <w:tcPr>
            <w:tcW w:w="770" w:type="pct"/>
            <w:tcBorders>
              <w:bottom w:val="double" w:sz="4" w:space="0" w:color="auto"/>
            </w:tcBorders>
            <w:vAlign w:val="center"/>
          </w:tcPr>
          <w:p w14:paraId="2213AB5A" w14:textId="77777777" w:rsidR="002F3D5B" w:rsidRPr="002A30B3" w:rsidRDefault="002F3D5B" w:rsidP="00635FCC">
            <w:pPr>
              <w:jc w:val="center"/>
              <w:rPr>
                <w:rFonts w:ascii="Arial Narrow" w:hAnsi="Arial Narrow"/>
                <w:sz w:val="20"/>
              </w:rPr>
            </w:pPr>
            <w:r w:rsidRPr="002A30B3">
              <w:rPr>
                <w:rFonts w:ascii="Arial Narrow" w:hAnsi="Arial Narrow"/>
                <w:sz w:val="20"/>
              </w:rPr>
              <w:t>19/86 (22.1)</w:t>
            </w:r>
          </w:p>
        </w:tc>
      </w:tr>
      <w:tr w:rsidR="002F3D5B" w:rsidRPr="002A30B3" w14:paraId="742B4450" w14:textId="77777777" w:rsidTr="001D74DB">
        <w:tc>
          <w:tcPr>
            <w:tcW w:w="1888" w:type="pct"/>
            <w:tcBorders>
              <w:top w:val="double" w:sz="4" w:space="0" w:color="auto"/>
              <w:bottom w:val="double" w:sz="4" w:space="0" w:color="auto"/>
            </w:tcBorders>
            <w:vAlign w:val="center"/>
          </w:tcPr>
          <w:p w14:paraId="32757C03" w14:textId="2FCDC182" w:rsidR="002F3D5B" w:rsidRPr="002A30B3" w:rsidRDefault="002F3D5B" w:rsidP="00635FCC">
            <w:pPr>
              <w:jc w:val="left"/>
              <w:rPr>
                <w:rFonts w:ascii="Arial Narrow" w:hAnsi="Arial Narrow"/>
                <w:b/>
                <w:sz w:val="20"/>
              </w:rPr>
            </w:pPr>
            <w:r w:rsidRPr="002A30B3">
              <w:rPr>
                <w:rFonts w:ascii="Arial Narrow" w:hAnsi="Arial Narrow"/>
                <w:b/>
                <w:sz w:val="20"/>
              </w:rPr>
              <w:t xml:space="preserve">Comparison vs Mezavant </w:t>
            </w:r>
            <w:r w:rsidR="00F66817" w:rsidRPr="002A30B3">
              <w:rPr>
                <w:rFonts w:ascii="Arial Narrow" w:hAnsi="Arial Narrow"/>
                <w:b/>
                <w:sz w:val="20"/>
              </w:rPr>
              <w:t>2.4 g</w:t>
            </w:r>
            <w:r w:rsidR="001D74DB" w:rsidRPr="002A30B3">
              <w:rPr>
                <w:rFonts w:ascii="Arial Narrow" w:hAnsi="Arial Narrow"/>
                <w:b/>
                <w:sz w:val="20"/>
              </w:rPr>
              <w:t>, RR</w:t>
            </w:r>
            <w:r w:rsidRPr="002A30B3">
              <w:rPr>
                <w:rFonts w:ascii="Arial Narrow" w:hAnsi="Arial Narrow"/>
                <w:b/>
                <w:sz w:val="20"/>
              </w:rPr>
              <w:t xml:space="preserve"> (95% CI)</w:t>
            </w:r>
          </w:p>
        </w:tc>
        <w:tc>
          <w:tcPr>
            <w:tcW w:w="801" w:type="pct"/>
            <w:tcBorders>
              <w:top w:val="double" w:sz="4" w:space="0" w:color="auto"/>
              <w:bottom w:val="double" w:sz="4" w:space="0" w:color="auto"/>
            </w:tcBorders>
            <w:vAlign w:val="center"/>
          </w:tcPr>
          <w:p w14:paraId="602343DF" w14:textId="77777777" w:rsidR="002F3D5B" w:rsidRPr="002A30B3" w:rsidRDefault="002F3D5B" w:rsidP="00635FCC">
            <w:pPr>
              <w:jc w:val="center"/>
              <w:rPr>
                <w:rFonts w:ascii="Arial Narrow" w:hAnsi="Arial Narrow"/>
                <w:sz w:val="20"/>
              </w:rPr>
            </w:pPr>
            <w:r w:rsidRPr="002A30B3">
              <w:rPr>
                <w:rFonts w:ascii="Arial Narrow" w:hAnsi="Arial Narrow"/>
                <w:sz w:val="20"/>
              </w:rPr>
              <w:t>0.80 (0.54, 1.20)</w:t>
            </w:r>
          </w:p>
        </w:tc>
        <w:tc>
          <w:tcPr>
            <w:tcW w:w="775" w:type="pct"/>
            <w:tcBorders>
              <w:top w:val="double" w:sz="4" w:space="0" w:color="auto"/>
              <w:bottom w:val="double" w:sz="4" w:space="0" w:color="auto"/>
            </w:tcBorders>
            <w:vAlign w:val="center"/>
          </w:tcPr>
          <w:p w14:paraId="43EFB879" w14:textId="77777777" w:rsidR="002F3D5B" w:rsidRPr="002A30B3" w:rsidRDefault="002F3D5B" w:rsidP="00635FCC">
            <w:pPr>
              <w:jc w:val="center"/>
              <w:rPr>
                <w:rFonts w:ascii="Arial Narrow" w:hAnsi="Arial Narrow"/>
                <w:sz w:val="20"/>
              </w:rPr>
            </w:pPr>
            <w:r w:rsidRPr="002A30B3">
              <w:rPr>
                <w:rFonts w:ascii="Arial Narrow" w:hAnsi="Arial Narrow"/>
                <w:sz w:val="20"/>
              </w:rPr>
              <w:t>-</w:t>
            </w:r>
          </w:p>
        </w:tc>
        <w:tc>
          <w:tcPr>
            <w:tcW w:w="767" w:type="pct"/>
            <w:tcBorders>
              <w:top w:val="double" w:sz="4" w:space="0" w:color="auto"/>
              <w:bottom w:val="double" w:sz="4" w:space="0" w:color="auto"/>
            </w:tcBorders>
            <w:vAlign w:val="center"/>
          </w:tcPr>
          <w:p w14:paraId="5E84DA77" w14:textId="77777777" w:rsidR="002F3D5B" w:rsidRPr="002A30B3" w:rsidRDefault="002F3D5B" w:rsidP="00635FCC">
            <w:pPr>
              <w:jc w:val="center"/>
              <w:rPr>
                <w:rFonts w:ascii="Arial Narrow" w:hAnsi="Arial Narrow"/>
                <w:sz w:val="20"/>
              </w:rPr>
            </w:pPr>
            <w:r w:rsidRPr="002A30B3">
              <w:rPr>
                <w:rFonts w:ascii="Arial Narrow" w:hAnsi="Arial Narrow"/>
                <w:sz w:val="20"/>
              </w:rPr>
              <w:t>1.02 (0.71, 1.46)</w:t>
            </w:r>
          </w:p>
        </w:tc>
        <w:tc>
          <w:tcPr>
            <w:tcW w:w="770" w:type="pct"/>
            <w:tcBorders>
              <w:top w:val="double" w:sz="4" w:space="0" w:color="auto"/>
              <w:bottom w:val="double" w:sz="4" w:space="0" w:color="auto"/>
            </w:tcBorders>
            <w:vAlign w:val="center"/>
          </w:tcPr>
          <w:p w14:paraId="29BDDF46" w14:textId="77777777" w:rsidR="002F3D5B" w:rsidRPr="002A30B3" w:rsidRDefault="002F3D5B" w:rsidP="00635FCC">
            <w:pPr>
              <w:jc w:val="center"/>
              <w:rPr>
                <w:rFonts w:ascii="Arial Narrow" w:hAnsi="Arial Narrow"/>
                <w:sz w:val="20"/>
              </w:rPr>
            </w:pPr>
            <w:r w:rsidRPr="002A30B3">
              <w:rPr>
                <w:rFonts w:ascii="Arial Narrow" w:hAnsi="Arial Narrow"/>
                <w:sz w:val="20"/>
              </w:rPr>
              <w:t>0.55 (0.34, 0.88)</w:t>
            </w:r>
          </w:p>
        </w:tc>
      </w:tr>
      <w:tr w:rsidR="002F3D5B" w:rsidRPr="002A30B3" w14:paraId="4720D319" w14:textId="77777777" w:rsidTr="001D74DB">
        <w:tc>
          <w:tcPr>
            <w:tcW w:w="1888" w:type="pct"/>
            <w:tcBorders>
              <w:top w:val="double" w:sz="4" w:space="0" w:color="auto"/>
              <w:left w:val="single" w:sz="4" w:space="0" w:color="auto"/>
              <w:bottom w:val="double" w:sz="4" w:space="0" w:color="auto"/>
              <w:right w:val="single" w:sz="4" w:space="0" w:color="auto"/>
            </w:tcBorders>
            <w:vAlign w:val="center"/>
          </w:tcPr>
          <w:p w14:paraId="3AE8A0A2" w14:textId="77777777" w:rsidR="002F3D5B" w:rsidRPr="002A30B3" w:rsidRDefault="002F3D5B" w:rsidP="00635FCC">
            <w:pPr>
              <w:jc w:val="left"/>
              <w:rPr>
                <w:rFonts w:ascii="Arial Narrow" w:hAnsi="Arial Narrow"/>
                <w:b/>
                <w:sz w:val="20"/>
              </w:rPr>
            </w:pPr>
            <w:r w:rsidRPr="002A30B3">
              <w:rPr>
                <w:rFonts w:ascii="Arial Narrow" w:hAnsi="Arial Narrow"/>
                <w:b/>
                <w:sz w:val="20"/>
              </w:rPr>
              <w:t>Comparison vs placebo, RR (95% CI)</w:t>
            </w:r>
          </w:p>
        </w:tc>
        <w:tc>
          <w:tcPr>
            <w:tcW w:w="801" w:type="pct"/>
            <w:tcBorders>
              <w:top w:val="double" w:sz="4" w:space="0" w:color="auto"/>
              <w:left w:val="single" w:sz="4" w:space="0" w:color="auto"/>
              <w:bottom w:val="double" w:sz="4" w:space="0" w:color="auto"/>
              <w:right w:val="single" w:sz="4" w:space="0" w:color="auto"/>
            </w:tcBorders>
            <w:vAlign w:val="center"/>
          </w:tcPr>
          <w:p w14:paraId="09672C2A" w14:textId="77777777" w:rsidR="002F3D5B" w:rsidRPr="002A30B3" w:rsidRDefault="002F3D5B" w:rsidP="00635FCC">
            <w:pPr>
              <w:jc w:val="center"/>
              <w:rPr>
                <w:rFonts w:ascii="Arial Narrow" w:hAnsi="Arial Narrow"/>
                <w:sz w:val="20"/>
              </w:rPr>
            </w:pPr>
            <w:r w:rsidRPr="002A30B3">
              <w:rPr>
                <w:rFonts w:ascii="Arial Narrow" w:hAnsi="Arial Narrow"/>
                <w:sz w:val="20"/>
              </w:rPr>
              <w:t>1.47 (0.89, 2.43)</w:t>
            </w:r>
          </w:p>
        </w:tc>
        <w:tc>
          <w:tcPr>
            <w:tcW w:w="775" w:type="pct"/>
            <w:tcBorders>
              <w:top w:val="double" w:sz="4" w:space="0" w:color="auto"/>
              <w:left w:val="single" w:sz="4" w:space="0" w:color="auto"/>
              <w:bottom w:val="double" w:sz="4" w:space="0" w:color="auto"/>
              <w:right w:val="single" w:sz="4" w:space="0" w:color="auto"/>
            </w:tcBorders>
            <w:vAlign w:val="center"/>
          </w:tcPr>
          <w:p w14:paraId="5615FB68" w14:textId="77777777" w:rsidR="002F3D5B" w:rsidRPr="002A30B3" w:rsidRDefault="002F3D5B" w:rsidP="00635FCC">
            <w:pPr>
              <w:jc w:val="center"/>
              <w:rPr>
                <w:rFonts w:ascii="Arial Narrow" w:hAnsi="Arial Narrow"/>
                <w:sz w:val="20"/>
              </w:rPr>
            </w:pPr>
            <w:r w:rsidRPr="002A30B3">
              <w:rPr>
                <w:rFonts w:ascii="Arial Narrow" w:hAnsi="Arial Narrow"/>
                <w:sz w:val="20"/>
              </w:rPr>
              <w:t>1.83 (1.14, 2.94)</w:t>
            </w:r>
          </w:p>
        </w:tc>
        <w:tc>
          <w:tcPr>
            <w:tcW w:w="767" w:type="pct"/>
            <w:tcBorders>
              <w:top w:val="double" w:sz="4" w:space="0" w:color="auto"/>
              <w:left w:val="single" w:sz="4" w:space="0" w:color="auto"/>
              <w:bottom w:val="double" w:sz="4" w:space="0" w:color="auto"/>
              <w:right w:val="single" w:sz="4" w:space="0" w:color="auto"/>
            </w:tcBorders>
            <w:vAlign w:val="center"/>
          </w:tcPr>
          <w:p w14:paraId="245AAECF" w14:textId="77777777" w:rsidR="002F3D5B" w:rsidRPr="002A30B3" w:rsidRDefault="002F3D5B" w:rsidP="00635FCC">
            <w:pPr>
              <w:jc w:val="center"/>
              <w:rPr>
                <w:rFonts w:ascii="Arial Narrow" w:hAnsi="Arial Narrow"/>
                <w:sz w:val="20"/>
              </w:rPr>
            </w:pPr>
            <w:r w:rsidRPr="002A30B3">
              <w:rPr>
                <w:rFonts w:ascii="Arial Narrow" w:hAnsi="Arial Narrow"/>
                <w:sz w:val="20"/>
              </w:rPr>
              <w:t>1.86 (1.09, 3.19)</w:t>
            </w:r>
          </w:p>
        </w:tc>
        <w:tc>
          <w:tcPr>
            <w:tcW w:w="770" w:type="pct"/>
            <w:tcBorders>
              <w:top w:val="double" w:sz="4" w:space="0" w:color="auto"/>
              <w:left w:val="single" w:sz="4" w:space="0" w:color="auto"/>
              <w:bottom w:val="double" w:sz="4" w:space="0" w:color="auto"/>
              <w:right w:val="single" w:sz="4" w:space="0" w:color="auto"/>
            </w:tcBorders>
            <w:vAlign w:val="center"/>
          </w:tcPr>
          <w:p w14:paraId="45F0EF80" w14:textId="77777777" w:rsidR="002F3D5B" w:rsidRPr="002A30B3" w:rsidRDefault="002F3D5B" w:rsidP="00635FCC">
            <w:pPr>
              <w:jc w:val="center"/>
              <w:rPr>
                <w:rFonts w:ascii="Arial Narrow" w:hAnsi="Arial Narrow"/>
                <w:sz w:val="20"/>
              </w:rPr>
            </w:pPr>
            <w:r w:rsidRPr="002A30B3">
              <w:rPr>
                <w:rFonts w:ascii="Arial Narrow" w:hAnsi="Arial Narrow"/>
                <w:sz w:val="20"/>
              </w:rPr>
              <w:t>-</w:t>
            </w:r>
          </w:p>
        </w:tc>
      </w:tr>
    </w:tbl>
    <w:p w14:paraId="514F3881" w14:textId="3B49ADC7" w:rsidR="002F3D5B" w:rsidRPr="002A30B3" w:rsidRDefault="00F66A54" w:rsidP="002F3D5B">
      <w:pPr>
        <w:pStyle w:val="TableFooter"/>
        <w:ind w:firstLine="720"/>
      </w:pPr>
      <w:r w:rsidRPr="002A30B3">
        <w:t>Source: Table 21, p3</w:t>
      </w:r>
      <w:r w:rsidR="000909E7" w:rsidRPr="002A30B3">
        <w:t>6</w:t>
      </w:r>
      <w:r w:rsidR="002F3D5B" w:rsidRPr="002A30B3">
        <w:t xml:space="preserve"> of the submission and Kamm 2007 publication</w:t>
      </w:r>
    </w:p>
    <w:p w14:paraId="67377F35" w14:textId="77777777" w:rsidR="002F3D5B" w:rsidRPr="002A30B3" w:rsidRDefault="002F3D5B" w:rsidP="002F3D5B">
      <w:pPr>
        <w:pStyle w:val="TableFooter"/>
        <w:ind w:firstLine="720"/>
      </w:pPr>
      <w:r w:rsidRPr="002A30B3">
        <w:t>Abbreviations: CI, confidence interval; ITT, intent-to-treat; RR, relative risk</w:t>
      </w:r>
    </w:p>
    <w:p w14:paraId="7BC22341" w14:textId="71F7C4B6" w:rsidR="002F3D5B" w:rsidRPr="002A30B3" w:rsidRDefault="002F3D5B" w:rsidP="002F3D5B">
      <w:pPr>
        <w:pStyle w:val="ListParagraph"/>
        <w:widowControl/>
        <w:rPr>
          <w:rStyle w:val="CommentReference"/>
          <w:rFonts w:ascii="Arial" w:hAnsi="Arial"/>
          <w:b w:val="0"/>
          <w:sz w:val="22"/>
          <w:szCs w:val="22"/>
        </w:rPr>
      </w:pPr>
    </w:p>
    <w:p w14:paraId="7E90AB2A" w14:textId="60025EE0" w:rsidR="00E96724" w:rsidRPr="002A30B3" w:rsidRDefault="00DC3D35" w:rsidP="00D70F1E">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The outcome of clinical and endoscopic remission was based on a modified </w:t>
      </w:r>
      <w:r w:rsidR="00497F71" w:rsidRPr="002A30B3">
        <w:rPr>
          <w:rStyle w:val="CommentReference"/>
          <w:rFonts w:ascii="Arial" w:hAnsi="Arial"/>
          <w:b w:val="0"/>
          <w:sz w:val="22"/>
          <w:szCs w:val="22"/>
        </w:rPr>
        <w:t>U</w:t>
      </w:r>
      <w:r w:rsidRPr="002A30B3">
        <w:rPr>
          <w:rStyle w:val="CommentReference"/>
          <w:rFonts w:ascii="Arial" w:hAnsi="Arial"/>
          <w:b w:val="0"/>
          <w:sz w:val="22"/>
          <w:szCs w:val="22"/>
        </w:rPr>
        <w:t xml:space="preserve">lcerative </w:t>
      </w:r>
      <w:r w:rsidR="00497F71" w:rsidRPr="002A30B3">
        <w:rPr>
          <w:rStyle w:val="CommentReference"/>
          <w:rFonts w:ascii="Arial" w:hAnsi="Arial"/>
          <w:b w:val="0"/>
          <w:sz w:val="22"/>
          <w:szCs w:val="22"/>
        </w:rPr>
        <w:t>C</w:t>
      </w:r>
      <w:r w:rsidRPr="002A30B3">
        <w:rPr>
          <w:rStyle w:val="CommentReference"/>
          <w:rFonts w:ascii="Arial" w:hAnsi="Arial"/>
          <w:b w:val="0"/>
          <w:sz w:val="22"/>
          <w:szCs w:val="22"/>
        </w:rPr>
        <w:t xml:space="preserve">olitis </w:t>
      </w:r>
      <w:r w:rsidR="00497F71" w:rsidRPr="002A30B3">
        <w:rPr>
          <w:rStyle w:val="CommentReference"/>
          <w:rFonts w:ascii="Arial" w:hAnsi="Arial"/>
          <w:b w:val="0"/>
          <w:sz w:val="22"/>
          <w:szCs w:val="22"/>
        </w:rPr>
        <w:t>D</w:t>
      </w:r>
      <w:r w:rsidRPr="002A30B3">
        <w:rPr>
          <w:rStyle w:val="CommentReference"/>
          <w:rFonts w:ascii="Arial" w:hAnsi="Arial"/>
          <w:b w:val="0"/>
          <w:sz w:val="22"/>
          <w:szCs w:val="22"/>
        </w:rPr>
        <w:t xml:space="preserve">isease </w:t>
      </w:r>
      <w:r w:rsidR="00497F71" w:rsidRPr="002A30B3">
        <w:rPr>
          <w:rStyle w:val="CommentReference"/>
          <w:rFonts w:ascii="Arial" w:hAnsi="Arial"/>
          <w:b w:val="0"/>
          <w:sz w:val="22"/>
          <w:szCs w:val="22"/>
        </w:rPr>
        <w:t>A</w:t>
      </w:r>
      <w:r w:rsidRPr="002A30B3">
        <w:rPr>
          <w:rStyle w:val="CommentReference"/>
          <w:rFonts w:ascii="Arial" w:hAnsi="Arial"/>
          <w:b w:val="0"/>
          <w:sz w:val="22"/>
          <w:szCs w:val="22"/>
        </w:rPr>
        <w:t xml:space="preserve">ctivity </w:t>
      </w:r>
      <w:r w:rsidR="00497F71" w:rsidRPr="002A30B3">
        <w:rPr>
          <w:rStyle w:val="CommentReference"/>
          <w:rFonts w:ascii="Arial" w:hAnsi="Arial"/>
          <w:b w:val="0"/>
          <w:sz w:val="22"/>
          <w:szCs w:val="22"/>
        </w:rPr>
        <w:t>I</w:t>
      </w:r>
      <w:r w:rsidR="0031016E" w:rsidRPr="002A30B3">
        <w:rPr>
          <w:rStyle w:val="CommentReference"/>
          <w:rFonts w:ascii="Arial" w:hAnsi="Arial"/>
          <w:b w:val="0"/>
          <w:sz w:val="22"/>
          <w:szCs w:val="22"/>
        </w:rPr>
        <w:t xml:space="preserve">ndex (UC-DAI), which is </w:t>
      </w:r>
      <w:r w:rsidR="00CB089D" w:rsidRPr="002A30B3">
        <w:rPr>
          <w:rStyle w:val="CommentReference"/>
          <w:rFonts w:ascii="Arial" w:hAnsi="Arial"/>
          <w:b w:val="0"/>
          <w:sz w:val="22"/>
          <w:szCs w:val="22"/>
        </w:rPr>
        <w:t xml:space="preserve">a </w:t>
      </w:r>
      <w:r w:rsidR="0031016E" w:rsidRPr="002A30B3">
        <w:rPr>
          <w:rStyle w:val="CommentReference"/>
          <w:rFonts w:ascii="Arial" w:hAnsi="Arial"/>
          <w:b w:val="0"/>
          <w:sz w:val="22"/>
          <w:szCs w:val="22"/>
        </w:rPr>
        <w:t xml:space="preserve">composite score based on four variables: stool frequency, rectal bleeding, mucosal appearance and physician’s rating of disease activity. Clinical and endoscopic remission was defined as a total </w:t>
      </w:r>
      <w:r w:rsidR="00556764" w:rsidRPr="002A30B3">
        <w:rPr>
          <w:rStyle w:val="CommentReference"/>
          <w:rFonts w:ascii="Arial" w:hAnsi="Arial"/>
          <w:b w:val="0"/>
          <w:sz w:val="22"/>
          <w:szCs w:val="22"/>
        </w:rPr>
        <w:t>UC-DAI score of not more than 1 based on the compon</w:t>
      </w:r>
      <w:r w:rsidR="00454714" w:rsidRPr="002A30B3">
        <w:rPr>
          <w:rStyle w:val="CommentReference"/>
          <w:rFonts w:ascii="Arial" w:hAnsi="Arial"/>
          <w:b w:val="0"/>
          <w:sz w:val="22"/>
          <w:szCs w:val="22"/>
        </w:rPr>
        <w:t>ent scores summarised in Table 5</w:t>
      </w:r>
      <w:r w:rsidR="00556764" w:rsidRPr="002A30B3">
        <w:rPr>
          <w:rStyle w:val="CommentReference"/>
          <w:rFonts w:ascii="Arial" w:hAnsi="Arial"/>
          <w:b w:val="0"/>
          <w:sz w:val="22"/>
          <w:szCs w:val="22"/>
        </w:rPr>
        <w:t>.</w:t>
      </w:r>
      <w:bookmarkStart w:id="10" w:name="_GoBack"/>
      <w:bookmarkEnd w:id="10"/>
      <w:r w:rsidR="0031016E" w:rsidRPr="002A30B3">
        <w:rPr>
          <w:rStyle w:val="CommentReference"/>
          <w:rFonts w:ascii="Arial" w:hAnsi="Arial"/>
          <w:b w:val="0"/>
          <w:sz w:val="22"/>
          <w:szCs w:val="22"/>
        </w:rPr>
        <w:t xml:space="preserve"> </w:t>
      </w:r>
    </w:p>
    <w:p w14:paraId="51B58308" w14:textId="77777777" w:rsidR="000B551E" w:rsidRPr="002A30B3" w:rsidRDefault="000B551E" w:rsidP="000B551E">
      <w:pPr>
        <w:pStyle w:val="ListParagraph"/>
        <w:widowControl/>
        <w:rPr>
          <w:rStyle w:val="CommentReference"/>
          <w:rFonts w:ascii="Arial" w:hAnsi="Arial"/>
          <w:b w:val="0"/>
          <w:sz w:val="22"/>
          <w:szCs w:val="22"/>
        </w:rPr>
      </w:pPr>
    </w:p>
    <w:p w14:paraId="7955562A" w14:textId="77777777" w:rsidR="00871141" w:rsidRDefault="00871141">
      <w:pPr>
        <w:widowControl/>
        <w:jc w:val="left"/>
        <w:rPr>
          <w:rStyle w:val="CommentReference"/>
        </w:rPr>
      </w:pPr>
      <w:r>
        <w:rPr>
          <w:rStyle w:val="CommentReference"/>
        </w:rPr>
        <w:br w:type="page"/>
      </w:r>
    </w:p>
    <w:p w14:paraId="4942784C" w14:textId="2D8C458F" w:rsidR="00556764" w:rsidRPr="002A30B3" w:rsidRDefault="00454714" w:rsidP="0031016E">
      <w:pPr>
        <w:pStyle w:val="ListParagraph"/>
        <w:widowControl/>
        <w:rPr>
          <w:rStyle w:val="CommentReference"/>
        </w:rPr>
      </w:pPr>
      <w:r w:rsidRPr="002A30B3">
        <w:rPr>
          <w:rStyle w:val="CommentReference"/>
        </w:rPr>
        <w:lastRenderedPageBreak/>
        <w:t>Table 5</w:t>
      </w:r>
      <w:r w:rsidR="00556764" w:rsidRPr="002A30B3">
        <w:rPr>
          <w:rStyle w:val="CommentReference"/>
        </w:rPr>
        <w:t>: Ulcerative Colitis Disease Activity Index (UC-DAI)</w:t>
      </w:r>
    </w:p>
    <w:tbl>
      <w:tblPr>
        <w:tblStyle w:val="TableGrid"/>
        <w:tblW w:w="0" w:type="auto"/>
        <w:tblInd w:w="709" w:type="dxa"/>
        <w:tblLayout w:type="fixed"/>
        <w:tblCellMar>
          <w:left w:w="28" w:type="dxa"/>
          <w:right w:w="28" w:type="dxa"/>
        </w:tblCellMar>
        <w:tblLook w:val="04A0" w:firstRow="1" w:lastRow="0" w:firstColumn="1" w:lastColumn="0" w:noHBand="0" w:noVBand="1"/>
        <w:tblCaption w:val="Table 5: Ulcerative Colitis Disease Activity Index (UC-DAI)"/>
      </w:tblPr>
      <w:tblGrid>
        <w:gridCol w:w="1838"/>
        <w:gridCol w:w="1417"/>
        <w:gridCol w:w="1560"/>
        <w:gridCol w:w="1701"/>
        <w:gridCol w:w="1791"/>
      </w:tblGrid>
      <w:tr w:rsidR="00D612FA" w:rsidRPr="002A30B3" w14:paraId="2C66BA7C" w14:textId="77777777" w:rsidTr="00500781">
        <w:trPr>
          <w:trHeight w:val="70"/>
          <w:tblHeader/>
        </w:trPr>
        <w:tc>
          <w:tcPr>
            <w:tcW w:w="1838" w:type="dxa"/>
            <w:vMerge w:val="restart"/>
            <w:vAlign w:val="center"/>
          </w:tcPr>
          <w:p w14:paraId="290A7669" w14:textId="77777777" w:rsidR="00D612FA" w:rsidRPr="002A30B3" w:rsidRDefault="00D612FA" w:rsidP="009D2F63">
            <w:pPr>
              <w:rPr>
                <w:rFonts w:ascii="Arial Narrow" w:hAnsi="Arial Narrow"/>
                <w:b/>
                <w:sz w:val="20"/>
              </w:rPr>
            </w:pPr>
            <w:r w:rsidRPr="002A30B3">
              <w:rPr>
                <w:rFonts w:ascii="Arial Narrow" w:hAnsi="Arial Narrow"/>
                <w:b/>
                <w:sz w:val="20"/>
              </w:rPr>
              <w:t>Component</w:t>
            </w:r>
          </w:p>
        </w:tc>
        <w:tc>
          <w:tcPr>
            <w:tcW w:w="6469" w:type="dxa"/>
            <w:gridSpan w:val="4"/>
            <w:vAlign w:val="center"/>
          </w:tcPr>
          <w:p w14:paraId="116D6274" w14:textId="77777777" w:rsidR="00D612FA" w:rsidRPr="002A30B3" w:rsidRDefault="00D612FA" w:rsidP="009D2F63">
            <w:pPr>
              <w:jc w:val="center"/>
              <w:rPr>
                <w:rFonts w:ascii="Arial Narrow" w:hAnsi="Arial Narrow"/>
                <w:b/>
                <w:sz w:val="20"/>
              </w:rPr>
            </w:pPr>
            <w:r w:rsidRPr="002A30B3">
              <w:rPr>
                <w:rFonts w:ascii="Arial Narrow" w:hAnsi="Arial Narrow"/>
                <w:b/>
                <w:sz w:val="20"/>
              </w:rPr>
              <w:t>Score</w:t>
            </w:r>
          </w:p>
        </w:tc>
      </w:tr>
      <w:tr w:rsidR="00D612FA" w:rsidRPr="002A30B3" w14:paraId="52FFC538" w14:textId="77777777" w:rsidTr="00500781">
        <w:trPr>
          <w:tblHeader/>
        </w:trPr>
        <w:tc>
          <w:tcPr>
            <w:tcW w:w="1838" w:type="dxa"/>
            <w:vMerge/>
            <w:vAlign w:val="center"/>
          </w:tcPr>
          <w:p w14:paraId="7C0CDF51" w14:textId="77777777" w:rsidR="00D612FA" w:rsidRPr="002A30B3" w:rsidRDefault="00D612FA" w:rsidP="009D2F63">
            <w:pPr>
              <w:jc w:val="left"/>
              <w:rPr>
                <w:rFonts w:ascii="Arial Narrow" w:hAnsi="Arial Narrow"/>
                <w:b/>
                <w:sz w:val="20"/>
              </w:rPr>
            </w:pPr>
          </w:p>
        </w:tc>
        <w:tc>
          <w:tcPr>
            <w:tcW w:w="1417" w:type="dxa"/>
            <w:vAlign w:val="center"/>
          </w:tcPr>
          <w:p w14:paraId="14E01014" w14:textId="77777777" w:rsidR="00D612FA" w:rsidRPr="002A30B3" w:rsidRDefault="00D612FA" w:rsidP="009D2F63">
            <w:pPr>
              <w:jc w:val="center"/>
              <w:rPr>
                <w:rFonts w:ascii="Arial Narrow" w:hAnsi="Arial Narrow"/>
                <w:b/>
                <w:sz w:val="20"/>
              </w:rPr>
            </w:pPr>
            <w:r w:rsidRPr="002A30B3">
              <w:rPr>
                <w:rFonts w:ascii="Arial Narrow" w:hAnsi="Arial Narrow"/>
                <w:b/>
                <w:sz w:val="20"/>
              </w:rPr>
              <w:t>0</w:t>
            </w:r>
          </w:p>
        </w:tc>
        <w:tc>
          <w:tcPr>
            <w:tcW w:w="1560" w:type="dxa"/>
            <w:vAlign w:val="center"/>
          </w:tcPr>
          <w:p w14:paraId="72D5873C" w14:textId="77777777" w:rsidR="00D612FA" w:rsidRPr="002A30B3" w:rsidRDefault="00D612FA" w:rsidP="009D2F63">
            <w:pPr>
              <w:jc w:val="center"/>
              <w:rPr>
                <w:rFonts w:ascii="Arial Narrow" w:hAnsi="Arial Narrow"/>
                <w:b/>
                <w:sz w:val="20"/>
              </w:rPr>
            </w:pPr>
            <w:r w:rsidRPr="002A30B3">
              <w:rPr>
                <w:rFonts w:ascii="Arial Narrow" w:hAnsi="Arial Narrow"/>
                <w:b/>
                <w:sz w:val="20"/>
              </w:rPr>
              <w:t>1</w:t>
            </w:r>
          </w:p>
        </w:tc>
        <w:tc>
          <w:tcPr>
            <w:tcW w:w="1701" w:type="dxa"/>
            <w:vAlign w:val="center"/>
          </w:tcPr>
          <w:p w14:paraId="04B1FCF1" w14:textId="77777777" w:rsidR="00D612FA" w:rsidRPr="002A30B3" w:rsidRDefault="00D612FA" w:rsidP="009D2F63">
            <w:pPr>
              <w:jc w:val="center"/>
              <w:rPr>
                <w:rFonts w:ascii="Arial Narrow" w:hAnsi="Arial Narrow"/>
                <w:b/>
                <w:sz w:val="20"/>
              </w:rPr>
            </w:pPr>
            <w:r w:rsidRPr="002A30B3">
              <w:rPr>
                <w:rFonts w:ascii="Arial Narrow" w:hAnsi="Arial Narrow"/>
                <w:b/>
                <w:sz w:val="20"/>
              </w:rPr>
              <w:t>2</w:t>
            </w:r>
          </w:p>
        </w:tc>
        <w:tc>
          <w:tcPr>
            <w:tcW w:w="1791" w:type="dxa"/>
            <w:vAlign w:val="center"/>
          </w:tcPr>
          <w:p w14:paraId="3B414BA5" w14:textId="77777777" w:rsidR="00D612FA" w:rsidRPr="002A30B3" w:rsidRDefault="00D612FA" w:rsidP="009D2F63">
            <w:pPr>
              <w:jc w:val="center"/>
              <w:rPr>
                <w:rFonts w:ascii="Arial Narrow" w:hAnsi="Arial Narrow"/>
                <w:b/>
                <w:sz w:val="20"/>
              </w:rPr>
            </w:pPr>
            <w:r w:rsidRPr="002A30B3">
              <w:rPr>
                <w:rFonts w:ascii="Arial Narrow" w:hAnsi="Arial Narrow"/>
                <w:b/>
                <w:sz w:val="20"/>
              </w:rPr>
              <w:t>3</w:t>
            </w:r>
          </w:p>
        </w:tc>
      </w:tr>
      <w:tr w:rsidR="00D612FA" w:rsidRPr="002A30B3" w14:paraId="7E4D41D1" w14:textId="77777777" w:rsidTr="009D2F63">
        <w:tc>
          <w:tcPr>
            <w:tcW w:w="1838" w:type="dxa"/>
            <w:vAlign w:val="center"/>
          </w:tcPr>
          <w:p w14:paraId="393DCBBD" w14:textId="77777777" w:rsidR="00D612FA" w:rsidRPr="002A30B3" w:rsidRDefault="00D612FA" w:rsidP="009D2F63">
            <w:pPr>
              <w:jc w:val="left"/>
              <w:rPr>
                <w:rFonts w:ascii="Arial Narrow" w:hAnsi="Arial Narrow"/>
                <w:sz w:val="20"/>
              </w:rPr>
            </w:pPr>
            <w:r w:rsidRPr="002A30B3">
              <w:rPr>
                <w:rFonts w:ascii="Arial Narrow" w:hAnsi="Arial Narrow"/>
                <w:sz w:val="20"/>
              </w:rPr>
              <w:t>Stool frequency</w:t>
            </w:r>
          </w:p>
        </w:tc>
        <w:tc>
          <w:tcPr>
            <w:tcW w:w="1417" w:type="dxa"/>
            <w:vAlign w:val="center"/>
          </w:tcPr>
          <w:p w14:paraId="12BDD5B3" w14:textId="77777777" w:rsidR="00D612FA" w:rsidRPr="002A30B3" w:rsidRDefault="00D612FA" w:rsidP="009D2F63">
            <w:pPr>
              <w:jc w:val="center"/>
              <w:rPr>
                <w:rFonts w:ascii="Arial Narrow" w:hAnsi="Arial Narrow"/>
                <w:sz w:val="20"/>
              </w:rPr>
            </w:pPr>
            <w:r w:rsidRPr="002A30B3">
              <w:rPr>
                <w:rFonts w:ascii="Arial Narrow" w:hAnsi="Arial Narrow"/>
                <w:sz w:val="20"/>
              </w:rPr>
              <w:t>Normal</w:t>
            </w:r>
          </w:p>
        </w:tc>
        <w:tc>
          <w:tcPr>
            <w:tcW w:w="1560" w:type="dxa"/>
            <w:vAlign w:val="center"/>
          </w:tcPr>
          <w:p w14:paraId="17BBE4CF" w14:textId="77777777" w:rsidR="00D612FA" w:rsidRPr="002A30B3" w:rsidRDefault="00D612FA" w:rsidP="009D2F63">
            <w:pPr>
              <w:jc w:val="center"/>
              <w:rPr>
                <w:rFonts w:ascii="Arial Narrow" w:hAnsi="Arial Narrow"/>
                <w:sz w:val="20"/>
              </w:rPr>
            </w:pPr>
            <w:r w:rsidRPr="002A30B3">
              <w:rPr>
                <w:rFonts w:ascii="Arial Narrow" w:hAnsi="Arial Narrow"/>
                <w:sz w:val="20"/>
              </w:rPr>
              <w:t>1-2 stools/day &gt;normal</w:t>
            </w:r>
          </w:p>
        </w:tc>
        <w:tc>
          <w:tcPr>
            <w:tcW w:w="1701" w:type="dxa"/>
            <w:vAlign w:val="center"/>
          </w:tcPr>
          <w:p w14:paraId="1E459631" w14:textId="77777777" w:rsidR="00D612FA" w:rsidRPr="002A30B3" w:rsidRDefault="00D612FA" w:rsidP="009D2F63">
            <w:pPr>
              <w:jc w:val="center"/>
              <w:rPr>
                <w:rFonts w:ascii="Arial Narrow" w:hAnsi="Arial Narrow"/>
                <w:sz w:val="20"/>
              </w:rPr>
            </w:pPr>
            <w:r w:rsidRPr="002A30B3">
              <w:rPr>
                <w:rFonts w:ascii="Arial Narrow" w:hAnsi="Arial Narrow"/>
                <w:sz w:val="20"/>
              </w:rPr>
              <w:t>3-4 stools/day &gt;normal</w:t>
            </w:r>
          </w:p>
        </w:tc>
        <w:tc>
          <w:tcPr>
            <w:tcW w:w="1791" w:type="dxa"/>
            <w:vAlign w:val="center"/>
          </w:tcPr>
          <w:p w14:paraId="6E9FAA18" w14:textId="77777777" w:rsidR="00D612FA" w:rsidRPr="002A30B3" w:rsidRDefault="00D612FA" w:rsidP="009D2F63">
            <w:pPr>
              <w:jc w:val="center"/>
              <w:rPr>
                <w:rFonts w:ascii="Arial Narrow" w:hAnsi="Arial Narrow"/>
                <w:sz w:val="20"/>
              </w:rPr>
            </w:pPr>
            <w:r w:rsidRPr="002A30B3">
              <w:rPr>
                <w:rFonts w:ascii="Arial Narrow" w:hAnsi="Arial Narrow"/>
                <w:sz w:val="20"/>
              </w:rPr>
              <w:t>&gt;4 stools/day &gt;normal</w:t>
            </w:r>
          </w:p>
        </w:tc>
      </w:tr>
      <w:tr w:rsidR="00D612FA" w:rsidRPr="002A30B3" w14:paraId="21A81CDD" w14:textId="77777777" w:rsidTr="009D2F63">
        <w:tc>
          <w:tcPr>
            <w:tcW w:w="1838" w:type="dxa"/>
            <w:vAlign w:val="center"/>
          </w:tcPr>
          <w:p w14:paraId="74E2ECBA" w14:textId="77777777" w:rsidR="00D612FA" w:rsidRPr="002A30B3" w:rsidRDefault="00D612FA" w:rsidP="009D2F63">
            <w:pPr>
              <w:jc w:val="left"/>
              <w:rPr>
                <w:rFonts w:ascii="Arial Narrow" w:hAnsi="Arial Narrow"/>
                <w:sz w:val="20"/>
              </w:rPr>
            </w:pPr>
            <w:r w:rsidRPr="002A30B3">
              <w:rPr>
                <w:rFonts w:ascii="Arial Narrow" w:hAnsi="Arial Narrow"/>
                <w:sz w:val="20"/>
              </w:rPr>
              <w:t>Rectal bleeding</w:t>
            </w:r>
          </w:p>
        </w:tc>
        <w:tc>
          <w:tcPr>
            <w:tcW w:w="1417" w:type="dxa"/>
            <w:vAlign w:val="center"/>
          </w:tcPr>
          <w:p w14:paraId="40A09AE0" w14:textId="77777777" w:rsidR="00D612FA" w:rsidRPr="002A30B3" w:rsidRDefault="00D612FA" w:rsidP="009D2F63">
            <w:pPr>
              <w:jc w:val="center"/>
              <w:rPr>
                <w:rFonts w:ascii="Arial Narrow" w:hAnsi="Arial Narrow"/>
                <w:sz w:val="20"/>
              </w:rPr>
            </w:pPr>
            <w:r w:rsidRPr="002A30B3">
              <w:rPr>
                <w:rFonts w:ascii="Arial Narrow" w:hAnsi="Arial Narrow"/>
                <w:sz w:val="20"/>
              </w:rPr>
              <w:t>None</w:t>
            </w:r>
          </w:p>
        </w:tc>
        <w:tc>
          <w:tcPr>
            <w:tcW w:w="1560" w:type="dxa"/>
            <w:vAlign w:val="center"/>
          </w:tcPr>
          <w:p w14:paraId="6C624E3A" w14:textId="77777777" w:rsidR="00D612FA" w:rsidRPr="002A30B3" w:rsidRDefault="00D612FA" w:rsidP="009D2F63">
            <w:pPr>
              <w:jc w:val="center"/>
              <w:rPr>
                <w:rFonts w:ascii="Arial Narrow" w:hAnsi="Arial Narrow"/>
                <w:sz w:val="20"/>
              </w:rPr>
            </w:pPr>
            <w:r w:rsidRPr="002A30B3">
              <w:rPr>
                <w:rFonts w:ascii="Arial Narrow" w:hAnsi="Arial Narrow"/>
                <w:sz w:val="20"/>
              </w:rPr>
              <w:t>Streaks of blood</w:t>
            </w:r>
          </w:p>
        </w:tc>
        <w:tc>
          <w:tcPr>
            <w:tcW w:w="1701" w:type="dxa"/>
            <w:vAlign w:val="center"/>
          </w:tcPr>
          <w:p w14:paraId="125FF285" w14:textId="77777777" w:rsidR="00D612FA" w:rsidRPr="002A30B3" w:rsidRDefault="00D612FA" w:rsidP="009D2F63">
            <w:pPr>
              <w:jc w:val="center"/>
              <w:rPr>
                <w:rFonts w:ascii="Arial Narrow" w:hAnsi="Arial Narrow"/>
                <w:sz w:val="20"/>
              </w:rPr>
            </w:pPr>
            <w:r w:rsidRPr="002A30B3">
              <w:rPr>
                <w:rFonts w:ascii="Arial Narrow" w:hAnsi="Arial Narrow"/>
                <w:sz w:val="20"/>
              </w:rPr>
              <w:t>Obvious blood</w:t>
            </w:r>
          </w:p>
        </w:tc>
        <w:tc>
          <w:tcPr>
            <w:tcW w:w="1791" w:type="dxa"/>
            <w:vAlign w:val="center"/>
          </w:tcPr>
          <w:p w14:paraId="05E79E14" w14:textId="77777777" w:rsidR="00D612FA" w:rsidRPr="002A30B3" w:rsidRDefault="00D612FA" w:rsidP="009D2F63">
            <w:pPr>
              <w:jc w:val="center"/>
              <w:rPr>
                <w:rFonts w:ascii="Arial Narrow" w:hAnsi="Arial Narrow"/>
                <w:sz w:val="20"/>
              </w:rPr>
            </w:pPr>
            <w:r w:rsidRPr="002A30B3">
              <w:rPr>
                <w:rFonts w:ascii="Arial Narrow" w:hAnsi="Arial Narrow"/>
                <w:sz w:val="20"/>
              </w:rPr>
              <w:t>Mostly blood</w:t>
            </w:r>
          </w:p>
        </w:tc>
      </w:tr>
      <w:tr w:rsidR="00D612FA" w:rsidRPr="002A30B3" w14:paraId="3D831B5F" w14:textId="77777777" w:rsidTr="009D2F63">
        <w:tc>
          <w:tcPr>
            <w:tcW w:w="1838" w:type="dxa"/>
            <w:vAlign w:val="center"/>
          </w:tcPr>
          <w:p w14:paraId="49681B95" w14:textId="77777777" w:rsidR="00D612FA" w:rsidRPr="002A30B3" w:rsidRDefault="00D612FA" w:rsidP="009D2F63">
            <w:pPr>
              <w:jc w:val="left"/>
              <w:rPr>
                <w:rFonts w:ascii="Arial Narrow" w:hAnsi="Arial Narrow"/>
                <w:sz w:val="20"/>
              </w:rPr>
            </w:pPr>
            <w:r w:rsidRPr="002A30B3">
              <w:rPr>
                <w:rFonts w:ascii="Arial Narrow" w:hAnsi="Arial Narrow"/>
                <w:sz w:val="20"/>
              </w:rPr>
              <w:t>Mucosal appearance</w:t>
            </w:r>
          </w:p>
        </w:tc>
        <w:tc>
          <w:tcPr>
            <w:tcW w:w="1417" w:type="dxa"/>
            <w:vAlign w:val="center"/>
          </w:tcPr>
          <w:p w14:paraId="39F7000A" w14:textId="77777777" w:rsidR="00D612FA" w:rsidRPr="002A30B3" w:rsidRDefault="00D612FA" w:rsidP="009D2F63">
            <w:pPr>
              <w:jc w:val="center"/>
              <w:rPr>
                <w:rFonts w:ascii="Arial Narrow" w:hAnsi="Arial Narrow"/>
                <w:sz w:val="20"/>
              </w:rPr>
            </w:pPr>
            <w:r w:rsidRPr="002A30B3">
              <w:rPr>
                <w:rFonts w:ascii="Arial Narrow" w:hAnsi="Arial Narrow"/>
                <w:sz w:val="20"/>
              </w:rPr>
              <w:t>Normal</w:t>
            </w:r>
          </w:p>
        </w:tc>
        <w:tc>
          <w:tcPr>
            <w:tcW w:w="1560" w:type="dxa"/>
            <w:vAlign w:val="center"/>
          </w:tcPr>
          <w:p w14:paraId="53C96276" w14:textId="77777777" w:rsidR="00D612FA" w:rsidRPr="002A30B3" w:rsidRDefault="00D612FA" w:rsidP="009D2F63">
            <w:pPr>
              <w:jc w:val="center"/>
              <w:rPr>
                <w:rFonts w:ascii="Arial Narrow" w:hAnsi="Arial Narrow"/>
                <w:sz w:val="20"/>
              </w:rPr>
            </w:pPr>
            <w:r w:rsidRPr="002A30B3">
              <w:rPr>
                <w:rFonts w:ascii="Arial Narrow" w:hAnsi="Arial Narrow"/>
                <w:sz w:val="20"/>
              </w:rPr>
              <w:t>Mild friability</w:t>
            </w:r>
          </w:p>
        </w:tc>
        <w:tc>
          <w:tcPr>
            <w:tcW w:w="1701" w:type="dxa"/>
            <w:vAlign w:val="center"/>
          </w:tcPr>
          <w:p w14:paraId="6FD3391B" w14:textId="77777777" w:rsidR="00D612FA" w:rsidRPr="002A30B3" w:rsidRDefault="00D612FA" w:rsidP="009D2F63">
            <w:pPr>
              <w:jc w:val="center"/>
              <w:rPr>
                <w:rFonts w:ascii="Arial Narrow" w:hAnsi="Arial Narrow"/>
                <w:sz w:val="20"/>
              </w:rPr>
            </w:pPr>
            <w:r w:rsidRPr="002A30B3">
              <w:rPr>
                <w:rFonts w:ascii="Arial Narrow" w:hAnsi="Arial Narrow"/>
                <w:sz w:val="20"/>
              </w:rPr>
              <w:t>Moderate friability</w:t>
            </w:r>
          </w:p>
        </w:tc>
        <w:tc>
          <w:tcPr>
            <w:tcW w:w="1791" w:type="dxa"/>
            <w:vAlign w:val="center"/>
          </w:tcPr>
          <w:p w14:paraId="1542C4C3" w14:textId="77777777" w:rsidR="00D612FA" w:rsidRPr="002A30B3" w:rsidRDefault="00D612FA" w:rsidP="009D2F63">
            <w:pPr>
              <w:jc w:val="center"/>
              <w:rPr>
                <w:rFonts w:ascii="Arial Narrow" w:hAnsi="Arial Narrow"/>
                <w:sz w:val="20"/>
              </w:rPr>
            </w:pPr>
            <w:r w:rsidRPr="002A30B3">
              <w:rPr>
                <w:rFonts w:ascii="Arial Narrow" w:hAnsi="Arial Narrow"/>
                <w:sz w:val="20"/>
              </w:rPr>
              <w:t>Exudation, spontaneous bleeding</w:t>
            </w:r>
          </w:p>
        </w:tc>
      </w:tr>
      <w:tr w:rsidR="00D612FA" w:rsidRPr="002A30B3" w14:paraId="529E75F6" w14:textId="77777777" w:rsidTr="009D2F63">
        <w:tc>
          <w:tcPr>
            <w:tcW w:w="1838" w:type="dxa"/>
            <w:vAlign w:val="center"/>
          </w:tcPr>
          <w:p w14:paraId="69BDDDA2" w14:textId="77777777" w:rsidR="00D612FA" w:rsidRPr="002A30B3" w:rsidRDefault="00D612FA" w:rsidP="009D2F63">
            <w:pPr>
              <w:jc w:val="left"/>
              <w:rPr>
                <w:rFonts w:ascii="Arial Narrow" w:hAnsi="Arial Narrow"/>
                <w:sz w:val="20"/>
              </w:rPr>
            </w:pPr>
            <w:r w:rsidRPr="002A30B3">
              <w:rPr>
                <w:rFonts w:ascii="Arial Narrow" w:hAnsi="Arial Narrow"/>
                <w:sz w:val="20"/>
              </w:rPr>
              <w:t>Physician’s rating of disease activity</w:t>
            </w:r>
          </w:p>
        </w:tc>
        <w:tc>
          <w:tcPr>
            <w:tcW w:w="1417" w:type="dxa"/>
            <w:vAlign w:val="center"/>
          </w:tcPr>
          <w:p w14:paraId="33EC6CB0" w14:textId="77777777" w:rsidR="00D612FA" w:rsidRPr="002A30B3" w:rsidRDefault="00D612FA" w:rsidP="009D2F63">
            <w:pPr>
              <w:jc w:val="center"/>
              <w:rPr>
                <w:rFonts w:ascii="Arial Narrow" w:hAnsi="Arial Narrow"/>
                <w:sz w:val="20"/>
              </w:rPr>
            </w:pPr>
            <w:r w:rsidRPr="002A30B3">
              <w:rPr>
                <w:rFonts w:ascii="Arial Narrow" w:hAnsi="Arial Narrow"/>
                <w:sz w:val="20"/>
              </w:rPr>
              <w:t>Normal</w:t>
            </w:r>
          </w:p>
        </w:tc>
        <w:tc>
          <w:tcPr>
            <w:tcW w:w="1560" w:type="dxa"/>
            <w:vAlign w:val="center"/>
          </w:tcPr>
          <w:p w14:paraId="101277CE" w14:textId="77777777" w:rsidR="00D612FA" w:rsidRPr="002A30B3" w:rsidRDefault="00D612FA" w:rsidP="009D2F63">
            <w:pPr>
              <w:jc w:val="center"/>
              <w:rPr>
                <w:rFonts w:ascii="Arial Narrow" w:hAnsi="Arial Narrow"/>
                <w:sz w:val="20"/>
              </w:rPr>
            </w:pPr>
            <w:r w:rsidRPr="002A30B3">
              <w:rPr>
                <w:rFonts w:ascii="Arial Narrow" w:hAnsi="Arial Narrow"/>
                <w:sz w:val="20"/>
              </w:rPr>
              <w:t>Mild</w:t>
            </w:r>
          </w:p>
        </w:tc>
        <w:tc>
          <w:tcPr>
            <w:tcW w:w="1701" w:type="dxa"/>
            <w:vAlign w:val="center"/>
          </w:tcPr>
          <w:p w14:paraId="2F8AC179" w14:textId="77777777" w:rsidR="00D612FA" w:rsidRPr="002A30B3" w:rsidRDefault="00D612FA" w:rsidP="009D2F63">
            <w:pPr>
              <w:jc w:val="center"/>
              <w:rPr>
                <w:rFonts w:ascii="Arial Narrow" w:hAnsi="Arial Narrow"/>
                <w:sz w:val="20"/>
              </w:rPr>
            </w:pPr>
            <w:r w:rsidRPr="002A30B3">
              <w:rPr>
                <w:rFonts w:ascii="Arial Narrow" w:hAnsi="Arial Narrow"/>
                <w:sz w:val="20"/>
              </w:rPr>
              <w:t>Moderate</w:t>
            </w:r>
          </w:p>
        </w:tc>
        <w:tc>
          <w:tcPr>
            <w:tcW w:w="1791" w:type="dxa"/>
            <w:vAlign w:val="center"/>
          </w:tcPr>
          <w:p w14:paraId="792D1C2A" w14:textId="77777777" w:rsidR="00D612FA" w:rsidRPr="002A30B3" w:rsidRDefault="00D612FA" w:rsidP="009D2F63">
            <w:pPr>
              <w:jc w:val="center"/>
              <w:rPr>
                <w:rFonts w:ascii="Arial Narrow" w:hAnsi="Arial Narrow"/>
                <w:sz w:val="20"/>
              </w:rPr>
            </w:pPr>
            <w:r w:rsidRPr="002A30B3">
              <w:rPr>
                <w:rFonts w:ascii="Arial Narrow" w:hAnsi="Arial Narrow"/>
                <w:sz w:val="20"/>
              </w:rPr>
              <w:t>Severe</w:t>
            </w:r>
          </w:p>
        </w:tc>
      </w:tr>
    </w:tbl>
    <w:p w14:paraId="7C6987DE" w14:textId="7C3A7391" w:rsidR="00D612FA" w:rsidRPr="002A30B3" w:rsidRDefault="00556764" w:rsidP="00556764">
      <w:pPr>
        <w:pStyle w:val="TableFooter"/>
        <w:rPr>
          <w:rStyle w:val="CommentReference"/>
          <w:b w:val="0"/>
          <w:sz w:val="18"/>
          <w:szCs w:val="20"/>
        </w:rPr>
      </w:pPr>
      <w:r w:rsidRPr="002A30B3">
        <w:rPr>
          <w:rStyle w:val="CommentReference"/>
          <w:b w:val="0"/>
          <w:sz w:val="18"/>
          <w:szCs w:val="20"/>
        </w:rPr>
        <w:tab/>
        <w:t xml:space="preserve">Source: </w:t>
      </w:r>
      <w:r w:rsidR="00D0192B" w:rsidRPr="002A30B3">
        <w:rPr>
          <w:rStyle w:val="CommentReference"/>
          <w:b w:val="0"/>
          <w:sz w:val="18"/>
          <w:szCs w:val="20"/>
        </w:rPr>
        <w:t>Table 19, p</w:t>
      </w:r>
      <w:r w:rsidR="00C61994" w:rsidRPr="002A30B3">
        <w:rPr>
          <w:rStyle w:val="CommentReference"/>
          <w:b w:val="0"/>
          <w:sz w:val="18"/>
          <w:szCs w:val="20"/>
        </w:rPr>
        <w:t>34</w:t>
      </w:r>
      <w:r w:rsidR="00D0192B" w:rsidRPr="002A30B3">
        <w:rPr>
          <w:rStyle w:val="CommentReference"/>
          <w:b w:val="0"/>
          <w:sz w:val="18"/>
          <w:szCs w:val="20"/>
        </w:rPr>
        <w:t xml:space="preserve"> of the submission</w:t>
      </w:r>
    </w:p>
    <w:p w14:paraId="778E4C1A" w14:textId="77777777" w:rsidR="00D612FA" w:rsidRPr="002A30B3" w:rsidRDefault="00D612FA" w:rsidP="0031016E">
      <w:pPr>
        <w:pStyle w:val="ListParagraph"/>
        <w:widowControl/>
        <w:rPr>
          <w:rStyle w:val="CommentReference"/>
          <w:rFonts w:ascii="Arial" w:hAnsi="Arial"/>
          <w:b w:val="0"/>
          <w:sz w:val="22"/>
          <w:szCs w:val="22"/>
        </w:rPr>
      </w:pPr>
    </w:p>
    <w:p w14:paraId="648BC8E0" w14:textId="5DB3A38A" w:rsidR="00DC3D35" w:rsidRPr="002A30B3" w:rsidRDefault="0031016E" w:rsidP="00DC3D35">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The PBAC has previously considered the outcomes of clinical remission and clinical response for the treatment of moderate to severe ulcerative colitis (March 2014 infliximab PSD, July 2014 adalimumab PSD and March 2015 vedolizumab PSD). </w:t>
      </w:r>
      <w:r w:rsidR="00D0192B" w:rsidRPr="002A30B3">
        <w:t>The outcomes were based on the Mayo score (composite outcome based on stool frequency, rectal bleeding, sigmoidoscopy and physician’s assessment) which is similar to the UC-DAI score.</w:t>
      </w:r>
    </w:p>
    <w:p w14:paraId="76BD737F" w14:textId="77777777" w:rsidR="006D29FD" w:rsidRPr="002A30B3" w:rsidRDefault="006D29FD" w:rsidP="006D29FD">
      <w:pPr>
        <w:pStyle w:val="ListParagraph"/>
        <w:widowControl/>
        <w:rPr>
          <w:rStyle w:val="CommentReference"/>
          <w:rFonts w:ascii="Arial" w:hAnsi="Arial"/>
          <w:b w:val="0"/>
          <w:sz w:val="22"/>
          <w:szCs w:val="22"/>
        </w:rPr>
      </w:pPr>
    </w:p>
    <w:p w14:paraId="0BEF1A20" w14:textId="4277A9A0" w:rsidR="00926795" w:rsidRPr="002A30B3" w:rsidRDefault="0031016E" w:rsidP="00926795">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A </w:t>
      </w:r>
      <w:r w:rsidR="0035249A" w:rsidRPr="002A30B3">
        <w:rPr>
          <w:rStyle w:val="CommentReference"/>
          <w:rFonts w:ascii="Arial" w:hAnsi="Arial"/>
          <w:b w:val="0"/>
          <w:sz w:val="22"/>
          <w:szCs w:val="22"/>
        </w:rPr>
        <w:t xml:space="preserve">lower </w:t>
      </w:r>
      <w:r w:rsidRPr="002A30B3">
        <w:rPr>
          <w:rStyle w:val="CommentReference"/>
          <w:rFonts w:ascii="Arial" w:hAnsi="Arial"/>
          <w:b w:val="0"/>
          <w:sz w:val="22"/>
          <w:szCs w:val="22"/>
        </w:rPr>
        <w:t xml:space="preserve">proportion of patients treated with Asacol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achieved </w:t>
      </w:r>
      <w:r w:rsidR="00296091" w:rsidRPr="002A30B3">
        <w:rPr>
          <w:rStyle w:val="CommentReference"/>
          <w:rFonts w:ascii="Arial" w:hAnsi="Arial"/>
          <w:b w:val="0"/>
          <w:sz w:val="22"/>
          <w:szCs w:val="22"/>
        </w:rPr>
        <w:t xml:space="preserve">induction of </w:t>
      </w:r>
      <w:r w:rsidRPr="002A30B3">
        <w:rPr>
          <w:rStyle w:val="CommentReference"/>
          <w:rFonts w:ascii="Arial" w:hAnsi="Arial"/>
          <w:b w:val="0"/>
          <w:sz w:val="22"/>
          <w:szCs w:val="22"/>
        </w:rPr>
        <w:t xml:space="preserve">remission compared with Mezavant </w:t>
      </w:r>
      <w:r w:rsidR="00F66817" w:rsidRPr="002A30B3">
        <w:rPr>
          <w:rStyle w:val="CommentReference"/>
          <w:rFonts w:ascii="Arial" w:hAnsi="Arial"/>
          <w:b w:val="0"/>
          <w:sz w:val="22"/>
          <w:szCs w:val="22"/>
        </w:rPr>
        <w:t>2.4 g</w:t>
      </w:r>
      <w:r w:rsidR="007E05C9" w:rsidRPr="002A30B3">
        <w:rPr>
          <w:rStyle w:val="CommentReference"/>
          <w:rFonts w:ascii="Arial" w:hAnsi="Arial"/>
          <w:b w:val="0"/>
          <w:sz w:val="22"/>
          <w:szCs w:val="22"/>
        </w:rPr>
        <w:t xml:space="preserve"> (32.6% vs 40.5%</w:t>
      </w:r>
      <w:r w:rsidRPr="002A30B3">
        <w:rPr>
          <w:rStyle w:val="CommentReference"/>
          <w:rFonts w:ascii="Arial" w:hAnsi="Arial"/>
          <w:b w:val="0"/>
          <w:sz w:val="22"/>
          <w:szCs w:val="22"/>
        </w:rPr>
        <w:t xml:space="preserve">) but the difference was not statistically significant (RR 0.80, 95% CI 0.54, 1.20). Although the results suggest no treatment effect difference between Asacol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and Mezavant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results should be interpreted with caution as the study was not powered for </w:t>
      </w:r>
      <w:r w:rsidR="0083519A" w:rsidRPr="002A30B3">
        <w:rPr>
          <w:rStyle w:val="CommentReference"/>
          <w:rFonts w:ascii="Arial" w:hAnsi="Arial"/>
          <w:b w:val="0"/>
          <w:sz w:val="22"/>
          <w:szCs w:val="22"/>
        </w:rPr>
        <w:t>noninferiority</w:t>
      </w:r>
      <w:r w:rsidRPr="002A30B3">
        <w:rPr>
          <w:rStyle w:val="CommentReference"/>
          <w:rFonts w:ascii="Arial" w:hAnsi="Arial"/>
          <w:b w:val="0"/>
          <w:sz w:val="22"/>
          <w:szCs w:val="22"/>
        </w:rPr>
        <w:t xml:space="preserve"> or a comparison between active treatments. </w:t>
      </w:r>
    </w:p>
    <w:p w14:paraId="549054E7" w14:textId="77777777" w:rsidR="000D2EF9" w:rsidRPr="002A30B3" w:rsidRDefault="000D2EF9" w:rsidP="000D2EF9">
      <w:pPr>
        <w:pStyle w:val="ListParagraph"/>
        <w:widowControl/>
        <w:rPr>
          <w:rStyle w:val="CommentReference"/>
          <w:rFonts w:ascii="Arial" w:hAnsi="Arial"/>
          <w:b w:val="0"/>
          <w:sz w:val="22"/>
          <w:szCs w:val="22"/>
        </w:rPr>
      </w:pPr>
    </w:p>
    <w:p w14:paraId="2030DA44" w14:textId="3365F4AB" w:rsidR="005F4DC6" w:rsidRPr="002A30B3" w:rsidRDefault="000D2EF9" w:rsidP="005F4DC6">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A </w:t>
      </w:r>
      <w:r w:rsidR="00E2636B" w:rsidRPr="002A30B3">
        <w:rPr>
          <w:rStyle w:val="CommentReference"/>
          <w:rFonts w:ascii="Arial" w:hAnsi="Arial"/>
          <w:b w:val="0"/>
          <w:sz w:val="22"/>
          <w:szCs w:val="22"/>
        </w:rPr>
        <w:t xml:space="preserve">higher </w:t>
      </w:r>
      <w:r w:rsidRPr="002A30B3">
        <w:rPr>
          <w:rStyle w:val="CommentReference"/>
          <w:rFonts w:ascii="Arial" w:hAnsi="Arial"/>
          <w:b w:val="0"/>
          <w:sz w:val="22"/>
          <w:szCs w:val="22"/>
        </w:rPr>
        <w:t xml:space="preserve">proportion of patients receiving Asacol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achieved </w:t>
      </w:r>
      <w:r w:rsidR="00296091" w:rsidRPr="002A30B3">
        <w:rPr>
          <w:rStyle w:val="CommentReference"/>
          <w:rFonts w:ascii="Arial" w:hAnsi="Arial"/>
          <w:b w:val="0"/>
          <w:sz w:val="22"/>
          <w:szCs w:val="22"/>
        </w:rPr>
        <w:t xml:space="preserve">induction of </w:t>
      </w:r>
      <w:r w:rsidRPr="002A30B3">
        <w:rPr>
          <w:rStyle w:val="CommentReference"/>
          <w:rFonts w:ascii="Arial" w:hAnsi="Arial"/>
          <w:b w:val="0"/>
          <w:sz w:val="22"/>
          <w:szCs w:val="22"/>
        </w:rPr>
        <w:t xml:space="preserve">remission compared to placebo (32.6% vs. 22.1% respectively) although the difference was not statistically significant (RR 1.47, 95% CI 0.89, 2.43). Patients receiving treatment with Mezavant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and </w:t>
      </w:r>
      <w:r w:rsidR="00F66817" w:rsidRPr="002A30B3">
        <w:rPr>
          <w:rStyle w:val="CommentReference"/>
          <w:rFonts w:ascii="Arial" w:hAnsi="Arial"/>
          <w:b w:val="0"/>
          <w:sz w:val="22"/>
          <w:szCs w:val="22"/>
        </w:rPr>
        <w:t>4.8 g</w:t>
      </w:r>
      <w:r w:rsidRPr="002A30B3">
        <w:rPr>
          <w:rStyle w:val="CommentReference"/>
          <w:rFonts w:ascii="Arial" w:hAnsi="Arial"/>
          <w:b w:val="0"/>
          <w:sz w:val="22"/>
          <w:szCs w:val="22"/>
        </w:rPr>
        <w:t xml:space="preserve"> had statistically significantly higher</w:t>
      </w:r>
      <w:r w:rsidR="00BF4D94" w:rsidRPr="002A30B3">
        <w:rPr>
          <w:rStyle w:val="CommentReference"/>
          <w:rFonts w:ascii="Arial" w:hAnsi="Arial"/>
          <w:b w:val="0"/>
          <w:sz w:val="22"/>
          <w:szCs w:val="22"/>
        </w:rPr>
        <w:t xml:space="preserve"> induction of</w:t>
      </w:r>
      <w:r w:rsidRPr="002A30B3">
        <w:rPr>
          <w:rStyle w:val="CommentReference"/>
          <w:rFonts w:ascii="Arial" w:hAnsi="Arial"/>
          <w:b w:val="0"/>
          <w:sz w:val="22"/>
          <w:szCs w:val="22"/>
        </w:rPr>
        <w:t xml:space="preserve"> remission rates versus placebo (40.5%, p=0.007 and 41.2%, p=0.01 versus 22.1%).</w:t>
      </w:r>
    </w:p>
    <w:p w14:paraId="567569C7" w14:textId="77777777" w:rsidR="005F4DC6" w:rsidRPr="002A30B3" w:rsidRDefault="005F4DC6" w:rsidP="005F4DC6">
      <w:pPr>
        <w:pStyle w:val="ListParagraph"/>
        <w:rPr>
          <w:rStyle w:val="CommentReference"/>
          <w:rFonts w:ascii="Arial" w:hAnsi="Arial"/>
          <w:b w:val="0"/>
          <w:sz w:val="22"/>
          <w:szCs w:val="22"/>
        </w:rPr>
      </w:pPr>
    </w:p>
    <w:p w14:paraId="133D19A6" w14:textId="77777777" w:rsidR="00063414" w:rsidRPr="002A30B3" w:rsidRDefault="000107A3" w:rsidP="00E9699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No</w:t>
      </w:r>
      <w:r w:rsidR="000D2EF9" w:rsidRPr="002A30B3">
        <w:rPr>
          <w:rStyle w:val="CommentReference"/>
          <w:rFonts w:ascii="Arial" w:hAnsi="Arial"/>
          <w:b w:val="0"/>
          <w:sz w:val="22"/>
          <w:szCs w:val="22"/>
        </w:rPr>
        <w:t xml:space="preserve"> comparative data were presented to support the use of high dose Asacol (</w:t>
      </w:r>
      <w:r w:rsidR="00F66817" w:rsidRPr="002A30B3">
        <w:rPr>
          <w:rStyle w:val="CommentReference"/>
          <w:rFonts w:ascii="Arial" w:hAnsi="Arial"/>
          <w:b w:val="0"/>
          <w:sz w:val="22"/>
          <w:szCs w:val="22"/>
        </w:rPr>
        <w:t>3.6 g</w:t>
      </w:r>
      <w:r w:rsidR="000D2EF9" w:rsidRPr="002A30B3">
        <w:rPr>
          <w:rStyle w:val="CommentReference"/>
          <w:rFonts w:ascii="Arial" w:hAnsi="Arial"/>
          <w:b w:val="0"/>
          <w:sz w:val="22"/>
          <w:szCs w:val="22"/>
        </w:rPr>
        <w:t xml:space="preserve"> or </w:t>
      </w:r>
      <w:r w:rsidR="00F66817" w:rsidRPr="002A30B3">
        <w:rPr>
          <w:rStyle w:val="CommentReference"/>
          <w:rFonts w:ascii="Arial" w:hAnsi="Arial"/>
          <w:b w:val="0"/>
          <w:sz w:val="22"/>
          <w:szCs w:val="22"/>
        </w:rPr>
        <w:t>4.8 g</w:t>
      </w:r>
      <w:r w:rsidR="000D2EF9" w:rsidRPr="002A30B3">
        <w:rPr>
          <w:rStyle w:val="CommentReference"/>
          <w:rFonts w:ascii="Arial" w:hAnsi="Arial"/>
          <w:b w:val="0"/>
          <w:sz w:val="22"/>
          <w:szCs w:val="22"/>
        </w:rPr>
        <w:t xml:space="preserve">) versus Mezavant </w:t>
      </w:r>
      <w:r w:rsidR="00E9699B" w:rsidRPr="002A30B3">
        <w:rPr>
          <w:rStyle w:val="CommentReference"/>
          <w:rFonts w:ascii="Arial" w:hAnsi="Arial"/>
          <w:b w:val="0"/>
          <w:sz w:val="22"/>
          <w:szCs w:val="22"/>
        </w:rPr>
        <w:t>for the induction of remission.</w:t>
      </w:r>
      <w:r w:rsidR="000B551E" w:rsidRPr="002A30B3">
        <w:rPr>
          <w:rStyle w:val="CommentReference"/>
          <w:rFonts w:ascii="Arial" w:hAnsi="Arial"/>
          <w:b w:val="0"/>
          <w:sz w:val="22"/>
          <w:szCs w:val="22"/>
        </w:rPr>
        <w:t xml:space="preserve"> </w:t>
      </w:r>
    </w:p>
    <w:p w14:paraId="68199D73" w14:textId="77777777" w:rsidR="00063414" w:rsidRPr="002A30B3" w:rsidRDefault="00063414" w:rsidP="00063414">
      <w:pPr>
        <w:pStyle w:val="ListParagraph"/>
        <w:rPr>
          <w:rStyle w:val="CommentReference"/>
          <w:rFonts w:ascii="Arial" w:hAnsi="Arial"/>
          <w:b w:val="0"/>
          <w:sz w:val="22"/>
          <w:szCs w:val="22"/>
        </w:rPr>
      </w:pPr>
    </w:p>
    <w:p w14:paraId="1DA9118A" w14:textId="3A287CA7" w:rsidR="002F3D5B" w:rsidRPr="002A30B3" w:rsidRDefault="00454714" w:rsidP="002F3D5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Table 6</w:t>
      </w:r>
      <w:r w:rsidR="002F3D5B" w:rsidRPr="002A30B3">
        <w:rPr>
          <w:rStyle w:val="CommentReference"/>
          <w:rFonts w:ascii="Arial" w:hAnsi="Arial"/>
          <w:b w:val="0"/>
          <w:sz w:val="22"/>
          <w:szCs w:val="22"/>
        </w:rPr>
        <w:t xml:space="preserve"> summarises the main results</w:t>
      </w:r>
      <w:r w:rsidR="00CB32F2" w:rsidRPr="002A30B3">
        <w:rPr>
          <w:rStyle w:val="CommentReference"/>
          <w:rFonts w:ascii="Arial" w:hAnsi="Arial"/>
          <w:b w:val="0"/>
          <w:sz w:val="22"/>
          <w:szCs w:val="22"/>
        </w:rPr>
        <w:t xml:space="preserve"> (mITT population)</w:t>
      </w:r>
      <w:r w:rsidR="002F3D5B" w:rsidRPr="002A30B3">
        <w:rPr>
          <w:rStyle w:val="CommentReference"/>
          <w:rFonts w:ascii="Arial" w:hAnsi="Arial"/>
          <w:b w:val="0"/>
          <w:sz w:val="22"/>
          <w:szCs w:val="22"/>
        </w:rPr>
        <w:t xml:space="preserve"> and</w:t>
      </w:r>
      <w:r w:rsidR="000D2EF9" w:rsidRPr="002A30B3">
        <w:rPr>
          <w:rStyle w:val="CommentReference"/>
          <w:rFonts w:ascii="Arial" w:hAnsi="Arial"/>
          <w:b w:val="0"/>
          <w:sz w:val="22"/>
          <w:szCs w:val="22"/>
        </w:rPr>
        <w:t xml:space="preserve"> post-hoc analysi</w:t>
      </w:r>
      <w:r w:rsidR="002F3D5B" w:rsidRPr="002A30B3">
        <w:rPr>
          <w:rStyle w:val="CommentReference"/>
          <w:rFonts w:ascii="Arial" w:hAnsi="Arial"/>
          <w:b w:val="0"/>
          <w:sz w:val="22"/>
          <w:szCs w:val="22"/>
        </w:rPr>
        <w:t>s</w:t>
      </w:r>
      <w:r w:rsidR="00592C3F" w:rsidRPr="002A30B3">
        <w:rPr>
          <w:rStyle w:val="CommentReference"/>
          <w:rFonts w:ascii="Arial" w:hAnsi="Arial"/>
          <w:b w:val="0"/>
          <w:sz w:val="22"/>
          <w:szCs w:val="22"/>
        </w:rPr>
        <w:t xml:space="preserve"> (ITT population)</w:t>
      </w:r>
      <w:r w:rsidR="00451171" w:rsidRPr="002A30B3">
        <w:rPr>
          <w:rStyle w:val="CommentReference"/>
          <w:rFonts w:ascii="Arial" w:hAnsi="Arial"/>
          <w:b w:val="0"/>
          <w:sz w:val="22"/>
          <w:szCs w:val="22"/>
        </w:rPr>
        <w:t xml:space="preserve"> comparing Asacol </w:t>
      </w:r>
      <w:r w:rsidR="00F66817" w:rsidRPr="002A30B3">
        <w:rPr>
          <w:rStyle w:val="CommentReference"/>
          <w:rFonts w:ascii="Arial" w:hAnsi="Arial"/>
          <w:b w:val="0"/>
          <w:sz w:val="22"/>
          <w:szCs w:val="22"/>
        </w:rPr>
        <w:t>2.4 g</w:t>
      </w:r>
      <w:r w:rsidR="00451171" w:rsidRPr="002A30B3">
        <w:rPr>
          <w:rStyle w:val="CommentReference"/>
          <w:rFonts w:ascii="Arial" w:hAnsi="Arial"/>
          <w:b w:val="0"/>
          <w:sz w:val="22"/>
          <w:szCs w:val="22"/>
        </w:rPr>
        <w:t xml:space="preserve"> with Mezavant </w:t>
      </w:r>
      <w:r w:rsidR="00F66817" w:rsidRPr="002A30B3">
        <w:rPr>
          <w:rStyle w:val="CommentReference"/>
          <w:rFonts w:ascii="Arial" w:hAnsi="Arial"/>
          <w:b w:val="0"/>
          <w:sz w:val="22"/>
          <w:szCs w:val="22"/>
        </w:rPr>
        <w:t>2.4 g</w:t>
      </w:r>
      <w:r w:rsidR="002F3D5B" w:rsidRPr="002A30B3">
        <w:rPr>
          <w:rStyle w:val="CommentReference"/>
          <w:rFonts w:ascii="Arial" w:hAnsi="Arial"/>
          <w:b w:val="0"/>
          <w:sz w:val="22"/>
          <w:szCs w:val="22"/>
        </w:rPr>
        <w:t xml:space="preserve"> from the </w:t>
      </w:r>
      <w:r w:rsidR="00DC3D35" w:rsidRPr="002A30B3">
        <w:rPr>
          <w:rStyle w:val="CommentReference"/>
          <w:rFonts w:ascii="Arial" w:hAnsi="Arial"/>
          <w:b w:val="0"/>
          <w:sz w:val="22"/>
          <w:szCs w:val="22"/>
        </w:rPr>
        <w:t>Prantera 2009</w:t>
      </w:r>
      <w:r w:rsidR="002F3D5B" w:rsidRPr="002A30B3">
        <w:rPr>
          <w:rStyle w:val="CommentReference"/>
          <w:rFonts w:ascii="Arial" w:hAnsi="Arial"/>
          <w:b w:val="0"/>
          <w:sz w:val="22"/>
          <w:szCs w:val="22"/>
        </w:rPr>
        <w:t xml:space="preserve"> study </w:t>
      </w:r>
      <w:r w:rsidR="00DC3D35" w:rsidRPr="002A30B3">
        <w:rPr>
          <w:rStyle w:val="CommentReference"/>
          <w:rFonts w:ascii="Arial" w:hAnsi="Arial"/>
          <w:b w:val="0"/>
          <w:sz w:val="22"/>
          <w:szCs w:val="22"/>
        </w:rPr>
        <w:t>for maintenance</w:t>
      </w:r>
      <w:r w:rsidR="002F3D5B" w:rsidRPr="002A30B3">
        <w:rPr>
          <w:rStyle w:val="CommentReference"/>
          <w:rFonts w:ascii="Arial" w:hAnsi="Arial"/>
          <w:b w:val="0"/>
          <w:sz w:val="22"/>
          <w:szCs w:val="22"/>
        </w:rPr>
        <w:t xml:space="preserve"> of remission. </w:t>
      </w:r>
      <w:r w:rsidR="00592C3F" w:rsidRPr="002A30B3">
        <w:rPr>
          <w:rStyle w:val="CommentReference"/>
          <w:rFonts w:ascii="Arial" w:hAnsi="Arial"/>
          <w:b w:val="0"/>
          <w:sz w:val="22"/>
          <w:szCs w:val="22"/>
        </w:rPr>
        <w:t>The outcome for clinical and endos</w:t>
      </w:r>
      <w:r w:rsidR="00AB7415" w:rsidRPr="002A30B3">
        <w:rPr>
          <w:rStyle w:val="CommentReference"/>
          <w:rFonts w:ascii="Arial" w:hAnsi="Arial"/>
          <w:b w:val="0"/>
          <w:sz w:val="22"/>
          <w:szCs w:val="22"/>
        </w:rPr>
        <w:t>copic remission was based on a modified</w:t>
      </w:r>
      <w:r w:rsidR="00592C3F" w:rsidRPr="002A30B3">
        <w:rPr>
          <w:rStyle w:val="CommentReference"/>
          <w:rFonts w:ascii="Arial" w:hAnsi="Arial"/>
          <w:b w:val="0"/>
          <w:sz w:val="22"/>
          <w:szCs w:val="22"/>
        </w:rPr>
        <w:t xml:space="preserve"> UC-DAI score</w:t>
      </w:r>
      <w:r w:rsidR="00AB7415" w:rsidRPr="002A30B3">
        <w:rPr>
          <w:rStyle w:val="CommentReference"/>
          <w:rFonts w:ascii="Arial" w:hAnsi="Arial"/>
          <w:b w:val="0"/>
          <w:sz w:val="22"/>
          <w:szCs w:val="22"/>
        </w:rPr>
        <w:t>.</w:t>
      </w:r>
      <w:r w:rsidR="00592C3F" w:rsidRPr="002A30B3">
        <w:rPr>
          <w:rStyle w:val="CommentReference"/>
          <w:rFonts w:ascii="Arial" w:hAnsi="Arial"/>
          <w:b w:val="0"/>
          <w:sz w:val="22"/>
          <w:szCs w:val="22"/>
        </w:rPr>
        <w:t xml:space="preserve"> </w:t>
      </w:r>
    </w:p>
    <w:p w14:paraId="65ADB333" w14:textId="77777777" w:rsidR="002F3D5B" w:rsidRPr="002A30B3" w:rsidRDefault="002F3D5B" w:rsidP="002F3D5B">
      <w:pPr>
        <w:pStyle w:val="ListParagraph"/>
        <w:widowControl/>
        <w:rPr>
          <w:rStyle w:val="CommentReference"/>
          <w:rFonts w:ascii="Arial" w:hAnsi="Arial"/>
          <w:b w:val="0"/>
          <w:sz w:val="22"/>
          <w:szCs w:val="22"/>
        </w:rPr>
      </w:pPr>
    </w:p>
    <w:p w14:paraId="3979EB61" w14:textId="77777777" w:rsidR="00871141" w:rsidRDefault="00871141">
      <w:pPr>
        <w:widowControl/>
        <w:jc w:val="left"/>
        <w:rPr>
          <w:rStyle w:val="CommentReference"/>
        </w:rPr>
      </w:pPr>
      <w:r>
        <w:rPr>
          <w:rStyle w:val="CommentReference"/>
        </w:rPr>
        <w:br w:type="page"/>
      </w:r>
    </w:p>
    <w:p w14:paraId="20C36FAB" w14:textId="59D77394" w:rsidR="00DC3D35" w:rsidRPr="002A30B3" w:rsidRDefault="00454714" w:rsidP="00DC3D35">
      <w:pPr>
        <w:ind w:firstLine="720"/>
        <w:rPr>
          <w:rStyle w:val="CommentReference"/>
        </w:rPr>
      </w:pPr>
      <w:r w:rsidRPr="002A30B3">
        <w:rPr>
          <w:rStyle w:val="CommentReference"/>
        </w:rPr>
        <w:lastRenderedPageBreak/>
        <w:t>Table 6</w:t>
      </w:r>
      <w:r w:rsidR="00DC3D35" w:rsidRPr="002A30B3">
        <w:rPr>
          <w:rStyle w:val="CommentReference"/>
        </w:rPr>
        <w:t xml:space="preserve">: Maintenance of remission at 12 months, Prantera 2009 study (ITT and modified ITT populations) </w:t>
      </w:r>
    </w:p>
    <w:tbl>
      <w:tblPr>
        <w:tblStyle w:val="TableGrid"/>
        <w:tblW w:w="0" w:type="auto"/>
        <w:tblInd w:w="704" w:type="dxa"/>
        <w:tblLook w:val="04A0" w:firstRow="1" w:lastRow="0" w:firstColumn="1" w:lastColumn="0" w:noHBand="0" w:noVBand="1"/>
        <w:tblCaption w:val="Table 6: Maintenance of remission at 12 months, Prantera 2009 study (ITT and modified ITT populations) "/>
      </w:tblPr>
      <w:tblGrid>
        <w:gridCol w:w="2385"/>
        <w:gridCol w:w="1481"/>
        <w:gridCol w:w="1482"/>
        <w:gridCol w:w="1482"/>
        <w:gridCol w:w="1482"/>
      </w:tblGrid>
      <w:tr w:rsidR="00DC3D35" w:rsidRPr="002A30B3" w14:paraId="0DB842FD" w14:textId="77777777" w:rsidTr="008531FB">
        <w:trPr>
          <w:tblHeader/>
        </w:trPr>
        <w:tc>
          <w:tcPr>
            <w:tcW w:w="2385" w:type="dxa"/>
            <w:vMerge w:val="restart"/>
          </w:tcPr>
          <w:p w14:paraId="049FABEC" w14:textId="77777777" w:rsidR="00DC3D35" w:rsidRPr="002A30B3" w:rsidRDefault="00DC3D35" w:rsidP="00635FCC">
            <w:pPr>
              <w:jc w:val="center"/>
              <w:rPr>
                <w:rFonts w:ascii="Arial Narrow" w:hAnsi="Arial Narrow"/>
                <w:sz w:val="20"/>
              </w:rPr>
            </w:pPr>
          </w:p>
        </w:tc>
        <w:tc>
          <w:tcPr>
            <w:tcW w:w="2963" w:type="dxa"/>
            <w:gridSpan w:val="2"/>
          </w:tcPr>
          <w:p w14:paraId="7C932412" w14:textId="77777777" w:rsidR="00DC3D35" w:rsidRPr="002A30B3" w:rsidRDefault="00DC3D35" w:rsidP="00635FCC">
            <w:pPr>
              <w:jc w:val="center"/>
              <w:rPr>
                <w:rFonts w:ascii="Arial Narrow" w:hAnsi="Arial Narrow"/>
                <w:b/>
                <w:sz w:val="20"/>
              </w:rPr>
            </w:pPr>
            <w:r w:rsidRPr="002A30B3">
              <w:rPr>
                <w:rFonts w:ascii="Arial Narrow" w:hAnsi="Arial Narrow"/>
                <w:b/>
                <w:sz w:val="20"/>
              </w:rPr>
              <w:t>Post-hoc analysis (ITT</w:t>
            </w:r>
            <w:r w:rsidRPr="002A30B3">
              <w:rPr>
                <w:rFonts w:ascii="Arial Narrow" w:hAnsi="Arial Narrow"/>
                <w:b/>
                <w:sz w:val="20"/>
                <w:vertAlign w:val="superscript"/>
              </w:rPr>
              <w:t>a</w:t>
            </w:r>
            <w:r w:rsidRPr="002A30B3">
              <w:rPr>
                <w:rFonts w:ascii="Arial Narrow" w:hAnsi="Arial Narrow"/>
                <w:b/>
                <w:sz w:val="20"/>
              </w:rPr>
              <w:t>)</w:t>
            </w:r>
          </w:p>
        </w:tc>
        <w:tc>
          <w:tcPr>
            <w:tcW w:w="2964" w:type="dxa"/>
            <w:gridSpan w:val="2"/>
          </w:tcPr>
          <w:p w14:paraId="33DBAE3E" w14:textId="77777777" w:rsidR="00DC3D35" w:rsidRPr="002A30B3" w:rsidRDefault="00DC3D35" w:rsidP="00635FCC">
            <w:pPr>
              <w:jc w:val="center"/>
              <w:rPr>
                <w:rFonts w:ascii="Arial Narrow" w:hAnsi="Arial Narrow"/>
                <w:b/>
                <w:sz w:val="20"/>
              </w:rPr>
            </w:pPr>
            <w:r w:rsidRPr="002A30B3">
              <w:rPr>
                <w:rFonts w:ascii="Arial Narrow" w:hAnsi="Arial Narrow"/>
                <w:b/>
                <w:sz w:val="20"/>
              </w:rPr>
              <w:t>Primary analysis (mITT)</w:t>
            </w:r>
          </w:p>
        </w:tc>
      </w:tr>
      <w:tr w:rsidR="00DC3D35" w:rsidRPr="002A30B3" w14:paraId="21B9D4FD" w14:textId="77777777" w:rsidTr="008531FB">
        <w:trPr>
          <w:tblHeader/>
        </w:trPr>
        <w:tc>
          <w:tcPr>
            <w:tcW w:w="2385" w:type="dxa"/>
            <w:vMerge/>
          </w:tcPr>
          <w:p w14:paraId="70EE9BCE" w14:textId="77777777" w:rsidR="00DC3D35" w:rsidRPr="002A30B3" w:rsidRDefault="00DC3D35" w:rsidP="00635FCC">
            <w:pPr>
              <w:jc w:val="left"/>
              <w:rPr>
                <w:rFonts w:ascii="Arial Narrow" w:hAnsi="Arial Narrow"/>
                <w:sz w:val="20"/>
              </w:rPr>
            </w:pPr>
          </w:p>
        </w:tc>
        <w:tc>
          <w:tcPr>
            <w:tcW w:w="1481" w:type="dxa"/>
          </w:tcPr>
          <w:p w14:paraId="0CDC1B03" w14:textId="25087079" w:rsidR="00DC3D35" w:rsidRPr="002A30B3" w:rsidRDefault="00DC3D35" w:rsidP="00635FCC">
            <w:pPr>
              <w:jc w:val="center"/>
              <w:rPr>
                <w:rFonts w:ascii="Arial Narrow" w:hAnsi="Arial Narrow"/>
                <w:b/>
                <w:sz w:val="20"/>
              </w:rPr>
            </w:pPr>
            <w:r w:rsidRPr="002A30B3">
              <w:rPr>
                <w:rFonts w:ascii="Arial Narrow" w:hAnsi="Arial Narrow"/>
                <w:b/>
                <w:sz w:val="20"/>
              </w:rPr>
              <w:t xml:space="preserve">Asacol </w:t>
            </w:r>
            <w:r w:rsidR="00F66817" w:rsidRPr="002A30B3">
              <w:rPr>
                <w:rFonts w:ascii="Arial Narrow" w:hAnsi="Arial Narrow"/>
                <w:b/>
                <w:sz w:val="20"/>
              </w:rPr>
              <w:t>2.4 g</w:t>
            </w:r>
          </w:p>
          <w:p w14:paraId="7304E83A" w14:textId="77777777" w:rsidR="00DC3D35" w:rsidRPr="002A30B3" w:rsidRDefault="00DC3D35" w:rsidP="00635FCC">
            <w:pPr>
              <w:jc w:val="center"/>
              <w:rPr>
                <w:rFonts w:ascii="Arial Narrow" w:hAnsi="Arial Narrow"/>
                <w:b/>
                <w:sz w:val="20"/>
              </w:rPr>
            </w:pPr>
            <w:r w:rsidRPr="002A30B3">
              <w:rPr>
                <w:rFonts w:ascii="Arial Narrow" w:hAnsi="Arial Narrow"/>
                <w:b/>
                <w:sz w:val="20"/>
              </w:rPr>
              <w:t>N=169</w:t>
            </w:r>
          </w:p>
        </w:tc>
        <w:tc>
          <w:tcPr>
            <w:tcW w:w="1482" w:type="dxa"/>
          </w:tcPr>
          <w:p w14:paraId="1E4DE45F" w14:textId="6C2F8C17" w:rsidR="00DC3D35" w:rsidRPr="002A30B3" w:rsidRDefault="00DC3D35" w:rsidP="00635FCC">
            <w:pPr>
              <w:jc w:val="center"/>
              <w:rPr>
                <w:rFonts w:ascii="Arial Narrow" w:hAnsi="Arial Narrow"/>
                <w:b/>
                <w:sz w:val="20"/>
              </w:rPr>
            </w:pPr>
            <w:r w:rsidRPr="002A30B3">
              <w:rPr>
                <w:rFonts w:ascii="Arial Narrow" w:hAnsi="Arial Narrow"/>
                <w:b/>
                <w:sz w:val="20"/>
              </w:rPr>
              <w:t xml:space="preserve">Mezavant </w:t>
            </w:r>
            <w:r w:rsidR="00F66817" w:rsidRPr="002A30B3">
              <w:rPr>
                <w:rFonts w:ascii="Arial Narrow" w:hAnsi="Arial Narrow"/>
                <w:b/>
                <w:sz w:val="20"/>
              </w:rPr>
              <w:t>2.4 g</w:t>
            </w:r>
          </w:p>
          <w:p w14:paraId="2D3EC82F" w14:textId="77777777" w:rsidR="00DC3D35" w:rsidRPr="002A30B3" w:rsidRDefault="00DC3D35" w:rsidP="00635FCC">
            <w:pPr>
              <w:jc w:val="center"/>
              <w:rPr>
                <w:rFonts w:ascii="Arial Narrow" w:hAnsi="Arial Narrow"/>
                <w:b/>
                <w:sz w:val="20"/>
              </w:rPr>
            </w:pPr>
            <w:r w:rsidRPr="002A30B3">
              <w:rPr>
                <w:rFonts w:ascii="Arial Narrow" w:hAnsi="Arial Narrow"/>
                <w:b/>
                <w:sz w:val="20"/>
              </w:rPr>
              <w:t>N=162</w:t>
            </w:r>
          </w:p>
        </w:tc>
        <w:tc>
          <w:tcPr>
            <w:tcW w:w="1482" w:type="dxa"/>
          </w:tcPr>
          <w:p w14:paraId="5C928B57" w14:textId="5F20680F" w:rsidR="00DC3D35" w:rsidRPr="002A30B3" w:rsidRDefault="00DC3D35" w:rsidP="00635FCC">
            <w:pPr>
              <w:jc w:val="center"/>
              <w:rPr>
                <w:rFonts w:ascii="Arial Narrow" w:hAnsi="Arial Narrow"/>
                <w:b/>
                <w:sz w:val="20"/>
              </w:rPr>
            </w:pPr>
            <w:r w:rsidRPr="002A30B3">
              <w:rPr>
                <w:rFonts w:ascii="Arial Narrow" w:hAnsi="Arial Narrow"/>
                <w:b/>
                <w:sz w:val="20"/>
              </w:rPr>
              <w:t xml:space="preserve">Asacol </w:t>
            </w:r>
            <w:r w:rsidR="00F66817" w:rsidRPr="002A30B3">
              <w:rPr>
                <w:rFonts w:ascii="Arial Narrow" w:hAnsi="Arial Narrow"/>
                <w:b/>
                <w:sz w:val="20"/>
              </w:rPr>
              <w:t>2.4 g</w:t>
            </w:r>
          </w:p>
          <w:p w14:paraId="7CF86164" w14:textId="77777777" w:rsidR="00DC3D35" w:rsidRPr="002A30B3" w:rsidRDefault="00DC3D35" w:rsidP="00635FCC">
            <w:pPr>
              <w:jc w:val="center"/>
              <w:rPr>
                <w:rFonts w:ascii="Arial Narrow" w:hAnsi="Arial Narrow"/>
                <w:b/>
                <w:sz w:val="20"/>
              </w:rPr>
            </w:pPr>
            <w:r w:rsidRPr="002A30B3">
              <w:rPr>
                <w:rFonts w:ascii="Arial Narrow" w:hAnsi="Arial Narrow"/>
                <w:b/>
                <w:sz w:val="20"/>
              </w:rPr>
              <w:t>N=167</w:t>
            </w:r>
          </w:p>
        </w:tc>
        <w:tc>
          <w:tcPr>
            <w:tcW w:w="1482" w:type="dxa"/>
          </w:tcPr>
          <w:p w14:paraId="5FBD42E5" w14:textId="64F6495C" w:rsidR="00DC3D35" w:rsidRPr="002A30B3" w:rsidRDefault="00DC3D35" w:rsidP="00635FCC">
            <w:pPr>
              <w:jc w:val="center"/>
              <w:rPr>
                <w:rFonts w:ascii="Arial Narrow" w:hAnsi="Arial Narrow"/>
                <w:b/>
                <w:sz w:val="20"/>
              </w:rPr>
            </w:pPr>
            <w:r w:rsidRPr="002A30B3">
              <w:rPr>
                <w:rFonts w:ascii="Arial Narrow" w:hAnsi="Arial Narrow"/>
                <w:b/>
                <w:sz w:val="20"/>
              </w:rPr>
              <w:t xml:space="preserve">Mezavant </w:t>
            </w:r>
            <w:r w:rsidR="00F66817" w:rsidRPr="002A30B3">
              <w:rPr>
                <w:rFonts w:ascii="Arial Narrow" w:hAnsi="Arial Narrow"/>
                <w:b/>
                <w:sz w:val="20"/>
              </w:rPr>
              <w:t>2.4 g</w:t>
            </w:r>
          </w:p>
          <w:p w14:paraId="7ABC37E9" w14:textId="77777777" w:rsidR="00DC3D35" w:rsidRPr="002A30B3" w:rsidRDefault="00DC3D35" w:rsidP="00635FCC">
            <w:pPr>
              <w:jc w:val="center"/>
              <w:rPr>
                <w:rFonts w:ascii="Arial Narrow" w:hAnsi="Arial Narrow"/>
                <w:b/>
                <w:sz w:val="20"/>
              </w:rPr>
            </w:pPr>
            <w:r w:rsidRPr="002A30B3">
              <w:rPr>
                <w:rFonts w:ascii="Arial Narrow" w:hAnsi="Arial Narrow"/>
                <w:b/>
                <w:sz w:val="20"/>
              </w:rPr>
              <w:t>N=156</w:t>
            </w:r>
          </w:p>
        </w:tc>
      </w:tr>
      <w:tr w:rsidR="00DC3D35" w:rsidRPr="002A30B3" w14:paraId="41A00DE7" w14:textId="77777777" w:rsidTr="00DC3D35">
        <w:tc>
          <w:tcPr>
            <w:tcW w:w="2385" w:type="dxa"/>
            <w:vAlign w:val="center"/>
          </w:tcPr>
          <w:p w14:paraId="712CC4C0" w14:textId="77777777" w:rsidR="00DC3D35" w:rsidRPr="002A30B3" w:rsidRDefault="00DC3D35" w:rsidP="00635FCC">
            <w:pPr>
              <w:jc w:val="left"/>
              <w:rPr>
                <w:rFonts w:ascii="Arial Narrow" w:hAnsi="Arial Narrow"/>
                <w:sz w:val="20"/>
              </w:rPr>
            </w:pPr>
            <w:r w:rsidRPr="002A30B3">
              <w:rPr>
                <w:rFonts w:ascii="Arial Narrow" w:hAnsi="Arial Narrow"/>
                <w:sz w:val="20"/>
              </w:rPr>
              <w:t>Clinical and endoscopic remission, n/N (%)</w:t>
            </w:r>
          </w:p>
        </w:tc>
        <w:tc>
          <w:tcPr>
            <w:tcW w:w="1481" w:type="dxa"/>
            <w:vAlign w:val="center"/>
          </w:tcPr>
          <w:p w14:paraId="5D84E798" w14:textId="77777777" w:rsidR="00DC3D35" w:rsidRPr="002A30B3" w:rsidRDefault="00DC3D35" w:rsidP="00635FCC">
            <w:pPr>
              <w:jc w:val="center"/>
              <w:rPr>
                <w:rFonts w:ascii="Arial Narrow" w:hAnsi="Arial Narrow"/>
                <w:sz w:val="20"/>
              </w:rPr>
            </w:pPr>
            <w:r w:rsidRPr="002A30B3">
              <w:rPr>
                <w:rFonts w:ascii="Arial Narrow" w:hAnsi="Arial Narrow"/>
                <w:sz w:val="20"/>
              </w:rPr>
              <w:t>103/169 (60.9)</w:t>
            </w:r>
          </w:p>
        </w:tc>
        <w:tc>
          <w:tcPr>
            <w:tcW w:w="1482" w:type="dxa"/>
            <w:vAlign w:val="center"/>
          </w:tcPr>
          <w:p w14:paraId="4EB59726" w14:textId="77777777" w:rsidR="00DC3D35" w:rsidRPr="002A30B3" w:rsidRDefault="00DC3D35" w:rsidP="00635FCC">
            <w:pPr>
              <w:jc w:val="center"/>
              <w:rPr>
                <w:rFonts w:ascii="Arial Narrow" w:hAnsi="Arial Narrow"/>
                <w:sz w:val="20"/>
              </w:rPr>
            </w:pPr>
            <w:r w:rsidRPr="002A30B3">
              <w:rPr>
                <w:rFonts w:ascii="Arial Narrow" w:hAnsi="Arial Narrow"/>
                <w:sz w:val="20"/>
              </w:rPr>
              <w:t>95/162 (58.6)</w:t>
            </w:r>
          </w:p>
        </w:tc>
        <w:tc>
          <w:tcPr>
            <w:tcW w:w="1482" w:type="dxa"/>
            <w:vAlign w:val="center"/>
          </w:tcPr>
          <w:p w14:paraId="277459FC" w14:textId="77777777" w:rsidR="00DC3D35" w:rsidRPr="002A30B3" w:rsidRDefault="00DC3D35" w:rsidP="00635FCC">
            <w:pPr>
              <w:jc w:val="center"/>
              <w:rPr>
                <w:rFonts w:ascii="Arial Narrow" w:hAnsi="Arial Narrow"/>
                <w:sz w:val="20"/>
              </w:rPr>
            </w:pPr>
            <w:r w:rsidRPr="002A30B3">
              <w:rPr>
                <w:rFonts w:ascii="Arial Narrow" w:hAnsi="Arial Narrow"/>
                <w:sz w:val="20"/>
              </w:rPr>
              <w:t>103/167 (61.7)</w:t>
            </w:r>
          </w:p>
        </w:tc>
        <w:tc>
          <w:tcPr>
            <w:tcW w:w="1482" w:type="dxa"/>
            <w:vAlign w:val="center"/>
          </w:tcPr>
          <w:p w14:paraId="35ACCF78" w14:textId="77777777" w:rsidR="00DC3D35" w:rsidRPr="002A30B3" w:rsidRDefault="00DC3D35" w:rsidP="00635FCC">
            <w:pPr>
              <w:jc w:val="center"/>
              <w:rPr>
                <w:rFonts w:ascii="Arial Narrow" w:hAnsi="Arial Narrow"/>
                <w:sz w:val="20"/>
              </w:rPr>
            </w:pPr>
            <w:r w:rsidRPr="002A30B3">
              <w:rPr>
                <w:rFonts w:ascii="Arial Narrow" w:hAnsi="Arial Narrow"/>
                <w:sz w:val="20"/>
              </w:rPr>
              <w:t>95/156 (60.9)</w:t>
            </w:r>
          </w:p>
        </w:tc>
      </w:tr>
      <w:tr w:rsidR="00DC3D35" w:rsidRPr="002A30B3" w14:paraId="289D4442" w14:textId="77777777" w:rsidTr="00DC3D35">
        <w:tc>
          <w:tcPr>
            <w:tcW w:w="2385" w:type="dxa"/>
          </w:tcPr>
          <w:p w14:paraId="3442328E" w14:textId="7ED1E94C" w:rsidR="00DC3D35" w:rsidRPr="002A30B3" w:rsidRDefault="00DC3D35" w:rsidP="00635FCC">
            <w:pPr>
              <w:jc w:val="left"/>
              <w:rPr>
                <w:rFonts w:ascii="Arial Narrow" w:hAnsi="Arial Narrow"/>
                <w:sz w:val="20"/>
              </w:rPr>
            </w:pPr>
            <w:r w:rsidRPr="002A30B3">
              <w:rPr>
                <w:rFonts w:ascii="Arial Narrow" w:hAnsi="Arial Narrow"/>
                <w:sz w:val="20"/>
              </w:rPr>
              <w:t>RD (95% CI)</w:t>
            </w:r>
          </w:p>
        </w:tc>
        <w:tc>
          <w:tcPr>
            <w:tcW w:w="2963" w:type="dxa"/>
            <w:gridSpan w:val="2"/>
          </w:tcPr>
          <w:p w14:paraId="6A9A510B" w14:textId="6B2BE6BD" w:rsidR="00DC3D35" w:rsidRPr="002A30B3" w:rsidRDefault="00DC3D35" w:rsidP="00635FCC">
            <w:pPr>
              <w:jc w:val="center"/>
              <w:rPr>
                <w:rFonts w:ascii="Arial Narrow" w:hAnsi="Arial Narrow"/>
                <w:sz w:val="20"/>
              </w:rPr>
            </w:pPr>
            <w:r w:rsidRPr="002A30B3">
              <w:rPr>
                <w:rFonts w:ascii="Arial Narrow" w:hAnsi="Arial Narrow"/>
                <w:sz w:val="20"/>
              </w:rPr>
              <w:t>2.3</w:t>
            </w:r>
            <w:r w:rsidR="00D612FA" w:rsidRPr="002A30B3">
              <w:rPr>
                <w:rFonts w:ascii="Arial Narrow" w:hAnsi="Arial Narrow"/>
                <w:sz w:val="20"/>
              </w:rPr>
              <w:t>%</w:t>
            </w:r>
            <w:r w:rsidRPr="002A30B3">
              <w:rPr>
                <w:rFonts w:ascii="Arial Narrow" w:hAnsi="Arial Narrow"/>
                <w:sz w:val="20"/>
              </w:rPr>
              <w:t xml:space="preserve"> (-8.3, 12.9)</w:t>
            </w:r>
          </w:p>
        </w:tc>
        <w:tc>
          <w:tcPr>
            <w:tcW w:w="2964" w:type="dxa"/>
            <w:gridSpan w:val="2"/>
          </w:tcPr>
          <w:p w14:paraId="3D23FC92" w14:textId="0E3FCCDC" w:rsidR="00DC3D35" w:rsidRPr="002A30B3" w:rsidRDefault="00DC3D35" w:rsidP="00635FCC">
            <w:pPr>
              <w:jc w:val="center"/>
              <w:rPr>
                <w:rFonts w:ascii="Arial Narrow" w:hAnsi="Arial Narrow"/>
                <w:i/>
                <w:sz w:val="20"/>
              </w:rPr>
            </w:pPr>
            <w:r w:rsidRPr="002A30B3">
              <w:rPr>
                <w:rFonts w:ascii="Arial Narrow" w:hAnsi="Arial Narrow"/>
                <w:i/>
                <w:sz w:val="20"/>
              </w:rPr>
              <w:t>0.8</w:t>
            </w:r>
            <w:r w:rsidR="00D612FA" w:rsidRPr="002A30B3">
              <w:rPr>
                <w:rFonts w:ascii="Arial Narrow" w:hAnsi="Arial Narrow"/>
                <w:i/>
                <w:sz w:val="20"/>
              </w:rPr>
              <w:t>%</w:t>
            </w:r>
            <w:r w:rsidRPr="002A30B3">
              <w:rPr>
                <w:rFonts w:ascii="Arial Narrow" w:hAnsi="Arial Narrow"/>
                <w:i/>
                <w:sz w:val="20"/>
              </w:rPr>
              <w:t xml:space="preserve"> (-9.9, 11.4)</w:t>
            </w:r>
          </w:p>
        </w:tc>
      </w:tr>
      <w:tr w:rsidR="00DC3D35" w:rsidRPr="002A30B3" w14:paraId="0CE2417A" w14:textId="77777777" w:rsidTr="00DC3D35">
        <w:tc>
          <w:tcPr>
            <w:tcW w:w="2385" w:type="dxa"/>
            <w:tcBorders>
              <w:bottom w:val="single" w:sz="12" w:space="0" w:color="auto"/>
            </w:tcBorders>
          </w:tcPr>
          <w:p w14:paraId="34505BF0" w14:textId="77777777" w:rsidR="00DC3D35" w:rsidRPr="002A30B3" w:rsidRDefault="00DC3D35" w:rsidP="00635FCC">
            <w:pPr>
              <w:jc w:val="left"/>
              <w:rPr>
                <w:rFonts w:ascii="Arial Narrow" w:hAnsi="Arial Narrow"/>
                <w:sz w:val="20"/>
              </w:rPr>
            </w:pPr>
            <w:r w:rsidRPr="002A30B3">
              <w:rPr>
                <w:rFonts w:ascii="Arial Narrow" w:hAnsi="Arial Narrow"/>
                <w:sz w:val="20"/>
              </w:rPr>
              <w:t>RR (95% CI)</w:t>
            </w:r>
          </w:p>
        </w:tc>
        <w:tc>
          <w:tcPr>
            <w:tcW w:w="2963" w:type="dxa"/>
            <w:gridSpan w:val="2"/>
            <w:tcBorders>
              <w:bottom w:val="single" w:sz="12" w:space="0" w:color="auto"/>
            </w:tcBorders>
          </w:tcPr>
          <w:p w14:paraId="09E3D65D" w14:textId="77777777" w:rsidR="00DC3D35" w:rsidRPr="002A30B3" w:rsidRDefault="00DC3D35" w:rsidP="00635FCC">
            <w:pPr>
              <w:jc w:val="center"/>
              <w:rPr>
                <w:rFonts w:ascii="Arial Narrow" w:hAnsi="Arial Narrow"/>
                <w:sz w:val="20"/>
              </w:rPr>
            </w:pPr>
            <w:r w:rsidRPr="002A30B3">
              <w:rPr>
                <w:rFonts w:ascii="Arial Narrow" w:hAnsi="Arial Narrow"/>
                <w:sz w:val="20"/>
              </w:rPr>
              <w:t>1.04 (0.87, 1.24)</w:t>
            </w:r>
          </w:p>
        </w:tc>
        <w:tc>
          <w:tcPr>
            <w:tcW w:w="2964" w:type="dxa"/>
            <w:gridSpan w:val="2"/>
          </w:tcPr>
          <w:p w14:paraId="04A36EE7" w14:textId="77777777" w:rsidR="00DC3D35" w:rsidRPr="002A30B3" w:rsidRDefault="00DC3D35" w:rsidP="00635FCC">
            <w:pPr>
              <w:jc w:val="center"/>
              <w:rPr>
                <w:rFonts w:ascii="Arial Narrow" w:hAnsi="Arial Narrow"/>
                <w:i/>
                <w:sz w:val="20"/>
              </w:rPr>
            </w:pPr>
            <w:r w:rsidRPr="002A30B3">
              <w:rPr>
                <w:rFonts w:ascii="Arial Narrow" w:hAnsi="Arial Narrow"/>
                <w:i/>
                <w:sz w:val="20"/>
              </w:rPr>
              <w:t>1.01 (0.85, 1.20)</w:t>
            </w:r>
          </w:p>
        </w:tc>
      </w:tr>
      <w:tr w:rsidR="00DC3D35" w:rsidRPr="002A30B3" w14:paraId="5FFFC4E8" w14:textId="77777777" w:rsidTr="00DC3D35">
        <w:tc>
          <w:tcPr>
            <w:tcW w:w="2385" w:type="dxa"/>
            <w:tcBorders>
              <w:top w:val="single" w:sz="12" w:space="0" w:color="auto"/>
            </w:tcBorders>
          </w:tcPr>
          <w:p w14:paraId="5EF6A994" w14:textId="77777777" w:rsidR="00DC3D35" w:rsidRPr="002A30B3" w:rsidRDefault="00DC3D35" w:rsidP="00635FCC">
            <w:pPr>
              <w:jc w:val="left"/>
              <w:rPr>
                <w:rFonts w:ascii="Arial Narrow" w:hAnsi="Arial Narrow"/>
                <w:sz w:val="20"/>
              </w:rPr>
            </w:pPr>
            <w:r w:rsidRPr="002A30B3">
              <w:rPr>
                <w:rFonts w:ascii="Arial Narrow" w:hAnsi="Arial Narrow"/>
                <w:sz w:val="20"/>
              </w:rPr>
              <w:t>Clinical remission, n/N (%)</w:t>
            </w:r>
          </w:p>
        </w:tc>
        <w:tc>
          <w:tcPr>
            <w:tcW w:w="1481" w:type="dxa"/>
            <w:tcBorders>
              <w:top w:val="single" w:sz="12" w:space="0" w:color="auto"/>
            </w:tcBorders>
          </w:tcPr>
          <w:p w14:paraId="37D47ED0" w14:textId="77777777" w:rsidR="00DC3D35" w:rsidRPr="002A30B3" w:rsidRDefault="00DC3D35" w:rsidP="00635FCC">
            <w:pPr>
              <w:jc w:val="center"/>
              <w:rPr>
                <w:rFonts w:ascii="Arial Narrow" w:hAnsi="Arial Narrow"/>
                <w:sz w:val="20"/>
              </w:rPr>
            </w:pPr>
            <w:r w:rsidRPr="002A30B3">
              <w:rPr>
                <w:rFonts w:ascii="Arial Narrow" w:hAnsi="Arial Narrow"/>
                <w:sz w:val="20"/>
              </w:rPr>
              <w:t>110/169 (65.1)</w:t>
            </w:r>
          </w:p>
        </w:tc>
        <w:tc>
          <w:tcPr>
            <w:tcW w:w="1482" w:type="dxa"/>
            <w:tcBorders>
              <w:top w:val="single" w:sz="12" w:space="0" w:color="auto"/>
            </w:tcBorders>
          </w:tcPr>
          <w:p w14:paraId="6E11C88D" w14:textId="77777777" w:rsidR="00DC3D35" w:rsidRPr="002A30B3" w:rsidRDefault="00DC3D35" w:rsidP="00635FCC">
            <w:pPr>
              <w:jc w:val="center"/>
              <w:rPr>
                <w:rFonts w:ascii="Arial Narrow" w:hAnsi="Arial Narrow"/>
                <w:sz w:val="20"/>
              </w:rPr>
            </w:pPr>
            <w:r w:rsidRPr="002A30B3">
              <w:rPr>
                <w:rFonts w:ascii="Arial Narrow" w:hAnsi="Arial Narrow"/>
                <w:sz w:val="20"/>
              </w:rPr>
              <w:t>106/162 (65.4)</w:t>
            </w:r>
          </w:p>
        </w:tc>
        <w:tc>
          <w:tcPr>
            <w:tcW w:w="1482" w:type="dxa"/>
            <w:tcBorders>
              <w:top w:val="single" w:sz="12" w:space="0" w:color="auto"/>
            </w:tcBorders>
          </w:tcPr>
          <w:p w14:paraId="3B47C501" w14:textId="77777777" w:rsidR="00DC3D35" w:rsidRPr="002A30B3" w:rsidRDefault="00DC3D35" w:rsidP="00635FCC">
            <w:pPr>
              <w:jc w:val="center"/>
              <w:rPr>
                <w:rFonts w:ascii="Arial Narrow" w:hAnsi="Arial Narrow"/>
                <w:sz w:val="20"/>
              </w:rPr>
            </w:pPr>
            <w:r w:rsidRPr="002A30B3">
              <w:rPr>
                <w:rFonts w:ascii="Arial Narrow" w:hAnsi="Arial Narrow"/>
                <w:sz w:val="20"/>
              </w:rPr>
              <w:t>110/167 (65.9)</w:t>
            </w:r>
          </w:p>
        </w:tc>
        <w:tc>
          <w:tcPr>
            <w:tcW w:w="1482" w:type="dxa"/>
            <w:tcBorders>
              <w:top w:val="single" w:sz="12" w:space="0" w:color="auto"/>
            </w:tcBorders>
          </w:tcPr>
          <w:p w14:paraId="4B5D93E6" w14:textId="77777777" w:rsidR="00DC3D35" w:rsidRPr="002A30B3" w:rsidRDefault="00DC3D35" w:rsidP="00635FCC">
            <w:pPr>
              <w:jc w:val="center"/>
              <w:rPr>
                <w:rFonts w:ascii="Arial Narrow" w:hAnsi="Arial Narrow"/>
                <w:sz w:val="20"/>
              </w:rPr>
            </w:pPr>
            <w:r w:rsidRPr="002A30B3">
              <w:rPr>
                <w:rFonts w:ascii="Arial Narrow" w:hAnsi="Arial Narrow"/>
                <w:sz w:val="20"/>
              </w:rPr>
              <w:t>106/156 (68.0)</w:t>
            </w:r>
          </w:p>
        </w:tc>
      </w:tr>
      <w:tr w:rsidR="00DC3D35" w:rsidRPr="002A30B3" w14:paraId="6D56FADA" w14:textId="77777777" w:rsidTr="00DC3D35">
        <w:tc>
          <w:tcPr>
            <w:tcW w:w="2385" w:type="dxa"/>
          </w:tcPr>
          <w:p w14:paraId="7231D6C3" w14:textId="55EFF58E" w:rsidR="00DC3D35" w:rsidRPr="002A30B3" w:rsidRDefault="00DC3D35" w:rsidP="00D612FA">
            <w:pPr>
              <w:jc w:val="left"/>
              <w:rPr>
                <w:rFonts w:ascii="Arial Narrow" w:hAnsi="Arial Narrow"/>
                <w:sz w:val="20"/>
              </w:rPr>
            </w:pPr>
            <w:r w:rsidRPr="002A30B3">
              <w:rPr>
                <w:rFonts w:ascii="Arial Narrow" w:hAnsi="Arial Narrow"/>
                <w:sz w:val="20"/>
              </w:rPr>
              <w:t>RD (95% CI)</w:t>
            </w:r>
          </w:p>
        </w:tc>
        <w:tc>
          <w:tcPr>
            <w:tcW w:w="2963" w:type="dxa"/>
            <w:gridSpan w:val="2"/>
          </w:tcPr>
          <w:p w14:paraId="7D08F8E9" w14:textId="03FF1095" w:rsidR="00DC3D35" w:rsidRPr="002A30B3" w:rsidRDefault="00DC3D35" w:rsidP="00635FCC">
            <w:pPr>
              <w:jc w:val="center"/>
              <w:rPr>
                <w:rFonts w:ascii="Arial Narrow" w:hAnsi="Arial Narrow"/>
                <w:sz w:val="20"/>
              </w:rPr>
            </w:pPr>
            <w:r w:rsidRPr="002A30B3">
              <w:rPr>
                <w:rFonts w:ascii="Arial Narrow" w:hAnsi="Arial Narrow"/>
                <w:sz w:val="20"/>
              </w:rPr>
              <w:t>-0.3</w:t>
            </w:r>
            <w:r w:rsidR="00D612FA" w:rsidRPr="002A30B3">
              <w:rPr>
                <w:rFonts w:ascii="Arial Narrow" w:hAnsi="Arial Narrow"/>
                <w:sz w:val="20"/>
              </w:rPr>
              <w:t>%</w:t>
            </w:r>
            <w:r w:rsidRPr="002A30B3">
              <w:rPr>
                <w:rFonts w:ascii="Arial Narrow" w:hAnsi="Arial Narrow"/>
                <w:sz w:val="20"/>
              </w:rPr>
              <w:t xml:space="preserve"> (-10.6, 9.9)</w:t>
            </w:r>
          </w:p>
        </w:tc>
        <w:tc>
          <w:tcPr>
            <w:tcW w:w="2964" w:type="dxa"/>
            <w:gridSpan w:val="2"/>
          </w:tcPr>
          <w:p w14:paraId="5C420F6F" w14:textId="77777777" w:rsidR="00DC3D35" w:rsidRPr="002A30B3" w:rsidRDefault="00DC3D35" w:rsidP="00635FCC">
            <w:pPr>
              <w:jc w:val="center"/>
              <w:rPr>
                <w:rFonts w:ascii="Arial Narrow" w:hAnsi="Arial Narrow"/>
                <w:i/>
                <w:sz w:val="20"/>
              </w:rPr>
            </w:pPr>
            <w:r w:rsidRPr="002A30B3">
              <w:rPr>
                <w:rFonts w:ascii="Arial Narrow" w:hAnsi="Arial Narrow"/>
                <w:i/>
                <w:sz w:val="20"/>
              </w:rPr>
              <w:t>-2.1% (-12.3, 8.2)</w:t>
            </w:r>
          </w:p>
        </w:tc>
      </w:tr>
      <w:tr w:rsidR="00DC3D35" w:rsidRPr="002A30B3" w14:paraId="2F578755" w14:textId="77777777" w:rsidTr="00DC3D35">
        <w:tc>
          <w:tcPr>
            <w:tcW w:w="2385" w:type="dxa"/>
          </w:tcPr>
          <w:p w14:paraId="3CE25BC1" w14:textId="77777777" w:rsidR="00DC3D35" w:rsidRPr="002A30B3" w:rsidRDefault="00DC3D35" w:rsidP="00635FCC">
            <w:pPr>
              <w:jc w:val="left"/>
              <w:rPr>
                <w:rFonts w:ascii="Arial Narrow" w:hAnsi="Arial Narrow"/>
                <w:sz w:val="20"/>
              </w:rPr>
            </w:pPr>
            <w:r w:rsidRPr="002A30B3">
              <w:rPr>
                <w:rFonts w:ascii="Arial Narrow" w:hAnsi="Arial Narrow"/>
                <w:sz w:val="20"/>
              </w:rPr>
              <w:t>RR (95% CI)</w:t>
            </w:r>
          </w:p>
        </w:tc>
        <w:tc>
          <w:tcPr>
            <w:tcW w:w="2963" w:type="dxa"/>
            <w:gridSpan w:val="2"/>
          </w:tcPr>
          <w:p w14:paraId="52E6DDF1" w14:textId="77777777" w:rsidR="00DC3D35" w:rsidRPr="002A30B3" w:rsidRDefault="00DC3D35" w:rsidP="00635FCC">
            <w:pPr>
              <w:jc w:val="center"/>
              <w:rPr>
                <w:rFonts w:ascii="Arial Narrow" w:hAnsi="Arial Narrow"/>
                <w:sz w:val="20"/>
              </w:rPr>
            </w:pPr>
            <w:r w:rsidRPr="002A30B3">
              <w:rPr>
                <w:rFonts w:ascii="Arial Narrow" w:hAnsi="Arial Narrow"/>
                <w:sz w:val="20"/>
              </w:rPr>
              <w:t>0.99 (0.85, 1.16)</w:t>
            </w:r>
          </w:p>
        </w:tc>
        <w:tc>
          <w:tcPr>
            <w:tcW w:w="2964" w:type="dxa"/>
            <w:gridSpan w:val="2"/>
          </w:tcPr>
          <w:p w14:paraId="7DDD56CA" w14:textId="77777777" w:rsidR="00DC3D35" w:rsidRPr="002A30B3" w:rsidRDefault="00DC3D35" w:rsidP="00635FCC">
            <w:pPr>
              <w:jc w:val="center"/>
              <w:rPr>
                <w:rFonts w:ascii="Arial Narrow" w:hAnsi="Arial Narrow"/>
                <w:i/>
                <w:sz w:val="20"/>
              </w:rPr>
            </w:pPr>
            <w:r w:rsidRPr="002A30B3">
              <w:rPr>
                <w:rFonts w:ascii="Arial Narrow" w:hAnsi="Arial Narrow"/>
                <w:i/>
                <w:sz w:val="20"/>
              </w:rPr>
              <w:t>0.97 (0.83, 1.13)</w:t>
            </w:r>
          </w:p>
        </w:tc>
      </w:tr>
    </w:tbl>
    <w:p w14:paraId="4BEF9CC6" w14:textId="3159C054" w:rsidR="00DC3D35" w:rsidRPr="002A30B3" w:rsidRDefault="00F66A54" w:rsidP="00DC3D35">
      <w:pPr>
        <w:pStyle w:val="TableFooter"/>
        <w:ind w:firstLine="720"/>
      </w:pPr>
      <w:r w:rsidRPr="002A30B3">
        <w:t>Source: Table 22, p3</w:t>
      </w:r>
      <w:r w:rsidR="00F90681" w:rsidRPr="002A30B3">
        <w:t>8</w:t>
      </w:r>
      <w:r w:rsidR="00DC3D35" w:rsidRPr="002A30B3">
        <w:t xml:space="preserve"> of the submission and Prantera 2009 publication</w:t>
      </w:r>
    </w:p>
    <w:p w14:paraId="425E2A0D" w14:textId="77777777" w:rsidR="00DC3D35" w:rsidRPr="002A30B3" w:rsidRDefault="00DC3D35" w:rsidP="00DC3D35">
      <w:pPr>
        <w:pStyle w:val="TableFooter"/>
        <w:ind w:firstLine="720"/>
      </w:pPr>
      <w:r w:rsidRPr="002A30B3">
        <w:t>Abbreviations: CI, confidence interval; ITT, intent-to-treat; mITT, modified intent-to-treat; RD, risk difference; RR, relative risk</w:t>
      </w:r>
    </w:p>
    <w:p w14:paraId="3180118F" w14:textId="77777777" w:rsidR="00DC3D35" w:rsidRPr="002A30B3" w:rsidRDefault="00DC3D35" w:rsidP="00DC3D35">
      <w:pPr>
        <w:pStyle w:val="TableFooter"/>
        <w:ind w:firstLine="720"/>
      </w:pPr>
      <w:r w:rsidRPr="002A30B3">
        <w:rPr>
          <w:vertAlign w:val="superscript"/>
        </w:rPr>
        <w:t>a</w:t>
      </w:r>
      <w:r w:rsidRPr="002A30B3">
        <w:t>Post-hoc analysis using ITT/safety population presented in the submission</w:t>
      </w:r>
    </w:p>
    <w:p w14:paraId="50E9E742" w14:textId="25B265F7" w:rsidR="002F3D5B" w:rsidRPr="002A30B3" w:rsidRDefault="00DC3D35" w:rsidP="00DC3D35">
      <w:pPr>
        <w:pStyle w:val="TableFooter"/>
        <w:ind w:firstLine="720"/>
        <w:rPr>
          <w:rStyle w:val="CommentReference"/>
          <w:sz w:val="18"/>
          <w:szCs w:val="20"/>
        </w:rPr>
      </w:pPr>
      <w:r w:rsidRPr="002A30B3">
        <w:t xml:space="preserve">Results in </w:t>
      </w:r>
      <w:r w:rsidR="00591078" w:rsidRPr="002A30B3">
        <w:t xml:space="preserve">italics </w:t>
      </w:r>
      <w:r w:rsidRPr="002A30B3">
        <w:t>were calculated during the evaluation using data from the Prantera 2009 publication</w:t>
      </w:r>
    </w:p>
    <w:p w14:paraId="6F414B39" w14:textId="77777777" w:rsidR="00DC3D35" w:rsidRPr="002A30B3" w:rsidRDefault="00DC3D35" w:rsidP="00B60939">
      <w:pPr>
        <w:rPr>
          <w:szCs w:val="22"/>
        </w:rPr>
      </w:pPr>
    </w:p>
    <w:p w14:paraId="61538CF8" w14:textId="697A807C" w:rsidR="00D0192B" w:rsidRPr="002A30B3" w:rsidRDefault="00451171" w:rsidP="0085116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The submission claimed </w:t>
      </w:r>
      <w:r w:rsidR="0083519A" w:rsidRPr="002A30B3">
        <w:rPr>
          <w:rStyle w:val="CommentReference"/>
          <w:rFonts w:ascii="Arial" w:hAnsi="Arial"/>
          <w:b w:val="0"/>
          <w:sz w:val="22"/>
          <w:szCs w:val="22"/>
        </w:rPr>
        <w:t>noninferiority</w:t>
      </w:r>
      <w:r w:rsidRPr="002A30B3">
        <w:rPr>
          <w:rStyle w:val="CommentReference"/>
          <w:rFonts w:ascii="Arial" w:hAnsi="Arial"/>
          <w:b w:val="0"/>
          <w:sz w:val="22"/>
          <w:szCs w:val="22"/>
        </w:rPr>
        <w:t xml:space="preserve"> between Asacol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and Mezavant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for clinical and endoscopic remission based on the lower bound of the 95% confidence interval of -8.3% that </w:t>
      </w:r>
      <w:r w:rsidR="00D0192B" w:rsidRPr="002A30B3">
        <w:rPr>
          <w:rStyle w:val="CommentReference"/>
          <w:rFonts w:ascii="Arial" w:hAnsi="Arial"/>
          <w:b w:val="0"/>
          <w:sz w:val="22"/>
          <w:szCs w:val="22"/>
        </w:rPr>
        <w:t>did not exceed</w:t>
      </w:r>
      <w:r w:rsidRPr="002A30B3">
        <w:rPr>
          <w:rStyle w:val="CommentReference"/>
          <w:rFonts w:ascii="Arial" w:hAnsi="Arial"/>
          <w:b w:val="0"/>
          <w:sz w:val="22"/>
          <w:szCs w:val="22"/>
        </w:rPr>
        <w:t xml:space="preserve"> -10%. </w:t>
      </w:r>
      <w:r w:rsidR="00500781" w:rsidRPr="002A30B3">
        <w:rPr>
          <w:rStyle w:val="CommentReference"/>
          <w:rFonts w:ascii="Arial" w:hAnsi="Arial"/>
          <w:b w:val="0"/>
          <w:sz w:val="22"/>
          <w:szCs w:val="22"/>
        </w:rPr>
        <w:t xml:space="preserve">The choice of a 10% </w:t>
      </w:r>
      <w:r w:rsidR="0083519A" w:rsidRPr="002A30B3">
        <w:rPr>
          <w:rStyle w:val="CommentReference"/>
          <w:rFonts w:ascii="Arial" w:hAnsi="Arial"/>
          <w:b w:val="0"/>
          <w:sz w:val="22"/>
          <w:szCs w:val="22"/>
        </w:rPr>
        <w:t>noninferiority</w:t>
      </w:r>
      <w:r w:rsidR="00500781" w:rsidRPr="002A30B3">
        <w:rPr>
          <w:rStyle w:val="CommentReference"/>
          <w:rFonts w:ascii="Arial" w:hAnsi="Arial"/>
          <w:b w:val="0"/>
          <w:sz w:val="22"/>
          <w:szCs w:val="22"/>
        </w:rPr>
        <w:t xml:space="preserve"> margin was based on at least half the demonstrated superiority of mesalazine in the Mesalamine Study Group trial (Hanauer 1996). In the trial, the difference in endoscopic remission rates between delayed-release mesalazine </w:t>
      </w:r>
      <w:r w:rsidR="00F66817" w:rsidRPr="002A30B3">
        <w:rPr>
          <w:rStyle w:val="CommentReference"/>
          <w:rFonts w:ascii="Arial" w:hAnsi="Arial"/>
          <w:b w:val="0"/>
          <w:sz w:val="22"/>
          <w:szCs w:val="22"/>
        </w:rPr>
        <w:t>1.6 g</w:t>
      </w:r>
      <w:r w:rsidR="00500781" w:rsidRPr="002A30B3">
        <w:rPr>
          <w:rStyle w:val="CommentReference"/>
          <w:rFonts w:ascii="Arial" w:hAnsi="Arial"/>
          <w:b w:val="0"/>
          <w:sz w:val="22"/>
          <w:szCs w:val="22"/>
        </w:rPr>
        <w:t xml:space="preserve"> per day versus placebo was 21.8% (95% CI: 7.6%, 36.1%). </w:t>
      </w:r>
      <w:r w:rsidR="0085116B" w:rsidRPr="002A30B3">
        <w:rPr>
          <w:rStyle w:val="CommentReference"/>
          <w:rFonts w:ascii="Arial" w:hAnsi="Arial"/>
          <w:b w:val="0"/>
          <w:sz w:val="22"/>
          <w:szCs w:val="22"/>
        </w:rPr>
        <w:t xml:space="preserve">The ESC </w:t>
      </w:r>
      <w:r w:rsidR="000659E2" w:rsidRPr="002A30B3">
        <w:rPr>
          <w:rStyle w:val="CommentReference"/>
          <w:rFonts w:ascii="Arial" w:hAnsi="Arial"/>
          <w:b w:val="0"/>
          <w:sz w:val="22"/>
          <w:szCs w:val="22"/>
        </w:rPr>
        <w:t>advised</w:t>
      </w:r>
      <w:r w:rsidR="0085116B" w:rsidRPr="002A30B3">
        <w:rPr>
          <w:rStyle w:val="CommentReference"/>
          <w:rFonts w:ascii="Arial" w:hAnsi="Arial"/>
          <w:b w:val="0"/>
          <w:sz w:val="22"/>
          <w:szCs w:val="22"/>
        </w:rPr>
        <w:t xml:space="preserve"> that i</w:t>
      </w:r>
      <w:r w:rsidR="00500781" w:rsidRPr="002A30B3">
        <w:rPr>
          <w:rStyle w:val="CommentReference"/>
          <w:rFonts w:ascii="Arial" w:hAnsi="Arial"/>
          <w:b w:val="0"/>
          <w:sz w:val="22"/>
          <w:szCs w:val="22"/>
        </w:rPr>
        <w:t xml:space="preserve">t was unclear whether the chosen </w:t>
      </w:r>
      <w:r w:rsidR="0083519A" w:rsidRPr="002A30B3">
        <w:rPr>
          <w:rStyle w:val="CommentReference"/>
          <w:rFonts w:ascii="Arial" w:hAnsi="Arial"/>
          <w:b w:val="0"/>
          <w:sz w:val="22"/>
          <w:szCs w:val="22"/>
        </w:rPr>
        <w:t>noninferiority</w:t>
      </w:r>
      <w:r w:rsidR="00500781" w:rsidRPr="002A30B3">
        <w:rPr>
          <w:rStyle w:val="CommentReference"/>
          <w:rFonts w:ascii="Arial" w:hAnsi="Arial"/>
          <w:b w:val="0"/>
          <w:sz w:val="22"/>
          <w:szCs w:val="22"/>
        </w:rPr>
        <w:t xml:space="preserve"> margin was representative of a minimal clinically important difference.</w:t>
      </w:r>
    </w:p>
    <w:p w14:paraId="2301520D" w14:textId="77777777" w:rsidR="00451171" w:rsidRPr="002A30B3" w:rsidRDefault="00451171" w:rsidP="00451171">
      <w:pPr>
        <w:pStyle w:val="ListParagraph"/>
        <w:widowControl/>
        <w:rPr>
          <w:rStyle w:val="CommentReference"/>
          <w:rFonts w:ascii="Arial" w:hAnsi="Arial"/>
          <w:b w:val="0"/>
          <w:sz w:val="22"/>
          <w:szCs w:val="22"/>
        </w:rPr>
      </w:pPr>
    </w:p>
    <w:p w14:paraId="594C3D7F" w14:textId="5C75B088" w:rsidR="00DF54C3" w:rsidRPr="00DF54C3" w:rsidRDefault="00451171" w:rsidP="00DF54C3">
      <w:pPr>
        <w:pStyle w:val="ListParagraph"/>
        <w:widowControl/>
        <w:numPr>
          <w:ilvl w:val="1"/>
          <w:numId w:val="5"/>
        </w:numPr>
        <w:rPr>
          <w:rStyle w:val="CommentReference"/>
          <w:rFonts w:ascii="Arial" w:hAnsi="Arial"/>
          <w:b w:val="0"/>
          <w:sz w:val="22"/>
          <w:szCs w:val="22"/>
        </w:rPr>
      </w:pPr>
      <w:r w:rsidRPr="00DF54C3">
        <w:rPr>
          <w:rStyle w:val="CommentReference"/>
          <w:rFonts w:ascii="Arial" w:hAnsi="Arial"/>
          <w:b w:val="0"/>
          <w:sz w:val="22"/>
          <w:szCs w:val="22"/>
        </w:rPr>
        <w:t xml:space="preserve">The difference in clinical remission rates between Asacol </w:t>
      </w:r>
      <w:r w:rsidR="00F66817" w:rsidRPr="00DF54C3">
        <w:rPr>
          <w:rStyle w:val="CommentReference"/>
          <w:rFonts w:ascii="Arial" w:hAnsi="Arial"/>
          <w:b w:val="0"/>
          <w:sz w:val="22"/>
          <w:szCs w:val="22"/>
        </w:rPr>
        <w:t>2.4 g</w:t>
      </w:r>
      <w:r w:rsidRPr="00DF54C3">
        <w:rPr>
          <w:rStyle w:val="CommentReference"/>
          <w:rFonts w:ascii="Arial" w:hAnsi="Arial"/>
          <w:b w:val="0"/>
          <w:sz w:val="22"/>
          <w:szCs w:val="22"/>
        </w:rPr>
        <w:t xml:space="preserve"> and Mezavant </w:t>
      </w:r>
      <w:r w:rsidR="00F66817" w:rsidRPr="00DF54C3">
        <w:rPr>
          <w:rStyle w:val="CommentReference"/>
          <w:rFonts w:ascii="Arial" w:hAnsi="Arial"/>
          <w:b w:val="0"/>
          <w:sz w:val="22"/>
          <w:szCs w:val="22"/>
        </w:rPr>
        <w:t>2.4 g</w:t>
      </w:r>
      <w:r w:rsidRPr="00DF54C3">
        <w:rPr>
          <w:rStyle w:val="CommentReference"/>
          <w:rFonts w:ascii="Arial" w:hAnsi="Arial"/>
          <w:b w:val="0"/>
          <w:sz w:val="22"/>
          <w:szCs w:val="22"/>
        </w:rPr>
        <w:t xml:space="preserve"> arms </w:t>
      </w:r>
      <w:r w:rsidR="00796BD6" w:rsidRPr="00DF54C3">
        <w:rPr>
          <w:rStyle w:val="CommentReference"/>
          <w:rFonts w:ascii="Arial" w:hAnsi="Arial"/>
          <w:b w:val="0"/>
          <w:sz w:val="22"/>
          <w:szCs w:val="22"/>
        </w:rPr>
        <w:t xml:space="preserve">was </w:t>
      </w:r>
      <w:r w:rsidRPr="00DF54C3">
        <w:rPr>
          <w:rStyle w:val="CommentReference"/>
          <w:rFonts w:ascii="Arial" w:hAnsi="Arial"/>
          <w:b w:val="0"/>
          <w:sz w:val="22"/>
          <w:szCs w:val="22"/>
        </w:rPr>
        <w:t xml:space="preserve">not statistically significant based on the post-hoc analysis results (RD </w:t>
      </w:r>
      <w:r w:rsidR="00591078" w:rsidRPr="00DF54C3">
        <w:rPr>
          <w:rStyle w:val="CommentReference"/>
          <w:rFonts w:ascii="Arial" w:hAnsi="Arial"/>
          <w:b w:val="0"/>
          <w:sz w:val="22"/>
          <w:szCs w:val="22"/>
        </w:rPr>
        <w:noBreakHyphen/>
      </w:r>
      <w:r w:rsidRPr="00DF54C3">
        <w:rPr>
          <w:rStyle w:val="CommentReference"/>
          <w:rFonts w:ascii="Arial" w:hAnsi="Arial"/>
          <w:b w:val="0"/>
          <w:sz w:val="22"/>
          <w:szCs w:val="22"/>
        </w:rPr>
        <w:t xml:space="preserve">0.3%, 95% CI -10.6%, 9.9%). </w:t>
      </w:r>
      <w:r w:rsidR="00E3460B" w:rsidRPr="00DF54C3">
        <w:rPr>
          <w:rStyle w:val="CommentReference"/>
          <w:rFonts w:ascii="Arial" w:hAnsi="Arial"/>
          <w:b w:val="0"/>
          <w:sz w:val="22"/>
          <w:szCs w:val="22"/>
        </w:rPr>
        <w:t>The primary analysis reported a lower bound for the 95% confidence interval that exceeded -10% but remained less than -15% (RD 2.1%, 95% CI -12.3%, 8.2%).</w:t>
      </w:r>
    </w:p>
    <w:p w14:paraId="1D480582" w14:textId="77777777" w:rsidR="00DF54C3" w:rsidRDefault="00DF54C3" w:rsidP="00DF54C3">
      <w:pPr>
        <w:pStyle w:val="ListParagraph"/>
        <w:widowControl/>
        <w:rPr>
          <w:rStyle w:val="CommentReference"/>
          <w:rFonts w:ascii="Arial" w:hAnsi="Arial"/>
          <w:b w:val="0"/>
          <w:sz w:val="22"/>
          <w:szCs w:val="22"/>
        </w:rPr>
      </w:pPr>
    </w:p>
    <w:p w14:paraId="4183F058" w14:textId="5CE02067" w:rsidR="00451171" w:rsidRPr="00DF54C3" w:rsidRDefault="00451171" w:rsidP="00DF54C3">
      <w:pPr>
        <w:pStyle w:val="ListParagraph"/>
        <w:widowControl/>
        <w:numPr>
          <w:ilvl w:val="1"/>
          <w:numId w:val="5"/>
        </w:numPr>
        <w:rPr>
          <w:rStyle w:val="CommentReference"/>
          <w:rFonts w:ascii="Arial" w:hAnsi="Arial"/>
          <w:b w:val="0"/>
          <w:sz w:val="22"/>
          <w:szCs w:val="22"/>
        </w:rPr>
      </w:pPr>
      <w:r w:rsidRPr="00DF54C3">
        <w:rPr>
          <w:rStyle w:val="CommentReference"/>
          <w:rFonts w:ascii="Arial" w:hAnsi="Arial"/>
          <w:b w:val="0"/>
          <w:sz w:val="22"/>
          <w:szCs w:val="22"/>
        </w:rPr>
        <w:t xml:space="preserve">The submission claimed </w:t>
      </w:r>
      <w:r w:rsidR="0083519A" w:rsidRPr="00DF54C3">
        <w:rPr>
          <w:rStyle w:val="CommentReference"/>
          <w:rFonts w:ascii="Arial" w:hAnsi="Arial"/>
          <w:b w:val="0"/>
          <w:sz w:val="22"/>
          <w:szCs w:val="22"/>
        </w:rPr>
        <w:t>noninferiority</w:t>
      </w:r>
      <w:r w:rsidRPr="00DF54C3">
        <w:rPr>
          <w:rStyle w:val="CommentReference"/>
          <w:rFonts w:ascii="Arial" w:hAnsi="Arial"/>
          <w:b w:val="0"/>
          <w:sz w:val="22"/>
          <w:szCs w:val="22"/>
        </w:rPr>
        <w:t xml:space="preserve"> between Asacol </w:t>
      </w:r>
      <w:r w:rsidR="00F66817" w:rsidRPr="00DF54C3">
        <w:rPr>
          <w:rStyle w:val="CommentReference"/>
          <w:rFonts w:ascii="Arial" w:hAnsi="Arial"/>
          <w:b w:val="0"/>
          <w:sz w:val="22"/>
          <w:szCs w:val="22"/>
        </w:rPr>
        <w:t>2.4 g</w:t>
      </w:r>
      <w:r w:rsidRPr="00DF54C3">
        <w:rPr>
          <w:rStyle w:val="CommentReference"/>
          <w:rFonts w:ascii="Arial" w:hAnsi="Arial"/>
          <w:b w:val="0"/>
          <w:sz w:val="22"/>
          <w:szCs w:val="22"/>
        </w:rPr>
        <w:t xml:space="preserve"> and Mezavant </w:t>
      </w:r>
      <w:r w:rsidR="00F66817" w:rsidRPr="00DF54C3">
        <w:rPr>
          <w:rStyle w:val="CommentReference"/>
          <w:rFonts w:ascii="Arial" w:hAnsi="Arial"/>
          <w:b w:val="0"/>
          <w:sz w:val="22"/>
          <w:szCs w:val="22"/>
        </w:rPr>
        <w:t>2.4 g</w:t>
      </w:r>
      <w:r w:rsidRPr="00DF54C3">
        <w:rPr>
          <w:rStyle w:val="CommentReference"/>
          <w:rFonts w:ascii="Arial" w:hAnsi="Arial"/>
          <w:b w:val="0"/>
          <w:sz w:val="22"/>
          <w:szCs w:val="22"/>
        </w:rPr>
        <w:t xml:space="preserve"> for clinical remission based on the lower bound of the 95% confidence interval (-10.6%) from </w:t>
      </w:r>
      <w:r w:rsidR="005C0EEB" w:rsidRPr="00DF54C3">
        <w:rPr>
          <w:rStyle w:val="CommentReference"/>
          <w:rFonts w:ascii="Arial" w:hAnsi="Arial"/>
          <w:b w:val="0"/>
          <w:sz w:val="22"/>
          <w:szCs w:val="22"/>
        </w:rPr>
        <w:t xml:space="preserve">the post-hoc analysis that was </w:t>
      </w:r>
      <w:r w:rsidR="00500781" w:rsidRPr="00DF54C3">
        <w:rPr>
          <w:rStyle w:val="CommentReference"/>
          <w:rFonts w:ascii="Arial" w:hAnsi="Arial"/>
          <w:b w:val="0"/>
          <w:sz w:val="22"/>
          <w:szCs w:val="22"/>
        </w:rPr>
        <w:t xml:space="preserve">borderline at the -10% margin but </w:t>
      </w:r>
      <w:r w:rsidR="005C0EEB" w:rsidRPr="00DF54C3">
        <w:rPr>
          <w:rStyle w:val="CommentReference"/>
          <w:rFonts w:ascii="Arial" w:hAnsi="Arial"/>
          <w:b w:val="0"/>
          <w:sz w:val="22"/>
          <w:szCs w:val="22"/>
        </w:rPr>
        <w:t>less</w:t>
      </w:r>
      <w:r w:rsidRPr="00DF54C3">
        <w:rPr>
          <w:rStyle w:val="CommentReference"/>
          <w:rFonts w:ascii="Arial" w:hAnsi="Arial"/>
          <w:b w:val="0"/>
          <w:sz w:val="22"/>
          <w:szCs w:val="22"/>
        </w:rPr>
        <w:t xml:space="preserve"> than </w:t>
      </w:r>
      <w:r w:rsidR="00591078" w:rsidRPr="00DF54C3">
        <w:rPr>
          <w:rStyle w:val="CommentReference"/>
          <w:rFonts w:ascii="Arial" w:hAnsi="Arial"/>
          <w:b w:val="0"/>
          <w:sz w:val="22"/>
          <w:szCs w:val="22"/>
        </w:rPr>
        <w:noBreakHyphen/>
      </w:r>
      <w:r w:rsidRPr="00DF54C3">
        <w:rPr>
          <w:rStyle w:val="CommentReference"/>
          <w:rFonts w:ascii="Arial" w:hAnsi="Arial"/>
          <w:b w:val="0"/>
          <w:sz w:val="22"/>
          <w:szCs w:val="22"/>
        </w:rPr>
        <w:t xml:space="preserve">15%. </w:t>
      </w:r>
      <w:r w:rsidR="00500781" w:rsidRPr="00DF54C3">
        <w:rPr>
          <w:rStyle w:val="CommentReference"/>
          <w:rFonts w:ascii="Arial" w:hAnsi="Arial"/>
          <w:b w:val="0"/>
          <w:sz w:val="22"/>
          <w:szCs w:val="22"/>
        </w:rPr>
        <w:t xml:space="preserve">A review of clinical efficacy endpoints in ulcerative colitis noted that some jurisdictions have accepted a </w:t>
      </w:r>
      <w:r w:rsidR="0083519A" w:rsidRPr="00DF54C3">
        <w:rPr>
          <w:rStyle w:val="CommentReference"/>
          <w:rFonts w:ascii="Arial" w:hAnsi="Arial"/>
          <w:b w:val="0"/>
          <w:sz w:val="22"/>
          <w:szCs w:val="22"/>
        </w:rPr>
        <w:t>noninferiority</w:t>
      </w:r>
      <w:r w:rsidR="00500781" w:rsidRPr="00DF54C3">
        <w:rPr>
          <w:rStyle w:val="CommentReference"/>
          <w:rFonts w:ascii="Arial" w:hAnsi="Arial"/>
          <w:b w:val="0"/>
          <w:sz w:val="22"/>
          <w:szCs w:val="22"/>
        </w:rPr>
        <w:t xml:space="preserve"> margin of 15% for regulatory approval (D’Haens 2007). </w:t>
      </w:r>
      <w:r w:rsidR="005C0EEB" w:rsidRPr="00DF54C3">
        <w:rPr>
          <w:rStyle w:val="CommentReference"/>
          <w:rFonts w:ascii="Arial" w:hAnsi="Arial"/>
          <w:b w:val="0"/>
          <w:sz w:val="22"/>
          <w:szCs w:val="22"/>
        </w:rPr>
        <w:t xml:space="preserve">Based on </w:t>
      </w:r>
      <w:r w:rsidR="00691852" w:rsidRPr="00DF54C3">
        <w:rPr>
          <w:rStyle w:val="CommentReference"/>
          <w:rFonts w:ascii="Arial" w:hAnsi="Arial"/>
          <w:b w:val="0"/>
          <w:sz w:val="22"/>
          <w:szCs w:val="22"/>
        </w:rPr>
        <w:t xml:space="preserve">the </w:t>
      </w:r>
      <w:r w:rsidR="005C0EEB" w:rsidRPr="00DF54C3">
        <w:rPr>
          <w:rStyle w:val="CommentReference"/>
          <w:rFonts w:ascii="Arial" w:hAnsi="Arial"/>
          <w:b w:val="0"/>
          <w:sz w:val="22"/>
          <w:szCs w:val="22"/>
        </w:rPr>
        <w:t>margin</w:t>
      </w:r>
      <w:r w:rsidR="00085BD3" w:rsidRPr="00DF54C3">
        <w:rPr>
          <w:rStyle w:val="CommentReference"/>
          <w:rFonts w:ascii="Arial" w:hAnsi="Arial"/>
          <w:b w:val="0"/>
          <w:sz w:val="22"/>
          <w:szCs w:val="22"/>
        </w:rPr>
        <w:t>s</w:t>
      </w:r>
      <w:r w:rsidR="005C0EEB" w:rsidRPr="00DF54C3">
        <w:rPr>
          <w:rStyle w:val="CommentReference"/>
          <w:rFonts w:ascii="Arial" w:hAnsi="Arial"/>
          <w:b w:val="0"/>
          <w:sz w:val="22"/>
          <w:szCs w:val="22"/>
        </w:rPr>
        <w:t xml:space="preserve"> used in </w:t>
      </w:r>
      <w:r w:rsidR="0083519A" w:rsidRPr="00DF54C3">
        <w:rPr>
          <w:rStyle w:val="CommentReference"/>
          <w:rFonts w:ascii="Arial" w:hAnsi="Arial"/>
          <w:b w:val="0"/>
          <w:sz w:val="22"/>
          <w:szCs w:val="22"/>
        </w:rPr>
        <w:t>noninferiority</w:t>
      </w:r>
      <w:r w:rsidR="005C0EEB" w:rsidRPr="00DF54C3">
        <w:rPr>
          <w:rStyle w:val="CommentReference"/>
          <w:rFonts w:ascii="Arial" w:hAnsi="Arial"/>
          <w:b w:val="0"/>
          <w:sz w:val="22"/>
          <w:szCs w:val="22"/>
        </w:rPr>
        <w:t xml:space="preserve"> trials identified in a systematic review of 5-ASAs in ulcerative colitis (Wang 2016), </w:t>
      </w:r>
      <w:r w:rsidR="00223397" w:rsidRPr="00DF54C3">
        <w:rPr>
          <w:rStyle w:val="CommentReference"/>
          <w:rFonts w:ascii="Arial" w:hAnsi="Arial"/>
          <w:b w:val="0"/>
          <w:sz w:val="22"/>
          <w:szCs w:val="22"/>
        </w:rPr>
        <w:t xml:space="preserve">a </w:t>
      </w:r>
      <w:r w:rsidR="0083519A" w:rsidRPr="00DF54C3">
        <w:rPr>
          <w:rStyle w:val="CommentReference"/>
          <w:rFonts w:ascii="Arial" w:hAnsi="Arial"/>
          <w:b w:val="0"/>
          <w:sz w:val="22"/>
          <w:szCs w:val="22"/>
        </w:rPr>
        <w:t>noninferiority</w:t>
      </w:r>
      <w:r w:rsidR="00223397" w:rsidRPr="00DF54C3">
        <w:rPr>
          <w:rStyle w:val="CommentReference"/>
          <w:rFonts w:ascii="Arial" w:hAnsi="Arial"/>
          <w:b w:val="0"/>
          <w:sz w:val="22"/>
          <w:szCs w:val="22"/>
        </w:rPr>
        <w:t xml:space="preserve"> margin of </w:t>
      </w:r>
      <w:r w:rsidR="005C0EEB" w:rsidRPr="00DF54C3">
        <w:rPr>
          <w:rStyle w:val="CommentReference"/>
          <w:rFonts w:ascii="Arial" w:hAnsi="Arial"/>
          <w:b w:val="0"/>
          <w:sz w:val="22"/>
          <w:szCs w:val="22"/>
        </w:rPr>
        <w:t xml:space="preserve">10% </w:t>
      </w:r>
      <w:r w:rsidR="00223397" w:rsidRPr="00DF54C3">
        <w:rPr>
          <w:rStyle w:val="CommentReference"/>
          <w:rFonts w:ascii="Arial" w:hAnsi="Arial"/>
          <w:b w:val="0"/>
          <w:sz w:val="22"/>
          <w:szCs w:val="22"/>
        </w:rPr>
        <w:t>may</w:t>
      </w:r>
      <w:r w:rsidR="005C0EEB" w:rsidRPr="00DF54C3">
        <w:rPr>
          <w:rStyle w:val="CommentReference"/>
          <w:rFonts w:ascii="Arial" w:hAnsi="Arial"/>
          <w:b w:val="0"/>
          <w:sz w:val="22"/>
          <w:szCs w:val="22"/>
        </w:rPr>
        <w:t xml:space="preserve"> be </w:t>
      </w:r>
      <w:r w:rsidR="00223397" w:rsidRPr="00DF54C3">
        <w:rPr>
          <w:rStyle w:val="CommentReference"/>
          <w:rFonts w:ascii="Arial" w:hAnsi="Arial"/>
          <w:b w:val="0"/>
          <w:sz w:val="22"/>
          <w:szCs w:val="22"/>
        </w:rPr>
        <w:t>more appropriate</w:t>
      </w:r>
      <w:r w:rsidR="005C0EEB" w:rsidRPr="00DF54C3">
        <w:rPr>
          <w:rStyle w:val="CommentReference"/>
          <w:rFonts w:ascii="Arial" w:hAnsi="Arial"/>
          <w:b w:val="0"/>
          <w:sz w:val="22"/>
          <w:szCs w:val="22"/>
        </w:rPr>
        <w:t>.</w:t>
      </w:r>
    </w:p>
    <w:p w14:paraId="06D0C711" w14:textId="77777777" w:rsidR="005C0EEB" w:rsidRPr="002A30B3" w:rsidRDefault="005C0EEB" w:rsidP="005C0EEB">
      <w:pPr>
        <w:pStyle w:val="ListParagraph"/>
        <w:widowControl/>
        <w:rPr>
          <w:rStyle w:val="CommentReference"/>
          <w:rFonts w:ascii="Arial" w:hAnsi="Arial"/>
          <w:b w:val="0"/>
          <w:sz w:val="22"/>
          <w:szCs w:val="22"/>
        </w:rPr>
      </w:pPr>
    </w:p>
    <w:p w14:paraId="05ACFB23" w14:textId="1BA00092" w:rsidR="005C0EEB" w:rsidRPr="002A30B3" w:rsidRDefault="005C0EEB" w:rsidP="002F3D5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Overall, </w:t>
      </w:r>
      <w:r w:rsidR="00DC1606" w:rsidRPr="002A30B3">
        <w:rPr>
          <w:rStyle w:val="CommentReference"/>
          <w:rFonts w:ascii="Arial" w:hAnsi="Arial"/>
          <w:b w:val="0"/>
          <w:sz w:val="22"/>
          <w:szCs w:val="22"/>
        </w:rPr>
        <w:t xml:space="preserve">the ESC </w:t>
      </w:r>
      <w:r w:rsidR="001F7439" w:rsidRPr="002A30B3">
        <w:rPr>
          <w:rStyle w:val="CommentReference"/>
          <w:rFonts w:ascii="Arial" w:hAnsi="Arial"/>
          <w:b w:val="0"/>
          <w:sz w:val="22"/>
          <w:szCs w:val="22"/>
        </w:rPr>
        <w:t>agreed</w:t>
      </w:r>
      <w:r w:rsidR="00DC1606" w:rsidRPr="002A30B3">
        <w:rPr>
          <w:rStyle w:val="CommentReference"/>
          <w:rFonts w:ascii="Arial" w:hAnsi="Arial"/>
          <w:b w:val="0"/>
          <w:sz w:val="22"/>
          <w:szCs w:val="22"/>
        </w:rPr>
        <w:t xml:space="preserve"> that </w:t>
      </w:r>
      <w:r w:rsidRPr="002A30B3">
        <w:rPr>
          <w:rStyle w:val="CommentReference"/>
          <w:rFonts w:ascii="Arial" w:hAnsi="Arial"/>
          <w:b w:val="0"/>
          <w:sz w:val="22"/>
          <w:szCs w:val="22"/>
        </w:rPr>
        <w:t xml:space="preserve">the results should be interpreted with caution as the trial was designed as a superiority trial and not powered for a </w:t>
      </w:r>
      <w:r w:rsidR="0083519A" w:rsidRPr="002A30B3">
        <w:rPr>
          <w:rStyle w:val="CommentReference"/>
          <w:rFonts w:ascii="Arial" w:hAnsi="Arial"/>
          <w:b w:val="0"/>
          <w:sz w:val="22"/>
          <w:szCs w:val="22"/>
        </w:rPr>
        <w:t>noninferiority</w:t>
      </w:r>
      <w:r w:rsidRPr="002A30B3">
        <w:rPr>
          <w:rStyle w:val="CommentReference"/>
          <w:rFonts w:ascii="Arial" w:hAnsi="Arial"/>
          <w:b w:val="0"/>
          <w:sz w:val="22"/>
          <w:szCs w:val="22"/>
        </w:rPr>
        <w:t xml:space="preserve"> comparison between Asacol and Mezavant. In addition,</w:t>
      </w:r>
      <w:r w:rsidR="00997D12" w:rsidRPr="002A30B3">
        <w:rPr>
          <w:rStyle w:val="CommentReference"/>
          <w:rFonts w:ascii="Arial" w:hAnsi="Arial"/>
          <w:b w:val="0"/>
          <w:sz w:val="22"/>
          <w:szCs w:val="22"/>
        </w:rPr>
        <w:t xml:space="preserve"> the ESC noted</w:t>
      </w:r>
      <w:r w:rsidRPr="002A30B3">
        <w:rPr>
          <w:rStyle w:val="CommentReference"/>
          <w:rFonts w:ascii="Arial" w:hAnsi="Arial"/>
          <w:b w:val="0"/>
          <w:sz w:val="22"/>
          <w:szCs w:val="22"/>
        </w:rPr>
        <w:t xml:space="preserve"> the authors</w:t>
      </w:r>
      <w:r w:rsidR="00997D12" w:rsidRPr="002A30B3">
        <w:rPr>
          <w:rStyle w:val="CommentReference"/>
          <w:rFonts w:ascii="Arial" w:hAnsi="Arial"/>
          <w:b w:val="0"/>
          <w:sz w:val="22"/>
          <w:szCs w:val="22"/>
        </w:rPr>
        <w:t>’</w:t>
      </w:r>
      <w:r w:rsidRPr="002A30B3">
        <w:rPr>
          <w:rStyle w:val="CommentReference"/>
          <w:rFonts w:ascii="Arial" w:hAnsi="Arial"/>
          <w:b w:val="0"/>
          <w:sz w:val="22"/>
          <w:szCs w:val="22"/>
        </w:rPr>
        <w:t xml:space="preserve"> </w:t>
      </w:r>
      <w:r w:rsidR="00997D12" w:rsidRPr="002A30B3">
        <w:rPr>
          <w:rStyle w:val="CommentReference"/>
          <w:rFonts w:ascii="Arial" w:hAnsi="Arial"/>
          <w:b w:val="0"/>
          <w:sz w:val="22"/>
          <w:szCs w:val="22"/>
        </w:rPr>
        <w:t xml:space="preserve">observation of </w:t>
      </w:r>
      <w:r w:rsidRPr="002A30B3">
        <w:rPr>
          <w:rStyle w:val="CommentReference"/>
          <w:rFonts w:ascii="Arial" w:hAnsi="Arial"/>
          <w:b w:val="0"/>
          <w:sz w:val="22"/>
          <w:szCs w:val="22"/>
        </w:rPr>
        <w:t xml:space="preserve">substantial heterogeneity between the study populations in each country within the trial. </w:t>
      </w:r>
    </w:p>
    <w:p w14:paraId="6FAE5560" w14:textId="77777777" w:rsidR="000D2EF9" w:rsidRPr="002A30B3" w:rsidRDefault="000D2EF9" w:rsidP="000D2EF9">
      <w:pPr>
        <w:pStyle w:val="ListParagraph"/>
        <w:widowControl/>
        <w:rPr>
          <w:rStyle w:val="CommentReference"/>
          <w:rFonts w:ascii="Arial" w:hAnsi="Arial"/>
          <w:b w:val="0"/>
          <w:sz w:val="22"/>
          <w:szCs w:val="22"/>
        </w:rPr>
      </w:pPr>
    </w:p>
    <w:p w14:paraId="40C0C2CC" w14:textId="722AAF83" w:rsidR="002F3D5B" w:rsidRPr="002A30B3" w:rsidRDefault="00454714" w:rsidP="002F3D5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Table 7</w:t>
      </w:r>
      <w:r w:rsidR="002F3D5B" w:rsidRPr="002A30B3">
        <w:rPr>
          <w:rStyle w:val="CommentReference"/>
          <w:rFonts w:ascii="Arial" w:hAnsi="Arial"/>
          <w:b w:val="0"/>
          <w:sz w:val="22"/>
          <w:szCs w:val="22"/>
        </w:rPr>
        <w:t xml:space="preserve"> summarises the post-hoc analys</w:t>
      </w:r>
      <w:r w:rsidR="00223397" w:rsidRPr="002A30B3">
        <w:rPr>
          <w:rStyle w:val="CommentReference"/>
          <w:rFonts w:ascii="Arial" w:hAnsi="Arial"/>
          <w:b w:val="0"/>
          <w:sz w:val="22"/>
          <w:szCs w:val="22"/>
        </w:rPr>
        <w:t>i</w:t>
      </w:r>
      <w:r w:rsidR="002F3D5B" w:rsidRPr="002A30B3">
        <w:rPr>
          <w:rStyle w:val="CommentReference"/>
          <w:rFonts w:ascii="Arial" w:hAnsi="Arial"/>
          <w:b w:val="0"/>
          <w:sz w:val="22"/>
          <w:szCs w:val="22"/>
        </w:rPr>
        <w:t>s</w:t>
      </w:r>
      <w:r w:rsidR="00274880" w:rsidRPr="002A30B3">
        <w:rPr>
          <w:rStyle w:val="CommentReference"/>
          <w:rFonts w:ascii="Arial" w:hAnsi="Arial"/>
          <w:b w:val="0"/>
          <w:sz w:val="22"/>
          <w:szCs w:val="22"/>
        </w:rPr>
        <w:t xml:space="preserve"> comparing Asacol </w:t>
      </w:r>
      <w:r w:rsidR="00F66817" w:rsidRPr="002A30B3">
        <w:rPr>
          <w:rStyle w:val="CommentReference"/>
          <w:rFonts w:ascii="Arial" w:hAnsi="Arial"/>
          <w:b w:val="0"/>
          <w:sz w:val="22"/>
          <w:szCs w:val="22"/>
        </w:rPr>
        <w:t>1.6 g</w:t>
      </w:r>
      <w:r w:rsidR="00274880" w:rsidRPr="002A30B3">
        <w:rPr>
          <w:rStyle w:val="CommentReference"/>
          <w:rFonts w:ascii="Arial" w:hAnsi="Arial"/>
          <w:b w:val="0"/>
          <w:sz w:val="22"/>
          <w:szCs w:val="22"/>
        </w:rPr>
        <w:t xml:space="preserve"> with Mezavant </w:t>
      </w:r>
      <w:r w:rsidR="00F66817" w:rsidRPr="002A30B3">
        <w:rPr>
          <w:rStyle w:val="CommentReference"/>
          <w:rFonts w:ascii="Arial" w:hAnsi="Arial"/>
          <w:b w:val="0"/>
          <w:sz w:val="22"/>
          <w:szCs w:val="22"/>
        </w:rPr>
        <w:t>2.4</w:t>
      </w:r>
      <w:r w:rsidR="007E05C9" w:rsidRPr="002A30B3">
        <w:rPr>
          <w:rStyle w:val="CommentReference"/>
          <w:rFonts w:ascii="Arial" w:hAnsi="Arial"/>
          <w:b w:val="0"/>
          <w:sz w:val="22"/>
          <w:szCs w:val="22"/>
        </w:rPr>
        <w:t> </w:t>
      </w:r>
      <w:r w:rsidR="00F66817" w:rsidRPr="002A30B3">
        <w:rPr>
          <w:rStyle w:val="CommentReference"/>
          <w:rFonts w:ascii="Arial" w:hAnsi="Arial"/>
          <w:b w:val="0"/>
          <w:sz w:val="22"/>
          <w:szCs w:val="22"/>
        </w:rPr>
        <w:t>g</w:t>
      </w:r>
      <w:r w:rsidR="002F3D5B" w:rsidRPr="002A30B3">
        <w:rPr>
          <w:rStyle w:val="CommentReference"/>
          <w:rFonts w:ascii="Arial" w:hAnsi="Arial"/>
          <w:b w:val="0"/>
          <w:sz w:val="22"/>
          <w:szCs w:val="22"/>
        </w:rPr>
        <w:t xml:space="preserve"> from the </w:t>
      </w:r>
      <w:r w:rsidR="005C0EEB" w:rsidRPr="002A30B3">
        <w:rPr>
          <w:rStyle w:val="CommentReference"/>
          <w:rFonts w:ascii="Arial" w:hAnsi="Arial"/>
          <w:b w:val="0"/>
          <w:sz w:val="22"/>
          <w:szCs w:val="22"/>
        </w:rPr>
        <w:t>D’Haens 2012</w:t>
      </w:r>
      <w:r w:rsidR="002F3D5B" w:rsidRPr="002A30B3">
        <w:rPr>
          <w:rStyle w:val="CommentReference"/>
          <w:rFonts w:ascii="Arial" w:hAnsi="Arial"/>
          <w:b w:val="0"/>
          <w:sz w:val="22"/>
          <w:szCs w:val="22"/>
        </w:rPr>
        <w:t xml:space="preserve"> study for </w:t>
      </w:r>
      <w:r w:rsidR="00DC3D35" w:rsidRPr="002A30B3">
        <w:rPr>
          <w:rStyle w:val="CommentReference"/>
          <w:rFonts w:ascii="Arial" w:hAnsi="Arial"/>
          <w:b w:val="0"/>
          <w:sz w:val="22"/>
          <w:szCs w:val="22"/>
        </w:rPr>
        <w:t xml:space="preserve">maintenance of </w:t>
      </w:r>
      <w:r w:rsidR="005C0EEB" w:rsidRPr="002A30B3">
        <w:rPr>
          <w:rStyle w:val="CommentReference"/>
          <w:rFonts w:ascii="Arial" w:hAnsi="Arial"/>
          <w:b w:val="0"/>
          <w:sz w:val="22"/>
          <w:szCs w:val="22"/>
        </w:rPr>
        <w:t xml:space="preserve">endoscopic </w:t>
      </w:r>
      <w:r w:rsidR="00DC3D35" w:rsidRPr="002A30B3">
        <w:rPr>
          <w:rStyle w:val="CommentReference"/>
          <w:rFonts w:ascii="Arial" w:hAnsi="Arial"/>
          <w:b w:val="0"/>
          <w:sz w:val="22"/>
          <w:szCs w:val="22"/>
        </w:rPr>
        <w:t>remission</w:t>
      </w:r>
      <w:r w:rsidR="005C0EEB" w:rsidRPr="002A30B3">
        <w:rPr>
          <w:rStyle w:val="CommentReference"/>
          <w:rFonts w:ascii="Arial" w:hAnsi="Arial"/>
          <w:b w:val="0"/>
          <w:sz w:val="22"/>
          <w:szCs w:val="22"/>
        </w:rPr>
        <w:t xml:space="preserve">. The primary analysis was a comparison of Mezavant versus Asacol in the per-protocol population with results for the ITT population </w:t>
      </w:r>
      <w:r w:rsidR="00223397" w:rsidRPr="002A30B3">
        <w:rPr>
          <w:rStyle w:val="CommentReference"/>
          <w:rFonts w:ascii="Arial" w:hAnsi="Arial"/>
          <w:b w:val="0"/>
          <w:sz w:val="22"/>
          <w:szCs w:val="22"/>
        </w:rPr>
        <w:t>presented as</w:t>
      </w:r>
      <w:r w:rsidR="005C0EEB" w:rsidRPr="002A30B3">
        <w:rPr>
          <w:rStyle w:val="CommentReference"/>
          <w:rFonts w:ascii="Arial" w:hAnsi="Arial"/>
          <w:b w:val="0"/>
          <w:sz w:val="22"/>
          <w:szCs w:val="22"/>
        </w:rPr>
        <w:t xml:space="preserve"> a sensitivity analysis. </w:t>
      </w:r>
      <w:r w:rsidR="00274880" w:rsidRPr="002A30B3">
        <w:rPr>
          <w:rStyle w:val="CommentReference"/>
          <w:rFonts w:ascii="Arial" w:hAnsi="Arial"/>
          <w:b w:val="0"/>
          <w:sz w:val="22"/>
          <w:szCs w:val="22"/>
        </w:rPr>
        <w:t xml:space="preserve">The use of the post-hoc analysis had </w:t>
      </w:r>
      <w:r w:rsidR="00223397" w:rsidRPr="002A30B3">
        <w:rPr>
          <w:rStyle w:val="CommentReference"/>
          <w:rFonts w:ascii="Arial" w:hAnsi="Arial"/>
          <w:b w:val="0"/>
          <w:sz w:val="22"/>
          <w:szCs w:val="22"/>
        </w:rPr>
        <w:t xml:space="preserve">a </w:t>
      </w:r>
      <w:r w:rsidR="00274880" w:rsidRPr="002A30B3">
        <w:rPr>
          <w:rStyle w:val="CommentReference"/>
          <w:rFonts w:ascii="Arial" w:hAnsi="Arial"/>
          <w:b w:val="0"/>
          <w:sz w:val="22"/>
          <w:szCs w:val="22"/>
        </w:rPr>
        <w:t xml:space="preserve">minimal impact on efficacy results. </w:t>
      </w:r>
    </w:p>
    <w:p w14:paraId="39373754" w14:textId="77777777" w:rsidR="002F3D5B" w:rsidRPr="002A30B3" w:rsidRDefault="002F3D5B" w:rsidP="00B60939">
      <w:pPr>
        <w:rPr>
          <w:szCs w:val="22"/>
        </w:rPr>
      </w:pPr>
    </w:p>
    <w:p w14:paraId="275529A9" w14:textId="4DFD3D63" w:rsidR="00DC3D35" w:rsidRPr="002A30B3" w:rsidRDefault="00454714" w:rsidP="00F7060D">
      <w:pPr>
        <w:keepNext/>
        <w:ind w:firstLine="720"/>
        <w:rPr>
          <w:rStyle w:val="CommentReference"/>
        </w:rPr>
      </w:pPr>
      <w:r w:rsidRPr="002A30B3">
        <w:rPr>
          <w:rStyle w:val="CommentReference"/>
        </w:rPr>
        <w:t>Table 7</w:t>
      </w:r>
      <w:r w:rsidR="00DC3D35" w:rsidRPr="002A30B3">
        <w:rPr>
          <w:rStyle w:val="CommentReference"/>
        </w:rPr>
        <w:t>: Maintenance of remission at 6 months, D’Haens 2012 study (post-hoc analysis, ITT population)</w:t>
      </w:r>
    </w:p>
    <w:tbl>
      <w:tblPr>
        <w:tblStyle w:val="TableGrid"/>
        <w:tblW w:w="0" w:type="auto"/>
        <w:tblInd w:w="704" w:type="dxa"/>
        <w:tblLook w:val="04A0" w:firstRow="1" w:lastRow="0" w:firstColumn="1" w:lastColumn="0" w:noHBand="0" w:noVBand="1"/>
        <w:tblCaption w:val="Table 7: Maintenance of remission at 6 months, D’Haens 2012 study (post-hoc analysis, ITT population)"/>
      </w:tblPr>
      <w:tblGrid>
        <w:gridCol w:w="2552"/>
        <w:gridCol w:w="2754"/>
        <w:gridCol w:w="3006"/>
      </w:tblGrid>
      <w:tr w:rsidR="00DC3D35" w:rsidRPr="002A30B3" w14:paraId="6E20C566" w14:textId="77777777" w:rsidTr="008531FB">
        <w:trPr>
          <w:tblHeader/>
        </w:trPr>
        <w:tc>
          <w:tcPr>
            <w:tcW w:w="2552" w:type="dxa"/>
          </w:tcPr>
          <w:p w14:paraId="092C0174" w14:textId="77777777" w:rsidR="00DC3D35" w:rsidRPr="002A30B3" w:rsidRDefault="00DC3D35" w:rsidP="00F7060D">
            <w:pPr>
              <w:keepNext/>
              <w:jc w:val="center"/>
              <w:rPr>
                <w:rFonts w:ascii="Arial Narrow" w:hAnsi="Arial Narrow"/>
                <w:b/>
                <w:sz w:val="20"/>
              </w:rPr>
            </w:pPr>
          </w:p>
        </w:tc>
        <w:tc>
          <w:tcPr>
            <w:tcW w:w="2754" w:type="dxa"/>
          </w:tcPr>
          <w:p w14:paraId="7840766F" w14:textId="2B1F4746" w:rsidR="00DC3D35" w:rsidRPr="002A30B3" w:rsidRDefault="00DC3D35" w:rsidP="00F7060D">
            <w:pPr>
              <w:keepNext/>
              <w:jc w:val="center"/>
              <w:rPr>
                <w:rFonts w:ascii="Arial Narrow" w:hAnsi="Arial Narrow"/>
                <w:b/>
                <w:sz w:val="20"/>
              </w:rPr>
            </w:pPr>
            <w:r w:rsidRPr="002A30B3">
              <w:rPr>
                <w:rFonts w:ascii="Arial Narrow" w:hAnsi="Arial Narrow"/>
                <w:b/>
                <w:sz w:val="20"/>
              </w:rPr>
              <w:t xml:space="preserve">Asacol </w:t>
            </w:r>
            <w:r w:rsidR="00F66817" w:rsidRPr="002A30B3">
              <w:rPr>
                <w:rFonts w:ascii="Arial Narrow" w:hAnsi="Arial Narrow"/>
                <w:b/>
                <w:sz w:val="20"/>
              </w:rPr>
              <w:t>1.6 g</w:t>
            </w:r>
          </w:p>
          <w:p w14:paraId="5C0C8279" w14:textId="77777777" w:rsidR="00DC3D35" w:rsidRPr="002A30B3" w:rsidRDefault="00DC3D35" w:rsidP="00F7060D">
            <w:pPr>
              <w:keepNext/>
              <w:jc w:val="center"/>
              <w:rPr>
                <w:rFonts w:ascii="Arial Narrow" w:hAnsi="Arial Narrow"/>
                <w:b/>
                <w:sz w:val="20"/>
              </w:rPr>
            </w:pPr>
            <w:r w:rsidRPr="002A30B3">
              <w:rPr>
                <w:rFonts w:ascii="Arial Narrow" w:hAnsi="Arial Narrow"/>
                <w:b/>
                <w:sz w:val="20"/>
              </w:rPr>
              <w:t>N=411</w:t>
            </w:r>
          </w:p>
        </w:tc>
        <w:tc>
          <w:tcPr>
            <w:tcW w:w="3006" w:type="dxa"/>
          </w:tcPr>
          <w:p w14:paraId="66F6496D" w14:textId="16517412" w:rsidR="00DC3D35" w:rsidRPr="002A30B3" w:rsidRDefault="00DC3D35" w:rsidP="00F7060D">
            <w:pPr>
              <w:keepNext/>
              <w:jc w:val="center"/>
              <w:rPr>
                <w:rFonts w:ascii="Arial Narrow" w:hAnsi="Arial Narrow"/>
                <w:b/>
                <w:sz w:val="20"/>
              </w:rPr>
            </w:pPr>
            <w:r w:rsidRPr="002A30B3">
              <w:rPr>
                <w:rFonts w:ascii="Arial Narrow" w:hAnsi="Arial Narrow"/>
                <w:b/>
                <w:sz w:val="20"/>
              </w:rPr>
              <w:t xml:space="preserve">Mezavant </w:t>
            </w:r>
            <w:r w:rsidR="00F66817" w:rsidRPr="002A30B3">
              <w:rPr>
                <w:rFonts w:ascii="Arial Narrow" w:hAnsi="Arial Narrow"/>
                <w:b/>
                <w:sz w:val="20"/>
              </w:rPr>
              <w:t>2.4 g</w:t>
            </w:r>
          </w:p>
          <w:p w14:paraId="116BC2E7" w14:textId="77777777" w:rsidR="00DC3D35" w:rsidRPr="002A30B3" w:rsidRDefault="00DC3D35" w:rsidP="00F7060D">
            <w:pPr>
              <w:keepNext/>
              <w:jc w:val="center"/>
              <w:rPr>
                <w:rFonts w:ascii="Arial Narrow" w:hAnsi="Arial Narrow"/>
                <w:b/>
                <w:sz w:val="20"/>
              </w:rPr>
            </w:pPr>
            <w:r w:rsidRPr="002A30B3">
              <w:rPr>
                <w:rFonts w:ascii="Arial Narrow" w:hAnsi="Arial Narrow"/>
                <w:b/>
                <w:sz w:val="20"/>
              </w:rPr>
              <w:t>N=415</w:t>
            </w:r>
          </w:p>
        </w:tc>
      </w:tr>
      <w:tr w:rsidR="00DC3D35" w:rsidRPr="002A30B3" w14:paraId="1C5C654A" w14:textId="77777777" w:rsidTr="00DC3D35">
        <w:tc>
          <w:tcPr>
            <w:tcW w:w="2552" w:type="dxa"/>
          </w:tcPr>
          <w:p w14:paraId="7A41BDB5" w14:textId="77777777" w:rsidR="00DC3D35" w:rsidRPr="002A30B3" w:rsidRDefault="00DC3D35" w:rsidP="00F7060D">
            <w:pPr>
              <w:keepNext/>
              <w:rPr>
                <w:rFonts w:ascii="Arial Narrow" w:hAnsi="Arial Narrow"/>
                <w:sz w:val="20"/>
              </w:rPr>
            </w:pPr>
            <w:r w:rsidRPr="002A30B3">
              <w:rPr>
                <w:rFonts w:ascii="Arial Narrow" w:hAnsi="Arial Narrow"/>
                <w:sz w:val="20"/>
              </w:rPr>
              <w:t>Endoscopic remission, n/N (%)</w:t>
            </w:r>
          </w:p>
        </w:tc>
        <w:tc>
          <w:tcPr>
            <w:tcW w:w="2754" w:type="dxa"/>
          </w:tcPr>
          <w:p w14:paraId="4717B912" w14:textId="77777777" w:rsidR="00DC3D35" w:rsidRPr="002A30B3" w:rsidRDefault="00DC3D35" w:rsidP="00F7060D">
            <w:pPr>
              <w:keepNext/>
              <w:jc w:val="center"/>
              <w:rPr>
                <w:rFonts w:ascii="Arial Narrow" w:hAnsi="Arial Narrow"/>
                <w:sz w:val="20"/>
              </w:rPr>
            </w:pPr>
            <w:r w:rsidRPr="002A30B3">
              <w:rPr>
                <w:rFonts w:ascii="Arial Narrow" w:hAnsi="Arial Narrow"/>
                <w:sz w:val="20"/>
              </w:rPr>
              <w:t>316/411 (76.9)</w:t>
            </w:r>
          </w:p>
        </w:tc>
        <w:tc>
          <w:tcPr>
            <w:tcW w:w="3006" w:type="dxa"/>
          </w:tcPr>
          <w:p w14:paraId="7423CC2A" w14:textId="77777777" w:rsidR="00DC3D35" w:rsidRPr="002A30B3" w:rsidRDefault="00DC3D35" w:rsidP="00F7060D">
            <w:pPr>
              <w:keepNext/>
              <w:jc w:val="center"/>
              <w:rPr>
                <w:rFonts w:ascii="Arial Narrow" w:hAnsi="Arial Narrow"/>
                <w:sz w:val="20"/>
              </w:rPr>
            </w:pPr>
            <w:r w:rsidRPr="002A30B3">
              <w:rPr>
                <w:rFonts w:ascii="Arial Narrow" w:hAnsi="Arial Narrow"/>
                <w:sz w:val="20"/>
              </w:rPr>
              <w:t>323/415 (77.8)</w:t>
            </w:r>
          </w:p>
        </w:tc>
      </w:tr>
      <w:tr w:rsidR="00DC3D35" w:rsidRPr="002A30B3" w14:paraId="5FF92ECE" w14:textId="77777777" w:rsidTr="00DC3D35">
        <w:tc>
          <w:tcPr>
            <w:tcW w:w="2552" w:type="dxa"/>
          </w:tcPr>
          <w:p w14:paraId="1FA68F71" w14:textId="34BE8A7D" w:rsidR="00DC3D35" w:rsidRPr="002A30B3" w:rsidRDefault="00DC3D35" w:rsidP="00F7060D">
            <w:pPr>
              <w:keepNext/>
              <w:rPr>
                <w:rFonts w:ascii="Arial Narrow" w:hAnsi="Arial Narrow"/>
                <w:sz w:val="20"/>
                <w:vertAlign w:val="superscript"/>
              </w:rPr>
            </w:pPr>
            <w:r w:rsidRPr="002A30B3">
              <w:rPr>
                <w:rFonts w:ascii="Arial Narrow" w:hAnsi="Arial Narrow"/>
                <w:sz w:val="20"/>
              </w:rPr>
              <w:t>RD (95% CI)</w:t>
            </w:r>
            <w:r w:rsidRPr="002A30B3">
              <w:rPr>
                <w:rFonts w:ascii="Arial Narrow" w:hAnsi="Arial Narrow"/>
                <w:sz w:val="20"/>
                <w:vertAlign w:val="superscript"/>
              </w:rPr>
              <w:t>a</w:t>
            </w:r>
          </w:p>
        </w:tc>
        <w:tc>
          <w:tcPr>
            <w:tcW w:w="5760" w:type="dxa"/>
            <w:gridSpan w:val="2"/>
          </w:tcPr>
          <w:p w14:paraId="53D9A76F" w14:textId="3DE8DD03" w:rsidR="00DC3D35" w:rsidRPr="002A30B3" w:rsidRDefault="00DC3D35" w:rsidP="00F7060D">
            <w:pPr>
              <w:keepNext/>
              <w:jc w:val="center"/>
              <w:rPr>
                <w:rFonts w:ascii="Arial Narrow" w:hAnsi="Arial Narrow"/>
                <w:sz w:val="20"/>
              </w:rPr>
            </w:pPr>
            <w:r w:rsidRPr="002A30B3">
              <w:rPr>
                <w:rFonts w:ascii="Arial Narrow" w:hAnsi="Arial Narrow"/>
                <w:sz w:val="20"/>
              </w:rPr>
              <w:t>-0.9</w:t>
            </w:r>
            <w:r w:rsidR="00223397" w:rsidRPr="002A30B3">
              <w:rPr>
                <w:rFonts w:ascii="Arial Narrow" w:hAnsi="Arial Narrow"/>
                <w:sz w:val="20"/>
              </w:rPr>
              <w:t>%</w:t>
            </w:r>
            <w:r w:rsidRPr="002A30B3">
              <w:rPr>
                <w:rFonts w:ascii="Arial Narrow" w:hAnsi="Arial Narrow"/>
                <w:sz w:val="20"/>
              </w:rPr>
              <w:t xml:space="preserve"> (-6.6, 4.8)</w:t>
            </w:r>
          </w:p>
        </w:tc>
      </w:tr>
      <w:tr w:rsidR="00DC3D35" w:rsidRPr="002A30B3" w14:paraId="6CA9C42D" w14:textId="77777777" w:rsidTr="00DC3D35">
        <w:tc>
          <w:tcPr>
            <w:tcW w:w="2552" w:type="dxa"/>
          </w:tcPr>
          <w:p w14:paraId="75857ABC" w14:textId="77777777" w:rsidR="00DC3D35" w:rsidRPr="002A30B3" w:rsidRDefault="00DC3D35" w:rsidP="00F7060D">
            <w:pPr>
              <w:keepNext/>
              <w:rPr>
                <w:rFonts w:ascii="Arial Narrow" w:hAnsi="Arial Narrow"/>
                <w:sz w:val="20"/>
              </w:rPr>
            </w:pPr>
            <w:r w:rsidRPr="002A30B3">
              <w:rPr>
                <w:rFonts w:ascii="Arial Narrow" w:hAnsi="Arial Narrow"/>
                <w:sz w:val="20"/>
              </w:rPr>
              <w:t>RR (95% CI)</w:t>
            </w:r>
            <w:r w:rsidRPr="002A30B3">
              <w:rPr>
                <w:rFonts w:ascii="Arial Narrow" w:hAnsi="Arial Narrow"/>
                <w:sz w:val="20"/>
                <w:vertAlign w:val="superscript"/>
              </w:rPr>
              <w:t>a</w:t>
            </w:r>
          </w:p>
        </w:tc>
        <w:tc>
          <w:tcPr>
            <w:tcW w:w="5760" w:type="dxa"/>
            <w:gridSpan w:val="2"/>
          </w:tcPr>
          <w:p w14:paraId="1CC27FB3" w14:textId="77777777" w:rsidR="00DC3D35" w:rsidRPr="002A30B3" w:rsidRDefault="00DC3D35" w:rsidP="00F7060D">
            <w:pPr>
              <w:keepNext/>
              <w:jc w:val="center"/>
              <w:rPr>
                <w:rFonts w:ascii="Arial Narrow" w:hAnsi="Arial Narrow"/>
                <w:sz w:val="20"/>
              </w:rPr>
            </w:pPr>
            <w:r w:rsidRPr="002A30B3">
              <w:rPr>
                <w:rFonts w:ascii="Arial Narrow" w:hAnsi="Arial Narrow"/>
                <w:sz w:val="20"/>
              </w:rPr>
              <w:t>0.99 (0.92, 1.06)</w:t>
            </w:r>
          </w:p>
        </w:tc>
      </w:tr>
    </w:tbl>
    <w:p w14:paraId="47D7DD7F" w14:textId="7BEDC7B4" w:rsidR="00DC3D35" w:rsidRPr="002A30B3" w:rsidRDefault="00F66A54" w:rsidP="00F7060D">
      <w:pPr>
        <w:pStyle w:val="TableFooter"/>
        <w:keepNext/>
        <w:ind w:firstLine="720"/>
      </w:pPr>
      <w:r w:rsidRPr="002A30B3">
        <w:t>Source: Table 23, p3</w:t>
      </w:r>
      <w:r w:rsidR="00F90681" w:rsidRPr="002A30B3">
        <w:t>8</w:t>
      </w:r>
      <w:r w:rsidR="00DC3D35" w:rsidRPr="002A30B3">
        <w:t xml:space="preserve"> of the submission</w:t>
      </w:r>
    </w:p>
    <w:p w14:paraId="3F592163" w14:textId="77777777" w:rsidR="00DC3D35" w:rsidRPr="002A30B3" w:rsidRDefault="00DC3D35" w:rsidP="00F7060D">
      <w:pPr>
        <w:pStyle w:val="TableFooter"/>
        <w:keepNext/>
        <w:ind w:firstLine="720"/>
      </w:pPr>
      <w:r w:rsidRPr="002A30B3">
        <w:t>Abbreviations: CI, confidence interval; ITT, intent-to-treat; RD, risk difference; RR, relative risk</w:t>
      </w:r>
    </w:p>
    <w:p w14:paraId="7CAD81B0" w14:textId="77777777" w:rsidR="00DC3D35" w:rsidRPr="002A30B3" w:rsidRDefault="00DC3D35" w:rsidP="00DC3D35">
      <w:pPr>
        <w:ind w:left="720"/>
        <w:rPr>
          <w:szCs w:val="22"/>
        </w:rPr>
      </w:pPr>
    </w:p>
    <w:p w14:paraId="2AF59C1F" w14:textId="5416D284" w:rsidR="005C0EEB" w:rsidRPr="002A30B3" w:rsidRDefault="00274880" w:rsidP="005C0EEB">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The difference in the proportion of patients achieving endoscopic remission in those receiving Asacol </w:t>
      </w:r>
      <w:r w:rsidR="00F66817" w:rsidRPr="002A30B3">
        <w:rPr>
          <w:rStyle w:val="CommentReference"/>
          <w:rFonts w:ascii="Arial" w:hAnsi="Arial"/>
          <w:b w:val="0"/>
          <w:sz w:val="22"/>
          <w:szCs w:val="22"/>
        </w:rPr>
        <w:t>1.6 g</w:t>
      </w:r>
      <w:r w:rsidRPr="002A30B3">
        <w:rPr>
          <w:rStyle w:val="CommentReference"/>
          <w:rFonts w:ascii="Arial" w:hAnsi="Arial"/>
          <w:b w:val="0"/>
          <w:sz w:val="22"/>
          <w:szCs w:val="22"/>
        </w:rPr>
        <w:t xml:space="preserve"> compared with Mezavant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was not statistically significant (RD -0.9%, 95% CI -6.6%, 4.8%).</w:t>
      </w:r>
    </w:p>
    <w:p w14:paraId="7AE1B962" w14:textId="77777777" w:rsidR="00274880" w:rsidRPr="002A30B3" w:rsidRDefault="00274880" w:rsidP="00274880">
      <w:pPr>
        <w:pStyle w:val="ListParagraph"/>
        <w:widowControl/>
        <w:rPr>
          <w:rStyle w:val="CommentReference"/>
          <w:rFonts w:ascii="Arial" w:hAnsi="Arial"/>
          <w:b w:val="0"/>
          <w:sz w:val="22"/>
          <w:szCs w:val="22"/>
        </w:rPr>
      </w:pPr>
    </w:p>
    <w:p w14:paraId="6A57DB27" w14:textId="5FC40EF7" w:rsidR="00274880" w:rsidRPr="002A30B3" w:rsidRDefault="00274880" w:rsidP="002911C4">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The submission claimed </w:t>
      </w:r>
      <w:r w:rsidR="0083519A" w:rsidRPr="002A30B3">
        <w:rPr>
          <w:rStyle w:val="CommentReference"/>
          <w:rFonts w:ascii="Arial" w:hAnsi="Arial"/>
          <w:b w:val="0"/>
          <w:sz w:val="22"/>
          <w:szCs w:val="22"/>
        </w:rPr>
        <w:t>noninferiority</w:t>
      </w:r>
      <w:r w:rsidRPr="002A30B3">
        <w:rPr>
          <w:rStyle w:val="CommentReference"/>
          <w:rFonts w:ascii="Arial" w:hAnsi="Arial"/>
          <w:b w:val="0"/>
          <w:sz w:val="22"/>
          <w:szCs w:val="22"/>
        </w:rPr>
        <w:t xml:space="preserve"> </w:t>
      </w:r>
      <w:r w:rsidR="00223397" w:rsidRPr="002A30B3">
        <w:rPr>
          <w:rStyle w:val="CommentReference"/>
          <w:rFonts w:ascii="Arial" w:hAnsi="Arial"/>
          <w:b w:val="0"/>
          <w:sz w:val="22"/>
          <w:szCs w:val="22"/>
        </w:rPr>
        <w:t>between</w:t>
      </w:r>
      <w:r w:rsidRPr="002A30B3">
        <w:rPr>
          <w:rStyle w:val="CommentReference"/>
          <w:rFonts w:ascii="Arial" w:hAnsi="Arial"/>
          <w:b w:val="0"/>
          <w:sz w:val="22"/>
          <w:szCs w:val="22"/>
        </w:rPr>
        <w:t xml:space="preserve"> Asacol </w:t>
      </w:r>
      <w:r w:rsidR="00F66817" w:rsidRPr="002A30B3">
        <w:rPr>
          <w:rStyle w:val="CommentReference"/>
          <w:rFonts w:ascii="Arial" w:hAnsi="Arial"/>
          <w:b w:val="0"/>
          <w:sz w:val="22"/>
          <w:szCs w:val="22"/>
        </w:rPr>
        <w:t>1.6 g</w:t>
      </w:r>
      <w:r w:rsidRPr="002A30B3">
        <w:rPr>
          <w:rStyle w:val="CommentReference"/>
          <w:rFonts w:ascii="Arial" w:hAnsi="Arial"/>
          <w:b w:val="0"/>
          <w:sz w:val="22"/>
          <w:szCs w:val="22"/>
        </w:rPr>
        <w:t xml:space="preserve"> </w:t>
      </w:r>
      <w:r w:rsidR="00223397" w:rsidRPr="002A30B3">
        <w:rPr>
          <w:rStyle w:val="CommentReference"/>
          <w:rFonts w:ascii="Arial" w:hAnsi="Arial"/>
          <w:b w:val="0"/>
          <w:sz w:val="22"/>
          <w:szCs w:val="22"/>
        </w:rPr>
        <w:t>and</w:t>
      </w:r>
      <w:r w:rsidRPr="002A30B3">
        <w:rPr>
          <w:rStyle w:val="CommentReference"/>
          <w:rFonts w:ascii="Arial" w:hAnsi="Arial"/>
          <w:b w:val="0"/>
          <w:sz w:val="22"/>
          <w:szCs w:val="22"/>
        </w:rPr>
        <w:t xml:space="preserve"> Mezavant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based on the lower bound of the 95% confidence interval of -0.9%</w:t>
      </w:r>
      <w:r w:rsidR="00591078" w:rsidRPr="002A30B3">
        <w:rPr>
          <w:szCs w:val="22"/>
        </w:rPr>
        <w:t>(-6.6, 4.8)</w:t>
      </w:r>
      <w:r w:rsidRPr="002A30B3">
        <w:rPr>
          <w:rStyle w:val="CommentReference"/>
          <w:rFonts w:ascii="Arial" w:hAnsi="Arial"/>
          <w:b w:val="0"/>
          <w:sz w:val="22"/>
          <w:szCs w:val="22"/>
        </w:rPr>
        <w:t xml:space="preserve"> that did not exceed -10%. Although the results support the submission’s claim, the clinical relevance of remission defined by endoscopic results alone was unclear.</w:t>
      </w:r>
      <w:r w:rsidR="002911C4" w:rsidRPr="002A30B3">
        <w:rPr>
          <w:rStyle w:val="CommentReference"/>
          <w:rFonts w:ascii="Arial" w:hAnsi="Arial"/>
          <w:b w:val="0"/>
          <w:sz w:val="22"/>
          <w:szCs w:val="22"/>
        </w:rPr>
        <w:t xml:space="preserve"> The PSCR  argued that secondary endpoints (maintenance of mucosal healing with no or mild symptoms, time to relapse, modified UC-DAI score, safety and tolerability) in the D’Haens study (D’Haens 2012) support the conclusion that Asacol 1.6 g provides the same health outcomes as Mezavant 2.4 g in the maintenance of remission of </w:t>
      </w:r>
      <w:r w:rsidR="007F260D" w:rsidRPr="002A30B3">
        <w:rPr>
          <w:rStyle w:val="CommentReference"/>
          <w:rFonts w:ascii="Arial" w:hAnsi="Arial"/>
          <w:b w:val="0"/>
          <w:sz w:val="22"/>
          <w:szCs w:val="22"/>
        </w:rPr>
        <w:t>ulcerative colitis.</w:t>
      </w:r>
    </w:p>
    <w:p w14:paraId="69C190A1" w14:textId="77777777" w:rsidR="00BB49CD" w:rsidRPr="002A30B3" w:rsidRDefault="00BB49CD" w:rsidP="00BB49CD">
      <w:pPr>
        <w:pStyle w:val="ListParagraph"/>
        <w:widowControl/>
        <w:rPr>
          <w:rStyle w:val="CommentReference"/>
          <w:rFonts w:ascii="Arial" w:hAnsi="Arial"/>
          <w:b w:val="0"/>
          <w:sz w:val="22"/>
          <w:szCs w:val="22"/>
        </w:rPr>
      </w:pPr>
    </w:p>
    <w:p w14:paraId="44666C45" w14:textId="6EC51E08" w:rsidR="00643E17" w:rsidRPr="002A30B3" w:rsidRDefault="00BB49CD" w:rsidP="007D4DAC">
      <w:pPr>
        <w:pStyle w:val="ListParagraph"/>
        <w:widowControl/>
        <w:numPr>
          <w:ilvl w:val="1"/>
          <w:numId w:val="5"/>
        </w:numPr>
        <w:rPr>
          <w:szCs w:val="22"/>
        </w:rPr>
      </w:pPr>
      <w:r w:rsidRPr="002A30B3">
        <w:rPr>
          <w:rStyle w:val="CommentReference"/>
          <w:rFonts w:ascii="Arial" w:hAnsi="Arial"/>
          <w:b w:val="0"/>
          <w:sz w:val="22"/>
          <w:szCs w:val="22"/>
        </w:rPr>
        <w:t xml:space="preserve">Overall, the clinical evidence comparing the efficacy of Asacol and Mezavant in induction and maintenance of remission was of low quality. </w:t>
      </w:r>
      <w:r w:rsidR="00622476" w:rsidRPr="002A30B3">
        <w:rPr>
          <w:rStyle w:val="CommentReference"/>
          <w:rFonts w:ascii="Arial" w:hAnsi="Arial"/>
          <w:b w:val="0"/>
          <w:sz w:val="22"/>
          <w:szCs w:val="22"/>
        </w:rPr>
        <w:t>No comparative data w</w:t>
      </w:r>
      <w:r w:rsidR="0034771E" w:rsidRPr="002A30B3">
        <w:rPr>
          <w:rStyle w:val="CommentReference"/>
          <w:rFonts w:ascii="Arial" w:hAnsi="Arial"/>
          <w:b w:val="0"/>
          <w:sz w:val="22"/>
          <w:szCs w:val="22"/>
        </w:rPr>
        <w:t>ere</w:t>
      </w:r>
      <w:r w:rsidR="00622476" w:rsidRPr="002A30B3">
        <w:rPr>
          <w:rStyle w:val="CommentReference"/>
          <w:rFonts w:ascii="Arial" w:hAnsi="Arial"/>
          <w:b w:val="0"/>
          <w:sz w:val="22"/>
          <w:szCs w:val="22"/>
        </w:rPr>
        <w:t xml:space="preserve"> presented for the use of high dose Asacol for induction of remission. </w:t>
      </w:r>
      <w:r w:rsidR="0034771E" w:rsidRPr="002A30B3">
        <w:rPr>
          <w:rStyle w:val="CommentReference"/>
          <w:rFonts w:ascii="Arial" w:hAnsi="Arial"/>
          <w:b w:val="0"/>
          <w:sz w:val="22"/>
          <w:szCs w:val="22"/>
        </w:rPr>
        <w:t>The s</w:t>
      </w:r>
      <w:r w:rsidR="00622476" w:rsidRPr="002A30B3">
        <w:rPr>
          <w:rStyle w:val="CommentReference"/>
          <w:rFonts w:ascii="Arial" w:hAnsi="Arial"/>
          <w:b w:val="0"/>
          <w:sz w:val="22"/>
          <w:szCs w:val="22"/>
        </w:rPr>
        <w:t>upportive data were inconsistent, with a pooled subgroup analysis from a systematic review (Wang 2016a) suggesting that Asacol (1.6-</w:t>
      </w:r>
      <w:r w:rsidR="00F66817" w:rsidRPr="002A30B3">
        <w:rPr>
          <w:rStyle w:val="CommentReference"/>
          <w:rFonts w:ascii="Arial" w:hAnsi="Arial"/>
          <w:b w:val="0"/>
          <w:sz w:val="22"/>
          <w:szCs w:val="22"/>
        </w:rPr>
        <w:t>4.8 g</w:t>
      </w:r>
      <w:r w:rsidR="00622476" w:rsidRPr="002A30B3">
        <w:rPr>
          <w:rStyle w:val="CommentReference"/>
          <w:rFonts w:ascii="Arial" w:hAnsi="Arial"/>
          <w:b w:val="0"/>
          <w:sz w:val="22"/>
          <w:szCs w:val="22"/>
        </w:rPr>
        <w:t xml:space="preserve">) was superior to placebo and the Kamm 2007 trial suggesting Asacol </w:t>
      </w:r>
      <w:r w:rsidR="00F66817" w:rsidRPr="002A30B3">
        <w:rPr>
          <w:rStyle w:val="CommentReference"/>
          <w:rFonts w:ascii="Arial" w:hAnsi="Arial"/>
          <w:b w:val="0"/>
          <w:sz w:val="22"/>
          <w:szCs w:val="22"/>
        </w:rPr>
        <w:t>2.4 g</w:t>
      </w:r>
      <w:r w:rsidR="00622476" w:rsidRPr="002A30B3">
        <w:rPr>
          <w:rStyle w:val="CommentReference"/>
          <w:rFonts w:ascii="Arial" w:hAnsi="Arial"/>
          <w:b w:val="0"/>
          <w:sz w:val="22"/>
          <w:szCs w:val="22"/>
        </w:rPr>
        <w:t xml:space="preserve"> was no different to placebo. </w:t>
      </w:r>
      <w:r w:rsidR="007D4DAC" w:rsidRPr="002A30B3">
        <w:rPr>
          <w:rStyle w:val="CommentReference"/>
          <w:rFonts w:ascii="Arial" w:hAnsi="Arial"/>
          <w:b w:val="0"/>
          <w:sz w:val="22"/>
          <w:szCs w:val="22"/>
        </w:rPr>
        <w:t>The ESC noted that a</w:t>
      </w:r>
      <w:r w:rsidR="00622476" w:rsidRPr="002A30B3">
        <w:rPr>
          <w:rStyle w:val="CommentReference"/>
          <w:rFonts w:ascii="Arial" w:hAnsi="Arial"/>
          <w:b w:val="0"/>
          <w:sz w:val="22"/>
          <w:szCs w:val="22"/>
        </w:rPr>
        <w:t xml:space="preserve"> pooled subgroup analysis</w:t>
      </w:r>
      <w:r w:rsidR="00F7060D" w:rsidRPr="002A30B3">
        <w:rPr>
          <w:rStyle w:val="CommentReference"/>
          <w:rFonts w:ascii="Arial" w:hAnsi="Arial"/>
          <w:b w:val="0"/>
          <w:sz w:val="22"/>
          <w:szCs w:val="22"/>
        </w:rPr>
        <w:t xml:space="preserve"> of </w:t>
      </w:r>
      <w:r w:rsidR="0034771E" w:rsidRPr="002A30B3">
        <w:rPr>
          <w:rStyle w:val="CommentReference"/>
          <w:rFonts w:ascii="Arial" w:hAnsi="Arial"/>
          <w:b w:val="0"/>
          <w:sz w:val="22"/>
          <w:szCs w:val="22"/>
        </w:rPr>
        <w:t>trials</w:t>
      </w:r>
      <w:r w:rsidR="00622476" w:rsidRPr="002A30B3">
        <w:rPr>
          <w:rStyle w:val="CommentReference"/>
          <w:rFonts w:ascii="Arial" w:hAnsi="Arial"/>
          <w:b w:val="0"/>
          <w:sz w:val="22"/>
          <w:szCs w:val="22"/>
        </w:rPr>
        <w:t xml:space="preserve"> (Wang 2016a) further suggests no treatment effect difference between high </w:t>
      </w:r>
      <w:r w:rsidR="007D4DAC" w:rsidRPr="002A30B3">
        <w:rPr>
          <w:rStyle w:val="CommentReference"/>
          <w:rFonts w:ascii="Arial" w:hAnsi="Arial"/>
          <w:b w:val="0"/>
          <w:sz w:val="22"/>
          <w:szCs w:val="22"/>
        </w:rPr>
        <w:t xml:space="preserve">(4.8 g) </w:t>
      </w:r>
      <w:r w:rsidR="00622476" w:rsidRPr="002A30B3">
        <w:rPr>
          <w:rStyle w:val="CommentReference"/>
          <w:rFonts w:ascii="Arial" w:hAnsi="Arial"/>
          <w:b w:val="0"/>
          <w:sz w:val="22"/>
          <w:szCs w:val="22"/>
        </w:rPr>
        <w:t>and low</w:t>
      </w:r>
      <w:r w:rsidR="007D4DAC" w:rsidRPr="002A30B3">
        <w:rPr>
          <w:rStyle w:val="CommentReference"/>
          <w:rFonts w:ascii="Arial" w:hAnsi="Arial"/>
          <w:b w:val="0"/>
          <w:sz w:val="22"/>
          <w:szCs w:val="22"/>
        </w:rPr>
        <w:t xml:space="preserve"> (2.4 g)</w:t>
      </w:r>
      <w:r w:rsidR="00622476" w:rsidRPr="002A30B3">
        <w:rPr>
          <w:rStyle w:val="CommentReference"/>
          <w:rFonts w:ascii="Arial" w:hAnsi="Arial"/>
          <w:b w:val="0"/>
          <w:sz w:val="22"/>
          <w:szCs w:val="22"/>
        </w:rPr>
        <w:t xml:space="preserve"> dose oral mesalazine treatment for induction of remission</w:t>
      </w:r>
      <w:r w:rsidR="007D4DAC" w:rsidRPr="002A30B3">
        <w:rPr>
          <w:rStyle w:val="CommentReference"/>
          <w:rFonts w:ascii="Arial" w:hAnsi="Arial"/>
          <w:b w:val="0"/>
          <w:sz w:val="22"/>
          <w:szCs w:val="22"/>
        </w:rPr>
        <w:t xml:space="preserve"> (see table below)</w:t>
      </w:r>
      <w:r w:rsidR="00643E17" w:rsidRPr="002A30B3">
        <w:t>.</w:t>
      </w:r>
    </w:p>
    <w:p w14:paraId="3634B8C8" w14:textId="77777777" w:rsidR="00643E17" w:rsidRPr="002A30B3" w:rsidRDefault="00643E17" w:rsidP="00643E17">
      <w:pPr>
        <w:pStyle w:val="ListParagraph"/>
        <w:rPr>
          <w:rStyle w:val="CommentReference"/>
          <w:rFonts w:ascii="Arial" w:hAnsi="Arial"/>
          <w:b w:val="0"/>
          <w:sz w:val="22"/>
          <w:szCs w:val="22"/>
        </w:rPr>
      </w:pPr>
    </w:p>
    <w:p w14:paraId="4B70C9CD" w14:textId="1547B052" w:rsidR="00643E17" w:rsidRPr="002A30B3" w:rsidRDefault="00643E17" w:rsidP="00643E17">
      <w:pPr>
        <w:ind w:left="720"/>
        <w:rPr>
          <w:rStyle w:val="CommentReference"/>
        </w:rPr>
      </w:pPr>
      <w:r w:rsidRPr="002A30B3">
        <w:rPr>
          <w:rStyle w:val="CommentReference"/>
        </w:rPr>
        <w:t xml:space="preserve">Table 8: Pooled subgroup analysis of Asacol 4.8 g versus Asacol 2.4 g from Wang 2016a for induction of remission </w:t>
      </w:r>
    </w:p>
    <w:tbl>
      <w:tblPr>
        <w:tblStyle w:val="TableGrid"/>
        <w:tblW w:w="8363" w:type="dxa"/>
        <w:tblInd w:w="817" w:type="dxa"/>
        <w:tblLook w:val="04A0" w:firstRow="1" w:lastRow="0" w:firstColumn="1" w:lastColumn="0" w:noHBand="0" w:noVBand="1"/>
        <w:tblCaption w:val="Table 8: Pooled subgroup analysis of Asacol 4.8 g versus Asacol 2.4 g from Wang 2016a for induction of remission "/>
      </w:tblPr>
      <w:tblGrid>
        <w:gridCol w:w="1701"/>
        <w:gridCol w:w="1134"/>
        <w:gridCol w:w="1134"/>
        <w:gridCol w:w="1134"/>
        <w:gridCol w:w="1134"/>
        <w:gridCol w:w="1134"/>
        <w:gridCol w:w="992"/>
      </w:tblGrid>
      <w:tr w:rsidR="00261EB2" w:rsidRPr="002A30B3" w14:paraId="253CC1B8" w14:textId="77777777" w:rsidTr="00FB7769">
        <w:trPr>
          <w:trHeight w:val="226"/>
          <w:tblHeader/>
        </w:trPr>
        <w:tc>
          <w:tcPr>
            <w:tcW w:w="1701" w:type="dxa"/>
            <w:vMerge w:val="restart"/>
          </w:tcPr>
          <w:p w14:paraId="40FA9331" w14:textId="77777777" w:rsidR="00643E17" w:rsidRPr="002A30B3" w:rsidRDefault="00643E17" w:rsidP="00FD15B2">
            <w:pPr>
              <w:rPr>
                <w:rFonts w:ascii="Arial Narrow" w:hAnsi="Arial Narrow"/>
                <w:sz w:val="20"/>
              </w:rPr>
            </w:pPr>
          </w:p>
        </w:tc>
        <w:tc>
          <w:tcPr>
            <w:tcW w:w="2268" w:type="dxa"/>
            <w:gridSpan w:val="2"/>
          </w:tcPr>
          <w:p w14:paraId="67ED90D8" w14:textId="77777777" w:rsidR="00643E17" w:rsidRPr="002A30B3" w:rsidRDefault="00643E17" w:rsidP="00FD15B2">
            <w:pPr>
              <w:jc w:val="center"/>
              <w:rPr>
                <w:rFonts w:ascii="Arial Narrow" w:hAnsi="Arial Narrow"/>
                <w:b/>
                <w:sz w:val="20"/>
              </w:rPr>
            </w:pPr>
            <w:r w:rsidRPr="002A30B3">
              <w:rPr>
                <w:rFonts w:ascii="Arial Narrow" w:hAnsi="Arial Narrow"/>
                <w:b/>
                <w:sz w:val="20"/>
              </w:rPr>
              <w:t>Hanauer 2005</w:t>
            </w:r>
          </w:p>
        </w:tc>
        <w:tc>
          <w:tcPr>
            <w:tcW w:w="2268" w:type="dxa"/>
            <w:gridSpan w:val="2"/>
          </w:tcPr>
          <w:p w14:paraId="1FDAAAB4" w14:textId="77777777" w:rsidR="00643E17" w:rsidRPr="002A30B3" w:rsidRDefault="00643E17" w:rsidP="00FD15B2">
            <w:pPr>
              <w:jc w:val="center"/>
              <w:rPr>
                <w:rFonts w:ascii="Arial Narrow" w:hAnsi="Arial Narrow"/>
                <w:b/>
                <w:sz w:val="20"/>
              </w:rPr>
            </w:pPr>
            <w:r w:rsidRPr="002A30B3">
              <w:rPr>
                <w:rFonts w:ascii="Arial Narrow" w:hAnsi="Arial Narrow"/>
                <w:b/>
                <w:sz w:val="20"/>
              </w:rPr>
              <w:t>Hanauer 2007</w:t>
            </w:r>
          </w:p>
        </w:tc>
        <w:tc>
          <w:tcPr>
            <w:tcW w:w="2126" w:type="dxa"/>
            <w:gridSpan w:val="2"/>
          </w:tcPr>
          <w:p w14:paraId="22D37503" w14:textId="77777777" w:rsidR="00643E17" w:rsidRPr="002A30B3" w:rsidRDefault="00643E17" w:rsidP="00FD15B2">
            <w:pPr>
              <w:jc w:val="center"/>
              <w:rPr>
                <w:rFonts w:ascii="Arial Narrow" w:hAnsi="Arial Narrow"/>
                <w:b/>
                <w:sz w:val="20"/>
              </w:rPr>
            </w:pPr>
            <w:r w:rsidRPr="002A30B3">
              <w:rPr>
                <w:rFonts w:ascii="Arial Narrow" w:hAnsi="Arial Narrow"/>
                <w:b/>
                <w:sz w:val="20"/>
              </w:rPr>
              <w:t>Sandborn 2009</w:t>
            </w:r>
          </w:p>
        </w:tc>
      </w:tr>
      <w:tr w:rsidR="00261EB2" w:rsidRPr="002A30B3" w14:paraId="0D83042F" w14:textId="77777777" w:rsidTr="00FB7769">
        <w:trPr>
          <w:trHeight w:val="145"/>
          <w:tblHeader/>
        </w:trPr>
        <w:tc>
          <w:tcPr>
            <w:tcW w:w="1701" w:type="dxa"/>
            <w:vMerge/>
          </w:tcPr>
          <w:p w14:paraId="26E06A37" w14:textId="77777777" w:rsidR="00643E17" w:rsidRPr="002A30B3" w:rsidRDefault="00643E17" w:rsidP="00FD15B2">
            <w:pPr>
              <w:rPr>
                <w:rFonts w:ascii="Arial Narrow" w:hAnsi="Arial Narrow"/>
                <w:sz w:val="20"/>
              </w:rPr>
            </w:pPr>
          </w:p>
        </w:tc>
        <w:tc>
          <w:tcPr>
            <w:tcW w:w="1134" w:type="dxa"/>
          </w:tcPr>
          <w:p w14:paraId="4E5D33C5" w14:textId="77777777" w:rsidR="00261EB2" w:rsidRPr="002A30B3" w:rsidRDefault="00643E17" w:rsidP="00FD15B2">
            <w:pPr>
              <w:jc w:val="center"/>
              <w:rPr>
                <w:rFonts w:ascii="Arial Narrow" w:hAnsi="Arial Narrow"/>
                <w:b/>
                <w:sz w:val="20"/>
              </w:rPr>
            </w:pPr>
            <w:r w:rsidRPr="002A30B3">
              <w:rPr>
                <w:rFonts w:ascii="Arial Narrow" w:hAnsi="Arial Narrow"/>
                <w:b/>
                <w:sz w:val="20"/>
              </w:rPr>
              <w:t>Asacol</w:t>
            </w:r>
          </w:p>
          <w:p w14:paraId="0A578691" w14:textId="6897DA91" w:rsidR="00643E17" w:rsidRPr="002A30B3" w:rsidRDefault="00643E17" w:rsidP="00FD15B2">
            <w:pPr>
              <w:jc w:val="center"/>
              <w:rPr>
                <w:rFonts w:ascii="Arial Narrow" w:hAnsi="Arial Narrow"/>
                <w:b/>
                <w:sz w:val="20"/>
              </w:rPr>
            </w:pPr>
            <w:r w:rsidRPr="002A30B3">
              <w:rPr>
                <w:rFonts w:ascii="Arial Narrow" w:hAnsi="Arial Narrow"/>
                <w:b/>
                <w:sz w:val="20"/>
              </w:rPr>
              <w:t xml:space="preserve"> 4.8 g</w:t>
            </w:r>
          </w:p>
          <w:p w14:paraId="5AD22032" w14:textId="77777777" w:rsidR="00643E17" w:rsidRPr="002A30B3" w:rsidRDefault="00643E17" w:rsidP="00FD15B2">
            <w:pPr>
              <w:jc w:val="center"/>
              <w:rPr>
                <w:rFonts w:ascii="Arial Narrow" w:hAnsi="Arial Narrow"/>
                <w:b/>
                <w:sz w:val="20"/>
              </w:rPr>
            </w:pPr>
            <w:r w:rsidRPr="002A30B3">
              <w:rPr>
                <w:rFonts w:ascii="Arial Narrow" w:hAnsi="Arial Narrow"/>
                <w:b/>
                <w:sz w:val="20"/>
              </w:rPr>
              <w:t>N=191</w:t>
            </w:r>
          </w:p>
        </w:tc>
        <w:tc>
          <w:tcPr>
            <w:tcW w:w="1134" w:type="dxa"/>
          </w:tcPr>
          <w:p w14:paraId="24A8C9E3" w14:textId="77777777" w:rsidR="00261EB2" w:rsidRPr="002A30B3" w:rsidRDefault="00643E17" w:rsidP="00FD15B2">
            <w:pPr>
              <w:jc w:val="center"/>
              <w:rPr>
                <w:rFonts w:ascii="Arial Narrow" w:hAnsi="Arial Narrow"/>
                <w:b/>
                <w:sz w:val="20"/>
              </w:rPr>
            </w:pPr>
            <w:r w:rsidRPr="002A30B3">
              <w:rPr>
                <w:rFonts w:ascii="Arial Narrow" w:hAnsi="Arial Narrow"/>
                <w:b/>
                <w:sz w:val="20"/>
              </w:rPr>
              <w:t xml:space="preserve">Asacol </w:t>
            </w:r>
          </w:p>
          <w:p w14:paraId="4A2A0EDB" w14:textId="7A55E1CD" w:rsidR="00643E17" w:rsidRPr="002A30B3" w:rsidRDefault="00643E17" w:rsidP="00FD15B2">
            <w:pPr>
              <w:jc w:val="center"/>
              <w:rPr>
                <w:rFonts w:ascii="Arial Narrow" w:hAnsi="Arial Narrow"/>
                <w:b/>
                <w:sz w:val="20"/>
              </w:rPr>
            </w:pPr>
            <w:r w:rsidRPr="002A30B3">
              <w:rPr>
                <w:rFonts w:ascii="Arial Narrow" w:hAnsi="Arial Narrow"/>
                <w:b/>
                <w:sz w:val="20"/>
              </w:rPr>
              <w:t>2.4 g</w:t>
            </w:r>
          </w:p>
          <w:p w14:paraId="4A88C897" w14:textId="77777777" w:rsidR="00643E17" w:rsidRPr="002A30B3" w:rsidRDefault="00643E17" w:rsidP="00FD15B2">
            <w:pPr>
              <w:jc w:val="center"/>
              <w:rPr>
                <w:rFonts w:ascii="Arial Narrow" w:hAnsi="Arial Narrow"/>
                <w:b/>
                <w:sz w:val="20"/>
              </w:rPr>
            </w:pPr>
            <w:r w:rsidRPr="002A30B3">
              <w:rPr>
                <w:rFonts w:ascii="Arial Narrow" w:hAnsi="Arial Narrow"/>
                <w:b/>
                <w:sz w:val="20"/>
              </w:rPr>
              <w:t>N=195</w:t>
            </w:r>
          </w:p>
        </w:tc>
        <w:tc>
          <w:tcPr>
            <w:tcW w:w="1134" w:type="dxa"/>
          </w:tcPr>
          <w:p w14:paraId="4BC47B98" w14:textId="77777777" w:rsidR="00261EB2" w:rsidRPr="002A30B3" w:rsidRDefault="00643E17" w:rsidP="00FD15B2">
            <w:pPr>
              <w:jc w:val="center"/>
              <w:rPr>
                <w:rFonts w:ascii="Arial Narrow" w:hAnsi="Arial Narrow"/>
                <w:b/>
                <w:sz w:val="20"/>
              </w:rPr>
            </w:pPr>
            <w:r w:rsidRPr="002A30B3">
              <w:rPr>
                <w:rFonts w:ascii="Arial Narrow" w:hAnsi="Arial Narrow"/>
                <w:b/>
                <w:sz w:val="20"/>
              </w:rPr>
              <w:t xml:space="preserve">Asacol </w:t>
            </w:r>
          </w:p>
          <w:p w14:paraId="7C842B4F" w14:textId="4BC6554D" w:rsidR="00643E17" w:rsidRPr="002A30B3" w:rsidRDefault="00643E17" w:rsidP="00FD15B2">
            <w:pPr>
              <w:jc w:val="center"/>
              <w:rPr>
                <w:rFonts w:ascii="Arial Narrow" w:hAnsi="Arial Narrow"/>
                <w:b/>
                <w:sz w:val="20"/>
              </w:rPr>
            </w:pPr>
            <w:r w:rsidRPr="002A30B3">
              <w:rPr>
                <w:rFonts w:ascii="Arial Narrow" w:hAnsi="Arial Narrow"/>
                <w:b/>
                <w:sz w:val="20"/>
              </w:rPr>
              <w:t>4.8 g</w:t>
            </w:r>
          </w:p>
          <w:p w14:paraId="757E6976" w14:textId="77777777" w:rsidR="00643E17" w:rsidRPr="002A30B3" w:rsidRDefault="00643E17" w:rsidP="00FD15B2">
            <w:pPr>
              <w:jc w:val="center"/>
              <w:rPr>
                <w:rFonts w:ascii="Arial Narrow" w:hAnsi="Arial Narrow"/>
                <w:b/>
                <w:sz w:val="20"/>
              </w:rPr>
            </w:pPr>
            <w:r w:rsidRPr="002A30B3">
              <w:rPr>
                <w:rFonts w:ascii="Arial Narrow" w:hAnsi="Arial Narrow"/>
                <w:b/>
                <w:sz w:val="20"/>
              </w:rPr>
              <w:t>N=147</w:t>
            </w:r>
          </w:p>
        </w:tc>
        <w:tc>
          <w:tcPr>
            <w:tcW w:w="1134" w:type="dxa"/>
          </w:tcPr>
          <w:p w14:paraId="12C35812" w14:textId="77777777" w:rsidR="00261EB2" w:rsidRPr="002A30B3" w:rsidRDefault="00643E17" w:rsidP="00FD15B2">
            <w:pPr>
              <w:jc w:val="center"/>
              <w:rPr>
                <w:rFonts w:ascii="Arial Narrow" w:hAnsi="Arial Narrow"/>
                <w:b/>
                <w:sz w:val="20"/>
              </w:rPr>
            </w:pPr>
            <w:r w:rsidRPr="002A30B3">
              <w:rPr>
                <w:rFonts w:ascii="Arial Narrow" w:hAnsi="Arial Narrow"/>
                <w:b/>
                <w:sz w:val="20"/>
              </w:rPr>
              <w:t xml:space="preserve">Asacol </w:t>
            </w:r>
          </w:p>
          <w:p w14:paraId="0DA0C623" w14:textId="6B166FFF" w:rsidR="00643E17" w:rsidRPr="002A30B3" w:rsidRDefault="00643E17" w:rsidP="00FD15B2">
            <w:pPr>
              <w:jc w:val="center"/>
              <w:rPr>
                <w:rFonts w:ascii="Arial Narrow" w:hAnsi="Arial Narrow"/>
                <w:b/>
                <w:sz w:val="20"/>
              </w:rPr>
            </w:pPr>
            <w:r w:rsidRPr="002A30B3">
              <w:rPr>
                <w:rFonts w:ascii="Arial Narrow" w:hAnsi="Arial Narrow"/>
                <w:b/>
                <w:sz w:val="20"/>
              </w:rPr>
              <w:t>2.4 g</w:t>
            </w:r>
          </w:p>
          <w:p w14:paraId="6BDDE057" w14:textId="77777777" w:rsidR="00643E17" w:rsidRPr="002A30B3" w:rsidRDefault="00643E17" w:rsidP="00FD15B2">
            <w:pPr>
              <w:jc w:val="center"/>
              <w:rPr>
                <w:rFonts w:ascii="Arial Narrow" w:hAnsi="Arial Narrow"/>
                <w:b/>
                <w:sz w:val="20"/>
              </w:rPr>
            </w:pPr>
            <w:r w:rsidRPr="002A30B3">
              <w:rPr>
                <w:rFonts w:ascii="Arial Narrow" w:hAnsi="Arial Narrow"/>
                <w:b/>
                <w:sz w:val="20"/>
              </w:rPr>
              <w:t>N=154</w:t>
            </w:r>
          </w:p>
        </w:tc>
        <w:tc>
          <w:tcPr>
            <w:tcW w:w="1134" w:type="dxa"/>
          </w:tcPr>
          <w:p w14:paraId="04BCD984" w14:textId="77777777" w:rsidR="00647D27" w:rsidRPr="002A30B3" w:rsidRDefault="00643E17" w:rsidP="00FD15B2">
            <w:pPr>
              <w:jc w:val="center"/>
              <w:rPr>
                <w:rFonts w:ascii="Arial Narrow" w:hAnsi="Arial Narrow"/>
                <w:b/>
                <w:sz w:val="20"/>
              </w:rPr>
            </w:pPr>
            <w:r w:rsidRPr="002A30B3">
              <w:rPr>
                <w:rFonts w:ascii="Arial Narrow" w:hAnsi="Arial Narrow"/>
                <w:b/>
                <w:sz w:val="20"/>
              </w:rPr>
              <w:t xml:space="preserve">Asacol </w:t>
            </w:r>
          </w:p>
          <w:p w14:paraId="39F44937" w14:textId="5BF13F7E" w:rsidR="00643E17" w:rsidRPr="002A30B3" w:rsidRDefault="00643E17" w:rsidP="00FD15B2">
            <w:pPr>
              <w:jc w:val="center"/>
              <w:rPr>
                <w:rFonts w:ascii="Arial Narrow" w:hAnsi="Arial Narrow"/>
                <w:b/>
                <w:sz w:val="20"/>
              </w:rPr>
            </w:pPr>
            <w:r w:rsidRPr="002A30B3">
              <w:rPr>
                <w:rFonts w:ascii="Arial Narrow" w:hAnsi="Arial Narrow"/>
                <w:b/>
                <w:sz w:val="20"/>
              </w:rPr>
              <w:t>4.8 g</w:t>
            </w:r>
          </w:p>
          <w:p w14:paraId="6BA99420" w14:textId="77777777" w:rsidR="00643E17" w:rsidRPr="002A30B3" w:rsidRDefault="00643E17" w:rsidP="00FD15B2">
            <w:pPr>
              <w:jc w:val="center"/>
              <w:rPr>
                <w:rFonts w:ascii="Arial Narrow" w:hAnsi="Arial Narrow"/>
                <w:b/>
                <w:sz w:val="20"/>
              </w:rPr>
            </w:pPr>
            <w:r w:rsidRPr="002A30B3">
              <w:rPr>
                <w:rFonts w:ascii="Arial Narrow" w:hAnsi="Arial Narrow"/>
                <w:b/>
                <w:sz w:val="20"/>
              </w:rPr>
              <w:t>N=389</w:t>
            </w:r>
          </w:p>
        </w:tc>
        <w:tc>
          <w:tcPr>
            <w:tcW w:w="992" w:type="dxa"/>
          </w:tcPr>
          <w:p w14:paraId="56D37216" w14:textId="77777777" w:rsidR="00261EB2" w:rsidRPr="002A30B3" w:rsidRDefault="00643E17" w:rsidP="00FD15B2">
            <w:pPr>
              <w:jc w:val="center"/>
              <w:rPr>
                <w:rFonts w:ascii="Arial Narrow" w:hAnsi="Arial Narrow"/>
                <w:b/>
                <w:sz w:val="20"/>
              </w:rPr>
            </w:pPr>
            <w:r w:rsidRPr="002A30B3">
              <w:rPr>
                <w:rFonts w:ascii="Arial Narrow" w:hAnsi="Arial Narrow"/>
                <w:b/>
                <w:sz w:val="20"/>
              </w:rPr>
              <w:t xml:space="preserve">Asacol </w:t>
            </w:r>
          </w:p>
          <w:p w14:paraId="63A484F6" w14:textId="08CC97C7" w:rsidR="00643E17" w:rsidRPr="002A30B3" w:rsidRDefault="00643E17" w:rsidP="00FD15B2">
            <w:pPr>
              <w:jc w:val="center"/>
              <w:rPr>
                <w:rFonts w:ascii="Arial Narrow" w:hAnsi="Arial Narrow"/>
                <w:b/>
                <w:sz w:val="20"/>
              </w:rPr>
            </w:pPr>
            <w:r w:rsidRPr="002A30B3">
              <w:rPr>
                <w:rFonts w:ascii="Arial Narrow" w:hAnsi="Arial Narrow"/>
                <w:b/>
                <w:sz w:val="20"/>
              </w:rPr>
              <w:t>2.4 g</w:t>
            </w:r>
          </w:p>
          <w:p w14:paraId="398DBC71" w14:textId="77777777" w:rsidR="00643E17" w:rsidRPr="002A30B3" w:rsidRDefault="00643E17" w:rsidP="00FD15B2">
            <w:pPr>
              <w:jc w:val="center"/>
              <w:rPr>
                <w:rFonts w:ascii="Arial Narrow" w:hAnsi="Arial Narrow"/>
                <w:b/>
                <w:sz w:val="20"/>
              </w:rPr>
            </w:pPr>
            <w:r w:rsidRPr="002A30B3">
              <w:rPr>
                <w:rFonts w:ascii="Arial Narrow" w:hAnsi="Arial Narrow"/>
                <w:b/>
                <w:sz w:val="20"/>
              </w:rPr>
              <w:t>N=383</w:t>
            </w:r>
          </w:p>
        </w:tc>
      </w:tr>
      <w:tr w:rsidR="00261EB2" w:rsidRPr="002A30B3" w14:paraId="2D731AE7" w14:textId="77777777" w:rsidTr="00261EB2">
        <w:trPr>
          <w:trHeight w:val="1156"/>
        </w:trPr>
        <w:tc>
          <w:tcPr>
            <w:tcW w:w="1701" w:type="dxa"/>
          </w:tcPr>
          <w:p w14:paraId="76443D56" w14:textId="77777777" w:rsidR="00643E17" w:rsidRPr="002A30B3" w:rsidRDefault="00643E17" w:rsidP="007D1C4E">
            <w:pPr>
              <w:jc w:val="left"/>
              <w:rPr>
                <w:rFonts w:ascii="Arial Narrow" w:hAnsi="Arial Narrow"/>
                <w:sz w:val="20"/>
              </w:rPr>
            </w:pPr>
            <w:r w:rsidRPr="002A30B3">
              <w:rPr>
                <w:rFonts w:ascii="Arial Narrow" w:hAnsi="Arial Narrow"/>
                <w:sz w:val="20"/>
              </w:rPr>
              <w:t>Failure to induce global or clinical remission or improvement, n/N (%)</w:t>
            </w:r>
          </w:p>
        </w:tc>
        <w:tc>
          <w:tcPr>
            <w:tcW w:w="1134" w:type="dxa"/>
            <w:vAlign w:val="center"/>
          </w:tcPr>
          <w:p w14:paraId="32F20A46" w14:textId="77777777" w:rsidR="00643E17" w:rsidRPr="002A30B3" w:rsidRDefault="00643E17" w:rsidP="00FD15B2">
            <w:pPr>
              <w:jc w:val="center"/>
              <w:rPr>
                <w:rFonts w:ascii="Arial Narrow" w:hAnsi="Arial Narrow"/>
                <w:sz w:val="20"/>
              </w:rPr>
            </w:pPr>
            <w:r w:rsidRPr="002A30B3">
              <w:rPr>
                <w:rFonts w:ascii="Arial Narrow" w:hAnsi="Arial Narrow"/>
                <w:sz w:val="20"/>
              </w:rPr>
              <w:t>79/191 (41)</w:t>
            </w:r>
          </w:p>
        </w:tc>
        <w:tc>
          <w:tcPr>
            <w:tcW w:w="1134" w:type="dxa"/>
            <w:vAlign w:val="center"/>
          </w:tcPr>
          <w:p w14:paraId="0A80E6D7" w14:textId="77777777" w:rsidR="00643E17" w:rsidRPr="002A30B3" w:rsidRDefault="00643E17" w:rsidP="00FD15B2">
            <w:pPr>
              <w:jc w:val="center"/>
              <w:rPr>
                <w:rFonts w:ascii="Arial Narrow" w:hAnsi="Arial Narrow"/>
                <w:sz w:val="20"/>
              </w:rPr>
            </w:pPr>
            <w:r w:rsidRPr="002A30B3">
              <w:rPr>
                <w:rFonts w:ascii="Arial Narrow" w:hAnsi="Arial Narrow"/>
                <w:sz w:val="20"/>
              </w:rPr>
              <w:t xml:space="preserve">93/195 (48) </w:t>
            </w:r>
          </w:p>
        </w:tc>
        <w:tc>
          <w:tcPr>
            <w:tcW w:w="1134" w:type="dxa"/>
            <w:vAlign w:val="center"/>
          </w:tcPr>
          <w:p w14:paraId="0E247D8E" w14:textId="77777777" w:rsidR="00643E17" w:rsidRPr="002A30B3" w:rsidRDefault="00643E17" w:rsidP="00FD15B2">
            <w:pPr>
              <w:jc w:val="center"/>
              <w:rPr>
                <w:rFonts w:ascii="Arial Narrow" w:hAnsi="Arial Narrow"/>
                <w:sz w:val="20"/>
              </w:rPr>
            </w:pPr>
            <w:r w:rsidRPr="002A30B3">
              <w:rPr>
                <w:rFonts w:ascii="Arial Narrow" w:hAnsi="Arial Narrow"/>
                <w:sz w:val="20"/>
              </w:rPr>
              <w:t>71/147 (48)</w:t>
            </w:r>
          </w:p>
        </w:tc>
        <w:tc>
          <w:tcPr>
            <w:tcW w:w="1134" w:type="dxa"/>
            <w:vAlign w:val="center"/>
          </w:tcPr>
          <w:p w14:paraId="28F173F3" w14:textId="77777777" w:rsidR="00643E17" w:rsidRPr="002A30B3" w:rsidRDefault="00643E17" w:rsidP="00FD15B2">
            <w:pPr>
              <w:jc w:val="center"/>
              <w:rPr>
                <w:rFonts w:ascii="Arial Narrow" w:hAnsi="Arial Narrow"/>
                <w:sz w:val="20"/>
              </w:rPr>
            </w:pPr>
            <w:r w:rsidRPr="002A30B3">
              <w:rPr>
                <w:rFonts w:ascii="Arial Narrow" w:hAnsi="Arial Narrow"/>
                <w:sz w:val="20"/>
              </w:rPr>
              <w:t>77/154 (50)</w:t>
            </w:r>
          </w:p>
        </w:tc>
        <w:tc>
          <w:tcPr>
            <w:tcW w:w="1134" w:type="dxa"/>
            <w:vAlign w:val="center"/>
          </w:tcPr>
          <w:p w14:paraId="51F9F011" w14:textId="77777777" w:rsidR="00643E17" w:rsidRPr="002A30B3" w:rsidRDefault="00643E17" w:rsidP="00FD15B2">
            <w:pPr>
              <w:jc w:val="center"/>
              <w:rPr>
                <w:rFonts w:ascii="Arial Narrow" w:hAnsi="Arial Narrow"/>
                <w:sz w:val="20"/>
              </w:rPr>
            </w:pPr>
            <w:r w:rsidRPr="002A30B3">
              <w:rPr>
                <w:rFonts w:ascii="Arial Narrow" w:hAnsi="Arial Narrow"/>
                <w:sz w:val="20"/>
              </w:rPr>
              <w:t>116/389 (30)</w:t>
            </w:r>
          </w:p>
        </w:tc>
        <w:tc>
          <w:tcPr>
            <w:tcW w:w="992" w:type="dxa"/>
            <w:vAlign w:val="center"/>
          </w:tcPr>
          <w:p w14:paraId="7C7B9E41" w14:textId="77777777" w:rsidR="00643E17" w:rsidRPr="002A30B3" w:rsidRDefault="00643E17" w:rsidP="00FD15B2">
            <w:pPr>
              <w:jc w:val="center"/>
              <w:rPr>
                <w:rFonts w:ascii="Arial Narrow" w:hAnsi="Arial Narrow"/>
                <w:sz w:val="20"/>
              </w:rPr>
            </w:pPr>
            <w:r w:rsidRPr="002A30B3">
              <w:rPr>
                <w:rFonts w:ascii="Arial Narrow" w:hAnsi="Arial Narrow"/>
                <w:sz w:val="20"/>
              </w:rPr>
              <w:t>132/383 (34)</w:t>
            </w:r>
          </w:p>
        </w:tc>
      </w:tr>
      <w:tr w:rsidR="00261EB2" w:rsidRPr="002A30B3" w14:paraId="40C67FA0" w14:textId="77777777" w:rsidTr="00261EB2">
        <w:trPr>
          <w:trHeight w:val="226"/>
        </w:trPr>
        <w:tc>
          <w:tcPr>
            <w:tcW w:w="1701" w:type="dxa"/>
            <w:tcBorders>
              <w:bottom w:val="double" w:sz="4" w:space="0" w:color="auto"/>
            </w:tcBorders>
          </w:tcPr>
          <w:p w14:paraId="33DBC9FD" w14:textId="77777777" w:rsidR="00643E17" w:rsidRPr="002A30B3" w:rsidRDefault="00643E17" w:rsidP="00FD15B2">
            <w:pPr>
              <w:rPr>
                <w:rFonts w:ascii="Arial Narrow" w:hAnsi="Arial Narrow"/>
                <w:sz w:val="20"/>
              </w:rPr>
            </w:pPr>
            <w:r w:rsidRPr="002A30B3">
              <w:rPr>
                <w:rFonts w:ascii="Arial Narrow" w:hAnsi="Arial Narrow"/>
                <w:sz w:val="20"/>
              </w:rPr>
              <w:t>RR (95% CI)</w:t>
            </w:r>
          </w:p>
        </w:tc>
        <w:tc>
          <w:tcPr>
            <w:tcW w:w="2268" w:type="dxa"/>
            <w:gridSpan w:val="2"/>
            <w:tcBorders>
              <w:bottom w:val="double" w:sz="4" w:space="0" w:color="auto"/>
            </w:tcBorders>
            <w:vAlign w:val="center"/>
          </w:tcPr>
          <w:p w14:paraId="11E0BFFC" w14:textId="77777777" w:rsidR="00643E17" w:rsidRPr="002A30B3" w:rsidRDefault="00643E17" w:rsidP="00FD15B2">
            <w:pPr>
              <w:jc w:val="center"/>
              <w:rPr>
                <w:rFonts w:ascii="Arial Narrow" w:hAnsi="Arial Narrow"/>
                <w:sz w:val="20"/>
              </w:rPr>
            </w:pPr>
            <w:r w:rsidRPr="002A30B3">
              <w:rPr>
                <w:rFonts w:ascii="Arial Narrow" w:hAnsi="Arial Narrow"/>
                <w:sz w:val="20"/>
              </w:rPr>
              <w:t>0.87 (0.69, 1.08)</w:t>
            </w:r>
          </w:p>
        </w:tc>
        <w:tc>
          <w:tcPr>
            <w:tcW w:w="2268" w:type="dxa"/>
            <w:gridSpan w:val="2"/>
            <w:tcBorders>
              <w:bottom w:val="double" w:sz="4" w:space="0" w:color="auto"/>
            </w:tcBorders>
            <w:vAlign w:val="center"/>
          </w:tcPr>
          <w:p w14:paraId="7631EE8D" w14:textId="77777777" w:rsidR="00643E17" w:rsidRPr="002A30B3" w:rsidRDefault="00643E17" w:rsidP="00FD15B2">
            <w:pPr>
              <w:jc w:val="center"/>
              <w:rPr>
                <w:rFonts w:ascii="Arial Narrow" w:hAnsi="Arial Narrow"/>
                <w:sz w:val="20"/>
              </w:rPr>
            </w:pPr>
            <w:r w:rsidRPr="002A30B3">
              <w:rPr>
                <w:rFonts w:ascii="Arial Narrow" w:hAnsi="Arial Narrow"/>
                <w:sz w:val="20"/>
              </w:rPr>
              <w:t>0.97 (0.77, 1.22)</w:t>
            </w:r>
          </w:p>
        </w:tc>
        <w:tc>
          <w:tcPr>
            <w:tcW w:w="2126" w:type="dxa"/>
            <w:gridSpan w:val="2"/>
            <w:tcBorders>
              <w:bottom w:val="double" w:sz="4" w:space="0" w:color="auto"/>
            </w:tcBorders>
            <w:vAlign w:val="center"/>
          </w:tcPr>
          <w:p w14:paraId="7499866A" w14:textId="77777777" w:rsidR="00643E17" w:rsidRPr="002A30B3" w:rsidRDefault="00643E17" w:rsidP="00FD15B2">
            <w:pPr>
              <w:jc w:val="center"/>
              <w:rPr>
                <w:rFonts w:ascii="Arial Narrow" w:hAnsi="Arial Narrow"/>
                <w:sz w:val="20"/>
              </w:rPr>
            </w:pPr>
            <w:r w:rsidRPr="002A30B3">
              <w:rPr>
                <w:rFonts w:ascii="Arial Narrow" w:hAnsi="Arial Narrow"/>
                <w:sz w:val="20"/>
              </w:rPr>
              <w:t>0.87 (0.70, 1.06)</w:t>
            </w:r>
          </w:p>
        </w:tc>
      </w:tr>
      <w:tr w:rsidR="00261EB2" w:rsidRPr="002A30B3" w14:paraId="44B6D633" w14:textId="77777777" w:rsidTr="00261EB2">
        <w:trPr>
          <w:trHeight w:val="692"/>
        </w:trPr>
        <w:tc>
          <w:tcPr>
            <w:tcW w:w="6237" w:type="dxa"/>
            <w:gridSpan w:val="5"/>
            <w:tcBorders>
              <w:bottom w:val="double" w:sz="4" w:space="0" w:color="auto"/>
            </w:tcBorders>
          </w:tcPr>
          <w:p w14:paraId="1A1B055A" w14:textId="77777777" w:rsidR="00643E17" w:rsidRPr="002A30B3" w:rsidRDefault="00643E17" w:rsidP="00FD15B2">
            <w:pPr>
              <w:jc w:val="left"/>
              <w:rPr>
                <w:rFonts w:ascii="Arial Narrow" w:hAnsi="Arial Narrow"/>
                <w:b/>
                <w:sz w:val="20"/>
              </w:rPr>
            </w:pPr>
            <w:r w:rsidRPr="002A30B3">
              <w:rPr>
                <w:rFonts w:ascii="Arial Narrow" w:hAnsi="Arial Narrow"/>
                <w:b/>
                <w:sz w:val="20"/>
              </w:rPr>
              <w:t>Asacol 4.8 g vs Asacol 2.4 g, Pooled RR (95% CI)</w:t>
            </w:r>
          </w:p>
          <w:p w14:paraId="19A91A93" w14:textId="77777777" w:rsidR="00643E17" w:rsidRPr="002A30B3" w:rsidRDefault="00643E17" w:rsidP="00FD15B2">
            <w:pPr>
              <w:keepNext/>
              <w:jc w:val="left"/>
              <w:rPr>
                <w:rFonts w:ascii="Arial Narrow" w:hAnsi="Arial Narrow"/>
                <w:sz w:val="20"/>
              </w:rPr>
            </w:pPr>
            <w:r w:rsidRPr="002A30B3">
              <w:rPr>
                <w:rFonts w:ascii="Arial Narrow" w:hAnsi="Arial Narrow"/>
                <w:sz w:val="20"/>
              </w:rPr>
              <w:t>Chi-square for heterogeneity: 0.61, df=2, P=0.74</w:t>
            </w:r>
          </w:p>
          <w:p w14:paraId="076D3AD2" w14:textId="77777777" w:rsidR="00643E17" w:rsidRPr="002A30B3" w:rsidRDefault="00643E17" w:rsidP="00FD15B2">
            <w:pPr>
              <w:jc w:val="left"/>
              <w:rPr>
                <w:rFonts w:ascii="Arial Narrow" w:hAnsi="Arial Narrow"/>
                <w:b/>
                <w:sz w:val="20"/>
              </w:rPr>
            </w:pPr>
            <w:r w:rsidRPr="002A30B3">
              <w:rPr>
                <w:rFonts w:ascii="Arial Narrow" w:hAnsi="Arial Narrow"/>
                <w:sz w:val="20"/>
              </w:rPr>
              <w:t>I</w:t>
            </w:r>
            <w:r w:rsidRPr="002A30B3">
              <w:rPr>
                <w:rFonts w:ascii="Arial Narrow" w:hAnsi="Arial Narrow"/>
                <w:sz w:val="20"/>
                <w:vertAlign w:val="superscript"/>
              </w:rPr>
              <w:t>2</w:t>
            </w:r>
            <w:r w:rsidRPr="002A30B3">
              <w:rPr>
                <w:rFonts w:ascii="Arial Narrow" w:hAnsi="Arial Narrow"/>
                <w:sz w:val="20"/>
              </w:rPr>
              <w:t xml:space="preserve"> statistic with 95% uncertainty interval = 0%</w:t>
            </w:r>
          </w:p>
        </w:tc>
        <w:tc>
          <w:tcPr>
            <w:tcW w:w="2126" w:type="dxa"/>
            <w:gridSpan w:val="2"/>
            <w:tcBorders>
              <w:top w:val="double" w:sz="4" w:space="0" w:color="auto"/>
              <w:bottom w:val="double" w:sz="4" w:space="0" w:color="auto"/>
            </w:tcBorders>
            <w:vAlign w:val="center"/>
          </w:tcPr>
          <w:p w14:paraId="04762D5C" w14:textId="77777777" w:rsidR="00643E17" w:rsidRPr="002A30B3" w:rsidRDefault="00643E17" w:rsidP="00FD15B2">
            <w:pPr>
              <w:jc w:val="center"/>
              <w:rPr>
                <w:rFonts w:ascii="Arial Narrow" w:hAnsi="Arial Narrow"/>
                <w:sz w:val="20"/>
              </w:rPr>
            </w:pPr>
            <w:r w:rsidRPr="002A30B3">
              <w:rPr>
                <w:rFonts w:ascii="Arial Narrow" w:hAnsi="Arial Narrow"/>
                <w:sz w:val="20"/>
              </w:rPr>
              <w:t>0.89 (0.78, 1.01)</w:t>
            </w:r>
          </w:p>
        </w:tc>
      </w:tr>
    </w:tbl>
    <w:p w14:paraId="354429B6" w14:textId="77777777" w:rsidR="00643E17" w:rsidRPr="002A30B3" w:rsidRDefault="00643E17" w:rsidP="00643E17">
      <w:pPr>
        <w:pStyle w:val="TableFooter"/>
        <w:ind w:left="720"/>
      </w:pPr>
      <w:r w:rsidRPr="002A30B3">
        <w:t>Source: Table 31, p47 of the submission and Analysis 5.2, p130 of Wang 2016 publication</w:t>
      </w:r>
    </w:p>
    <w:p w14:paraId="1300F407" w14:textId="77777777" w:rsidR="00643E17" w:rsidRPr="002A30B3" w:rsidRDefault="00643E17" w:rsidP="00BB474C">
      <w:pPr>
        <w:pStyle w:val="TableFooter"/>
        <w:ind w:left="720"/>
      </w:pPr>
      <w:r w:rsidRPr="002A30B3">
        <w:t>Abbreviations: CI, confidence interval; RR, relative risk</w:t>
      </w:r>
    </w:p>
    <w:p w14:paraId="269E59E8" w14:textId="77777777" w:rsidR="00643E17" w:rsidRPr="002A30B3" w:rsidRDefault="00643E17" w:rsidP="00BB474C">
      <w:pPr>
        <w:rPr>
          <w:i/>
        </w:rPr>
      </w:pPr>
    </w:p>
    <w:p w14:paraId="11E06CFB" w14:textId="6FF77F7B" w:rsidR="00BB49CD" w:rsidRPr="002A30B3" w:rsidRDefault="00622476" w:rsidP="00BB474C">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lastRenderedPageBreak/>
        <w:t xml:space="preserve">Systematic reviews comparing oral 5-ASAs including mesalazine, sulfasalazine, balsalazide and olsalazine (Wang 2016a, Wang 2016b and Ford 2011) with placebo had consistent results, suggesting that 5-ASAs were superior to placebo for both induction and maintenance of remission. However, the authors acknowledged substantial heterogeneity between trials (e.g. disease severity, trial duration, efficacy endpoints). Many of the studies were early preliminary trials and had a high risk of bias. The TGA </w:t>
      </w:r>
      <w:r w:rsidR="00C416F9" w:rsidRPr="002A30B3">
        <w:rPr>
          <w:rStyle w:val="CommentReference"/>
          <w:rFonts w:ascii="Arial" w:hAnsi="Arial"/>
          <w:b w:val="0"/>
          <w:sz w:val="22"/>
          <w:szCs w:val="22"/>
        </w:rPr>
        <w:t xml:space="preserve">clinical </w:t>
      </w:r>
      <w:r w:rsidRPr="002A30B3">
        <w:rPr>
          <w:rStyle w:val="CommentReference"/>
          <w:rFonts w:ascii="Arial" w:hAnsi="Arial"/>
          <w:b w:val="0"/>
          <w:sz w:val="22"/>
          <w:szCs w:val="22"/>
        </w:rPr>
        <w:t xml:space="preserve">evaluator noted that although there was adequate data to support the use of Asacol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to </w:t>
      </w:r>
      <w:r w:rsidR="00F66817" w:rsidRPr="002A30B3">
        <w:rPr>
          <w:rStyle w:val="CommentReference"/>
          <w:rFonts w:ascii="Arial" w:hAnsi="Arial"/>
          <w:b w:val="0"/>
          <w:sz w:val="22"/>
          <w:szCs w:val="22"/>
        </w:rPr>
        <w:t>4.8 g</w:t>
      </w:r>
      <w:r w:rsidRPr="002A30B3">
        <w:rPr>
          <w:rStyle w:val="CommentReference"/>
          <w:rFonts w:ascii="Arial" w:hAnsi="Arial"/>
          <w:b w:val="0"/>
          <w:sz w:val="22"/>
          <w:szCs w:val="22"/>
        </w:rPr>
        <w:t xml:space="preserve"> per day for induction of remission and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per day for maintenance therapy, there w</w:t>
      </w:r>
      <w:r w:rsidR="0034771E" w:rsidRPr="002A30B3">
        <w:rPr>
          <w:rStyle w:val="CommentReference"/>
          <w:rFonts w:ascii="Arial" w:hAnsi="Arial"/>
          <w:b w:val="0"/>
          <w:sz w:val="22"/>
          <w:szCs w:val="22"/>
        </w:rPr>
        <w:t>ere</w:t>
      </w:r>
      <w:r w:rsidRPr="002A30B3">
        <w:rPr>
          <w:rStyle w:val="CommentReference"/>
          <w:rFonts w:ascii="Arial" w:hAnsi="Arial"/>
          <w:b w:val="0"/>
          <w:sz w:val="22"/>
          <w:szCs w:val="22"/>
        </w:rPr>
        <w:t xml:space="preserve"> limited data supporting the use of a lower dose (i.e. </w:t>
      </w:r>
      <w:r w:rsidR="00F66817" w:rsidRPr="002A30B3">
        <w:rPr>
          <w:rStyle w:val="CommentReference"/>
          <w:rFonts w:ascii="Arial" w:hAnsi="Arial"/>
          <w:b w:val="0"/>
          <w:sz w:val="22"/>
          <w:szCs w:val="22"/>
        </w:rPr>
        <w:t>1.6 g</w:t>
      </w:r>
      <w:r w:rsidRPr="002A30B3">
        <w:rPr>
          <w:rStyle w:val="CommentReference"/>
          <w:rFonts w:ascii="Arial" w:hAnsi="Arial"/>
          <w:b w:val="0"/>
          <w:sz w:val="22"/>
          <w:szCs w:val="22"/>
        </w:rPr>
        <w:t xml:space="preserve"> per day</w:t>
      </w:r>
      <w:r w:rsidR="00A24D76" w:rsidRPr="002A30B3">
        <w:rPr>
          <w:rStyle w:val="CommentReference"/>
          <w:rFonts w:ascii="Arial" w:hAnsi="Arial"/>
          <w:b w:val="0"/>
          <w:sz w:val="22"/>
          <w:szCs w:val="22"/>
        </w:rPr>
        <w:t>) for maintenance of remission.</w:t>
      </w:r>
    </w:p>
    <w:p w14:paraId="3FF801CE" w14:textId="77777777" w:rsidR="005C0EEB" w:rsidRPr="002A30B3" w:rsidRDefault="005C0EEB" w:rsidP="00BB474C">
      <w:pPr>
        <w:rPr>
          <w:szCs w:val="22"/>
        </w:rPr>
      </w:pPr>
    </w:p>
    <w:p w14:paraId="1452C351" w14:textId="77777777" w:rsidR="00B60939" w:rsidRPr="002A30B3" w:rsidRDefault="00B60939" w:rsidP="00BB474C">
      <w:pPr>
        <w:pStyle w:val="Heading3"/>
        <w:rPr>
          <w:b/>
          <w:i/>
          <w:u w:val="none"/>
        </w:rPr>
      </w:pPr>
      <w:bookmarkStart w:id="11" w:name="_Toc470161816"/>
      <w:r w:rsidRPr="002A30B3">
        <w:rPr>
          <w:b/>
          <w:i/>
          <w:u w:val="none"/>
        </w:rPr>
        <w:t>Comparative harms</w:t>
      </w:r>
      <w:bookmarkEnd w:id="11"/>
    </w:p>
    <w:p w14:paraId="461BA5A9" w14:textId="77777777" w:rsidR="00B60939" w:rsidRPr="002A30B3" w:rsidRDefault="00B60939" w:rsidP="00BB474C">
      <w:pPr>
        <w:ind w:left="720" w:hanging="720"/>
        <w:rPr>
          <w:szCs w:val="22"/>
        </w:rPr>
      </w:pPr>
    </w:p>
    <w:p w14:paraId="4E03C949" w14:textId="3C3349E4" w:rsidR="00C94856" w:rsidRPr="002A30B3" w:rsidRDefault="0020207D" w:rsidP="00BB474C">
      <w:pPr>
        <w:pStyle w:val="ListParagraph"/>
        <w:widowControl/>
        <w:numPr>
          <w:ilvl w:val="1"/>
          <w:numId w:val="5"/>
        </w:numPr>
        <w:rPr>
          <w:szCs w:val="22"/>
        </w:rPr>
      </w:pPr>
      <w:r w:rsidRPr="002A30B3">
        <w:rPr>
          <w:szCs w:val="22"/>
        </w:rPr>
        <w:t xml:space="preserve">There was limited detail in the safety data reported in the trial publications. The authors noted no differences between the proportions of patients experiencing adverse events between treatment arms within the trials. Overall, the safety profile of Asacol was consistent with the known safety profile of oral mesalazine. The majority of the </w:t>
      </w:r>
      <w:r w:rsidR="00A619DD" w:rsidRPr="002A30B3">
        <w:rPr>
          <w:szCs w:val="22"/>
        </w:rPr>
        <w:t xml:space="preserve">reported </w:t>
      </w:r>
      <w:r w:rsidRPr="002A30B3">
        <w:rPr>
          <w:szCs w:val="22"/>
        </w:rPr>
        <w:t>treatment-related adverse events were gastrointestinal disorders (e.g. ulcerative colitis, abdominal pain) or headache and there were no reports of serious treatment-related events in the trials.</w:t>
      </w:r>
    </w:p>
    <w:p w14:paraId="1DE2C0A4" w14:textId="77777777" w:rsidR="00E96724" w:rsidRPr="002A30B3" w:rsidRDefault="00E96724" w:rsidP="00BB474C">
      <w:pPr>
        <w:pStyle w:val="ListParagraph"/>
        <w:ind w:left="0"/>
        <w:rPr>
          <w:szCs w:val="22"/>
        </w:rPr>
      </w:pPr>
    </w:p>
    <w:p w14:paraId="7A1772B6" w14:textId="77777777" w:rsidR="00B60939" w:rsidRPr="002A30B3" w:rsidRDefault="00B60939" w:rsidP="00BB474C">
      <w:pPr>
        <w:pStyle w:val="Heading3"/>
        <w:rPr>
          <w:b/>
          <w:i/>
          <w:u w:val="none"/>
        </w:rPr>
      </w:pPr>
      <w:bookmarkStart w:id="12" w:name="_Toc470161817"/>
      <w:r w:rsidRPr="002A30B3">
        <w:rPr>
          <w:b/>
          <w:i/>
          <w:u w:val="none"/>
        </w:rPr>
        <w:t>Clinical claim</w:t>
      </w:r>
      <w:bookmarkEnd w:id="12"/>
    </w:p>
    <w:p w14:paraId="7098B650" w14:textId="77777777" w:rsidR="00B60939" w:rsidRPr="002A30B3" w:rsidRDefault="00B60939" w:rsidP="00BB474C">
      <w:pPr>
        <w:ind w:left="720" w:hanging="720"/>
        <w:rPr>
          <w:szCs w:val="22"/>
        </w:rPr>
      </w:pPr>
    </w:p>
    <w:p w14:paraId="2403A37D" w14:textId="4921AE39" w:rsidR="0020207D" w:rsidRPr="002A30B3" w:rsidRDefault="0020207D" w:rsidP="00BB474C">
      <w:pPr>
        <w:pStyle w:val="ListParagraph"/>
        <w:widowControl/>
        <w:numPr>
          <w:ilvl w:val="1"/>
          <w:numId w:val="5"/>
        </w:numPr>
        <w:rPr>
          <w:szCs w:val="22"/>
        </w:rPr>
      </w:pPr>
      <w:r w:rsidRPr="002A30B3">
        <w:t xml:space="preserve">The submission described Asacol as noninferior in terms of efficacy and safety compared with Mezavant. </w:t>
      </w:r>
      <w:r w:rsidR="008651A2" w:rsidRPr="002A30B3">
        <w:t>During the evaluation</w:t>
      </w:r>
      <w:r w:rsidR="00591078" w:rsidRPr="002A30B3">
        <w:t>,</w:t>
      </w:r>
      <w:r w:rsidR="008651A2" w:rsidRPr="002A30B3">
        <w:t xml:space="preserve"> it was considered that the efficacy</w:t>
      </w:r>
      <w:r w:rsidR="009D7671" w:rsidRPr="002A30B3">
        <w:t xml:space="preserve"> claim was</w:t>
      </w:r>
      <w:r w:rsidRPr="002A30B3">
        <w:t xml:space="preserve"> not adequately supported </w:t>
      </w:r>
      <w:r w:rsidR="008651A2" w:rsidRPr="002A30B3">
        <w:t>because</w:t>
      </w:r>
      <w:r w:rsidRPr="002A30B3">
        <w:t>:</w:t>
      </w:r>
    </w:p>
    <w:p w14:paraId="62C872F8" w14:textId="253AAC40" w:rsidR="004D30F0" w:rsidRPr="002A30B3" w:rsidRDefault="004D30F0" w:rsidP="00BB474C">
      <w:pPr>
        <w:pStyle w:val="ListParagraph"/>
        <w:widowControl/>
        <w:numPr>
          <w:ilvl w:val="0"/>
          <w:numId w:val="22"/>
        </w:numPr>
        <w:rPr>
          <w:szCs w:val="22"/>
        </w:rPr>
      </w:pPr>
      <w:r w:rsidRPr="002A30B3">
        <w:rPr>
          <w:szCs w:val="22"/>
        </w:rPr>
        <w:t xml:space="preserve">Data presented to support the claim of </w:t>
      </w:r>
      <w:r w:rsidR="0083519A" w:rsidRPr="002A30B3">
        <w:rPr>
          <w:szCs w:val="22"/>
        </w:rPr>
        <w:t>noninferiority</w:t>
      </w:r>
      <w:r w:rsidRPr="002A30B3">
        <w:rPr>
          <w:szCs w:val="22"/>
        </w:rPr>
        <w:t xml:space="preserve"> of Asacol </w:t>
      </w:r>
      <w:r w:rsidR="00F66817" w:rsidRPr="002A30B3">
        <w:rPr>
          <w:szCs w:val="22"/>
        </w:rPr>
        <w:t>2.4 g</w:t>
      </w:r>
      <w:r w:rsidRPr="002A30B3">
        <w:rPr>
          <w:szCs w:val="22"/>
        </w:rPr>
        <w:t xml:space="preserve"> and Mezavant </w:t>
      </w:r>
      <w:r w:rsidR="00F66817" w:rsidRPr="002A30B3">
        <w:rPr>
          <w:szCs w:val="22"/>
        </w:rPr>
        <w:t>2.4 g</w:t>
      </w:r>
      <w:r w:rsidRPr="002A30B3">
        <w:rPr>
          <w:szCs w:val="22"/>
        </w:rPr>
        <w:t xml:space="preserve"> for induction of remission may not be reliable (high risk of bias, limited applicability and trial not powered for </w:t>
      </w:r>
      <w:r w:rsidR="0083519A" w:rsidRPr="002A30B3">
        <w:rPr>
          <w:szCs w:val="22"/>
        </w:rPr>
        <w:t>noninferiority</w:t>
      </w:r>
      <w:r w:rsidR="00E034B9" w:rsidRPr="002A30B3">
        <w:rPr>
          <w:szCs w:val="22"/>
        </w:rPr>
        <w:t xml:space="preserve"> or a comparison between active treatments</w:t>
      </w:r>
      <w:r w:rsidRPr="002A30B3">
        <w:rPr>
          <w:szCs w:val="22"/>
        </w:rPr>
        <w:t>).</w:t>
      </w:r>
    </w:p>
    <w:p w14:paraId="0F3016C0" w14:textId="4051B8ED" w:rsidR="0020207D" w:rsidRPr="002A30B3" w:rsidRDefault="0020207D" w:rsidP="00BB474C">
      <w:pPr>
        <w:pStyle w:val="ListParagraph"/>
        <w:widowControl/>
        <w:numPr>
          <w:ilvl w:val="0"/>
          <w:numId w:val="22"/>
        </w:numPr>
        <w:rPr>
          <w:szCs w:val="22"/>
        </w:rPr>
      </w:pPr>
      <w:r w:rsidRPr="002A30B3">
        <w:rPr>
          <w:szCs w:val="22"/>
        </w:rPr>
        <w:t>No comparative data were presented to support the use of high dose Asacol (</w:t>
      </w:r>
      <w:r w:rsidR="00F66817" w:rsidRPr="002A30B3">
        <w:rPr>
          <w:szCs w:val="22"/>
        </w:rPr>
        <w:t>3.6 g</w:t>
      </w:r>
      <w:r w:rsidRPr="002A30B3">
        <w:rPr>
          <w:szCs w:val="22"/>
        </w:rPr>
        <w:t xml:space="preserve"> or </w:t>
      </w:r>
      <w:r w:rsidR="00F66817" w:rsidRPr="002A30B3">
        <w:rPr>
          <w:szCs w:val="22"/>
        </w:rPr>
        <w:t>4.8 g</w:t>
      </w:r>
      <w:r w:rsidRPr="002A30B3">
        <w:rPr>
          <w:szCs w:val="22"/>
        </w:rPr>
        <w:t xml:space="preserve"> per day) for induction of remission.</w:t>
      </w:r>
      <w:r w:rsidR="00D05427" w:rsidRPr="002A30B3">
        <w:rPr>
          <w:szCs w:val="22"/>
        </w:rPr>
        <w:t xml:space="preserve"> </w:t>
      </w:r>
      <w:r w:rsidR="007F54DD" w:rsidRPr="002A30B3">
        <w:rPr>
          <w:szCs w:val="22"/>
        </w:rPr>
        <w:t xml:space="preserve"> The supportive data in the submission did not show statistically significant differences between mesalazine 4.8 g and 2.4 g for induction of remission</w:t>
      </w:r>
      <w:r w:rsidR="00647D27" w:rsidRPr="002A30B3">
        <w:rPr>
          <w:szCs w:val="22"/>
        </w:rPr>
        <w:t>.</w:t>
      </w:r>
    </w:p>
    <w:p w14:paraId="401F297D" w14:textId="126E7478" w:rsidR="0020207D" w:rsidRPr="002A30B3" w:rsidRDefault="004D30F0" w:rsidP="00BB474C">
      <w:pPr>
        <w:pStyle w:val="ListParagraph"/>
        <w:widowControl/>
        <w:numPr>
          <w:ilvl w:val="0"/>
          <w:numId w:val="22"/>
        </w:numPr>
        <w:rPr>
          <w:szCs w:val="22"/>
        </w:rPr>
      </w:pPr>
      <w:r w:rsidRPr="002A30B3">
        <w:rPr>
          <w:szCs w:val="22"/>
        </w:rPr>
        <w:t xml:space="preserve">The evidence provided to support the claim of </w:t>
      </w:r>
      <w:r w:rsidR="0083519A" w:rsidRPr="002A30B3">
        <w:rPr>
          <w:szCs w:val="22"/>
        </w:rPr>
        <w:t>noninferiority</w:t>
      </w:r>
      <w:r w:rsidRPr="002A30B3">
        <w:rPr>
          <w:szCs w:val="22"/>
        </w:rPr>
        <w:t xml:space="preserve"> of low dose Asacol </w:t>
      </w:r>
      <w:r w:rsidR="00F66817" w:rsidRPr="002A30B3">
        <w:rPr>
          <w:szCs w:val="22"/>
        </w:rPr>
        <w:t>1.6 g</w:t>
      </w:r>
      <w:r w:rsidRPr="002A30B3">
        <w:rPr>
          <w:szCs w:val="22"/>
        </w:rPr>
        <w:t xml:space="preserve"> compared with Mezavant </w:t>
      </w:r>
      <w:r w:rsidR="00F66817" w:rsidRPr="002A30B3">
        <w:rPr>
          <w:szCs w:val="22"/>
        </w:rPr>
        <w:t>2.4 g</w:t>
      </w:r>
      <w:r w:rsidRPr="002A30B3">
        <w:rPr>
          <w:szCs w:val="22"/>
        </w:rPr>
        <w:t xml:space="preserve"> for maintenance of remission may not be reliable given the primary outcome of endoscopic remission. The clinical importance of endoscopic remission and whether there is an association with patient-relevant outcomes is unclear.</w:t>
      </w:r>
    </w:p>
    <w:p w14:paraId="1744E7F4" w14:textId="3F84A13C" w:rsidR="004D30F0" w:rsidRPr="002A30B3" w:rsidRDefault="004D30F0" w:rsidP="00BB474C">
      <w:pPr>
        <w:pStyle w:val="ListParagraph"/>
        <w:widowControl/>
        <w:numPr>
          <w:ilvl w:val="0"/>
          <w:numId w:val="22"/>
        </w:numPr>
        <w:rPr>
          <w:szCs w:val="22"/>
        </w:rPr>
      </w:pPr>
      <w:r w:rsidRPr="002A30B3">
        <w:rPr>
          <w:szCs w:val="22"/>
        </w:rPr>
        <w:t xml:space="preserve">The relative efficacy of Asacol </w:t>
      </w:r>
      <w:r w:rsidR="00F66817" w:rsidRPr="002A30B3">
        <w:rPr>
          <w:szCs w:val="22"/>
        </w:rPr>
        <w:t>2.4 g</w:t>
      </w:r>
      <w:r w:rsidRPr="002A30B3">
        <w:rPr>
          <w:szCs w:val="22"/>
        </w:rPr>
        <w:t xml:space="preserve"> and Mezavant </w:t>
      </w:r>
      <w:r w:rsidR="00F66817" w:rsidRPr="002A30B3">
        <w:rPr>
          <w:szCs w:val="22"/>
        </w:rPr>
        <w:t>2.4 g</w:t>
      </w:r>
      <w:r w:rsidRPr="002A30B3">
        <w:rPr>
          <w:szCs w:val="22"/>
        </w:rPr>
        <w:t xml:space="preserve"> for maintenance of remission was unclear given the uncertainties and low quality of the clinical evidence (substantial heterogeneity, trial not powered for </w:t>
      </w:r>
      <w:r w:rsidR="0083519A" w:rsidRPr="002A30B3">
        <w:rPr>
          <w:szCs w:val="22"/>
        </w:rPr>
        <w:t>noninferiority</w:t>
      </w:r>
      <w:r w:rsidR="00453AD8" w:rsidRPr="002A30B3">
        <w:rPr>
          <w:szCs w:val="22"/>
        </w:rPr>
        <w:t>, uncertainty whether the chosen noninferiority margin was representative of a minimum clinically important difference, and</w:t>
      </w:r>
      <w:r w:rsidRPr="002A30B3">
        <w:rPr>
          <w:szCs w:val="22"/>
        </w:rPr>
        <w:t xml:space="preserve"> limited applicability).</w:t>
      </w:r>
    </w:p>
    <w:p w14:paraId="7F1CBD2C" w14:textId="77777777" w:rsidR="003C5C6D" w:rsidRPr="002A30B3" w:rsidRDefault="003C5C6D" w:rsidP="00BB474C">
      <w:pPr>
        <w:widowControl/>
        <w:rPr>
          <w:szCs w:val="22"/>
        </w:rPr>
      </w:pPr>
    </w:p>
    <w:p w14:paraId="01F731D9" w14:textId="312FC1F1" w:rsidR="003C5C6D" w:rsidRPr="002A30B3" w:rsidRDefault="008651A2" w:rsidP="00BB474C">
      <w:pPr>
        <w:pStyle w:val="ListParagraph"/>
        <w:widowControl/>
        <w:numPr>
          <w:ilvl w:val="1"/>
          <w:numId w:val="5"/>
        </w:numPr>
        <w:rPr>
          <w:szCs w:val="22"/>
        </w:rPr>
      </w:pPr>
      <w:r w:rsidRPr="002A30B3">
        <w:t>During the evaluation</w:t>
      </w:r>
      <w:r w:rsidR="00591078" w:rsidRPr="002A30B3">
        <w:t>,</w:t>
      </w:r>
      <w:r w:rsidRPr="002A30B3">
        <w:t xml:space="preserve"> it was considered that t</w:t>
      </w:r>
      <w:r w:rsidR="003C5C6D" w:rsidRPr="002A30B3">
        <w:t>he</w:t>
      </w:r>
      <w:r w:rsidRPr="002A30B3">
        <w:t xml:space="preserve"> safety</w:t>
      </w:r>
      <w:r w:rsidR="003C5C6D" w:rsidRPr="002A30B3">
        <w:t xml:space="preserve"> claim may be reasonable despite limited data as the safety profile for mesalazine is well-established.</w:t>
      </w:r>
    </w:p>
    <w:p w14:paraId="31D0F4DD" w14:textId="77777777" w:rsidR="000521F1" w:rsidRPr="002A30B3" w:rsidRDefault="000521F1" w:rsidP="00BB474C">
      <w:pPr>
        <w:pStyle w:val="ListParagraph"/>
        <w:widowControl/>
        <w:rPr>
          <w:szCs w:val="22"/>
        </w:rPr>
      </w:pPr>
    </w:p>
    <w:p w14:paraId="29F6775F" w14:textId="1B1E1E82" w:rsidR="008A653B" w:rsidRPr="002A30B3" w:rsidRDefault="008A653B" w:rsidP="008651A2">
      <w:pPr>
        <w:pStyle w:val="ListParagraph"/>
        <w:widowControl/>
        <w:numPr>
          <w:ilvl w:val="1"/>
          <w:numId w:val="5"/>
        </w:numPr>
        <w:contextualSpacing w:val="0"/>
        <w:rPr>
          <w:bCs/>
        </w:rPr>
      </w:pPr>
      <w:bookmarkStart w:id="13" w:name="_Toc470161818"/>
      <w:r w:rsidRPr="002A30B3">
        <w:rPr>
          <w:bCs/>
          <w:szCs w:val="22"/>
        </w:rPr>
        <w:t xml:space="preserve">The PBAC considered that the claim of noninferior comparative effectiveness to </w:t>
      </w:r>
      <w:r w:rsidR="002A1417" w:rsidRPr="002A30B3">
        <w:rPr>
          <w:bCs/>
          <w:szCs w:val="22"/>
        </w:rPr>
        <w:t>Me</w:t>
      </w:r>
      <w:r w:rsidR="002A1417">
        <w:rPr>
          <w:bCs/>
          <w:szCs w:val="22"/>
        </w:rPr>
        <w:t>z</w:t>
      </w:r>
      <w:r w:rsidR="002A1417" w:rsidRPr="002A30B3">
        <w:rPr>
          <w:bCs/>
          <w:szCs w:val="22"/>
        </w:rPr>
        <w:t xml:space="preserve">avant </w:t>
      </w:r>
      <w:r w:rsidRPr="002A30B3">
        <w:rPr>
          <w:bCs/>
          <w:szCs w:val="22"/>
        </w:rPr>
        <w:t xml:space="preserve">was </w:t>
      </w:r>
      <w:r w:rsidR="001C038C" w:rsidRPr="002A30B3">
        <w:rPr>
          <w:bCs/>
          <w:szCs w:val="22"/>
        </w:rPr>
        <w:t xml:space="preserve">uncertain but </w:t>
      </w:r>
      <w:r w:rsidR="00E23F20" w:rsidRPr="002A30B3">
        <w:rPr>
          <w:bCs/>
          <w:szCs w:val="22"/>
        </w:rPr>
        <w:t>accepted it based on the totality of the evidence presented</w:t>
      </w:r>
      <w:r w:rsidRPr="002A30B3">
        <w:rPr>
          <w:bCs/>
          <w:szCs w:val="22"/>
        </w:rPr>
        <w:t>.</w:t>
      </w:r>
    </w:p>
    <w:p w14:paraId="6F4E46B5" w14:textId="77777777" w:rsidR="008A653B" w:rsidRPr="002A30B3" w:rsidRDefault="008A653B" w:rsidP="008A653B">
      <w:pPr>
        <w:pStyle w:val="ListParagraph"/>
        <w:contextualSpacing w:val="0"/>
        <w:rPr>
          <w:bCs/>
          <w:szCs w:val="22"/>
        </w:rPr>
      </w:pPr>
    </w:p>
    <w:p w14:paraId="28FB8DBC" w14:textId="4D999938" w:rsidR="008A653B" w:rsidRPr="002A30B3" w:rsidRDefault="008A653B" w:rsidP="008A653B">
      <w:pPr>
        <w:pStyle w:val="ListParagraph"/>
        <w:widowControl/>
        <w:numPr>
          <w:ilvl w:val="1"/>
          <w:numId w:val="5"/>
        </w:numPr>
        <w:contextualSpacing w:val="0"/>
        <w:rPr>
          <w:szCs w:val="22"/>
        </w:rPr>
      </w:pPr>
      <w:r w:rsidRPr="002A30B3">
        <w:rPr>
          <w:szCs w:val="22"/>
        </w:rPr>
        <w:t>The PBAC considered that the claim of noninferior comparative safety was reasonable</w:t>
      </w:r>
      <w:r w:rsidR="00BB61D7" w:rsidRPr="002A30B3">
        <w:rPr>
          <w:szCs w:val="22"/>
        </w:rPr>
        <w:t xml:space="preserve"> as the</w:t>
      </w:r>
      <w:r w:rsidRPr="002A30B3">
        <w:rPr>
          <w:szCs w:val="22"/>
        </w:rPr>
        <w:t xml:space="preserve"> safety profile of Asacol was consistent with the known safety profile of oral mesalazine.</w:t>
      </w:r>
    </w:p>
    <w:p w14:paraId="5E9938F9" w14:textId="7267800D" w:rsidR="00306F7B" w:rsidRPr="002A30B3" w:rsidRDefault="00306F7B">
      <w:pPr>
        <w:widowControl/>
        <w:jc w:val="left"/>
        <w:rPr>
          <w:b/>
          <w:i/>
        </w:rPr>
      </w:pPr>
    </w:p>
    <w:p w14:paraId="74A1172E" w14:textId="193D4553" w:rsidR="00B60939" w:rsidRPr="002A30B3" w:rsidRDefault="00B60939" w:rsidP="00D17BFB">
      <w:pPr>
        <w:pStyle w:val="Heading3"/>
        <w:rPr>
          <w:b/>
          <w:i/>
          <w:u w:val="none"/>
        </w:rPr>
      </w:pPr>
      <w:r w:rsidRPr="002A30B3">
        <w:rPr>
          <w:b/>
          <w:i/>
          <w:u w:val="none"/>
        </w:rPr>
        <w:t>Economic analysis</w:t>
      </w:r>
      <w:bookmarkEnd w:id="13"/>
      <w:r w:rsidR="00491B3A" w:rsidRPr="002A30B3">
        <w:rPr>
          <w:b/>
          <w:i/>
          <w:u w:val="none"/>
        </w:rPr>
        <w:t xml:space="preserve"> </w:t>
      </w:r>
    </w:p>
    <w:p w14:paraId="1BAC1159" w14:textId="77777777" w:rsidR="00A86E8B" w:rsidRPr="002A30B3" w:rsidRDefault="00A86E8B" w:rsidP="00A86E8B">
      <w:pPr>
        <w:widowControl/>
        <w:rPr>
          <w:szCs w:val="22"/>
        </w:rPr>
      </w:pPr>
    </w:p>
    <w:p w14:paraId="4A11C8F6" w14:textId="682E8FC3" w:rsidR="00A86E8B" w:rsidRPr="002A30B3" w:rsidRDefault="00562D39" w:rsidP="00A86E8B">
      <w:pPr>
        <w:pStyle w:val="ListParagraph"/>
        <w:widowControl/>
        <w:numPr>
          <w:ilvl w:val="1"/>
          <w:numId w:val="5"/>
        </w:numPr>
        <w:rPr>
          <w:szCs w:val="22"/>
        </w:rPr>
      </w:pPr>
      <w:r w:rsidRPr="002A30B3">
        <w:t>The submission presented a c</w:t>
      </w:r>
      <w:r w:rsidR="0031300B" w:rsidRPr="002A30B3">
        <w:t>ost-minimisation analysis.</w:t>
      </w:r>
      <w:r w:rsidR="00833B05" w:rsidRPr="002A30B3">
        <w:rPr>
          <w:color w:val="3366FF"/>
        </w:rPr>
        <w:t xml:space="preserve"> </w:t>
      </w:r>
      <w:r w:rsidR="00A86E8B" w:rsidRPr="002A30B3">
        <w:t>The equ</w:t>
      </w:r>
      <w:r w:rsidR="008B3E2B" w:rsidRPr="002A30B3">
        <w:t>i-effective doses estimated based on head-to-head trials comparing Asacol and Mezavant are as follows:</w:t>
      </w:r>
    </w:p>
    <w:p w14:paraId="4BACDF54" w14:textId="04B8B84E" w:rsidR="008B3E2B" w:rsidRPr="002A30B3" w:rsidRDefault="008B3E2B" w:rsidP="008B3E2B">
      <w:pPr>
        <w:pStyle w:val="ListParagraph"/>
        <w:widowControl/>
        <w:numPr>
          <w:ilvl w:val="0"/>
          <w:numId w:val="23"/>
        </w:numPr>
        <w:rPr>
          <w:szCs w:val="22"/>
        </w:rPr>
      </w:pPr>
      <w:r w:rsidRPr="002A30B3">
        <w:rPr>
          <w:szCs w:val="22"/>
        </w:rPr>
        <w:t xml:space="preserve">Induction of remission: Asacol </w:t>
      </w:r>
      <w:r w:rsidR="00F66817" w:rsidRPr="002A30B3">
        <w:rPr>
          <w:szCs w:val="22"/>
        </w:rPr>
        <w:t>2.4 g</w:t>
      </w:r>
      <w:r w:rsidRPr="002A30B3">
        <w:rPr>
          <w:szCs w:val="22"/>
        </w:rPr>
        <w:t xml:space="preserve"> = Mezavant </w:t>
      </w:r>
      <w:r w:rsidR="00F66817" w:rsidRPr="002A30B3">
        <w:rPr>
          <w:szCs w:val="22"/>
        </w:rPr>
        <w:t>2.4 g</w:t>
      </w:r>
    </w:p>
    <w:p w14:paraId="7268650C" w14:textId="31AFECAE" w:rsidR="008B3E2B" w:rsidRPr="002A30B3" w:rsidRDefault="008B3E2B" w:rsidP="008B3E2B">
      <w:pPr>
        <w:pStyle w:val="ListParagraph"/>
        <w:widowControl/>
        <w:numPr>
          <w:ilvl w:val="0"/>
          <w:numId w:val="23"/>
        </w:numPr>
        <w:rPr>
          <w:szCs w:val="22"/>
        </w:rPr>
      </w:pPr>
      <w:r w:rsidRPr="002A30B3">
        <w:rPr>
          <w:szCs w:val="22"/>
        </w:rPr>
        <w:t>Maintenance of remission: Asacol 1.6-</w:t>
      </w:r>
      <w:r w:rsidR="00F66817" w:rsidRPr="002A30B3">
        <w:rPr>
          <w:szCs w:val="22"/>
        </w:rPr>
        <w:t>2.4 g</w:t>
      </w:r>
      <w:r w:rsidRPr="002A30B3">
        <w:rPr>
          <w:szCs w:val="22"/>
        </w:rPr>
        <w:t xml:space="preserve"> = Mezavant </w:t>
      </w:r>
      <w:r w:rsidR="00F66817" w:rsidRPr="002A30B3">
        <w:rPr>
          <w:szCs w:val="22"/>
        </w:rPr>
        <w:t>2.4 g</w:t>
      </w:r>
    </w:p>
    <w:p w14:paraId="0B4C9664" w14:textId="77777777" w:rsidR="008B3E2B" w:rsidRPr="002A30B3" w:rsidRDefault="008B3E2B" w:rsidP="008B3E2B">
      <w:pPr>
        <w:pStyle w:val="ListParagraph"/>
        <w:widowControl/>
        <w:ind w:left="1440"/>
        <w:rPr>
          <w:szCs w:val="22"/>
        </w:rPr>
      </w:pPr>
    </w:p>
    <w:p w14:paraId="14322FE8" w14:textId="3CB3D525" w:rsidR="008B3E2B" w:rsidRPr="002A30B3" w:rsidRDefault="008B3E2B" w:rsidP="00261EB2">
      <w:pPr>
        <w:pStyle w:val="ListParagraph"/>
        <w:widowControl/>
        <w:numPr>
          <w:ilvl w:val="1"/>
          <w:numId w:val="5"/>
        </w:numPr>
        <w:rPr>
          <w:szCs w:val="22"/>
        </w:rPr>
      </w:pPr>
      <w:r w:rsidRPr="002A30B3">
        <w:rPr>
          <w:szCs w:val="22"/>
        </w:rPr>
        <w:t>The submission also proposed an equi-effective dose based on a claim of no difference in efficacy between high dose and low dose mesalazine:</w:t>
      </w:r>
    </w:p>
    <w:p w14:paraId="1A5EAA31" w14:textId="183BF1FB" w:rsidR="008B3E2B" w:rsidRPr="002A30B3" w:rsidRDefault="008B3E2B" w:rsidP="008B3E2B">
      <w:pPr>
        <w:pStyle w:val="ListParagraph"/>
        <w:widowControl/>
        <w:numPr>
          <w:ilvl w:val="0"/>
          <w:numId w:val="24"/>
        </w:numPr>
        <w:rPr>
          <w:szCs w:val="22"/>
        </w:rPr>
      </w:pPr>
      <w:r w:rsidRPr="002A30B3">
        <w:rPr>
          <w:szCs w:val="22"/>
        </w:rPr>
        <w:t xml:space="preserve">Induction of remission: Asacol </w:t>
      </w:r>
      <w:r w:rsidR="00F66817" w:rsidRPr="002A30B3">
        <w:rPr>
          <w:szCs w:val="22"/>
        </w:rPr>
        <w:t>4.8 g</w:t>
      </w:r>
      <w:r w:rsidRPr="002A30B3">
        <w:rPr>
          <w:szCs w:val="22"/>
        </w:rPr>
        <w:t xml:space="preserve"> = Mezavant </w:t>
      </w:r>
      <w:r w:rsidR="00F66817" w:rsidRPr="002A30B3">
        <w:rPr>
          <w:szCs w:val="22"/>
        </w:rPr>
        <w:t>4.8 g</w:t>
      </w:r>
    </w:p>
    <w:p w14:paraId="13481184" w14:textId="77777777" w:rsidR="009F399E" w:rsidRPr="002A30B3" w:rsidRDefault="009F399E" w:rsidP="00454714">
      <w:pPr>
        <w:widowControl/>
        <w:rPr>
          <w:szCs w:val="22"/>
        </w:rPr>
      </w:pPr>
    </w:p>
    <w:p w14:paraId="4584D0B9" w14:textId="7995FF19" w:rsidR="009F399E" w:rsidRPr="002A30B3" w:rsidRDefault="009F399E" w:rsidP="009F399E">
      <w:pPr>
        <w:pStyle w:val="ListParagraph"/>
        <w:widowControl/>
        <w:numPr>
          <w:ilvl w:val="1"/>
          <w:numId w:val="5"/>
        </w:numPr>
        <w:rPr>
          <w:szCs w:val="22"/>
        </w:rPr>
      </w:pPr>
      <w:r w:rsidRPr="002A30B3">
        <w:rPr>
          <w:szCs w:val="22"/>
        </w:rPr>
        <w:t xml:space="preserve">The submission proposed an equivalent ex-manufacturer price for Asacol based on Mezavant, using the same price per </w:t>
      </w:r>
      <w:r w:rsidR="0015238A" w:rsidRPr="002A30B3">
        <w:rPr>
          <w:szCs w:val="22"/>
        </w:rPr>
        <w:t>mg</w:t>
      </w:r>
      <w:r w:rsidR="00F15825" w:rsidRPr="002A30B3">
        <w:rPr>
          <w:szCs w:val="22"/>
        </w:rPr>
        <w:t xml:space="preserve"> </w:t>
      </w:r>
      <w:r w:rsidRPr="002A30B3">
        <w:rPr>
          <w:szCs w:val="22"/>
        </w:rPr>
        <w:t xml:space="preserve">of mesalazine. </w:t>
      </w:r>
      <w:r w:rsidRPr="002A30B3">
        <w:t xml:space="preserve">The approach was similar to the Mezavant listing which was recommended on a cost-minimisation basis with Salofalk and Pentasa at the same price per mg of mesalazine (Mezavant </w:t>
      </w:r>
      <w:r w:rsidR="00227C15" w:rsidRPr="002A30B3">
        <w:t>Web Outcome</w:t>
      </w:r>
      <w:r w:rsidRPr="002A30B3">
        <w:t xml:space="preserve">, November 2009). The same price per mg approach was used in the recommendation of mesalazine granules when compared with mesalazine tablets (PBS Therapeutic Relativity Sheets, November 2016). </w:t>
      </w:r>
    </w:p>
    <w:p w14:paraId="72704586" w14:textId="77777777" w:rsidR="007F0EBB" w:rsidRPr="002A30B3" w:rsidRDefault="007F0EBB" w:rsidP="007F0EBB">
      <w:pPr>
        <w:pStyle w:val="ListParagraph"/>
        <w:widowControl/>
        <w:rPr>
          <w:szCs w:val="22"/>
        </w:rPr>
      </w:pPr>
    </w:p>
    <w:p w14:paraId="32697368" w14:textId="1461421F" w:rsidR="002E1BD8" w:rsidRPr="002A30B3" w:rsidRDefault="007F260D" w:rsidP="007F0EBB">
      <w:pPr>
        <w:pStyle w:val="ListParagraph"/>
        <w:widowControl/>
        <w:numPr>
          <w:ilvl w:val="1"/>
          <w:numId w:val="5"/>
        </w:numPr>
        <w:rPr>
          <w:szCs w:val="22"/>
        </w:rPr>
      </w:pPr>
      <w:r w:rsidRPr="002A30B3">
        <w:t>The ESC did not consider the clinical data to be adequate to support equivalence between Asacol and Mezavant on a milligram to milligram basis</w:t>
      </w:r>
      <w:r w:rsidR="00597A95" w:rsidRPr="002A30B3">
        <w:t>.</w:t>
      </w:r>
    </w:p>
    <w:p w14:paraId="15B4562F" w14:textId="77777777" w:rsidR="009F399E" w:rsidRPr="002A30B3" w:rsidRDefault="009F399E" w:rsidP="009F399E">
      <w:pPr>
        <w:pStyle w:val="ListParagraph"/>
        <w:widowControl/>
        <w:rPr>
          <w:szCs w:val="22"/>
        </w:rPr>
      </w:pPr>
    </w:p>
    <w:p w14:paraId="090F7D9A" w14:textId="6D850F9B" w:rsidR="009F399E" w:rsidRPr="002A30B3" w:rsidRDefault="009F399E" w:rsidP="009F399E">
      <w:pPr>
        <w:pStyle w:val="ListParagraph"/>
        <w:widowControl/>
        <w:numPr>
          <w:ilvl w:val="1"/>
          <w:numId w:val="5"/>
        </w:numPr>
        <w:rPr>
          <w:szCs w:val="22"/>
        </w:rPr>
      </w:pPr>
      <w:r w:rsidRPr="002A30B3">
        <w:rPr>
          <w:szCs w:val="22"/>
        </w:rPr>
        <w:t>A comparison of price per mg and price per day (based on minimum and maximum recommended dose</w:t>
      </w:r>
      <w:r w:rsidR="0034771E" w:rsidRPr="002A30B3">
        <w:rPr>
          <w:szCs w:val="22"/>
        </w:rPr>
        <w:t>s</w:t>
      </w:r>
      <w:r w:rsidRPr="002A30B3">
        <w:rPr>
          <w:szCs w:val="22"/>
        </w:rPr>
        <w:t>) of Asacol and other PBS-listed oral formulations of mesalazine show variation in the price per mg and price per day</w:t>
      </w:r>
      <w:r w:rsidR="002A1417">
        <w:rPr>
          <w:szCs w:val="22"/>
        </w:rPr>
        <w:t xml:space="preserve">. This </w:t>
      </w:r>
      <w:r w:rsidRPr="002A30B3">
        <w:rPr>
          <w:szCs w:val="22"/>
        </w:rPr>
        <w:t>was largely dependent on the recommended dose</w:t>
      </w:r>
      <w:r w:rsidR="0034771E" w:rsidRPr="002A30B3">
        <w:rPr>
          <w:szCs w:val="22"/>
        </w:rPr>
        <w:t xml:space="preserve"> (</w:t>
      </w:r>
      <w:r w:rsidRPr="002A30B3">
        <w:rPr>
          <w:szCs w:val="22"/>
        </w:rPr>
        <w:t>e.g. Mesasal maintenance treatment dose of 750</w:t>
      </w:r>
      <w:r w:rsidR="00D96CBB" w:rsidRPr="002A30B3">
        <w:rPr>
          <w:szCs w:val="22"/>
        </w:rPr>
        <w:t xml:space="preserve"> </w:t>
      </w:r>
      <w:r w:rsidRPr="002A30B3">
        <w:rPr>
          <w:szCs w:val="22"/>
        </w:rPr>
        <w:t>mg costs $2.10 per day</w:t>
      </w:r>
      <w:r w:rsidR="0034771E" w:rsidRPr="002A30B3">
        <w:rPr>
          <w:szCs w:val="22"/>
        </w:rPr>
        <w:t xml:space="preserve">; </w:t>
      </w:r>
      <w:r w:rsidR="00183CC7" w:rsidRPr="002A30B3">
        <w:rPr>
          <w:szCs w:val="22"/>
        </w:rPr>
        <w:t xml:space="preserve">Mezavant </w:t>
      </w:r>
      <w:r w:rsidR="00F66817" w:rsidRPr="002A30B3">
        <w:rPr>
          <w:szCs w:val="22"/>
        </w:rPr>
        <w:t>2.4 g</w:t>
      </w:r>
      <w:r w:rsidR="00183CC7" w:rsidRPr="002A30B3">
        <w:rPr>
          <w:szCs w:val="22"/>
        </w:rPr>
        <w:t xml:space="preserve"> cost</w:t>
      </w:r>
      <w:r w:rsidR="0034771E" w:rsidRPr="002A30B3">
        <w:rPr>
          <w:szCs w:val="22"/>
        </w:rPr>
        <w:t>s</w:t>
      </w:r>
      <w:r w:rsidR="00183CC7" w:rsidRPr="002A30B3">
        <w:rPr>
          <w:szCs w:val="22"/>
        </w:rPr>
        <w:t xml:space="preserve"> $5.79 per day)</w:t>
      </w:r>
      <w:r w:rsidR="00454714" w:rsidRPr="002A30B3">
        <w:rPr>
          <w:szCs w:val="22"/>
        </w:rPr>
        <w:t xml:space="preserve"> as summarised in Table </w:t>
      </w:r>
      <w:r w:rsidR="00647D27" w:rsidRPr="002A30B3">
        <w:rPr>
          <w:szCs w:val="22"/>
        </w:rPr>
        <w:t>9</w:t>
      </w:r>
      <w:r w:rsidR="00454714" w:rsidRPr="002A30B3">
        <w:rPr>
          <w:szCs w:val="22"/>
        </w:rPr>
        <w:t>.</w:t>
      </w:r>
    </w:p>
    <w:p w14:paraId="64CD0949" w14:textId="77777777" w:rsidR="00FC385A" w:rsidRPr="002A30B3" w:rsidRDefault="00FC385A" w:rsidP="00FC385A">
      <w:pPr>
        <w:pStyle w:val="ListParagraph"/>
        <w:rPr>
          <w:szCs w:val="22"/>
        </w:rPr>
      </w:pPr>
    </w:p>
    <w:p w14:paraId="46ABA917" w14:textId="77777777" w:rsidR="001A0C3A" w:rsidRDefault="001A0C3A">
      <w:pPr>
        <w:widowControl/>
        <w:jc w:val="left"/>
        <w:rPr>
          <w:rStyle w:val="CommentReference"/>
        </w:rPr>
      </w:pPr>
      <w:r>
        <w:rPr>
          <w:rStyle w:val="CommentReference"/>
        </w:rPr>
        <w:br w:type="page"/>
      </w:r>
    </w:p>
    <w:p w14:paraId="0D0FBA18" w14:textId="637CD2B1" w:rsidR="00454714" w:rsidRPr="002A30B3" w:rsidRDefault="00B904C7" w:rsidP="00B904C7">
      <w:pPr>
        <w:widowControl/>
        <w:ind w:firstLine="720"/>
        <w:jc w:val="left"/>
        <w:rPr>
          <w:rStyle w:val="CommentReference"/>
        </w:rPr>
      </w:pPr>
      <w:r w:rsidRPr="002A30B3">
        <w:rPr>
          <w:rStyle w:val="CommentReference"/>
        </w:rPr>
        <w:lastRenderedPageBreak/>
        <w:t xml:space="preserve">Table </w:t>
      </w:r>
      <w:r w:rsidR="00643E17" w:rsidRPr="002A30B3">
        <w:rPr>
          <w:rStyle w:val="CommentReference"/>
        </w:rPr>
        <w:t>9</w:t>
      </w:r>
      <w:r w:rsidR="00454714" w:rsidRPr="002A30B3">
        <w:rPr>
          <w:rStyle w:val="CommentReference"/>
        </w:rPr>
        <w:t xml:space="preserve">: Summary of ex-manufacturer prices of oral formulations of mesalazine </w:t>
      </w:r>
    </w:p>
    <w:tbl>
      <w:tblPr>
        <w:tblStyle w:val="TableGrid"/>
        <w:tblW w:w="8287" w:type="dxa"/>
        <w:tblInd w:w="709" w:type="dxa"/>
        <w:tblLayout w:type="fixed"/>
        <w:tblLook w:val="04A0" w:firstRow="1" w:lastRow="0" w:firstColumn="1" w:lastColumn="0" w:noHBand="0" w:noVBand="1"/>
        <w:tblCaption w:val="Table 8: Summary of ex-manufacturer prices of oral formulations of mesalazine "/>
      </w:tblPr>
      <w:tblGrid>
        <w:gridCol w:w="952"/>
        <w:gridCol w:w="1260"/>
        <w:gridCol w:w="812"/>
        <w:gridCol w:w="910"/>
        <w:gridCol w:w="840"/>
        <w:gridCol w:w="1385"/>
        <w:gridCol w:w="840"/>
        <w:gridCol w:w="1288"/>
      </w:tblGrid>
      <w:tr w:rsidR="00B904C7" w:rsidRPr="002A30B3" w14:paraId="60B8B7FB" w14:textId="77777777" w:rsidTr="008531FB">
        <w:trPr>
          <w:tblHeader/>
        </w:trPr>
        <w:tc>
          <w:tcPr>
            <w:tcW w:w="952" w:type="dxa"/>
            <w:vMerge w:val="restart"/>
            <w:vAlign w:val="center"/>
          </w:tcPr>
          <w:p w14:paraId="2F62DC79" w14:textId="77777777" w:rsidR="00454714" w:rsidRPr="002A30B3" w:rsidRDefault="00454714" w:rsidP="009D7671">
            <w:pPr>
              <w:widowControl/>
              <w:jc w:val="left"/>
              <w:rPr>
                <w:rFonts w:ascii="Arial Narrow" w:hAnsi="Arial Narrow"/>
                <w:b/>
                <w:sz w:val="20"/>
              </w:rPr>
            </w:pPr>
            <w:r w:rsidRPr="002A30B3">
              <w:rPr>
                <w:rFonts w:ascii="Arial Narrow" w:hAnsi="Arial Narrow"/>
                <w:b/>
                <w:sz w:val="20"/>
              </w:rPr>
              <w:t>Brand</w:t>
            </w:r>
          </w:p>
        </w:tc>
        <w:tc>
          <w:tcPr>
            <w:tcW w:w="1260" w:type="dxa"/>
            <w:vMerge w:val="restart"/>
            <w:vAlign w:val="center"/>
          </w:tcPr>
          <w:p w14:paraId="7EB0D8CF" w14:textId="77777777" w:rsidR="00454714" w:rsidRPr="002A30B3" w:rsidRDefault="00454714" w:rsidP="009D7671">
            <w:pPr>
              <w:widowControl/>
              <w:jc w:val="left"/>
              <w:rPr>
                <w:rFonts w:ascii="Arial Narrow" w:hAnsi="Arial Narrow"/>
                <w:b/>
                <w:sz w:val="20"/>
              </w:rPr>
            </w:pPr>
            <w:r w:rsidRPr="002A30B3">
              <w:rPr>
                <w:rFonts w:ascii="Arial Narrow" w:hAnsi="Arial Narrow"/>
                <w:b/>
                <w:sz w:val="20"/>
              </w:rPr>
              <w:t>Strength and formulation</w:t>
            </w:r>
          </w:p>
        </w:tc>
        <w:tc>
          <w:tcPr>
            <w:tcW w:w="812" w:type="dxa"/>
            <w:vMerge w:val="restart"/>
            <w:vAlign w:val="center"/>
          </w:tcPr>
          <w:p w14:paraId="617A68A5"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AEMP</w:t>
            </w:r>
          </w:p>
        </w:tc>
        <w:tc>
          <w:tcPr>
            <w:tcW w:w="910" w:type="dxa"/>
            <w:vMerge w:val="restart"/>
            <w:vAlign w:val="center"/>
          </w:tcPr>
          <w:p w14:paraId="300D6E10"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Price per mg</w:t>
            </w:r>
          </w:p>
        </w:tc>
        <w:tc>
          <w:tcPr>
            <w:tcW w:w="2225" w:type="dxa"/>
            <w:gridSpan w:val="2"/>
            <w:vAlign w:val="center"/>
          </w:tcPr>
          <w:p w14:paraId="0E4439C7"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Induction</w:t>
            </w:r>
          </w:p>
        </w:tc>
        <w:tc>
          <w:tcPr>
            <w:tcW w:w="2128" w:type="dxa"/>
            <w:gridSpan w:val="2"/>
            <w:vAlign w:val="center"/>
          </w:tcPr>
          <w:p w14:paraId="6A69323A"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Maintenance</w:t>
            </w:r>
          </w:p>
        </w:tc>
      </w:tr>
      <w:tr w:rsidR="00454714" w:rsidRPr="002A30B3" w14:paraId="27AFC1F0" w14:textId="77777777" w:rsidTr="008531FB">
        <w:trPr>
          <w:tblHeader/>
        </w:trPr>
        <w:tc>
          <w:tcPr>
            <w:tcW w:w="952" w:type="dxa"/>
            <w:vMerge/>
            <w:vAlign w:val="center"/>
          </w:tcPr>
          <w:p w14:paraId="2976FB04" w14:textId="77777777" w:rsidR="00454714" w:rsidRPr="002A30B3" w:rsidRDefault="00454714" w:rsidP="009D7671">
            <w:pPr>
              <w:widowControl/>
              <w:jc w:val="left"/>
              <w:rPr>
                <w:rFonts w:ascii="Arial Narrow" w:hAnsi="Arial Narrow"/>
                <w:sz w:val="20"/>
              </w:rPr>
            </w:pPr>
          </w:p>
        </w:tc>
        <w:tc>
          <w:tcPr>
            <w:tcW w:w="1260" w:type="dxa"/>
            <w:vMerge/>
            <w:vAlign w:val="center"/>
          </w:tcPr>
          <w:p w14:paraId="54889255" w14:textId="77777777" w:rsidR="00454714" w:rsidRPr="002A30B3" w:rsidRDefault="00454714" w:rsidP="009D7671">
            <w:pPr>
              <w:widowControl/>
              <w:jc w:val="left"/>
              <w:rPr>
                <w:rFonts w:ascii="Arial Narrow" w:hAnsi="Arial Narrow"/>
                <w:sz w:val="20"/>
              </w:rPr>
            </w:pPr>
          </w:p>
        </w:tc>
        <w:tc>
          <w:tcPr>
            <w:tcW w:w="812" w:type="dxa"/>
            <w:vMerge/>
            <w:vAlign w:val="center"/>
          </w:tcPr>
          <w:p w14:paraId="1662A478" w14:textId="77777777" w:rsidR="00454714" w:rsidRPr="002A30B3" w:rsidRDefault="00454714" w:rsidP="009D7671">
            <w:pPr>
              <w:widowControl/>
              <w:jc w:val="left"/>
              <w:rPr>
                <w:rFonts w:ascii="Arial Narrow" w:hAnsi="Arial Narrow"/>
                <w:sz w:val="20"/>
              </w:rPr>
            </w:pPr>
          </w:p>
        </w:tc>
        <w:tc>
          <w:tcPr>
            <w:tcW w:w="910" w:type="dxa"/>
            <w:vMerge/>
            <w:vAlign w:val="center"/>
          </w:tcPr>
          <w:p w14:paraId="614C3E0C" w14:textId="77777777" w:rsidR="00454714" w:rsidRPr="002A30B3" w:rsidRDefault="00454714" w:rsidP="009D7671">
            <w:pPr>
              <w:widowControl/>
              <w:jc w:val="left"/>
              <w:rPr>
                <w:rFonts w:ascii="Arial Narrow" w:hAnsi="Arial Narrow"/>
                <w:sz w:val="20"/>
              </w:rPr>
            </w:pPr>
          </w:p>
        </w:tc>
        <w:tc>
          <w:tcPr>
            <w:tcW w:w="840" w:type="dxa"/>
            <w:vAlign w:val="center"/>
          </w:tcPr>
          <w:p w14:paraId="44F543E0"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Dose</w:t>
            </w:r>
          </w:p>
        </w:tc>
        <w:tc>
          <w:tcPr>
            <w:tcW w:w="1385" w:type="dxa"/>
            <w:vAlign w:val="center"/>
          </w:tcPr>
          <w:p w14:paraId="1039C956"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Price per day</w:t>
            </w:r>
          </w:p>
        </w:tc>
        <w:tc>
          <w:tcPr>
            <w:tcW w:w="840" w:type="dxa"/>
            <w:vAlign w:val="center"/>
          </w:tcPr>
          <w:p w14:paraId="13ED9D5F"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Dose</w:t>
            </w:r>
          </w:p>
        </w:tc>
        <w:tc>
          <w:tcPr>
            <w:tcW w:w="1288" w:type="dxa"/>
            <w:vAlign w:val="center"/>
          </w:tcPr>
          <w:p w14:paraId="1DBAF0AC" w14:textId="77777777" w:rsidR="00454714" w:rsidRPr="002A30B3" w:rsidRDefault="00454714" w:rsidP="009D7671">
            <w:pPr>
              <w:widowControl/>
              <w:jc w:val="center"/>
              <w:rPr>
                <w:rFonts w:ascii="Arial Narrow" w:hAnsi="Arial Narrow"/>
                <w:b/>
                <w:sz w:val="20"/>
              </w:rPr>
            </w:pPr>
            <w:r w:rsidRPr="002A30B3">
              <w:rPr>
                <w:rFonts w:ascii="Arial Narrow" w:hAnsi="Arial Narrow"/>
                <w:b/>
                <w:sz w:val="20"/>
              </w:rPr>
              <w:t>Price per day</w:t>
            </w:r>
          </w:p>
        </w:tc>
      </w:tr>
      <w:tr w:rsidR="00454714" w:rsidRPr="002A30B3" w14:paraId="3A9FF9ED" w14:textId="77777777" w:rsidTr="00B904C7">
        <w:tc>
          <w:tcPr>
            <w:tcW w:w="952" w:type="dxa"/>
            <w:vAlign w:val="center"/>
          </w:tcPr>
          <w:p w14:paraId="1CAFEAA8"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Asacol</w:t>
            </w:r>
          </w:p>
        </w:tc>
        <w:tc>
          <w:tcPr>
            <w:tcW w:w="1260" w:type="dxa"/>
            <w:vAlign w:val="center"/>
          </w:tcPr>
          <w:p w14:paraId="23C9FA09" w14:textId="7B2B6AF6" w:rsidR="00454714" w:rsidRPr="002A30B3" w:rsidRDefault="00F66817" w:rsidP="009D7671">
            <w:pPr>
              <w:widowControl/>
              <w:jc w:val="left"/>
              <w:rPr>
                <w:rFonts w:ascii="Arial Narrow" w:hAnsi="Arial Narrow"/>
                <w:sz w:val="20"/>
              </w:rPr>
            </w:pPr>
            <w:r w:rsidRPr="002A30B3">
              <w:rPr>
                <w:rFonts w:ascii="Arial Narrow" w:hAnsi="Arial Narrow"/>
                <w:sz w:val="20"/>
              </w:rPr>
              <w:t xml:space="preserve">800 mg </w:t>
            </w:r>
            <w:r w:rsidR="00454714" w:rsidRPr="002A30B3">
              <w:rPr>
                <w:rFonts w:ascii="Arial Narrow" w:hAnsi="Arial Narrow"/>
                <w:sz w:val="20"/>
              </w:rPr>
              <w:t xml:space="preserve"> tablets</w:t>
            </w:r>
          </w:p>
        </w:tc>
        <w:tc>
          <w:tcPr>
            <w:tcW w:w="812" w:type="dxa"/>
            <w:vAlign w:val="center"/>
          </w:tcPr>
          <w:p w14:paraId="1689FE4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$173.68</w:t>
            </w:r>
          </w:p>
        </w:tc>
        <w:tc>
          <w:tcPr>
            <w:tcW w:w="910" w:type="dxa"/>
            <w:vAlign w:val="center"/>
          </w:tcPr>
          <w:p w14:paraId="46ED409D"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$0.00241</w:t>
            </w:r>
          </w:p>
        </w:tc>
        <w:tc>
          <w:tcPr>
            <w:tcW w:w="840" w:type="dxa"/>
            <w:vAlign w:val="center"/>
          </w:tcPr>
          <w:p w14:paraId="16D497D0" w14:textId="0C334398" w:rsidR="00454714" w:rsidRPr="002A30B3" w:rsidRDefault="00454714" w:rsidP="009D7671">
            <w:pPr>
              <w:widowControl/>
              <w:jc w:val="center"/>
              <w:rPr>
                <w:rFonts w:ascii="Arial Narrow" w:hAnsi="Arial Narrow"/>
                <w:sz w:val="20"/>
              </w:rPr>
            </w:pPr>
            <w:r w:rsidRPr="002A30B3">
              <w:rPr>
                <w:rFonts w:ascii="Arial Narrow" w:hAnsi="Arial Narrow"/>
                <w:sz w:val="20"/>
              </w:rPr>
              <w:t>2.4-</w:t>
            </w:r>
            <w:r w:rsidR="00F66817" w:rsidRPr="002A30B3">
              <w:rPr>
                <w:rFonts w:ascii="Arial Narrow" w:hAnsi="Arial Narrow"/>
                <w:sz w:val="20"/>
              </w:rPr>
              <w:t>4.8 g</w:t>
            </w:r>
          </w:p>
        </w:tc>
        <w:tc>
          <w:tcPr>
            <w:tcW w:w="1385" w:type="dxa"/>
            <w:vAlign w:val="center"/>
          </w:tcPr>
          <w:p w14:paraId="74D0B2B1"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$5.79 to $11.58</w:t>
            </w:r>
          </w:p>
        </w:tc>
        <w:tc>
          <w:tcPr>
            <w:tcW w:w="840" w:type="dxa"/>
            <w:vAlign w:val="center"/>
          </w:tcPr>
          <w:p w14:paraId="05642FFC" w14:textId="0778ECB5" w:rsidR="00454714" w:rsidRPr="002A30B3" w:rsidRDefault="00454714" w:rsidP="009D7671">
            <w:pPr>
              <w:widowControl/>
              <w:jc w:val="center"/>
              <w:rPr>
                <w:rFonts w:ascii="Arial Narrow" w:hAnsi="Arial Narrow"/>
                <w:sz w:val="20"/>
              </w:rPr>
            </w:pPr>
            <w:r w:rsidRPr="002A30B3">
              <w:rPr>
                <w:rFonts w:ascii="Arial Narrow" w:hAnsi="Arial Narrow"/>
                <w:sz w:val="20"/>
              </w:rPr>
              <w:t>1.6-</w:t>
            </w:r>
            <w:r w:rsidR="00F66817" w:rsidRPr="002A30B3">
              <w:rPr>
                <w:rFonts w:ascii="Arial Narrow" w:hAnsi="Arial Narrow"/>
                <w:sz w:val="20"/>
              </w:rPr>
              <w:t>2.4 g</w:t>
            </w:r>
          </w:p>
        </w:tc>
        <w:tc>
          <w:tcPr>
            <w:tcW w:w="1288" w:type="dxa"/>
            <w:vAlign w:val="center"/>
          </w:tcPr>
          <w:p w14:paraId="6F917770"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$3.86 to $5.79</w:t>
            </w:r>
          </w:p>
        </w:tc>
      </w:tr>
      <w:tr w:rsidR="00454714" w:rsidRPr="002A30B3" w14:paraId="39E42B5F" w14:textId="77777777" w:rsidTr="00B904C7">
        <w:tc>
          <w:tcPr>
            <w:tcW w:w="952" w:type="dxa"/>
            <w:vAlign w:val="center"/>
          </w:tcPr>
          <w:p w14:paraId="2643C4DA"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Mezavant</w:t>
            </w:r>
          </w:p>
        </w:tc>
        <w:tc>
          <w:tcPr>
            <w:tcW w:w="1260" w:type="dxa"/>
            <w:vAlign w:val="center"/>
          </w:tcPr>
          <w:p w14:paraId="10E3AB2D" w14:textId="05F00E81" w:rsidR="00454714" w:rsidRPr="002A30B3" w:rsidRDefault="00F66817" w:rsidP="009D7671">
            <w:pPr>
              <w:widowControl/>
              <w:jc w:val="left"/>
              <w:rPr>
                <w:rFonts w:ascii="Arial Narrow" w:hAnsi="Arial Narrow"/>
                <w:sz w:val="20"/>
              </w:rPr>
            </w:pPr>
            <w:r w:rsidRPr="002A30B3">
              <w:rPr>
                <w:rFonts w:ascii="Arial Narrow" w:hAnsi="Arial Narrow"/>
                <w:sz w:val="20"/>
              </w:rPr>
              <w:t>1.2 g</w:t>
            </w:r>
            <w:r w:rsidR="00454714" w:rsidRPr="002A30B3">
              <w:rPr>
                <w:rFonts w:ascii="Arial Narrow" w:hAnsi="Arial Narrow"/>
                <w:sz w:val="20"/>
              </w:rPr>
              <w:t xml:space="preserve"> tablets</w:t>
            </w:r>
          </w:p>
        </w:tc>
        <w:tc>
          <w:tcPr>
            <w:tcW w:w="812" w:type="dxa"/>
            <w:vAlign w:val="center"/>
          </w:tcPr>
          <w:p w14:paraId="092A97D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$173.68</w:t>
            </w:r>
          </w:p>
        </w:tc>
        <w:tc>
          <w:tcPr>
            <w:tcW w:w="910" w:type="dxa"/>
            <w:vAlign w:val="center"/>
          </w:tcPr>
          <w:p w14:paraId="4210F42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$0.00241</w:t>
            </w:r>
          </w:p>
        </w:tc>
        <w:tc>
          <w:tcPr>
            <w:tcW w:w="840" w:type="dxa"/>
            <w:vAlign w:val="center"/>
          </w:tcPr>
          <w:p w14:paraId="1F73EB44" w14:textId="2683F854" w:rsidR="00454714" w:rsidRPr="002A30B3" w:rsidRDefault="00454714" w:rsidP="009D7671">
            <w:pPr>
              <w:widowControl/>
              <w:jc w:val="center"/>
              <w:rPr>
                <w:rFonts w:ascii="Arial Narrow" w:hAnsi="Arial Narrow"/>
                <w:sz w:val="20"/>
              </w:rPr>
            </w:pPr>
            <w:r w:rsidRPr="002A30B3">
              <w:rPr>
                <w:rFonts w:ascii="Arial Narrow" w:hAnsi="Arial Narrow"/>
                <w:sz w:val="20"/>
              </w:rPr>
              <w:t>2.4-</w:t>
            </w:r>
            <w:r w:rsidR="00F66817" w:rsidRPr="002A30B3">
              <w:rPr>
                <w:rFonts w:ascii="Arial Narrow" w:hAnsi="Arial Narrow"/>
                <w:sz w:val="20"/>
              </w:rPr>
              <w:t>4.8 g</w:t>
            </w:r>
          </w:p>
        </w:tc>
        <w:tc>
          <w:tcPr>
            <w:tcW w:w="1385" w:type="dxa"/>
            <w:vAlign w:val="center"/>
          </w:tcPr>
          <w:p w14:paraId="3D155AC8"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$5.79 to $11.58</w:t>
            </w:r>
          </w:p>
        </w:tc>
        <w:tc>
          <w:tcPr>
            <w:tcW w:w="840" w:type="dxa"/>
            <w:vAlign w:val="center"/>
          </w:tcPr>
          <w:p w14:paraId="774884A4" w14:textId="181E325A" w:rsidR="00454714" w:rsidRPr="002A30B3" w:rsidRDefault="00F66817" w:rsidP="009D7671">
            <w:pPr>
              <w:widowControl/>
              <w:jc w:val="center"/>
              <w:rPr>
                <w:rFonts w:ascii="Arial Narrow" w:hAnsi="Arial Narrow"/>
                <w:sz w:val="20"/>
              </w:rPr>
            </w:pPr>
            <w:r w:rsidRPr="002A30B3">
              <w:rPr>
                <w:rFonts w:ascii="Arial Narrow" w:hAnsi="Arial Narrow"/>
                <w:sz w:val="20"/>
              </w:rPr>
              <w:t>2.4 g</w:t>
            </w:r>
          </w:p>
        </w:tc>
        <w:tc>
          <w:tcPr>
            <w:tcW w:w="1288" w:type="dxa"/>
            <w:vAlign w:val="center"/>
          </w:tcPr>
          <w:p w14:paraId="34158D8D"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$5.79</w:t>
            </w:r>
          </w:p>
        </w:tc>
      </w:tr>
      <w:tr w:rsidR="00454714" w:rsidRPr="002A30B3" w14:paraId="1EB1B04E" w14:textId="77777777" w:rsidTr="00B904C7">
        <w:tc>
          <w:tcPr>
            <w:tcW w:w="952" w:type="dxa"/>
            <w:vMerge w:val="restart"/>
            <w:vAlign w:val="center"/>
          </w:tcPr>
          <w:p w14:paraId="0160AA7E"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Pentasa</w:t>
            </w:r>
          </w:p>
        </w:tc>
        <w:tc>
          <w:tcPr>
            <w:tcW w:w="1260" w:type="dxa"/>
            <w:vAlign w:val="center"/>
          </w:tcPr>
          <w:p w14:paraId="7479421E"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500mg tablets</w:t>
            </w:r>
          </w:p>
        </w:tc>
        <w:tc>
          <w:tcPr>
            <w:tcW w:w="812" w:type="dxa"/>
            <w:vAlign w:val="center"/>
          </w:tcPr>
          <w:p w14:paraId="6AEA6864"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$120.61</w:t>
            </w:r>
          </w:p>
        </w:tc>
        <w:tc>
          <w:tcPr>
            <w:tcW w:w="910" w:type="dxa"/>
            <w:vAlign w:val="center"/>
          </w:tcPr>
          <w:p w14:paraId="3DB3B47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$0.00241</w:t>
            </w:r>
          </w:p>
        </w:tc>
        <w:tc>
          <w:tcPr>
            <w:tcW w:w="840" w:type="dxa"/>
            <w:vMerge w:val="restart"/>
            <w:vAlign w:val="center"/>
          </w:tcPr>
          <w:p w14:paraId="322042D4" w14:textId="5ABDB812" w:rsidR="00454714" w:rsidRPr="002A30B3" w:rsidRDefault="00454714" w:rsidP="009D7671">
            <w:pPr>
              <w:widowControl/>
              <w:jc w:val="center"/>
              <w:rPr>
                <w:rFonts w:ascii="Arial Narrow" w:hAnsi="Arial Narrow"/>
                <w:sz w:val="20"/>
              </w:rPr>
            </w:pPr>
            <w:r w:rsidRPr="002A30B3">
              <w:rPr>
                <w:rFonts w:ascii="Arial Narrow" w:hAnsi="Arial Narrow"/>
                <w:sz w:val="20"/>
              </w:rPr>
              <w:t xml:space="preserve">Up to </w:t>
            </w:r>
            <w:r w:rsidR="00F66817" w:rsidRPr="002A30B3">
              <w:rPr>
                <w:rFonts w:ascii="Arial Narrow" w:hAnsi="Arial Narrow"/>
                <w:sz w:val="20"/>
              </w:rPr>
              <w:t>4 g</w:t>
            </w:r>
          </w:p>
        </w:tc>
        <w:tc>
          <w:tcPr>
            <w:tcW w:w="1385" w:type="dxa"/>
            <w:vAlign w:val="center"/>
          </w:tcPr>
          <w:p w14:paraId="1AB09EED"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Up to $9.65</w:t>
            </w:r>
          </w:p>
        </w:tc>
        <w:tc>
          <w:tcPr>
            <w:tcW w:w="840" w:type="dxa"/>
            <w:vMerge w:val="restart"/>
            <w:vAlign w:val="center"/>
          </w:tcPr>
          <w:p w14:paraId="04CDB0C2" w14:textId="1075813A" w:rsidR="00454714" w:rsidRPr="002A30B3" w:rsidRDefault="00F66817" w:rsidP="009D7671">
            <w:pPr>
              <w:widowControl/>
              <w:jc w:val="center"/>
              <w:rPr>
                <w:rFonts w:ascii="Arial Narrow" w:hAnsi="Arial Narrow"/>
                <w:sz w:val="20"/>
              </w:rPr>
            </w:pPr>
            <w:r w:rsidRPr="002A30B3">
              <w:rPr>
                <w:rFonts w:ascii="Arial Narrow" w:hAnsi="Arial Narrow"/>
                <w:sz w:val="20"/>
              </w:rPr>
              <w:t>2 g</w:t>
            </w:r>
          </w:p>
        </w:tc>
        <w:tc>
          <w:tcPr>
            <w:tcW w:w="1288" w:type="dxa"/>
            <w:vAlign w:val="center"/>
          </w:tcPr>
          <w:p w14:paraId="6202C0F7"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$4.82</w:t>
            </w:r>
          </w:p>
        </w:tc>
      </w:tr>
      <w:tr w:rsidR="00454714" w:rsidRPr="002A30B3" w14:paraId="19D2A3D2" w14:textId="77777777" w:rsidTr="00B904C7">
        <w:tc>
          <w:tcPr>
            <w:tcW w:w="952" w:type="dxa"/>
            <w:vMerge/>
            <w:vAlign w:val="center"/>
          </w:tcPr>
          <w:p w14:paraId="21C55B62" w14:textId="77777777" w:rsidR="00454714" w:rsidRPr="002A30B3" w:rsidRDefault="00454714" w:rsidP="009D7671">
            <w:pPr>
              <w:widowControl/>
              <w:jc w:val="left"/>
              <w:rPr>
                <w:rFonts w:ascii="Arial Narrow" w:hAnsi="Arial Narrow"/>
                <w:sz w:val="20"/>
              </w:rPr>
            </w:pPr>
          </w:p>
        </w:tc>
        <w:tc>
          <w:tcPr>
            <w:tcW w:w="1260" w:type="dxa"/>
            <w:vAlign w:val="center"/>
          </w:tcPr>
          <w:p w14:paraId="2B4F772D" w14:textId="28C4E301" w:rsidR="00454714" w:rsidRPr="002A30B3" w:rsidRDefault="00454714" w:rsidP="009D7671">
            <w:pPr>
              <w:widowControl/>
              <w:jc w:val="left"/>
              <w:rPr>
                <w:rFonts w:ascii="Arial Narrow" w:hAnsi="Arial Narrow"/>
                <w:sz w:val="20"/>
              </w:rPr>
            </w:pPr>
            <w:r w:rsidRPr="002A30B3">
              <w:rPr>
                <w:rFonts w:ascii="Arial Narrow" w:hAnsi="Arial Narrow"/>
                <w:sz w:val="20"/>
              </w:rPr>
              <w:t>1</w:t>
            </w:r>
            <w:r w:rsidR="00AE2D51" w:rsidRPr="002A30B3">
              <w:rPr>
                <w:rFonts w:ascii="Arial Narrow" w:hAnsi="Arial Narrow"/>
                <w:sz w:val="20"/>
              </w:rPr>
              <w:t xml:space="preserve"> </w:t>
            </w:r>
            <w:r w:rsidRPr="002A30B3">
              <w:rPr>
                <w:rFonts w:ascii="Arial Narrow" w:hAnsi="Arial Narrow"/>
                <w:sz w:val="20"/>
              </w:rPr>
              <w:t>g tablets</w:t>
            </w:r>
          </w:p>
        </w:tc>
        <w:tc>
          <w:tcPr>
            <w:tcW w:w="812" w:type="dxa"/>
            <w:vAlign w:val="center"/>
          </w:tcPr>
          <w:p w14:paraId="229BB225"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$135.30</w:t>
            </w:r>
          </w:p>
        </w:tc>
        <w:tc>
          <w:tcPr>
            <w:tcW w:w="910" w:type="dxa"/>
            <w:vAlign w:val="center"/>
          </w:tcPr>
          <w:p w14:paraId="4A0E0324"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$0.00226</w:t>
            </w:r>
          </w:p>
        </w:tc>
        <w:tc>
          <w:tcPr>
            <w:tcW w:w="840" w:type="dxa"/>
            <w:vMerge/>
            <w:vAlign w:val="center"/>
          </w:tcPr>
          <w:p w14:paraId="169B63C8" w14:textId="77777777" w:rsidR="00454714" w:rsidRPr="002A30B3" w:rsidRDefault="00454714" w:rsidP="009D7671">
            <w:pPr>
              <w:widowControl/>
              <w:jc w:val="center"/>
              <w:rPr>
                <w:rFonts w:ascii="Arial Narrow" w:hAnsi="Arial Narrow"/>
                <w:sz w:val="20"/>
              </w:rPr>
            </w:pPr>
          </w:p>
        </w:tc>
        <w:tc>
          <w:tcPr>
            <w:tcW w:w="1385" w:type="dxa"/>
            <w:vAlign w:val="center"/>
          </w:tcPr>
          <w:p w14:paraId="624FB21E"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Up to $9.02</w:t>
            </w:r>
          </w:p>
        </w:tc>
        <w:tc>
          <w:tcPr>
            <w:tcW w:w="840" w:type="dxa"/>
            <w:vMerge/>
            <w:vAlign w:val="center"/>
          </w:tcPr>
          <w:p w14:paraId="26710729" w14:textId="77777777" w:rsidR="00454714" w:rsidRPr="002A30B3" w:rsidRDefault="00454714" w:rsidP="009D7671">
            <w:pPr>
              <w:widowControl/>
              <w:jc w:val="center"/>
              <w:rPr>
                <w:rFonts w:ascii="Arial Narrow" w:hAnsi="Arial Narrow"/>
                <w:sz w:val="20"/>
              </w:rPr>
            </w:pPr>
          </w:p>
        </w:tc>
        <w:tc>
          <w:tcPr>
            <w:tcW w:w="1288" w:type="dxa"/>
            <w:vAlign w:val="center"/>
          </w:tcPr>
          <w:p w14:paraId="592C76B3"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$4.51</w:t>
            </w:r>
          </w:p>
        </w:tc>
      </w:tr>
      <w:tr w:rsidR="00454714" w:rsidRPr="002A30B3" w14:paraId="4C5A07AA" w14:textId="77777777" w:rsidTr="00B904C7">
        <w:tc>
          <w:tcPr>
            <w:tcW w:w="952" w:type="dxa"/>
            <w:vMerge/>
            <w:vAlign w:val="center"/>
          </w:tcPr>
          <w:p w14:paraId="40E36D41" w14:textId="77777777" w:rsidR="00454714" w:rsidRPr="002A30B3" w:rsidRDefault="00454714" w:rsidP="009D7671">
            <w:pPr>
              <w:widowControl/>
              <w:jc w:val="left"/>
              <w:rPr>
                <w:rFonts w:ascii="Arial Narrow" w:hAnsi="Arial Narrow"/>
                <w:sz w:val="20"/>
              </w:rPr>
            </w:pPr>
          </w:p>
        </w:tc>
        <w:tc>
          <w:tcPr>
            <w:tcW w:w="1260" w:type="dxa"/>
            <w:vAlign w:val="center"/>
          </w:tcPr>
          <w:p w14:paraId="6FE338C4" w14:textId="244553C3" w:rsidR="00454714" w:rsidRPr="002A30B3" w:rsidRDefault="00454714" w:rsidP="009D7671">
            <w:pPr>
              <w:widowControl/>
              <w:jc w:val="left"/>
              <w:rPr>
                <w:rFonts w:ascii="Arial Narrow" w:hAnsi="Arial Narrow"/>
                <w:sz w:val="20"/>
              </w:rPr>
            </w:pPr>
            <w:r w:rsidRPr="002A30B3">
              <w:rPr>
                <w:rFonts w:ascii="Arial Narrow" w:hAnsi="Arial Narrow"/>
                <w:sz w:val="20"/>
              </w:rPr>
              <w:t>1</w:t>
            </w:r>
            <w:r w:rsidR="00AE2D51" w:rsidRPr="002A30B3">
              <w:rPr>
                <w:rFonts w:ascii="Arial Narrow" w:hAnsi="Arial Narrow"/>
                <w:sz w:val="20"/>
              </w:rPr>
              <w:t xml:space="preserve"> </w:t>
            </w:r>
            <w:r w:rsidRPr="002A30B3">
              <w:rPr>
                <w:rFonts w:ascii="Arial Narrow" w:hAnsi="Arial Narrow"/>
                <w:sz w:val="20"/>
              </w:rPr>
              <w:t>g granules</w:t>
            </w:r>
          </w:p>
        </w:tc>
        <w:tc>
          <w:tcPr>
            <w:tcW w:w="812" w:type="dxa"/>
            <w:vAlign w:val="center"/>
          </w:tcPr>
          <w:p w14:paraId="7B05B574"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$270.59</w:t>
            </w:r>
          </w:p>
        </w:tc>
        <w:tc>
          <w:tcPr>
            <w:tcW w:w="910" w:type="dxa"/>
            <w:vAlign w:val="center"/>
          </w:tcPr>
          <w:p w14:paraId="250F25E4"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$0.00225</w:t>
            </w:r>
          </w:p>
        </w:tc>
        <w:tc>
          <w:tcPr>
            <w:tcW w:w="840" w:type="dxa"/>
            <w:vMerge/>
            <w:vAlign w:val="center"/>
          </w:tcPr>
          <w:p w14:paraId="512D7451" w14:textId="77777777" w:rsidR="00454714" w:rsidRPr="002A30B3" w:rsidRDefault="00454714" w:rsidP="009D7671">
            <w:pPr>
              <w:widowControl/>
              <w:jc w:val="center"/>
              <w:rPr>
                <w:rFonts w:ascii="Arial Narrow" w:hAnsi="Arial Narrow"/>
                <w:sz w:val="20"/>
              </w:rPr>
            </w:pPr>
          </w:p>
        </w:tc>
        <w:tc>
          <w:tcPr>
            <w:tcW w:w="1385" w:type="dxa"/>
            <w:vAlign w:val="center"/>
          </w:tcPr>
          <w:p w14:paraId="57D4351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Up to $9.02</w:t>
            </w:r>
          </w:p>
        </w:tc>
        <w:tc>
          <w:tcPr>
            <w:tcW w:w="840" w:type="dxa"/>
            <w:vMerge/>
            <w:vAlign w:val="center"/>
          </w:tcPr>
          <w:p w14:paraId="0306BD1C" w14:textId="77777777" w:rsidR="00454714" w:rsidRPr="002A30B3" w:rsidRDefault="00454714" w:rsidP="009D7671">
            <w:pPr>
              <w:widowControl/>
              <w:jc w:val="center"/>
              <w:rPr>
                <w:rFonts w:ascii="Arial Narrow" w:hAnsi="Arial Narrow"/>
                <w:sz w:val="20"/>
              </w:rPr>
            </w:pPr>
          </w:p>
        </w:tc>
        <w:tc>
          <w:tcPr>
            <w:tcW w:w="1288" w:type="dxa"/>
            <w:vAlign w:val="center"/>
          </w:tcPr>
          <w:p w14:paraId="34917C4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$4.51</w:t>
            </w:r>
          </w:p>
        </w:tc>
      </w:tr>
      <w:tr w:rsidR="00454714" w:rsidRPr="002A30B3" w14:paraId="2694A439" w14:textId="77777777" w:rsidTr="00B904C7">
        <w:tc>
          <w:tcPr>
            <w:tcW w:w="952" w:type="dxa"/>
            <w:vMerge/>
            <w:vAlign w:val="center"/>
          </w:tcPr>
          <w:p w14:paraId="34E4DB00" w14:textId="77777777" w:rsidR="00454714" w:rsidRPr="002A30B3" w:rsidRDefault="00454714" w:rsidP="009D7671">
            <w:pPr>
              <w:widowControl/>
              <w:jc w:val="left"/>
              <w:rPr>
                <w:rFonts w:ascii="Arial Narrow" w:hAnsi="Arial Narrow"/>
                <w:sz w:val="20"/>
              </w:rPr>
            </w:pPr>
          </w:p>
        </w:tc>
        <w:tc>
          <w:tcPr>
            <w:tcW w:w="1260" w:type="dxa"/>
            <w:vAlign w:val="center"/>
          </w:tcPr>
          <w:p w14:paraId="4AB26B76" w14:textId="08E858ED" w:rsidR="00454714" w:rsidRPr="002A30B3" w:rsidRDefault="00F66817" w:rsidP="009D7671">
            <w:pPr>
              <w:widowControl/>
              <w:jc w:val="left"/>
              <w:rPr>
                <w:rFonts w:ascii="Arial Narrow" w:hAnsi="Arial Narrow"/>
                <w:sz w:val="20"/>
              </w:rPr>
            </w:pPr>
            <w:r w:rsidRPr="002A30B3">
              <w:rPr>
                <w:rFonts w:ascii="Arial Narrow" w:hAnsi="Arial Narrow"/>
                <w:sz w:val="20"/>
              </w:rPr>
              <w:t>2 g</w:t>
            </w:r>
            <w:r w:rsidR="00454714" w:rsidRPr="002A30B3">
              <w:rPr>
                <w:rFonts w:ascii="Arial Narrow" w:hAnsi="Arial Narrow"/>
                <w:sz w:val="20"/>
              </w:rPr>
              <w:t xml:space="preserve"> granules</w:t>
            </w:r>
          </w:p>
        </w:tc>
        <w:tc>
          <w:tcPr>
            <w:tcW w:w="812" w:type="dxa"/>
            <w:vAlign w:val="center"/>
          </w:tcPr>
          <w:p w14:paraId="39D16D40"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$254.36</w:t>
            </w:r>
          </w:p>
        </w:tc>
        <w:tc>
          <w:tcPr>
            <w:tcW w:w="910" w:type="dxa"/>
            <w:vAlign w:val="center"/>
          </w:tcPr>
          <w:p w14:paraId="325912D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$0.00212</w:t>
            </w:r>
          </w:p>
        </w:tc>
        <w:tc>
          <w:tcPr>
            <w:tcW w:w="840" w:type="dxa"/>
            <w:vMerge/>
            <w:vAlign w:val="center"/>
          </w:tcPr>
          <w:p w14:paraId="1E3536E6" w14:textId="77777777" w:rsidR="00454714" w:rsidRPr="002A30B3" w:rsidRDefault="00454714" w:rsidP="009D7671">
            <w:pPr>
              <w:widowControl/>
              <w:jc w:val="center"/>
              <w:rPr>
                <w:rFonts w:ascii="Arial Narrow" w:hAnsi="Arial Narrow"/>
                <w:sz w:val="20"/>
              </w:rPr>
            </w:pPr>
          </w:p>
        </w:tc>
        <w:tc>
          <w:tcPr>
            <w:tcW w:w="1385" w:type="dxa"/>
            <w:vAlign w:val="center"/>
          </w:tcPr>
          <w:p w14:paraId="7A87D923"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Up to $8.48</w:t>
            </w:r>
          </w:p>
        </w:tc>
        <w:tc>
          <w:tcPr>
            <w:tcW w:w="840" w:type="dxa"/>
            <w:vMerge/>
            <w:vAlign w:val="center"/>
          </w:tcPr>
          <w:p w14:paraId="48A20DC6" w14:textId="77777777" w:rsidR="00454714" w:rsidRPr="002A30B3" w:rsidRDefault="00454714" w:rsidP="009D7671">
            <w:pPr>
              <w:widowControl/>
              <w:jc w:val="center"/>
              <w:rPr>
                <w:rFonts w:ascii="Arial Narrow" w:hAnsi="Arial Narrow"/>
                <w:sz w:val="20"/>
              </w:rPr>
            </w:pPr>
          </w:p>
        </w:tc>
        <w:tc>
          <w:tcPr>
            <w:tcW w:w="1288" w:type="dxa"/>
            <w:vAlign w:val="center"/>
          </w:tcPr>
          <w:p w14:paraId="0BF73ABA"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$4.24</w:t>
            </w:r>
          </w:p>
        </w:tc>
      </w:tr>
      <w:tr w:rsidR="00454714" w:rsidRPr="002A30B3" w14:paraId="0727DDC1" w14:textId="77777777" w:rsidTr="00B904C7">
        <w:tc>
          <w:tcPr>
            <w:tcW w:w="952" w:type="dxa"/>
            <w:vMerge/>
            <w:vAlign w:val="center"/>
          </w:tcPr>
          <w:p w14:paraId="2F6CF075" w14:textId="77777777" w:rsidR="00454714" w:rsidRPr="002A30B3" w:rsidRDefault="00454714" w:rsidP="009D7671">
            <w:pPr>
              <w:widowControl/>
              <w:jc w:val="left"/>
              <w:rPr>
                <w:rFonts w:ascii="Arial Narrow" w:hAnsi="Arial Narrow"/>
                <w:sz w:val="20"/>
              </w:rPr>
            </w:pPr>
          </w:p>
        </w:tc>
        <w:tc>
          <w:tcPr>
            <w:tcW w:w="1260" w:type="dxa"/>
            <w:vAlign w:val="center"/>
          </w:tcPr>
          <w:p w14:paraId="01517281" w14:textId="59EBA5A7" w:rsidR="00454714" w:rsidRPr="002A30B3" w:rsidRDefault="00F66817" w:rsidP="009D7671">
            <w:pPr>
              <w:widowControl/>
              <w:jc w:val="left"/>
              <w:rPr>
                <w:rFonts w:ascii="Arial Narrow" w:hAnsi="Arial Narrow"/>
                <w:sz w:val="20"/>
              </w:rPr>
            </w:pPr>
            <w:r w:rsidRPr="002A30B3">
              <w:rPr>
                <w:rFonts w:ascii="Arial Narrow" w:hAnsi="Arial Narrow"/>
                <w:sz w:val="20"/>
              </w:rPr>
              <w:t>4 g</w:t>
            </w:r>
            <w:r w:rsidR="00454714" w:rsidRPr="002A30B3">
              <w:rPr>
                <w:rFonts w:ascii="Arial Narrow" w:hAnsi="Arial Narrow"/>
                <w:sz w:val="20"/>
              </w:rPr>
              <w:t xml:space="preserve"> granules</w:t>
            </w:r>
          </w:p>
        </w:tc>
        <w:tc>
          <w:tcPr>
            <w:tcW w:w="812" w:type="dxa"/>
            <w:vAlign w:val="center"/>
          </w:tcPr>
          <w:p w14:paraId="2CA2629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$254.36</w:t>
            </w:r>
          </w:p>
        </w:tc>
        <w:tc>
          <w:tcPr>
            <w:tcW w:w="910" w:type="dxa"/>
            <w:vAlign w:val="center"/>
          </w:tcPr>
          <w:p w14:paraId="6CADA06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$0.00212</w:t>
            </w:r>
          </w:p>
        </w:tc>
        <w:tc>
          <w:tcPr>
            <w:tcW w:w="840" w:type="dxa"/>
            <w:vMerge/>
            <w:vAlign w:val="center"/>
          </w:tcPr>
          <w:p w14:paraId="5BF0BCA5" w14:textId="77777777" w:rsidR="00454714" w:rsidRPr="002A30B3" w:rsidRDefault="00454714" w:rsidP="009D7671">
            <w:pPr>
              <w:widowControl/>
              <w:jc w:val="center"/>
              <w:rPr>
                <w:rFonts w:ascii="Arial Narrow" w:hAnsi="Arial Narrow"/>
                <w:sz w:val="20"/>
              </w:rPr>
            </w:pPr>
          </w:p>
        </w:tc>
        <w:tc>
          <w:tcPr>
            <w:tcW w:w="1385" w:type="dxa"/>
            <w:vAlign w:val="center"/>
          </w:tcPr>
          <w:p w14:paraId="3D81E0F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Up to $8.48</w:t>
            </w:r>
          </w:p>
        </w:tc>
        <w:tc>
          <w:tcPr>
            <w:tcW w:w="840" w:type="dxa"/>
            <w:vMerge/>
            <w:vAlign w:val="center"/>
          </w:tcPr>
          <w:p w14:paraId="3AA0CB42" w14:textId="77777777" w:rsidR="00454714" w:rsidRPr="002A30B3" w:rsidRDefault="00454714" w:rsidP="009D7671">
            <w:pPr>
              <w:widowControl/>
              <w:jc w:val="center"/>
              <w:rPr>
                <w:rFonts w:ascii="Arial Narrow" w:hAnsi="Arial Narrow"/>
                <w:sz w:val="20"/>
              </w:rPr>
            </w:pPr>
          </w:p>
        </w:tc>
        <w:tc>
          <w:tcPr>
            <w:tcW w:w="1288" w:type="dxa"/>
            <w:vAlign w:val="center"/>
          </w:tcPr>
          <w:p w14:paraId="45A28728"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$4.24</w:t>
            </w:r>
          </w:p>
        </w:tc>
      </w:tr>
      <w:tr w:rsidR="00454714" w:rsidRPr="002A30B3" w14:paraId="4D88DA68" w14:textId="77777777" w:rsidTr="00B904C7">
        <w:tc>
          <w:tcPr>
            <w:tcW w:w="952" w:type="dxa"/>
            <w:vMerge w:val="restart"/>
            <w:vAlign w:val="center"/>
          </w:tcPr>
          <w:p w14:paraId="1F72EEE3"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Salofalk</w:t>
            </w:r>
          </w:p>
        </w:tc>
        <w:tc>
          <w:tcPr>
            <w:tcW w:w="1260" w:type="dxa"/>
            <w:vAlign w:val="center"/>
          </w:tcPr>
          <w:p w14:paraId="17432FAB"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500mg tablets</w:t>
            </w:r>
          </w:p>
        </w:tc>
        <w:tc>
          <w:tcPr>
            <w:tcW w:w="812" w:type="dxa"/>
            <w:vAlign w:val="center"/>
          </w:tcPr>
          <w:p w14:paraId="07886540"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$120.61</w:t>
            </w:r>
          </w:p>
        </w:tc>
        <w:tc>
          <w:tcPr>
            <w:tcW w:w="910" w:type="dxa"/>
            <w:vAlign w:val="center"/>
          </w:tcPr>
          <w:p w14:paraId="16A10F96"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$0.00241</w:t>
            </w:r>
          </w:p>
        </w:tc>
        <w:tc>
          <w:tcPr>
            <w:tcW w:w="840" w:type="dxa"/>
            <w:vMerge w:val="restart"/>
            <w:vAlign w:val="center"/>
          </w:tcPr>
          <w:p w14:paraId="3BDF9DF9" w14:textId="1AA990F0" w:rsidR="00454714" w:rsidRPr="002A30B3" w:rsidRDefault="00454714" w:rsidP="009D7671">
            <w:pPr>
              <w:widowControl/>
              <w:jc w:val="center"/>
              <w:rPr>
                <w:rFonts w:ascii="Arial Narrow" w:hAnsi="Arial Narrow"/>
                <w:sz w:val="20"/>
              </w:rPr>
            </w:pPr>
            <w:r w:rsidRPr="002A30B3">
              <w:rPr>
                <w:rFonts w:ascii="Arial Narrow" w:hAnsi="Arial Narrow"/>
                <w:sz w:val="20"/>
              </w:rPr>
              <w:t>1.5-</w:t>
            </w:r>
            <w:r w:rsidR="00F66817" w:rsidRPr="002A30B3">
              <w:rPr>
                <w:rFonts w:ascii="Arial Narrow" w:hAnsi="Arial Narrow"/>
                <w:sz w:val="20"/>
              </w:rPr>
              <w:t>3 g</w:t>
            </w:r>
          </w:p>
        </w:tc>
        <w:tc>
          <w:tcPr>
            <w:tcW w:w="1385" w:type="dxa"/>
            <w:vAlign w:val="center"/>
          </w:tcPr>
          <w:p w14:paraId="0CBC20F1"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$3.62 to $7.24</w:t>
            </w:r>
          </w:p>
        </w:tc>
        <w:tc>
          <w:tcPr>
            <w:tcW w:w="840" w:type="dxa"/>
            <w:vMerge w:val="restart"/>
            <w:vAlign w:val="center"/>
          </w:tcPr>
          <w:p w14:paraId="28487BF8" w14:textId="2660FE9A" w:rsidR="00454714" w:rsidRPr="002A30B3" w:rsidRDefault="00F66817" w:rsidP="009D7671">
            <w:pPr>
              <w:widowControl/>
              <w:jc w:val="center"/>
              <w:rPr>
                <w:rFonts w:ascii="Arial Narrow" w:hAnsi="Arial Narrow"/>
                <w:sz w:val="20"/>
              </w:rPr>
            </w:pPr>
            <w:r w:rsidRPr="002A30B3">
              <w:rPr>
                <w:rFonts w:ascii="Arial Narrow" w:hAnsi="Arial Narrow"/>
                <w:sz w:val="20"/>
              </w:rPr>
              <w:t>1.5 g</w:t>
            </w:r>
          </w:p>
        </w:tc>
        <w:tc>
          <w:tcPr>
            <w:tcW w:w="1288" w:type="dxa"/>
            <w:vAlign w:val="center"/>
          </w:tcPr>
          <w:p w14:paraId="7FC89854"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$3.62</w:t>
            </w:r>
          </w:p>
        </w:tc>
      </w:tr>
      <w:tr w:rsidR="00454714" w:rsidRPr="002A30B3" w14:paraId="0C70BEBA" w14:textId="77777777" w:rsidTr="00B904C7">
        <w:tc>
          <w:tcPr>
            <w:tcW w:w="952" w:type="dxa"/>
            <w:vMerge/>
            <w:vAlign w:val="center"/>
          </w:tcPr>
          <w:p w14:paraId="162FA66B" w14:textId="77777777" w:rsidR="00454714" w:rsidRPr="002A30B3" w:rsidRDefault="00454714" w:rsidP="009D7671">
            <w:pPr>
              <w:widowControl/>
              <w:jc w:val="left"/>
              <w:rPr>
                <w:rFonts w:ascii="Arial Narrow" w:hAnsi="Arial Narrow"/>
                <w:sz w:val="20"/>
              </w:rPr>
            </w:pPr>
          </w:p>
        </w:tc>
        <w:tc>
          <w:tcPr>
            <w:tcW w:w="1260" w:type="dxa"/>
            <w:vAlign w:val="center"/>
          </w:tcPr>
          <w:p w14:paraId="3D101A28"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500mg granules</w:t>
            </w:r>
          </w:p>
        </w:tc>
        <w:tc>
          <w:tcPr>
            <w:tcW w:w="812" w:type="dxa"/>
            <w:vAlign w:val="center"/>
          </w:tcPr>
          <w:p w14:paraId="2DC84EB8"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$120.61</w:t>
            </w:r>
          </w:p>
        </w:tc>
        <w:tc>
          <w:tcPr>
            <w:tcW w:w="910" w:type="dxa"/>
            <w:vAlign w:val="center"/>
          </w:tcPr>
          <w:p w14:paraId="7880A8AE"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$0.00241</w:t>
            </w:r>
          </w:p>
        </w:tc>
        <w:tc>
          <w:tcPr>
            <w:tcW w:w="840" w:type="dxa"/>
            <w:vMerge/>
            <w:vAlign w:val="center"/>
          </w:tcPr>
          <w:p w14:paraId="7AD4121E" w14:textId="77777777" w:rsidR="00454714" w:rsidRPr="002A30B3" w:rsidRDefault="00454714" w:rsidP="009D7671">
            <w:pPr>
              <w:widowControl/>
              <w:jc w:val="center"/>
              <w:rPr>
                <w:rFonts w:ascii="Arial Narrow" w:hAnsi="Arial Narrow"/>
                <w:sz w:val="20"/>
              </w:rPr>
            </w:pPr>
          </w:p>
        </w:tc>
        <w:tc>
          <w:tcPr>
            <w:tcW w:w="1385" w:type="dxa"/>
            <w:vAlign w:val="center"/>
          </w:tcPr>
          <w:p w14:paraId="34C8134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$3.62 to $7.24</w:t>
            </w:r>
          </w:p>
        </w:tc>
        <w:tc>
          <w:tcPr>
            <w:tcW w:w="840" w:type="dxa"/>
            <w:vMerge/>
            <w:vAlign w:val="center"/>
          </w:tcPr>
          <w:p w14:paraId="7A98EA9A" w14:textId="77777777" w:rsidR="00454714" w:rsidRPr="002A30B3" w:rsidRDefault="00454714" w:rsidP="009D7671">
            <w:pPr>
              <w:widowControl/>
              <w:jc w:val="center"/>
              <w:rPr>
                <w:rFonts w:ascii="Arial Narrow" w:hAnsi="Arial Narrow"/>
                <w:sz w:val="20"/>
              </w:rPr>
            </w:pPr>
          </w:p>
        </w:tc>
        <w:tc>
          <w:tcPr>
            <w:tcW w:w="1288" w:type="dxa"/>
            <w:vAlign w:val="center"/>
          </w:tcPr>
          <w:p w14:paraId="576D054A"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$3.62</w:t>
            </w:r>
          </w:p>
        </w:tc>
      </w:tr>
      <w:tr w:rsidR="00454714" w:rsidRPr="002A30B3" w14:paraId="6F2EA85C" w14:textId="77777777" w:rsidTr="00B904C7">
        <w:tc>
          <w:tcPr>
            <w:tcW w:w="952" w:type="dxa"/>
            <w:vMerge/>
            <w:vAlign w:val="center"/>
          </w:tcPr>
          <w:p w14:paraId="5C51AD0D" w14:textId="77777777" w:rsidR="00454714" w:rsidRPr="002A30B3" w:rsidRDefault="00454714" w:rsidP="009D7671">
            <w:pPr>
              <w:widowControl/>
              <w:jc w:val="left"/>
              <w:rPr>
                <w:rFonts w:ascii="Arial Narrow" w:hAnsi="Arial Narrow"/>
                <w:sz w:val="20"/>
              </w:rPr>
            </w:pPr>
          </w:p>
        </w:tc>
        <w:tc>
          <w:tcPr>
            <w:tcW w:w="1260" w:type="dxa"/>
            <w:vAlign w:val="center"/>
          </w:tcPr>
          <w:p w14:paraId="4468B080" w14:textId="12AB34BD" w:rsidR="00454714" w:rsidRPr="002A30B3" w:rsidRDefault="00454714" w:rsidP="009D7671">
            <w:pPr>
              <w:widowControl/>
              <w:jc w:val="left"/>
              <w:rPr>
                <w:rFonts w:ascii="Arial Narrow" w:hAnsi="Arial Narrow"/>
                <w:sz w:val="20"/>
              </w:rPr>
            </w:pPr>
            <w:r w:rsidRPr="002A30B3">
              <w:rPr>
                <w:rFonts w:ascii="Arial Narrow" w:hAnsi="Arial Narrow"/>
                <w:sz w:val="20"/>
              </w:rPr>
              <w:t>1</w:t>
            </w:r>
            <w:r w:rsidR="00AE2D51" w:rsidRPr="002A30B3">
              <w:rPr>
                <w:rFonts w:ascii="Arial Narrow" w:hAnsi="Arial Narrow"/>
                <w:sz w:val="20"/>
              </w:rPr>
              <w:t xml:space="preserve"> </w:t>
            </w:r>
            <w:r w:rsidRPr="002A30B3">
              <w:rPr>
                <w:rFonts w:ascii="Arial Narrow" w:hAnsi="Arial Narrow"/>
                <w:sz w:val="20"/>
              </w:rPr>
              <w:t>g granules</w:t>
            </w:r>
          </w:p>
        </w:tc>
        <w:tc>
          <w:tcPr>
            <w:tcW w:w="812" w:type="dxa"/>
            <w:vAlign w:val="center"/>
          </w:tcPr>
          <w:p w14:paraId="7F480419"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$225.49</w:t>
            </w:r>
          </w:p>
        </w:tc>
        <w:tc>
          <w:tcPr>
            <w:tcW w:w="910" w:type="dxa"/>
            <w:vAlign w:val="center"/>
          </w:tcPr>
          <w:p w14:paraId="08D23EFA"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$0.00225</w:t>
            </w:r>
          </w:p>
        </w:tc>
        <w:tc>
          <w:tcPr>
            <w:tcW w:w="840" w:type="dxa"/>
            <w:vMerge/>
            <w:vAlign w:val="center"/>
          </w:tcPr>
          <w:p w14:paraId="04C6B518" w14:textId="77777777" w:rsidR="00454714" w:rsidRPr="002A30B3" w:rsidRDefault="00454714" w:rsidP="009D7671">
            <w:pPr>
              <w:widowControl/>
              <w:jc w:val="center"/>
              <w:rPr>
                <w:rFonts w:ascii="Arial Narrow" w:hAnsi="Arial Narrow"/>
                <w:sz w:val="20"/>
              </w:rPr>
            </w:pPr>
          </w:p>
        </w:tc>
        <w:tc>
          <w:tcPr>
            <w:tcW w:w="1385" w:type="dxa"/>
            <w:vAlign w:val="center"/>
          </w:tcPr>
          <w:p w14:paraId="561E1D01"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$3.38 to $6.76</w:t>
            </w:r>
          </w:p>
        </w:tc>
        <w:tc>
          <w:tcPr>
            <w:tcW w:w="840" w:type="dxa"/>
            <w:vMerge/>
            <w:vAlign w:val="center"/>
          </w:tcPr>
          <w:p w14:paraId="5C4B8D8C" w14:textId="77777777" w:rsidR="00454714" w:rsidRPr="002A30B3" w:rsidRDefault="00454714" w:rsidP="009D7671">
            <w:pPr>
              <w:widowControl/>
              <w:jc w:val="center"/>
              <w:rPr>
                <w:rFonts w:ascii="Arial Narrow" w:hAnsi="Arial Narrow"/>
                <w:sz w:val="20"/>
              </w:rPr>
            </w:pPr>
          </w:p>
        </w:tc>
        <w:tc>
          <w:tcPr>
            <w:tcW w:w="1288" w:type="dxa"/>
            <w:vAlign w:val="center"/>
          </w:tcPr>
          <w:p w14:paraId="59821A0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$3.38</w:t>
            </w:r>
          </w:p>
        </w:tc>
      </w:tr>
      <w:tr w:rsidR="00454714" w:rsidRPr="002A30B3" w14:paraId="3AF68D2D" w14:textId="77777777" w:rsidTr="00B904C7">
        <w:tc>
          <w:tcPr>
            <w:tcW w:w="952" w:type="dxa"/>
            <w:vMerge/>
            <w:vAlign w:val="center"/>
          </w:tcPr>
          <w:p w14:paraId="6BFDB560" w14:textId="77777777" w:rsidR="00454714" w:rsidRPr="002A30B3" w:rsidRDefault="00454714" w:rsidP="009D7671">
            <w:pPr>
              <w:widowControl/>
              <w:jc w:val="left"/>
              <w:rPr>
                <w:rFonts w:ascii="Arial Narrow" w:hAnsi="Arial Narrow"/>
                <w:sz w:val="20"/>
              </w:rPr>
            </w:pPr>
          </w:p>
        </w:tc>
        <w:tc>
          <w:tcPr>
            <w:tcW w:w="1260" w:type="dxa"/>
            <w:vAlign w:val="center"/>
          </w:tcPr>
          <w:p w14:paraId="7F2409B3" w14:textId="0875E157" w:rsidR="00454714" w:rsidRPr="002A30B3" w:rsidRDefault="00F66817" w:rsidP="009D7671">
            <w:pPr>
              <w:widowControl/>
              <w:jc w:val="left"/>
              <w:rPr>
                <w:rFonts w:ascii="Arial Narrow" w:hAnsi="Arial Narrow"/>
                <w:sz w:val="20"/>
              </w:rPr>
            </w:pPr>
            <w:r w:rsidRPr="002A30B3">
              <w:rPr>
                <w:rFonts w:ascii="Arial Narrow" w:hAnsi="Arial Narrow"/>
                <w:sz w:val="20"/>
              </w:rPr>
              <w:t>1.5 g</w:t>
            </w:r>
            <w:r w:rsidR="00454714" w:rsidRPr="002A30B3">
              <w:rPr>
                <w:rFonts w:ascii="Arial Narrow" w:hAnsi="Arial Narrow"/>
                <w:sz w:val="20"/>
              </w:rPr>
              <w:t xml:space="preserve"> granules</w:t>
            </w:r>
          </w:p>
        </w:tc>
        <w:tc>
          <w:tcPr>
            <w:tcW w:w="812" w:type="dxa"/>
            <w:vAlign w:val="center"/>
          </w:tcPr>
          <w:p w14:paraId="24951289"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$194.83</w:t>
            </w:r>
          </w:p>
        </w:tc>
        <w:tc>
          <w:tcPr>
            <w:tcW w:w="910" w:type="dxa"/>
            <w:vAlign w:val="center"/>
          </w:tcPr>
          <w:p w14:paraId="05F4EB03"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$0.00216</w:t>
            </w:r>
          </w:p>
        </w:tc>
        <w:tc>
          <w:tcPr>
            <w:tcW w:w="840" w:type="dxa"/>
            <w:vMerge/>
            <w:vAlign w:val="center"/>
          </w:tcPr>
          <w:p w14:paraId="1FE89261" w14:textId="77777777" w:rsidR="00454714" w:rsidRPr="002A30B3" w:rsidRDefault="00454714" w:rsidP="009D7671">
            <w:pPr>
              <w:widowControl/>
              <w:jc w:val="center"/>
              <w:rPr>
                <w:rFonts w:ascii="Arial Narrow" w:hAnsi="Arial Narrow"/>
                <w:sz w:val="20"/>
              </w:rPr>
            </w:pPr>
          </w:p>
        </w:tc>
        <w:tc>
          <w:tcPr>
            <w:tcW w:w="1385" w:type="dxa"/>
            <w:vAlign w:val="center"/>
          </w:tcPr>
          <w:p w14:paraId="3844673C"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$3.25 to $6.49</w:t>
            </w:r>
          </w:p>
        </w:tc>
        <w:tc>
          <w:tcPr>
            <w:tcW w:w="840" w:type="dxa"/>
            <w:vMerge/>
            <w:vAlign w:val="center"/>
          </w:tcPr>
          <w:p w14:paraId="33393407" w14:textId="77777777" w:rsidR="00454714" w:rsidRPr="002A30B3" w:rsidRDefault="00454714" w:rsidP="009D7671">
            <w:pPr>
              <w:widowControl/>
              <w:jc w:val="center"/>
              <w:rPr>
                <w:rFonts w:ascii="Arial Narrow" w:hAnsi="Arial Narrow"/>
                <w:sz w:val="20"/>
              </w:rPr>
            </w:pPr>
          </w:p>
        </w:tc>
        <w:tc>
          <w:tcPr>
            <w:tcW w:w="1288" w:type="dxa"/>
            <w:vAlign w:val="center"/>
          </w:tcPr>
          <w:p w14:paraId="348DB21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$3.25</w:t>
            </w:r>
          </w:p>
        </w:tc>
      </w:tr>
      <w:tr w:rsidR="00454714" w:rsidRPr="002A30B3" w14:paraId="0EAC6724" w14:textId="77777777" w:rsidTr="00B904C7">
        <w:tc>
          <w:tcPr>
            <w:tcW w:w="952" w:type="dxa"/>
            <w:vMerge/>
            <w:vAlign w:val="center"/>
          </w:tcPr>
          <w:p w14:paraId="1F92C93F" w14:textId="77777777" w:rsidR="00454714" w:rsidRPr="002A30B3" w:rsidRDefault="00454714" w:rsidP="009D7671">
            <w:pPr>
              <w:widowControl/>
              <w:jc w:val="left"/>
              <w:rPr>
                <w:rFonts w:ascii="Arial Narrow" w:hAnsi="Arial Narrow"/>
                <w:sz w:val="20"/>
              </w:rPr>
            </w:pPr>
          </w:p>
        </w:tc>
        <w:tc>
          <w:tcPr>
            <w:tcW w:w="1260" w:type="dxa"/>
            <w:vAlign w:val="center"/>
          </w:tcPr>
          <w:p w14:paraId="5D3F3DD1" w14:textId="456507B4" w:rsidR="00454714" w:rsidRPr="002A30B3" w:rsidRDefault="00F66817" w:rsidP="009D7671">
            <w:pPr>
              <w:widowControl/>
              <w:jc w:val="left"/>
              <w:rPr>
                <w:rFonts w:ascii="Arial Narrow" w:hAnsi="Arial Narrow"/>
                <w:sz w:val="20"/>
              </w:rPr>
            </w:pPr>
            <w:r w:rsidRPr="002A30B3">
              <w:rPr>
                <w:rFonts w:ascii="Arial Narrow" w:hAnsi="Arial Narrow"/>
                <w:sz w:val="20"/>
              </w:rPr>
              <w:t>3 g</w:t>
            </w:r>
            <w:r w:rsidR="00454714" w:rsidRPr="002A30B3">
              <w:rPr>
                <w:rFonts w:ascii="Arial Narrow" w:hAnsi="Arial Narrow"/>
                <w:sz w:val="20"/>
              </w:rPr>
              <w:t xml:space="preserve"> granules</w:t>
            </w:r>
          </w:p>
        </w:tc>
        <w:tc>
          <w:tcPr>
            <w:tcW w:w="812" w:type="dxa"/>
            <w:vAlign w:val="center"/>
          </w:tcPr>
          <w:p w14:paraId="5E336326"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$194.83</w:t>
            </w:r>
          </w:p>
        </w:tc>
        <w:tc>
          <w:tcPr>
            <w:tcW w:w="910" w:type="dxa"/>
            <w:vAlign w:val="center"/>
          </w:tcPr>
          <w:p w14:paraId="746F9C0B"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$0.00216</w:t>
            </w:r>
          </w:p>
        </w:tc>
        <w:tc>
          <w:tcPr>
            <w:tcW w:w="840" w:type="dxa"/>
            <w:vMerge/>
            <w:vAlign w:val="center"/>
          </w:tcPr>
          <w:p w14:paraId="78C239C5" w14:textId="77777777" w:rsidR="00454714" w:rsidRPr="002A30B3" w:rsidRDefault="00454714" w:rsidP="009D7671">
            <w:pPr>
              <w:widowControl/>
              <w:jc w:val="center"/>
              <w:rPr>
                <w:rFonts w:ascii="Arial Narrow" w:hAnsi="Arial Narrow"/>
                <w:sz w:val="20"/>
              </w:rPr>
            </w:pPr>
          </w:p>
        </w:tc>
        <w:tc>
          <w:tcPr>
            <w:tcW w:w="1385" w:type="dxa"/>
            <w:vAlign w:val="center"/>
          </w:tcPr>
          <w:p w14:paraId="4E2F2A6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$3.25 to $6.49</w:t>
            </w:r>
          </w:p>
        </w:tc>
        <w:tc>
          <w:tcPr>
            <w:tcW w:w="840" w:type="dxa"/>
            <w:vMerge/>
            <w:vAlign w:val="center"/>
          </w:tcPr>
          <w:p w14:paraId="027BC583" w14:textId="77777777" w:rsidR="00454714" w:rsidRPr="002A30B3" w:rsidRDefault="00454714" w:rsidP="009D7671">
            <w:pPr>
              <w:widowControl/>
              <w:jc w:val="center"/>
              <w:rPr>
                <w:rFonts w:ascii="Arial Narrow" w:hAnsi="Arial Narrow"/>
                <w:sz w:val="20"/>
              </w:rPr>
            </w:pPr>
          </w:p>
        </w:tc>
        <w:tc>
          <w:tcPr>
            <w:tcW w:w="1288" w:type="dxa"/>
            <w:vAlign w:val="center"/>
          </w:tcPr>
          <w:p w14:paraId="6154D641"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$3.25</w:t>
            </w:r>
          </w:p>
        </w:tc>
      </w:tr>
      <w:tr w:rsidR="00454714" w:rsidRPr="002A30B3" w14:paraId="08050273" w14:textId="77777777" w:rsidTr="00B904C7">
        <w:tc>
          <w:tcPr>
            <w:tcW w:w="952" w:type="dxa"/>
            <w:vAlign w:val="center"/>
          </w:tcPr>
          <w:p w14:paraId="06FD8D4C"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Mesasal</w:t>
            </w:r>
          </w:p>
        </w:tc>
        <w:tc>
          <w:tcPr>
            <w:tcW w:w="1260" w:type="dxa"/>
            <w:vAlign w:val="center"/>
          </w:tcPr>
          <w:p w14:paraId="48225F72" w14:textId="77777777" w:rsidR="00454714" w:rsidRPr="002A30B3" w:rsidRDefault="00454714" w:rsidP="009D7671">
            <w:pPr>
              <w:widowControl/>
              <w:jc w:val="left"/>
              <w:rPr>
                <w:rFonts w:ascii="Arial Narrow" w:hAnsi="Arial Narrow"/>
                <w:sz w:val="20"/>
              </w:rPr>
            </w:pPr>
            <w:r w:rsidRPr="002A30B3">
              <w:rPr>
                <w:rFonts w:ascii="Arial Narrow" w:hAnsi="Arial Narrow"/>
                <w:sz w:val="20"/>
              </w:rPr>
              <w:t>250mg tablets</w:t>
            </w:r>
          </w:p>
        </w:tc>
        <w:tc>
          <w:tcPr>
            <w:tcW w:w="812" w:type="dxa"/>
            <w:vAlign w:val="center"/>
          </w:tcPr>
          <w:p w14:paraId="69B47326"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$69.89</w:t>
            </w:r>
          </w:p>
        </w:tc>
        <w:tc>
          <w:tcPr>
            <w:tcW w:w="910" w:type="dxa"/>
            <w:vAlign w:val="center"/>
          </w:tcPr>
          <w:p w14:paraId="4AB277BC"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$0.00280</w:t>
            </w:r>
          </w:p>
        </w:tc>
        <w:tc>
          <w:tcPr>
            <w:tcW w:w="840" w:type="dxa"/>
            <w:vAlign w:val="center"/>
          </w:tcPr>
          <w:p w14:paraId="3BA83599" w14:textId="4DB5653C" w:rsidR="00454714" w:rsidRPr="002A30B3" w:rsidRDefault="00F66817" w:rsidP="009D7671">
            <w:pPr>
              <w:widowControl/>
              <w:jc w:val="center"/>
              <w:rPr>
                <w:rFonts w:ascii="Arial Narrow" w:hAnsi="Arial Narrow"/>
                <w:sz w:val="20"/>
              </w:rPr>
            </w:pPr>
            <w:r w:rsidRPr="002A30B3">
              <w:rPr>
                <w:rFonts w:ascii="Arial Narrow" w:hAnsi="Arial Narrow"/>
                <w:sz w:val="20"/>
              </w:rPr>
              <w:t>1.5 g</w:t>
            </w:r>
          </w:p>
        </w:tc>
        <w:tc>
          <w:tcPr>
            <w:tcW w:w="1385" w:type="dxa"/>
            <w:vAlign w:val="center"/>
          </w:tcPr>
          <w:p w14:paraId="3F1D014E"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$4.19</w:t>
            </w:r>
          </w:p>
        </w:tc>
        <w:tc>
          <w:tcPr>
            <w:tcW w:w="840" w:type="dxa"/>
            <w:vAlign w:val="center"/>
          </w:tcPr>
          <w:p w14:paraId="56C7D531" w14:textId="490CE20D" w:rsidR="00454714" w:rsidRPr="002A30B3" w:rsidRDefault="00F66817" w:rsidP="009D7671">
            <w:pPr>
              <w:widowControl/>
              <w:jc w:val="center"/>
              <w:rPr>
                <w:rFonts w:ascii="Arial Narrow" w:hAnsi="Arial Narrow"/>
                <w:sz w:val="20"/>
              </w:rPr>
            </w:pPr>
            <w:r w:rsidRPr="002A30B3">
              <w:rPr>
                <w:rFonts w:ascii="Arial Narrow" w:hAnsi="Arial Narrow"/>
                <w:sz w:val="20"/>
              </w:rPr>
              <w:t>0.75 g</w:t>
            </w:r>
          </w:p>
        </w:tc>
        <w:tc>
          <w:tcPr>
            <w:tcW w:w="1288" w:type="dxa"/>
            <w:vAlign w:val="center"/>
          </w:tcPr>
          <w:p w14:paraId="4B4A9A0F" w14:textId="77777777" w:rsidR="00454714" w:rsidRPr="002A30B3" w:rsidRDefault="00454714" w:rsidP="009D7671">
            <w:pPr>
              <w:widowControl/>
              <w:jc w:val="center"/>
              <w:rPr>
                <w:rFonts w:ascii="Arial Narrow" w:hAnsi="Arial Narrow"/>
                <w:sz w:val="20"/>
              </w:rPr>
            </w:pPr>
            <w:r w:rsidRPr="002A30B3">
              <w:rPr>
                <w:rFonts w:ascii="Arial Narrow" w:hAnsi="Arial Narrow"/>
                <w:sz w:val="20"/>
              </w:rPr>
              <w:t>$2.10</w:t>
            </w:r>
          </w:p>
        </w:tc>
      </w:tr>
    </w:tbl>
    <w:p w14:paraId="433BB6D1" w14:textId="77777777" w:rsidR="00454714" w:rsidRPr="002A30B3" w:rsidRDefault="00454714" w:rsidP="00B904C7">
      <w:pPr>
        <w:pStyle w:val="TableFooter"/>
        <w:ind w:left="720"/>
      </w:pPr>
      <w:r w:rsidRPr="002A30B3">
        <w:t xml:space="preserve">Source: Constructed during evaluation based on Asacol, Mezavant, Pentasa, Salofalk and Mesasal Product Information, and Ex-manufacturer prices (excluding Efficient Funding of Chemotherapy) – 1 November 2016. </w:t>
      </w:r>
    </w:p>
    <w:p w14:paraId="424C9525" w14:textId="77777777" w:rsidR="00190708" w:rsidRPr="002A30B3" w:rsidRDefault="00190708" w:rsidP="00190708">
      <w:pPr>
        <w:pStyle w:val="ListParagraph"/>
        <w:widowControl/>
        <w:rPr>
          <w:szCs w:val="22"/>
        </w:rPr>
      </w:pPr>
    </w:p>
    <w:p w14:paraId="3486CA7A" w14:textId="40521FFF" w:rsidR="00190708" w:rsidRPr="002A30B3" w:rsidRDefault="00190708" w:rsidP="00190708">
      <w:pPr>
        <w:pStyle w:val="ListParagraph"/>
        <w:widowControl/>
        <w:numPr>
          <w:ilvl w:val="1"/>
          <w:numId w:val="5"/>
        </w:numPr>
        <w:rPr>
          <w:szCs w:val="22"/>
        </w:rPr>
      </w:pPr>
      <w:r w:rsidRPr="002A30B3">
        <w:rPr>
          <w:szCs w:val="22"/>
        </w:rPr>
        <w:t xml:space="preserve">The effect of these differences in pricing </w:t>
      </w:r>
      <w:r w:rsidR="00CE2E32" w:rsidRPr="002A30B3">
        <w:rPr>
          <w:szCs w:val="22"/>
        </w:rPr>
        <w:t xml:space="preserve">is </w:t>
      </w:r>
      <w:r w:rsidRPr="002A30B3">
        <w:rPr>
          <w:szCs w:val="22"/>
        </w:rPr>
        <w:t xml:space="preserve">demonstrated when considering the wide range in price per year of maintenance treatment, from $766.50 for Mesasal </w:t>
      </w:r>
      <w:r w:rsidR="00F66817" w:rsidRPr="002A30B3">
        <w:rPr>
          <w:szCs w:val="22"/>
        </w:rPr>
        <w:t>0.75 g</w:t>
      </w:r>
      <w:r w:rsidRPr="002A30B3">
        <w:rPr>
          <w:szCs w:val="22"/>
        </w:rPr>
        <w:t xml:space="preserve"> daily to $2,113.35 for Mezavant and Asacol at </w:t>
      </w:r>
      <w:r w:rsidR="00F66817" w:rsidRPr="002A30B3">
        <w:rPr>
          <w:szCs w:val="22"/>
        </w:rPr>
        <w:t>2.4 g</w:t>
      </w:r>
      <w:r w:rsidRPr="002A30B3">
        <w:rPr>
          <w:szCs w:val="22"/>
        </w:rPr>
        <w:t xml:space="preserve"> daily. Given the other oral formulations </w:t>
      </w:r>
      <w:r w:rsidR="007F0EBB" w:rsidRPr="002A30B3">
        <w:rPr>
          <w:szCs w:val="22"/>
        </w:rPr>
        <w:t>are</w:t>
      </w:r>
      <w:r w:rsidRPr="002A30B3">
        <w:rPr>
          <w:szCs w:val="22"/>
        </w:rPr>
        <w:t xml:space="preserve"> relevant comparators, the annual price </w:t>
      </w:r>
      <w:r w:rsidR="00F15825" w:rsidRPr="002A30B3">
        <w:rPr>
          <w:szCs w:val="22"/>
        </w:rPr>
        <w:t>cost-</w:t>
      </w:r>
      <w:r w:rsidR="00F3146B" w:rsidRPr="002A30B3">
        <w:rPr>
          <w:szCs w:val="22"/>
        </w:rPr>
        <w:t xml:space="preserve">minimised price </w:t>
      </w:r>
      <w:r w:rsidRPr="002A30B3">
        <w:rPr>
          <w:szCs w:val="22"/>
        </w:rPr>
        <w:t xml:space="preserve">for Asacol could vary between $1,857.12 to $2,452.80 (using the lowest and highest price per mg of $0.00212 and $0.00280 respectively). </w:t>
      </w:r>
    </w:p>
    <w:p w14:paraId="32127C25" w14:textId="77777777" w:rsidR="00190708" w:rsidRPr="002A30B3" w:rsidRDefault="00190708" w:rsidP="00190708">
      <w:pPr>
        <w:pStyle w:val="ListParagraph"/>
        <w:widowControl/>
        <w:rPr>
          <w:szCs w:val="22"/>
        </w:rPr>
      </w:pPr>
    </w:p>
    <w:p w14:paraId="36610012" w14:textId="51D08BEA" w:rsidR="00190708" w:rsidRPr="002A30B3" w:rsidRDefault="00190708" w:rsidP="00190708">
      <w:pPr>
        <w:pStyle w:val="ListParagraph"/>
        <w:widowControl/>
        <w:numPr>
          <w:ilvl w:val="1"/>
          <w:numId w:val="5"/>
        </w:numPr>
        <w:rPr>
          <w:szCs w:val="22"/>
        </w:rPr>
      </w:pPr>
      <w:r w:rsidRPr="002A30B3">
        <w:rPr>
          <w:szCs w:val="22"/>
        </w:rPr>
        <w:t xml:space="preserve">The PBAC has previously expressed uncertainty </w:t>
      </w:r>
      <w:r w:rsidR="00CE193E" w:rsidRPr="002A30B3">
        <w:rPr>
          <w:szCs w:val="22"/>
        </w:rPr>
        <w:t>regarding</w:t>
      </w:r>
      <w:r w:rsidRPr="002A30B3">
        <w:rPr>
          <w:szCs w:val="22"/>
        </w:rPr>
        <w:t xml:space="preserve"> the cost effectiveness of higher doses of mesalazine and has requested that the Department consider </w:t>
      </w:r>
      <w:r w:rsidR="00940113" w:rsidRPr="002A30B3">
        <w:rPr>
          <w:szCs w:val="22"/>
        </w:rPr>
        <w:t xml:space="preserve">this in </w:t>
      </w:r>
      <w:r w:rsidRPr="002A30B3">
        <w:rPr>
          <w:szCs w:val="22"/>
        </w:rPr>
        <w:t>a</w:t>
      </w:r>
      <w:r w:rsidR="00940113" w:rsidRPr="002A30B3">
        <w:rPr>
          <w:szCs w:val="22"/>
        </w:rPr>
        <w:t>ny future</w:t>
      </w:r>
      <w:r w:rsidRPr="002A30B3">
        <w:rPr>
          <w:szCs w:val="22"/>
        </w:rPr>
        <w:t xml:space="preserve"> Post Market Review of colitis treatments (Mezavant PSD, November 2015).</w:t>
      </w:r>
    </w:p>
    <w:p w14:paraId="1574EB31" w14:textId="77777777" w:rsidR="009A09FF" w:rsidRPr="002A30B3" w:rsidRDefault="009A09FF" w:rsidP="009A09FF">
      <w:pPr>
        <w:pStyle w:val="ListParagraph"/>
        <w:rPr>
          <w:szCs w:val="22"/>
        </w:rPr>
      </w:pPr>
    </w:p>
    <w:p w14:paraId="6E9C9BBC" w14:textId="1139155B" w:rsidR="009F399E" w:rsidRPr="002A30B3" w:rsidRDefault="009A09FF" w:rsidP="009F399E">
      <w:pPr>
        <w:pStyle w:val="ListParagraph"/>
        <w:widowControl/>
        <w:numPr>
          <w:ilvl w:val="1"/>
          <w:numId w:val="5"/>
        </w:numPr>
        <w:rPr>
          <w:szCs w:val="22"/>
        </w:rPr>
      </w:pPr>
      <w:r w:rsidRPr="002A30B3">
        <w:rPr>
          <w:szCs w:val="22"/>
        </w:rPr>
        <w:t xml:space="preserve">The ESC noted that there is an upcoming DUSC review of </w:t>
      </w:r>
      <w:r w:rsidR="009D6CEB" w:rsidRPr="002A30B3">
        <w:rPr>
          <w:szCs w:val="22"/>
        </w:rPr>
        <w:t>m</w:t>
      </w:r>
      <w:r w:rsidRPr="002A30B3">
        <w:rPr>
          <w:szCs w:val="22"/>
        </w:rPr>
        <w:t>edicines for the t</w:t>
      </w:r>
      <w:r w:rsidR="009D6CEB" w:rsidRPr="002A30B3">
        <w:rPr>
          <w:szCs w:val="22"/>
        </w:rPr>
        <w:t xml:space="preserve">reatment of ulcerative colitis </w:t>
      </w:r>
      <w:r w:rsidRPr="002A30B3">
        <w:rPr>
          <w:szCs w:val="22"/>
        </w:rPr>
        <w:t>(DUSC Outcome Statement, September 2016).</w:t>
      </w:r>
    </w:p>
    <w:p w14:paraId="10FD47AF" w14:textId="77777777" w:rsidR="00F10A1D" w:rsidRPr="002A30B3" w:rsidRDefault="00F10A1D" w:rsidP="00F10A1D">
      <w:pPr>
        <w:pStyle w:val="ListParagraph"/>
        <w:rPr>
          <w:szCs w:val="22"/>
        </w:rPr>
      </w:pPr>
    </w:p>
    <w:p w14:paraId="161A7B6A" w14:textId="7F7F0AB8" w:rsidR="00F10A1D" w:rsidRPr="002A30B3" w:rsidRDefault="00F10A1D" w:rsidP="009F399E">
      <w:pPr>
        <w:pStyle w:val="ListParagraph"/>
        <w:widowControl/>
        <w:numPr>
          <w:ilvl w:val="1"/>
          <w:numId w:val="5"/>
        </w:numPr>
        <w:rPr>
          <w:szCs w:val="22"/>
        </w:rPr>
      </w:pPr>
      <w:r w:rsidRPr="002A30B3">
        <w:rPr>
          <w:szCs w:val="22"/>
        </w:rPr>
        <w:t xml:space="preserve">The Pre-PBAC </w:t>
      </w:r>
      <w:proofErr w:type="gramStart"/>
      <w:r w:rsidRPr="002A30B3">
        <w:rPr>
          <w:szCs w:val="22"/>
        </w:rPr>
        <w:t>Respons</w:t>
      </w:r>
      <w:r w:rsidR="00F15825" w:rsidRPr="002A30B3">
        <w:rPr>
          <w:szCs w:val="22"/>
        </w:rPr>
        <w:t>e  stated</w:t>
      </w:r>
      <w:proofErr w:type="gramEnd"/>
      <w:r w:rsidR="00F15825" w:rsidRPr="002A30B3">
        <w:rPr>
          <w:szCs w:val="22"/>
        </w:rPr>
        <w:t xml:space="preserve"> that the sponsor wa</w:t>
      </w:r>
      <w:r w:rsidRPr="002A30B3">
        <w:rPr>
          <w:szCs w:val="22"/>
        </w:rPr>
        <w:t>s willing to negotiate an appropriate price per milligram of mesalazine.</w:t>
      </w:r>
    </w:p>
    <w:p w14:paraId="6050FF84" w14:textId="77777777" w:rsidR="003626DB" w:rsidRPr="001A0C3A" w:rsidRDefault="003626DB" w:rsidP="001A0C3A">
      <w:bookmarkStart w:id="14" w:name="_Toc470161819"/>
    </w:p>
    <w:p w14:paraId="472842D7" w14:textId="691071E2" w:rsidR="00C25D9C" w:rsidRPr="002A30B3" w:rsidRDefault="002C6A54" w:rsidP="00D17BFB">
      <w:pPr>
        <w:pStyle w:val="Heading3"/>
        <w:rPr>
          <w:b/>
          <w:i/>
          <w:u w:val="none"/>
        </w:rPr>
      </w:pPr>
      <w:r w:rsidRPr="002A30B3">
        <w:rPr>
          <w:b/>
          <w:i/>
          <w:u w:val="none"/>
        </w:rPr>
        <w:t>Drug cost/patient/month</w:t>
      </w:r>
      <w:r w:rsidR="00CE193E" w:rsidRPr="002A30B3">
        <w:rPr>
          <w:b/>
          <w:i/>
          <w:u w:val="none"/>
        </w:rPr>
        <w:t>:</w:t>
      </w:r>
      <w:r w:rsidR="00E825D9" w:rsidRPr="002A30B3">
        <w:rPr>
          <w:b/>
          <w:i/>
          <w:u w:val="none"/>
        </w:rPr>
        <w:t xml:space="preserve"> from </w:t>
      </w:r>
      <w:r w:rsidR="00CE193E" w:rsidRPr="002A30B3">
        <w:rPr>
          <w:b/>
          <w:i/>
          <w:u w:val="none"/>
        </w:rPr>
        <w:t>$173.70 (</w:t>
      </w:r>
      <w:r w:rsidR="00F66817" w:rsidRPr="002A30B3">
        <w:rPr>
          <w:b/>
          <w:i/>
          <w:u w:val="none"/>
        </w:rPr>
        <w:t>2.4 g</w:t>
      </w:r>
      <w:r w:rsidR="00E825D9" w:rsidRPr="002A30B3">
        <w:rPr>
          <w:b/>
          <w:i/>
          <w:u w:val="none"/>
        </w:rPr>
        <w:t xml:space="preserve"> daily</w:t>
      </w:r>
      <w:r w:rsidR="00CE193E" w:rsidRPr="002A30B3">
        <w:rPr>
          <w:b/>
          <w:i/>
          <w:u w:val="none"/>
        </w:rPr>
        <w:t>)</w:t>
      </w:r>
      <w:r w:rsidR="00E825D9" w:rsidRPr="002A30B3">
        <w:rPr>
          <w:b/>
          <w:i/>
          <w:u w:val="none"/>
        </w:rPr>
        <w:t xml:space="preserve"> up to </w:t>
      </w:r>
      <w:r w:rsidR="00CE193E" w:rsidRPr="002A30B3">
        <w:rPr>
          <w:b/>
          <w:i/>
          <w:u w:val="none"/>
        </w:rPr>
        <w:t>$347.40 (</w:t>
      </w:r>
      <w:r w:rsidR="00F66817" w:rsidRPr="002A30B3">
        <w:rPr>
          <w:b/>
          <w:i/>
          <w:u w:val="none"/>
        </w:rPr>
        <w:t>4.8 g</w:t>
      </w:r>
      <w:r w:rsidR="00E825D9" w:rsidRPr="002A30B3">
        <w:rPr>
          <w:b/>
          <w:i/>
          <w:u w:val="none"/>
        </w:rPr>
        <w:t xml:space="preserve"> daily</w:t>
      </w:r>
      <w:r w:rsidR="00CE193E" w:rsidRPr="002A30B3">
        <w:rPr>
          <w:b/>
          <w:i/>
          <w:u w:val="none"/>
        </w:rPr>
        <w:t>)</w:t>
      </w:r>
      <w:r w:rsidR="00E825D9" w:rsidRPr="002A30B3">
        <w:rPr>
          <w:b/>
          <w:i/>
          <w:u w:val="none"/>
        </w:rPr>
        <w:t xml:space="preserve"> for induction of remission</w:t>
      </w:r>
      <w:bookmarkEnd w:id="14"/>
    </w:p>
    <w:p w14:paraId="22D2309F" w14:textId="77777777" w:rsidR="00EA0BFB" w:rsidRPr="002A30B3" w:rsidRDefault="00EA0BFB" w:rsidP="00EA0BFB"/>
    <w:p w14:paraId="38582BAB" w14:textId="0CE9ADC7" w:rsidR="00EA0BFB" w:rsidRPr="002A30B3" w:rsidRDefault="00EA0BFB" w:rsidP="00C25D9C">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 xml:space="preserve">Table </w:t>
      </w:r>
      <w:r w:rsidR="00647D27" w:rsidRPr="002A30B3">
        <w:rPr>
          <w:rStyle w:val="CommentReference"/>
          <w:rFonts w:ascii="Arial" w:hAnsi="Arial"/>
          <w:b w:val="0"/>
          <w:sz w:val="22"/>
          <w:szCs w:val="22"/>
        </w:rPr>
        <w:t>10</w:t>
      </w:r>
      <w:r w:rsidR="00E825D9" w:rsidRPr="002A30B3">
        <w:rPr>
          <w:rStyle w:val="CommentReference"/>
          <w:rFonts w:ascii="Arial" w:hAnsi="Arial"/>
          <w:b w:val="0"/>
          <w:sz w:val="22"/>
          <w:szCs w:val="22"/>
        </w:rPr>
        <w:t xml:space="preserve"> summarises the drug cost for Asacol based on the proposed ex-manufacturer price for induction of remission.</w:t>
      </w:r>
    </w:p>
    <w:p w14:paraId="38A25576" w14:textId="77777777" w:rsidR="00E825D9" w:rsidRPr="002A30B3" w:rsidRDefault="00E825D9" w:rsidP="00E825D9">
      <w:pPr>
        <w:pStyle w:val="ListParagraph"/>
        <w:widowControl/>
        <w:rPr>
          <w:rStyle w:val="CommentReference"/>
          <w:rFonts w:ascii="Arial" w:hAnsi="Arial"/>
          <w:b w:val="0"/>
          <w:sz w:val="22"/>
          <w:szCs w:val="22"/>
        </w:rPr>
      </w:pPr>
    </w:p>
    <w:p w14:paraId="290965F0" w14:textId="77777777" w:rsidR="00871141" w:rsidRDefault="00871141">
      <w:pPr>
        <w:widowControl/>
        <w:jc w:val="left"/>
        <w:rPr>
          <w:rStyle w:val="CommentReference"/>
        </w:rPr>
      </w:pPr>
      <w:r>
        <w:rPr>
          <w:rStyle w:val="CommentReference"/>
        </w:rPr>
        <w:br w:type="page"/>
      </w:r>
    </w:p>
    <w:p w14:paraId="6E990161" w14:textId="1F30AA7E" w:rsidR="00C25D9C" w:rsidRPr="002A30B3" w:rsidRDefault="00EA0BFB" w:rsidP="00EA0BFB">
      <w:pPr>
        <w:pStyle w:val="ListParagraph"/>
        <w:widowControl/>
        <w:rPr>
          <w:szCs w:val="22"/>
        </w:rPr>
      </w:pPr>
      <w:r w:rsidRPr="002A30B3">
        <w:rPr>
          <w:rStyle w:val="CommentReference"/>
        </w:rPr>
        <w:lastRenderedPageBreak/>
        <w:t xml:space="preserve">Table </w:t>
      </w:r>
      <w:r w:rsidR="00643E17" w:rsidRPr="002A30B3">
        <w:rPr>
          <w:rStyle w:val="CommentReference"/>
        </w:rPr>
        <w:t>10</w:t>
      </w:r>
      <w:r w:rsidR="00E825D9" w:rsidRPr="002A30B3">
        <w:rPr>
          <w:rStyle w:val="CommentReference"/>
        </w:rPr>
        <w:t>: Summary of drug cost for Asacol based on proposed ex-manufacturer price</w:t>
      </w:r>
      <w:r w:rsidR="009015E1" w:rsidRPr="002A30B3">
        <w:rPr>
          <w:rStyle w:val="CommentReference"/>
        </w:rPr>
        <w:t xml:space="preserve"> for induction</w:t>
      </w:r>
    </w:p>
    <w:tbl>
      <w:tblPr>
        <w:tblStyle w:val="TableGrid"/>
        <w:tblW w:w="8288" w:type="dxa"/>
        <w:jc w:val="right"/>
        <w:tblLayout w:type="fixed"/>
        <w:tblLook w:val="04A0" w:firstRow="1" w:lastRow="0" w:firstColumn="1" w:lastColumn="0" w:noHBand="0" w:noVBand="1"/>
        <w:tblCaption w:val="Table 9: Summary of drug cost for Asacol based on proposed ex-manufacturer price for induction"/>
      </w:tblPr>
      <w:tblGrid>
        <w:gridCol w:w="1030"/>
        <w:gridCol w:w="1418"/>
        <w:gridCol w:w="992"/>
        <w:gridCol w:w="850"/>
        <w:gridCol w:w="1276"/>
        <w:gridCol w:w="1258"/>
        <w:gridCol w:w="1464"/>
      </w:tblGrid>
      <w:tr w:rsidR="00AE19C6" w:rsidRPr="002A30B3" w14:paraId="7D282053" w14:textId="77777777" w:rsidTr="008531FB">
        <w:trPr>
          <w:tblHeader/>
          <w:jc w:val="right"/>
        </w:trPr>
        <w:tc>
          <w:tcPr>
            <w:tcW w:w="1030" w:type="dxa"/>
            <w:vMerge w:val="restart"/>
            <w:vAlign w:val="center"/>
          </w:tcPr>
          <w:p w14:paraId="4429C201" w14:textId="77777777" w:rsidR="00AE19C6" w:rsidRPr="002A30B3" w:rsidRDefault="00AE19C6" w:rsidP="00AE19C6">
            <w:pPr>
              <w:widowControl/>
              <w:jc w:val="left"/>
              <w:rPr>
                <w:rFonts w:ascii="Arial Narrow" w:hAnsi="Arial Narrow"/>
                <w:b/>
                <w:sz w:val="20"/>
              </w:rPr>
            </w:pPr>
            <w:r w:rsidRPr="002A30B3">
              <w:rPr>
                <w:rFonts w:ascii="Arial Narrow" w:hAnsi="Arial Narrow"/>
                <w:b/>
                <w:sz w:val="20"/>
              </w:rPr>
              <w:t>Brand</w:t>
            </w:r>
          </w:p>
        </w:tc>
        <w:tc>
          <w:tcPr>
            <w:tcW w:w="1418" w:type="dxa"/>
            <w:vMerge w:val="restart"/>
            <w:vAlign w:val="center"/>
          </w:tcPr>
          <w:p w14:paraId="11047FC0" w14:textId="77777777" w:rsidR="00AE19C6" w:rsidRPr="002A30B3" w:rsidRDefault="00AE19C6" w:rsidP="00AE19C6">
            <w:pPr>
              <w:widowControl/>
              <w:jc w:val="left"/>
              <w:rPr>
                <w:rFonts w:ascii="Arial Narrow" w:hAnsi="Arial Narrow"/>
                <w:b/>
                <w:sz w:val="20"/>
              </w:rPr>
            </w:pPr>
            <w:r w:rsidRPr="002A30B3">
              <w:rPr>
                <w:rFonts w:ascii="Arial Narrow" w:hAnsi="Arial Narrow"/>
                <w:b/>
                <w:sz w:val="20"/>
              </w:rPr>
              <w:t>Strength and formulation</w:t>
            </w:r>
          </w:p>
        </w:tc>
        <w:tc>
          <w:tcPr>
            <w:tcW w:w="992" w:type="dxa"/>
            <w:vMerge w:val="restart"/>
            <w:vAlign w:val="center"/>
          </w:tcPr>
          <w:p w14:paraId="74A5A4FD" w14:textId="76544E4E" w:rsidR="00AE19C6" w:rsidRPr="002A30B3" w:rsidRDefault="00AE19C6" w:rsidP="00AE19C6">
            <w:pPr>
              <w:widowControl/>
              <w:jc w:val="center"/>
              <w:rPr>
                <w:rFonts w:ascii="Arial Narrow" w:hAnsi="Arial Narrow"/>
                <w:b/>
                <w:sz w:val="20"/>
              </w:rPr>
            </w:pPr>
            <w:r w:rsidRPr="002A30B3">
              <w:rPr>
                <w:rFonts w:ascii="Arial Narrow" w:hAnsi="Arial Narrow"/>
                <w:b/>
                <w:sz w:val="20"/>
              </w:rPr>
              <w:t>Pack</w:t>
            </w:r>
          </w:p>
        </w:tc>
        <w:tc>
          <w:tcPr>
            <w:tcW w:w="850" w:type="dxa"/>
            <w:vMerge w:val="restart"/>
            <w:vAlign w:val="center"/>
          </w:tcPr>
          <w:p w14:paraId="60BFDCD7" w14:textId="328555E2" w:rsidR="00AE19C6" w:rsidRPr="002A30B3" w:rsidRDefault="00AE19C6" w:rsidP="00AE19C6">
            <w:pPr>
              <w:widowControl/>
              <w:jc w:val="center"/>
              <w:rPr>
                <w:rFonts w:ascii="Arial Narrow" w:hAnsi="Arial Narrow"/>
                <w:b/>
                <w:sz w:val="20"/>
              </w:rPr>
            </w:pPr>
            <w:r w:rsidRPr="002A30B3">
              <w:rPr>
                <w:rFonts w:ascii="Arial Narrow" w:hAnsi="Arial Narrow"/>
                <w:b/>
                <w:sz w:val="20"/>
              </w:rPr>
              <w:t>AEMP</w:t>
            </w:r>
          </w:p>
        </w:tc>
        <w:tc>
          <w:tcPr>
            <w:tcW w:w="1276" w:type="dxa"/>
            <w:vMerge w:val="restart"/>
            <w:vAlign w:val="center"/>
          </w:tcPr>
          <w:p w14:paraId="11B77F9D" w14:textId="2CE9B7CE" w:rsidR="00AE19C6" w:rsidRPr="002A30B3" w:rsidRDefault="00AE19C6" w:rsidP="00AE19C6">
            <w:pPr>
              <w:widowControl/>
              <w:jc w:val="center"/>
              <w:rPr>
                <w:rFonts w:ascii="Arial Narrow" w:hAnsi="Arial Narrow"/>
                <w:b/>
                <w:sz w:val="20"/>
              </w:rPr>
            </w:pPr>
            <w:r w:rsidRPr="002A30B3">
              <w:rPr>
                <w:rFonts w:ascii="Arial Narrow" w:hAnsi="Arial Narrow"/>
                <w:b/>
                <w:sz w:val="20"/>
              </w:rPr>
              <w:t>Price per mg</w:t>
            </w:r>
          </w:p>
        </w:tc>
        <w:tc>
          <w:tcPr>
            <w:tcW w:w="2722" w:type="dxa"/>
            <w:gridSpan w:val="2"/>
            <w:vAlign w:val="center"/>
          </w:tcPr>
          <w:p w14:paraId="47A76DB2" w14:textId="77777777" w:rsidR="00AE19C6" w:rsidRPr="002A30B3" w:rsidRDefault="00AE19C6" w:rsidP="00AE19C6">
            <w:pPr>
              <w:widowControl/>
              <w:jc w:val="center"/>
              <w:rPr>
                <w:rFonts w:ascii="Arial Narrow" w:hAnsi="Arial Narrow"/>
                <w:b/>
                <w:sz w:val="20"/>
              </w:rPr>
            </w:pPr>
            <w:r w:rsidRPr="002A30B3">
              <w:rPr>
                <w:rFonts w:ascii="Arial Narrow" w:hAnsi="Arial Narrow"/>
                <w:b/>
                <w:sz w:val="20"/>
              </w:rPr>
              <w:t>Induction</w:t>
            </w:r>
          </w:p>
        </w:tc>
      </w:tr>
      <w:tr w:rsidR="00AE19C6" w:rsidRPr="002A30B3" w14:paraId="6B8C02DD" w14:textId="77777777" w:rsidTr="008531FB">
        <w:trPr>
          <w:tblHeader/>
          <w:jc w:val="right"/>
        </w:trPr>
        <w:tc>
          <w:tcPr>
            <w:tcW w:w="1030" w:type="dxa"/>
            <w:vMerge/>
            <w:vAlign w:val="center"/>
          </w:tcPr>
          <w:p w14:paraId="076D081E" w14:textId="77777777" w:rsidR="00AE19C6" w:rsidRPr="002A30B3" w:rsidRDefault="00AE19C6" w:rsidP="00AE19C6">
            <w:pPr>
              <w:widowControl/>
              <w:jc w:val="left"/>
              <w:rPr>
                <w:rFonts w:ascii="Arial Narrow" w:hAnsi="Arial Narrow"/>
                <w:sz w:val="20"/>
              </w:rPr>
            </w:pPr>
          </w:p>
        </w:tc>
        <w:tc>
          <w:tcPr>
            <w:tcW w:w="1418" w:type="dxa"/>
            <w:vMerge/>
            <w:vAlign w:val="center"/>
          </w:tcPr>
          <w:p w14:paraId="7CDD1307" w14:textId="77777777" w:rsidR="00AE19C6" w:rsidRPr="002A30B3" w:rsidRDefault="00AE19C6" w:rsidP="00AE19C6">
            <w:pPr>
              <w:widowControl/>
              <w:jc w:val="left"/>
              <w:rPr>
                <w:rFonts w:ascii="Arial Narrow" w:hAnsi="Arial Narrow"/>
                <w:sz w:val="20"/>
              </w:rPr>
            </w:pPr>
          </w:p>
        </w:tc>
        <w:tc>
          <w:tcPr>
            <w:tcW w:w="992" w:type="dxa"/>
            <w:vMerge/>
            <w:vAlign w:val="center"/>
          </w:tcPr>
          <w:p w14:paraId="482FF338" w14:textId="77777777" w:rsidR="00AE19C6" w:rsidRPr="002A30B3" w:rsidRDefault="00AE19C6" w:rsidP="00AE19C6">
            <w:pPr>
              <w:widowControl/>
              <w:jc w:val="left"/>
              <w:rPr>
                <w:rFonts w:ascii="Arial Narrow" w:hAnsi="Arial Narrow"/>
                <w:sz w:val="20"/>
              </w:rPr>
            </w:pPr>
          </w:p>
        </w:tc>
        <w:tc>
          <w:tcPr>
            <w:tcW w:w="850" w:type="dxa"/>
            <w:vMerge/>
            <w:vAlign w:val="center"/>
          </w:tcPr>
          <w:p w14:paraId="6E6A78F3" w14:textId="77777777" w:rsidR="00AE19C6" w:rsidRPr="002A30B3" w:rsidRDefault="00AE19C6" w:rsidP="00AE19C6">
            <w:pPr>
              <w:widowControl/>
              <w:jc w:val="left"/>
              <w:rPr>
                <w:rFonts w:ascii="Arial Narrow" w:hAnsi="Arial Narrow"/>
                <w:sz w:val="20"/>
              </w:rPr>
            </w:pPr>
          </w:p>
        </w:tc>
        <w:tc>
          <w:tcPr>
            <w:tcW w:w="1276" w:type="dxa"/>
            <w:vMerge/>
            <w:vAlign w:val="center"/>
          </w:tcPr>
          <w:p w14:paraId="729298F6" w14:textId="4B905816" w:rsidR="00AE19C6" w:rsidRPr="002A30B3" w:rsidRDefault="00AE19C6" w:rsidP="00AE19C6">
            <w:pPr>
              <w:widowControl/>
              <w:jc w:val="left"/>
              <w:rPr>
                <w:rFonts w:ascii="Arial Narrow" w:hAnsi="Arial Narrow"/>
                <w:sz w:val="20"/>
              </w:rPr>
            </w:pPr>
          </w:p>
        </w:tc>
        <w:tc>
          <w:tcPr>
            <w:tcW w:w="1258" w:type="dxa"/>
            <w:vAlign w:val="center"/>
          </w:tcPr>
          <w:p w14:paraId="7D030B9A" w14:textId="77777777" w:rsidR="00AE19C6" w:rsidRPr="002A30B3" w:rsidRDefault="00AE19C6" w:rsidP="00AE19C6">
            <w:pPr>
              <w:widowControl/>
              <w:jc w:val="center"/>
              <w:rPr>
                <w:rFonts w:ascii="Arial Narrow" w:hAnsi="Arial Narrow"/>
                <w:b/>
                <w:sz w:val="20"/>
              </w:rPr>
            </w:pPr>
            <w:r w:rsidRPr="002A30B3">
              <w:rPr>
                <w:rFonts w:ascii="Arial Narrow" w:hAnsi="Arial Narrow"/>
                <w:b/>
                <w:sz w:val="20"/>
              </w:rPr>
              <w:t>Dose</w:t>
            </w:r>
          </w:p>
        </w:tc>
        <w:tc>
          <w:tcPr>
            <w:tcW w:w="1464" w:type="dxa"/>
            <w:vAlign w:val="center"/>
          </w:tcPr>
          <w:p w14:paraId="78E1050F" w14:textId="77777777" w:rsidR="00AE19C6" w:rsidRPr="002A30B3" w:rsidRDefault="00AE19C6" w:rsidP="00AE19C6">
            <w:pPr>
              <w:widowControl/>
              <w:jc w:val="center"/>
              <w:rPr>
                <w:rFonts w:ascii="Arial Narrow" w:hAnsi="Arial Narrow"/>
                <w:b/>
                <w:sz w:val="20"/>
              </w:rPr>
            </w:pPr>
            <w:r w:rsidRPr="002A30B3">
              <w:rPr>
                <w:rFonts w:ascii="Arial Narrow" w:hAnsi="Arial Narrow"/>
                <w:b/>
                <w:sz w:val="20"/>
              </w:rPr>
              <w:t>Price per day</w:t>
            </w:r>
          </w:p>
        </w:tc>
      </w:tr>
      <w:tr w:rsidR="00AE19C6" w:rsidRPr="002A30B3" w14:paraId="2B75789E" w14:textId="77777777" w:rsidTr="00AE19C6">
        <w:trPr>
          <w:jc w:val="right"/>
        </w:trPr>
        <w:tc>
          <w:tcPr>
            <w:tcW w:w="1030" w:type="dxa"/>
            <w:vAlign w:val="center"/>
          </w:tcPr>
          <w:p w14:paraId="7556C035" w14:textId="77777777" w:rsidR="00AE19C6" w:rsidRPr="002A30B3" w:rsidRDefault="00AE19C6" w:rsidP="00AE19C6">
            <w:pPr>
              <w:widowControl/>
              <w:jc w:val="left"/>
              <w:rPr>
                <w:rFonts w:ascii="Arial Narrow" w:hAnsi="Arial Narrow"/>
                <w:sz w:val="20"/>
              </w:rPr>
            </w:pPr>
            <w:r w:rsidRPr="002A30B3">
              <w:rPr>
                <w:rFonts w:ascii="Arial Narrow" w:hAnsi="Arial Narrow"/>
                <w:sz w:val="20"/>
              </w:rPr>
              <w:t>Asacol</w:t>
            </w:r>
          </w:p>
        </w:tc>
        <w:tc>
          <w:tcPr>
            <w:tcW w:w="1418" w:type="dxa"/>
            <w:vAlign w:val="center"/>
          </w:tcPr>
          <w:p w14:paraId="1C18AF10" w14:textId="3A4102FA" w:rsidR="00AE19C6" w:rsidRPr="002A30B3" w:rsidRDefault="00F66817" w:rsidP="00AE19C6">
            <w:pPr>
              <w:widowControl/>
              <w:jc w:val="left"/>
              <w:rPr>
                <w:rFonts w:ascii="Arial Narrow" w:hAnsi="Arial Narrow"/>
                <w:sz w:val="20"/>
              </w:rPr>
            </w:pPr>
            <w:r w:rsidRPr="002A30B3">
              <w:rPr>
                <w:rFonts w:ascii="Arial Narrow" w:hAnsi="Arial Narrow"/>
                <w:sz w:val="20"/>
              </w:rPr>
              <w:t xml:space="preserve">800 mg </w:t>
            </w:r>
            <w:r w:rsidR="00AE19C6" w:rsidRPr="002A30B3">
              <w:rPr>
                <w:rFonts w:ascii="Arial Narrow" w:hAnsi="Arial Narrow"/>
                <w:sz w:val="20"/>
              </w:rPr>
              <w:t xml:space="preserve"> tablets</w:t>
            </w:r>
          </w:p>
        </w:tc>
        <w:tc>
          <w:tcPr>
            <w:tcW w:w="992" w:type="dxa"/>
            <w:vAlign w:val="center"/>
          </w:tcPr>
          <w:p w14:paraId="7A00AB63" w14:textId="7C4D219D" w:rsidR="00AE19C6" w:rsidRPr="002A30B3" w:rsidRDefault="00AE19C6" w:rsidP="00AE19C6">
            <w:pPr>
              <w:widowControl/>
              <w:jc w:val="center"/>
              <w:rPr>
                <w:rFonts w:ascii="Arial Narrow" w:hAnsi="Arial Narrow"/>
                <w:sz w:val="20"/>
              </w:rPr>
            </w:pPr>
            <w:r w:rsidRPr="002A30B3">
              <w:rPr>
                <w:rFonts w:ascii="Arial Narrow" w:hAnsi="Arial Narrow"/>
                <w:sz w:val="20"/>
              </w:rPr>
              <w:t>90</w:t>
            </w:r>
          </w:p>
        </w:tc>
        <w:tc>
          <w:tcPr>
            <w:tcW w:w="850" w:type="dxa"/>
            <w:vAlign w:val="center"/>
          </w:tcPr>
          <w:p w14:paraId="246F6C55" w14:textId="403C8CA8" w:rsidR="00AE19C6" w:rsidRPr="002A30B3" w:rsidRDefault="00AE19C6" w:rsidP="00AE19C6">
            <w:pPr>
              <w:widowControl/>
              <w:jc w:val="center"/>
              <w:rPr>
                <w:rFonts w:ascii="Arial Narrow" w:hAnsi="Arial Narrow"/>
                <w:sz w:val="20"/>
              </w:rPr>
            </w:pPr>
            <w:r w:rsidRPr="002A30B3">
              <w:rPr>
                <w:rFonts w:ascii="Arial Narrow" w:hAnsi="Arial Narrow"/>
                <w:sz w:val="20"/>
              </w:rPr>
              <w:t>$173.68</w:t>
            </w:r>
          </w:p>
        </w:tc>
        <w:tc>
          <w:tcPr>
            <w:tcW w:w="1276" w:type="dxa"/>
            <w:vAlign w:val="center"/>
          </w:tcPr>
          <w:p w14:paraId="06BBE61C" w14:textId="62C6E6B2" w:rsidR="00AE19C6" w:rsidRPr="002A30B3" w:rsidRDefault="00AE19C6" w:rsidP="00AE19C6">
            <w:pPr>
              <w:widowControl/>
              <w:jc w:val="center"/>
              <w:rPr>
                <w:rFonts w:ascii="Arial Narrow" w:hAnsi="Arial Narrow"/>
                <w:sz w:val="20"/>
              </w:rPr>
            </w:pPr>
            <w:r w:rsidRPr="002A30B3">
              <w:rPr>
                <w:rFonts w:ascii="Arial Narrow" w:hAnsi="Arial Narrow"/>
                <w:sz w:val="20"/>
              </w:rPr>
              <w:t>$0.00241</w:t>
            </w:r>
          </w:p>
        </w:tc>
        <w:tc>
          <w:tcPr>
            <w:tcW w:w="1258" w:type="dxa"/>
            <w:vAlign w:val="center"/>
          </w:tcPr>
          <w:p w14:paraId="71777E6F" w14:textId="5B753A0A" w:rsidR="00AE19C6" w:rsidRPr="002A30B3" w:rsidRDefault="00AE19C6" w:rsidP="00AE19C6">
            <w:pPr>
              <w:widowControl/>
              <w:jc w:val="center"/>
              <w:rPr>
                <w:rFonts w:ascii="Arial Narrow" w:hAnsi="Arial Narrow"/>
                <w:sz w:val="20"/>
              </w:rPr>
            </w:pPr>
            <w:r w:rsidRPr="002A30B3">
              <w:rPr>
                <w:rFonts w:ascii="Arial Narrow" w:hAnsi="Arial Narrow"/>
                <w:sz w:val="20"/>
              </w:rPr>
              <w:t>2.4-</w:t>
            </w:r>
            <w:r w:rsidR="00F66817" w:rsidRPr="002A30B3">
              <w:rPr>
                <w:rFonts w:ascii="Arial Narrow" w:hAnsi="Arial Narrow"/>
                <w:sz w:val="20"/>
              </w:rPr>
              <w:t>4.8 g</w:t>
            </w:r>
          </w:p>
        </w:tc>
        <w:tc>
          <w:tcPr>
            <w:tcW w:w="1464" w:type="dxa"/>
            <w:vAlign w:val="center"/>
          </w:tcPr>
          <w:p w14:paraId="103A665B" w14:textId="77777777" w:rsidR="00AE19C6" w:rsidRPr="002A30B3" w:rsidRDefault="00AE19C6" w:rsidP="00AE19C6">
            <w:pPr>
              <w:widowControl/>
              <w:jc w:val="center"/>
              <w:rPr>
                <w:rFonts w:ascii="Arial Narrow" w:hAnsi="Arial Narrow"/>
                <w:sz w:val="20"/>
              </w:rPr>
            </w:pPr>
            <w:r w:rsidRPr="002A30B3">
              <w:rPr>
                <w:rFonts w:ascii="Arial Narrow" w:hAnsi="Arial Narrow"/>
                <w:sz w:val="20"/>
              </w:rPr>
              <w:t>$5.79 to $11.58</w:t>
            </w:r>
          </w:p>
        </w:tc>
      </w:tr>
      <w:tr w:rsidR="00AE19C6" w:rsidRPr="002A30B3" w14:paraId="7A101159" w14:textId="77777777" w:rsidTr="00AE19C6">
        <w:trPr>
          <w:jc w:val="right"/>
        </w:trPr>
        <w:tc>
          <w:tcPr>
            <w:tcW w:w="1030" w:type="dxa"/>
            <w:vAlign w:val="center"/>
          </w:tcPr>
          <w:p w14:paraId="52B86DF1" w14:textId="55766F9A" w:rsidR="00AE19C6" w:rsidRPr="002A30B3" w:rsidRDefault="00AE19C6" w:rsidP="00AE19C6">
            <w:pPr>
              <w:widowControl/>
              <w:jc w:val="left"/>
              <w:rPr>
                <w:rFonts w:ascii="Arial Narrow" w:hAnsi="Arial Narrow"/>
                <w:sz w:val="20"/>
              </w:rPr>
            </w:pPr>
            <w:r w:rsidRPr="002A30B3">
              <w:rPr>
                <w:rFonts w:ascii="Arial Narrow" w:hAnsi="Arial Narrow"/>
                <w:sz w:val="20"/>
              </w:rPr>
              <w:t>Mezavant</w:t>
            </w:r>
          </w:p>
        </w:tc>
        <w:tc>
          <w:tcPr>
            <w:tcW w:w="1418" w:type="dxa"/>
            <w:vAlign w:val="center"/>
          </w:tcPr>
          <w:p w14:paraId="085E96FD" w14:textId="0C05C98F" w:rsidR="00AE19C6" w:rsidRPr="002A30B3" w:rsidRDefault="00F66817" w:rsidP="00AE19C6">
            <w:pPr>
              <w:widowControl/>
              <w:jc w:val="left"/>
              <w:rPr>
                <w:rFonts w:ascii="Arial Narrow" w:hAnsi="Arial Narrow"/>
                <w:sz w:val="20"/>
              </w:rPr>
            </w:pPr>
            <w:r w:rsidRPr="002A30B3">
              <w:rPr>
                <w:rFonts w:ascii="Arial Narrow" w:hAnsi="Arial Narrow"/>
                <w:sz w:val="20"/>
              </w:rPr>
              <w:t>1.2 g</w:t>
            </w:r>
            <w:r w:rsidR="00AE19C6" w:rsidRPr="002A30B3">
              <w:rPr>
                <w:rFonts w:ascii="Arial Narrow" w:hAnsi="Arial Narrow"/>
                <w:sz w:val="20"/>
              </w:rPr>
              <w:t xml:space="preserve"> tablets</w:t>
            </w:r>
          </w:p>
        </w:tc>
        <w:tc>
          <w:tcPr>
            <w:tcW w:w="992" w:type="dxa"/>
            <w:vAlign w:val="center"/>
          </w:tcPr>
          <w:p w14:paraId="2FD3129F" w14:textId="360F7F5E" w:rsidR="00AE19C6" w:rsidRPr="002A30B3" w:rsidRDefault="00AE19C6" w:rsidP="00AE19C6">
            <w:pPr>
              <w:widowControl/>
              <w:jc w:val="center"/>
              <w:rPr>
                <w:rFonts w:ascii="Arial Narrow" w:hAnsi="Arial Narrow"/>
                <w:sz w:val="20"/>
              </w:rPr>
            </w:pPr>
            <w:r w:rsidRPr="002A30B3">
              <w:rPr>
                <w:rFonts w:ascii="Arial Narrow" w:hAnsi="Arial Narrow"/>
                <w:sz w:val="20"/>
              </w:rPr>
              <w:t>60</w:t>
            </w:r>
          </w:p>
        </w:tc>
        <w:tc>
          <w:tcPr>
            <w:tcW w:w="850" w:type="dxa"/>
            <w:vAlign w:val="center"/>
          </w:tcPr>
          <w:p w14:paraId="3179D3D2" w14:textId="6DECD36F" w:rsidR="00AE19C6" w:rsidRPr="002A30B3" w:rsidRDefault="00AE19C6" w:rsidP="00AE19C6">
            <w:pPr>
              <w:widowControl/>
              <w:jc w:val="center"/>
              <w:rPr>
                <w:rFonts w:ascii="Arial Narrow" w:hAnsi="Arial Narrow"/>
                <w:sz w:val="20"/>
              </w:rPr>
            </w:pPr>
            <w:r w:rsidRPr="002A30B3">
              <w:rPr>
                <w:rFonts w:ascii="Arial Narrow" w:hAnsi="Arial Narrow"/>
                <w:sz w:val="20"/>
              </w:rPr>
              <w:t>$173.68</w:t>
            </w:r>
          </w:p>
        </w:tc>
        <w:tc>
          <w:tcPr>
            <w:tcW w:w="1276" w:type="dxa"/>
            <w:vAlign w:val="center"/>
          </w:tcPr>
          <w:p w14:paraId="4F7E25C4" w14:textId="5960879E" w:rsidR="00AE19C6" w:rsidRPr="002A30B3" w:rsidRDefault="00AE19C6" w:rsidP="00AE19C6">
            <w:pPr>
              <w:widowControl/>
              <w:jc w:val="center"/>
              <w:rPr>
                <w:rFonts w:ascii="Arial Narrow" w:hAnsi="Arial Narrow"/>
                <w:sz w:val="20"/>
              </w:rPr>
            </w:pPr>
            <w:r w:rsidRPr="002A30B3">
              <w:rPr>
                <w:rFonts w:ascii="Arial Narrow" w:hAnsi="Arial Narrow"/>
                <w:sz w:val="20"/>
              </w:rPr>
              <w:t>$0.00241</w:t>
            </w:r>
          </w:p>
        </w:tc>
        <w:tc>
          <w:tcPr>
            <w:tcW w:w="1258" w:type="dxa"/>
            <w:vAlign w:val="center"/>
          </w:tcPr>
          <w:p w14:paraId="357BBF66" w14:textId="337B9AB4" w:rsidR="00AE19C6" w:rsidRPr="002A30B3" w:rsidRDefault="00AE19C6" w:rsidP="00AE19C6">
            <w:pPr>
              <w:widowControl/>
              <w:jc w:val="center"/>
              <w:rPr>
                <w:rFonts w:ascii="Arial Narrow" w:hAnsi="Arial Narrow"/>
                <w:sz w:val="20"/>
              </w:rPr>
            </w:pPr>
            <w:r w:rsidRPr="002A30B3">
              <w:rPr>
                <w:rFonts w:ascii="Arial Narrow" w:hAnsi="Arial Narrow"/>
                <w:sz w:val="20"/>
              </w:rPr>
              <w:t>2.4-</w:t>
            </w:r>
            <w:r w:rsidR="00F66817" w:rsidRPr="002A30B3">
              <w:rPr>
                <w:rFonts w:ascii="Arial Narrow" w:hAnsi="Arial Narrow"/>
                <w:sz w:val="20"/>
              </w:rPr>
              <w:t>4.8 g</w:t>
            </w:r>
          </w:p>
        </w:tc>
        <w:tc>
          <w:tcPr>
            <w:tcW w:w="1464" w:type="dxa"/>
            <w:vAlign w:val="center"/>
          </w:tcPr>
          <w:p w14:paraId="676A74CF" w14:textId="74059572" w:rsidR="00AE19C6" w:rsidRPr="002A30B3" w:rsidRDefault="00AE19C6" w:rsidP="00AE19C6">
            <w:pPr>
              <w:widowControl/>
              <w:jc w:val="center"/>
              <w:rPr>
                <w:rFonts w:ascii="Arial Narrow" w:hAnsi="Arial Narrow"/>
                <w:sz w:val="20"/>
              </w:rPr>
            </w:pPr>
            <w:r w:rsidRPr="002A30B3">
              <w:rPr>
                <w:rFonts w:ascii="Arial Narrow" w:hAnsi="Arial Narrow"/>
                <w:sz w:val="20"/>
              </w:rPr>
              <w:t>$5.79 to $11.58</w:t>
            </w:r>
          </w:p>
        </w:tc>
      </w:tr>
    </w:tbl>
    <w:p w14:paraId="7E9572B2" w14:textId="46CA9FC0" w:rsidR="00EA0BFB" w:rsidRPr="002A30B3" w:rsidRDefault="009015E1" w:rsidP="009015E1">
      <w:pPr>
        <w:pStyle w:val="TableFooter"/>
      </w:pPr>
      <w:r w:rsidRPr="002A30B3">
        <w:tab/>
        <w:t>Source: constructed during evaluation</w:t>
      </w:r>
    </w:p>
    <w:p w14:paraId="226D6FC5" w14:textId="3DD862C9" w:rsidR="009015E1" w:rsidRPr="002A30B3" w:rsidRDefault="009015E1" w:rsidP="009015E1">
      <w:pPr>
        <w:pStyle w:val="TableFooter"/>
      </w:pPr>
      <w:r w:rsidRPr="002A30B3">
        <w:tab/>
        <w:t>Abbreviation: AEMP, agreed ex-manufacturer price</w:t>
      </w:r>
    </w:p>
    <w:p w14:paraId="0AD18E1C" w14:textId="009C965A" w:rsidR="00AE19C6" w:rsidRPr="002A30B3" w:rsidRDefault="00AE19C6" w:rsidP="001456B0">
      <w:pPr>
        <w:rPr>
          <w:szCs w:val="22"/>
        </w:rPr>
      </w:pPr>
    </w:p>
    <w:p w14:paraId="232CEDFC" w14:textId="0A6CC863" w:rsidR="00EA0BFB" w:rsidRPr="002A30B3" w:rsidRDefault="00AE19C6" w:rsidP="001456B0">
      <w:pPr>
        <w:pStyle w:val="ListParagraph"/>
        <w:widowControl/>
        <w:numPr>
          <w:ilvl w:val="1"/>
          <w:numId w:val="5"/>
        </w:numPr>
        <w:rPr>
          <w:szCs w:val="22"/>
        </w:rPr>
      </w:pPr>
      <w:r w:rsidRPr="002A30B3">
        <w:rPr>
          <w:rStyle w:val="CommentReference"/>
          <w:rFonts w:ascii="Arial" w:hAnsi="Arial"/>
          <w:b w:val="0"/>
          <w:sz w:val="22"/>
          <w:szCs w:val="22"/>
        </w:rPr>
        <w:t xml:space="preserve">The drug cost per patient per month for Asacol based on the proposed ex-manufacturer price of $173.68 for a 90 pack was estimated to range from $173.70 up to $347.40 for induction of remission based on the recommended dose range </w:t>
      </w:r>
      <w:r w:rsidR="00CB3388" w:rsidRPr="002A30B3">
        <w:rPr>
          <w:rStyle w:val="CommentReference"/>
          <w:rFonts w:ascii="Arial" w:hAnsi="Arial"/>
          <w:b w:val="0"/>
          <w:sz w:val="22"/>
          <w:szCs w:val="22"/>
        </w:rPr>
        <w:t xml:space="preserve">of </w:t>
      </w:r>
      <w:r w:rsidR="00F66817" w:rsidRPr="002A30B3">
        <w:rPr>
          <w:rStyle w:val="CommentReference"/>
          <w:rFonts w:ascii="Arial" w:hAnsi="Arial"/>
          <w:b w:val="0"/>
          <w:sz w:val="22"/>
          <w:szCs w:val="22"/>
        </w:rPr>
        <w:t>2.4 g</w:t>
      </w:r>
      <w:r w:rsidR="00CB3388" w:rsidRPr="002A30B3">
        <w:rPr>
          <w:rStyle w:val="CommentReference"/>
          <w:rFonts w:ascii="Arial" w:hAnsi="Arial"/>
          <w:b w:val="0"/>
          <w:sz w:val="22"/>
          <w:szCs w:val="22"/>
        </w:rPr>
        <w:t xml:space="preserve"> to </w:t>
      </w:r>
      <w:r w:rsidR="00F66817" w:rsidRPr="002A30B3">
        <w:rPr>
          <w:rStyle w:val="CommentReference"/>
          <w:rFonts w:ascii="Arial" w:hAnsi="Arial"/>
          <w:b w:val="0"/>
          <w:sz w:val="22"/>
          <w:szCs w:val="22"/>
        </w:rPr>
        <w:t>4.8 g</w:t>
      </w:r>
      <w:r w:rsidR="00CB3388" w:rsidRPr="002A30B3">
        <w:rPr>
          <w:rStyle w:val="CommentReference"/>
          <w:rFonts w:ascii="Arial" w:hAnsi="Arial"/>
          <w:b w:val="0"/>
          <w:sz w:val="22"/>
          <w:szCs w:val="22"/>
        </w:rPr>
        <w:t xml:space="preserve"> per day. </w:t>
      </w:r>
      <w:r w:rsidR="00647244" w:rsidRPr="002A30B3">
        <w:rPr>
          <w:rStyle w:val="CommentReference"/>
          <w:rFonts w:ascii="Arial" w:hAnsi="Arial"/>
          <w:b w:val="0"/>
          <w:sz w:val="22"/>
          <w:szCs w:val="22"/>
        </w:rPr>
        <w:t>Th</w:t>
      </w:r>
      <w:r w:rsidR="008C7AAC" w:rsidRPr="002A30B3">
        <w:rPr>
          <w:rStyle w:val="CommentReference"/>
          <w:rFonts w:ascii="Arial" w:hAnsi="Arial"/>
          <w:b w:val="0"/>
          <w:sz w:val="22"/>
          <w:szCs w:val="22"/>
        </w:rPr>
        <w:t xml:space="preserve">is is the same as the </w:t>
      </w:r>
      <w:r w:rsidR="00647244" w:rsidRPr="002A30B3">
        <w:rPr>
          <w:rStyle w:val="CommentReference"/>
          <w:rFonts w:ascii="Arial" w:hAnsi="Arial"/>
          <w:b w:val="0"/>
          <w:sz w:val="22"/>
          <w:szCs w:val="22"/>
        </w:rPr>
        <w:t xml:space="preserve">cost per patient per month </w:t>
      </w:r>
      <w:r w:rsidR="008C7AAC" w:rsidRPr="002A30B3">
        <w:rPr>
          <w:rStyle w:val="CommentReference"/>
          <w:rFonts w:ascii="Arial" w:hAnsi="Arial"/>
          <w:b w:val="0"/>
          <w:sz w:val="22"/>
          <w:szCs w:val="22"/>
        </w:rPr>
        <w:t>for Mezavant</w:t>
      </w:r>
      <w:r w:rsidR="00647244" w:rsidRPr="002A30B3">
        <w:rPr>
          <w:rStyle w:val="CommentReference"/>
          <w:rFonts w:ascii="Arial" w:hAnsi="Arial"/>
          <w:b w:val="0"/>
          <w:sz w:val="22"/>
          <w:szCs w:val="22"/>
        </w:rPr>
        <w:t xml:space="preserve">. </w:t>
      </w:r>
    </w:p>
    <w:p w14:paraId="0DB2ABD3" w14:textId="77777777" w:rsidR="00EA0BFB" w:rsidRPr="002A30B3" w:rsidRDefault="00EA0BFB" w:rsidP="001456B0">
      <w:pPr>
        <w:rPr>
          <w:szCs w:val="22"/>
        </w:rPr>
      </w:pPr>
    </w:p>
    <w:p w14:paraId="1F8B0587" w14:textId="34CC0042" w:rsidR="002C6A54" w:rsidRPr="002A30B3" w:rsidRDefault="002C6A54" w:rsidP="00D17BFB">
      <w:pPr>
        <w:pStyle w:val="Heading3"/>
        <w:rPr>
          <w:b/>
          <w:i/>
          <w:u w:val="none"/>
        </w:rPr>
      </w:pPr>
      <w:bookmarkStart w:id="15" w:name="_Toc470161820"/>
      <w:r w:rsidRPr="002A30B3">
        <w:rPr>
          <w:b/>
          <w:i/>
          <w:u w:val="none"/>
        </w:rPr>
        <w:t>Drug cost/patient/year</w:t>
      </w:r>
      <w:r w:rsidR="00CE193E" w:rsidRPr="002A30B3">
        <w:rPr>
          <w:b/>
          <w:i/>
          <w:u w:val="none"/>
        </w:rPr>
        <w:t>:</w:t>
      </w:r>
      <w:r w:rsidR="00E825D9" w:rsidRPr="002A30B3">
        <w:rPr>
          <w:b/>
          <w:i/>
          <w:u w:val="none"/>
        </w:rPr>
        <w:t xml:space="preserve"> from </w:t>
      </w:r>
      <w:r w:rsidR="00CE193E" w:rsidRPr="002A30B3">
        <w:rPr>
          <w:b/>
          <w:i/>
          <w:u w:val="none"/>
        </w:rPr>
        <w:t>$1408.90 (</w:t>
      </w:r>
      <w:r w:rsidR="00F66817" w:rsidRPr="002A30B3">
        <w:rPr>
          <w:b/>
          <w:i/>
          <w:u w:val="none"/>
        </w:rPr>
        <w:t>1.6 g</w:t>
      </w:r>
      <w:r w:rsidR="00E825D9" w:rsidRPr="002A30B3">
        <w:rPr>
          <w:b/>
          <w:i/>
          <w:u w:val="none"/>
        </w:rPr>
        <w:t xml:space="preserve"> daily</w:t>
      </w:r>
      <w:r w:rsidR="00CE193E" w:rsidRPr="002A30B3">
        <w:rPr>
          <w:b/>
          <w:i/>
          <w:u w:val="none"/>
        </w:rPr>
        <w:t>)</w:t>
      </w:r>
      <w:r w:rsidR="00E825D9" w:rsidRPr="002A30B3">
        <w:rPr>
          <w:b/>
          <w:i/>
          <w:u w:val="none"/>
        </w:rPr>
        <w:t xml:space="preserve"> up to </w:t>
      </w:r>
      <w:r w:rsidR="00CE193E" w:rsidRPr="002A30B3">
        <w:rPr>
          <w:b/>
          <w:i/>
          <w:u w:val="none"/>
        </w:rPr>
        <w:t>$2113.35 (</w:t>
      </w:r>
      <w:r w:rsidR="00F66817" w:rsidRPr="002A30B3">
        <w:rPr>
          <w:b/>
          <w:i/>
          <w:u w:val="none"/>
        </w:rPr>
        <w:t>2.4 g</w:t>
      </w:r>
      <w:r w:rsidR="00E825D9" w:rsidRPr="002A30B3">
        <w:rPr>
          <w:b/>
          <w:i/>
          <w:u w:val="none"/>
        </w:rPr>
        <w:t xml:space="preserve"> daily</w:t>
      </w:r>
      <w:r w:rsidR="00CE193E" w:rsidRPr="002A30B3">
        <w:rPr>
          <w:b/>
          <w:i/>
          <w:u w:val="none"/>
        </w:rPr>
        <w:t>)</w:t>
      </w:r>
      <w:r w:rsidR="00E825D9" w:rsidRPr="002A30B3">
        <w:rPr>
          <w:b/>
          <w:i/>
          <w:u w:val="none"/>
        </w:rPr>
        <w:t xml:space="preserve"> for maintenance of remission</w:t>
      </w:r>
      <w:bookmarkEnd w:id="15"/>
    </w:p>
    <w:p w14:paraId="63E09C06" w14:textId="77777777" w:rsidR="002C6A54" w:rsidRPr="002A30B3" w:rsidRDefault="002C6A54" w:rsidP="001456B0">
      <w:pPr>
        <w:rPr>
          <w:szCs w:val="22"/>
        </w:rPr>
      </w:pPr>
    </w:p>
    <w:p w14:paraId="448F88EC" w14:textId="056F9307" w:rsidR="00E825D9" w:rsidRPr="002A30B3" w:rsidRDefault="000150D0" w:rsidP="00E825D9">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Table 1</w:t>
      </w:r>
      <w:r w:rsidR="006224F4" w:rsidRPr="002A30B3">
        <w:rPr>
          <w:rStyle w:val="CommentReference"/>
          <w:rFonts w:ascii="Arial" w:hAnsi="Arial"/>
          <w:b w:val="0"/>
          <w:sz w:val="22"/>
          <w:szCs w:val="22"/>
        </w:rPr>
        <w:t>1</w:t>
      </w:r>
      <w:r w:rsidR="00E825D9" w:rsidRPr="002A30B3">
        <w:rPr>
          <w:rStyle w:val="CommentReference"/>
          <w:rFonts w:ascii="Arial" w:hAnsi="Arial"/>
          <w:b w:val="0"/>
          <w:sz w:val="22"/>
          <w:szCs w:val="22"/>
        </w:rPr>
        <w:t xml:space="preserve"> summarises the drug cost for Asacol based on the proposed ex-manufacturer pri</w:t>
      </w:r>
      <w:r w:rsidR="00647244" w:rsidRPr="002A30B3">
        <w:rPr>
          <w:rStyle w:val="CommentReference"/>
          <w:rFonts w:ascii="Arial" w:hAnsi="Arial"/>
          <w:b w:val="0"/>
          <w:sz w:val="22"/>
          <w:szCs w:val="22"/>
        </w:rPr>
        <w:t>ce for maintenance</w:t>
      </w:r>
      <w:r w:rsidR="00E825D9" w:rsidRPr="002A30B3">
        <w:rPr>
          <w:rStyle w:val="CommentReference"/>
          <w:rFonts w:ascii="Arial" w:hAnsi="Arial"/>
          <w:b w:val="0"/>
          <w:sz w:val="22"/>
          <w:szCs w:val="22"/>
        </w:rPr>
        <w:t xml:space="preserve"> of remission.</w:t>
      </w:r>
    </w:p>
    <w:p w14:paraId="51849C93" w14:textId="77777777" w:rsidR="00E825D9" w:rsidRPr="002A30B3" w:rsidRDefault="00E825D9" w:rsidP="00E825D9">
      <w:pPr>
        <w:pStyle w:val="ListParagraph"/>
        <w:widowControl/>
        <w:rPr>
          <w:rStyle w:val="CommentReference"/>
          <w:rFonts w:ascii="Arial" w:hAnsi="Arial"/>
          <w:b w:val="0"/>
          <w:sz w:val="22"/>
          <w:szCs w:val="22"/>
        </w:rPr>
      </w:pPr>
    </w:p>
    <w:p w14:paraId="6777A13F" w14:textId="246813FD" w:rsidR="00E825D9" w:rsidRPr="002A30B3" w:rsidRDefault="00E825D9" w:rsidP="00E825D9">
      <w:pPr>
        <w:pStyle w:val="ListParagraph"/>
        <w:widowControl/>
        <w:rPr>
          <w:szCs w:val="22"/>
        </w:rPr>
      </w:pPr>
      <w:r w:rsidRPr="002A30B3">
        <w:rPr>
          <w:rStyle w:val="CommentReference"/>
        </w:rPr>
        <w:t xml:space="preserve">Table </w:t>
      </w:r>
      <w:r w:rsidR="00643E17" w:rsidRPr="002A30B3">
        <w:rPr>
          <w:rStyle w:val="CommentReference"/>
        </w:rPr>
        <w:t>11</w:t>
      </w:r>
      <w:r w:rsidRPr="002A30B3">
        <w:rPr>
          <w:rStyle w:val="CommentReference"/>
        </w:rPr>
        <w:t>: Summary of drug cost for Asacol based on proposed ex-manufacturer price</w:t>
      </w:r>
      <w:r w:rsidR="009015E1" w:rsidRPr="002A30B3">
        <w:rPr>
          <w:rStyle w:val="CommentReference"/>
        </w:rPr>
        <w:t xml:space="preserve"> for maintenance</w:t>
      </w:r>
    </w:p>
    <w:tbl>
      <w:tblPr>
        <w:tblStyle w:val="TableGrid"/>
        <w:tblW w:w="8278" w:type="dxa"/>
        <w:jc w:val="right"/>
        <w:tblLayout w:type="fixed"/>
        <w:tblLook w:val="04A0" w:firstRow="1" w:lastRow="0" w:firstColumn="1" w:lastColumn="0" w:noHBand="0" w:noVBand="1"/>
        <w:tblCaption w:val="Table 10: Summary of drug cost for Asacol based on proposed ex-manufacturer price for maintenance"/>
      </w:tblPr>
      <w:tblGrid>
        <w:gridCol w:w="988"/>
        <w:gridCol w:w="1569"/>
        <w:gridCol w:w="982"/>
        <w:gridCol w:w="1134"/>
        <w:gridCol w:w="992"/>
        <w:gridCol w:w="1276"/>
        <w:gridCol w:w="1337"/>
      </w:tblGrid>
      <w:tr w:rsidR="00AE19C6" w:rsidRPr="002A30B3" w14:paraId="7F63066D" w14:textId="77777777" w:rsidTr="008531FB">
        <w:trPr>
          <w:tblHeader/>
          <w:jc w:val="right"/>
        </w:trPr>
        <w:tc>
          <w:tcPr>
            <w:tcW w:w="988" w:type="dxa"/>
            <w:vMerge w:val="restart"/>
            <w:vAlign w:val="center"/>
          </w:tcPr>
          <w:p w14:paraId="7371D2AA" w14:textId="77777777" w:rsidR="00AE19C6" w:rsidRPr="002A30B3" w:rsidRDefault="00AE19C6" w:rsidP="00635FCC">
            <w:pPr>
              <w:widowControl/>
              <w:jc w:val="left"/>
              <w:rPr>
                <w:rFonts w:ascii="Arial Narrow" w:hAnsi="Arial Narrow"/>
                <w:b/>
                <w:sz w:val="20"/>
              </w:rPr>
            </w:pPr>
            <w:r w:rsidRPr="002A30B3">
              <w:rPr>
                <w:rFonts w:ascii="Arial Narrow" w:hAnsi="Arial Narrow"/>
                <w:b/>
                <w:sz w:val="20"/>
              </w:rPr>
              <w:t>Brand</w:t>
            </w:r>
          </w:p>
        </w:tc>
        <w:tc>
          <w:tcPr>
            <w:tcW w:w="1569" w:type="dxa"/>
            <w:vMerge w:val="restart"/>
            <w:vAlign w:val="center"/>
          </w:tcPr>
          <w:p w14:paraId="2CC1B7D6" w14:textId="77777777" w:rsidR="00AE19C6" w:rsidRPr="002A30B3" w:rsidRDefault="00AE19C6" w:rsidP="00635FCC">
            <w:pPr>
              <w:widowControl/>
              <w:jc w:val="left"/>
              <w:rPr>
                <w:rFonts w:ascii="Arial Narrow" w:hAnsi="Arial Narrow"/>
                <w:b/>
                <w:sz w:val="20"/>
              </w:rPr>
            </w:pPr>
            <w:r w:rsidRPr="002A30B3">
              <w:rPr>
                <w:rFonts w:ascii="Arial Narrow" w:hAnsi="Arial Narrow"/>
                <w:b/>
                <w:sz w:val="20"/>
              </w:rPr>
              <w:t>Strength and formulation</w:t>
            </w:r>
          </w:p>
        </w:tc>
        <w:tc>
          <w:tcPr>
            <w:tcW w:w="982" w:type="dxa"/>
            <w:vMerge w:val="restart"/>
            <w:vAlign w:val="center"/>
          </w:tcPr>
          <w:p w14:paraId="70ABA95C" w14:textId="4D0BA4F8" w:rsidR="00AE19C6" w:rsidRPr="002A30B3" w:rsidRDefault="00AE19C6" w:rsidP="00AE19C6">
            <w:pPr>
              <w:widowControl/>
              <w:jc w:val="center"/>
              <w:rPr>
                <w:rFonts w:ascii="Arial Narrow" w:hAnsi="Arial Narrow"/>
                <w:b/>
                <w:sz w:val="20"/>
              </w:rPr>
            </w:pPr>
            <w:r w:rsidRPr="002A30B3">
              <w:rPr>
                <w:rFonts w:ascii="Arial Narrow" w:hAnsi="Arial Narrow"/>
                <w:b/>
                <w:sz w:val="20"/>
              </w:rPr>
              <w:t>Pack</w:t>
            </w:r>
          </w:p>
        </w:tc>
        <w:tc>
          <w:tcPr>
            <w:tcW w:w="1134" w:type="dxa"/>
            <w:vMerge w:val="restart"/>
            <w:vAlign w:val="center"/>
          </w:tcPr>
          <w:p w14:paraId="048D13F4" w14:textId="77777777" w:rsidR="00AE19C6" w:rsidRPr="002A30B3" w:rsidRDefault="00AE19C6" w:rsidP="00635FCC">
            <w:pPr>
              <w:widowControl/>
              <w:jc w:val="center"/>
              <w:rPr>
                <w:rFonts w:ascii="Arial Narrow" w:hAnsi="Arial Narrow"/>
                <w:b/>
                <w:sz w:val="20"/>
              </w:rPr>
            </w:pPr>
            <w:r w:rsidRPr="002A30B3">
              <w:rPr>
                <w:rFonts w:ascii="Arial Narrow" w:hAnsi="Arial Narrow"/>
                <w:b/>
                <w:sz w:val="20"/>
              </w:rPr>
              <w:t>AEMP</w:t>
            </w:r>
          </w:p>
        </w:tc>
        <w:tc>
          <w:tcPr>
            <w:tcW w:w="992" w:type="dxa"/>
            <w:vMerge w:val="restart"/>
            <w:vAlign w:val="center"/>
          </w:tcPr>
          <w:p w14:paraId="33432FEA" w14:textId="77777777" w:rsidR="00AE19C6" w:rsidRPr="002A30B3" w:rsidRDefault="00AE19C6" w:rsidP="00635FCC">
            <w:pPr>
              <w:widowControl/>
              <w:jc w:val="center"/>
              <w:rPr>
                <w:rFonts w:ascii="Arial Narrow" w:hAnsi="Arial Narrow"/>
                <w:b/>
                <w:sz w:val="20"/>
              </w:rPr>
            </w:pPr>
            <w:r w:rsidRPr="002A30B3">
              <w:rPr>
                <w:rFonts w:ascii="Arial Narrow" w:hAnsi="Arial Narrow"/>
                <w:b/>
                <w:sz w:val="20"/>
              </w:rPr>
              <w:t>Price per mg</w:t>
            </w:r>
          </w:p>
        </w:tc>
        <w:tc>
          <w:tcPr>
            <w:tcW w:w="2613" w:type="dxa"/>
            <w:gridSpan w:val="2"/>
            <w:vAlign w:val="center"/>
          </w:tcPr>
          <w:p w14:paraId="3391E74B" w14:textId="7C780B5A" w:rsidR="00AE19C6" w:rsidRPr="002A30B3" w:rsidRDefault="00AE19C6" w:rsidP="00635FCC">
            <w:pPr>
              <w:widowControl/>
              <w:jc w:val="center"/>
              <w:rPr>
                <w:rFonts w:ascii="Arial Narrow" w:hAnsi="Arial Narrow"/>
                <w:b/>
                <w:sz w:val="20"/>
              </w:rPr>
            </w:pPr>
            <w:r w:rsidRPr="002A30B3">
              <w:rPr>
                <w:rFonts w:ascii="Arial Narrow" w:hAnsi="Arial Narrow"/>
                <w:b/>
                <w:sz w:val="20"/>
              </w:rPr>
              <w:t>Maintenance</w:t>
            </w:r>
          </w:p>
        </w:tc>
      </w:tr>
      <w:tr w:rsidR="00AE19C6" w:rsidRPr="002A30B3" w14:paraId="73D9F127" w14:textId="77777777" w:rsidTr="008531FB">
        <w:trPr>
          <w:tblHeader/>
          <w:jc w:val="right"/>
        </w:trPr>
        <w:tc>
          <w:tcPr>
            <w:tcW w:w="988" w:type="dxa"/>
            <w:vMerge/>
            <w:vAlign w:val="center"/>
          </w:tcPr>
          <w:p w14:paraId="14FA902B" w14:textId="77777777" w:rsidR="00AE19C6" w:rsidRPr="002A30B3" w:rsidRDefault="00AE19C6" w:rsidP="00635FCC">
            <w:pPr>
              <w:widowControl/>
              <w:jc w:val="left"/>
              <w:rPr>
                <w:rFonts w:ascii="Arial Narrow" w:hAnsi="Arial Narrow"/>
                <w:sz w:val="20"/>
              </w:rPr>
            </w:pPr>
          </w:p>
        </w:tc>
        <w:tc>
          <w:tcPr>
            <w:tcW w:w="1569" w:type="dxa"/>
            <w:vMerge/>
            <w:vAlign w:val="center"/>
          </w:tcPr>
          <w:p w14:paraId="1905B92A" w14:textId="77777777" w:rsidR="00AE19C6" w:rsidRPr="002A30B3" w:rsidRDefault="00AE19C6" w:rsidP="00635FCC">
            <w:pPr>
              <w:widowControl/>
              <w:jc w:val="left"/>
              <w:rPr>
                <w:rFonts w:ascii="Arial Narrow" w:hAnsi="Arial Narrow"/>
                <w:sz w:val="20"/>
              </w:rPr>
            </w:pPr>
          </w:p>
        </w:tc>
        <w:tc>
          <w:tcPr>
            <w:tcW w:w="982" w:type="dxa"/>
            <w:vMerge/>
            <w:vAlign w:val="center"/>
          </w:tcPr>
          <w:p w14:paraId="6B796BCE" w14:textId="2E128F07" w:rsidR="00AE19C6" w:rsidRPr="002A30B3" w:rsidRDefault="00AE19C6" w:rsidP="00AE19C6">
            <w:pPr>
              <w:widowControl/>
              <w:jc w:val="center"/>
              <w:rPr>
                <w:rFonts w:ascii="Arial Narrow" w:hAnsi="Arial Narrow"/>
                <w:sz w:val="20"/>
              </w:rPr>
            </w:pPr>
          </w:p>
        </w:tc>
        <w:tc>
          <w:tcPr>
            <w:tcW w:w="1134" w:type="dxa"/>
            <w:vMerge/>
            <w:vAlign w:val="center"/>
          </w:tcPr>
          <w:p w14:paraId="2C29A1CB" w14:textId="77777777" w:rsidR="00AE19C6" w:rsidRPr="002A30B3" w:rsidRDefault="00AE19C6" w:rsidP="00635FCC">
            <w:pPr>
              <w:widowControl/>
              <w:jc w:val="left"/>
              <w:rPr>
                <w:rFonts w:ascii="Arial Narrow" w:hAnsi="Arial Narrow"/>
                <w:sz w:val="20"/>
              </w:rPr>
            </w:pPr>
          </w:p>
        </w:tc>
        <w:tc>
          <w:tcPr>
            <w:tcW w:w="992" w:type="dxa"/>
            <w:vMerge/>
            <w:vAlign w:val="center"/>
          </w:tcPr>
          <w:p w14:paraId="5430A836" w14:textId="77777777" w:rsidR="00AE19C6" w:rsidRPr="002A30B3" w:rsidRDefault="00AE19C6" w:rsidP="00635FCC">
            <w:pPr>
              <w:widowControl/>
              <w:jc w:val="left"/>
              <w:rPr>
                <w:rFonts w:ascii="Arial Narrow" w:hAnsi="Arial Narrow"/>
                <w:sz w:val="20"/>
              </w:rPr>
            </w:pPr>
          </w:p>
        </w:tc>
        <w:tc>
          <w:tcPr>
            <w:tcW w:w="1276" w:type="dxa"/>
            <w:vAlign w:val="center"/>
          </w:tcPr>
          <w:p w14:paraId="69B1F3AF" w14:textId="77777777" w:rsidR="00AE19C6" w:rsidRPr="002A30B3" w:rsidRDefault="00AE19C6" w:rsidP="00635FCC">
            <w:pPr>
              <w:widowControl/>
              <w:jc w:val="center"/>
              <w:rPr>
                <w:rFonts w:ascii="Arial Narrow" w:hAnsi="Arial Narrow"/>
                <w:b/>
                <w:sz w:val="20"/>
              </w:rPr>
            </w:pPr>
            <w:r w:rsidRPr="002A30B3">
              <w:rPr>
                <w:rFonts w:ascii="Arial Narrow" w:hAnsi="Arial Narrow"/>
                <w:b/>
                <w:sz w:val="20"/>
              </w:rPr>
              <w:t>Dose</w:t>
            </w:r>
          </w:p>
        </w:tc>
        <w:tc>
          <w:tcPr>
            <w:tcW w:w="1337" w:type="dxa"/>
            <w:vAlign w:val="center"/>
          </w:tcPr>
          <w:p w14:paraId="6ADE7922" w14:textId="77777777" w:rsidR="00AE19C6" w:rsidRPr="002A30B3" w:rsidRDefault="00AE19C6" w:rsidP="00635FCC">
            <w:pPr>
              <w:widowControl/>
              <w:jc w:val="center"/>
              <w:rPr>
                <w:rFonts w:ascii="Arial Narrow" w:hAnsi="Arial Narrow"/>
                <w:b/>
                <w:sz w:val="20"/>
              </w:rPr>
            </w:pPr>
            <w:r w:rsidRPr="002A30B3">
              <w:rPr>
                <w:rFonts w:ascii="Arial Narrow" w:hAnsi="Arial Narrow"/>
                <w:b/>
                <w:sz w:val="20"/>
              </w:rPr>
              <w:t>Price per day</w:t>
            </w:r>
          </w:p>
        </w:tc>
      </w:tr>
      <w:tr w:rsidR="00AE19C6" w:rsidRPr="002A30B3" w14:paraId="52335D1B" w14:textId="77777777" w:rsidTr="00AE19C6">
        <w:trPr>
          <w:jc w:val="right"/>
        </w:trPr>
        <w:tc>
          <w:tcPr>
            <w:tcW w:w="988" w:type="dxa"/>
            <w:vAlign w:val="center"/>
          </w:tcPr>
          <w:p w14:paraId="0B056347" w14:textId="77777777" w:rsidR="00AE19C6" w:rsidRPr="002A30B3" w:rsidRDefault="00AE19C6" w:rsidP="00635FCC">
            <w:pPr>
              <w:widowControl/>
              <w:jc w:val="left"/>
              <w:rPr>
                <w:rFonts w:ascii="Arial Narrow" w:hAnsi="Arial Narrow"/>
                <w:sz w:val="20"/>
              </w:rPr>
            </w:pPr>
            <w:r w:rsidRPr="002A30B3">
              <w:rPr>
                <w:rFonts w:ascii="Arial Narrow" w:hAnsi="Arial Narrow"/>
                <w:sz w:val="20"/>
              </w:rPr>
              <w:t>Asacol</w:t>
            </w:r>
          </w:p>
        </w:tc>
        <w:tc>
          <w:tcPr>
            <w:tcW w:w="1569" w:type="dxa"/>
            <w:vAlign w:val="center"/>
          </w:tcPr>
          <w:p w14:paraId="1F2B2DFE" w14:textId="5C35507B" w:rsidR="00AE19C6" w:rsidRPr="002A30B3" w:rsidRDefault="00F66817" w:rsidP="003B5107">
            <w:pPr>
              <w:widowControl/>
              <w:jc w:val="left"/>
              <w:rPr>
                <w:rFonts w:ascii="Arial Narrow" w:hAnsi="Arial Narrow"/>
                <w:sz w:val="20"/>
              </w:rPr>
            </w:pPr>
            <w:r w:rsidRPr="002A30B3">
              <w:rPr>
                <w:rFonts w:ascii="Arial Narrow" w:hAnsi="Arial Narrow"/>
                <w:sz w:val="20"/>
              </w:rPr>
              <w:t>800 mg</w:t>
            </w:r>
            <w:r w:rsidR="00AE19C6" w:rsidRPr="002A30B3">
              <w:rPr>
                <w:rFonts w:ascii="Arial Narrow" w:hAnsi="Arial Narrow"/>
                <w:sz w:val="20"/>
              </w:rPr>
              <w:t xml:space="preserve"> tablets</w:t>
            </w:r>
          </w:p>
        </w:tc>
        <w:tc>
          <w:tcPr>
            <w:tcW w:w="982" w:type="dxa"/>
            <w:vAlign w:val="center"/>
          </w:tcPr>
          <w:p w14:paraId="68BE42E1" w14:textId="52C494A3" w:rsidR="00AE19C6" w:rsidRPr="002A30B3" w:rsidRDefault="00AE19C6" w:rsidP="00AE19C6">
            <w:pPr>
              <w:widowControl/>
              <w:jc w:val="center"/>
              <w:rPr>
                <w:rFonts w:ascii="Arial Narrow" w:hAnsi="Arial Narrow"/>
                <w:sz w:val="20"/>
              </w:rPr>
            </w:pPr>
            <w:r w:rsidRPr="002A30B3">
              <w:rPr>
                <w:rFonts w:ascii="Arial Narrow" w:hAnsi="Arial Narrow"/>
                <w:sz w:val="20"/>
              </w:rPr>
              <w:t>90</w:t>
            </w:r>
          </w:p>
        </w:tc>
        <w:tc>
          <w:tcPr>
            <w:tcW w:w="1134" w:type="dxa"/>
            <w:vAlign w:val="center"/>
          </w:tcPr>
          <w:p w14:paraId="66189265" w14:textId="77777777" w:rsidR="00AE19C6" w:rsidRPr="002A30B3" w:rsidRDefault="00AE19C6" w:rsidP="00635FCC">
            <w:pPr>
              <w:widowControl/>
              <w:jc w:val="center"/>
              <w:rPr>
                <w:rFonts w:ascii="Arial Narrow" w:hAnsi="Arial Narrow"/>
                <w:sz w:val="20"/>
              </w:rPr>
            </w:pPr>
            <w:r w:rsidRPr="002A30B3">
              <w:rPr>
                <w:rFonts w:ascii="Arial Narrow" w:hAnsi="Arial Narrow"/>
                <w:sz w:val="20"/>
              </w:rPr>
              <w:t>$173.68</w:t>
            </w:r>
          </w:p>
        </w:tc>
        <w:tc>
          <w:tcPr>
            <w:tcW w:w="992" w:type="dxa"/>
            <w:vAlign w:val="center"/>
          </w:tcPr>
          <w:p w14:paraId="57B512AB" w14:textId="77777777" w:rsidR="00AE19C6" w:rsidRPr="002A30B3" w:rsidRDefault="00AE19C6" w:rsidP="00635FCC">
            <w:pPr>
              <w:widowControl/>
              <w:jc w:val="center"/>
              <w:rPr>
                <w:rFonts w:ascii="Arial Narrow" w:hAnsi="Arial Narrow"/>
                <w:sz w:val="20"/>
              </w:rPr>
            </w:pPr>
            <w:r w:rsidRPr="002A30B3">
              <w:rPr>
                <w:rFonts w:ascii="Arial Narrow" w:hAnsi="Arial Narrow"/>
                <w:sz w:val="20"/>
              </w:rPr>
              <w:t>$0.00241</w:t>
            </w:r>
          </w:p>
        </w:tc>
        <w:tc>
          <w:tcPr>
            <w:tcW w:w="1276" w:type="dxa"/>
            <w:vAlign w:val="center"/>
          </w:tcPr>
          <w:p w14:paraId="589A0C20" w14:textId="5482581C" w:rsidR="00AE19C6" w:rsidRPr="002A30B3" w:rsidRDefault="00AE19C6" w:rsidP="00635FCC">
            <w:pPr>
              <w:widowControl/>
              <w:jc w:val="center"/>
              <w:rPr>
                <w:rFonts w:ascii="Arial Narrow" w:hAnsi="Arial Narrow"/>
                <w:sz w:val="20"/>
              </w:rPr>
            </w:pPr>
            <w:r w:rsidRPr="002A30B3">
              <w:rPr>
                <w:rFonts w:ascii="Arial Narrow" w:hAnsi="Arial Narrow"/>
                <w:sz w:val="20"/>
              </w:rPr>
              <w:t>1.6-</w:t>
            </w:r>
            <w:r w:rsidR="00F66817" w:rsidRPr="002A30B3">
              <w:rPr>
                <w:rFonts w:ascii="Arial Narrow" w:hAnsi="Arial Narrow"/>
                <w:sz w:val="20"/>
              </w:rPr>
              <w:t>2.4 g</w:t>
            </w:r>
          </w:p>
        </w:tc>
        <w:tc>
          <w:tcPr>
            <w:tcW w:w="1337" w:type="dxa"/>
            <w:vAlign w:val="center"/>
          </w:tcPr>
          <w:p w14:paraId="28D017F2" w14:textId="63F58354" w:rsidR="00AE19C6" w:rsidRPr="002A30B3" w:rsidRDefault="00AE19C6" w:rsidP="00635FCC">
            <w:pPr>
              <w:widowControl/>
              <w:jc w:val="center"/>
              <w:rPr>
                <w:rFonts w:ascii="Arial Narrow" w:hAnsi="Arial Narrow"/>
                <w:sz w:val="20"/>
              </w:rPr>
            </w:pPr>
            <w:r w:rsidRPr="002A30B3">
              <w:rPr>
                <w:rFonts w:ascii="Arial Narrow" w:hAnsi="Arial Narrow"/>
                <w:sz w:val="20"/>
              </w:rPr>
              <w:t>$3.86 to $5.79</w:t>
            </w:r>
          </w:p>
        </w:tc>
      </w:tr>
      <w:tr w:rsidR="00AE19C6" w:rsidRPr="002A30B3" w14:paraId="078B0063" w14:textId="77777777" w:rsidTr="00AE19C6">
        <w:trPr>
          <w:jc w:val="right"/>
        </w:trPr>
        <w:tc>
          <w:tcPr>
            <w:tcW w:w="988" w:type="dxa"/>
            <w:vAlign w:val="center"/>
          </w:tcPr>
          <w:p w14:paraId="613AD4B7" w14:textId="7A9A7EF3" w:rsidR="00AE19C6" w:rsidRPr="002A30B3" w:rsidRDefault="00AE19C6" w:rsidP="00635FCC">
            <w:pPr>
              <w:widowControl/>
              <w:jc w:val="left"/>
              <w:rPr>
                <w:rFonts w:ascii="Arial Narrow" w:hAnsi="Arial Narrow"/>
                <w:sz w:val="20"/>
              </w:rPr>
            </w:pPr>
            <w:r w:rsidRPr="002A30B3">
              <w:rPr>
                <w:rFonts w:ascii="Arial Narrow" w:hAnsi="Arial Narrow"/>
                <w:sz w:val="20"/>
              </w:rPr>
              <w:t>Mezavant</w:t>
            </w:r>
          </w:p>
        </w:tc>
        <w:tc>
          <w:tcPr>
            <w:tcW w:w="1569" w:type="dxa"/>
            <w:vAlign w:val="center"/>
          </w:tcPr>
          <w:p w14:paraId="66C35747" w14:textId="338FBE53" w:rsidR="00AE19C6" w:rsidRPr="002A30B3" w:rsidRDefault="00F66817" w:rsidP="00635FCC">
            <w:pPr>
              <w:widowControl/>
              <w:jc w:val="left"/>
              <w:rPr>
                <w:rFonts w:ascii="Arial Narrow" w:hAnsi="Arial Narrow"/>
                <w:sz w:val="20"/>
              </w:rPr>
            </w:pPr>
            <w:r w:rsidRPr="002A30B3">
              <w:rPr>
                <w:rFonts w:ascii="Arial Narrow" w:hAnsi="Arial Narrow"/>
                <w:sz w:val="20"/>
              </w:rPr>
              <w:t>1.2 g</w:t>
            </w:r>
            <w:r w:rsidR="00AE19C6" w:rsidRPr="002A30B3">
              <w:rPr>
                <w:rFonts w:ascii="Arial Narrow" w:hAnsi="Arial Narrow"/>
                <w:sz w:val="20"/>
              </w:rPr>
              <w:t xml:space="preserve"> tablets</w:t>
            </w:r>
          </w:p>
        </w:tc>
        <w:tc>
          <w:tcPr>
            <w:tcW w:w="982" w:type="dxa"/>
            <w:vAlign w:val="center"/>
          </w:tcPr>
          <w:p w14:paraId="28FF545D" w14:textId="5A87032F" w:rsidR="00AE19C6" w:rsidRPr="002A30B3" w:rsidRDefault="00AE19C6" w:rsidP="00AE19C6">
            <w:pPr>
              <w:widowControl/>
              <w:jc w:val="center"/>
              <w:rPr>
                <w:rFonts w:ascii="Arial Narrow" w:hAnsi="Arial Narrow"/>
                <w:sz w:val="20"/>
              </w:rPr>
            </w:pPr>
            <w:r w:rsidRPr="002A30B3">
              <w:rPr>
                <w:rFonts w:ascii="Arial Narrow" w:hAnsi="Arial Narrow"/>
                <w:sz w:val="20"/>
              </w:rPr>
              <w:t>60</w:t>
            </w:r>
          </w:p>
        </w:tc>
        <w:tc>
          <w:tcPr>
            <w:tcW w:w="1134" w:type="dxa"/>
            <w:vAlign w:val="center"/>
          </w:tcPr>
          <w:p w14:paraId="66542C21" w14:textId="6633DD65" w:rsidR="00AE19C6" w:rsidRPr="002A30B3" w:rsidRDefault="00AE19C6" w:rsidP="00635FCC">
            <w:pPr>
              <w:widowControl/>
              <w:jc w:val="center"/>
              <w:rPr>
                <w:rFonts w:ascii="Arial Narrow" w:hAnsi="Arial Narrow"/>
                <w:sz w:val="20"/>
              </w:rPr>
            </w:pPr>
            <w:r w:rsidRPr="002A30B3">
              <w:rPr>
                <w:rFonts w:ascii="Arial Narrow" w:hAnsi="Arial Narrow"/>
                <w:sz w:val="20"/>
              </w:rPr>
              <w:t>$173.68</w:t>
            </w:r>
          </w:p>
        </w:tc>
        <w:tc>
          <w:tcPr>
            <w:tcW w:w="992" w:type="dxa"/>
            <w:vAlign w:val="center"/>
          </w:tcPr>
          <w:p w14:paraId="462DDE9B" w14:textId="6EC14740" w:rsidR="00AE19C6" w:rsidRPr="002A30B3" w:rsidRDefault="00AE19C6" w:rsidP="00635FCC">
            <w:pPr>
              <w:widowControl/>
              <w:jc w:val="center"/>
              <w:rPr>
                <w:rFonts w:ascii="Arial Narrow" w:hAnsi="Arial Narrow"/>
                <w:sz w:val="20"/>
              </w:rPr>
            </w:pPr>
            <w:r w:rsidRPr="002A30B3">
              <w:rPr>
                <w:rFonts w:ascii="Arial Narrow" w:hAnsi="Arial Narrow"/>
                <w:sz w:val="20"/>
              </w:rPr>
              <w:t>$0.00241</w:t>
            </w:r>
          </w:p>
        </w:tc>
        <w:tc>
          <w:tcPr>
            <w:tcW w:w="1276" w:type="dxa"/>
            <w:vAlign w:val="center"/>
          </w:tcPr>
          <w:p w14:paraId="68C1BA5F" w14:textId="363BAE6B" w:rsidR="00AE19C6" w:rsidRPr="002A30B3" w:rsidRDefault="00F66817" w:rsidP="00635FCC">
            <w:pPr>
              <w:widowControl/>
              <w:jc w:val="center"/>
              <w:rPr>
                <w:rFonts w:ascii="Arial Narrow" w:hAnsi="Arial Narrow"/>
                <w:sz w:val="20"/>
              </w:rPr>
            </w:pPr>
            <w:r w:rsidRPr="002A30B3">
              <w:rPr>
                <w:rFonts w:ascii="Arial Narrow" w:hAnsi="Arial Narrow"/>
                <w:sz w:val="20"/>
              </w:rPr>
              <w:t>2.4 g</w:t>
            </w:r>
          </w:p>
        </w:tc>
        <w:tc>
          <w:tcPr>
            <w:tcW w:w="1337" w:type="dxa"/>
            <w:vAlign w:val="center"/>
          </w:tcPr>
          <w:p w14:paraId="6B17B516" w14:textId="6CB51036" w:rsidR="00AE19C6" w:rsidRPr="002A30B3" w:rsidRDefault="00AE19C6" w:rsidP="00635FCC">
            <w:pPr>
              <w:widowControl/>
              <w:jc w:val="center"/>
              <w:rPr>
                <w:rFonts w:ascii="Arial Narrow" w:hAnsi="Arial Narrow"/>
                <w:sz w:val="20"/>
              </w:rPr>
            </w:pPr>
            <w:r w:rsidRPr="002A30B3">
              <w:rPr>
                <w:rFonts w:ascii="Arial Narrow" w:hAnsi="Arial Narrow"/>
                <w:sz w:val="20"/>
              </w:rPr>
              <w:t>$5.79</w:t>
            </w:r>
          </w:p>
        </w:tc>
      </w:tr>
    </w:tbl>
    <w:p w14:paraId="335FDE04" w14:textId="628EB010" w:rsidR="002C6A54" w:rsidRPr="002A30B3" w:rsidRDefault="009015E1" w:rsidP="009015E1">
      <w:pPr>
        <w:pStyle w:val="TableFooter"/>
      </w:pPr>
      <w:r w:rsidRPr="002A30B3">
        <w:tab/>
        <w:t>Source: constructed during evaluation</w:t>
      </w:r>
    </w:p>
    <w:p w14:paraId="698D0892" w14:textId="6D83E054" w:rsidR="009015E1" w:rsidRPr="002A30B3" w:rsidRDefault="009015E1" w:rsidP="009015E1">
      <w:pPr>
        <w:pStyle w:val="TableFooter"/>
      </w:pPr>
      <w:r w:rsidRPr="002A30B3">
        <w:tab/>
        <w:t>Abbreviation: AEMP, agreed ex-manufacturer price</w:t>
      </w:r>
    </w:p>
    <w:p w14:paraId="3ACE832C" w14:textId="77777777" w:rsidR="002C6A54" w:rsidRPr="002A30B3" w:rsidRDefault="002C6A54" w:rsidP="001456B0">
      <w:pPr>
        <w:rPr>
          <w:szCs w:val="22"/>
        </w:rPr>
      </w:pPr>
    </w:p>
    <w:p w14:paraId="7301A565" w14:textId="7D4234D5" w:rsidR="00647244" w:rsidRPr="002A30B3" w:rsidRDefault="00647244" w:rsidP="001456B0">
      <w:pPr>
        <w:pStyle w:val="ListParagraph"/>
        <w:widowControl/>
        <w:numPr>
          <w:ilvl w:val="1"/>
          <w:numId w:val="5"/>
        </w:numPr>
        <w:rPr>
          <w:rStyle w:val="CommentReference"/>
          <w:rFonts w:ascii="Arial" w:hAnsi="Arial"/>
          <w:b w:val="0"/>
          <w:sz w:val="22"/>
          <w:szCs w:val="22"/>
        </w:rPr>
      </w:pPr>
      <w:r w:rsidRPr="002A30B3">
        <w:rPr>
          <w:rStyle w:val="CommentReference"/>
          <w:rFonts w:ascii="Arial" w:hAnsi="Arial"/>
          <w:b w:val="0"/>
          <w:sz w:val="22"/>
          <w:szCs w:val="22"/>
        </w:rPr>
        <w:t>The drug cost per patient per year for Asacol based on the proposed ex-manufacturer price of $173.68 for a 90 pack was estimated to range from $1</w:t>
      </w:r>
      <w:r w:rsidR="003626DB">
        <w:rPr>
          <w:rStyle w:val="CommentReference"/>
          <w:rFonts w:ascii="Arial" w:hAnsi="Arial"/>
          <w:b w:val="0"/>
          <w:sz w:val="22"/>
          <w:szCs w:val="22"/>
        </w:rPr>
        <w:t>,</w:t>
      </w:r>
      <w:r w:rsidRPr="002A30B3">
        <w:rPr>
          <w:rStyle w:val="CommentReference"/>
          <w:rFonts w:ascii="Arial" w:hAnsi="Arial"/>
          <w:b w:val="0"/>
          <w:sz w:val="22"/>
          <w:szCs w:val="22"/>
        </w:rPr>
        <w:t>408.90 up to $2</w:t>
      </w:r>
      <w:r w:rsidR="003626DB">
        <w:rPr>
          <w:rStyle w:val="CommentReference"/>
          <w:rFonts w:ascii="Arial" w:hAnsi="Arial"/>
          <w:b w:val="0"/>
          <w:sz w:val="22"/>
          <w:szCs w:val="22"/>
        </w:rPr>
        <w:t>,</w:t>
      </w:r>
      <w:r w:rsidRPr="002A30B3">
        <w:rPr>
          <w:rStyle w:val="CommentReference"/>
          <w:rFonts w:ascii="Arial" w:hAnsi="Arial"/>
          <w:b w:val="0"/>
          <w:sz w:val="22"/>
          <w:szCs w:val="22"/>
        </w:rPr>
        <w:t xml:space="preserve">113.35 for maintenance of remission based on the recommended dose range of </w:t>
      </w:r>
      <w:r w:rsidR="00F66817" w:rsidRPr="002A30B3">
        <w:rPr>
          <w:rStyle w:val="CommentReference"/>
          <w:rFonts w:ascii="Arial" w:hAnsi="Arial"/>
          <w:b w:val="0"/>
          <w:sz w:val="22"/>
          <w:szCs w:val="22"/>
        </w:rPr>
        <w:t>1.6 g</w:t>
      </w:r>
      <w:r w:rsidRPr="002A30B3">
        <w:rPr>
          <w:rStyle w:val="CommentReference"/>
          <w:rFonts w:ascii="Arial" w:hAnsi="Arial"/>
          <w:b w:val="0"/>
          <w:sz w:val="22"/>
          <w:szCs w:val="22"/>
        </w:rPr>
        <w:t xml:space="preserve"> to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per day. The ex-manufacturer price for Mezavant is $173.68 for a 60 pack, with a drug cost per patient per year of $2113.35 based on the recommended dose of </w:t>
      </w:r>
      <w:r w:rsidR="00F66817" w:rsidRPr="002A30B3">
        <w:rPr>
          <w:rStyle w:val="CommentReference"/>
          <w:rFonts w:ascii="Arial" w:hAnsi="Arial"/>
          <w:b w:val="0"/>
          <w:sz w:val="22"/>
          <w:szCs w:val="22"/>
        </w:rPr>
        <w:t>2.4 g</w:t>
      </w:r>
      <w:r w:rsidRPr="002A30B3">
        <w:rPr>
          <w:rStyle w:val="CommentReference"/>
          <w:rFonts w:ascii="Arial" w:hAnsi="Arial"/>
          <w:b w:val="0"/>
          <w:sz w:val="22"/>
          <w:szCs w:val="22"/>
        </w:rPr>
        <w:t xml:space="preserve"> daily for maintenance of remission.</w:t>
      </w:r>
    </w:p>
    <w:p w14:paraId="21331BC3" w14:textId="77777777" w:rsidR="00647244" w:rsidRPr="002A30B3" w:rsidRDefault="00647244" w:rsidP="001456B0">
      <w:pPr>
        <w:rPr>
          <w:szCs w:val="22"/>
        </w:rPr>
      </w:pPr>
    </w:p>
    <w:p w14:paraId="268768EF" w14:textId="77777777" w:rsidR="00B60939" w:rsidRPr="002A30B3" w:rsidRDefault="00B60939" w:rsidP="00D17BFB">
      <w:pPr>
        <w:pStyle w:val="Heading3"/>
        <w:rPr>
          <w:b/>
          <w:i/>
          <w:u w:val="none"/>
        </w:rPr>
      </w:pPr>
      <w:bookmarkStart w:id="16" w:name="_Toc470161821"/>
      <w:r w:rsidRPr="002A30B3">
        <w:rPr>
          <w:b/>
          <w:i/>
          <w:u w:val="none"/>
        </w:rPr>
        <w:t>Estimated PBS usage &amp; financial implications</w:t>
      </w:r>
      <w:bookmarkEnd w:id="16"/>
    </w:p>
    <w:p w14:paraId="33D1652D" w14:textId="77777777" w:rsidR="00B60939" w:rsidRPr="002A30B3" w:rsidRDefault="00B60939" w:rsidP="00B60939">
      <w:pPr>
        <w:ind w:left="720" w:hanging="720"/>
        <w:rPr>
          <w:b/>
          <w:i/>
          <w:szCs w:val="22"/>
        </w:rPr>
      </w:pPr>
    </w:p>
    <w:p w14:paraId="4CD980C2" w14:textId="63506645" w:rsidR="00190708" w:rsidRPr="007C36D9" w:rsidRDefault="001D704F" w:rsidP="00190708">
      <w:pPr>
        <w:pStyle w:val="ListParagraph"/>
        <w:widowControl/>
        <w:numPr>
          <w:ilvl w:val="1"/>
          <w:numId w:val="5"/>
        </w:numPr>
        <w:rPr>
          <w:szCs w:val="22"/>
        </w:rPr>
      </w:pPr>
      <w:r w:rsidRPr="002A30B3">
        <w:rPr>
          <w:bCs/>
          <w:szCs w:val="22"/>
        </w:rPr>
        <w:t>This submission was not considered by DUSC</w:t>
      </w:r>
      <w:r w:rsidR="00C25D9C" w:rsidRPr="002A30B3">
        <w:rPr>
          <w:color w:val="0070C0"/>
        </w:rPr>
        <w:t xml:space="preserve">. </w:t>
      </w:r>
      <w:r w:rsidR="00723C14" w:rsidRPr="002A30B3">
        <w:t>To</w:t>
      </w:r>
      <w:r w:rsidR="00190708" w:rsidRPr="002A30B3">
        <w:t xml:space="preserve"> estimate the financial implications of the PBS listing of Asacol for the treatment of patients with ulcerative colitis</w:t>
      </w:r>
      <w:r w:rsidR="00723C14">
        <w:t xml:space="preserve">, </w:t>
      </w:r>
      <w:r w:rsidR="00723C14" w:rsidRPr="002A30B3">
        <w:t>the submission assumed the number of patients likely to receive treatment with Asacol</w:t>
      </w:r>
      <w:r w:rsidR="00190708" w:rsidRPr="002A30B3">
        <w:t xml:space="preserve">. The submission did not provide data to support these </w:t>
      </w:r>
      <w:r w:rsidR="000150D0" w:rsidRPr="002A30B3">
        <w:t>assumptions.</w:t>
      </w:r>
    </w:p>
    <w:p w14:paraId="24B497DC" w14:textId="77777777" w:rsidR="007C36D9" w:rsidRPr="002A30B3" w:rsidRDefault="007C36D9" w:rsidP="007C36D9">
      <w:pPr>
        <w:pStyle w:val="ListParagraph"/>
        <w:widowControl/>
        <w:rPr>
          <w:szCs w:val="22"/>
        </w:rPr>
      </w:pPr>
    </w:p>
    <w:p w14:paraId="67208398" w14:textId="47D39D56" w:rsidR="00C25D9C" w:rsidRPr="002A30B3" w:rsidRDefault="00C25D9C" w:rsidP="006D29FD">
      <w:pPr>
        <w:keepNext/>
        <w:ind w:firstLine="709"/>
        <w:rPr>
          <w:rStyle w:val="CommentReference"/>
        </w:rPr>
      </w:pPr>
      <w:r w:rsidRPr="002A30B3">
        <w:rPr>
          <w:rStyle w:val="CommentReference"/>
        </w:rPr>
        <w:lastRenderedPageBreak/>
        <w:t xml:space="preserve">Table </w:t>
      </w:r>
      <w:r w:rsidR="00643E17" w:rsidRPr="002A30B3">
        <w:rPr>
          <w:rStyle w:val="CommentReference"/>
        </w:rPr>
        <w:t>12</w:t>
      </w:r>
      <w:r w:rsidRPr="002A30B3">
        <w:rPr>
          <w:rStyle w:val="CommentReference"/>
        </w:rPr>
        <w:t>: Estimated use and financial implications</w:t>
      </w:r>
    </w:p>
    <w:tbl>
      <w:tblPr>
        <w:tblW w:w="4600" w:type="pct"/>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40"/>
        <w:gridCol w:w="1107"/>
        <w:gridCol w:w="1007"/>
        <w:gridCol w:w="949"/>
        <w:gridCol w:w="1002"/>
        <w:gridCol w:w="1002"/>
        <w:gridCol w:w="1002"/>
      </w:tblGrid>
      <w:tr w:rsidR="008E5A25" w:rsidRPr="002A30B3" w14:paraId="61E3AFFA" w14:textId="77777777" w:rsidTr="008E5A25">
        <w:trPr>
          <w:tblHeader/>
        </w:trPr>
        <w:tc>
          <w:tcPr>
            <w:tcW w:w="1391" w:type="pct"/>
            <w:tcBorders>
              <w:left w:val="single" w:sz="4" w:space="0" w:color="auto"/>
              <w:bottom w:val="single" w:sz="4" w:space="0" w:color="auto"/>
            </w:tcBorders>
            <w:shd w:val="clear" w:color="auto" w:fill="auto"/>
            <w:vAlign w:val="bottom"/>
            <w:hideMark/>
          </w:tcPr>
          <w:p w14:paraId="121A6794" w14:textId="77777777" w:rsidR="008E5A25" w:rsidRPr="002A30B3" w:rsidRDefault="008E5A25" w:rsidP="006D29FD">
            <w:pPr>
              <w:keepNext/>
              <w:widowControl/>
              <w:rPr>
                <w:rFonts w:ascii="Arial Narrow" w:hAnsi="Arial Narrow"/>
                <w:sz w:val="20"/>
                <w:lang w:eastAsia="en-AU"/>
              </w:rPr>
            </w:pPr>
          </w:p>
        </w:tc>
        <w:tc>
          <w:tcPr>
            <w:tcW w:w="658" w:type="pct"/>
            <w:tcBorders>
              <w:bottom w:val="single" w:sz="4" w:space="0" w:color="auto"/>
            </w:tcBorders>
            <w:shd w:val="clear" w:color="auto" w:fill="auto"/>
            <w:vAlign w:val="center"/>
            <w:hideMark/>
          </w:tcPr>
          <w:p w14:paraId="1A044726"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1</w:t>
            </w:r>
          </w:p>
          <w:p w14:paraId="312A40FE"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sz w:val="20"/>
              </w:rPr>
              <w:t>(Aug 2017 to Dec 2017)</w:t>
            </w:r>
          </w:p>
        </w:tc>
        <w:tc>
          <w:tcPr>
            <w:tcW w:w="599" w:type="pct"/>
            <w:tcBorders>
              <w:bottom w:val="single" w:sz="4" w:space="0" w:color="auto"/>
            </w:tcBorders>
            <w:shd w:val="clear" w:color="auto" w:fill="auto"/>
            <w:vAlign w:val="center"/>
            <w:hideMark/>
          </w:tcPr>
          <w:p w14:paraId="3D0C0EFD"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2</w:t>
            </w:r>
          </w:p>
          <w:p w14:paraId="12A7DB07"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(2018)</w:t>
            </w:r>
          </w:p>
        </w:tc>
        <w:tc>
          <w:tcPr>
            <w:tcW w:w="564" w:type="pct"/>
            <w:tcBorders>
              <w:bottom w:val="single" w:sz="4" w:space="0" w:color="auto"/>
            </w:tcBorders>
            <w:shd w:val="clear" w:color="auto" w:fill="auto"/>
            <w:vAlign w:val="center"/>
            <w:hideMark/>
          </w:tcPr>
          <w:p w14:paraId="4C8A4A39"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3</w:t>
            </w:r>
            <w:r w:rsidRPr="002A30B3">
              <w:rPr>
                <w:rFonts w:ascii="Arial Narrow" w:hAnsi="Arial Narrow"/>
                <w:b/>
                <w:bCs/>
                <w:sz w:val="20"/>
                <w:lang w:eastAsia="en-AU"/>
              </w:rPr>
              <w:br/>
              <w:t>(2019)</w:t>
            </w:r>
          </w:p>
        </w:tc>
        <w:tc>
          <w:tcPr>
            <w:tcW w:w="596" w:type="pct"/>
            <w:tcBorders>
              <w:bottom w:val="single" w:sz="4" w:space="0" w:color="auto"/>
            </w:tcBorders>
            <w:shd w:val="clear" w:color="auto" w:fill="auto"/>
            <w:vAlign w:val="center"/>
            <w:hideMark/>
          </w:tcPr>
          <w:p w14:paraId="704E4CC3"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4</w:t>
            </w:r>
          </w:p>
          <w:p w14:paraId="06E3CFCD"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(2020)</w:t>
            </w:r>
          </w:p>
        </w:tc>
        <w:tc>
          <w:tcPr>
            <w:tcW w:w="596" w:type="pct"/>
            <w:tcBorders>
              <w:bottom w:val="single" w:sz="4" w:space="0" w:color="auto"/>
              <w:right w:val="single" w:sz="4" w:space="0" w:color="auto"/>
            </w:tcBorders>
            <w:shd w:val="clear" w:color="auto" w:fill="auto"/>
            <w:vAlign w:val="center"/>
            <w:hideMark/>
          </w:tcPr>
          <w:p w14:paraId="6CA7A1CB"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5</w:t>
            </w:r>
          </w:p>
          <w:p w14:paraId="75F6DD08"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(2021)</w:t>
            </w:r>
          </w:p>
        </w:tc>
        <w:tc>
          <w:tcPr>
            <w:tcW w:w="596" w:type="pct"/>
            <w:tcBorders>
              <w:bottom w:val="single" w:sz="4" w:space="0" w:color="auto"/>
              <w:right w:val="single" w:sz="4" w:space="0" w:color="auto"/>
            </w:tcBorders>
            <w:vAlign w:val="center"/>
          </w:tcPr>
          <w:p w14:paraId="1A8A7884"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Year 6</w:t>
            </w:r>
          </w:p>
          <w:p w14:paraId="4D3E1620" w14:textId="77777777" w:rsidR="008E5A25" w:rsidRPr="002A30B3" w:rsidRDefault="008E5A25" w:rsidP="006D29FD">
            <w:pPr>
              <w:keepNext/>
              <w:widowControl/>
              <w:jc w:val="center"/>
              <w:rPr>
                <w:rFonts w:ascii="Arial Narrow" w:hAnsi="Arial Narrow"/>
                <w:b/>
                <w:bCs/>
                <w:sz w:val="20"/>
                <w:lang w:eastAsia="en-AU"/>
              </w:rPr>
            </w:pPr>
            <w:r w:rsidRPr="002A30B3">
              <w:rPr>
                <w:rFonts w:ascii="Arial Narrow" w:hAnsi="Arial Narrow"/>
                <w:b/>
                <w:bCs/>
                <w:sz w:val="20"/>
                <w:lang w:eastAsia="en-AU"/>
              </w:rPr>
              <w:t>(2022)</w:t>
            </w:r>
          </w:p>
        </w:tc>
      </w:tr>
      <w:tr w:rsidR="008E5A25" w:rsidRPr="002A30B3" w14:paraId="08584F04" w14:textId="77777777" w:rsidTr="00635FCC">
        <w:trPr>
          <w:tblHeader/>
        </w:trPr>
        <w:tc>
          <w:tcPr>
            <w:tcW w:w="5000" w:type="pct"/>
            <w:gridSpan w:val="7"/>
            <w:tcBorders>
              <w:left w:val="single" w:sz="4" w:space="0" w:color="auto"/>
              <w:bottom w:val="single" w:sz="4" w:space="0" w:color="auto"/>
              <w:right w:val="single" w:sz="4" w:space="0" w:color="auto"/>
            </w:tcBorders>
            <w:shd w:val="clear" w:color="auto" w:fill="auto"/>
            <w:vAlign w:val="center"/>
          </w:tcPr>
          <w:p w14:paraId="3954E169" w14:textId="27CA36EE" w:rsidR="008E5A25" w:rsidRPr="002A30B3" w:rsidRDefault="008E5A25" w:rsidP="006D29FD">
            <w:pPr>
              <w:keepNext/>
              <w:widowControl/>
              <w:jc w:val="left"/>
              <w:rPr>
                <w:rFonts w:ascii="Arial Narrow" w:hAnsi="Arial Narrow"/>
                <w:b/>
                <w:bCs/>
                <w:sz w:val="20"/>
                <w:lang w:eastAsia="en-AU"/>
              </w:rPr>
            </w:pPr>
            <w:r w:rsidRPr="002A30B3">
              <w:rPr>
                <w:rFonts w:ascii="Arial Narrow" w:hAnsi="Arial Narrow"/>
                <w:b/>
                <w:bCs/>
                <w:color w:val="000000"/>
                <w:sz w:val="20"/>
              </w:rPr>
              <w:t>Estimated extent of use</w:t>
            </w:r>
          </w:p>
        </w:tc>
      </w:tr>
      <w:tr w:rsidR="008E5A25" w:rsidRPr="002A30B3" w14:paraId="38BAB9DF" w14:textId="77777777" w:rsidTr="00635FCC">
        <w:tc>
          <w:tcPr>
            <w:tcW w:w="1391" w:type="pct"/>
            <w:tcBorders>
              <w:left w:val="single" w:sz="4" w:space="0" w:color="auto"/>
              <w:bottom w:val="single" w:sz="4" w:space="0" w:color="auto"/>
            </w:tcBorders>
            <w:shd w:val="clear" w:color="auto" w:fill="auto"/>
            <w:vAlign w:val="center"/>
          </w:tcPr>
          <w:p w14:paraId="76E2E84D" w14:textId="00B9383C" w:rsidR="008E5A25" w:rsidRPr="002A30B3" w:rsidRDefault="008E5A25" w:rsidP="006D29FD">
            <w:pPr>
              <w:keepNext/>
              <w:widowControl/>
              <w:jc w:val="left"/>
              <w:rPr>
                <w:rFonts w:ascii="Arial Narrow" w:hAnsi="Arial Narrow"/>
                <w:sz w:val="20"/>
                <w:lang w:eastAsia="en-AU"/>
              </w:rPr>
            </w:pPr>
            <w:r w:rsidRPr="002A30B3">
              <w:rPr>
                <w:rFonts w:ascii="Arial Narrow" w:hAnsi="Arial Narrow"/>
                <w:sz w:val="20"/>
              </w:rPr>
              <w:t>Patients receiving Asacol</w:t>
            </w:r>
          </w:p>
        </w:tc>
        <w:tc>
          <w:tcPr>
            <w:tcW w:w="658" w:type="pct"/>
            <w:shd w:val="clear" w:color="auto" w:fill="auto"/>
            <w:vAlign w:val="center"/>
          </w:tcPr>
          <w:p w14:paraId="79F6D40C"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250</w:t>
            </w:r>
          </w:p>
        </w:tc>
        <w:tc>
          <w:tcPr>
            <w:tcW w:w="599" w:type="pct"/>
            <w:shd w:val="clear" w:color="auto" w:fill="auto"/>
            <w:vAlign w:val="center"/>
          </w:tcPr>
          <w:p w14:paraId="0D31B6CA"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700</w:t>
            </w:r>
          </w:p>
        </w:tc>
        <w:tc>
          <w:tcPr>
            <w:tcW w:w="564" w:type="pct"/>
            <w:shd w:val="clear" w:color="auto" w:fill="auto"/>
            <w:vAlign w:val="center"/>
          </w:tcPr>
          <w:p w14:paraId="473E228C"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1,250</w:t>
            </w:r>
          </w:p>
        </w:tc>
        <w:tc>
          <w:tcPr>
            <w:tcW w:w="596" w:type="pct"/>
            <w:shd w:val="clear" w:color="auto" w:fill="auto"/>
            <w:vAlign w:val="center"/>
          </w:tcPr>
          <w:p w14:paraId="35C0336B"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2,050</w:t>
            </w:r>
          </w:p>
        </w:tc>
        <w:tc>
          <w:tcPr>
            <w:tcW w:w="596" w:type="pct"/>
            <w:tcBorders>
              <w:right w:val="single" w:sz="4" w:space="0" w:color="auto"/>
            </w:tcBorders>
            <w:shd w:val="clear" w:color="auto" w:fill="auto"/>
            <w:vAlign w:val="center"/>
          </w:tcPr>
          <w:p w14:paraId="2981728E"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2,700</w:t>
            </w:r>
          </w:p>
        </w:tc>
        <w:tc>
          <w:tcPr>
            <w:tcW w:w="596" w:type="pct"/>
            <w:tcBorders>
              <w:right w:val="single" w:sz="4" w:space="0" w:color="auto"/>
            </w:tcBorders>
            <w:vAlign w:val="center"/>
          </w:tcPr>
          <w:p w14:paraId="66146D87"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3,200</w:t>
            </w:r>
          </w:p>
        </w:tc>
      </w:tr>
      <w:tr w:rsidR="008E5A25" w:rsidRPr="002A30B3" w14:paraId="23AB03C8" w14:textId="77777777" w:rsidTr="008E5A25">
        <w:tc>
          <w:tcPr>
            <w:tcW w:w="1391" w:type="pct"/>
            <w:tcBorders>
              <w:top w:val="single" w:sz="4" w:space="0" w:color="auto"/>
              <w:left w:val="single" w:sz="4" w:space="0" w:color="auto"/>
              <w:bottom w:val="single" w:sz="4" w:space="0" w:color="auto"/>
            </w:tcBorders>
            <w:shd w:val="clear" w:color="auto" w:fill="auto"/>
            <w:noWrap/>
            <w:vAlign w:val="center"/>
          </w:tcPr>
          <w:p w14:paraId="46E1C511" w14:textId="562295AB" w:rsidR="008E5A25" w:rsidRPr="002A30B3" w:rsidRDefault="008E5A25" w:rsidP="006D29FD">
            <w:pPr>
              <w:keepNext/>
              <w:widowControl/>
              <w:jc w:val="left"/>
              <w:rPr>
                <w:rFonts w:ascii="Arial Narrow" w:hAnsi="Arial Narrow"/>
                <w:sz w:val="20"/>
                <w:vertAlign w:val="superscript"/>
                <w:lang w:eastAsia="en-AU"/>
              </w:rPr>
            </w:pPr>
            <w:r w:rsidRPr="002A30B3">
              <w:rPr>
                <w:rFonts w:ascii="Arial Narrow" w:hAnsi="Arial Narrow"/>
                <w:sz w:val="20"/>
                <w:lang w:eastAsia="en-AU"/>
              </w:rPr>
              <w:t>Asacol</w:t>
            </w:r>
            <w:r w:rsidR="00900D0B" w:rsidRPr="002A30B3">
              <w:rPr>
                <w:rFonts w:ascii="Arial Narrow" w:hAnsi="Arial Narrow"/>
                <w:sz w:val="20"/>
                <w:lang w:eastAsia="en-AU"/>
              </w:rPr>
              <w:t xml:space="preserve"> scripts</w:t>
            </w:r>
            <w:r w:rsidR="00900D0B" w:rsidRPr="002A30B3">
              <w:rPr>
                <w:rFonts w:ascii="Arial Narrow" w:hAnsi="Arial Narrow"/>
                <w:sz w:val="20"/>
                <w:vertAlign w:val="superscript"/>
                <w:lang w:eastAsia="en-AU"/>
              </w:rPr>
              <w:t>a, b</w:t>
            </w:r>
          </w:p>
        </w:tc>
        <w:tc>
          <w:tcPr>
            <w:tcW w:w="658" w:type="pct"/>
            <w:tcBorders>
              <w:top w:val="single" w:sz="4" w:space="0" w:color="auto"/>
              <w:bottom w:val="single" w:sz="4" w:space="0" w:color="auto"/>
            </w:tcBorders>
            <w:shd w:val="clear" w:color="auto" w:fill="auto"/>
            <w:vAlign w:val="center"/>
          </w:tcPr>
          <w:p w14:paraId="5E51F058"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575</w:t>
            </w:r>
          </w:p>
        </w:tc>
        <w:tc>
          <w:tcPr>
            <w:tcW w:w="599" w:type="pct"/>
            <w:tcBorders>
              <w:top w:val="single" w:sz="4" w:space="0" w:color="auto"/>
              <w:bottom w:val="single" w:sz="4" w:space="0" w:color="auto"/>
            </w:tcBorders>
            <w:shd w:val="clear" w:color="auto" w:fill="auto"/>
            <w:vAlign w:val="center"/>
          </w:tcPr>
          <w:p w14:paraId="087E51A4"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3,222</w:t>
            </w:r>
          </w:p>
        </w:tc>
        <w:tc>
          <w:tcPr>
            <w:tcW w:w="564" w:type="pct"/>
            <w:tcBorders>
              <w:top w:val="single" w:sz="4" w:space="0" w:color="auto"/>
              <w:bottom w:val="single" w:sz="4" w:space="0" w:color="auto"/>
            </w:tcBorders>
            <w:shd w:val="clear" w:color="auto" w:fill="auto"/>
            <w:vAlign w:val="center"/>
          </w:tcPr>
          <w:p w14:paraId="710EA2BE"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5,754</w:t>
            </w:r>
          </w:p>
        </w:tc>
        <w:tc>
          <w:tcPr>
            <w:tcW w:w="596" w:type="pct"/>
            <w:tcBorders>
              <w:top w:val="single" w:sz="4" w:space="0" w:color="auto"/>
              <w:bottom w:val="single" w:sz="4" w:space="0" w:color="auto"/>
            </w:tcBorders>
            <w:shd w:val="clear" w:color="auto" w:fill="auto"/>
            <w:vAlign w:val="center"/>
          </w:tcPr>
          <w:p w14:paraId="59864CA1"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9,436</w:t>
            </w:r>
          </w:p>
        </w:tc>
        <w:tc>
          <w:tcPr>
            <w:tcW w:w="596" w:type="pct"/>
            <w:tcBorders>
              <w:top w:val="single" w:sz="4" w:space="0" w:color="auto"/>
              <w:bottom w:val="single" w:sz="4" w:space="0" w:color="auto"/>
              <w:right w:val="single" w:sz="4" w:space="0" w:color="auto"/>
            </w:tcBorders>
            <w:shd w:val="clear" w:color="auto" w:fill="auto"/>
            <w:vAlign w:val="center"/>
          </w:tcPr>
          <w:p w14:paraId="1036B533"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12,429</w:t>
            </w:r>
          </w:p>
        </w:tc>
        <w:tc>
          <w:tcPr>
            <w:tcW w:w="596" w:type="pct"/>
            <w:tcBorders>
              <w:top w:val="single" w:sz="4" w:space="0" w:color="auto"/>
              <w:bottom w:val="single" w:sz="4" w:space="0" w:color="auto"/>
              <w:right w:val="single" w:sz="4" w:space="0" w:color="auto"/>
            </w:tcBorders>
            <w:vAlign w:val="center"/>
          </w:tcPr>
          <w:p w14:paraId="1DD230E8"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14,729</w:t>
            </w:r>
          </w:p>
        </w:tc>
      </w:tr>
      <w:tr w:rsidR="008E5A25" w:rsidRPr="002A30B3" w14:paraId="1B7AC663" w14:textId="77777777" w:rsidTr="008E5A25">
        <w:tc>
          <w:tcPr>
            <w:tcW w:w="1391" w:type="pct"/>
            <w:tcBorders>
              <w:left w:val="single" w:sz="4" w:space="0" w:color="auto"/>
              <w:bottom w:val="single" w:sz="4" w:space="0" w:color="auto"/>
            </w:tcBorders>
            <w:shd w:val="clear" w:color="auto" w:fill="auto"/>
            <w:noWrap/>
            <w:vAlign w:val="center"/>
          </w:tcPr>
          <w:p w14:paraId="187F0863" w14:textId="66B35E53" w:rsidR="008E5A25" w:rsidRPr="002A30B3" w:rsidRDefault="008E5A25" w:rsidP="006D29FD">
            <w:pPr>
              <w:keepNext/>
              <w:widowControl/>
              <w:jc w:val="left"/>
              <w:rPr>
                <w:rFonts w:ascii="Arial Narrow" w:hAnsi="Arial Narrow"/>
                <w:sz w:val="20"/>
                <w:lang w:eastAsia="en-AU"/>
              </w:rPr>
            </w:pPr>
            <w:r w:rsidRPr="002A30B3">
              <w:rPr>
                <w:rFonts w:ascii="Arial Narrow" w:hAnsi="Arial Narrow"/>
                <w:sz w:val="20"/>
                <w:lang w:eastAsia="en-AU"/>
              </w:rPr>
              <w:t>Mezavant</w:t>
            </w:r>
            <w:r w:rsidR="00900D0B" w:rsidRPr="002A30B3">
              <w:rPr>
                <w:rFonts w:ascii="Arial Narrow" w:hAnsi="Arial Narrow"/>
                <w:sz w:val="20"/>
                <w:lang w:eastAsia="en-AU"/>
              </w:rPr>
              <w:t xml:space="preserve"> scripts</w:t>
            </w:r>
            <w:r w:rsidR="00900D0B" w:rsidRPr="002A30B3">
              <w:rPr>
                <w:rFonts w:ascii="Arial Narrow" w:hAnsi="Arial Narrow"/>
                <w:sz w:val="20"/>
                <w:vertAlign w:val="superscript"/>
                <w:lang w:eastAsia="en-AU"/>
              </w:rPr>
              <w:t xml:space="preserve">a, b, </w:t>
            </w:r>
            <w:r w:rsidR="00907C67" w:rsidRPr="002A30B3">
              <w:rPr>
                <w:rFonts w:ascii="Arial Narrow" w:hAnsi="Arial Narrow"/>
                <w:sz w:val="20"/>
                <w:vertAlign w:val="superscript"/>
                <w:lang w:eastAsia="en-AU"/>
              </w:rPr>
              <w:t>c</w:t>
            </w:r>
          </w:p>
        </w:tc>
        <w:tc>
          <w:tcPr>
            <w:tcW w:w="658" w:type="pct"/>
            <w:tcBorders>
              <w:bottom w:val="single" w:sz="4" w:space="0" w:color="auto"/>
            </w:tcBorders>
            <w:shd w:val="clear" w:color="auto" w:fill="auto"/>
            <w:vAlign w:val="center"/>
          </w:tcPr>
          <w:p w14:paraId="5C717E1A"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589</w:t>
            </w:r>
          </w:p>
        </w:tc>
        <w:tc>
          <w:tcPr>
            <w:tcW w:w="599" w:type="pct"/>
            <w:tcBorders>
              <w:bottom w:val="single" w:sz="4" w:space="0" w:color="auto"/>
            </w:tcBorders>
            <w:shd w:val="clear" w:color="auto" w:fill="auto"/>
            <w:vAlign w:val="center"/>
          </w:tcPr>
          <w:p w14:paraId="08FF97DF"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3,300</w:t>
            </w:r>
          </w:p>
        </w:tc>
        <w:tc>
          <w:tcPr>
            <w:tcW w:w="564" w:type="pct"/>
            <w:tcBorders>
              <w:bottom w:val="single" w:sz="4" w:space="0" w:color="auto"/>
            </w:tcBorders>
            <w:shd w:val="clear" w:color="auto" w:fill="auto"/>
            <w:vAlign w:val="center"/>
          </w:tcPr>
          <w:p w14:paraId="5071F31E"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5,893</w:t>
            </w:r>
          </w:p>
        </w:tc>
        <w:tc>
          <w:tcPr>
            <w:tcW w:w="596" w:type="pct"/>
            <w:tcBorders>
              <w:bottom w:val="single" w:sz="4" w:space="0" w:color="auto"/>
            </w:tcBorders>
            <w:shd w:val="clear" w:color="auto" w:fill="auto"/>
            <w:vAlign w:val="center"/>
          </w:tcPr>
          <w:p w14:paraId="3E88AD13"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9,665</w:t>
            </w:r>
          </w:p>
        </w:tc>
        <w:tc>
          <w:tcPr>
            <w:tcW w:w="596" w:type="pct"/>
            <w:tcBorders>
              <w:bottom w:val="single" w:sz="4" w:space="0" w:color="auto"/>
              <w:right w:val="single" w:sz="4" w:space="0" w:color="auto"/>
            </w:tcBorders>
            <w:shd w:val="clear" w:color="auto" w:fill="auto"/>
            <w:vAlign w:val="center"/>
          </w:tcPr>
          <w:p w14:paraId="1C649051"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12,729</w:t>
            </w:r>
          </w:p>
        </w:tc>
        <w:tc>
          <w:tcPr>
            <w:tcW w:w="596" w:type="pct"/>
            <w:tcBorders>
              <w:bottom w:val="single" w:sz="4" w:space="0" w:color="auto"/>
              <w:right w:val="single" w:sz="4" w:space="0" w:color="auto"/>
            </w:tcBorders>
            <w:vAlign w:val="center"/>
          </w:tcPr>
          <w:p w14:paraId="590121CE" w14:textId="77777777" w:rsidR="008E5A25" w:rsidRPr="002A30B3" w:rsidRDefault="008E5A25" w:rsidP="006D29FD">
            <w:pPr>
              <w:keepNext/>
              <w:widowControl/>
              <w:jc w:val="center"/>
              <w:rPr>
                <w:rFonts w:ascii="Arial Narrow" w:hAnsi="Arial Narrow"/>
                <w:sz w:val="20"/>
              </w:rPr>
            </w:pPr>
            <w:r w:rsidRPr="002A30B3">
              <w:rPr>
                <w:rFonts w:ascii="Arial Narrow" w:hAnsi="Arial Narrow"/>
                <w:sz w:val="20"/>
              </w:rPr>
              <w:t>15,086</w:t>
            </w:r>
          </w:p>
        </w:tc>
      </w:tr>
      <w:tr w:rsidR="008E5A25" w:rsidRPr="002A30B3" w14:paraId="745F4CCC" w14:textId="77777777" w:rsidTr="008E5A25">
        <w:tc>
          <w:tcPr>
            <w:tcW w:w="5000" w:type="pct"/>
            <w:gridSpan w:val="7"/>
            <w:tcBorders>
              <w:left w:val="single" w:sz="4" w:space="0" w:color="auto"/>
              <w:bottom w:val="single" w:sz="4" w:space="0" w:color="auto"/>
              <w:right w:val="single" w:sz="4" w:space="0" w:color="auto"/>
            </w:tcBorders>
            <w:shd w:val="clear" w:color="auto" w:fill="auto"/>
            <w:noWrap/>
            <w:vAlign w:val="bottom"/>
          </w:tcPr>
          <w:p w14:paraId="3BB0454C" w14:textId="459682A5" w:rsidR="008E5A25" w:rsidRPr="002A30B3" w:rsidRDefault="008E5A25" w:rsidP="006D29FD">
            <w:pPr>
              <w:keepNext/>
              <w:widowControl/>
              <w:jc w:val="left"/>
              <w:rPr>
                <w:rFonts w:ascii="Arial Narrow" w:hAnsi="Arial Narrow"/>
                <w:iCs/>
                <w:sz w:val="20"/>
              </w:rPr>
            </w:pPr>
            <w:r w:rsidRPr="002A30B3">
              <w:rPr>
                <w:rFonts w:ascii="Arial Narrow" w:hAnsi="Arial Narrow"/>
                <w:b/>
                <w:sz w:val="20"/>
                <w:lang w:eastAsia="en-AU"/>
              </w:rPr>
              <w:t>Estimated net cost to PBS/RPBS (less patient co-payments)</w:t>
            </w:r>
          </w:p>
        </w:tc>
      </w:tr>
      <w:tr w:rsidR="008E5A25" w:rsidRPr="002A30B3" w14:paraId="2C13916C" w14:textId="77777777" w:rsidTr="008E5A25">
        <w:tc>
          <w:tcPr>
            <w:tcW w:w="1391" w:type="pct"/>
            <w:tcBorders>
              <w:top w:val="single" w:sz="4" w:space="0" w:color="auto"/>
              <w:left w:val="single" w:sz="4" w:space="0" w:color="auto"/>
              <w:bottom w:val="single" w:sz="4" w:space="0" w:color="auto"/>
            </w:tcBorders>
            <w:shd w:val="clear" w:color="auto" w:fill="auto"/>
            <w:noWrap/>
            <w:vAlign w:val="bottom"/>
          </w:tcPr>
          <w:p w14:paraId="44EF4503" w14:textId="6513E41B" w:rsidR="008E5A25" w:rsidRPr="002A30B3" w:rsidRDefault="008E5A25" w:rsidP="006D29FD">
            <w:pPr>
              <w:keepNext/>
              <w:widowControl/>
              <w:jc w:val="left"/>
              <w:rPr>
                <w:rFonts w:ascii="Arial Narrow" w:hAnsi="Arial Narrow"/>
                <w:sz w:val="20"/>
                <w:lang w:eastAsia="en-AU"/>
              </w:rPr>
            </w:pPr>
            <w:r w:rsidRPr="002A30B3">
              <w:rPr>
                <w:rFonts w:ascii="Arial Narrow" w:hAnsi="Arial Narrow"/>
                <w:sz w:val="20"/>
                <w:lang w:eastAsia="en-AU"/>
              </w:rPr>
              <w:t xml:space="preserve">Total cost of Asacol </w:t>
            </w:r>
          </w:p>
        </w:tc>
        <w:tc>
          <w:tcPr>
            <w:tcW w:w="658" w:type="pct"/>
            <w:tcBorders>
              <w:top w:val="single" w:sz="4" w:space="0" w:color="auto"/>
              <w:bottom w:val="single" w:sz="4" w:space="0" w:color="auto"/>
            </w:tcBorders>
            <w:shd w:val="clear" w:color="auto" w:fill="auto"/>
            <w:vAlign w:val="center"/>
          </w:tcPr>
          <w:p w14:paraId="2A37602E"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$202,100</w:t>
            </w:r>
          </w:p>
        </w:tc>
        <w:tc>
          <w:tcPr>
            <w:tcW w:w="599" w:type="pct"/>
            <w:tcBorders>
              <w:top w:val="single" w:sz="4" w:space="0" w:color="auto"/>
              <w:bottom w:val="single" w:sz="4" w:space="0" w:color="auto"/>
            </w:tcBorders>
            <w:shd w:val="clear" w:color="auto" w:fill="auto"/>
            <w:vAlign w:val="center"/>
          </w:tcPr>
          <w:p w14:paraId="29718141"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$1,131,759</w:t>
            </w:r>
          </w:p>
        </w:tc>
        <w:tc>
          <w:tcPr>
            <w:tcW w:w="564" w:type="pct"/>
            <w:tcBorders>
              <w:top w:val="single" w:sz="4" w:space="0" w:color="auto"/>
              <w:bottom w:val="single" w:sz="4" w:space="0" w:color="auto"/>
            </w:tcBorders>
            <w:shd w:val="clear" w:color="auto" w:fill="auto"/>
            <w:vAlign w:val="center"/>
          </w:tcPr>
          <w:p w14:paraId="02786B77"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$2,020,999</w:t>
            </w:r>
          </w:p>
        </w:tc>
        <w:tc>
          <w:tcPr>
            <w:tcW w:w="596" w:type="pct"/>
            <w:tcBorders>
              <w:bottom w:val="single" w:sz="4" w:space="0" w:color="auto"/>
            </w:tcBorders>
            <w:shd w:val="clear" w:color="auto" w:fill="auto"/>
            <w:vAlign w:val="center"/>
          </w:tcPr>
          <w:p w14:paraId="60BF6754"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$3,314,438</w:t>
            </w:r>
          </w:p>
        </w:tc>
        <w:tc>
          <w:tcPr>
            <w:tcW w:w="596" w:type="pct"/>
            <w:tcBorders>
              <w:bottom w:val="single" w:sz="4" w:space="0" w:color="auto"/>
              <w:right w:val="single" w:sz="4" w:space="0" w:color="auto"/>
            </w:tcBorders>
            <w:shd w:val="clear" w:color="auto" w:fill="auto"/>
            <w:vAlign w:val="center"/>
          </w:tcPr>
          <w:p w14:paraId="29EBFD14"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$4,365,358</w:t>
            </w:r>
          </w:p>
        </w:tc>
        <w:tc>
          <w:tcPr>
            <w:tcW w:w="596" w:type="pct"/>
            <w:tcBorders>
              <w:bottom w:val="single" w:sz="4" w:space="0" w:color="auto"/>
              <w:right w:val="single" w:sz="4" w:space="0" w:color="auto"/>
            </w:tcBorders>
            <w:vAlign w:val="center"/>
          </w:tcPr>
          <w:p w14:paraId="5D58A089"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$5,173,757</w:t>
            </w:r>
          </w:p>
        </w:tc>
      </w:tr>
      <w:tr w:rsidR="00900D0B" w:rsidRPr="002A30B3" w14:paraId="193F6C6C" w14:textId="77777777" w:rsidTr="00E825D9">
        <w:tc>
          <w:tcPr>
            <w:tcW w:w="1391" w:type="pct"/>
            <w:tcBorders>
              <w:left w:val="single" w:sz="4" w:space="0" w:color="auto"/>
              <w:bottom w:val="single" w:sz="4" w:space="0" w:color="auto"/>
            </w:tcBorders>
            <w:shd w:val="clear" w:color="auto" w:fill="auto"/>
            <w:noWrap/>
            <w:vAlign w:val="bottom"/>
          </w:tcPr>
          <w:p w14:paraId="0B82A4A7" w14:textId="4722CBEE" w:rsidR="008E5A25" w:rsidRPr="002A30B3" w:rsidRDefault="008E5A25" w:rsidP="006D29FD">
            <w:pPr>
              <w:keepNext/>
              <w:widowControl/>
              <w:jc w:val="left"/>
              <w:rPr>
                <w:rFonts w:ascii="Arial Narrow" w:hAnsi="Arial Narrow"/>
                <w:sz w:val="20"/>
                <w:lang w:eastAsia="en-AU"/>
              </w:rPr>
            </w:pPr>
            <w:r w:rsidRPr="002A30B3">
              <w:rPr>
                <w:rFonts w:ascii="Arial Narrow" w:hAnsi="Arial Narrow"/>
                <w:sz w:val="20"/>
                <w:lang w:eastAsia="en-AU"/>
              </w:rPr>
              <w:t xml:space="preserve">Total cost of Mezavant </w:t>
            </w:r>
          </w:p>
        </w:tc>
        <w:tc>
          <w:tcPr>
            <w:tcW w:w="658" w:type="pct"/>
            <w:tcBorders>
              <w:bottom w:val="single" w:sz="4" w:space="0" w:color="auto"/>
            </w:tcBorders>
            <w:shd w:val="clear" w:color="auto" w:fill="auto"/>
            <w:vAlign w:val="center"/>
          </w:tcPr>
          <w:p w14:paraId="2DF347A0"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$206,673</w:t>
            </w:r>
          </w:p>
        </w:tc>
        <w:tc>
          <w:tcPr>
            <w:tcW w:w="599" w:type="pct"/>
            <w:tcBorders>
              <w:bottom w:val="single" w:sz="4" w:space="0" w:color="auto"/>
            </w:tcBorders>
            <w:shd w:val="clear" w:color="auto" w:fill="auto"/>
            <w:vAlign w:val="center"/>
          </w:tcPr>
          <w:p w14:paraId="690F9E5D"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$1,157,368</w:t>
            </w:r>
          </w:p>
        </w:tc>
        <w:tc>
          <w:tcPr>
            <w:tcW w:w="564" w:type="pct"/>
            <w:tcBorders>
              <w:bottom w:val="single" w:sz="4" w:space="0" w:color="auto"/>
            </w:tcBorders>
            <w:shd w:val="clear" w:color="auto" w:fill="auto"/>
            <w:vAlign w:val="center"/>
          </w:tcPr>
          <w:p w14:paraId="173B3C71"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$2,066,728</w:t>
            </w:r>
          </w:p>
        </w:tc>
        <w:tc>
          <w:tcPr>
            <w:tcW w:w="596" w:type="pct"/>
            <w:tcBorders>
              <w:bottom w:val="single" w:sz="4" w:space="0" w:color="auto"/>
            </w:tcBorders>
            <w:shd w:val="clear" w:color="auto" w:fill="auto"/>
            <w:vAlign w:val="center"/>
          </w:tcPr>
          <w:p w14:paraId="568A68AE"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$3,389,435</w:t>
            </w:r>
          </w:p>
        </w:tc>
        <w:tc>
          <w:tcPr>
            <w:tcW w:w="596" w:type="pct"/>
            <w:tcBorders>
              <w:bottom w:val="single" w:sz="4" w:space="0" w:color="auto"/>
              <w:right w:val="single" w:sz="4" w:space="0" w:color="auto"/>
            </w:tcBorders>
            <w:shd w:val="clear" w:color="auto" w:fill="auto"/>
            <w:vAlign w:val="center"/>
          </w:tcPr>
          <w:p w14:paraId="16DECCCE"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$4,464,133</w:t>
            </w:r>
          </w:p>
        </w:tc>
        <w:tc>
          <w:tcPr>
            <w:tcW w:w="596" w:type="pct"/>
            <w:tcBorders>
              <w:bottom w:val="single" w:sz="4" w:space="0" w:color="auto"/>
              <w:right w:val="single" w:sz="4" w:space="0" w:color="auto"/>
            </w:tcBorders>
            <w:vAlign w:val="center"/>
          </w:tcPr>
          <w:p w14:paraId="7C63BC65" w14:textId="77777777" w:rsidR="008E5A25" w:rsidRPr="002A30B3" w:rsidRDefault="008E5A25" w:rsidP="006D29FD">
            <w:pPr>
              <w:keepNext/>
              <w:widowControl/>
              <w:jc w:val="center"/>
              <w:rPr>
                <w:rFonts w:ascii="Arial Narrow" w:hAnsi="Arial Narrow"/>
                <w:iCs/>
                <w:sz w:val="20"/>
              </w:rPr>
            </w:pPr>
            <w:r w:rsidRPr="002A30B3">
              <w:rPr>
                <w:rFonts w:ascii="Arial Narrow" w:hAnsi="Arial Narrow"/>
                <w:sz w:val="20"/>
              </w:rPr>
              <w:t>$5,290,825</w:t>
            </w:r>
          </w:p>
        </w:tc>
      </w:tr>
      <w:tr w:rsidR="008E5A25" w:rsidRPr="002A30B3" w14:paraId="22E5EA04" w14:textId="77777777" w:rsidTr="008E5A25">
        <w:tc>
          <w:tcPr>
            <w:tcW w:w="1391" w:type="pct"/>
            <w:tcBorders>
              <w:left w:val="single" w:sz="4" w:space="0" w:color="auto"/>
              <w:bottom w:val="single" w:sz="4" w:space="0" w:color="auto"/>
            </w:tcBorders>
            <w:shd w:val="clear" w:color="auto" w:fill="auto"/>
            <w:noWrap/>
          </w:tcPr>
          <w:p w14:paraId="0F456A0B" w14:textId="68B7AF4F" w:rsidR="008E5A25" w:rsidRPr="002A30B3" w:rsidRDefault="008E5A25" w:rsidP="006D29FD">
            <w:pPr>
              <w:keepNext/>
              <w:rPr>
                <w:rFonts w:ascii="Arial Narrow" w:hAnsi="Arial Narrow"/>
                <w:b/>
                <w:sz w:val="20"/>
              </w:rPr>
            </w:pPr>
            <w:r w:rsidRPr="002A30B3">
              <w:rPr>
                <w:rFonts w:ascii="Arial Narrow" w:hAnsi="Arial Narrow"/>
                <w:b/>
                <w:sz w:val="20"/>
              </w:rPr>
              <w:t xml:space="preserve">Net cost to PBS/RPBS </w:t>
            </w:r>
          </w:p>
        </w:tc>
        <w:tc>
          <w:tcPr>
            <w:tcW w:w="658" w:type="pct"/>
            <w:tcBorders>
              <w:bottom w:val="single" w:sz="4" w:space="0" w:color="auto"/>
            </w:tcBorders>
            <w:shd w:val="clear" w:color="auto" w:fill="auto"/>
            <w:vAlign w:val="center"/>
          </w:tcPr>
          <w:p w14:paraId="7501E117"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-$4,573</w:t>
            </w:r>
          </w:p>
        </w:tc>
        <w:tc>
          <w:tcPr>
            <w:tcW w:w="599" w:type="pct"/>
            <w:tcBorders>
              <w:bottom w:val="single" w:sz="4" w:space="0" w:color="auto"/>
            </w:tcBorders>
            <w:shd w:val="clear" w:color="auto" w:fill="auto"/>
            <w:vAlign w:val="center"/>
          </w:tcPr>
          <w:p w14:paraId="642518ED"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-$25,609</w:t>
            </w:r>
          </w:p>
        </w:tc>
        <w:tc>
          <w:tcPr>
            <w:tcW w:w="564" w:type="pct"/>
            <w:tcBorders>
              <w:bottom w:val="single" w:sz="4" w:space="0" w:color="auto"/>
            </w:tcBorders>
            <w:shd w:val="clear" w:color="auto" w:fill="auto"/>
            <w:vAlign w:val="center"/>
          </w:tcPr>
          <w:p w14:paraId="7E3A39C0"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-$45,729</w:t>
            </w:r>
          </w:p>
        </w:tc>
        <w:tc>
          <w:tcPr>
            <w:tcW w:w="596" w:type="pct"/>
            <w:tcBorders>
              <w:bottom w:val="single" w:sz="4" w:space="0" w:color="auto"/>
            </w:tcBorders>
            <w:shd w:val="clear" w:color="auto" w:fill="auto"/>
            <w:vAlign w:val="center"/>
          </w:tcPr>
          <w:p w14:paraId="1AC66C0B"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-$74,997</w:t>
            </w:r>
          </w:p>
        </w:tc>
        <w:tc>
          <w:tcPr>
            <w:tcW w:w="596" w:type="pct"/>
            <w:tcBorders>
              <w:bottom w:val="single" w:sz="4" w:space="0" w:color="auto"/>
              <w:right w:val="single" w:sz="4" w:space="0" w:color="auto"/>
            </w:tcBorders>
            <w:shd w:val="clear" w:color="auto" w:fill="auto"/>
            <w:vAlign w:val="center"/>
          </w:tcPr>
          <w:p w14:paraId="492BAE0C"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-$98,775</w:t>
            </w:r>
          </w:p>
        </w:tc>
        <w:tc>
          <w:tcPr>
            <w:tcW w:w="596" w:type="pct"/>
            <w:tcBorders>
              <w:bottom w:val="single" w:sz="4" w:space="0" w:color="auto"/>
              <w:right w:val="single" w:sz="4" w:space="0" w:color="auto"/>
            </w:tcBorders>
            <w:vAlign w:val="center"/>
          </w:tcPr>
          <w:p w14:paraId="2BC0EA36" w14:textId="77777777" w:rsidR="008E5A25" w:rsidRPr="002A30B3" w:rsidRDefault="008E5A25" w:rsidP="006D29FD">
            <w:pPr>
              <w:keepNext/>
              <w:widowControl/>
              <w:jc w:val="center"/>
              <w:rPr>
                <w:rFonts w:ascii="Arial Narrow" w:hAnsi="Arial Narrow"/>
                <w:b/>
                <w:iCs/>
                <w:sz w:val="20"/>
              </w:rPr>
            </w:pPr>
            <w:r w:rsidRPr="002A30B3">
              <w:rPr>
                <w:rFonts w:ascii="Arial Narrow" w:hAnsi="Arial Narrow"/>
                <w:b/>
                <w:sz w:val="20"/>
              </w:rPr>
              <w:t>-$117,068</w:t>
            </w:r>
          </w:p>
        </w:tc>
      </w:tr>
    </w:tbl>
    <w:p w14:paraId="42B2D116" w14:textId="17DC6A47" w:rsidR="00907C67" w:rsidRPr="002A30B3" w:rsidRDefault="00F66A54" w:rsidP="006D29FD">
      <w:pPr>
        <w:pStyle w:val="TableFooter"/>
        <w:keepNext/>
        <w:ind w:firstLine="720"/>
        <w:rPr>
          <w:rStyle w:val="CommentReference"/>
          <w:b w:val="0"/>
          <w:sz w:val="18"/>
          <w:szCs w:val="20"/>
        </w:rPr>
      </w:pPr>
      <w:r w:rsidRPr="002A30B3">
        <w:rPr>
          <w:rStyle w:val="CommentReference"/>
          <w:b w:val="0"/>
          <w:sz w:val="18"/>
          <w:szCs w:val="20"/>
        </w:rPr>
        <w:t>Source: Tables 37-42, pp</w:t>
      </w:r>
      <w:r w:rsidR="00F90681" w:rsidRPr="002A30B3">
        <w:rPr>
          <w:rStyle w:val="CommentReference"/>
          <w:b w:val="0"/>
          <w:sz w:val="18"/>
          <w:szCs w:val="20"/>
        </w:rPr>
        <w:t>55</w:t>
      </w:r>
      <w:r w:rsidRPr="002A30B3">
        <w:rPr>
          <w:rStyle w:val="CommentReference"/>
          <w:b w:val="0"/>
          <w:sz w:val="18"/>
          <w:szCs w:val="20"/>
        </w:rPr>
        <w:t>-5</w:t>
      </w:r>
      <w:r w:rsidR="00F90681" w:rsidRPr="002A30B3">
        <w:rPr>
          <w:rStyle w:val="CommentReference"/>
          <w:b w:val="0"/>
          <w:sz w:val="18"/>
          <w:szCs w:val="20"/>
        </w:rPr>
        <w:t>7</w:t>
      </w:r>
      <w:r w:rsidR="00907C67" w:rsidRPr="002A30B3">
        <w:rPr>
          <w:rStyle w:val="CommentReference"/>
          <w:b w:val="0"/>
          <w:sz w:val="18"/>
          <w:szCs w:val="20"/>
        </w:rPr>
        <w:t xml:space="preserve"> and ‘Asacol Section D and E’ Excel workbook of the submission</w:t>
      </w:r>
    </w:p>
    <w:p w14:paraId="610C1C7F" w14:textId="34B83CC1" w:rsidR="00907C67" w:rsidRPr="002A30B3" w:rsidRDefault="00907C67" w:rsidP="006D29FD">
      <w:pPr>
        <w:pStyle w:val="TableFooter"/>
        <w:keepNext/>
        <w:ind w:firstLine="720"/>
        <w:rPr>
          <w:rStyle w:val="CommentReference"/>
          <w:b w:val="0"/>
          <w:sz w:val="18"/>
          <w:szCs w:val="20"/>
        </w:rPr>
      </w:pPr>
      <w:r w:rsidRPr="002A30B3">
        <w:rPr>
          <w:rStyle w:val="CommentReference"/>
          <w:b w:val="0"/>
          <w:sz w:val="18"/>
          <w:szCs w:val="20"/>
          <w:vertAlign w:val="superscript"/>
        </w:rPr>
        <w:t xml:space="preserve">a </w:t>
      </w:r>
      <w:r w:rsidRPr="002A30B3">
        <w:rPr>
          <w:rStyle w:val="CommentReference"/>
          <w:b w:val="0"/>
          <w:sz w:val="18"/>
          <w:szCs w:val="20"/>
        </w:rPr>
        <w:t>It was assumed that</w:t>
      </w:r>
      <w:r w:rsidRPr="002A30B3">
        <w:rPr>
          <w:rStyle w:val="CommentReference"/>
          <w:b w:val="0"/>
          <w:sz w:val="18"/>
          <w:szCs w:val="20"/>
          <w:vertAlign w:val="superscript"/>
        </w:rPr>
        <w:t xml:space="preserve"> </w:t>
      </w:r>
      <w:r w:rsidRPr="002A30B3">
        <w:rPr>
          <w:rStyle w:val="CommentReference"/>
          <w:b w:val="0"/>
          <w:sz w:val="18"/>
          <w:szCs w:val="20"/>
        </w:rPr>
        <w:t>there were 50% less scripts in the first year due to August listing.</w:t>
      </w:r>
    </w:p>
    <w:p w14:paraId="751FB6F9" w14:textId="40B9D8A0" w:rsidR="00907C67" w:rsidRPr="002A30B3" w:rsidRDefault="00907C67" w:rsidP="006D29FD">
      <w:pPr>
        <w:pStyle w:val="TableFooter"/>
        <w:keepNext/>
        <w:ind w:firstLine="720"/>
        <w:rPr>
          <w:rStyle w:val="CommentReference"/>
          <w:b w:val="0"/>
          <w:sz w:val="18"/>
          <w:szCs w:val="20"/>
        </w:rPr>
      </w:pPr>
      <w:r w:rsidRPr="002A30B3">
        <w:rPr>
          <w:rStyle w:val="CommentReference"/>
          <w:b w:val="0"/>
          <w:sz w:val="18"/>
          <w:szCs w:val="20"/>
          <w:vertAlign w:val="superscript"/>
        </w:rPr>
        <w:t>b</w:t>
      </w:r>
      <w:r w:rsidRPr="002A30B3">
        <w:rPr>
          <w:rStyle w:val="CommentReference"/>
          <w:b w:val="0"/>
          <w:sz w:val="18"/>
          <w:szCs w:val="20"/>
        </w:rPr>
        <w:t xml:space="preserve"> An adherence rate assumed to be 50% was applied.</w:t>
      </w:r>
    </w:p>
    <w:p w14:paraId="28AE165F" w14:textId="2CC1FA49" w:rsidR="00907C67" w:rsidRPr="002A30B3" w:rsidRDefault="00907C67" w:rsidP="006D29FD">
      <w:pPr>
        <w:pStyle w:val="TableFooter"/>
        <w:keepNext/>
        <w:ind w:left="720"/>
        <w:rPr>
          <w:rStyle w:val="CommentReference"/>
          <w:b w:val="0"/>
          <w:sz w:val="18"/>
          <w:szCs w:val="20"/>
        </w:rPr>
      </w:pPr>
      <w:r w:rsidRPr="002A30B3">
        <w:rPr>
          <w:rStyle w:val="CommentReference"/>
          <w:b w:val="0"/>
          <w:sz w:val="18"/>
          <w:szCs w:val="20"/>
          <w:vertAlign w:val="superscript"/>
        </w:rPr>
        <w:t xml:space="preserve">c </w:t>
      </w:r>
      <w:r w:rsidR="006D29FD" w:rsidRPr="002A30B3">
        <w:rPr>
          <w:rStyle w:val="CommentReference"/>
          <w:b w:val="0"/>
          <w:sz w:val="18"/>
          <w:szCs w:val="20"/>
        </w:rPr>
        <w:t xml:space="preserve">Based on number of </w:t>
      </w:r>
      <w:r w:rsidRPr="002A30B3">
        <w:rPr>
          <w:rStyle w:val="CommentReference"/>
          <w:b w:val="0"/>
          <w:sz w:val="18"/>
          <w:szCs w:val="20"/>
        </w:rPr>
        <w:t>Asacol</w:t>
      </w:r>
      <w:r w:rsidR="006D29FD" w:rsidRPr="002A30B3">
        <w:rPr>
          <w:rStyle w:val="CommentReference"/>
          <w:b w:val="0"/>
          <w:sz w:val="18"/>
          <w:szCs w:val="20"/>
        </w:rPr>
        <w:t xml:space="preserve"> patients and assumed proportions receiving available Mezavant pack sizes (60 and 120 tablets)</w:t>
      </w:r>
    </w:p>
    <w:p w14:paraId="7735D45A" w14:textId="77777777" w:rsidR="00C25D9C" w:rsidRPr="002A30B3" w:rsidRDefault="00C25D9C" w:rsidP="00C25D9C">
      <w:pPr>
        <w:widowControl/>
        <w:rPr>
          <w:szCs w:val="22"/>
        </w:rPr>
      </w:pPr>
    </w:p>
    <w:p w14:paraId="3251A9FE" w14:textId="783766E0" w:rsidR="000150D0" w:rsidRPr="002A30B3" w:rsidRDefault="00F15825" w:rsidP="000150D0">
      <w:pPr>
        <w:pStyle w:val="ListParagraph"/>
        <w:numPr>
          <w:ilvl w:val="1"/>
          <w:numId w:val="5"/>
        </w:numPr>
        <w:rPr>
          <w:szCs w:val="22"/>
        </w:rPr>
      </w:pPr>
      <w:r w:rsidRPr="002A30B3">
        <w:rPr>
          <w:szCs w:val="22"/>
        </w:rPr>
        <w:t xml:space="preserve">At year 6, the estimated number of patients was 3,200. </w:t>
      </w:r>
      <w:r w:rsidR="00007665" w:rsidRPr="002A30B3">
        <w:rPr>
          <w:szCs w:val="22"/>
        </w:rPr>
        <w:t>The cost savings of listing Asacol on the PBS</w:t>
      </w:r>
      <w:r w:rsidR="00561953" w:rsidRPr="002A30B3">
        <w:rPr>
          <w:szCs w:val="22"/>
        </w:rPr>
        <w:t>/RPBS was estimated to be $117,068 in</w:t>
      </w:r>
      <w:r w:rsidR="00F11D7B" w:rsidRPr="002A30B3">
        <w:rPr>
          <w:szCs w:val="22"/>
        </w:rPr>
        <w:t xml:space="preserve"> the</w:t>
      </w:r>
      <w:r w:rsidR="00561953" w:rsidRPr="002A30B3">
        <w:rPr>
          <w:szCs w:val="22"/>
        </w:rPr>
        <w:t xml:space="preserve"> sixth year of listing</w:t>
      </w:r>
      <w:r w:rsidR="002E2CC7" w:rsidRPr="002A30B3">
        <w:rPr>
          <w:szCs w:val="22"/>
        </w:rPr>
        <w:t xml:space="preserve">; a cumulative saving </w:t>
      </w:r>
      <w:r w:rsidR="002E2CC7" w:rsidRPr="002A30B3">
        <w:t>over six years of $366,751</w:t>
      </w:r>
      <w:r w:rsidR="00561953" w:rsidRPr="002A30B3">
        <w:rPr>
          <w:szCs w:val="22"/>
        </w:rPr>
        <w:t xml:space="preserve">. </w:t>
      </w:r>
      <w:r w:rsidR="000150D0" w:rsidRPr="002A30B3">
        <w:rPr>
          <w:szCs w:val="22"/>
        </w:rPr>
        <w:t xml:space="preserve">The assumption that Mezavant </w:t>
      </w:r>
      <w:r w:rsidR="00F66817" w:rsidRPr="002A30B3">
        <w:rPr>
          <w:szCs w:val="22"/>
        </w:rPr>
        <w:t>2.4 g</w:t>
      </w:r>
      <w:r w:rsidR="000150D0" w:rsidRPr="002A30B3">
        <w:rPr>
          <w:szCs w:val="22"/>
        </w:rPr>
        <w:t xml:space="preserve"> could be substituted with Asacol </w:t>
      </w:r>
      <w:r w:rsidR="00F66817" w:rsidRPr="002A30B3">
        <w:rPr>
          <w:szCs w:val="22"/>
        </w:rPr>
        <w:t>1.6 g</w:t>
      </w:r>
      <w:r w:rsidR="000150D0" w:rsidRPr="002A30B3">
        <w:rPr>
          <w:szCs w:val="22"/>
        </w:rPr>
        <w:t xml:space="preserve"> resulting in a cost savings may not be reasonable given the lack of comparative efficacy data. </w:t>
      </w:r>
    </w:p>
    <w:p w14:paraId="151E8370" w14:textId="77777777" w:rsidR="000150D0" w:rsidRPr="002A30B3" w:rsidRDefault="000150D0" w:rsidP="000150D0">
      <w:pPr>
        <w:pStyle w:val="ListParagraph"/>
        <w:rPr>
          <w:szCs w:val="22"/>
        </w:rPr>
      </w:pPr>
    </w:p>
    <w:p w14:paraId="74482CD0" w14:textId="71D168DB" w:rsidR="000150D0" w:rsidRPr="002A30B3" w:rsidRDefault="00561953" w:rsidP="000150D0">
      <w:pPr>
        <w:pStyle w:val="ListParagraph"/>
        <w:numPr>
          <w:ilvl w:val="1"/>
          <w:numId w:val="5"/>
        </w:numPr>
        <w:rPr>
          <w:szCs w:val="22"/>
        </w:rPr>
      </w:pPr>
      <w:r w:rsidRPr="002A30B3">
        <w:rPr>
          <w:szCs w:val="22"/>
        </w:rPr>
        <w:t xml:space="preserve">The estimated utilisation and financial implications were highly uncertain as the </w:t>
      </w:r>
      <w:r w:rsidR="00F11D7B" w:rsidRPr="002A30B3">
        <w:rPr>
          <w:szCs w:val="22"/>
        </w:rPr>
        <w:t>estimated</w:t>
      </w:r>
      <w:r w:rsidRPr="002A30B3">
        <w:rPr>
          <w:szCs w:val="22"/>
        </w:rPr>
        <w:t xml:space="preserve"> utilisation of Asacol (</w:t>
      </w:r>
      <w:r w:rsidR="00F11D7B" w:rsidRPr="002A30B3">
        <w:rPr>
          <w:szCs w:val="22"/>
        </w:rPr>
        <w:t xml:space="preserve">based on </w:t>
      </w:r>
      <w:r w:rsidRPr="002A30B3">
        <w:rPr>
          <w:szCs w:val="22"/>
        </w:rPr>
        <w:t>total number of patients, scripts, adherence rate, dose split</w:t>
      </w:r>
      <w:r w:rsidR="00F11D7B" w:rsidRPr="002A30B3">
        <w:rPr>
          <w:szCs w:val="22"/>
        </w:rPr>
        <w:t xml:space="preserve">s) </w:t>
      </w:r>
      <w:r w:rsidR="008D63CD" w:rsidRPr="002A30B3">
        <w:rPr>
          <w:szCs w:val="22"/>
        </w:rPr>
        <w:t xml:space="preserve">was </w:t>
      </w:r>
      <w:r w:rsidR="00F11D7B" w:rsidRPr="002A30B3">
        <w:rPr>
          <w:szCs w:val="22"/>
        </w:rPr>
        <w:t xml:space="preserve">based on assumptions that were inadequately justified or supported by clinical evidence. </w:t>
      </w:r>
    </w:p>
    <w:p w14:paraId="09B08143" w14:textId="77777777" w:rsidR="000150D0" w:rsidRPr="002A30B3" w:rsidRDefault="000150D0" w:rsidP="000150D0">
      <w:pPr>
        <w:pStyle w:val="ListParagraph"/>
        <w:rPr>
          <w:szCs w:val="22"/>
        </w:rPr>
      </w:pPr>
    </w:p>
    <w:p w14:paraId="4D700BBE" w14:textId="349EC923" w:rsidR="00C25D9C" w:rsidRPr="002A30B3" w:rsidRDefault="00F11D7B" w:rsidP="003F73CE">
      <w:pPr>
        <w:pStyle w:val="ListParagraph"/>
        <w:widowControl/>
        <w:numPr>
          <w:ilvl w:val="1"/>
          <w:numId w:val="5"/>
        </w:numPr>
        <w:rPr>
          <w:szCs w:val="22"/>
        </w:rPr>
      </w:pPr>
      <w:r w:rsidRPr="002A30B3">
        <w:rPr>
          <w:szCs w:val="22"/>
        </w:rPr>
        <w:t xml:space="preserve">The estimated number of Asacol prescriptions was most likely an underestimate of PBS utilisation, given the PBS utilisation of all oral formulations of mesalazine totalled 268,561 prescriptions from August 2015 to July 2016 (PBS item reports, Medicare Statistics). </w:t>
      </w:r>
    </w:p>
    <w:p w14:paraId="770C4A20" w14:textId="77777777" w:rsidR="00F11D7B" w:rsidRPr="002A30B3" w:rsidRDefault="00F11D7B" w:rsidP="00F11D7B">
      <w:pPr>
        <w:pStyle w:val="ListParagraph"/>
        <w:widowControl/>
        <w:rPr>
          <w:szCs w:val="22"/>
        </w:rPr>
      </w:pPr>
    </w:p>
    <w:p w14:paraId="4B8FE2A0" w14:textId="5198923D" w:rsidR="00F9629F" w:rsidRPr="002A30B3" w:rsidRDefault="00F11D7B" w:rsidP="00F11D7B">
      <w:pPr>
        <w:pStyle w:val="ListParagraph"/>
        <w:numPr>
          <w:ilvl w:val="1"/>
          <w:numId w:val="5"/>
        </w:numPr>
        <w:rPr>
          <w:szCs w:val="22"/>
        </w:rPr>
      </w:pPr>
      <w:r w:rsidRPr="002A30B3">
        <w:rPr>
          <w:szCs w:val="22"/>
        </w:rPr>
        <w:t xml:space="preserve">The submission assumed that Mezavant would be the only treatment substituted by Asacol. Given that other, lower priced oral mesalazine formulations may also be </w:t>
      </w:r>
      <w:r w:rsidR="00BD6C5E" w:rsidRPr="002A30B3">
        <w:rPr>
          <w:szCs w:val="22"/>
        </w:rPr>
        <w:t xml:space="preserve">substituted by Asacol, </w:t>
      </w:r>
      <w:r w:rsidRPr="002A30B3">
        <w:rPr>
          <w:szCs w:val="22"/>
        </w:rPr>
        <w:t xml:space="preserve">this assumption was unreasonable and most likely underestimated the cost of listing Asacol on the PBS. </w:t>
      </w:r>
    </w:p>
    <w:p w14:paraId="12C50AB4" w14:textId="77777777" w:rsidR="000521F1" w:rsidRPr="002A30B3" w:rsidRDefault="000521F1" w:rsidP="000521F1">
      <w:pPr>
        <w:pStyle w:val="ListParagraph"/>
        <w:rPr>
          <w:szCs w:val="22"/>
        </w:rPr>
      </w:pPr>
    </w:p>
    <w:p w14:paraId="4DE34E82" w14:textId="77777777" w:rsidR="000521F1" w:rsidRPr="002A30B3" w:rsidRDefault="000521F1" w:rsidP="000521F1">
      <w:pPr>
        <w:ind w:firstLine="720"/>
        <w:rPr>
          <w:bCs/>
          <w:szCs w:val="22"/>
        </w:rPr>
      </w:pPr>
      <w:r w:rsidRPr="002A30B3">
        <w:rPr>
          <w:bCs/>
          <w:i/>
          <w:szCs w:val="22"/>
        </w:rPr>
        <w:t>For more detail on PBAC’s view, see section 7 “PBAC outcome”</w:t>
      </w:r>
    </w:p>
    <w:p w14:paraId="4B2CDA71" w14:textId="77777777" w:rsidR="000521F1" w:rsidRPr="002A30B3" w:rsidRDefault="000521F1" w:rsidP="000521F1">
      <w:pPr>
        <w:pStyle w:val="ListParagraph"/>
        <w:rPr>
          <w:szCs w:val="22"/>
        </w:rPr>
      </w:pPr>
    </w:p>
    <w:p w14:paraId="13DE6D76" w14:textId="77777777" w:rsidR="00576972" w:rsidRPr="002A30B3" w:rsidRDefault="00576972" w:rsidP="00576972">
      <w:pPr>
        <w:widowControl/>
        <w:rPr>
          <w:szCs w:val="22"/>
        </w:rPr>
      </w:pPr>
    </w:p>
    <w:p w14:paraId="6FF0FCB3" w14:textId="77777777" w:rsidR="000521F1" w:rsidRPr="002A30B3" w:rsidRDefault="000521F1" w:rsidP="00433246">
      <w:pPr>
        <w:pStyle w:val="Heading2"/>
        <w:widowControl/>
        <w:numPr>
          <w:ilvl w:val="0"/>
          <w:numId w:val="5"/>
        </w:numPr>
        <w:snapToGrid w:val="0"/>
        <w:jc w:val="left"/>
        <w:rPr>
          <w:snapToGrid/>
          <w:szCs w:val="22"/>
        </w:rPr>
      </w:pPr>
      <w:r w:rsidRPr="002A30B3">
        <w:rPr>
          <w:snapToGrid/>
          <w:szCs w:val="22"/>
        </w:rPr>
        <w:t>PBAC Outcome</w:t>
      </w:r>
    </w:p>
    <w:p w14:paraId="0B1B5C29" w14:textId="77777777" w:rsidR="000521F1" w:rsidRPr="002A30B3" w:rsidRDefault="000521F1" w:rsidP="000521F1">
      <w:pPr>
        <w:rPr>
          <w:b/>
          <w:bCs/>
          <w:color w:val="00B050"/>
          <w:highlight w:val="yellow"/>
        </w:rPr>
      </w:pPr>
    </w:p>
    <w:p w14:paraId="4B31D9F5" w14:textId="20AC6AF1" w:rsidR="00D84D7C" w:rsidRPr="002A30B3" w:rsidRDefault="00297A5A" w:rsidP="000521F1">
      <w:pPr>
        <w:numPr>
          <w:ilvl w:val="1"/>
          <w:numId w:val="5"/>
        </w:numPr>
        <w:rPr>
          <w:bCs/>
        </w:rPr>
      </w:pPr>
      <w:r w:rsidRPr="002A30B3">
        <w:rPr>
          <w:bCs/>
        </w:rPr>
        <w:t>The PBAC recommended the</w:t>
      </w:r>
      <w:r w:rsidR="00D45806" w:rsidRPr="002A30B3">
        <w:rPr>
          <w:bCs/>
        </w:rPr>
        <w:t xml:space="preserve"> </w:t>
      </w:r>
      <w:r w:rsidR="00E42B49" w:rsidRPr="002A30B3">
        <w:rPr>
          <w:bCs/>
        </w:rPr>
        <w:t>General Schedule Authority Required (STREAMLINED)</w:t>
      </w:r>
      <w:r w:rsidRPr="002A30B3">
        <w:rPr>
          <w:bCs/>
        </w:rPr>
        <w:t xml:space="preserve"> listing of Asacol (800 mg mesalazine enteric coated tablet)</w:t>
      </w:r>
      <w:r w:rsidR="00E42B49" w:rsidRPr="002A30B3">
        <w:rPr>
          <w:bCs/>
        </w:rPr>
        <w:t xml:space="preserve"> for the treatment of ulcerative colitis</w:t>
      </w:r>
      <w:r w:rsidRPr="002A30B3">
        <w:rPr>
          <w:bCs/>
        </w:rPr>
        <w:t xml:space="preserve"> on a cost-minimisation basis </w:t>
      </w:r>
      <w:r w:rsidR="0019659B" w:rsidRPr="002A30B3">
        <w:rPr>
          <w:bCs/>
        </w:rPr>
        <w:t>against</w:t>
      </w:r>
      <w:r w:rsidRPr="002A30B3">
        <w:rPr>
          <w:bCs/>
        </w:rPr>
        <w:t xml:space="preserve"> the oral formulation of mesalazine on the PBS</w:t>
      </w:r>
      <w:r w:rsidR="00C944F4" w:rsidRPr="002A30B3">
        <w:rPr>
          <w:bCs/>
        </w:rPr>
        <w:t xml:space="preserve"> with the lowest price per milligram of mesalazine.</w:t>
      </w:r>
    </w:p>
    <w:p w14:paraId="7ED55A0D" w14:textId="77777777" w:rsidR="00062A7D" w:rsidRPr="002A30B3" w:rsidRDefault="00062A7D" w:rsidP="00062A7D">
      <w:pPr>
        <w:pStyle w:val="ListParagraph"/>
        <w:rPr>
          <w:bCs/>
          <w:color w:val="00B050"/>
        </w:rPr>
      </w:pPr>
    </w:p>
    <w:p w14:paraId="486990AC" w14:textId="043EFE78" w:rsidR="00DF22F5" w:rsidRPr="002A30B3" w:rsidRDefault="00DF22F5" w:rsidP="002A1D4F">
      <w:pPr>
        <w:numPr>
          <w:ilvl w:val="1"/>
          <w:numId w:val="5"/>
        </w:numPr>
        <w:rPr>
          <w:bCs/>
          <w:color w:val="00B050"/>
        </w:rPr>
      </w:pPr>
      <w:r w:rsidRPr="002A30B3">
        <w:rPr>
          <w:bCs/>
        </w:rPr>
        <w:t xml:space="preserve">The PBAC recommended that the </w:t>
      </w:r>
      <w:r w:rsidR="00AA4C0A" w:rsidRPr="002A30B3">
        <w:rPr>
          <w:bCs/>
        </w:rPr>
        <w:t xml:space="preserve">wording of the </w:t>
      </w:r>
      <w:r w:rsidRPr="002A30B3">
        <w:rPr>
          <w:bCs/>
        </w:rPr>
        <w:t xml:space="preserve">restriction for the Asacol listing be consistent with </w:t>
      </w:r>
      <w:r w:rsidR="00AA4C0A" w:rsidRPr="002A30B3">
        <w:rPr>
          <w:bCs/>
        </w:rPr>
        <w:t xml:space="preserve">that for the </w:t>
      </w:r>
      <w:r w:rsidRPr="002A30B3">
        <w:rPr>
          <w:bCs/>
        </w:rPr>
        <w:t xml:space="preserve">other oral mesalazine formulations for </w:t>
      </w:r>
      <w:r w:rsidR="00B85BF7" w:rsidRPr="002A30B3">
        <w:rPr>
          <w:bCs/>
        </w:rPr>
        <w:t>ulcerative colitis</w:t>
      </w:r>
      <w:r w:rsidRPr="002A30B3">
        <w:rPr>
          <w:bCs/>
        </w:rPr>
        <w:t xml:space="preserve">, with the inclusion of a note, “Not for the treatment of Crohn disease”. The PBAC </w:t>
      </w:r>
      <w:r w:rsidRPr="002A30B3">
        <w:rPr>
          <w:bCs/>
        </w:rPr>
        <w:lastRenderedPageBreak/>
        <w:t>recommended a maximum quantity of two packs (180 tablets), and five repeats.</w:t>
      </w:r>
    </w:p>
    <w:p w14:paraId="14DFE337" w14:textId="77777777" w:rsidR="00DF22F5" w:rsidRPr="002A30B3" w:rsidRDefault="00DF22F5" w:rsidP="00DF22F5">
      <w:pPr>
        <w:pStyle w:val="ListParagraph"/>
        <w:rPr>
          <w:bCs/>
          <w:color w:val="00B050"/>
        </w:rPr>
      </w:pPr>
    </w:p>
    <w:p w14:paraId="3EB6E872" w14:textId="20D3F142" w:rsidR="00904D99" w:rsidRPr="002A30B3" w:rsidRDefault="00904D99" w:rsidP="00904D99">
      <w:pPr>
        <w:numPr>
          <w:ilvl w:val="1"/>
          <w:numId w:val="5"/>
        </w:numPr>
        <w:rPr>
          <w:bCs/>
        </w:rPr>
      </w:pPr>
      <w:r w:rsidRPr="002A30B3">
        <w:rPr>
          <w:bCs/>
        </w:rPr>
        <w:t>In terms of the clinical place in therapy, the PBAC noted that the PSCR claimed Asacol 800 mg tablets offered flexibility in dos</w:t>
      </w:r>
      <w:r w:rsidR="00AA4C0A" w:rsidRPr="002A30B3">
        <w:rPr>
          <w:bCs/>
        </w:rPr>
        <w:t>e</w:t>
      </w:r>
      <w:r w:rsidRPr="002A30B3">
        <w:rPr>
          <w:bCs/>
        </w:rPr>
        <w:t xml:space="preserve"> titration for patients compared with Mezavant 1.2 g tablets.</w:t>
      </w:r>
      <w:r w:rsidR="002B756F" w:rsidRPr="002A30B3">
        <w:rPr>
          <w:bCs/>
        </w:rPr>
        <w:t xml:space="preserve"> </w:t>
      </w:r>
      <w:r w:rsidR="00AA4C0A" w:rsidRPr="002A30B3">
        <w:rPr>
          <w:bCs/>
        </w:rPr>
        <w:t>T</w:t>
      </w:r>
      <w:r w:rsidRPr="002A30B3">
        <w:rPr>
          <w:bCs/>
        </w:rPr>
        <w:t xml:space="preserve">he PBAC agreed with the ESC’s advice that this claim had not been sufficiently substantiated given that a dose response was not demonstrated. Nonetheless, the PBAC did consider that the listing of an 800 mg tablet did allow for </w:t>
      </w:r>
      <w:r w:rsidR="00F3146B" w:rsidRPr="002A30B3">
        <w:rPr>
          <w:bCs/>
        </w:rPr>
        <w:t>different</w:t>
      </w:r>
      <w:r w:rsidR="00AA4C0A" w:rsidRPr="002A30B3">
        <w:rPr>
          <w:bCs/>
        </w:rPr>
        <w:t xml:space="preserve"> </w:t>
      </w:r>
      <w:r w:rsidRPr="002A30B3">
        <w:rPr>
          <w:bCs/>
        </w:rPr>
        <w:t>of doses to be prescribed consistent with the TGA Product Information.</w:t>
      </w:r>
    </w:p>
    <w:p w14:paraId="790551E0" w14:textId="77777777" w:rsidR="00904D99" w:rsidRPr="002A30B3" w:rsidRDefault="00904D99" w:rsidP="00904D99">
      <w:pPr>
        <w:pStyle w:val="ListParagraph"/>
        <w:rPr>
          <w:bCs/>
          <w:color w:val="00B050"/>
        </w:rPr>
      </w:pPr>
    </w:p>
    <w:p w14:paraId="56F7CF21" w14:textId="694EC9E2" w:rsidR="000475B1" w:rsidRPr="002A30B3" w:rsidRDefault="000475B1" w:rsidP="00F3146B">
      <w:pPr>
        <w:pStyle w:val="ListParagraph"/>
        <w:widowControl/>
        <w:numPr>
          <w:ilvl w:val="1"/>
          <w:numId w:val="5"/>
        </w:numPr>
        <w:rPr>
          <w:szCs w:val="22"/>
        </w:rPr>
      </w:pPr>
      <w:r w:rsidRPr="002A30B3">
        <w:rPr>
          <w:szCs w:val="22"/>
        </w:rPr>
        <w:t>The PBAC noted that submission</w:t>
      </w:r>
      <w:r w:rsidR="00760929" w:rsidRPr="002A30B3">
        <w:rPr>
          <w:szCs w:val="22"/>
        </w:rPr>
        <w:t xml:space="preserve"> nominated Mezavant as the comparator and that the price per mg of mesalazine for Mezavant (</w:t>
      </w:r>
      <w:r w:rsidR="00525FBB" w:rsidRPr="002A30B3">
        <w:rPr>
          <w:szCs w:val="22"/>
        </w:rPr>
        <w:t>$0.00241)</w:t>
      </w:r>
      <w:r w:rsidR="00760929" w:rsidRPr="002A30B3">
        <w:rPr>
          <w:szCs w:val="22"/>
        </w:rPr>
        <w:t xml:space="preserve"> was higher than that for </w:t>
      </w:r>
      <w:r w:rsidR="00525FBB" w:rsidRPr="002A30B3">
        <w:rPr>
          <w:szCs w:val="22"/>
        </w:rPr>
        <w:t>Pentasa tablets ($0.00226-$0.00241), Pentasa granules ($0.00212-$0.00225) and Salofalk granules ($0.00216-$0.00225).</w:t>
      </w:r>
    </w:p>
    <w:p w14:paraId="7BD1FC47" w14:textId="77777777" w:rsidR="000475B1" w:rsidRPr="002A30B3" w:rsidRDefault="000475B1" w:rsidP="000475B1">
      <w:pPr>
        <w:pStyle w:val="ListParagraph"/>
        <w:rPr>
          <w:szCs w:val="22"/>
        </w:rPr>
      </w:pPr>
    </w:p>
    <w:p w14:paraId="493B1E1A" w14:textId="503DA92D" w:rsidR="00CD326A" w:rsidRPr="002A30B3" w:rsidRDefault="00F3146B" w:rsidP="00525FBB">
      <w:pPr>
        <w:pStyle w:val="ListParagraph"/>
        <w:widowControl/>
        <w:numPr>
          <w:ilvl w:val="1"/>
          <w:numId w:val="5"/>
        </w:numPr>
        <w:rPr>
          <w:szCs w:val="22"/>
        </w:rPr>
      </w:pPr>
      <w:r w:rsidRPr="002A30B3">
        <w:rPr>
          <w:szCs w:val="22"/>
        </w:rPr>
        <w:t>The PBAC recalled that mesalazine granules were recommended for listing on the basis of the same price per mg compared to the tablets, and that Mezavant was recommended on a cost minimisation basis with Salofalk and Pentasa brands of mesalazine at the same price per mg of mesalazine. The PBAC considered all oral formulations of mesalazine to be alternative therapies and, as a significant improvement in efficacy or reduction in toxicity had not been demonstrated over</w:t>
      </w:r>
      <w:r w:rsidR="000475B1" w:rsidRPr="002A30B3">
        <w:rPr>
          <w:szCs w:val="22"/>
        </w:rPr>
        <w:t xml:space="preserve"> any of the</w:t>
      </w:r>
      <w:r w:rsidRPr="002A30B3">
        <w:rPr>
          <w:szCs w:val="22"/>
        </w:rPr>
        <w:t xml:space="preserve"> other oral formulations, the PBAC recommended Asacol be cost-minimised against the oral formulation of mesalazine with the lowest price per mg of mesalazine.</w:t>
      </w:r>
      <w:r w:rsidR="000475B1" w:rsidRPr="002A30B3">
        <w:rPr>
          <w:szCs w:val="22"/>
        </w:rPr>
        <w:t xml:space="preserve"> </w:t>
      </w:r>
    </w:p>
    <w:p w14:paraId="043191FD" w14:textId="77777777" w:rsidR="002A1D4F" w:rsidRPr="002A30B3" w:rsidRDefault="002A1D4F" w:rsidP="002A1D4F">
      <w:pPr>
        <w:rPr>
          <w:bCs/>
          <w:color w:val="00B050"/>
        </w:rPr>
      </w:pPr>
    </w:p>
    <w:p w14:paraId="4B6467A6" w14:textId="3F3291A3" w:rsidR="00525FBB" w:rsidRPr="002A30B3" w:rsidRDefault="00525FBB" w:rsidP="00525FBB">
      <w:pPr>
        <w:pStyle w:val="ListParagraph"/>
        <w:widowControl/>
        <w:numPr>
          <w:ilvl w:val="1"/>
          <w:numId w:val="5"/>
        </w:numPr>
        <w:rPr>
          <w:szCs w:val="22"/>
        </w:rPr>
      </w:pPr>
      <w:r w:rsidRPr="002A30B3">
        <w:rPr>
          <w:szCs w:val="22"/>
        </w:rPr>
        <w:t xml:space="preserve">The PBAC considered that the claim of noninferior comparative effectiveness to </w:t>
      </w:r>
      <w:r w:rsidR="003626DB" w:rsidRPr="002A30B3">
        <w:rPr>
          <w:szCs w:val="22"/>
        </w:rPr>
        <w:t>Me</w:t>
      </w:r>
      <w:r w:rsidR="003626DB">
        <w:rPr>
          <w:szCs w:val="22"/>
        </w:rPr>
        <w:t>z</w:t>
      </w:r>
      <w:r w:rsidR="003626DB" w:rsidRPr="002A30B3">
        <w:rPr>
          <w:szCs w:val="22"/>
        </w:rPr>
        <w:t xml:space="preserve">avant </w:t>
      </w:r>
      <w:r w:rsidRPr="002A30B3">
        <w:rPr>
          <w:szCs w:val="22"/>
        </w:rPr>
        <w:t xml:space="preserve">was uncertain but accepted it based on the totality of the evidence presented. </w:t>
      </w:r>
    </w:p>
    <w:p w14:paraId="7CAE00FC" w14:textId="77777777" w:rsidR="00EE4B3A" w:rsidRPr="002A30B3" w:rsidRDefault="00EE4B3A" w:rsidP="00525FBB">
      <w:pPr>
        <w:pStyle w:val="ListParagraph"/>
        <w:widowControl/>
        <w:rPr>
          <w:szCs w:val="22"/>
        </w:rPr>
      </w:pPr>
    </w:p>
    <w:p w14:paraId="5C9A5601" w14:textId="23156C90" w:rsidR="00F97290" w:rsidRPr="002A30B3" w:rsidRDefault="00F97290" w:rsidP="002B756F">
      <w:pPr>
        <w:pStyle w:val="ListParagraph"/>
        <w:widowControl/>
        <w:numPr>
          <w:ilvl w:val="1"/>
          <w:numId w:val="5"/>
        </w:numPr>
        <w:rPr>
          <w:szCs w:val="22"/>
        </w:rPr>
      </w:pPr>
      <w:r w:rsidRPr="002A30B3">
        <w:rPr>
          <w:szCs w:val="22"/>
        </w:rPr>
        <w:t>The PBAC considered that the claim of noninferior comparative safety</w:t>
      </w:r>
      <w:r w:rsidR="00525FBB" w:rsidRPr="002A30B3">
        <w:rPr>
          <w:szCs w:val="22"/>
        </w:rPr>
        <w:t xml:space="preserve"> to </w:t>
      </w:r>
      <w:r w:rsidR="003626DB" w:rsidRPr="002A30B3">
        <w:rPr>
          <w:szCs w:val="22"/>
        </w:rPr>
        <w:t>Me</w:t>
      </w:r>
      <w:r w:rsidR="003626DB">
        <w:rPr>
          <w:szCs w:val="22"/>
        </w:rPr>
        <w:t>z</w:t>
      </w:r>
      <w:r w:rsidR="003626DB" w:rsidRPr="002A30B3">
        <w:rPr>
          <w:szCs w:val="22"/>
        </w:rPr>
        <w:t xml:space="preserve">avant </w:t>
      </w:r>
      <w:r w:rsidRPr="002A30B3">
        <w:rPr>
          <w:szCs w:val="22"/>
        </w:rPr>
        <w:t>was reasonable. Whilst limited detail was provided in the trial publications, the PBAC viewed that the safety profile of Asacol was consistent with the known safety profile of oral mesalazine.</w:t>
      </w:r>
    </w:p>
    <w:p w14:paraId="6BC5F086" w14:textId="77777777" w:rsidR="001267F9" w:rsidRPr="002A30B3" w:rsidRDefault="001267F9" w:rsidP="001267F9">
      <w:pPr>
        <w:pStyle w:val="ListParagraph"/>
        <w:rPr>
          <w:bCs/>
          <w:color w:val="00B050"/>
        </w:rPr>
      </w:pPr>
    </w:p>
    <w:p w14:paraId="6E8F9D31" w14:textId="40F1C71A" w:rsidR="00A26E09" w:rsidRPr="002A30B3" w:rsidRDefault="00E561B8" w:rsidP="00A26E09">
      <w:pPr>
        <w:numPr>
          <w:ilvl w:val="1"/>
          <w:numId w:val="5"/>
        </w:numPr>
        <w:rPr>
          <w:bCs/>
        </w:rPr>
      </w:pPr>
      <w:r w:rsidRPr="002A30B3">
        <w:rPr>
          <w:bCs/>
        </w:rPr>
        <w:t xml:space="preserve">The PBAC </w:t>
      </w:r>
      <w:r w:rsidR="00A8394D" w:rsidRPr="002A30B3">
        <w:rPr>
          <w:bCs/>
        </w:rPr>
        <w:t xml:space="preserve">considered that the estimated utilisation and financial impact of the Asacol listing were insufficiently justified in the submission. </w:t>
      </w:r>
      <w:r w:rsidR="00D07AE6" w:rsidRPr="002A30B3">
        <w:rPr>
          <w:bCs/>
        </w:rPr>
        <w:t>T</w:t>
      </w:r>
      <w:r w:rsidR="00A8394D" w:rsidRPr="002A30B3">
        <w:rPr>
          <w:bCs/>
        </w:rPr>
        <w:t>he submission assumed that Mezavant would be the only treatment substituted by Asacol</w:t>
      </w:r>
      <w:r w:rsidR="004842F5" w:rsidRPr="002A30B3">
        <w:rPr>
          <w:bCs/>
        </w:rPr>
        <w:t>.</w:t>
      </w:r>
      <w:r w:rsidR="002B756F" w:rsidRPr="002A30B3">
        <w:rPr>
          <w:bCs/>
        </w:rPr>
        <w:t xml:space="preserve"> </w:t>
      </w:r>
      <w:r w:rsidR="00DD008C" w:rsidRPr="002A30B3">
        <w:rPr>
          <w:bCs/>
        </w:rPr>
        <w:t>T</w:t>
      </w:r>
      <w:r w:rsidR="00D07AE6" w:rsidRPr="002A30B3">
        <w:rPr>
          <w:bCs/>
        </w:rPr>
        <w:t xml:space="preserve">he PBAC </w:t>
      </w:r>
      <w:r w:rsidR="004842F5" w:rsidRPr="002A30B3">
        <w:rPr>
          <w:bCs/>
        </w:rPr>
        <w:t>considered</w:t>
      </w:r>
      <w:r w:rsidR="00D07AE6" w:rsidRPr="002A30B3">
        <w:rPr>
          <w:bCs/>
        </w:rPr>
        <w:t xml:space="preserve"> </w:t>
      </w:r>
      <w:r w:rsidR="004842F5" w:rsidRPr="002A30B3">
        <w:rPr>
          <w:bCs/>
        </w:rPr>
        <w:t xml:space="preserve">that other, lower priced oral mesalazine formulations may also be substituted by Asacol, and so the cost of listing Asacol was likely underestimated. The PBAC </w:t>
      </w:r>
      <w:r w:rsidR="0020181F" w:rsidRPr="002A30B3">
        <w:rPr>
          <w:bCs/>
        </w:rPr>
        <w:t>noted</w:t>
      </w:r>
      <w:r w:rsidR="004842F5" w:rsidRPr="002A30B3">
        <w:rPr>
          <w:bCs/>
        </w:rPr>
        <w:t xml:space="preserve"> that listing Asacol</w:t>
      </w:r>
      <w:r w:rsidR="002B756F" w:rsidRPr="002A30B3">
        <w:rPr>
          <w:bCs/>
        </w:rPr>
        <w:t xml:space="preserve"> on a</w:t>
      </w:r>
      <w:r w:rsidR="004842F5" w:rsidRPr="002A30B3">
        <w:rPr>
          <w:bCs/>
        </w:rPr>
        <w:t xml:space="preserve"> cost-minimis</w:t>
      </w:r>
      <w:r w:rsidR="002B756F" w:rsidRPr="002A30B3">
        <w:rPr>
          <w:bCs/>
        </w:rPr>
        <w:t>ation basis versus</w:t>
      </w:r>
      <w:r w:rsidR="004842F5" w:rsidRPr="002A30B3">
        <w:rPr>
          <w:bCs/>
        </w:rPr>
        <w:t xml:space="preserve"> the lowest priced oral mesalazine formulation (on an equivalent mg to</w:t>
      </w:r>
      <w:r w:rsidR="00A25A50" w:rsidRPr="002A30B3">
        <w:rPr>
          <w:bCs/>
        </w:rPr>
        <w:t xml:space="preserve"> mg basis) </w:t>
      </w:r>
      <w:r w:rsidR="002B756F" w:rsidRPr="002A30B3">
        <w:rPr>
          <w:bCs/>
        </w:rPr>
        <w:t>sh</w:t>
      </w:r>
      <w:r w:rsidR="00A25A50" w:rsidRPr="002A30B3">
        <w:rPr>
          <w:bCs/>
        </w:rPr>
        <w:t>ould mitigate this</w:t>
      </w:r>
      <w:r w:rsidR="009E40B0" w:rsidRPr="002A30B3">
        <w:rPr>
          <w:bCs/>
        </w:rPr>
        <w:t>.</w:t>
      </w:r>
    </w:p>
    <w:p w14:paraId="764DC46A" w14:textId="77777777" w:rsidR="001A2689" w:rsidRPr="002A30B3" w:rsidRDefault="001A2689" w:rsidP="001A2689">
      <w:pPr>
        <w:rPr>
          <w:bCs/>
        </w:rPr>
      </w:pPr>
    </w:p>
    <w:p w14:paraId="2702A12A" w14:textId="013FF7FA" w:rsidR="00AD037D" w:rsidRPr="002A30B3" w:rsidRDefault="00AD037D" w:rsidP="000521F1">
      <w:pPr>
        <w:numPr>
          <w:ilvl w:val="1"/>
          <w:numId w:val="5"/>
        </w:numPr>
        <w:rPr>
          <w:bCs/>
        </w:rPr>
      </w:pPr>
      <w:r w:rsidRPr="002A30B3">
        <w:rPr>
          <w:bCs/>
        </w:rPr>
        <w:t>The PBAC recommended that the Early Sup</w:t>
      </w:r>
      <w:r w:rsidR="001A2689" w:rsidRPr="002A30B3">
        <w:rPr>
          <w:bCs/>
        </w:rPr>
        <w:t>ply Rule should apply to Asacol</w:t>
      </w:r>
      <w:r w:rsidRPr="002A30B3">
        <w:rPr>
          <w:bCs/>
        </w:rPr>
        <w:t>, as it is applied to existing mesa</w:t>
      </w:r>
      <w:r w:rsidR="00FF10B9" w:rsidRPr="002A30B3">
        <w:rPr>
          <w:bCs/>
        </w:rPr>
        <w:t>la</w:t>
      </w:r>
      <w:r w:rsidRPr="002A30B3">
        <w:rPr>
          <w:bCs/>
        </w:rPr>
        <w:t>zine oral formulations.</w:t>
      </w:r>
    </w:p>
    <w:p w14:paraId="52C3B561" w14:textId="77777777" w:rsidR="00AD037D" w:rsidRPr="002A30B3" w:rsidRDefault="00AD037D" w:rsidP="00AD037D">
      <w:pPr>
        <w:pStyle w:val="ListParagraph"/>
        <w:rPr>
          <w:bCs/>
        </w:rPr>
      </w:pPr>
    </w:p>
    <w:p w14:paraId="3DF5CBE9" w14:textId="08A99CA3" w:rsidR="00AD037D" w:rsidRPr="002A30B3" w:rsidRDefault="00AD037D" w:rsidP="000521F1">
      <w:pPr>
        <w:numPr>
          <w:ilvl w:val="1"/>
          <w:numId w:val="5"/>
        </w:numPr>
        <w:rPr>
          <w:bCs/>
        </w:rPr>
      </w:pPr>
      <w:r w:rsidRPr="002A30B3">
        <w:rPr>
          <w:bCs/>
        </w:rPr>
        <w:t xml:space="preserve">The PBAC advised that </w:t>
      </w:r>
      <w:r w:rsidR="00482385" w:rsidRPr="002A30B3">
        <w:rPr>
          <w:bCs/>
        </w:rPr>
        <w:t>Asacol</w:t>
      </w:r>
      <w:r w:rsidRPr="002A30B3">
        <w:rPr>
          <w:bCs/>
        </w:rPr>
        <w:t xml:space="preserve"> is suitable for prescribing by nurse practitioners as continuing therapy only. </w:t>
      </w:r>
    </w:p>
    <w:p w14:paraId="199C73FA" w14:textId="77777777" w:rsidR="00AD037D" w:rsidRPr="002A30B3" w:rsidRDefault="00AD037D" w:rsidP="00AD037D">
      <w:pPr>
        <w:pStyle w:val="ListParagraph"/>
        <w:rPr>
          <w:bCs/>
        </w:rPr>
      </w:pPr>
    </w:p>
    <w:p w14:paraId="343E3D55" w14:textId="7492C2FE" w:rsidR="00AD037D" w:rsidRPr="002A30B3" w:rsidRDefault="00AD037D" w:rsidP="000521F1">
      <w:pPr>
        <w:numPr>
          <w:ilvl w:val="1"/>
          <w:numId w:val="5"/>
        </w:numPr>
        <w:rPr>
          <w:bCs/>
        </w:rPr>
      </w:pPr>
      <w:r w:rsidRPr="002A30B3">
        <w:rPr>
          <w:bCs/>
        </w:rPr>
        <w:t>The PBAC noted that this submission was not eligible for Independent Review as it received a positive recommendation.</w:t>
      </w:r>
    </w:p>
    <w:p w14:paraId="73A3549D" w14:textId="77777777" w:rsidR="000521F1" w:rsidRPr="002A30B3" w:rsidRDefault="000521F1" w:rsidP="000521F1">
      <w:pPr>
        <w:rPr>
          <w:b/>
          <w:bCs/>
        </w:rPr>
      </w:pPr>
    </w:p>
    <w:p w14:paraId="5BF20AC9" w14:textId="77777777" w:rsidR="000521F1" w:rsidRPr="002A30B3" w:rsidRDefault="000521F1" w:rsidP="001A0C3A">
      <w:pPr>
        <w:keepNext/>
        <w:rPr>
          <w:b/>
          <w:bCs/>
        </w:rPr>
      </w:pPr>
      <w:r w:rsidRPr="002A30B3">
        <w:rPr>
          <w:b/>
          <w:bCs/>
        </w:rPr>
        <w:lastRenderedPageBreak/>
        <w:t>Outcome:</w:t>
      </w:r>
    </w:p>
    <w:p w14:paraId="6F94B5AE" w14:textId="435AC38A" w:rsidR="000521F1" w:rsidRPr="002A30B3" w:rsidRDefault="000521F1" w:rsidP="000521F1">
      <w:pPr>
        <w:rPr>
          <w:bCs/>
        </w:rPr>
      </w:pPr>
      <w:r w:rsidRPr="002A30B3">
        <w:rPr>
          <w:bCs/>
        </w:rPr>
        <w:t>Recommended</w:t>
      </w:r>
    </w:p>
    <w:p w14:paraId="370ACD4C" w14:textId="77777777" w:rsidR="000521F1" w:rsidRPr="002A30B3" w:rsidRDefault="000521F1" w:rsidP="000521F1">
      <w:pPr>
        <w:rPr>
          <w:bCs/>
          <w:highlight w:val="yellow"/>
        </w:rPr>
      </w:pPr>
    </w:p>
    <w:p w14:paraId="362A2DEB" w14:textId="77777777" w:rsidR="00E5398A" w:rsidRPr="002A30B3" w:rsidRDefault="00E5398A" w:rsidP="000521F1">
      <w:pPr>
        <w:rPr>
          <w:highlight w:val="yellow"/>
        </w:rPr>
      </w:pPr>
    </w:p>
    <w:p w14:paraId="07167D6F" w14:textId="77777777" w:rsidR="000521F1" w:rsidRPr="002A30B3" w:rsidRDefault="000521F1" w:rsidP="00240475">
      <w:pPr>
        <w:pStyle w:val="Heading2"/>
        <w:widowControl/>
        <w:numPr>
          <w:ilvl w:val="0"/>
          <w:numId w:val="5"/>
        </w:numPr>
        <w:snapToGrid w:val="0"/>
        <w:jc w:val="left"/>
        <w:rPr>
          <w:snapToGrid/>
          <w:szCs w:val="22"/>
        </w:rPr>
      </w:pPr>
      <w:r w:rsidRPr="002A30B3">
        <w:rPr>
          <w:snapToGrid/>
          <w:szCs w:val="22"/>
        </w:rPr>
        <w:t>Recommended listing</w:t>
      </w:r>
    </w:p>
    <w:p w14:paraId="04D6C82C" w14:textId="77777777" w:rsidR="000521F1" w:rsidRPr="002A30B3" w:rsidRDefault="000521F1" w:rsidP="000521F1">
      <w:pPr>
        <w:rPr>
          <w:b/>
          <w:bCs/>
          <w:i/>
        </w:rPr>
      </w:pPr>
    </w:p>
    <w:p w14:paraId="61A26929" w14:textId="77777777" w:rsidR="000521F1" w:rsidRPr="002A30B3" w:rsidRDefault="000521F1" w:rsidP="008C5F98">
      <w:pPr>
        <w:numPr>
          <w:ilvl w:val="1"/>
          <w:numId w:val="5"/>
        </w:numPr>
        <w:rPr>
          <w:b/>
          <w:bCs/>
        </w:rPr>
      </w:pPr>
      <w:r w:rsidRPr="002A30B3">
        <w:rPr>
          <w:bCs/>
        </w:rPr>
        <w:t>Add new item:</w:t>
      </w:r>
    </w:p>
    <w:p w14:paraId="289E99B0" w14:textId="77777777" w:rsidR="000521F1" w:rsidRPr="002A30B3" w:rsidRDefault="000521F1" w:rsidP="000521F1">
      <w:pPr>
        <w:rPr>
          <w:b/>
          <w:bCs/>
          <w:highlight w:val="yellow"/>
        </w:rPr>
      </w:pPr>
    </w:p>
    <w:tbl>
      <w:tblPr>
        <w:tblW w:w="0" w:type="auto"/>
        <w:tblInd w:w="817" w:type="dxa"/>
        <w:tblLayout w:type="fixed"/>
        <w:tblLook w:val="0000" w:firstRow="0" w:lastRow="0" w:firstColumn="0" w:lastColumn="0" w:noHBand="0" w:noVBand="0"/>
      </w:tblPr>
      <w:tblGrid>
        <w:gridCol w:w="2126"/>
        <w:gridCol w:w="780"/>
        <w:gridCol w:w="1063"/>
        <w:gridCol w:w="1276"/>
        <w:gridCol w:w="1417"/>
        <w:gridCol w:w="1692"/>
        <w:gridCol w:w="9"/>
      </w:tblGrid>
      <w:tr w:rsidR="00807B96" w:rsidRPr="002A30B3" w14:paraId="47D40BAF" w14:textId="77777777" w:rsidTr="00B41723">
        <w:trPr>
          <w:cantSplit/>
          <w:trHeight w:val="471"/>
        </w:trPr>
        <w:tc>
          <w:tcPr>
            <w:tcW w:w="2906" w:type="dxa"/>
            <w:gridSpan w:val="2"/>
            <w:tcBorders>
              <w:bottom w:val="single" w:sz="4" w:space="0" w:color="auto"/>
            </w:tcBorders>
          </w:tcPr>
          <w:p w14:paraId="0BAC6F78" w14:textId="77777777" w:rsidR="00807B96" w:rsidRPr="002A30B3" w:rsidRDefault="00807B96" w:rsidP="0008690D">
            <w:pPr>
              <w:keepNext/>
              <w:ind w:left="-108"/>
              <w:jc w:val="left"/>
              <w:rPr>
                <w:rFonts w:ascii="Arial Narrow" w:hAnsi="Arial Narrow"/>
                <w:b/>
                <w:sz w:val="20"/>
              </w:rPr>
            </w:pPr>
            <w:r w:rsidRPr="002A30B3">
              <w:rPr>
                <w:rFonts w:ascii="Arial Narrow" w:hAnsi="Arial Narrow"/>
                <w:b/>
                <w:sz w:val="20"/>
              </w:rPr>
              <w:t>Name, Restriction,</w:t>
            </w:r>
          </w:p>
          <w:p w14:paraId="713D08E3" w14:textId="77777777" w:rsidR="00807B96" w:rsidRPr="002A30B3" w:rsidRDefault="00807B96" w:rsidP="0008690D">
            <w:pPr>
              <w:keepNext/>
              <w:ind w:left="-108"/>
              <w:jc w:val="left"/>
              <w:rPr>
                <w:rFonts w:ascii="Arial Narrow" w:hAnsi="Arial Narrow"/>
                <w:b/>
                <w:sz w:val="20"/>
              </w:rPr>
            </w:pPr>
            <w:r w:rsidRPr="002A30B3">
              <w:rPr>
                <w:rFonts w:ascii="Arial Narrow" w:hAnsi="Arial Narrow"/>
                <w:b/>
                <w:sz w:val="20"/>
              </w:rPr>
              <w:t>Manner of administration and form</w:t>
            </w:r>
          </w:p>
        </w:tc>
        <w:tc>
          <w:tcPr>
            <w:tcW w:w="1063" w:type="dxa"/>
            <w:tcBorders>
              <w:bottom w:val="single" w:sz="4" w:space="0" w:color="auto"/>
            </w:tcBorders>
          </w:tcPr>
          <w:p w14:paraId="4D8AD271" w14:textId="77777777" w:rsidR="00807B96" w:rsidRPr="002A30B3" w:rsidRDefault="00807B96" w:rsidP="0008690D">
            <w:pPr>
              <w:keepNext/>
              <w:ind w:left="-108"/>
              <w:jc w:val="center"/>
              <w:rPr>
                <w:rFonts w:ascii="Arial Narrow" w:hAnsi="Arial Narrow"/>
                <w:b/>
                <w:sz w:val="20"/>
              </w:rPr>
            </w:pPr>
            <w:r w:rsidRPr="002A30B3">
              <w:rPr>
                <w:rFonts w:ascii="Arial Narrow" w:hAnsi="Arial Narrow"/>
                <w:b/>
                <w:sz w:val="20"/>
              </w:rPr>
              <w:t>Max.</w:t>
            </w:r>
          </w:p>
          <w:p w14:paraId="61B81B21" w14:textId="77777777" w:rsidR="00807B96" w:rsidRPr="002A30B3" w:rsidRDefault="00807B96" w:rsidP="0008690D">
            <w:pPr>
              <w:keepNext/>
              <w:ind w:left="-108"/>
              <w:jc w:val="center"/>
              <w:rPr>
                <w:rFonts w:ascii="Arial Narrow" w:hAnsi="Arial Narrow"/>
                <w:b/>
                <w:sz w:val="20"/>
              </w:rPr>
            </w:pPr>
            <w:r w:rsidRPr="002A30B3">
              <w:rPr>
                <w:rFonts w:ascii="Arial Narrow" w:hAnsi="Arial Narrow"/>
                <w:b/>
                <w:sz w:val="20"/>
              </w:rPr>
              <w:t>Qty</w:t>
            </w:r>
          </w:p>
        </w:tc>
        <w:tc>
          <w:tcPr>
            <w:tcW w:w="1276" w:type="dxa"/>
            <w:tcBorders>
              <w:bottom w:val="single" w:sz="4" w:space="0" w:color="auto"/>
            </w:tcBorders>
          </w:tcPr>
          <w:p w14:paraId="6EF5B846" w14:textId="77777777" w:rsidR="00807B96" w:rsidRPr="002A30B3" w:rsidRDefault="00807B96" w:rsidP="0008690D">
            <w:pPr>
              <w:keepNext/>
              <w:ind w:left="-108"/>
              <w:jc w:val="center"/>
              <w:rPr>
                <w:rFonts w:ascii="Arial Narrow" w:hAnsi="Arial Narrow"/>
                <w:b/>
                <w:sz w:val="20"/>
              </w:rPr>
            </w:pPr>
            <w:r w:rsidRPr="002A30B3">
              <w:rPr>
                <w:rFonts w:ascii="Arial Narrow" w:hAnsi="Arial Narrow"/>
                <w:b/>
                <w:sz w:val="20"/>
              </w:rPr>
              <w:t>№.of</w:t>
            </w:r>
          </w:p>
          <w:p w14:paraId="63AB35DC" w14:textId="77777777" w:rsidR="00807B96" w:rsidRPr="002A30B3" w:rsidRDefault="00807B96" w:rsidP="0008690D">
            <w:pPr>
              <w:keepNext/>
              <w:ind w:left="-108"/>
              <w:jc w:val="center"/>
              <w:rPr>
                <w:rFonts w:ascii="Arial Narrow" w:hAnsi="Arial Narrow"/>
                <w:b/>
                <w:sz w:val="20"/>
              </w:rPr>
            </w:pPr>
            <w:r w:rsidRPr="002A30B3">
              <w:rPr>
                <w:rFonts w:ascii="Arial Narrow" w:hAnsi="Arial Narrow"/>
                <w:b/>
                <w:sz w:val="20"/>
              </w:rPr>
              <w:t>Rpts</w:t>
            </w:r>
          </w:p>
        </w:tc>
        <w:tc>
          <w:tcPr>
            <w:tcW w:w="3118" w:type="dxa"/>
            <w:gridSpan w:val="3"/>
            <w:tcBorders>
              <w:bottom w:val="single" w:sz="4" w:space="0" w:color="auto"/>
            </w:tcBorders>
          </w:tcPr>
          <w:p w14:paraId="7ED4E14C" w14:textId="77777777" w:rsidR="00807B96" w:rsidRPr="002A30B3" w:rsidRDefault="00807B96" w:rsidP="0008690D">
            <w:pPr>
              <w:keepNext/>
              <w:jc w:val="center"/>
              <w:rPr>
                <w:rFonts w:ascii="Arial Narrow" w:hAnsi="Arial Narrow"/>
                <w:b/>
                <w:sz w:val="20"/>
              </w:rPr>
            </w:pPr>
            <w:r w:rsidRPr="002A30B3">
              <w:rPr>
                <w:rFonts w:ascii="Arial Narrow" w:hAnsi="Arial Narrow"/>
                <w:b/>
                <w:sz w:val="20"/>
              </w:rPr>
              <w:t>Proprietary Name and Manufacturer</w:t>
            </w:r>
          </w:p>
        </w:tc>
      </w:tr>
      <w:tr w:rsidR="00807B96" w:rsidRPr="002A30B3" w14:paraId="232D712D" w14:textId="77777777" w:rsidTr="00B41723">
        <w:trPr>
          <w:cantSplit/>
          <w:trHeight w:val="577"/>
        </w:trPr>
        <w:tc>
          <w:tcPr>
            <w:tcW w:w="2906" w:type="dxa"/>
            <w:gridSpan w:val="2"/>
          </w:tcPr>
          <w:p w14:paraId="2CD101C8" w14:textId="77777777" w:rsidR="00807B96" w:rsidRPr="002A30B3" w:rsidRDefault="00807B96" w:rsidP="0008690D">
            <w:pPr>
              <w:keepNext/>
              <w:ind w:left="-108"/>
              <w:rPr>
                <w:rFonts w:ascii="Arial Narrow" w:hAnsi="Arial Narrow"/>
                <w:smallCaps/>
                <w:sz w:val="20"/>
              </w:rPr>
            </w:pPr>
            <w:r w:rsidRPr="002A30B3">
              <w:rPr>
                <w:rFonts w:ascii="Arial Narrow" w:hAnsi="Arial Narrow"/>
                <w:smallCaps/>
                <w:sz w:val="20"/>
              </w:rPr>
              <w:t>MESALAZINE</w:t>
            </w:r>
          </w:p>
          <w:p w14:paraId="693E1AE3" w14:textId="77777777" w:rsidR="00807B96" w:rsidRPr="002A30B3" w:rsidRDefault="00807B96" w:rsidP="0008690D">
            <w:pPr>
              <w:keepNext/>
              <w:ind w:left="-108"/>
              <w:rPr>
                <w:rFonts w:ascii="Arial Narrow" w:hAnsi="Arial Narrow" w:cs="Calibri"/>
                <w:sz w:val="20"/>
              </w:rPr>
            </w:pPr>
            <w:r w:rsidRPr="002A30B3">
              <w:rPr>
                <w:rFonts w:ascii="Arial Narrow" w:hAnsi="Arial Narrow" w:cs="Calibri"/>
                <w:sz w:val="20"/>
              </w:rPr>
              <w:t>mesalazine 800 mg enteric tablet, 90</w:t>
            </w:r>
          </w:p>
        </w:tc>
        <w:tc>
          <w:tcPr>
            <w:tcW w:w="1063" w:type="dxa"/>
          </w:tcPr>
          <w:p w14:paraId="0E9A7060" w14:textId="77777777" w:rsidR="00807B96" w:rsidRPr="002A30B3" w:rsidRDefault="00807B96" w:rsidP="0008690D">
            <w:pPr>
              <w:keepNext/>
              <w:ind w:left="-108"/>
              <w:jc w:val="center"/>
              <w:rPr>
                <w:rFonts w:ascii="Arial Narrow" w:hAnsi="Arial Narrow"/>
                <w:sz w:val="20"/>
              </w:rPr>
            </w:pPr>
            <w:r w:rsidRPr="002A30B3">
              <w:rPr>
                <w:rFonts w:ascii="Arial Narrow" w:hAnsi="Arial Narrow"/>
                <w:sz w:val="20"/>
              </w:rPr>
              <w:t>2</w:t>
            </w:r>
          </w:p>
        </w:tc>
        <w:tc>
          <w:tcPr>
            <w:tcW w:w="1276" w:type="dxa"/>
          </w:tcPr>
          <w:p w14:paraId="55D5DAA8" w14:textId="77777777" w:rsidR="00807B96" w:rsidRPr="002A30B3" w:rsidRDefault="00807B96" w:rsidP="0008690D">
            <w:pPr>
              <w:keepNext/>
              <w:ind w:left="-108"/>
              <w:jc w:val="center"/>
              <w:rPr>
                <w:rFonts w:ascii="Arial Narrow" w:hAnsi="Arial Narrow"/>
                <w:sz w:val="20"/>
              </w:rPr>
            </w:pPr>
            <w:r w:rsidRPr="002A30B3">
              <w:rPr>
                <w:rFonts w:ascii="Arial Narrow" w:hAnsi="Arial Narrow"/>
                <w:sz w:val="20"/>
              </w:rPr>
              <w:t>5</w:t>
            </w:r>
          </w:p>
        </w:tc>
        <w:tc>
          <w:tcPr>
            <w:tcW w:w="1417" w:type="dxa"/>
          </w:tcPr>
          <w:p w14:paraId="09CDD3E9" w14:textId="77777777" w:rsidR="00807B96" w:rsidRPr="002A30B3" w:rsidRDefault="00807B96" w:rsidP="00B41723">
            <w:pPr>
              <w:keepNext/>
              <w:jc w:val="center"/>
              <w:rPr>
                <w:rFonts w:ascii="Arial Narrow" w:hAnsi="Arial Narrow"/>
                <w:sz w:val="20"/>
              </w:rPr>
            </w:pPr>
            <w:r w:rsidRPr="002A30B3">
              <w:rPr>
                <w:rFonts w:ascii="Arial Narrow" w:hAnsi="Arial Narrow"/>
                <w:sz w:val="20"/>
              </w:rPr>
              <w:t>Asacol®</w:t>
            </w:r>
          </w:p>
        </w:tc>
        <w:tc>
          <w:tcPr>
            <w:tcW w:w="1701" w:type="dxa"/>
            <w:gridSpan w:val="2"/>
          </w:tcPr>
          <w:p w14:paraId="3847524F" w14:textId="77777777" w:rsidR="00807B96" w:rsidRPr="002A30B3" w:rsidRDefault="00807B96" w:rsidP="0008690D">
            <w:pPr>
              <w:keepNext/>
              <w:jc w:val="center"/>
              <w:rPr>
                <w:rFonts w:ascii="Arial Narrow" w:hAnsi="Arial Narrow"/>
                <w:sz w:val="20"/>
              </w:rPr>
            </w:pPr>
            <w:r w:rsidRPr="002A30B3">
              <w:rPr>
                <w:rFonts w:ascii="Arial Narrow" w:hAnsi="Arial Narrow"/>
                <w:sz w:val="20"/>
              </w:rPr>
              <w:t>Baxter Australia</w:t>
            </w:r>
          </w:p>
        </w:tc>
      </w:tr>
      <w:tr w:rsidR="00DE4419" w:rsidRPr="002A30B3" w14:paraId="7DD74135" w14:textId="77777777" w:rsidTr="00FB7769">
        <w:trPr>
          <w:gridAfter w:val="1"/>
          <w:wAfter w:w="9" w:type="dxa"/>
          <w:cantSplit/>
          <w:trHeight w:val="299"/>
        </w:trPr>
        <w:tc>
          <w:tcPr>
            <w:tcW w:w="8354" w:type="dxa"/>
            <w:gridSpan w:val="6"/>
          </w:tcPr>
          <w:p w14:paraId="17644C7E" w14:textId="77777777" w:rsidR="00DE4419" w:rsidRPr="002A30B3" w:rsidRDefault="00DE4419" w:rsidP="0008690D">
            <w:pPr>
              <w:keepNext/>
              <w:jc w:val="center"/>
              <w:rPr>
                <w:rFonts w:ascii="Arial Narrow" w:hAnsi="Arial Narrow"/>
                <w:sz w:val="20"/>
              </w:rPr>
            </w:pPr>
          </w:p>
        </w:tc>
      </w:tr>
      <w:tr w:rsidR="00807B96" w:rsidRPr="002A30B3" w14:paraId="2BEDDF70"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45ED7A60" w14:textId="77777777" w:rsidR="00807B96" w:rsidRPr="002A30B3" w:rsidRDefault="00807B96" w:rsidP="0008690D">
            <w:pPr>
              <w:jc w:val="left"/>
              <w:rPr>
                <w:rFonts w:ascii="Arial Narrow" w:hAnsi="Arial Narrow"/>
                <w:b/>
                <w:sz w:val="20"/>
              </w:rPr>
            </w:pPr>
            <w:r w:rsidRPr="002A30B3">
              <w:rPr>
                <w:rFonts w:ascii="Arial Narrow" w:hAnsi="Arial Narrow"/>
                <w:b/>
                <w:sz w:val="20"/>
              </w:rPr>
              <w:t>Category /  Program</w:t>
            </w:r>
          </w:p>
        </w:tc>
        <w:tc>
          <w:tcPr>
            <w:tcW w:w="6228" w:type="dxa"/>
            <w:gridSpan w:val="5"/>
            <w:tcBorders>
              <w:top w:val="single" w:sz="4" w:space="0" w:color="auto"/>
              <w:left w:val="single" w:sz="4" w:space="0" w:color="auto"/>
              <w:bottom w:val="single" w:sz="4" w:space="0" w:color="auto"/>
              <w:right w:val="single" w:sz="4" w:space="0" w:color="auto"/>
            </w:tcBorders>
          </w:tcPr>
          <w:p w14:paraId="427C92E9" w14:textId="77777777" w:rsidR="00807B96" w:rsidRPr="002A30B3" w:rsidRDefault="00807B96" w:rsidP="0008690D">
            <w:pPr>
              <w:rPr>
                <w:rFonts w:ascii="Arial Narrow" w:hAnsi="Arial Narrow"/>
                <w:sz w:val="20"/>
              </w:rPr>
            </w:pPr>
            <w:r w:rsidRPr="002A30B3">
              <w:rPr>
                <w:rFonts w:ascii="Arial Narrow" w:hAnsi="Arial Narrow"/>
                <w:sz w:val="20"/>
              </w:rPr>
              <w:t>GENERAL – General Schedule (Code GE)</w:t>
            </w:r>
          </w:p>
          <w:p w14:paraId="401CCCE9" w14:textId="77777777" w:rsidR="00807B96" w:rsidRPr="002A30B3" w:rsidRDefault="00807B96" w:rsidP="0008690D">
            <w:pPr>
              <w:rPr>
                <w:rFonts w:ascii="Arial Narrow" w:hAnsi="Arial Narrow"/>
                <w:sz w:val="20"/>
              </w:rPr>
            </w:pPr>
          </w:p>
        </w:tc>
      </w:tr>
      <w:tr w:rsidR="00807B96" w:rsidRPr="002A30B3" w14:paraId="438EB0C4"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5FA18887" w14:textId="77777777" w:rsidR="00807B96" w:rsidRPr="002A30B3" w:rsidRDefault="00807B96" w:rsidP="0008690D">
            <w:pPr>
              <w:rPr>
                <w:rFonts w:ascii="Arial Narrow" w:hAnsi="Arial Narrow"/>
                <w:b/>
                <w:sz w:val="20"/>
              </w:rPr>
            </w:pPr>
            <w:r w:rsidRPr="002A30B3">
              <w:rPr>
                <w:rFonts w:ascii="Arial Narrow" w:hAnsi="Arial Narrow"/>
                <w:b/>
                <w:sz w:val="20"/>
              </w:rPr>
              <w:t>Prescriber type:</w:t>
            </w:r>
          </w:p>
        </w:tc>
        <w:tc>
          <w:tcPr>
            <w:tcW w:w="6228" w:type="dxa"/>
            <w:gridSpan w:val="5"/>
            <w:tcBorders>
              <w:top w:val="single" w:sz="4" w:space="0" w:color="auto"/>
              <w:left w:val="single" w:sz="4" w:space="0" w:color="auto"/>
              <w:bottom w:val="single" w:sz="4" w:space="0" w:color="auto"/>
              <w:right w:val="single" w:sz="4" w:space="0" w:color="auto"/>
            </w:tcBorders>
          </w:tcPr>
          <w:p w14:paraId="52FF8FC3" w14:textId="77777777" w:rsidR="00807B96" w:rsidRPr="002A30B3" w:rsidRDefault="00807B96" w:rsidP="0008690D">
            <w:pPr>
              <w:jc w:val="left"/>
              <w:rPr>
                <w:rFonts w:ascii="Arial Narrow" w:hAnsi="Arial Narrow"/>
                <w:sz w:val="20"/>
              </w:rPr>
            </w:pPr>
            <w:r w:rsidRPr="002A30B3">
              <w:rPr>
                <w:rFonts w:ascii="Arial Narrow" w:hAnsi="Arial Narrow"/>
                <w:sz w:val="20"/>
              </w:rPr>
              <w:fldChar w:fldCharType="begin">
                <w:ffData>
                  <w:name w:val="Check1"/>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 xml:space="preserve">Dental  </w:t>
            </w:r>
            <w:r w:rsidRPr="002A30B3">
              <w:rPr>
                <w:rFonts w:ascii="Arial Narrow" w:hAnsi="Arial Narrow"/>
                <w:sz w:val="20"/>
              </w:rPr>
              <w:fldChar w:fldCharType="begin">
                <w:ffData>
                  <w:name w:val=""/>
                  <w:enabled/>
                  <w:calcOnExit w:val="0"/>
                  <w:checkBox>
                    <w:sizeAuto/>
                    <w:default w:val="1"/>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 xml:space="preserve">Medical Practitioners  </w:t>
            </w:r>
            <w:r w:rsidRPr="002A30B3">
              <w:rPr>
                <w:rFonts w:ascii="Arial Narrow" w:hAnsi="Arial Narrow"/>
                <w:sz w:val="20"/>
              </w:rPr>
              <w:fldChar w:fldCharType="begin">
                <w:ffData>
                  <w:name w:val="Check3"/>
                  <w:enabled/>
                  <w:calcOnExit w:val="0"/>
                  <w:checkBox>
                    <w:sizeAuto/>
                    <w:default w:val="1"/>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 xml:space="preserve">Nurse practitioners  </w:t>
            </w:r>
            <w:r w:rsidRPr="002A30B3">
              <w:rPr>
                <w:rFonts w:ascii="Arial Narrow" w:hAnsi="Arial Narrow"/>
                <w:sz w:val="20"/>
              </w:rPr>
              <w:fldChar w:fldCharType="begin">
                <w:ffData>
                  <w:name w:val=""/>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Optometrists</w:t>
            </w:r>
          </w:p>
          <w:p w14:paraId="313B1B2F" w14:textId="77777777" w:rsidR="00807B96" w:rsidRPr="002A30B3" w:rsidRDefault="00807B96" w:rsidP="0008690D">
            <w:pPr>
              <w:jc w:val="left"/>
              <w:rPr>
                <w:rFonts w:ascii="Arial Narrow" w:hAnsi="Arial Narrow"/>
                <w:sz w:val="20"/>
              </w:rPr>
            </w:pPr>
            <w:r w:rsidRPr="002A30B3">
              <w:rPr>
                <w:rFonts w:ascii="Arial Narrow" w:hAnsi="Arial Narrow"/>
                <w:sz w:val="20"/>
              </w:rPr>
              <w:fldChar w:fldCharType="begin">
                <w:ffData>
                  <w:name w:val="Check5"/>
                  <w:enabled/>
                  <w:calcOnExit w:val="0"/>
                  <w:checkBox>
                    <w:sizeAuto/>
                    <w:default w:val="0"/>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Midwives</w:t>
            </w:r>
          </w:p>
        </w:tc>
      </w:tr>
      <w:tr w:rsidR="00807B96" w:rsidRPr="002A30B3" w14:paraId="5BDE66A7"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54202F1C" w14:textId="77777777" w:rsidR="00807B96" w:rsidRPr="002A30B3" w:rsidRDefault="00807B96" w:rsidP="0008690D">
            <w:pPr>
              <w:rPr>
                <w:rFonts w:ascii="Arial Narrow" w:hAnsi="Arial Narrow"/>
                <w:b/>
                <w:sz w:val="20"/>
              </w:rPr>
            </w:pPr>
            <w:r w:rsidRPr="002A30B3">
              <w:rPr>
                <w:rFonts w:ascii="Arial Narrow" w:hAnsi="Arial Narrow"/>
                <w:b/>
                <w:sz w:val="20"/>
              </w:rPr>
              <w:t>PBS Indication:</w:t>
            </w:r>
          </w:p>
        </w:tc>
        <w:tc>
          <w:tcPr>
            <w:tcW w:w="6228" w:type="dxa"/>
            <w:gridSpan w:val="5"/>
            <w:tcBorders>
              <w:top w:val="single" w:sz="4" w:space="0" w:color="auto"/>
              <w:left w:val="single" w:sz="4" w:space="0" w:color="auto"/>
              <w:bottom w:val="single" w:sz="4" w:space="0" w:color="auto"/>
              <w:right w:val="single" w:sz="4" w:space="0" w:color="auto"/>
            </w:tcBorders>
          </w:tcPr>
          <w:p w14:paraId="71BC3231" w14:textId="77777777" w:rsidR="00807B96" w:rsidRPr="002A30B3" w:rsidRDefault="00807B96" w:rsidP="0008690D">
            <w:pPr>
              <w:rPr>
                <w:rFonts w:ascii="Arial Narrow" w:hAnsi="Arial Narrow"/>
                <w:sz w:val="20"/>
              </w:rPr>
            </w:pPr>
            <w:r w:rsidRPr="002A30B3">
              <w:rPr>
                <w:rFonts w:ascii="Arial Narrow" w:hAnsi="Arial Narrow"/>
                <w:sz w:val="20"/>
              </w:rPr>
              <w:t>Ulcerative colitis</w:t>
            </w:r>
          </w:p>
        </w:tc>
      </w:tr>
      <w:tr w:rsidR="00807B96" w:rsidRPr="002A30B3" w14:paraId="761B339B"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7E15013C" w14:textId="77777777" w:rsidR="00807B96" w:rsidRPr="002A30B3" w:rsidRDefault="00807B96" w:rsidP="0008690D">
            <w:pPr>
              <w:jc w:val="left"/>
              <w:rPr>
                <w:rFonts w:ascii="Arial Narrow" w:hAnsi="Arial Narrow"/>
                <w:i/>
                <w:sz w:val="20"/>
              </w:rPr>
            </w:pPr>
            <w:r w:rsidRPr="002A30B3">
              <w:rPr>
                <w:rFonts w:ascii="Arial Narrow" w:hAnsi="Arial Narrow"/>
                <w:b/>
                <w:sz w:val="20"/>
              </w:rPr>
              <w:t>Restriction Level / Method:</w:t>
            </w:r>
          </w:p>
        </w:tc>
        <w:tc>
          <w:tcPr>
            <w:tcW w:w="6228" w:type="dxa"/>
            <w:gridSpan w:val="5"/>
            <w:tcBorders>
              <w:top w:val="single" w:sz="4" w:space="0" w:color="auto"/>
              <w:left w:val="single" w:sz="4" w:space="0" w:color="auto"/>
              <w:bottom w:val="single" w:sz="4" w:space="0" w:color="auto"/>
              <w:right w:val="single" w:sz="4" w:space="0" w:color="auto"/>
            </w:tcBorders>
          </w:tcPr>
          <w:p w14:paraId="06DD6292" w14:textId="77777777" w:rsidR="00807B96" w:rsidRPr="002A30B3" w:rsidRDefault="00807B96" w:rsidP="0008690D">
            <w:pPr>
              <w:rPr>
                <w:rFonts w:ascii="Arial Narrow" w:hAnsi="Arial Narrow"/>
                <w:sz w:val="20"/>
              </w:rPr>
            </w:pPr>
            <w:r w:rsidRPr="002A30B3">
              <w:rPr>
                <w:rFonts w:ascii="Arial Narrow" w:hAnsi="Arial Narrow"/>
                <w:sz w:val="20"/>
              </w:rPr>
              <w:fldChar w:fldCharType="begin">
                <w:ffData>
                  <w:name w:val="Check5"/>
                  <w:enabled/>
                  <w:calcOnExit w:val="0"/>
                  <w:checkBox>
                    <w:sizeAuto/>
                    <w:default w:val="1"/>
                  </w:checkBox>
                </w:ffData>
              </w:fldChar>
            </w:r>
            <w:r w:rsidRPr="002A30B3">
              <w:rPr>
                <w:rFonts w:ascii="Arial Narrow" w:hAnsi="Arial Narrow"/>
                <w:sz w:val="20"/>
              </w:rPr>
              <w:instrText xml:space="preserve"> FORMCHECKBOX </w:instrText>
            </w:r>
            <w:r w:rsidR="00FB7769">
              <w:rPr>
                <w:rFonts w:ascii="Arial Narrow" w:hAnsi="Arial Narrow"/>
                <w:sz w:val="20"/>
              </w:rPr>
            </w:r>
            <w:r w:rsidR="00FB7769">
              <w:rPr>
                <w:rFonts w:ascii="Arial Narrow" w:hAnsi="Arial Narrow"/>
                <w:sz w:val="20"/>
              </w:rPr>
              <w:fldChar w:fldCharType="separate"/>
            </w:r>
            <w:r w:rsidRPr="002A30B3">
              <w:rPr>
                <w:rFonts w:ascii="Arial Narrow" w:hAnsi="Arial Narrow"/>
                <w:sz w:val="20"/>
              </w:rPr>
              <w:fldChar w:fldCharType="end"/>
            </w:r>
            <w:r w:rsidRPr="002A30B3">
              <w:rPr>
                <w:rFonts w:ascii="Arial Narrow" w:hAnsi="Arial Narrow"/>
                <w:sz w:val="20"/>
              </w:rPr>
              <w:t>Streamlined</w:t>
            </w:r>
          </w:p>
        </w:tc>
      </w:tr>
      <w:tr w:rsidR="00807B96" w:rsidRPr="002A30B3" w14:paraId="0790BAD9"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0C97C6D6" w14:textId="77777777" w:rsidR="00807B96" w:rsidRPr="002A30B3" w:rsidRDefault="00807B96" w:rsidP="0008690D">
            <w:pPr>
              <w:rPr>
                <w:rFonts w:ascii="Arial Narrow" w:hAnsi="Arial Narrow"/>
                <w:b/>
                <w:sz w:val="20"/>
              </w:rPr>
            </w:pPr>
            <w:r w:rsidRPr="002A30B3">
              <w:rPr>
                <w:rFonts w:ascii="Arial Narrow" w:hAnsi="Arial Narrow"/>
                <w:b/>
                <w:sz w:val="20"/>
              </w:rPr>
              <w:t>Clinical criteria:</w:t>
            </w:r>
          </w:p>
        </w:tc>
        <w:tc>
          <w:tcPr>
            <w:tcW w:w="6228" w:type="dxa"/>
            <w:gridSpan w:val="5"/>
            <w:tcBorders>
              <w:top w:val="single" w:sz="4" w:space="0" w:color="auto"/>
              <w:left w:val="single" w:sz="4" w:space="0" w:color="auto"/>
              <w:bottom w:val="single" w:sz="4" w:space="0" w:color="auto"/>
              <w:right w:val="single" w:sz="4" w:space="0" w:color="auto"/>
            </w:tcBorders>
          </w:tcPr>
          <w:p w14:paraId="35B3A715" w14:textId="77777777" w:rsidR="00807B96" w:rsidRPr="002A30B3" w:rsidRDefault="00807B96" w:rsidP="0008690D">
            <w:pPr>
              <w:rPr>
                <w:rFonts w:ascii="Arial Narrow" w:hAnsi="Arial Narrow"/>
                <w:sz w:val="20"/>
              </w:rPr>
            </w:pPr>
            <w:r w:rsidRPr="002A30B3">
              <w:rPr>
                <w:rFonts w:ascii="Arial Narrow" w:hAnsi="Arial Narrow"/>
                <w:sz w:val="20"/>
              </w:rPr>
              <w:t xml:space="preserve">Patient must have had a documented hypersensitivity reaction to a sulphonamide, </w:t>
            </w:r>
          </w:p>
          <w:p w14:paraId="481D91F7" w14:textId="77777777" w:rsidR="00807B96" w:rsidRPr="002A30B3" w:rsidRDefault="00807B96" w:rsidP="0008690D">
            <w:pPr>
              <w:rPr>
                <w:rFonts w:ascii="Arial Narrow" w:hAnsi="Arial Narrow"/>
                <w:sz w:val="20"/>
              </w:rPr>
            </w:pPr>
            <w:r w:rsidRPr="002A30B3">
              <w:rPr>
                <w:rFonts w:ascii="Arial Narrow" w:hAnsi="Arial Narrow"/>
                <w:sz w:val="20"/>
              </w:rPr>
              <w:t>OR</w:t>
            </w:r>
          </w:p>
          <w:p w14:paraId="3175998E" w14:textId="77777777" w:rsidR="00807B96" w:rsidRPr="002A30B3" w:rsidRDefault="00807B96" w:rsidP="0008690D">
            <w:pPr>
              <w:rPr>
                <w:rFonts w:ascii="Arial Narrow" w:hAnsi="Arial Narrow"/>
                <w:sz w:val="20"/>
              </w:rPr>
            </w:pPr>
            <w:r w:rsidRPr="002A30B3">
              <w:rPr>
                <w:rFonts w:ascii="Arial Narrow" w:hAnsi="Arial Narrow"/>
                <w:sz w:val="20"/>
              </w:rPr>
              <w:t>Patient must be intolerant to sulfasalazine.</w:t>
            </w:r>
          </w:p>
        </w:tc>
      </w:tr>
      <w:tr w:rsidR="00807B96" w:rsidRPr="002A30B3" w14:paraId="7EF44F64" w14:textId="77777777" w:rsidTr="0008690D">
        <w:trPr>
          <w:gridAfter w:val="1"/>
          <w:wAfter w:w="9" w:type="dxa"/>
          <w:cantSplit/>
          <w:trHeight w:val="360"/>
        </w:trPr>
        <w:tc>
          <w:tcPr>
            <w:tcW w:w="2126" w:type="dxa"/>
            <w:tcBorders>
              <w:top w:val="single" w:sz="4" w:space="0" w:color="auto"/>
              <w:left w:val="single" w:sz="4" w:space="0" w:color="auto"/>
              <w:bottom w:val="single" w:sz="4" w:space="0" w:color="auto"/>
              <w:right w:val="single" w:sz="4" w:space="0" w:color="auto"/>
            </w:tcBorders>
          </w:tcPr>
          <w:p w14:paraId="565CDDA3" w14:textId="77777777" w:rsidR="00807B96" w:rsidRPr="002A30B3" w:rsidRDefault="00807B96" w:rsidP="0008690D">
            <w:pPr>
              <w:rPr>
                <w:rFonts w:ascii="Arial Narrow" w:hAnsi="Arial Narrow"/>
                <w:b/>
                <w:sz w:val="20"/>
              </w:rPr>
            </w:pPr>
            <w:r w:rsidRPr="002A30B3">
              <w:rPr>
                <w:rFonts w:ascii="Arial Narrow" w:hAnsi="Arial Narrow"/>
                <w:b/>
                <w:sz w:val="20"/>
              </w:rPr>
              <w:t>Administrative Advice</w:t>
            </w:r>
          </w:p>
        </w:tc>
        <w:tc>
          <w:tcPr>
            <w:tcW w:w="6228" w:type="dxa"/>
            <w:gridSpan w:val="5"/>
            <w:tcBorders>
              <w:top w:val="single" w:sz="4" w:space="0" w:color="auto"/>
              <w:left w:val="single" w:sz="4" w:space="0" w:color="auto"/>
              <w:bottom w:val="single" w:sz="4" w:space="0" w:color="auto"/>
              <w:right w:val="single" w:sz="4" w:space="0" w:color="auto"/>
            </w:tcBorders>
          </w:tcPr>
          <w:p w14:paraId="43AFA901" w14:textId="77777777" w:rsidR="00807B96" w:rsidRPr="002A30B3" w:rsidRDefault="00807B96" w:rsidP="0008690D">
            <w:pPr>
              <w:rPr>
                <w:rFonts w:ascii="Arial Narrow" w:hAnsi="Arial Narrow"/>
                <w:sz w:val="20"/>
              </w:rPr>
            </w:pPr>
            <w:r w:rsidRPr="002A30B3">
              <w:rPr>
                <w:rFonts w:ascii="Arial Narrow" w:hAnsi="Arial Narrow"/>
                <w:b/>
                <w:sz w:val="20"/>
              </w:rPr>
              <w:t xml:space="preserve">Note </w:t>
            </w:r>
            <w:r w:rsidRPr="002A30B3">
              <w:rPr>
                <w:rFonts w:ascii="Arial Narrow" w:hAnsi="Arial Narrow"/>
                <w:sz w:val="20"/>
              </w:rPr>
              <w:t>Not for the treatment of Crohn disease</w:t>
            </w:r>
          </w:p>
          <w:p w14:paraId="44F36FB1" w14:textId="77777777" w:rsidR="00807B96" w:rsidRPr="002A30B3" w:rsidRDefault="00807B96" w:rsidP="0008690D">
            <w:pPr>
              <w:rPr>
                <w:rFonts w:ascii="Arial Narrow" w:hAnsi="Arial Narrow"/>
                <w:sz w:val="20"/>
              </w:rPr>
            </w:pPr>
            <w:r w:rsidRPr="002A30B3">
              <w:rPr>
                <w:rFonts w:ascii="Arial Narrow" w:hAnsi="Arial Narrow"/>
                <w:b/>
                <w:sz w:val="20"/>
              </w:rPr>
              <w:t>Note</w:t>
            </w:r>
            <w:r w:rsidRPr="002A30B3">
              <w:rPr>
                <w:rFonts w:ascii="Arial Narrow" w:hAnsi="Arial Narrow"/>
                <w:sz w:val="20"/>
              </w:rPr>
              <w:t xml:space="preserve"> Continuing Therapy Only:</w:t>
            </w:r>
          </w:p>
          <w:p w14:paraId="4A10BB75" w14:textId="77777777" w:rsidR="00807B96" w:rsidRPr="002A30B3" w:rsidRDefault="00807B96" w:rsidP="0008690D">
            <w:pPr>
              <w:rPr>
                <w:rFonts w:ascii="Arial Narrow" w:hAnsi="Arial Narrow"/>
                <w:sz w:val="20"/>
              </w:rPr>
            </w:pPr>
            <w:r w:rsidRPr="002A30B3">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6B89DD4D" w14:textId="77777777" w:rsidR="000521F1" w:rsidRDefault="000521F1" w:rsidP="00713137"/>
    <w:p w14:paraId="2E98EA7E" w14:textId="77777777" w:rsidR="00502C1D" w:rsidRPr="001A0C3A" w:rsidRDefault="00502C1D" w:rsidP="001A0C3A">
      <w:pPr>
        <w:pStyle w:val="Heading2"/>
        <w:widowControl/>
        <w:numPr>
          <w:ilvl w:val="0"/>
          <w:numId w:val="5"/>
        </w:numPr>
        <w:snapToGrid w:val="0"/>
        <w:jc w:val="left"/>
        <w:rPr>
          <w:snapToGrid/>
          <w:szCs w:val="22"/>
        </w:rPr>
      </w:pPr>
      <w:r w:rsidRPr="001A0C3A">
        <w:rPr>
          <w:snapToGrid/>
          <w:szCs w:val="22"/>
        </w:rPr>
        <w:t>Context for Decision</w:t>
      </w:r>
    </w:p>
    <w:p w14:paraId="3B68B585" w14:textId="77777777" w:rsidR="00502C1D" w:rsidRDefault="00502C1D" w:rsidP="00502C1D">
      <w:pPr>
        <w:ind w:left="709"/>
      </w:pPr>
    </w:p>
    <w:p w14:paraId="3B088FAD" w14:textId="77777777" w:rsidR="00502C1D" w:rsidRDefault="00502C1D" w:rsidP="00502C1D">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527CA9F3" w14:textId="77777777" w:rsidR="00502C1D" w:rsidRDefault="00502C1D" w:rsidP="00502C1D">
      <w:pPr>
        <w:ind w:left="709"/>
      </w:pPr>
    </w:p>
    <w:p w14:paraId="1390C1C5" w14:textId="77777777" w:rsidR="00502C1D" w:rsidRDefault="00502C1D" w:rsidP="00502C1D">
      <w:pPr>
        <w:ind w:left="709"/>
      </w:pPr>
    </w:p>
    <w:p w14:paraId="33666B06" w14:textId="77777777" w:rsidR="00502C1D" w:rsidRPr="001A0C3A" w:rsidRDefault="00502C1D" w:rsidP="001A0C3A">
      <w:pPr>
        <w:pStyle w:val="Heading2"/>
        <w:widowControl/>
        <w:numPr>
          <w:ilvl w:val="0"/>
          <w:numId w:val="5"/>
        </w:numPr>
        <w:snapToGrid w:val="0"/>
        <w:jc w:val="left"/>
        <w:rPr>
          <w:snapToGrid/>
          <w:szCs w:val="22"/>
        </w:rPr>
      </w:pPr>
      <w:r w:rsidRPr="001A0C3A">
        <w:rPr>
          <w:snapToGrid/>
          <w:szCs w:val="22"/>
        </w:rPr>
        <w:t>Sponsor’s Comment</w:t>
      </w:r>
    </w:p>
    <w:p w14:paraId="1A03FC0D" w14:textId="77777777" w:rsidR="00342B4A" w:rsidRDefault="00342B4A" w:rsidP="00502C1D">
      <w:pPr>
        <w:spacing w:after="120"/>
        <w:ind w:left="426" w:firstLine="283"/>
        <w:rPr>
          <w:bCs/>
        </w:rPr>
      </w:pPr>
    </w:p>
    <w:p w14:paraId="54EE3AAA" w14:textId="77777777" w:rsidR="00502C1D" w:rsidRDefault="00502C1D" w:rsidP="00502C1D">
      <w:pPr>
        <w:spacing w:after="120"/>
        <w:ind w:left="426" w:firstLine="283"/>
        <w:rPr>
          <w:bCs/>
        </w:rPr>
      </w:pPr>
      <w:r w:rsidRPr="003035CC">
        <w:rPr>
          <w:bCs/>
        </w:rPr>
        <w:t>The sponsor had no comment.</w:t>
      </w:r>
    </w:p>
    <w:p w14:paraId="0A5D0BC3" w14:textId="77777777" w:rsidR="00502C1D" w:rsidRPr="002A30B3" w:rsidRDefault="00502C1D" w:rsidP="00713137"/>
    <w:sectPr w:rsidR="00502C1D" w:rsidRPr="002A30B3" w:rsidSect="00D72065">
      <w:headerReference w:type="default" r:id="rId9"/>
      <w:footerReference w:type="default" r:id="rId10"/>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09B19" w15:done="1"/>
  <w15:commentEx w15:paraId="49B0FF19" w15:done="0"/>
  <w15:commentEx w15:paraId="0C79FB3E" w15:paraIdParent="49B0FF19" w15:done="0"/>
  <w15:commentEx w15:paraId="197CCCE6" w15:done="0"/>
  <w15:commentEx w15:paraId="4909D1EA" w15:paraIdParent="197CCCE6" w15:done="0"/>
  <w15:commentEx w15:paraId="5C966BBC" w15:done="0"/>
  <w15:commentEx w15:paraId="2E8DB9E9" w15:paraIdParent="5C966BBC" w15:done="0"/>
  <w15:commentEx w15:paraId="7ECD27DB" w15:done="0"/>
  <w15:commentEx w15:paraId="64F5DF1F" w15:paraIdParent="7ECD27DB" w15:done="0"/>
  <w15:commentEx w15:paraId="5FFD7236" w15:done="0"/>
  <w15:commentEx w15:paraId="33C4DF55" w15:paraIdParent="5FFD7236" w15:done="0"/>
  <w15:commentEx w15:paraId="4666E88A" w15:done="0"/>
  <w15:commentEx w15:paraId="1F63EDA5" w15:done="1"/>
  <w15:commentEx w15:paraId="4E5D145C" w15:paraIdParent="1F63EDA5" w15:done="1"/>
  <w15:commentEx w15:paraId="70526F7B" w15:done="0"/>
  <w15:commentEx w15:paraId="3ACC83A2" w15:paraIdParent="70526F7B" w15:done="0"/>
  <w15:commentEx w15:paraId="274C6DB7" w15:done="0"/>
  <w15:commentEx w15:paraId="1EB904AA" w15:paraIdParent="274C6DB7" w15:done="0"/>
  <w15:commentEx w15:paraId="1F7F4296" w15:done="0"/>
  <w15:commentEx w15:paraId="5A4E2C3B" w15:done="0"/>
  <w15:commentEx w15:paraId="1594AC81" w15:paraIdParent="5A4E2C3B" w15:done="0"/>
  <w15:commentEx w15:paraId="1ED59964" w15:done="0"/>
  <w15:commentEx w15:paraId="5D4E217A" w15:paraIdParent="1ED59964" w15:done="0"/>
  <w15:commentEx w15:paraId="6416170B" w15:done="0"/>
  <w15:commentEx w15:paraId="3B8D2CCB" w15:paraIdParent="6416170B" w15:done="0"/>
  <w15:commentEx w15:paraId="137AF5A5" w15:done="0"/>
  <w15:commentEx w15:paraId="7717C93F" w15:paraIdParent="137AF5A5" w15:done="0"/>
  <w15:commentEx w15:paraId="0431D808" w15:done="0"/>
  <w15:commentEx w15:paraId="2DAD29DC" w15:paraIdParent="0431D808" w15:done="0"/>
  <w15:commentEx w15:paraId="12F71C26" w15:done="0"/>
  <w15:commentEx w15:paraId="02761306" w15:paraIdParent="12F71C26" w15:done="0"/>
  <w15:commentEx w15:paraId="7036B6AE" w15:done="0"/>
  <w15:commentEx w15:paraId="5F455820" w15:paraIdParent="7036B6AE" w15:done="0"/>
  <w15:commentEx w15:paraId="5AA0FF79" w15:done="0"/>
  <w15:commentEx w15:paraId="3147519E" w15:paraIdParent="5AA0FF79" w15:done="0"/>
  <w15:commentEx w15:paraId="4D1ED731" w15:done="0"/>
  <w15:commentEx w15:paraId="495E8A47" w15:paraIdParent="4D1ED731" w15:done="0"/>
  <w15:commentEx w15:paraId="24B8C83E" w15:done="0"/>
  <w15:commentEx w15:paraId="217DA475" w15:paraIdParent="24B8C8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4147D" w14:textId="77777777" w:rsidR="00FB7769" w:rsidRDefault="00FB7769" w:rsidP="00124A51">
      <w:r>
        <w:separator/>
      </w:r>
    </w:p>
  </w:endnote>
  <w:endnote w:type="continuationSeparator" w:id="0">
    <w:p w14:paraId="6B5E090B" w14:textId="77777777" w:rsidR="00FB7769" w:rsidRDefault="00FB776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B4A6" w14:textId="77777777" w:rsidR="00FB7769" w:rsidRDefault="00FB7769" w:rsidP="00A7344B">
    <w:pPr>
      <w:pStyle w:val="Footer"/>
    </w:pPr>
  </w:p>
  <w:p w14:paraId="0E0755ED" w14:textId="4DA29CD5" w:rsidR="00FB7769" w:rsidRPr="00A7344B" w:rsidRDefault="00FB7769" w:rsidP="00892C33">
    <w:pPr>
      <w:ind w:right="360"/>
      <w:jc w:val="center"/>
      <w:rPr>
        <w:b/>
        <w:sz w:val="20"/>
      </w:rPr>
    </w:pPr>
    <w:r>
      <w:rPr>
        <w:sz w:val="20"/>
      </w:rPr>
      <w:tab/>
    </w: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FD23D8">
      <w:rPr>
        <w:noProof/>
        <w:sz w:val="20"/>
      </w:rPr>
      <w:t>17</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65C67" w14:textId="77777777" w:rsidR="00FB7769" w:rsidRDefault="00FB7769" w:rsidP="00124A51">
      <w:r>
        <w:separator/>
      </w:r>
    </w:p>
  </w:footnote>
  <w:footnote w:type="continuationSeparator" w:id="0">
    <w:p w14:paraId="0AF2F614" w14:textId="77777777" w:rsidR="00FB7769" w:rsidRDefault="00FB7769" w:rsidP="00124A51">
      <w:r>
        <w:continuationSeparator/>
      </w:r>
    </w:p>
  </w:footnote>
  <w:footnote w:id="1">
    <w:p w14:paraId="53A981D5" w14:textId="77777777" w:rsidR="00FB7769" w:rsidRPr="00CA223B" w:rsidRDefault="00FB7769" w:rsidP="00CA223B">
      <w:pPr>
        <w:pStyle w:val="EndNoteBibliography"/>
        <w:spacing w:after="120"/>
        <w:rPr>
          <w:rFonts w:ascii="Arial" w:hAnsi="Arial" w:cs="Arial"/>
          <w:sz w:val="18"/>
          <w:szCs w:val="20"/>
        </w:rPr>
      </w:pPr>
      <w:r w:rsidRPr="00CA223B">
        <w:rPr>
          <w:rStyle w:val="FootnoteReference"/>
          <w:rFonts w:ascii="Arial" w:hAnsi="Arial" w:cs="Arial"/>
          <w:sz w:val="18"/>
          <w:szCs w:val="20"/>
        </w:rPr>
        <w:footnoteRef/>
      </w:r>
      <w:r w:rsidRPr="00CA223B">
        <w:rPr>
          <w:rFonts w:ascii="Arial" w:hAnsi="Arial" w:cs="Arial"/>
          <w:sz w:val="18"/>
          <w:szCs w:val="20"/>
        </w:rPr>
        <w:t xml:space="preserve"> Ito, H.</w:t>
      </w:r>
      <w:r w:rsidRPr="00CA223B">
        <w:rPr>
          <w:rFonts w:ascii="Arial" w:hAnsi="Arial" w:cs="Arial"/>
          <w:i/>
          <w:sz w:val="18"/>
          <w:szCs w:val="20"/>
        </w:rPr>
        <w:t xml:space="preserve"> et al</w:t>
      </w:r>
      <w:r w:rsidRPr="00CA223B">
        <w:rPr>
          <w:rFonts w:ascii="Arial" w:hAnsi="Arial" w:cs="Arial"/>
          <w:sz w:val="18"/>
          <w:szCs w:val="20"/>
        </w:rPr>
        <w:t xml:space="preserve"> (2010a).</w:t>
      </w:r>
      <w:r w:rsidRPr="00CA223B">
        <w:rPr>
          <w:rFonts w:ascii="Arial" w:eastAsia="Times New Roman" w:hAnsi="Arial" w:cs="Arial"/>
          <w:noProof w:val="0"/>
          <w:snapToGrid w:val="0"/>
          <w:sz w:val="18"/>
          <w:szCs w:val="20"/>
          <w:lang w:val="en-AU"/>
        </w:rPr>
        <w:t xml:space="preserve"> </w:t>
      </w:r>
      <w:r w:rsidRPr="00CA223B">
        <w:rPr>
          <w:rFonts w:ascii="Arial" w:hAnsi="Arial" w:cs="Arial"/>
          <w:bCs/>
          <w:sz w:val="18"/>
          <w:szCs w:val="20"/>
          <w:lang w:val="en-AU"/>
        </w:rPr>
        <w:t>Direct</w:t>
      </w:r>
      <w:r w:rsidRPr="00CA223B">
        <w:rPr>
          <w:rFonts w:ascii="Arial" w:hAnsi="Arial" w:cs="Arial"/>
          <w:sz w:val="18"/>
          <w:szCs w:val="20"/>
          <w:lang w:val="en-AU"/>
        </w:rPr>
        <w:t> </w:t>
      </w:r>
      <w:r w:rsidRPr="00CA223B">
        <w:rPr>
          <w:rFonts w:ascii="Arial" w:hAnsi="Arial" w:cs="Arial"/>
          <w:bCs/>
          <w:sz w:val="18"/>
          <w:szCs w:val="20"/>
          <w:lang w:val="en-AU"/>
        </w:rPr>
        <w:t>comparison</w:t>
      </w:r>
      <w:r w:rsidRPr="00CA223B">
        <w:rPr>
          <w:rFonts w:ascii="Arial" w:hAnsi="Arial" w:cs="Arial"/>
          <w:sz w:val="18"/>
          <w:szCs w:val="20"/>
          <w:lang w:val="en-AU"/>
        </w:rPr>
        <w:t> of two different mesalamine formulations for the induction of remission in patients with ulcerative colitis: a double-blind, randomized study.</w:t>
      </w:r>
      <w:r w:rsidRPr="00CA223B">
        <w:rPr>
          <w:rFonts w:ascii="Arial" w:hAnsi="Arial" w:cs="Arial"/>
          <w:sz w:val="18"/>
          <w:szCs w:val="20"/>
        </w:rPr>
        <w:t xml:space="preserve"> </w:t>
      </w:r>
      <w:r w:rsidRPr="00CA223B">
        <w:rPr>
          <w:rFonts w:ascii="Arial" w:hAnsi="Arial" w:cs="Arial"/>
          <w:i/>
          <w:sz w:val="18"/>
          <w:szCs w:val="20"/>
        </w:rPr>
        <w:t>Inflammatory Bowel Diseases</w:t>
      </w:r>
      <w:r w:rsidRPr="00CA223B">
        <w:rPr>
          <w:rFonts w:ascii="Arial" w:hAnsi="Arial" w:cs="Arial"/>
          <w:sz w:val="18"/>
          <w:szCs w:val="20"/>
        </w:rPr>
        <w:t xml:space="preserve"> 16(9): 1575-1582.</w:t>
      </w:r>
    </w:p>
  </w:footnote>
  <w:footnote w:id="2">
    <w:p w14:paraId="7FF3432C" w14:textId="664CC9C4" w:rsidR="00FB7769" w:rsidRDefault="00FB7769" w:rsidP="00CA223B">
      <w:pPr>
        <w:pStyle w:val="EndNoteBibliography"/>
        <w:spacing w:after="120"/>
      </w:pPr>
      <w:r w:rsidRPr="00CA223B">
        <w:rPr>
          <w:rStyle w:val="FootnoteReference"/>
          <w:rFonts w:ascii="Arial" w:hAnsi="Arial" w:cs="Arial"/>
          <w:sz w:val="18"/>
          <w:szCs w:val="20"/>
        </w:rPr>
        <w:footnoteRef/>
      </w:r>
      <w:r w:rsidRPr="00CA223B">
        <w:rPr>
          <w:rFonts w:ascii="Arial" w:hAnsi="Arial" w:cs="Arial"/>
          <w:sz w:val="18"/>
          <w:szCs w:val="20"/>
        </w:rPr>
        <w:t xml:space="preserve"> Ito, H.</w:t>
      </w:r>
      <w:r w:rsidRPr="00CA223B">
        <w:rPr>
          <w:rFonts w:ascii="Arial" w:hAnsi="Arial" w:cs="Arial"/>
          <w:i/>
          <w:sz w:val="18"/>
          <w:szCs w:val="20"/>
        </w:rPr>
        <w:t xml:space="preserve"> et al</w:t>
      </w:r>
      <w:r w:rsidRPr="00CA223B">
        <w:rPr>
          <w:rFonts w:ascii="Arial" w:hAnsi="Arial" w:cs="Arial"/>
          <w:sz w:val="18"/>
          <w:szCs w:val="20"/>
        </w:rPr>
        <w:t xml:space="preserve"> (2010b). </w:t>
      </w:r>
      <w:r w:rsidRPr="00CA223B">
        <w:rPr>
          <w:rFonts w:ascii="Arial" w:hAnsi="Arial" w:cs="Arial"/>
          <w:bCs/>
          <w:sz w:val="18"/>
          <w:szCs w:val="20"/>
          <w:lang w:val="en-AU"/>
        </w:rPr>
        <w:t>Direct</w:t>
      </w:r>
      <w:r w:rsidRPr="00CA223B">
        <w:rPr>
          <w:rFonts w:ascii="Arial" w:hAnsi="Arial" w:cs="Arial"/>
          <w:sz w:val="18"/>
          <w:szCs w:val="20"/>
          <w:lang w:val="en-AU"/>
        </w:rPr>
        <w:t> </w:t>
      </w:r>
      <w:r w:rsidRPr="00CA223B">
        <w:rPr>
          <w:rFonts w:ascii="Arial" w:hAnsi="Arial" w:cs="Arial"/>
          <w:bCs/>
          <w:sz w:val="18"/>
          <w:szCs w:val="20"/>
          <w:lang w:val="en-AU"/>
        </w:rPr>
        <w:t>comparison</w:t>
      </w:r>
      <w:r w:rsidRPr="00CA223B">
        <w:rPr>
          <w:rFonts w:ascii="Arial" w:hAnsi="Arial" w:cs="Arial"/>
          <w:sz w:val="18"/>
          <w:szCs w:val="20"/>
          <w:lang w:val="en-AU"/>
        </w:rPr>
        <w:t> of two different mesalamine formulations for the induction of remission in patients with ulcerative colitis: a double-blind, randomized study</w:t>
      </w:r>
      <w:r w:rsidRPr="00CA223B">
        <w:rPr>
          <w:rFonts w:ascii="Arial" w:hAnsi="Arial" w:cs="Arial"/>
          <w:i/>
          <w:sz w:val="18"/>
          <w:szCs w:val="20"/>
          <w:lang w:val="en-AU"/>
        </w:rPr>
        <w:t>.</w:t>
      </w:r>
      <w:r w:rsidRPr="00CA223B">
        <w:rPr>
          <w:rFonts w:ascii="Arial" w:hAnsi="Arial" w:cs="Arial"/>
          <w:i/>
          <w:sz w:val="18"/>
          <w:szCs w:val="20"/>
        </w:rPr>
        <w:t xml:space="preserve">  Inflammatory Bowel Diseases</w:t>
      </w:r>
      <w:r w:rsidRPr="00CA223B">
        <w:rPr>
          <w:rFonts w:ascii="Arial" w:hAnsi="Arial" w:cs="Arial"/>
          <w:sz w:val="18"/>
          <w:szCs w:val="20"/>
        </w:rPr>
        <w:t xml:space="preserve"> 16(9): 1567-1574.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EEA95" w14:textId="77777777" w:rsidR="00FB7769" w:rsidRPr="00DF217D" w:rsidRDefault="00FB7769" w:rsidP="00502C1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14:paraId="28890CF8" w14:textId="77777777" w:rsidR="00FB7769" w:rsidRPr="00892C33" w:rsidRDefault="00FB7769" w:rsidP="00892C33">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0F6CEC"/>
    <w:multiLevelType w:val="hybridMultilevel"/>
    <w:tmpl w:val="D33A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576FDB"/>
    <w:multiLevelType w:val="hybridMultilevel"/>
    <w:tmpl w:val="F692E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E44919A">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F57C59"/>
    <w:multiLevelType w:val="hybridMultilevel"/>
    <w:tmpl w:val="6D502C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D4341C0"/>
    <w:multiLevelType w:val="hybridMultilevel"/>
    <w:tmpl w:val="5C2C6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742409"/>
    <w:multiLevelType w:val="hybridMultilevel"/>
    <w:tmpl w:val="54406C98"/>
    <w:lvl w:ilvl="0" w:tplc="184EDB1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1E2974"/>
    <w:multiLevelType w:val="hybridMultilevel"/>
    <w:tmpl w:val="087A7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BFF1A90"/>
    <w:multiLevelType w:val="hybridMultilevel"/>
    <w:tmpl w:val="90C8DCAE"/>
    <w:lvl w:ilvl="0" w:tplc="0F800A4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1814DB2"/>
    <w:multiLevelType w:val="hybridMultilevel"/>
    <w:tmpl w:val="CEAA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C7D96"/>
    <w:multiLevelType w:val="hybridMultilevel"/>
    <w:tmpl w:val="F4EA671C"/>
    <w:lvl w:ilvl="0" w:tplc="0C090001">
      <w:start w:val="1"/>
      <w:numFmt w:val="bullet"/>
      <w:lvlText w:val=""/>
      <w:lvlJc w:val="left"/>
      <w:pPr>
        <w:ind w:left="1440" w:hanging="360"/>
      </w:pPr>
      <w:rPr>
        <w:rFonts w:ascii="Symbol" w:hAnsi="Symbol" w:hint="default"/>
      </w:rPr>
    </w:lvl>
    <w:lvl w:ilvl="1" w:tplc="184EDB1E">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5320F69"/>
    <w:multiLevelType w:val="hybridMultilevel"/>
    <w:tmpl w:val="A80EC5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BD40FB"/>
    <w:multiLevelType w:val="hybridMultilevel"/>
    <w:tmpl w:val="5A0C080E"/>
    <w:lvl w:ilvl="0" w:tplc="1E44919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4AD40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AE1F40"/>
    <w:multiLevelType w:val="hybridMultilevel"/>
    <w:tmpl w:val="0A14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3F72343E"/>
    <w:multiLevelType w:val="hybridMultilevel"/>
    <w:tmpl w:val="3834A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5771A9"/>
    <w:multiLevelType w:val="hybridMultilevel"/>
    <w:tmpl w:val="56DEE4A6"/>
    <w:lvl w:ilvl="0" w:tplc="8B64DF2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D8036A"/>
    <w:multiLevelType w:val="hybridMultilevel"/>
    <w:tmpl w:val="77C64B18"/>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F1149D"/>
    <w:multiLevelType w:val="hybridMultilevel"/>
    <w:tmpl w:val="1DE6427E"/>
    <w:lvl w:ilvl="0" w:tplc="B1885D76">
      <w:start w:val="1"/>
      <w:numFmt w:val="decimal"/>
      <w:lvlText w:val="%1"/>
      <w:lvlJc w:val="righ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5145C3"/>
    <w:multiLevelType w:val="hybridMultilevel"/>
    <w:tmpl w:val="F55A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DF0FD3"/>
    <w:multiLevelType w:val="hybridMultilevel"/>
    <w:tmpl w:val="8BA8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040368"/>
    <w:multiLevelType w:val="hybridMultilevel"/>
    <w:tmpl w:val="058C06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5A8A17A8"/>
    <w:multiLevelType w:val="hybridMultilevel"/>
    <w:tmpl w:val="7C847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56747A"/>
    <w:multiLevelType w:val="hybridMultilevel"/>
    <w:tmpl w:val="25F46BEE"/>
    <w:lvl w:ilvl="0" w:tplc="0C090001">
      <w:start w:val="1"/>
      <w:numFmt w:val="bullet"/>
      <w:lvlText w:val=""/>
      <w:lvlJc w:val="left"/>
      <w:pPr>
        <w:ind w:left="1080" w:hanging="360"/>
      </w:pPr>
      <w:rPr>
        <w:rFonts w:ascii="Symbol" w:hAnsi="Symbol" w:hint="default"/>
      </w:rPr>
    </w:lvl>
    <w:lvl w:ilvl="1" w:tplc="184EDB1E">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84D033C"/>
    <w:multiLevelType w:val="multilevel"/>
    <w:tmpl w:val="E60C193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48162C"/>
    <w:multiLevelType w:val="hybridMultilevel"/>
    <w:tmpl w:val="B832E5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23"/>
  </w:num>
  <w:num w:numId="3">
    <w:abstractNumId w:val="15"/>
  </w:num>
  <w:num w:numId="4">
    <w:abstractNumId w:val="2"/>
  </w:num>
  <w:num w:numId="5">
    <w:abstractNumId w:val="30"/>
  </w:num>
  <w:num w:numId="6">
    <w:abstractNumId w:val="1"/>
  </w:num>
  <w:num w:numId="7">
    <w:abstractNumId w:val="14"/>
  </w:num>
  <w:num w:numId="8">
    <w:abstractNumId w:val="20"/>
  </w:num>
  <w:num w:numId="9">
    <w:abstractNumId w:val="6"/>
  </w:num>
  <w:num w:numId="10">
    <w:abstractNumId w:val="13"/>
  </w:num>
  <w:num w:numId="11">
    <w:abstractNumId w:val="18"/>
  </w:num>
  <w:num w:numId="12">
    <w:abstractNumId w:val="11"/>
  </w:num>
  <w:num w:numId="13">
    <w:abstractNumId w:val="25"/>
  </w:num>
  <w:num w:numId="14">
    <w:abstractNumId w:val="16"/>
  </w:num>
  <w:num w:numId="15">
    <w:abstractNumId w:val="7"/>
  </w:num>
  <w:num w:numId="16">
    <w:abstractNumId w:val="26"/>
  </w:num>
  <w:num w:numId="17">
    <w:abstractNumId w:val="28"/>
  </w:num>
  <w:num w:numId="18">
    <w:abstractNumId w:val="29"/>
  </w:num>
  <w:num w:numId="19">
    <w:abstractNumId w:val="5"/>
  </w:num>
  <w:num w:numId="20">
    <w:abstractNumId w:val="19"/>
  </w:num>
  <w:num w:numId="21">
    <w:abstractNumId w:val="12"/>
  </w:num>
  <w:num w:numId="22">
    <w:abstractNumId w:val="31"/>
  </w:num>
  <w:num w:numId="23">
    <w:abstractNumId w:val="9"/>
  </w:num>
  <w:num w:numId="24">
    <w:abstractNumId w:val="27"/>
  </w:num>
  <w:num w:numId="25">
    <w:abstractNumId w:val="4"/>
  </w:num>
  <w:num w:numId="26">
    <w:abstractNumId w:val="30"/>
  </w:num>
  <w:num w:numId="27">
    <w:abstractNumId w:val="10"/>
  </w:num>
  <w:num w:numId="28">
    <w:abstractNumId w:val="22"/>
  </w:num>
  <w:num w:numId="29">
    <w:abstractNumId w:val="21"/>
  </w:num>
  <w:num w:numId="30">
    <w:abstractNumId w:val="24"/>
  </w:num>
  <w:num w:numId="31">
    <w:abstractNumId w:val="3"/>
  </w:num>
  <w:num w:numId="32">
    <w:abstractNumId w:val="0"/>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Goon">
    <w15:presenceInfo w15:providerId="AD" w15:userId="S-1-5-21-1451058757-1749049392-1947940980-366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7665"/>
    <w:rsid w:val="00007B78"/>
    <w:rsid w:val="000107A3"/>
    <w:rsid w:val="0001110B"/>
    <w:rsid w:val="00011851"/>
    <w:rsid w:val="00011911"/>
    <w:rsid w:val="00013247"/>
    <w:rsid w:val="000150D0"/>
    <w:rsid w:val="00015886"/>
    <w:rsid w:val="000162EF"/>
    <w:rsid w:val="00017759"/>
    <w:rsid w:val="000204F8"/>
    <w:rsid w:val="00021454"/>
    <w:rsid w:val="0002225F"/>
    <w:rsid w:val="00023763"/>
    <w:rsid w:val="00025A3E"/>
    <w:rsid w:val="0002612A"/>
    <w:rsid w:val="00026E41"/>
    <w:rsid w:val="00031FEC"/>
    <w:rsid w:val="0003259C"/>
    <w:rsid w:val="00034836"/>
    <w:rsid w:val="00034CBA"/>
    <w:rsid w:val="0003798E"/>
    <w:rsid w:val="00040819"/>
    <w:rsid w:val="00040895"/>
    <w:rsid w:val="00042A96"/>
    <w:rsid w:val="00042DB5"/>
    <w:rsid w:val="00043C37"/>
    <w:rsid w:val="00044EA7"/>
    <w:rsid w:val="000475B1"/>
    <w:rsid w:val="000505BA"/>
    <w:rsid w:val="000521F1"/>
    <w:rsid w:val="00052B17"/>
    <w:rsid w:val="000546D7"/>
    <w:rsid w:val="0005480A"/>
    <w:rsid w:val="0005590C"/>
    <w:rsid w:val="00056796"/>
    <w:rsid w:val="00062A7D"/>
    <w:rsid w:val="00063414"/>
    <w:rsid w:val="000650AB"/>
    <w:rsid w:val="000659E2"/>
    <w:rsid w:val="00065B1C"/>
    <w:rsid w:val="00066456"/>
    <w:rsid w:val="00070108"/>
    <w:rsid w:val="000704D7"/>
    <w:rsid w:val="00071248"/>
    <w:rsid w:val="00071EFD"/>
    <w:rsid w:val="000720B9"/>
    <w:rsid w:val="00072F5E"/>
    <w:rsid w:val="000736AC"/>
    <w:rsid w:val="00074D9F"/>
    <w:rsid w:val="000757AB"/>
    <w:rsid w:val="000812CA"/>
    <w:rsid w:val="00084905"/>
    <w:rsid w:val="00085687"/>
    <w:rsid w:val="00085B18"/>
    <w:rsid w:val="00085BD3"/>
    <w:rsid w:val="0008690D"/>
    <w:rsid w:val="00087004"/>
    <w:rsid w:val="000904A5"/>
    <w:rsid w:val="000909E7"/>
    <w:rsid w:val="00090C7E"/>
    <w:rsid w:val="0009307C"/>
    <w:rsid w:val="0009402E"/>
    <w:rsid w:val="0009689A"/>
    <w:rsid w:val="0009700C"/>
    <w:rsid w:val="000A08FF"/>
    <w:rsid w:val="000A0CCB"/>
    <w:rsid w:val="000A209A"/>
    <w:rsid w:val="000A2B51"/>
    <w:rsid w:val="000A3B2A"/>
    <w:rsid w:val="000A6686"/>
    <w:rsid w:val="000A7DF0"/>
    <w:rsid w:val="000B0D09"/>
    <w:rsid w:val="000B2D28"/>
    <w:rsid w:val="000B3170"/>
    <w:rsid w:val="000B4939"/>
    <w:rsid w:val="000B51B8"/>
    <w:rsid w:val="000B551E"/>
    <w:rsid w:val="000B61CA"/>
    <w:rsid w:val="000C5C30"/>
    <w:rsid w:val="000D159E"/>
    <w:rsid w:val="000D1BFC"/>
    <w:rsid w:val="000D213A"/>
    <w:rsid w:val="000D29F5"/>
    <w:rsid w:val="000D2EF9"/>
    <w:rsid w:val="000D3A2B"/>
    <w:rsid w:val="000E2712"/>
    <w:rsid w:val="000E3197"/>
    <w:rsid w:val="000E490E"/>
    <w:rsid w:val="000F20E2"/>
    <w:rsid w:val="000F4BB8"/>
    <w:rsid w:val="000F585F"/>
    <w:rsid w:val="000F7127"/>
    <w:rsid w:val="00100B5C"/>
    <w:rsid w:val="00100F8A"/>
    <w:rsid w:val="00101AEF"/>
    <w:rsid w:val="00103D28"/>
    <w:rsid w:val="00103F98"/>
    <w:rsid w:val="00104BD3"/>
    <w:rsid w:val="00104D4E"/>
    <w:rsid w:val="00105628"/>
    <w:rsid w:val="00106B11"/>
    <w:rsid w:val="00106F14"/>
    <w:rsid w:val="0011032E"/>
    <w:rsid w:val="0011348B"/>
    <w:rsid w:val="001134CE"/>
    <w:rsid w:val="001145AF"/>
    <w:rsid w:val="0011687D"/>
    <w:rsid w:val="00116946"/>
    <w:rsid w:val="00121152"/>
    <w:rsid w:val="00121279"/>
    <w:rsid w:val="00121799"/>
    <w:rsid w:val="001222FC"/>
    <w:rsid w:val="00122362"/>
    <w:rsid w:val="00123FAA"/>
    <w:rsid w:val="001241F9"/>
    <w:rsid w:val="00124A51"/>
    <w:rsid w:val="00125D5C"/>
    <w:rsid w:val="001263A8"/>
    <w:rsid w:val="00126621"/>
    <w:rsid w:val="001267F9"/>
    <w:rsid w:val="00126D45"/>
    <w:rsid w:val="00127847"/>
    <w:rsid w:val="001300A4"/>
    <w:rsid w:val="001301E9"/>
    <w:rsid w:val="00130BC7"/>
    <w:rsid w:val="00131D11"/>
    <w:rsid w:val="00133F88"/>
    <w:rsid w:val="00134555"/>
    <w:rsid w:val="00134B76"/>
    <w:rsid w:val="00136061"/>
    <w:rsid w:val="00137645"/>
    <w:rsid w:val="0014015A"/>
    <w:rsid w:val="00140D40"/>
    <w:rsid w:val="00140E99"/>
    <w:rsid w:val="00141E1B"/>
    <w:rsid w:val="00142230"/>
    <w:rsid w:val="00145540"/>
    <w:rsid w:val="001456B0"/>
    <w:rsid w:val="0014667A"/>
    <w:rsid w:val="001479F7"/>
    <w:rsid w:val="0015238A"/>
    <w:rsid w:val="00153666"/>
    <w:rsid w:val="00153A6E"/>
    <w:rsid w:val="00157130"/>
    <w:rsid w:val="0016023E"/>
    <w:rsid w:val="00161468"/>
    <w:rsid w:val="00162913"/>
    <w:rsid w:val="00162957"/>
    <w:rsid w:val="00162CF2"/>
    <w:rsid w:val="00162F49"/>
    <w:rsid w:val="00163972"/>
    <w:rsid w:val="00163EFF"/>
    <w:rsid w:val="001661FB"/>
    <w:rsid w:val="0016628F"/>
    <w:rsid w:val="00167998"/>
    <w:rsid w:val="001700F6"/>
    <w:rsid w:val="00172B11"/>
    <w:rsid w:val="00173038"/>
    <w:rsid w:val="00174020"/>
    <w:rsid w:val="00176B48"/>
    <w:rsid w:val="00181422"/>
    <w:rsid w:val="00182307"/>
    <w:rsid w:val="00183CC7"/>
    <w:rsid w:val="00183DAB"/>
    <w:rsid w:val="00185742"/>
    <w:rsid w:val="0018752F"/>
    <w:rsid w:val="0019035A"/>
    <w:rsid w:val="00190708"/>
    <w:rsid w:val="001911AA"/>
    <w:rsid w:val="001930EB"/>
    <w:rsid w:val="0019352A"/>
    <w:rsid w:val="00194BE3"/>
    <w:rsid w:val="00194CA1"/>
    <w:rsid w:val="00195222"/>
    <w:rsid w:val="0019591B"/>
    <w:rsid w:val="00196421"/>
    <w:rsid w:val="0019659B"/>
    <w:rsid w:val="001975D8"/>
    <w:rsid w:val="001A036F"/>
    <w:rsid w:val="001A0C3A"/>
    <w:rsid w:val="001A2689"/>
    <w:rsid w:val="001A4EED"/>
    <w:rsid w:val="001A524C"/>
    <w:rsid w:val="001A5520"/>
    <w:rsid w:val="001A571B"/>
    <w:rsid w:val="001A5A97"/>
    <w:rsid w:val="001A6BB5"/>
    <w:rsid w:val="001B00FD"/>
    <w:rsid w:val="001B1405"/>
    <w:rsid w:val="001B2FEB"/>
    <w:rsid w:val="001B315A"/>
    <w:rsid w:val="001B3443"/>
    <w:rsid w:val="001B347A"/>
    <w:rsid w:val="001B43DB"/>
    <w:rsid w:val="001B502C"/>
    <w:rsid w:val="001B52D5"/>
    <w:rsid w:val="001B59B7"/>
    <w:rsid w:val="001B67ED"/>
    <w:rsid w:val="001C038C"/>
    <w:rsid w:val="001C1B77"/>
    <w:rsid w:val="001C2157"/>
    <w:rsid w:val="001C3878"/>
    <w:rsid w:val="001C50BC"/>
    <w:rsid w:val="001C55FC"/>
    <w:rsid w:val="001C5674"/>
    <w:rsid w:val="001C61FE"/>
    <w:rsid w:val="001C6E66"/>
    <w:rsid w:val="001C7EDE"/>
    <w:rsid w:val="001D0BF8"/>
    <w:rsid w:val="001D0D49"/>
    <w:rsid w:val="001D1353"/>
    <w:rsid w:val="001D2943"/>
    <w:rsid w:val="001D2BAB"/>
    <w:rsid w:val="001D37F7"/>
    <w:rsid w:val="001D6D5D"/>
    <w:rsid w:val="001D704F"/>
    <w:rsid w:val="001D74DB"/>
    <w:rsid w:val="001D7612"/>
    <w:rsid w:val="001E238E"/>
    <w:rsid w:val="001E2B1E"/>
    <w:rsid w:val="001E47D7"/>
    <w:rsid w:val="001E52EB"/>
    <w:rsid w:val="001E740C"/>
    <w:rsid w:val="001F1235"/>
    <w:rsid w:val="001F1CB3"/>
    <w:rsid w:val="001F22A8"/>
    <w:rsid w:val="001F3BB4"/>
    <w:rsid w:val="001F63B5"/>
    <w:rsid w:val="001F7361"/>
    <w:rsid w:val="001F7439"/>
    <w:rsid w:val="00201627"/>
    <w:rsid w:val="0020181F"/>
    <w:rsid w:val="0020207D"/>
    <w:rsid w:val="0020385F"/>
    <w:rsid w:val="0020507E"/>
    <w:rsid w:val="00206C3A"/>
    <w:rsid w:val="00207021"/>
    <w:rsid w:val="00207B54"/>
    <w:rsid w:val="00207D00"/>
    <w:rsid w:val="002105C1"/>
    <w:rsid w:val="002166B0"/>
    <w:rsid w:val="00216FE6"/>
    <w:rsid w:val="00217075"/>
    <w:rsid w:val="00217323"/>
    <w:rsid w:val="0022123A"/>
    <w:rsid w:val="00221764"/>
    <w:rsid w:val="00221E18"/>
    <w:rsid w:val="00223397"/>
    <w:rsid w:val="00223B49"/>
    <w:rsid w:val="00224DD4"/>
    <w:rsid w:val="00225836"/>
    <w:rsid w:val="00225FA2"/>
    <w:rsid w:val="002270A1"/>
    <w:rsid w:val="002278E3"/>
    <w:rsid w:val="00227C15"/>
    <w:rsid w:val="002309CC"/>
    <w:rsid w:val="00231ED7"/>
    <w:rsid w:val="00232785"/>
    <w:rsid w:val="00233648"/>
    <w:rsid w:val="00233C57"/>
    <w:rsid w:val="0023563A"/>
    <w:rsid w:val="00240475"/>
    <w:rsid w:val="00241572"/>
    <w:rsid w:val="00242B29"/>
    <w:rsid w:val="00243769"/>
    <w:rsid w:val="00243FA4"/>
    <w:rsid w:val="002456C5"/>
    <w:rsid w:val="002472AE"/>
    <w:rsid w:val="002507A1"/>
    <w:rsid w:val="00253F13"/>
    <w:rsid w:val="00254073"/>
    <w:rsid w:val="00254DCF"/>
    <w:rsid w:val="0025534B"/>
    <w:rsid w:val="00255BB7"/>
    <w:rsid w:val="00256E98"/>
    <w:rsid w:val="00260575"/>
    <w:rsid w:val="00260D95"/>
    <w:rsid w:val="00261EB2"/>
    <w:rsid w:val="00262A87"/>
    <w:rsid w:val="002676AF"/>
    <w:rsid w:val="002700F8"/>
    <w:rsid w:val="00271B65"/>
    <w:rsid w:val="0027241D"/>
    <w:rsid w:val="0027265A"/>
    <w:rsid w:val="00274345"/>
    <w:rsid w:val="00274880"/>
    <w:rsid w:val="00274FAE"/>
    <w:rsid w:val="00275C5A"/>
    <w:rsid w:val="00276C9D"/>
    <w:rsid w:val="00281014"/>
    <w:rsid w:val="00281387"/>
    <w:rsid w:val="002822DC"/>
    <w:rsid w:val="0028258D"/>
    <w:rsid w:val="00285156"/>
    <w:rsid w:val="00285903"/>
    <w:rsid w:val="0028728F"/>
    <w:rsid w:val="00287F02"/>
    <w:rsid w:val="002911C4"/>
    <w:rsid w:val="0029479A"/>
    <w:rsid w:val="00296091"/>
    <w:rsid w:val="0029627F"/>
    <w:rsid w:val="00297828"/>
    <w:rsid w:val="00297A5A"/>
    <w:rsid w:val="002A0356"/>
    <w:rsid w:val="002A0DEE"/>
    <w:rsid w:val="002A1417"/>
    <w:rsid w:val="002A14AB"/>
    <w:rsid w:val="002A19F4"/>
    <w:rsid w:val="002A1D4F"/>
    <w:rsid w:val="002A30B3"/>
    <w:rsid w:val="002A4EAA"/>
    <w:rsid w:val="002B1789"/>
    <w:rsid w:val="002B1C1F"/>
    <w:rsid w:val="002B3159"/>
    <w:rsid w:val="002B406B"/>
    <w:rsid w:val="002B432F"/>
    <w:rsid w:val="002B48C6"/>
    <w:rsid w:val="002B6CCE"/>
    <w:rsid w:val="002B7157"/>
    <w:rsid w:val="002B756F"/>
    <w:rsid w:val="002C16B1"/>
    <w:rsid w:val="002C2775"/>
    <w:rsid w:val="002C27C1"/>
    <w:rsid w:val="002C4FC1"/>
    <w:rsid w:val="002C50BD"/>
    <w:rsid w:val="002C58E9"/>
    <w:rsid w:val="002C6A54"/>
    <w:rsid w:val="002D0201"/>
    <w:rsid w:val="002D2AE2"/>
    <w:rsid w:val="002D3AA8"/>
    <w:rsid w:val="002D62E4"/>
    <w:rsid w:val="002D68E6"/>
    <w:rsid w:val="002E0DF0"/>
    <w:rsid w:val="002E18A1"/>
    <w:rsid w:val="002E1BD8"/>
    <w:rsid w:val="002E2CC7"/>
    <w:rsid w:val="002E456E"/>
    <w:rsid w:val="002E4A5C"/>
    <w:rsid w:val="002F0AEA"/>
    <w:rsid w:val="002F262E"/>
    <w:rsid w:val="002F3190"/>
    <w:rsid w:val="002F3D5B"/>
    <w:rsid w:val="00300145"/>
    <w:rsid w:val="00301017"/>
    <w:rsid w:val="00306F7B"/>
    <w:rsid w:val="0030786C"/>
    <w:rsid w:val="0031016E"/>
    <w:rsid w:val="0031031A"/>
    <w:rsid w:val="00310454"/>
    <w:rsid w:val="00310981"/>
    <w:rsid w:val="00310DFB"/>
    <w:rsid w:val="0031113B"/>
    <w:rsid w:val="00311C5D"/>
    <w:rsid w:val="003127A2"/>
    <w:rsid w:val="003129FC"/>
    <w:rsid w:val="0031300B"/>
    <w:rsid w:val="00315498"/>
    <w:rsid w:val="0032215D"/>
    <w:rsid w:val="00324A52"/>
    <w:rsid w:val="0032594B"/>
    <w:rsid w:val="00327F52"/>
    <w:rsid w:val="00330376"/>
    <w:rsid w:val="003316BF"/>
    <w:rsid w:val="0033473A"/>
    <w:rsid w:val="00334C25"/>
    <w:rsid w:val="00335670"/>
    <w:rsid w:val="003366C9"/>
    <w:rsid w:val="003371B0"/>
    <w:rsid w:val="003401B6"/>
    <w:rsid w:val="00342B4A"/>
    <w:rsid w:val="00346313"/>
    <w:rsid w:val="00346E71"/>
    <w:rsid w:val="0034771E"/>
    <w:rsid w:val="00347A1B"/>
    <w:rsid w:val="0035249A"/>
    <w:rsid w:val="00354536"/>
    <w:rsid w:val="00354639"/>
    <w:rsid w:val="00354680"/>
    <w:rsid w:val="00354EC2"/>
    <w:rsid w:val="0035620E"/>
    <w:rsid w:val="0036090B"/>
    <w:rsid w:val="003626DB"/>
    <w:rsid w:val="00362E5E"/>
    <w:rsid w:val="00377DD8"/>
    <w:rsid w:val="003825DC"/>
    <w:rsid w:val="00382DF0"/>
    <w:rsid w:val="00383516"/>
    <w:rsid w:val="0038365C"/>
    <w:rsid w:val="00384002"/>
    <w:rsid w:val="0038543E"/>
    <w:rsid w:val="0038730C"/>
    <w:rsid w:val="00395804"/>
    <w:rsid w:val="00395DA8"/>
    <w:rsid w:val="003968F6"/>
    <w:rsid w:val="00396B9D"/>
    <w:rsid w:val="00396FD0"/>
    <w:rsid w:val="00397A53"/>
    <w:rsid w:val="003A1A7A"/>
    <w:rsid w:val="003A30F9"/>
    <w:rsid w:val="003A4090"/>
    <w:rsid w:val="003A563C"/>
    <w:rsid w:val="003A5A54"/>
    <w:rsid w:val="003B1616"/>
    <w:rsid w:val="003B24F0"/>
    <w:rsid w:val="003B2AA3"/>
    <w:rsid w:val="003B5107"/>
    <w:rsid w:val="003B5E03"/>
    <w:rsid w:val="003B6206"/>
    <w:rsid w:val="003B621C"/>
    <w:rsid w:val="003B6CA5"/>
    <w:rsid w:val="003B7290"/>
    <w:rsid w:val="003B7AC2"/>
    <w:rsid w:val="003C1E98"/>
    <w:rsid w:val="003C29E3"/>
    <w:rsid w:val="003C2A94"/>
    <w:rsid w:val="003C3349"/>
    <w:rsid w:val="003C5C6D"/>
    <w:rsid w:val="003D1828"/>
    <w:rsid w:val="003D2422"/>
    <w:rsid w:val="003D287A"/>
    <w:rsid w:val="003D3364"/>
    <w:rsid w:val="003D4129"/>
    <w:rsid w:val="003D532F"/>
    <w:rsid w:val="003D6AC1"/>
    <w:rsid w:val="003D7020"/>
    <w:rsid w:val="003E4686"/>
    <w:rsid w:val="003E484C"/>
    <w:rsid w:val="003E5A6D"/>
    <w:rsid w:val="003E7237"/>
    <w:rsid w:val="003E7937"/>
    <w:rsid w:val="003E7ACC"/>
    <w:rsid w:val="003E7D4F"/>
    <w:rsid w:val="003F4156"/>
    <w:rsid w:val="003F73CE"/>
    <w:rsid w:val="00401202"/>
    <w:rsid w:val="004013DA"/>
    <w:rsid w:val="004022FD"/>
    <w:rsid w:val="00403A8E"/>
    <w:rsid w:val="004042A2"/>
    <w:rsid w:val="004068C3"/>
    <w:rsid w:val="00406DBC"/>
    <w:rsid w:val="00410708"/>
    <w:rsid w:val="00410EC7"/>
    <w:rsid w:val="00411393"/>
    <w:rsid w:val="00411C3D"/>
    <w:rsid w:val="00411C40"/>
    <w:rsid w:val="00412D35"/>
    <w:rsid w:val="004137AC"/>
    <w:rsid w:val="00414476"/>
    <w:rsid w:val="00414EE2"/>
    <w:rsid w:val="0041695A"/>
    <w:rsid w:val="00420B9F"/>
    <w:rsid w:val="00420EA0"/>
    <w:rsid w:val="00422961"/>
    <w:rsid w:val="0042304D"/>
    <w:rsid w:val="00423509"/>
    <w:rsid w:val="0043131D"/>
    <w:rsid w:val="004319F8"/>
    <w:rsid w:val="00432867"/>
    <w:rsid w:val="00433044"/>
    <w:rsid w:val="00433246"/>
    <w:rsid w:val="00437386"/>
    <w:rsid w:val="004401F2"/>
    <w:rsid w:val="00442D01"/>
    <w:rsid w:val="00442EF2"/>
    <w:rsid w:val="004443A7"/>
    <w:rsid w:val="004464EB"/>
    <w:rsid w:val="00446C7B"/>
    <w:rsid w:val="00450863"/>
    <w:rsid w:val="00451171"/>
    <w:rsid w:val="00453AD8"/>
    <w:rsid w:val="00453FFC"/>
    <w:rsid w:val="00454469"/>
    <w:rsid w:val="00454571"/>
    <w:rsid w:val="00454714"/>
    <w:rsid w:val="00455D45"/>
    <w:rsid w:val="00457D00"/>
    <w:rsid w:val="00460957"/>
    <w:rsid w:val="004614B7"/>
    <w:rsid w:val="00462508"/>
    <w:rsid w:val="00463E77"/>
    <w:rsid w:val="00464595"/>
    <w:rsid w:val="004650A8"/>
    <w:rsid w:val="00465F0C"/>
    <w:rsid w:val="00467CA4"/>
    <w:rsid w:val="00470B56"/>
    <w:rsid w:val="00473424"/>
    <w:rsid w:val="00476381"/>
    <w:rsid w:val="00480014"/>
    <w:rsid w:val="00480436"/>
    <w:rsid w:val="00482385"/>
    <w:rsid w:val="004842F5"/>
    <w:rsid w:val="00484851"/>
    <w:rsid w:val="004867E2"/>
    <w:rsid w:val="004878B1"/>
    <w:rsid w:val="004911FB"/>
    <w:rsid w:val="00491B3A"/>
    <w:rsid w:val="00492CFD"/>
    <w:rsid w:val="00493B7D"/>
    <w:rsid w:val="004942B8"/>
    <w:rsid w:val="00495EFB"/>
    <w:rsid w:val="004962D2"/>
    <w:rsid w:val="00497F71"/>
    <w:rsid w:val="004A0DA1"/>
    <w:rsid w:val="004A43F0"/>
    <w:rsid w:val="004A4DCB"/>
    <w:rsid w:val="004A6597"/>
    <w:rsid w:val="004B1CB4"/>
    <w:rsid w:val="004B2231"/>
    <w:rsid w:val="004B292E"/>
    <w:rsid w:val="004B2F18"/>
    <w:rsid w:val="004B3DDB"/>
    <w:rsid w:val="004B44FD"/>
    <w:rsid w:val="004B5220"/>
    <w:rsid w:val="004B5CFC"/>
    <w:rsid w:val="004B77DE"/>
    <w:rsid w:val="004C1A8D"/>
    <w:rsid w:val="004C2434"/>
    <w:rsid w:val="004C2B48"/>
    <w:rsid w:val="004C2FB9"/>
    <w:rsid w:val="004C3EF4"/>
    <w:rsid w:val="004C4AED"/>
    <w:rsid w:val="004C50B9"/>
    <w:rsid w:val="004C6D2E"/>
    <w:rsid w:val="004C7C00"/>
    <w:rsid w:val="004D30F0"/>
    <w:rsid w:val="004D49A5"/>
    <w:rsid w:val="004D5D80"/>
    <w:rsid w:val="004D64D9"/>
    <w:rsid w:val="004D7B5A"/>
    <w:rsid w:val="004E039F"/>
    <w:rsid w:val="004E0EB8"/>
    <w:rsid w:val="004E1DAF"/>
    <w:rsid w:val="004E227F"/>
    <w:rsid w:val="004E2ADC"/>
    <w:rsid w:val="004E43B2"/>
    <w:rsid w:val="004E4B6D"/>
    <w:rsid w:val="004E4C04"/>
    <w:rsid w:val="004E6EA3"/>
    <w:rsid w:val="004E7711"/>
    <w:rsid w:val="004F19DC"/>
    <w:rsid w:val="004F1D02"/>
    <w:rsid w:val="004F2679"/>
    <w:rsid w:val="004F4C1B"/>
    <w:rsid w:val="004F57DD"/>
    <w:rsid w:val="004F7865"/>
    <w:rsid w:val="00500781"/>
    <w:rsid w:val="00502C1D"/>
    <w:rsid w:val="005041FF"/>
    <w:rsid w:val="00505662"/>
    <w:rsid w:val="00505AA5"/>
    <w:rsid w:val="00506928"/>
    <w:rsid w:val="00507434"/>
    <w:rsid w:val="00507A97"/>
    <w:rsid w:val="005103DD"/>
    <w:rsid w:val="00513794"/>
    <w:rsid w:val="0051439F"/>
    <w:rsid w:val="005152B5"/>
    <w:rsid w:val="00517254"/>
    <w:rsid w:val="00521319"/>
    <w:rsid w:val="00522F18"/>
    <w:rsid w:val="0052306C"/>
    <w:rsid w:val="00523A07"/>
    <w:rsid w:val="00523C28"/>
    <w:rsid w:val="00524530"/>
    <w:rsid w:val="00525FBB"/>
    <w:rsid w:val="0052633D"/>
    <w:rsid w:val="005279E1"/>
    <w:rsid w:val="00527B38"/>
    <w:rsid w:val="0053138B"/>
    <w:rsid w:val="00533486"/>
    <w:rsid w:val="00533F0B"/>
    <w:rsid w:val="00541A7D"/>
    <w:rsid w:val="00541D7E"/>
    <w:rsid w:val="00542866"/>
    <w:rsid w:val="00542B44"/>
    <w:rsid w:val="00545318"/>
    <w:rsid w:val="005454E8"/>
    <w:rsid w:val="0054603D"/>
    <w:rsid w:val="005470F2"/>
    <w:rsid w:val="00550A76"/>
    <w:rsid w:val="00552BD3"/>
    <w:rsid w:val="00555109"/>
    <w:rsid w:val="00556764"/>
    <w:rsid w:val="0055684E"/>
    <w:rsid w:val="00556DD3"/>
    <w:rsid w:val="005572EB"/>
    <w:rsid w:val="00557329"/>
    <w:rsid w:val="00560F3C"/>
    <w:rsid w:val="005611CF"/>
    <w:rsid w:val="00561953"/>
    <w:rsid w:val="00562D39"/>
    <w:rsid w:val="00565D8A"/>
    <w:rsid w:val="0056696F"/>
    <w:rsid w:val="0057507D"/>
    <w:rsid w:val="00575D8D"/>
    <w:rsid w:val="00575DCD"/>
    <w:rsid w:val="00576972"/>
    <w:rsid w:val="00580A18"/>
    <w:rsid w:val="00582907"/>
    <w:rsid w:val="00583699"/>
    <w:rsid w:val="005855A1"/>
    <w:rsid w:val="00585BF8"/>
    <w:rsid w:val="00586DDB"/>
    <w:rsid w:val="00587361"/>
    <w:rsid w:val="00590549"/>
    <w:rsid w:val="00591078"/>
    <w:rsid w:val="00592C3F"/>
    <w:rsid w:val="005931F3"/>
    <w:rsid w:val="00594B66"/>
    <w:rsid w:val="005957BB"/>
    <w:rsid w:val="00597A95"/>
    <w:rsid w:val="005A38C2"/>
    <w:rsid w:val="005A59F2"/>
    <w:rsid w:val="005A5CE2"/>
    <w:rsid w:val="005A6576"/>
    <w:rsid w:val="005A7490"/>
    <w:rsid w:val="005B07A7"/>
    <w:rsid w:val="005B3AE5"/>
    <w:rsid w:val="005B463B"/>
    <w:rsid w:val="005B4A3C"/>
    <w:rsid w:val="005B4C38"/>
    <w:rsid w:val="005B5857"/>
    <w:rsid w:val="005B6589"/>
    <w:rsid w:val="005B66A3"/>
    <w:rsid w:val="005B6B1E"/>
    <w:rsid w:val="005C0AC7"/>
    <w:rsid w:val="005C0EEB"/>
    <w:rsid w:val="005C1B83"/>
    <w:rsid w:val="005C346B"/>
    <w:rsid w:val="005C4DF0"/>
    <w:rsid w:val="005D044D"/>
    <w:rsid w:val="005D0509"/>
    <w:rsid w:val="005D0990"/>
    <w:rsid w:val="005D18AD"/>
    <w:rsid w:val="005D7E85"/>
    <w:rsid w:val="005E04C1"/>
    <w:rsid w:val="005E1455"/>
    <w:rsid w:val="005E238A"/>
    <w:rsid w:val="005E3A70"/>
    <w:rsid w:val="005E5A57"/>
    <w:rsid w:val="005E5D3F"/>
    <w:rsid w:val="005E73C0"/>
    <w:rsid w:val="005E775E"/>
    <w:rsid w:val="005F2706"/>
    <w:rsid w:val="005F4332"/>
    <w:rsid w:val="005F4DC6"/>
    <w:rsid w:val="005F4F1F"/>
    <w:rsid w:val="005F6A8F"/>
    <w:rsid w:val="0060160B"/>
    <w:rsid w:val="00602A43"/>
    <w:rsid w:val="006032EB"/>
    <w:rsid w:val="006040E1"/>
    <w:rsid w:val="00604296"/>
    <w:rsid w:val="00605210"/>
    <w:rsid w:val="00605C23"/>
    <w:rsid w:val="006069DE"/>
    <w:rsid w:val="00607669"/>
    <w:rsid w:val="006129BC"/>
    <w:rsid w:val="00612F97"/>
    <w:rsid w:val="00616802"/>
    <w:rsid w:val="00617E12"/>
    <w:rsid w:val="006202AA"/>
    <w:rsid w:val="00621477"/>
    <w:rsid w:val="00622476"/>
    <w:rsid w:val="006224F4"/>
    <w:rsid w:val="00623ED2"/>
    <w:rsid w:val="0062406F"/>
    <w:rsid w:val="006264E7"/>
    <w:rsid w:val="00631D6B"/>
    <w:rsid w:val="00631EDA"/>
    <w:rsid w:val="0063263E"/>
    <w:rsid w:val="006334BD"/>
    <w:rsid w:val="0063479F"/>
    <w:rsid w:val="00635164"/>
    <w:rsid w:val="00635FCC"/>
    <w:rsid w:val="006364A1"/>
    <w:rsid w:val="00637BFD"/>
    <w:rsid w:val="00641B3B"/>
    <w:rsid w:val="00643E17"/>
    <w:rsid w:val="0064495E"/>
    <w:rsid w:val="006461EB"/>
    <w:rsid w:val="006471CC"/>
    <w:rsid w:val="00647244"/>
    <w:rsid w:val="00647D27"/>
    <w:rsid w:val="0065079F"/>
    <w:rsid w:val="00654845"/>
    <w:rsid w:val="00654E04"/>
    <w:rsid w:val="006555BB"/>
    <w:rsid w:val="006562EC"/>
    <w:rsid w:val="00657BC5"/>
    <w:rsid w:val="00660BB2"/>
    <w:rsid w:val="00662B25"/>
    <w:rsid w:val="006652DD"/>
    <w:rsid w:val="00666B55"/>
    <w:rsid w:val="006673BE"/>
    <w:rsid w:val="006722D0"/>
    <w:rsid w:val="00672367"/>
    <w:rsid w:val="00673890"/>
    <w:rsid w:val="00674B19"/>
    <w:rsid w:val="00674E42"/>
    <w:rsid w:val="00675767"/>
    <w:rsid w:val="00675F6D"/>
    <w:rsid w:val="00676822"/>
    <w:rsid w:val="006770B4"/>
    <w:rsid w:val="00677A01"/>
    <w:rsid w:val="006805C1"/>
    <w:rsid w:val="00681584"/>
    <w:rsid w:val="00682112"/>
    <w:rsid w:val="00683EF3"/>
    <w:rsid w:val="006841D3"/>
    <w:rsid w:val="006872BA"/>
    <w:rsid w:val="00687674"/>
    <w:rsid w:val="00687F47"/>
    <w:rsid w:val="00690D8D"/>
    <w:rsid w:val="006917D7"/>
    <w:rsid w:val="00691852"/>
    <w:rsid w:val="00691D03"/>
    <w:rsid w:val="0069254B"/>
    <w:rsid w:val="006948F6"/>
    <w:rsid w:val="00694F44"/>
    <w:rsid w:val="006A289C"/>
    <w:rsid w:val="006A7477"/>
    <w:rsid w:val="006B109D"/>
    <w:rsid w:val="006B11A1"/>
    <w:rsid w:val="006B21B5"/>
    <w:rsid w:val="006B7166"/>
    <w:rsid w:val="006C2A8E"/>
    <w:rsid w:val="006C34EA"/>
    <w:rsid w:val="006C3F47"/>
    <w:rsid w:val="006C74B4"/>
    <w:rsid w:val="006D263F"/>
    <w:rsid w:val="006D26E0"/>
    <w:rsid w:val="006D29FD"/>
    <w:rsid w:val="006D3C24"/>
    <w:rsid w:val="006D3C7D"/>
    <w:rsid w:val="006D4A14"/>
    <w:rsid w:val="006D536B"/>
    <w:rsid w:val="006D5844"/>
    <w:rsid w:val="006D5D5F"/>
    <w:rsid w:val="006D6279"/>
    <w:rsid w:val="006D6B0E"/>
    <w:rsid w:val="006D731A"/>
    <w:rsid w:val="006D7AD0"/>
    <w:rsid w:val="006D7CC2"/>
    <w:rsid w:val="006E0D05"/>
    <w:rsid w:val="006E16B5"/>
    <w:rsid w:val="006E1D7C"/>
    <w:rsid w:val="006E2781"/>
    <w:rsid w:val="006E6FC4"/>
    <w:rsid w:val="006E7FD7"/>
    <w:rsid w:val="006F1620"/>
    <w:rsid w:val="006F1A10"/>
    <w:rsid w:val="006F1B0B"/>
    <w:rsid w:val="006F52B0"/>
    <w:rsid w:val="006F63A5"/>
    <w:rsid w:val="006F7B8C"/>
    <w:rsid w:val="00700229"/>
    <w:rsid w:val="0070276E"/>
    <w:rsid w:val="0070297E"/>
    <w:rsid w:val="00702F8F"/>
    <w:rsid w:val="00707BD8"/>
    <w:rsid w:val="0071016C"/>
    <w:rsid w:val="00711A36"/>
    <w:rsid w:val="0071289B"/>
    <w:rsid w:val="00713137"/>
    <w:rsid w:val="007172AD"/>
    <w:rsid w:val="007203B9"/>
    <w:rsid w:val="007224F8"/>
    <w:rsid w:val="00723C14"/>
    <w:rsid w:val="0072416F"/>
    <w:rsid w:val="00727307"/>
    <w:rsid w:val="007315F3"/>
    <w:rsid w:val="00735328"/>
    <w:rsid w:val="0073685B"/>
    <w:rsid w:val="00740087"/>
    <w:rsid w:val="007417B5"/>
    <w:rsid w:val="00741981"/>
    <w:rsid w:val="007451D5"/>
    <w:rsid w:val="00745CC9"/>
    <w:rsid w:val="00746D69"/>
    <w:rsid w:val="00746ED7"/>
    <w:rsid w:val="00750493"/>
    <w:rsid w:val="00752BCE"/>
    <w:rsid w:val="007539B7"/>
    <w:rsid w:val="00753A31"/>
    <w:rsid w:val="007573CD"/>
    <w:rsid w:val="00757DE5"/>
    <w:rsid w:val="00760929"/>
    <w:rsid w:val="00761B50"/>
    <w:rsid w:val="00765D6C"/>
    <w:rsid w:val="00767230"/>
    <w:rsid w:val="00771BAF"/>
    <w:rsid w:val="007730E6"/>
    <w:rsid w:val="00774CCE"/>
    <w:rsid w:val="00775ABE"/>
    <w:rsid w:val="0078015C"/>
    <w:rsid w:val="007825C2"/>
    <w:rsid w:val="007916DF"/>
    <w:rsid w:val="0079186D"/>
    <w:rsid w:val="00794705"/>
    <w:rsid w:val="00795187"/>
    <w:rsid w:val="00796A43"/>
    <w:rsid w:val="00796A83"/>
    <w:rsid w:val="00796BD6"/>
    <w:rsid w:val="0079733D"/>
    <w:rsid w:val="007A0A12"/>
    <w:rsid w:val="007A15FA"/>
    <w:rsid w:val="007A363D"/>
    <w:rsid w:val="007A4DFD"/>
    <w:rsid w:val="007A60CC"/>
    <w:rsid w:val="007B1D44"/>
    <w:rsid w:val="007B251D"/>
    <w:rsid w:val="007B4831"/>
    <w:rsid w:val="007B69C0"/>
    <w:rsid w:val="007B774C"/>
    <w:rsid w:val="007B77D1"/>
    <w:rsid w:val="007C043D"/>
    <w:rsid w:val="007C04C0"/>
    <w:rsid w:val="007C1744"/>
    <w:rsid w:val="007C1CEA"/>
    <w:rsid w:val="007C32E9"/>
    <w:rsid w:val="007C361D"/>
    <w:rsid w:val="007C36D9"/>
    <w:rsid w:val="007C7D6D"/>
    <w:rsid w:val="007D007F"/>
    <w:rsid w:val="007D0B38"/>
    <w:rsid w:val="007D1936"/>
    <w:rsid w:val="007D1C4E"/>
    <w:rsid w:val="007D4DAC"/>
    <w:rsid w:val="007D5197"/>
    <w:rsid w:val="007D7134"/>
    <w:rsid w:val="007E05C9"/>
    <w:rsid w:val="007E1874"/>
    <w:rsid w:val="007E1BF3"/>
    <w:rsid w:val="007E2107"/>
    <w:rsid w:val="007E271B"/>
    <w:rsid w:val="007E7B3D"/>
    <w:rsid w:val="007F0EBB"/>
    <w:rsid w:val="007F1017"/>
    <w:rsid w:val="007F260D"/>
    <w:rsid w:val="007F4A3F"/>
    <w:rsid w:val="007F53A7"/>
    <w:rsid w:val="007F54DD"/>
    <w:rsid w:val="007F560D"/>
    <w:rsid w:val="007F568F"/>
    <w:rsid w:val="007F56B6"/>
    <w:rsid w:val="007F6557"/>
    <w:rsid w:val="007F7D69"/>
    <w:rsid w:val="00801CB8"/>
    <w:rsid w:val="00802643"/>
    <w:rsid w:val="00802DF7"/>
    <w:rsid w:val="008030DF"/>
    <w:rsid w:val="00805142"/>
    <w:rsid w:val="00805B2F"/>
    <w:rsid w:val="0080684A"/>
    <w:rsid w:val="00807A8B"/>
    <w:rsid w:val="00807B11"/>
    <w:rsid w:val="00807B96"/>
    <w:rsid w:val="008104EA"/>
    <w:rsid w:val="00812149"/>
    <w:rsid w:val="0081451E"/>
    <w:rsid w:val="00814A02"/>
    <w:rsid w:val="0081647C"/>
    <w:rsid w:val="008166EF"/>
    <w:rsid w:val="00816E4B"/>
    <w:rsid w:val="00821F75"/>
    <w:rsid w:val="00822409"/>
    <w:rsid w:val="008226A5"/>
    <w:rsid w:val="00824A37"/>
    <w:rsid w:val="008264EB"/>
    <w:rsid w:val="00830576"/>
    <w:rsid w:val="00830720"/>
    <w:rsid w:val="00833B05"/>
    <w:rsid w:val="00834A7C"/>
    <w:rsid w:val="0083519A"/>
    <w:rsid w:val="00840CA2"/>
    <w:rsid w:val="00841D74"/>
    <w:rsid w:val="00843407"/>
    <w:rsid w:val="00843B66"/>
    <w:rsid w:val="00844811"/>
    <w:rsid w:val="008449F4"/>
    <w:rsid w:val="00846D9C"/>
    <w:rsid w:val="00850582"/>
    <w:rsid w:val="0085116B"/>
    <w:rsid w:val="00852F07"/>
    <w:rsid w:val="008531FB"/>
    <w:rsid w:val="00854323"/>
    <w:rsid w:val="00856CE7"/>
    <w:rsid w:val="00856E9A"/>
    <w:rsid w:val="00856F04"/>
    <w:rsid w:val="0085773C"/>
    <w:rsid w:val="00862502"/>
    <w:rsid w:val="008651A2"/>
    <w:rsid w:val="008663DB"/>
    <w:rsid w:val="008670DD"/>
    <w:rsid w:val="00871141"/>
    <w:rsid w:val="008711DE"/>
    <w:rsid w:val="0087388A"/>
    <w:rsid w:val="0087412F"/>
    <w:rsid w:val="0087458C"/>
    <w:rsid w:val="00874B63"/>
    <w:rsid w:val="00875259"/>
    <w:rsid w:val="008767AD"/>
    <w:rsid w:val="00880066"/>
    <w:rsid w:val="00880219"/>
    <w:rsid w:val="00880627"/>
    <w:rsid w:val="00880839"/>
    <w:rsid w:val="00882103"/>
    <w:rsid w:val="00882874"/>
    <w:rsid w:val="00882AB6"/>
    <w:rsid w:val="00883787"/>
    <w:rsid w:val="0088454D"/>
    <w:rsid w:val="008857B8"/>
    <w:rsid w:val="00892C33"/>
    <w:rsid w:val="00894489"/>
    <w:rsid w:val="00895026"/>
    <w:rsid w:val="0089563D"/>
    <w:rsid w:val="0089571F"/>
    <w:rsid w:val="00896041"/>
    <w:rsid w:val="008963A5"/>
    <w:rsid w:val="008973BB"/>
    <w:rsid w:val="008A1945"/>
    <w:rsid w:val="008A3C3E"/>
    <w:rsid w:val="008A653B"/>
    <w:rsid w:val="008A79DE"/>
    <w:rsid w:val="008A79FF"/>
    <w:rsid w:val="008B3584"/>
    <w:rsid w:val="008B3E2B"/>
    <w:rsid w:val="008B5A24"/>
    <w:rsid w:val="008B5E16"/>
    <w:rsid w:val="008B7316"/>
    <w:rsid w:val="008B7D7E"/>
    <w:rsid w:val="008C23DB"/>
    <w:rsid w:val="008C3EE0"/>
    <w:rsid w:val="008C3FD3"/>
    <w:rsid w:val="008C4B04"/>
    <w:rsid w:val="008C5F98"/>
    <w:rsid w:val="008C683F"/>
    <w:rsid w:val="008C7AAC"/>
    <w:rsid w:val="008C7ECB"/>
    <w:rsid w:val="008D0370"/>
    <w:rsid w:val="008D07F1"/>
    <w:rsid w:val="008D1390"/>
    <w:rsid w:val="008D63CD"/>
    <w:rsid w:val="008D6E02"/>
    <w:rsid w:val="008D778D"/>
    <w:rsid w:val="008E1B9E"/>
    <w:rsid w:val="008E1BF4"/>
    <w:rsid w:val="008E20B3"/>
    <w:rsid w:val="008E2E8F"/>
    <w:rsid w:val="008E5A25"/>
    <w:rsid w:val="008E6329"/>
    <w:rsid w:val="008E6642"/>
    <w:rsid w:val="008E6740"/>
    <w:rsid w:val="008F0169"/>
    <w:rsid w:val="008F0285"/>
    <w:rsid w:val="008F09B1"/>
    <w:rsid w:val="008F120A"/>
    <w:rsid w:val="008F2E3E"/>
    <w:rsid w:val="008F48EB"/>
    <w:rsid w:val="008F4F0B"/>
    <w:rsid w:val="008F6E56"/>
    <w:rsid w:val="008F7AE5"/>
    <w:rsid w:val="008F7E87"/>
    <w:rsid w:val="00900D0B"/>
    <w:rsid w:val="00901245"/>
    <w:rsid w:val="00901447"/>
    <w:rsid w:val="009015E1"/>
    <w:rsid w:val="00901D49"/>
    <w:rsid w:val="009024C0"/>
    <w:rsid w:val="0090273E"/>
    <w:rsid w:val="009028FA"/>
    <w:rsid w:val="00904D99"/>
    <w:rsid w:val="009055BD"/>
    <w:rsid w:val="009062A5"/>
    <w:rsid w:val="009065E7"/>
    <w:rsid w:val="00907C67"/>
    <w:rsid w:val="0091002C"/>
    <w:rsid w:val="00911272"/>
    <w:rsid w:val="00911AB2"/>
    <w:rsid w:val="009125B6"/>
    <w:rsid w:val="00913FFF"/>
    <w:rsid w:val="00914E67"/>
    <w:rsid w:val="00916801"/>
    <w:rsid w:val="00916DF1"/>
    <w:rsid w:val="00917A4B"/>
    <w:rsid w:val="00920ECC"/>
    <w:rsid w:val="009213ED"/>
    <w:rsid w:val="00921789"/>
    <w:rsid w:val="00922685"/>
    <w:rsid w:val="00924331"/>
    <w:rsid w:val="00924F7E"/>
    <w:rsid w:val="00926587"/>
    <w:rsid w:val="00926795"/>
    <w:rsid w:val="009272BE"/>
    <w:rsid w:val="00931D8B"/>
    <w:rsid w:val="00934270"/>
    <w:rsid w:val="00934537"/>
    <w:rsid w:val="00936476"/>
    <w:rsid w:val="00940113"/>
    <w:rsid w:val="00940A0A"/>
    <w:rsid w:val="00941EA7"/>
    <w:rsid w:val="009423E6"/>
    <w:rsid w:val="0094319E"/>
    <w:rsid w:val="00943DC7"/>
    <w:rsid w:val="00943FA2"/>
    <w:rsid w:val="009445DE"/>
    <w:rsid w:val="009448D5"/>
    <w:rsid w:val="00945E1F"/>
    <w:rsid w:val="00946662"/>
    <w:rsid w:val="00946DCC"/>
    <w:rsid w:val="009475C5"/>
    <w:rsid w:val="009479ED"/>
    <w:rsid w:val="00950239"/>
    <w:rsid w:val="009526D6"/>
    <w:rsid w:val="00953178"/>
    <w:rsid w:val="009543B2"/>
    <w:rsid w:val="00954CA7"/>
    <w:rsid w:val="0095723B"/>
    <w:rsid w:val="00961487"/>
    <w:rsid w:val="00961A35"/>
    <w:rsid w:val="00962CB9"/>
    <w:rsid w:val="00962E81"/>
    <w:rsid w:val="00963052"/>
    <w:rsid w:val="00963F97"/>
    <w:rsid w:val="00964312"/>
    <w:rsid w:val="0096568F"/>
    <w:rsid w:val="00965EC6"/>
    <w:rsid w:val="00966A80"/>
    <w:rsid w:val="00967F8D"/>
    <w:rsid w:val="00971828"/>
    <w:rsid w:val="00974C33"/>
    <w:rsid w:val="00974DBF"/>
    <w:rsid w:val="009754A7"/>
    <w:rsid w:val="00983E57"/>
    <w:rsid w:val="00985FFD"/>
    <w:rsid w:val="00986435"/>
    <w:rsid w:val="00990552"/>
    <w:rsid w:val="00991459"/>
    <w:rsid w:val="009934E2"/>
    <w:rsid w:val="009936C1"/>
    <w:rsid w:val="00994825"/>
    <w:rsid w:val="009966BD"/>
    <w:rsid w:val="00996B1A"/>
    <w:rsid w:val="00996C0D"/>
    <w:rsid w:val="00997B6C"/>
    <w:rsid w:val="00997D12"/>
    <w:rsid w:val="009A0182"/>
    <w:rsid w:val="009A09FF"/>
    <w:rsid w:val="009A3CF5"/>
    <w:rsid w:val="009A3F4B"/>
    <w:rsid w:val="009A5F18"/>
    <w:rsid w:val="009A63DA"/>
    <w:rsid w:val="009A6C26"/>
    <w:rsid w:val="009A7D7A"/>
    <w:rsid w:val="009B01B5"/>
    <w:rsid w:val="009B27A7"/>
    <w:rsid w:val="009B3E26"/>
    <w:rsid w:val="009B47D8"/>
    <w:rsid w:val="009C1A9B"/>
    <w:rsid w:val="009C5C41"/>
    <w:rsid w:val="009C7E56"/>
    <w:rsid w:val="009D09BD"/>
    <w:rsid w:val="009D2F63"/>
    <w:rsid w:val="009D35FB"/>
    <w:rsid w:val="009D3704"/>
    <w:rsid w:val="009D52D4"/>
    <w:rsid w:val="009D5B91"/>
    <w:rsid w:val="009D6A12"/>
    <w:rsid w:val="009D6CEB"/>
    <w:rsid w:val="009D7671"/>
    <w:rsid w:val="009E1DEA"/>
    <w:rsid w:val="009E29C6"/>
    <w:rsid w:val="009E2B6A"/>
    <w:rsid w:val="009E40B0"/>
    <w:rsid w:val="009E4C07"/>
    <w:rsid w:val="009E6823"/>
    <w:rsid w:val="009F2490"/>
    <w:rsid w:val="009F36DB"/>
    <w:rsid w:val="009F399E"/>
    <w:rsid w:val="009F3C39"/>
    <w:rsid w:val="009F56BB"/>
    <w:rsid w:val="009F5D40"/>
    <w:rsid w:val="00A010B5"/>
    <w:rsid w:val="00A0224A"/>
    <w:rsid w:val="00A02A0B"/>
    <w:rsid w:val="00A03D43"/>
    <w:rsid w:val="00A04380"/>
    <w:rsid w:val="00A04C0E"/>
    <w:rsid w:val="00A058D7"/>
    <w:rsid w:val="00A11DA4"/>
    <w:rsid w:val="00A123B2"/>
    <w:rsid w:val="00A13948"/>
    <w:rsid w:val="00A13AC3"/>
    <w:rsid w:val="00A24D76"/>
    <w:rsid w:val="00A25A50"/>
    <w:rsid w:val="00A2644D"/>
    <w:rsid w:val="00A26E09"/>
    <w:rsid w:val="00A27AEC"/>
    <w:rsid w:val="00A344E6"/>
    <w:rsid w:val="00A354DC"/>
    <w:rsid w:val="00A35D16"/>
    <w:rsid w:val="00A36477"/>
    <w:rsid w:val="00A366D2"/>
    <w:rsid w:val="00A374B9"/>
    <w:rsid w:val="00A40155"/>
    <w:rsid w:val="00A40C17"/>
    <w:rsid w:val="00A4177D"/>
    <w:rsid w:val="00A41832"/>
    <w:rsid w:val="00A43C59"/>
    <w:rsid w:val="00A45A84"/>
    <w:rsid w:val="00A471FF"/>
    <w:rsid w:val="00A476A0"/>
    <w:rsid w:val="00A501C1"/>
    <w:rsid w:val="00A50ECD"/>
    <w:rsid w:val="00A512E9"/>
    <w:rsid w:val="00A52729"/>
    <w:rsid w:val="00A53675"/>
    <w:rsid w:val="00A53BB0"/>
    <w:rsid w:val="00A56B6A"/>
    <w:rsid w:val="00A578DC"/>
    <w:rsid w:val="00A60755"/>
    <w:rsid w:val="00A619DD"/>
    <w:rsid w:val="00A62135"/>
    <w:rsid w:val="00A63193"/>
    <w:rsid w:val="00A66562"/>
    <w:rsid w:val="00A6725B"/>
    <w:rsid w:val="00A67F9C"/>
    <w:rsid w:val="00A7136F"/>
    <w:rsid w:val="00A71446"/>
    <w:rsid w:val="00A714E3"/>
    <w:rsid w:val="00A7269D"/>
    <w:rsid w:val="00A7344B"/>
    <w:rsid w:val="00A73CF8"/>
    <w:rsid w:val="00A745DF"/>
    <w:rsid w:val="00A761F6"/>
    <w:rsid w:val="00A76606"/>
    <w:rsid w:val="00A81001"/>
    <w:rsid w:val="00A82F24"/>
    <w:rsid w:val="00A838C5"/>
    <w:rsid w:val="00A8394D"/>
    <w:rsid w:val="00A852CD"/>
    <w:rsid w:val="00A8543B"/>
    <w:rsid w:val="00A86535"/>
    <w:rsid w:val="00A86E8B"/>
    <w:rsid w:val="00A87DE0"/>
    <w:rsid w:val="00A913C0"/>
    <w:rsid w:val="00A93072"/>
    <w:rsid w:val="00A931E3"/>
    <w:rsid w:val="00A93E1F"/>
    <w:rsid w:val="00A959D8"/>
    <w:rsid w:val="00A96977"/>
    <w:rsid w:val="00AA171E"/>
    <w:rsid w:val="00AA3CC7"/>
    <w:rsid w:val="00AA4C0A"/>
    <w:rsid w:val="00AA4E20"/>
    <w:rsid w:val="00AA58E9"/>
    <w:rsid w:val="00AA7275"/>
    <w:rsid w:val="00AA7605"/>
    <w:rsid w:val="00AA7B5F"/>
    <w:rsid w:val="00AB042A"/>
    <w:rsid w:val="00AB2D34"/>
    <w:rsid w:val="00AB3430"/>
    <w:rsid w:val="00AB37D8"/>
    <w:rsid w:val="00AB3B45"/>
    <w:rsid w:val="00AB7415"/>
    <w:rsid w:val="00AB7CFA"/>
    <w:rsid w:val="00AC057C"/>
    <w:rsid w:val="00AC27EF"/>
    <w:rsid w:val="00AD037D"/>
    <w:rsid w:val="00AD25BE"/>
    <w:rsid w:val="00AD2FE8"/>
    <w:rsid w:val="00AD703E"/>
    <w:rsid w:val="00AE0E93"/>
    <w:rsid w:val="00AE19C6"/>
    <w:rsid w:val="00AE2D51"/>
    <w:rsid w:val="00AE3197"/>
    <w:rsid w:val="00AE354C"/>
    <w:rsid w:val="00AE388D"/>
    <w:rsid w:val="00AE3B04"/>
    <w:rsid w:val="00AE6EC9"/>
    <w:rsid w:val="00AE7AE9"/>
    <w:rsid w:val="00AF07A9"/>
    <w:rsid w:val="00AF1F81"/>
    <w:rsid w:val="00AF230A"/>
    <w:rsid w:val="00AF7797"/>
    <w:rsid w:val="00B0034D"/>
    <w:rsid w:val="00B004C0"/>
    <w:rsid w:val="00B07975"/>
    <w:rsid w:val="00B1186E"/>
    <w:rsid w:val="00B11CBF"/>
    <w:rsid w:val="00B12831"/>
    <w:rsid w:val="00B1394C"/>
    <w:rsid w:val="00B1395A"/>
    <w:rsid w:val="00B201D4"/>
    <w:rsid w:val="00B251F9"/>
    <w:rsid w:val="00B27E33"/>
    <w:rsid w:val="00B31F76"/>
    <w:rsid w:val="00B32FC9"/>
    <w:rsid w:val="00B34091"/>
    <w:rsid w:val="00B3565F"/>
    <w:rsid w:val="00B36343"/>
    <w:rsid w:val="00B36621"/>
    <w:rsid w:val="00B36D59"/>
    <w:rsid w:val="00B37190"/>
    <w:rsid w:val="00B41723"/>
    <w:rsid w:val="00B42851"/>
    <w:rsid w:val="00B429A1"/>
    <w:rsid w:val="00B4448C"/>
    <w:rsid w:val="00B50DB8"/>
    <w:rsid w:val="00B51B09"/>
    <w:rsid w:val="00B534C5"/>
    <w:rsid w:val="00B53905"/>
    <w:rsid w:val="00B54332"/>
    <w:rsid w:val="00B54352"/>
    <w:rsid w:val="00B54B5B"/>
    <w:rsid w:val="00B5562E"/>
    <w:rsid w:val="00B55980"/>
    <w:rsid w:val="00B55A88"/>
    <w:rsid w:val="00B55EFF"/>
    <w:rsid w:val="00B57000"/>
    <w:rsid w:val="00B60939"/>
    <w:rsid w:val="00B60AFD"/>
    <w:rsid w:val="00B622CC"/>
    <w:rsid w:val="00B62715"/>
    <w:rsid w:val="00B66166"/>
    <w:rsid w:val="00B7074E"/>
    <w:rsid w:val="00B71356"/>
    <w:rsid w:val="00B72459"/>
    <w:rsid w:val="00B75878"/>
    <w:rsid w:val="00B76097"/>
    <w:rsid w:val="00B77437"/>
    <w:rsid w:val="00B818A4"/>
    <w:rsid w:val="00B8197D"/>
    <w:rsid w:val="00B824A2"/>
    <w:rsid w:val="00B83D8F"/>
    <w:rsid w:val="00B85715"/>
    <w:rsid w:val="00B85BF7"/>
    <w:rsid w:val="00B85D69"/>
    <w:rsid w:val="00B86140"/>
    <w:rsid w:val="00B8649C"/>
    <w:rsid w:val="00B904C7"/>
    <w:rsid w:val="00B90869"/>
    <w:rsid w:val="00B9153B"/>
    <w:rsid w:val="00B927CF"/>
    <w:rsid w:val="00B92D0B"/>
    <w:rsid w:val="00B93B9D"/>
    <w:rsid w:val="00B94945"/>
    <w:rsid w:val="00BA0752"/>
    <w:rsid w:val="00BA6FDA"/>
    <w:rsid w:val="00BB16C6"/>
    <w:rsid w:val="00BB2380"/>
    <w:rsid w:val="00BB3184"/>
    <w:rsid w:val="00BB3290"/>
    <w:rsid w:val="00BB36C3"/>
    <w:rsid w:val="00BB474C"/>
    <w:rsid w:val="00BB49CD"/>
    <w:rsid w:val="00BB4DD6"/>
    <w:rsid w:val="00BB56D6"/>
    <w:rsid w:val="00BB61D7"/>
    <w:rsid w:val="00BB62F9"/>
    <w:rsid w:val="00BB647E"/>
    <w:rsid w:val="00BB7405"/>
    <w:rsid w:val="00BC0363"/>
    <w:rsid w:val="00BC0FE9"/>
    <w:rsid w:val="00BC1FB0"/>
    <w:rsid w:val="00BC37C6"/>
    <w:rsid w:val="00BC3D0E"/>
    <w:rsid w:val="00BC43C9"/>
    <w:rsid w:val="00BC63E5"/>
    <w:rsid w:val="00BC7135"/>
    <w:rsid w:val="00BD00DF"/>
    <w:rsid w:val="00BD0CC5"/>
    <w:rsid w:val="00BD153E"/>
    <w:rsid w:val="00BD155C"/>
    <w:rsid w:val="00BD2D56"/>
    <w:rsid w:val="00BD312F"/>
    <w:rsid w:val="00BD423C"/>
    <w:rsid w:val="00BD4461"/>
    <w:rsid w:val="00BD5543"/>
    <w:rsid w:val="00BD61B0"/>
    <w:rsid w:val="00BD681D"/>
    <w:rsid w:val="00BD6C5E"/>
    <w:rsid w:val="00BD6CF3"/>
    <w:rsid w:val="00BD7723"/>
    <w:rsid w:val="00BE2180"/>
    <w:rsid w:val="00BE3EBA"/>
    <w:rsid w:val="00BE4275"/>
    <w:rsid w:val="00BE5086"/>
    <w:rsid w:val="00BF0239"/>
    <w:rsid w:val="00BF0ED9"/>
    <w:rsid w:val="00BF0F5F"/>
    <w:rsid w:val="00BF22B2"/>
    <w:rsid w:val="00BF2433"/>
    <w:rsid w:val="00BF2D51"/>
    <w:rsid w:val="00BF2FB4"/>
    <w:rsid w:val="00BF4D94"/>
    <w:rsid w:val="00BF61C9"/>
    <w:rsid w:val="00BF73E8"/>
    <w:rsid w:val="00C01283"/>
    <w:rsid w:val="00C01D62"/>
    <w:rsid w:val="00C0378D"/>
    <w:rsid w:val="00C03E8F"/>
    <w:rsid w:val="00C04496"/>
    <w:rsid w:val="00C1006D"/>
    <w:rsid w:val="00C1094C"/>
    <w:rsid w:val="00C11E68"/>
    <w:rsid w:val="00C126EE"/>
    <w:rsid w:val="00C12C80"/>
    <w:rsid w:val="00C12F39"/>
    <w:rsid w:val="00C13D95"/>
    <w:rsid w:val="00C14815"/>
    <w:rsid w:val="00C156AA"/>
    <w:rsid w:val="00C15ADD"/>
    <w:rsid w:val="00C25418"/>
    <w:rsid w:val="00C25D9C"/>
    <w:rsid w:val="00C27E08"/>
    <w:rsid w:val="00C3047B"/>
    <w:rsid w:val="00C30C4D"/>
    <w:rsid w:val="00C31617"/>
    <w:rsid w:val="00C31649"/>
    <w:rsid w:val="00C31C75"/>
    <w:rsid w:val="00C3478A"/>
    <w:rsid w:val="00C367A7"/>
    <w:rsid w:val="00C40385"/>
    <w:rsid w:val="00C40765"/>
    <w:rsid w:val="00C40CD4"/>
    <w:rsid w:val="00C416F9"/>
    <w:rsid w:val="00C439EB"/>
    <w:rsid w:val="00C440B0"/>
    <w:rsid w:val="00C47B3C"/>
    <w:rsid w:val="00C52658"/>
    <w:rsid w:val="00C526B3"/>
    <w:rsid w:val="00C52ED3"/>
    <w:rsid w:val="00C549B9"/>
    <w:rsid w:val="00C5649A"/>
    <w:rsid w:val="00C56C09"/>
    <w:rsid w:val="00C61994"/>
    <w:rsid w:val="00C620AB"/>
    <w:rsid w:val="00C624BF"/>
    <w:rsid w:val="00C63E44"/>
    <w:rsid w:val="00C65576"/>
    <w:rsid w:val="00C66165"/>
    <w:rsid w:val="00C7140F"/>
    <w:rsid w:val="00C72FAD"/>
    <w:rsid w:val="00C74FF7"/>
    <w:rsid w:val="00C750C8"/>
    <w:rsid w:val="00C805BC"/>
    <w:rsid w:val="00C80898"/>
    <w:rsid w:val="00C81C18"/>
    <w:rsid w:val="00C81E3B"/>
    <w:rsid w:val="00C8213F"/>
    <w:rsid w:val="00C853B1"/>
    <w:rsid w:val="00C8797A"/>
    <w:rsid w:val="00C92AF3"/>
    <w:rsid w:val="00C938CF"/>
    <w:rsid w:val="00C93F84"/>
    <w:rsid w:val="00C944F4"/>
    <w:rsid w:val="00C94856"/>
    <w:rsid w:val="00C97691"/>
    <w:rsid w:val="00CA0D76"/>
    <w:rsid w:val="00CA208A"/>
    <w:rsid w:val="00CA223B"/>
    <w:rsid w:val="00CA5245"/>
    <w:rsid w:val="00CA646A"/>
    <w:rsid w:val="00CA7B09"/>
    <w:rsid w:val="00CB089D"/>
    <w:rsid w:val="00CB111D"/>
    <w:rsid w:val="00CB1453"/>
    <w:rsid w:val="00CB32F2"/>
    <w:rsid w:val="00CB3388"/>
    <w:rsid w:val="00CB5526"/>
    <w:rsid w:val="00CB5888"/>
    <w:rsid w:val="00CB5B1A"/>
    <w:rsid w:val="00CB64B5"/>
    <w:rsid w:val="00CC5FFA"/>
    <w:rsid w:val="00CC70F3"/>
    <w:rsid w:val="00CD29D6"/>
    <w:rsid w:val="00CD29E3"/>
    <w:rsid w:val="00CD326A"/>
    <w:rsid w:val="00CD34CF"/>
    <w:rsid w:val="00CD4231"/>
    <w:rsid w:val="00CD4DDE"/>
    <w:rsid w:val="00CD4EB5"/>
    <w:rsid w:val="00CD5D78"/>
    <w:rsid w:val="00CD6ADC"/>
    <w:rsid w:val="00CD788E"/>
    <w:rsid w:val="00CE0944"/>
    <w:rsid w:val="00CE0CD8"/>
    <w:rsid w:val="00CE193E"/>
    <w:rsid w:val="00CE203D"/>
    <w:rsid w:val="00CE2E32"/>
    <w:rsid w:val="00CE50A1"/>
    <w:rsid w:val="00CE6274"/>
    <w:rsid w:val="00CE6AF6"/>
    <w:rsid w:val="00CE7D0F"/>
    <w:rsid w:val="00CF198F"/>
    <w:rsid w:val="00CF2961"/>
    <w:rsid w:val="00CF2A50"/>
    <w:rsid w:val="00CF3859"/>
    <w:rsid w:val="00CF3D3A"/>
    <w:rsid w:val="00CF456B"/>
    <w:rsid w:val="00CF5A22"/>
    <w:rsid w:val="00CF74D6"/>
    <w:rsid w:val="00CF7EAA"/>
    <w:rsid w:val="00D012FA"/>
    <w:rsid w:val="00D0192B"/>
    <w:rsid w:val="00D02575"/>
    <w:rsid w:val="00D0262E"/>
    <w:rsid w:val="00D04F12"/>
    <w:rsid w:val="00D05427"/>
    <w:rsid w:val="00D07AE6"/>
    <w:rsid w:val="00D109D1"/>
    <w:rsid w:val="00D110BD"/>
    <w:rsid w:val="00D155BA"/>
    <w:rsid w:val="00D15DE4"/>
    <w:rsid w:val="00D16874"/>
    <w:rsid w:val="00D16BF9"/>
    <w:rsid w:val="00D16F96"/>
    <w:rsid w:val="00D17BFB"/>
    <w:rsid w:val="00D17D6C"/>
    <w:rsid w:val="00D17EA1"/>
    <w:rsid w:val="00D202CE"/>
    <w:rsid w:val="00D20474"/>
    <w:rsid w:val="00D214F9"/>
    <w:rsid w:val="00D23070"/>
    <w:rsid w:val="00D23536"/>
    <w:rsid w:val="00D2384C"/>
    <w:rsid w:val="00D26813"/>
    <w:rsid w:val="00D27012"/>
    <w:rsid w:val="00D27DEA"/>
    <w:rsid w:val="00D32A53"/>
    <w:rsid w:val="00D32F01"/>
    <w:rsid w:val="00D33C79"/>
    <w:rsid w:val="00D357FF"/>
    <w:rsid w:val="00D365F8"/>
    <w:rsid w:val="00D36FAD"/>
    <w:rsid w:val="00D4064E"/>
    <w:rsid w:val="00D42A06"/>
    <w:rsid w:val="00D42BCC"/>
    <w:rsid w:val="00D435F3"/>
    <w:rsid w:val="00D44210"/>
    <w:rsid w:val="00D44EF2"/>
    <w:rsid w:val="00D45806"/>
    <w:rsid w:val="00D46803"/>
    <w:rsid w:val="00D46A8F"/>
    <w:rsid w:val="00D47098"/>
    <w:rsid w:val="00D47CC7"/>
    <w:rsid w:val="00D52129"/>
    <w:rsid w:val="00D533D4"/>
    <w:rsid w:val="00D539AE"/>
    <w:rsid w:val="00D542E4"/>
    <w:rsid w:val="00D547B3"/>
    <w:rsid w:val="00D612FA"/>
    <w:rsid w:val="00D671D2"/>
    <w:rsid w:val="00D675DE"/>
    <w:rsid w:val="00D70F1E"/>
    <w:rsid w:val="00D72065"/>
    <w:rsid w:val="00D76A44"/>
    <w:rsid w:val="00D76EB0"/>
    <w:rsid w:val="00D77AF5"/>
    <w:rsid w:val="00D80906"/>
    <w:rsid w:val="00D80EF7"/>
    <w:rsid w:val="00D811FD"/>
    <w:rsid w:val="00D82733"/>
    <w:rsid w:val="00D82C4A"/>
    <w:rsid w:val="00D830D2"/>
    <w:rsid w:val="00D834D5"/>
    <w:rsid w:val="00D83E9F"/>
    <w:rsid w:val="00D84D7C"/>
    <w:rsid w:val="00D856F9"/>
    <w:rsid w:val="00D8631C"/>
    <w:rsid w:val="00D90BB3"/>
    <w:rsid w:val="00D9188C"/>
    <w:rsid w:val="00D9276C"/>
    <w:rsid w:val="00D93753"/>
    <w:rsid w:val="00D96CBB"/>
    <w:rsid w:val="00D97C04"/>
    <w:rsid w:val="00D97EA1"/>
    <w:rsid w:val="00DA4B5B"/>
    <w:rsid w:val="00DA6AEF"/>
    <w:rsid w:val="00DA70E8"/>
    <w:rsid w:val="00DA77A5"/>
    <w:rsid w:val="00DB06EF"/>
    <w:rsid w:val="00DB0B11"/>
    <w:rsid w:val="00DB0CEA"/>
    <w:rsid w:val="00DB0F12"/>
    <w:rsid w:val="00DB1006"/>
    <w:rsid w:val="00DB1544"/>
    <w:rsid w:val="00DB1EBD"/>
    <w:rsid w:val="00DC110F"/>
    <w:rsid w:val="00DC1606"/>
    <w:rsid w:val="00DC281F"/>
    <w:rsid w:val="00DC3D35"/>
    <w:rsid w:val="00DC40BA"/>
    <w:rsid w:val="00DC54F5"/>
    <w:rsid w:val="00DC5501"/>
    <w:rsid w:val="00DC600A"/>
    <w:rsid w:val="00DC6285"/>
    <w:rsid w:val="00DC6F36"/>
    <w:rsid w:val="00DD008C"/>
    <w:rsid w:val="00DD3F28"/>
    <w:rsid w:val="00DD4537"/>
    <w:rsid w:val="00DD4E15"/>
    <w:rsid w:val="00DD656E"/>
    <w:rsid w:val="00DD798D"/>
    <w:rsid w:val="00DE1353"/>
    <w:rsid w:val="00DE2AB1"/>
    <w:rsid w:val="00DE2C4E"/>
    <w:rsid w:val="00DE4419"/>
    <w:rsid w:val="00DE4CCD"/>
    <w:rsid w:val="00DE4FCB"/>
    <w:rsid w:val="00DE6898"/>
    <w:rsid w:val="00DF22F5"/>
    <w:rsid w:val="00DF3723"/>
    <w:rsid w:val="00DF39C2"/>
    <w:rsid w:val="00DF407B"/>
    <w:rsid w:val="00DF4C39"/>
    <w:rsid w:val="00DF54C3"/>
    <w:rsid w:val="00DF5D2B"/>
    <w:rsid w:val="00DF603D"/>
    <w:rsid w:val="00DF701C"/>
    <w:rsid w:val="00E00719"/>
    <w:rsid w:val="00E034B9"/>
    <w:rsid w:val="00E05310"/>
    <w:rsid w:val="00E06479"/>
    <w:rsid w:val="00E06645"/>
    <w:rsid w:val="00E10149"/>
    <w:rsid w:val="00E10EBF"/>
    <w:rsid w:val="00E12AB6"/>
    <w:rsid w:val="00E1404B"/>
    <w:rsid w:val="00E14BF7"/>
    <w:rsid w:val="00E16372"/>
    <w:rsid w:val="00E20ED6"/>
    <w:rsid w:val="00E21358"/>
    <w:rsid w:val="00E21434"/>
    <w:rsid w:val="00E21983"/>
    <w:rsid w:val="00E2249B"/>
    <w:rsid w:val="00E22A0D"/>
    <w:rsid w:val="00E22C43"/>
    <w:rsid w:val="00E23E5B"/>
    <w:rsid w:val="00E23F20"/>
    <w:rsid w:val="00E25887"/>
    <w:rsid w:val="00E2636B"/>
    <w:rsid w:val="00E2771E"/>
    <w:rsid w:val="00E27836"/>
    <w:rsid w:val="00E333F6"/>
    <w:rsid w:val="00E3460B"/>
    <w:rsid w:val="00E35B71"/>
    <w:rsid w:val="00E37569"/>
    <w:rsid w:val="00E37ECB"/>
    <w:rsid w:val="00E40521"/>
    <w:rsid w:val="00E411C7"/>
    <w:rsid w:val="00E41593"/>
    <w:rsid w:val="00E41E30"/>
    <w:rsid w:val="00E4260B"/>
    <w:rsid w:val="00E42B49"/>
    <w:rsid w:val="00E42F8E"/>
    <w:rsid w:val="00E43D70"/>
    <w:rsid w:val="00E45C53"/>
    <w:rsid w:val="00E46398"/>
    <w:rsid w:val="00E464E2"/>
    <w:rsid w:val="00E475E0"/>
    <w:rsid w:val="00E47B2C"/>
    <w:rsid w:val="00E5044F"/>
    <w:rsid w:val="00E50BF4"/>
    <w:rsid w:val="00E51087"/>
    <w:rsid w:val="00E5138F"/>
    <w:rsid w:val="00E51560"/>
    <w:rsid w:val="00E5165D"/>
    <w:rsid w:val="00E53070"/>
    <w:rsid w:val="00E5398A"/>
    <w:rsid w:val="00E53D26"/>
    <w:rsid w:val="00E549FB"/>
    <w:rsid w:val="00E55424"/>
    <w:rsid w:val="00E55BB5"/>
    <w:rsid w:val="00E55E7B"/>
    <w:rsid w:val="00E561B8"/>
    <w:rsid w:val="00E63F81"/>
    <w:rsid w:val="00E65E79"/>
    <w:rsid w:val="00E66516"/>
    <w:rsid w:val="00E67416"/>
    <w:rsid w:val="00E70241"/>
    <w:rsid w:val="00E70904"/>
    <w:rsid w:val="00E71023"/>
    <w:rsid w:val="00E714A8"/>
    <w:rsid w:val="00E718B6"/>
    <w:rsid w:val="00E73581"/>
    <w:rsid w:val="00E739E9"/>
    <w:rsid w:val="00E747B5"/>
    <w:rsid w:val="00E75994"/>
    <w:rsid w:val="00E76279"/>
    <w:rsid w:val="00E808DA"/>
    <w:rsid w:val="00E8136B"/>
    <w:rsid w:val="00E825D9"/>
    <w:rsid w:val="00E82B33"/>
    <w:rsid w:val="00E83BDF"/>
    <w:rsid w:val="00E928A3"/>
    <w:rsid w:val="00E93A2E"/>
    <w:rsid w:val="00E943BA"/>
    <w:rsid w:val="00E96724"/>
    <w:rsid w:val="00E9699B"/>
    <w:rsid w:val="00E97814"/>
    <w:rsid w:val="00EA05C4"/>
    <w:rsid w:val="00EA0BFB"/>
    <w:rsid w:val="00EA0E58"/>
    <w:rsid w:val="00EA3560"/>
    <w:rsid w:val="00EA3864"/>
    <w:rsid w:val="00EA72D0"/>
    <w:rsid w:val="00EA7984"/>
    <w:rsid w:val="00EA7C78"/>
    <w:rsid w:val="00EB15B6"/>
    <w:rsid w:val="00EB2BE6"/>
    <w:rsid w:val="00EB32C0"/>
    <w:rsid w:val="00EB412A"/>
    <w:rsid w:val="00EB471B"/>
    <w:rsid w:val="00EB4916"/>
    <w:rsid w:val="00EB6C99"/>
    <w:rsid w:val="00EB6FD9"/>
    <w:rsid w:val="00EB7F8B"/>
    <w:rsid w:val="00EC00C9"/>
    <w:rsid w:val="00EC03BF"/>
    <w:rsid w:val="00EC067F"/>
    <w:rsid w:val="00EC282B"/>
    <w:rsid w:val="00EC46E7"/>
    <w:rsid w:val="00EC6A05"/>
    <w:rsid w:val="00ED164A"/>
    <w:rsid w:val="00ED24FE"/>
    <w:rsid w:val="00ED7A6F"/>
    <w:rsid w:val="00EE07D3"/>
    <w:rsid w:val="00EE0E79"/>
    <w:rsid w:val="00EE333C"/>
    <w:rsid w:val="00EE42FA"/>
    <w:rsid w:val="00EE4B3A"/>
    <w:rsid w:val="00EE5D94"/>
    <w:rsid w:val="00EE7496"/>
    <w:rsid w:val="00EF56A4"/>
    <w:rsid w:val="00EF69A4"/>
    <w:rsid w:val="00EF6F31"/>
    <w:rsid w:val="00F00376"/>
    <w:rsid w:val="00F004CA"/>
    <w:rsid w:val="00F022B6"/>
    <w:rsid w:val="00F0339A"/>
    <w:rsid w:val="00F03679"/>
    <w:rsid w:val="00F0394E"/>
    <w:rsid w:val="00F04DA8"/>
    <w:rsid w:val="00F053D2"/>
    <w:rsid w:val="00F060E5"/>
    <w:rsid w:val="00F0671F"/>
    <w:rsid w:val="00F067A2"/>
    <w:rsid w:val="00F10A1D"/>
    <w:rsid w:val="00F11D7B"/>
    <w:rsid w:val="00F13BE2"/>
    <w:rsid w:val="00F13FB7"/>
    <w:rsid w:val="00F15825"/>
    <w:rsid w:val="00F174A6"/>
    <w:rsid w:val="00F176C5"/>
    <w:rsid w:val="00F20878"/>
    <w:rsid w:val="00F23D73"/>
    <w:rsid w:val="00F24837"/>
    <w:rsid w:val="00F2575F"/>
    <w:rsid w:val="00F3146B"/>
    <w:rsid w:val="00F33DE9"/>
    <w:rsid w:val="00F35D32"/>
    <w:rsid w:val="00F35D84"/>
    <w:rsid w:val="00F3619A"/>
    <w:rsid w:val="00F40D35"/>
    <w:rsid w:val="00F46CB6"/>
    <w:rsid w:val="00F47783"/>
    <w:rsid w:val="00F55E73"/>
    <w:rsid w:val="00F60092"/>
    <w:rsid w:val="00F60A81"/>
    <w:rsid w:val="00F63F6F"/>
    <w:rsid w:val="00F65003"/>
    <w:rsid w:val="00F65153"/>
    <w:rsid w:val="00F66817"/>
    <w:rsid w:val="00F66A54"/>
    <w:rsid w:val="00F66C6A"/>
    <w:rsid w:val="00F7060D"/>
    <w:rsid w:val="00F70C0E"/>
    <w:rsid w:val="00F71445"/>
    <w:rsid w:val="00F71FAF"/>
    <w:rsid w:val="00F7328B"/>
    <w:rsid w:val="00F74330"/>
    <w:rsid w:val="00F75DDA"/>
    <w:rsid w:val="00F775B9"/>
    <w:rsid w:val="00F8009C"/>
    <w:rsid w:val="00F80E5D"/>
    <w:rsid w:val="00F82322"/>
    <w:rsid w:val="00F82CC9"/>
    <w:rsid w:val="00F83982"/>
    <w:rsid w:val="00F851CE"/>
    <w:rsid w:val="00F87CE4"/>
    <w:rsid w:val="00F90681"/>
    <w:rsid w:val="00F92B50"/>
    <w:rsid w:val="00F93113"/>
    <w:rsid w:val="00F9371D"/>
    <w:rsid w:val="00F9629F"/>
    <w:rsid w:val="00F96344"/>
    <w:rsid w:val="00F9662F"/>
    <w:rsid w:val="00F97290"/>
    <w:rsid w:val="00F97A78"/>
    <w:rsid w:val="00FA0547"/>
    <w:rsid w:val="00FA1161"/>
    <w:rsid w:val="00FA24E7"/>
    <w:rsid w:val="00FA567F"/>
    <w:rsid w:val="00FB0D13"/>
    <w:rsid w:val="00FB1B21"/>
    <w:rsid w:val="00FB2FCB"/>
    <w:rsid w:val="00FB48D2"/>
    <w:rsid w:val="00FB6D72"/>
    <w:rsid w:val="00FB7769"/>
    <w:rsid w:val="00FC1074"/>
    <w:rsid w:val="00FC1847"/>
    <w:rsid w:val="00FC1884"/>
    <w:rsid w:val="00FC1BC5"/>
    <w:rsid w:val="00FC286B"/>
    <w:rsid w:val="00FC385A"/>
    <w:rsid w:val="00FC3E9E"/>
    <w:rsid w:val="00FC4CED"/>
    <w:rsid w:val="00FC60CF"/>
    <w:rsid w:val="00FC645D"/>
    <w:rsid w:val="00FC6982"/>
    <w:rsid w:val="00FC7369"/>
    <w:rsid w:val="00FD0F86"/>
    <w:rsid w:val="00FD15B2"/>
    <w:rsid w:val="00FD1D19"/>
    <w:rsid w:val="00FD2100"/>
    <w:rsid w:val="00FD23D8"/>
    <w:rsid w:val="00FD2779"/>
    <w:rsid w:val="00FD2E72"/>
    <w:rsid w:val="00FD3E7B"/>
    <w:rsid w:val="00FD446D"/>
    <w:rsid w:val="00FD4726"/>
    <w:rsid w:val="00FD7196"/>
    <w:rsid w:val="00FE0AB7"/>
    <w:rsid w:val="00FE1932"/>
    <w:rsid w:val="00FE193A"/>
    <w:rsid w:val="00FE2E24"/>
    <w:rsid w:val="00FF0082"/>
    <w:rsid w:val="00FF10B9"/>
    <w:rsid w:val="00FF1909"/>
    <w:rsid w:val="00FF2A10"/>
    <w:rsid w:val="00FF32D2"/>
    <w:rsid w:val="00FF3570"/>
    <w:rsid w:val="00FF3DCF"/>
    <w:rsid w:val="00FF4E1B"/>
    <w:rsid w:val="00FF5AA3"/>
    <w:rsid w:val="00FF5D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A0BFB"/>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table" w:customStyle="1" w:styleId="TableGrid1">
    <w:name w:val="Table Grid1"/>
    <w:basedOn w:val="TableNormal"/>
    <w:next w:val="TableGrid"/>
    <w:uiPriority w:val="39"/>
    <w:rsid w:val="00D54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7004"/>
    <w:rPr>
      <w:color w:val="808080"/>
    </w:rPr>
  </w:style>
  <w:style w:type="paragraph" w:customStyle="1" w:styleId="COMBody">
    <w:name w:val="COMBody"/>
    <w:basedOn w:val="Normal"/>
    <w:link w:val="COMBodyChar"/>
    <w:qFormat/>
    <w:rsid w:val="00346E71"/>
    <w:rPr>
      <w:snapToGrid/>
      <w:szCs w:val="22"/>
    </w:rPr>
  </w:style>
  <w:style w:type="character" w:customStyle="1" w:styleId="COMBodyChar">
    <w:name w:val="COMBody Char"/>
    <w:basedOn w:val="DefaultParagraphFont"/>
    <w:link w:val="COMBody"/>
    <w:rsid w:val="00346E71"/>
    <w:rPr>
      <w:rFonts w:ascii="Arial" w:hAnsi="Arial" w:cs="Arial"/>
      <w:sz w:val="22"/>
      <w:szCs w:val="22"/>
      <w:lang w:eastAsia="en-US"/>
    </w:rPr>
  </w:style>
  <w:style w:type="paragraph" w:customStyle="1" w:styleId="COMtbl-HEADLeftAligned">
    <w:name w:val="COMtbl-HEAD Left Aligned"/>
    <w:basedOn w:val="Normal"/>
    <w:qFormat/>
    <w:rsid w:val="00A40155"/>
    <w:pPr>
      <w:tabs>
        <w:tab w:val="left" w:pos="720"/>
      </w:tabs>
      <w:jc w:val="left"/>
    </w:pPr>
    <w:rPr>
      <w:rFonts w:ascii="Arial Narrow" w:hAnsi="Arial Narrow"/>
      <w:b/>
      <w:sz w:val="20"/>
    </w:rPr>
  </w:style>
  <w:style w:type="character" w:customStyle="1" w:styleId="ListParagraphChar">
    <w:name w:val="List Paragraph Char"/>
    <w:aliases w:val="BulletPoints Char"/>
    <w:basedOn w:val="DefaultParagraphFont"/>
    <w:link w:val="ListParagraph"/>
    <w:uiPriority w:val="72"/>
    <w:rsid w:val="00824A37"/>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26813"/>
    <w:pPr>
      <w:widowControl/>
      <w:spacing w:after="160" w:line="240" w:lineRule="exact"/>
      <w:jc w:val="left"/>
    </w:pPr>
    <w:rPr>
      <w:rFonts w:ascii="Verdana" w:eastAsia="MS Mincho" w:hAnsi="Verdana" w:cs="Verdana"/>
      <w:snapToGrid/>
      <w:sz w:val="20"/>
      <w:lang w:val="en-US"/>
    </w:rPr>
  </w:style>
  <w:style w:type="character" w:customStyle="1" w:styleId="Heading3Char">
    <w:name w:val="Heading 3 Char"/>
    <w:basedOn w:val="DefaultParagraphFont"/>
    <w:link w:val="Heading3"/>
    <w:rsid w:val="00D17BFB"/>
    <w:rPr>
      <w:rFonts w:ascii="Arial" w:hAnsi="Arial" w:cs="Arial"/>
      <w:snapToGrid w:val="0"/>
      <w:sz w:val="22"/>
      <w:u w:val="single"/>
      <w:lang w:eastAsia="en-US"/>
    </w:rPr>
  </w:style>
  <w:style w:type="character" w:styleId="IntenseReference">
    <w:name w:val="Intense Reference"/>
    <w:basedOn w:val="DefaultParagraphFont"/>
    <w:uiPriority w:val="32"/>
    <w:rsid w:val="000521F1"/>
    <w:rPr>
      <w:b/>
      <w:bCs/>
      <w:smallCaps/>
      <w:color w:val="C0504D" w:themeColor="accent2"/>
      <w:spacing w:val="5"/>
      <w:u w:val="single"/>
    </w:rPr>
  </w:style>
  <w:style w:type="paragraph" w:styleId="FootnoteText">
    <w:name w:val="footnote text"/>
    <w:basedOn w:val="Normal"/>
    <w:link w:val="FootnoteTextChar"/>
    <w:semiHidden/>
    <w:unhideWhenUsed/>
    <w:rsid w:val="00CA223B"/>
    <w:rPr>
      <w:sz w:val="20"/>
    </w:rPr>
  </w:style>
  <w:style w:type="character" w:customStyle="1" w:styleId="FootnoteTextChar">
    <w:name w:val="Footnote Text Char"/>
    <w:basedOn w:val="DefaultParagraphFont"/>
    <w:link w:val="FootnoteText"/>
    <w:semiHidden/>
    <w:rsid w:val="00CA223B"/>
    <w:rPr>
      <w:rFonts w:ascii="Arial" w:hAnsi="Arial" w:cs="Arial"/>
      <w:snapToGrid w:val="0"/>
      <w:lang w:eastAsia="en-US"/>
    </w:rPr>
  </w:style>
  <w:style w:type="character" w:styleId="FootnoteReference">
    <w:name w:val="footnote reference"/>
    <w:basedOn w:val="DefaultParagraphFont"/>
    <w:semiHidden/>
    <w:unhideWhenUsed/>
    <w:rsid w:val="00CA223B"/>
    <w:rPr>
      <w:vertAlign w:val="superscript"/>
    </w:rPr>
  </w:style>
  <w:style w:type="paragraph" w:styleId="EndnoteText">
    <w:name w:val="endnote text"/>
    <w:basedOn w:val="Normal"/>
    <w:link w:val="EndnoteTextChar"/>
    <w:semiHidden/>
    <w:unhideWhenUsed/>
    <w:rsid w:val="00CA223B"/>
    <w:rPr>
      <w:sz w:val="20"/>
    </w:rPr>
  </w:style>
  <w:style w:type="character" w:customStyle="1" w:styleId="EndnoteTextChar">
    <w:name w:val="Endnote Text Char"/>
    <w:basedOn w:val="DefaultParagraphFont"/>
    <w:link w:val="EndnoteText"/>
    <w:semiHidden/>
    <w:rsid w:val="00CA223B"/>
    <w:rPr>
      <w:rFonts w:ascii="Arial" w:hAnsi="Arial" w:cs="Arial"/>
      <w:snapToGrid w:val="0"/>
      <w:lang w:eastAsia="en-US"/>
    </w:rPr>
  </w:style>
  <w:style w:type="character" w:styleId="EndnoteReference">
    <w:name w:val="endnote reference"/>
    <w:basedOn w:val="DefaultParagraphFont"/>
    <w:semiHidden/>
    <w:unhideWhenUsed/>
    <w:rsid w:val="00CA223B"/>
    <w:rPr>
      <w:vertAlign w:val="superscript"/>
    </w:rPr>
  </w:style>
  <w:style w:type="paragraph" w:customStyle="1" w:styleId="EndNoteBibliography">
    <w:name w:val="EndNote Bibliography"/>
    <w:basedOn w:val="Normal"/>
    <w:link w:val="EndNoteBibliographyChar"/>
    <w:rsid w:val="00CA223B"/>
    <w:pPr>
      <w:widowControl/>
      <w:spacing w:after="160"/>
      <w:jc w:val="left"/>
    </w:pPr>
    <w:rPr>
      <w:rFonts w:ascii="Calibri" w:eastAsiaTheme="minorHAnsi" w:hAnsi="Calibri" w:cs="Calibri"/>
      <w:noProof/>
      <w:snapToGrid/>
      <w:szCs w:val="22"/>
      <w:lang w:val="en-US"/>
    </w:rPr>
  </w:style>
  <w:style w:type="character" w:customStyle="1" w:styleId="EndNoteBibliographyChar">
    <w:name w:val="EndNote Bibliography Char"/>
    <w:basedOn w:val="DefaultParagraphFont"/>
    <w:link w:val="EndNoteBibliography"/>
    <w:rsid w:val="00CA223B"/>
    <w:rPr>
      <w:rFonts w:ascii="Calibri" w:eastAsiaTheme="minorHAnsi" w:hAnsi="Calibri" w:cs="Calibri"/>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A0BFB"/>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table" w:customStyle="1" w:styleId="TableGrid1">
    <w:name w:val="Table Grid1"/>
    <w:basedOn w:val="TableNormal"/>
    <w:next w:val="TableGrid"/>
    <w:uiPriority w:val="39"/>
    <w:rsid w:val="00D54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7004"/>
    <w:rPr>
      <w:color w:val="808080"/>
    </w:rPr>
  </w:style>
  <w:style w:type="paragraph" w:customStyle="1" w:styleId="COMBody">
    <w:name w:val="COMBody"/>
    <w:basedOn w:val="Normal"/>
    <w:link w:val="COMBodyChar"/>
    <w:qFormat/>
    <w:rsid w:val="00346E71"/>
    <w:rPr>
      <w:snapToGrid/>
      <w:szCs w:val="22"/>
    </w:rPr>
  </w:style>
  <w:style w:type="character" w:customStyle="1" w:styleId="COMBodyChar">
    <w:name w:val="COMBody Char"/>
    <w:basedOn w:val="DefaultParagraphFont"/>
    <w:link w:val="COMBody"/>
    <w:rsid w:val="00346E71"/>
    <w:rPr>
      <w:rFonts w:ascii="Arial" w:hAnsi="Arial" w:cs="Arial"/>
      <w:sz w:val="22"/>
      <w:szCs w:val="22"/>
      <w:lang w:eastAsia="en-US"/>
    </w:rPr>
  </w:style>
  <w:style w:type="paragraph" w:customStyle="1" w:styleId="COMtbl-HEADLeftAligned">
    <w:name w:val="COMtbl-HEAD Left Aligned"/>
    <w:basedOn w:val="Normal"/>
    <w:qFormat/>
    <w:rsid w:val="00A40155"/>
    <w:pPr>
      <w:tabs>
        <w:tab w:val="left" w:pos="720"/>
      </w:tabs>
      <w:jc w:val="left"/>
    </w:pPr>
    <w:rPr>
      <w:rFonts w:ascii="Arial Narrow" w:hAnsi="Arial Narrow"/>
      <w:b/>
      <w:sz w:val="20"/>
    </w:rPr>
  </w:style>
  <w:style w:type="character" w:customStyle="1" w:styleId="ListParagraphChar">
    <w:name w:val="List Paragraph Char"/>
    <w:aliases w:val="BulletPoints Char"/>
    <w:basedOn w:val="DefaultParagraphFont"/>
    <w:link w:val="ListParagraph"/>
    <w:uiPriority w:val="72"/>
    <w:rsid w:val="00824A37"/>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26813"/>
    <w:pPr>
      <w:widowControl/>
      <w:spacing w:after="160" w:line="240" w:lineRule="exact"/>
      <w:jc w:val="left"/>
    </w:pPr>
    <w:rPr>
      <w:rFonts w:ascii="Verdana" w:eastAsia="MS Mincho" w:hAnsi="Verdana" w:cs="Verdana"/>
      <w:snapToGrid/>
      <w:sz w:val="20"/>
      <w:lang w:val="en-US"/>
    </w:rPr>
  </w:style>
  <w:style w:type="character" w:customStyle="1" w:styleId="Heading3Char">
    <w:name w:val="Heading 3 Char"/>
    <w:basedOn w:val="DefaultParagraphFont"/>
    <w:link w:val="Heading3"/>
    <w:rsid w:val="00D17BFB"/>
    <w:rPr>
      <w:rFonts w:ascii="Arial" w:hAnsi="Arial" w:cs="Arial"/>
      <w:snapToGrid w:val="0"/>
      <w:sz w:val="22"/>
      <w:u w:val="single"/>
      <w:lang w:eastAsia="en-US"/>
    </w:rPr>
  </w:style>
  <w:style w:type="character" w:styleId="IntenseReference">
    <w:name w:val="Intense Reference"/>
    <w:basedOn w:val="DefaultParagraphFont"/>
    <w:uiPriority w:val="32"/>
    <w:rsid w:val="000521F1"/>
    <w:rPr>
      <w:b/>
      <w:bCs/>
      <w:smallCaps/>
      <w:color w:val="C0504D" w:themeColor="accent2"/>
      <w:spacing w:val="5"/>
      <w:u w:val="single"/>
    </w:rPr>
  </w:style>
  <w:style w:type="paragraph" w:styleId="FootnoteText">
    <w:name w:val="footnote text"/>
    <w:basedOn w:val="Normal"/>
    <w:link w:val="FootnoteTextChar"/>
    <w:semiHidden/>
    <w:unhideWhenUsed/>
    <w:rsid w:val="00CA223B"/>
    <w:rPr>
      <w:sz w:val="20"/>
    </w:rPr>
  </w:style>
  <w:style w:type="character" w:customStyle="1" w:styleId="FootnoteTextChar">
    <w:name w:val="Footnote Text Char"/>
    <w:basedOn w:val="DefaultParagraphFont"/>
    <w:link w:val="FootnoteText"/>
    <w:semiHidden/>
    <w:rsid w:val="00CA223B"/>
    <w:rPr>
      <w:rFonts w:ascii="Arial" w:hAnsi="Arial" w:cs="Arial"/>
      <w:snapToGrid w:val="0"/>
      <w:lang w:eastAsia="en-US"/>
    </w:rPr>
  </w:style>
  <w:style w:type="character" w:styleId="FootnoteReference">
    <w:name w:val="footnote reference"/>
    <w:basedOn w:val="DefaultParagraphFont"/>
    <w:semiHidden/>
    <w:unhideWhenUsed/>
    <w:rsid w:val="00CA223B"/>
    <w:rPr>
      <w:vertAlign w:val="superscript"/>
    </w:rPr>
  </w:style>
  <w:style w:type="paragraph" w:styleId="EndnoteText">
    <w:name w:val="endnote text"/>
    <w:basedOn w:val="Normal"/>
    <w:link w:val="EndnoteTextChar"/>
    <w:semiHidden/>
    <w:unhideWhenUsed/>
    <w:rsid w:val="00CA223B"/>
    <w:rPr>
      <w:sz w:val="20"/>
    </w:rPr>
  </w:style>
  <w:style w:type="character" w:customStyle="1" w:styleId="EndnoteTextChar">
    <w:name w:val="Endnote Text Char"/>
    <w:basedOn w:val="DefaultParagraphFont"/>
    <w:link w:val="EndnoteText"/>
    <w:semiHidden/>
    <w:rsid w:val="00CA223B"/>
    <w:rPr>
      <w:rFonts w:ascii="Arial" w:hAnsi="Arial" w:cs="Arial"/>
      <w:snapToGrid w:val="0"/>
      <w:lang w:eastAsia="en-US"/>
    </w:rPr>
  </w:style>
  <w:style w:type="character" w:styleId="EndnoteReference">
    <w:name w:val="endnote reference"/>
    <w:basedOn w:val="DefaultParagraphFont"/>
    <w:semiHidden/>
    <w:unhideWhenUsed/>
    <w:rsid w:val="00CA223B"/>
    <w:rPr>
      <w:vertAlign w:val="superscript"/>
    </w:rPr>
  </w:style>
  <w:style w:type="paragraph" w:customStyle="1" w:styleId="EndNoteBibliography">
    <w:name w:val="EndNote Bibliography"/>
    <w:basedOn w:val="Normal"/>
    <w:link w:val="EndNoteBibliographyChar"/>
    <w:rsid w:val="00CA223B"/>
    <w:pPr>
      <w:widowControl/>
      <w:spacing w:after="160"/>
      <w:jc w:val="left"/>
    </w:pPr>
    <w:rPr>
      <w:rFonts w:ascii="Calibri" w:eastAsiaTheme="minorHAnsi" w:hAnsi="Calibri" w:cs="Calibri"/>
      <w:noProof/>
      <w:snapToGrid/>
      <w:szCs w:val="22"/>
      <w:lang w:val="en-US"/>
    </w:rPr>
  </w:style>
  <w:style w:type="character" w:customStyle="1" w:styleId="EndNoteBibliographyChar">
    <w:name w:val="EndNote Bibliography Char"/>
    <w:basedOn w:val="DefaultParagraphFont"/>
    <w:link w:val="EndNoteBibliography"/>
    <w:rsid w:val="00CA223B"/>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800A-0C30-4018-A399-17184AAB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BFF721D0.dotm</Template>
  <TotalTime>0</TotalTime>
  <Pages>17</Pages>
  <Words>6520</Words>
  <Characters>35612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2017-03-28T05:37:00Z</dcterms:created>
  <dcterms:modified xsi:type="dcterms:W3CDTF">2017-06-01T06:30:00Z</dcterms:modified>
</cp:coreProperties>
</file>