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B6" w:rsidRDefault="004D77B6" w:rsidP="004D77B6">
      <w:bookmarkStart w:id="0" w:name="_Toc472340118"/>
    </w:p>
    <w:p w:rsidR="00B60939" w:rsidRPr="00B07E65" w:rsidRDefault="00064A09" w:rsidP="00577717">
      <w:pPr>
        <w:pStyle w:val="Heading1"/>
        <w:rPr>
          <w:sz w:val="28"/>
        </w:rPr>
      </w:pPr>
      <w:r w:rsidRPr="00B07E65">
        <w:rPr>
          <w:sz w:val="28"/>
        </w:rPr>
        <w:t>7.04</w:t>
      </w:r>
      <w:r w:rsidR="00B60939" w:rsidRPr="00B07E65">
        <w:rPr>
          <w:sz w:val="28"/>
        </w:rPr>
        <w:tab/>
      </w:r>
      <w:r w:rsidR="005C636C" w:rsidRPr="00B07E65">
        <w:rPr>
          <w:sz w:val="28"/>
        </w:rPr>
        <w:t>Methotrexate</w:t>
      </w:r>
      <w:r w:rsidR="00B60939" w:rsidRPr="00B07E65">
        <w:rPr>
          <w:sz w:val="28"/>
        </w:rPr>
        <w:t xml:space="preserve">, </w:t>
      </w:r>
      <w:r w:rsidR="005C636C" w:rsidRPr="00B07E65">
        <w:rPr>
          <w:caps w:val="0"/>
          <w:sz w:val="28"/>
        </w:rPr>
        <w:t>Solution for subcutaneous injection, pre</w:t>
      </w:r>
      <w:r w:rsidR="003218FA" w:rsidRPr="00B07E65">
        <w:rPr>
          <w:caps w:val="0"/>
          <w:sz w:val="28"/>
        </w:rPr>
        <w:noBreakHyphen/>
      </w:r>
      <w:r w:rsidR="005C636C" w:rsidRPr="00B07E65">
        <w:rPr>
          <w:caps w:val="0"/>
          <w:sz w:val="28"/>
        </w:rPr>
        <w:t>filled syringe, 7.5 mg/0.15</w:t>
      </w:r>
      <w:r w:rsidR="0053361D" w:rsidRPr="00B07E65">
        <w:rPr>
          <w:caps w:val="0"/>
          <w:sz w:val="28"/>
        </w:rPr>
        <w:t xml:space="preserve"> </w:t>
      </w:r>
      <w:r w:rsidR="005C636C" w:rsidRPr="00B07E65">
        <w:rPr>
          <w:caps w:val="0"/>
          <w:sz w:val="28"/>
        </w:rPr>
        <w:t>mL, 10 mg/0.2</w:t>
      </w:r>
      <w:r w:rsidR="0053361D" w:rsidRPr="00B07E65">
        <w:rPr>
          <w:caps w:val="0"/>
          <w:sz w:val="28"/>
        </w:rPr>
        <w:t xml:space="preserve"> </w:t>
      </w:r>
      <w:r w:rsidR="005C636C" w:rsidRPr="00B07E65">
        <w:rPr>
          <w:caps w:val="0"/>
          <w:sz w:val="28"/>
        </w:rPr>
        <w:t>mL, 15 mg/0.3</w:t>
      </w:r>
      <w:r w:rsidR="0053361D" w:rsidRPr="00B07E65">
        <w:rPr>
          <w:caps w:val="0"/>
          <w:sz w:val="28"/>
        </w:rPr>
        <w:t xml:space="preserve"> </w:t>
      </w:r>
      <w:r w:rsidR="005C636C" w:rsidRPr="00B07E65">
        <w:rPr>
          <w:caps w:val="0"/>
          <w:sz w:val="28"/>
        </w:rPr>
        <w:t>mL, 20</w:t>
      </w:r>
      <w:r w:rsidR="003218FA" w:rsidRPr="00B07E65">
        <w:rPr>
          <w:caps w:val="0"/>
          <w:sz w:val="28"/>
        </w:rPr>
        <w:t> </w:t>
      </w:r>
      <w:r w:rsidR="005C636C" w:rsidRPr="00B07E65">
        <w:rPr>
          <w:caps w:val="0"/>
          <w:sz w:val="28"/>
        </w:rPr>
        <w:t>mg/0.4</w:t>
      </w:r>
      <w:r w:rsidR="0053361D" w:rsidRPr="00B07E65">
        <w:rPr>
          <w:caps w:val="0"/>
          <w:sz w:val="28"/>
        </w:rPr>
        <w:t xml:space="preserve"> </w:t>
      </w:r>
      <w:r w:rsidR="005C636C" w:rsidRPr="00B07E65">
        <w:rPr>
          <w:caps w:val="0"/>
          <w:sz w:val="28"/>
        </w:rPr>
        <w:t>mL, 25 mg/0.5</w:t>
      </w:r>
      <w:r w:rsidR="0053361D" w:rsidRPr="00B07E65">
        <w:rPr>
          <w:caps w:val="0"/>
          <w:sz w:val="28"/>
        </w:rPr>
        <w:t xml:space="preserve"> </w:t>
      </w:r>
      <w:r w:rsidR="005C636C" w:rsidRPr="00B07E65">
        <w:rPr>
          <w:caps w:val="0"/>
          <w:sz w:val="28"/>
        </w:rPr>
        <w:t>mL</w:t>
      </w:r>
      <w:r w:rsidR="00B60939" w:rsidRPr="00B07E65">
        <w:rPr>
          <w:sz w:val="28"/>
        </w:rPr>
        <w:t xml:space="preserve">, </w:t>
      </w:r>
      <w:r w:rsidR="00F338FF" w:rsidRPr="00B07E65">
        <w:rPr>
          <w:caps w:val="0"/>
          <w:sz w:val="28"/>
        </w:rPr>
        <w:t>Tr</w:t>
      </w:r>
      <w:r w:rsidR="005C636C" w:rsidRPr="00B07E65">
        <w:rPr>
          <w:caps w:val="0"/>
          <w:sz w:val="28"/>
        </w:rPr>
        <w:t>exject</w:t>
      </w:r>
      <w:r w:rsidR="00B60939" w:rsidRPr="00B07E65">
        <w:rPr>
          <w:sz w:val="28"/>
          <w:vertAlign w:val="superscript"/>
        </w:rPr>
        <w:t>®</w:t>
      </w:r>
      <w:r w:rsidR="00B60939" w:rsidRPr="00B07E65">
        <w:rPr>
          <w:sz w:val="28"/>
        </w:rPr>
        <w:t xml:space="preserve">, </w:t>
      </w:r>
      <w:r w:rsidR="005C636C" w:rsidRPr="00B07E65">
        <w:rPr>
          <w:caps w:val="0"/>
          <w:sz w:val="28"/>
        </w:rPr>
        <w:t>Link Medical Products Pty Ltd</w:t>
      </w:r>
      <w:bookmarkEnd w:id="0"/>
      <w:r w:rsidR="003B2C54">
        <w:rPr>
          <w:caps w:val="0"/>
          <w:sz w:val="28"/>
        </w:rPr>
        <w:t>.</w:t>
      </w:r>
    </w:p>
    <w:p w:rsidR="00AE5D0F" w:rsidRPr="00B07E65" w:rsidRDefault="00AE5D0F" w:rsidP="00577717"/>
    <w:p w:rsidR="00F338FF" w:rsidRPr="00B07E65" w:rsidRDefault="00F338FF" w:rsidP="005D7E3E">
      <w:pPr>
        <w:pStyle w:val="PBACheading1"/>
        <w:rPr>
          <w:b/>
        </w:rPr>
      </w:pPr>
      <w:bookmarkStart w:id="1" w:name="_Toc472340120"/>
      <w:r w:rsidRPr="00B07E65">
        <w:rPr>
          <w:b/>
        </w:rPr>
        <w:t>Purpose of Application</w:t>
      </w:r>
      <w:bookmarkEnd w:id="1"/>
    </w:p>
    <w:p w:rsidR="00B60939" w:rsidRPr="00B07E65" w:rsidRDefault="00B60939" w:rsidP="00B60939">
      <w:pPr>
        <w:rPr>
          <w:szCs w:val="22"/>
        </w:rPr>
      </w:pPr>
    </w:p>
    <w:p w:rsidR="00B60939" w:rsidRPr="00B07E65" w:rsidRDefault="00877EA8" w:rsidP="00271C16">
      <w:pPr>
        <w:pStyle w:val="ListParagraph"/>
        <w:widowControl/>
        <w:numPr>
          <w:ilvl w:val="1"/>
          <w:numId w:val="1"/>
        </w:numPr>
        <w:rPr>
          <w:szCs w:val="22"/>
        </w:rPr>
      </w:pPr>
      <w:r w:rsidRPr="00B07E65">
        <w:t xml:space="preserve">The resubmission requested </w:t>
      </w:r>
      <w:r w:rsidR="007C7CFB" w:rsidRPr="00B07E65">
        <w:t>an</w:t>
      </w:r>
      <w:r w:rsidRPr="00B07E65">
        <w:t xml:space="preserve"> </w:t>
      </w:r>
      <w:r w:rsidR="001E238E" w:rsidRPr="00B07E65">
        <w:t>Authority Required</w:t>
      </w:r>
      <w:r w:rsidRPr="00B07E65">
        <w:t> (St</w:t>
      </w:r>
      <w:r w:rsidR="00AD54F0" w:rsidRPr="00B07E65">
        <w:t>r</w:t>
      </w:r>
      <w:r w:rsidRPr="00B07E65">
        <w:t xml:space="preserve">eamlined) </w:t>
      </w:r>
      <w:r w:rsidR="001E238E" w:rsidRPr="00B07E65">
        <w:t xml:space="preserve">listing </w:t>
      </w:r>
      <w:r w:rsidR="004E7155" w:rsidRPr="00B07E65">
        <w:t>of methotrexate pre-filled syringe (with embedded needle) for the treatment of rheumatoid arthritis or psoriasis when methotrexate oral tablet</w:t>
      </w:r>
      <w:r w:rsidR="0027749E" w:rsidRPr="00B07E65">
        <w:t>s</w:t>
      </w:r>
      <w:r w:rsidR="004E7155" w:rsidRPr="00B07E65">
        <w:t xml:space="preserve"> </w:t>
      </w:r>
      <w:r w:rsidR="0027749E" w:rsidRPr="00B07E65">
        <w:t>are</w:t>
      </w:r>
      <w:r w:rsidR="004E7155" w:rsidRPr="00B07E65">
        <w:t xml:space="preserve"> unsuitable. </w:t>
      </w:r>
      <w:r w:rsidR="00D67616" w:rsidRPr="00B07E65">
        <w:t xml:space="preserve">The pre-filled syringe is proposed for subcutaneous (SC) administration. </w:t>
      </w:r>
      <w:r w:rsidR="00ED2FC6" w:rsidRPr="00B07E65">
        <w:t xml:space="preserve">The proposed drug is referred to as SC methotrexate in </w:t>
      </w:r>
      <w:r w:rsidR="00A97CF0" w:rsidRPr="00B07E65">
        <w:t>this document</w:t>
      </w:r>
      <w:r w:rsidR="00ED2FC6" w:rsidRPr="00B07E65">
        <w:t>.</w:t>
      </w:r>
    </w:p>
    <w:p w:rsidR="00B60939" w:rsidRPr="00B07E65" w:rsidRDefault="00B60939" w:rsidP="00497F10"/>
    <w:p w:rsidR="001B6188" w:rsidRPr="00B07E65" w:rsidRDefault="001B6188" w:rsidP="00497F10"/>
    <w:p w:rsidR="00F338FF" w:rsidRPr="00B07E65" w:rsidRDefault="00F338FF" w:rsidP="005D7E3E">
      <w:pPr>
        <w:pStyle w:val="PBACheading1"/>
        <w:rPr>
          <w:b/>
        </w:rPr>
      </w:pPr>
      <w:bookmarkStart w:id="2" w:name="_Toc472340121"/>
      <w:r w:rsidRPr="00B07E65">
        <w:rPr>
          <w:b/>
        </w:rPr>
        <w:t>Requested listing</w:t>
      </w:r>
      <w:bookmarkEnd w:id="2"/>
    </w:p>
    <w:p w:rsidR="00617E12" w:rsidRPr="00B07E65" w:rsidRDefault="00617E12" w:rsidP="007C7CFB">
      <w:pPr>
        <w:widowControl/>
        <w:rPr>
          <w:szCs w:val="22"/>
        </w:rPr>
      </w:pPr>
    </w:p>
    <w:p w:rsidR="00651E49" w:rsidRPr="00B07E65" w:rsidRDefault="00E0194B" w:rsidP="00271C16">
      <w:pPr>
        <w:pStyle w:val="ListParagraph"/>
        <w:widowControl/>
        <w:numPr>
          <w:ilvl w:val="1"/>
          <w:numId w:val="2"/>
        </w:numPr>
        <w:rPr>
          <w:szCs w:val="22"/>
        </w:rPr>
      </w:pPr>
      <w:r w:rsidRPr="00B07E65">
        <w:rPr>
          <w:rFonts w:eastAsia="SimSun"/>
          <w:iCs/>
          <w:color w:val="000000"/>
          <w:szCs w:val="22"/>
        </w:rPr>
        <w:t>Suggestions and additions proposed by the Secretariat to the requested listing are added in italics and suggested deletions are crossed out with strikethrough</w:t>
      </w:r>
      <w:r w:rsidR="00651E49" w:rsidRPr="00B07E65">
        <w:rPr>
          <w:rFonts w:eastAsia="SimSun"/>
          <w:iCs/>
          <w:color w:val="000000"/>
          <w:szCs w:val="22"/>
        </w:rPr>
        <w:t xml:space="preserve">. </w:t>
      </w:r>
      <w:r w:rsidR="00651E49" w:rsidRPr="00B07E65">
        <w:rPr>
          <w:szCs w:val="22"/>
        </w:rPr>
        <w:t>In the Pre-Sub-Committee Response (PSCR), the sponsor agreed that the changes suggested by the Secretariat were appropriate</w:t>
      </w:r>
      <w:r w:rsidR="00D3335C" w:rsidRPr="00B07E65">
        <w:rPr>
          <w:szCs w:val="22"/>
        </w:rPr>
        <w:t>.</w:t>
      </w:r>
    </w:p>
    <w:p w:rsidR="00E0194B" w:rsidRPr="00B07E65" w:rsidRDefault="00E0194B" w:rsidP="007C7CFB">
      <w:pPr>
        <w:widowControl/>
        <w:rPr>
          <w:szCs w:val="22"/>
        </w:rPr>
      </w:pPr>
    </w:p>
    <w:tbl>
      <w:tblPr>
        <w:tblW w:w="8505" w:type="dxa"/>
        <w:tblInd w:w="817" w:type="dxa"/>
        <w:tblLayout w:type="fixed"/>
        <w:tblLook w:val="0000" w:firstRow="0" w:lastRow="0" w:firstColumn="0" w:lastColumn="0" w:noHBand="0" w:noVBand="0"/>
      </w:tblPr>
      <w:tblGrid>
        <w:gridCol w:w="2126"/>
        <w:gridCol w:w="1560"/>
        <w:gridCol w:w="708"/>
        <w:gridCol w:w="851"/>
        <w:gridCol w:w="1134"/>
        <w:gridCol w:w="992"/>
        <w:gridCol w:w="1134"/>
      </w:tblGrid>
      <w:tr w:rsidR="00E0194B" w:rsidRPr="00B07E65" w:rsidTr="00651E49">
        <w:trPr>
          <w:cantSplit/>
          <w:trHeight w:val="471"/>
        </w:trPr>
        <w:tc>
          <w:tcPr>
            <w:tcW w:w="3686" w:type="dxa"/>
            <w:gridSpan w:val="2"/>
            <w:tcBorders>
              <w:bottom w:val="single" w:sz="4" w:space="0" w:color="auto"/>
            </w:tcBorders>
          </w:tcPr>
          <w:p w:rsidR="00E0194B" w:rsidRPr="00B07E65" w:rsidRDefault="00E0194B" w:rsidP="004A0F43">
            <w:pPr>
              <w:keepNext/>
              <w:ind w:left="-108"/>
              <w:rPr>
                <w:rFonts w:ascii="Arial Narrow" w:hAnsi="Arial Narrow"/>
                <w:b/>
                <w:sz w:val="20"/>
              </w:rPr>
            </w:pPr>
            <w:r w:rsidRPr="00B07E65">
              <w:rPr>
                <w:rFonts w:ascii="Arial Narrow" w:hAnsi="Arial Narrow"/>
                <w:b/>
                <w:sz w:val="20"/>
              </w:rPr>
              <w:t>Name, Restriction,</w:t>
            </w:r>
          </w:p>
          <w:p w:rsidR="00E0194B" w:rsidRPr="00B07E65" w:rsidRDefault="00E0194B" w:rsidP="004A0F43">
            <w:pPr>
              <w:keepNext/>
              <w:ind w:left="-108"/>
              <w:rPr>
                <w:rFonts w:ascii="Arial Narrow" w:hAnsi="Arial Narrow"/>
                <w:b/>
                <w:sz w:val="20"/>
              </w:rPr>
            </w:pPr>
            <w:r w:rsidRPr="00B07E65">
              <w:rPr>
                <w:rFonts w:ascii="Arial Narrow" w:hAnsi="Arial Narrow"/>
                <w:b/>
                <w:sz w:val="20"/>
              </w:rPr>
              <w:t>Manner of administration and form</w:t>
            </w:r>
          </w:p>
        </w:tc>
        <w:tc>
          <w:tcPr>
            <w:tcW w:w="708" w:type="dxa"/>
            <w:tcBorders>
              <w:bottom w:val="single" w:sz="4" w:space="0" w:color="auto"/>
            </w:tcBorders>
          </w:tcPr>
          <w:p w:rsidR="00E0194B" w:rsidRPr="00B07E65" w:rsidRDefault="00E0194B" w:rsidP="004A0F43">
            <w:pPr>
              <w:keepNext/>
              <w:ind w:left="-108"/>
              <w:jc w:val="center"/>
              <w:rPr>
                <w:rFonts w:ascii="Arial Narrow" w:hAnsi="Arial Narrow"/>
                <w:b/>
                <w:sz w:val="20"/>
              </w:rPr>
            </w:pPr>
            <w:r w:rsidRPr="00B07E65">
              <w:rPr>
                <w:rFonts w:ascii="Arial Narrow" w:hAnsi="Arial Narrow"/>
                <w:b/>
                <w:sz w:val="20"/>
              </w:rPr>
              <w:t>Max.</w:t>
            </w:r>
          </w:p>
          <w:p w:rsidR="00E0194B" w:rsidRPr="00B07E65" w:rsidRDefault="00E0194B" w:rsidP="004A0F43">
            <w:pPr>
              <w:keepNext/>
              <w:ind w:left="-108"/>
              <w:jc w:val="center"/>
              <w:rPr>
                <w:rFonts w:ascii="Arial Narrow" w:hAnsi="Arial Narrow"/>
                <w:b/>
                <w:sz w:val="20"/>
              </w:rPr>
            </w:pPr>
            <w:r w:rsidRPr="00B07E65">
              <w:rPr>
                <w:rFonts w:ascii="Arial Narrow" w:hAnsi="Arial Narrow"/>
                <w:b/>
                <w:sz w:val="20"/>
              </w:rPr>
              <w:t>Qty</w:t>
            </w:r>
          </w:p>
        </w:tc>
        <w:tc>
          <w:tcPr>
            <w:tcW w:w="851" w:type="dxa"/>
            <w:tcBorders>
              <w:bottom w:val="single" w:sz="4" w:space="0" w:color="auto"/>
            </w:tcBorders>
          </w:tcPr>
          <w:p w:rsidR="00E0194B" w:rsidRPr="00B07E65" w:rsidRDefault="00E0194B" w:rsidP="004A0F43">
            <w:pPr>
              <w:keepNext/>
              <w:ind w:left="-108"/>
              <w:jc w:val="center"/>
              <w:rPr>
                <w:rFonts w:ascii="Arial Narrow" w:hAnsi="Arial Narrow"/>
                <w:b/>
                <w:sz w:val="20"/>
              </w:rPr>
            </w:pPr>
            <w:r w:rsidRPr="00B07E65">
              <w:rPr>
                <w:rFonts w:ascii="Arial Narrow" w:hAnsi="Arial Narrow"/>
                <w:b/>
                <w:sz w:val="20"/>
              </w:rPr>
              <w:t>№.of</w:t>
            </w:r>
          </w:p>
          <w:p w:rsidR="00E0194B" w:rsidRPr="00B07E65" w:rsidRDefault="00E0194B" w:rsidP="004A0F43">
            <w:pPr>
              <w:keepNext/>
              <w:ind w:left="-108"/>
              <w:jc w:val="center"/>
              <w:rPr>
                <w:rFonts w:ascii="Arial Narrow" w:hAnsi="Arial Narrow"/>
                <w:b/>
                <w:sz w:val="20"/>
              </w:rPr>
            </w:pPr>
            <w:r w:rsidRPr="00B07E65">
              <w:rPr>
                <w:rFonts w:ascii="Arial Narrow" w:hAnsi="Arial Narrow"/>
                <w:b/>
                <w:sz w:val="20"/>
              </w:rPr>
              <w:t>Rpts</w:t>
            </w:r>
          </w:p>
        </w:tc>
        <w:tc>
          <w:tcPr>
            <w:tcW w:w="1134" w:type="dxa"/>
            <w:tcBorders>
              <w:bottom w:val="single" w:sz="4" w:space="0" w:color="auto"/>
            </w:tcBorders>
          </w:tcPr>
          <w:p w:rsidR="00E0194B" w:rsidRPr="00B07E65" w:rsidRDefault="00E0194B" w:rsidP="004A0F43">
            <w:pPr>
              <w:keepNext/>
              <w:ind w:left="-108"/>
              <w:jc w:val="center"/>
              <w:rPr>
                <w:rFonts w:ascii="Arial Narrow" w:hAnsi="Arial Narrow"/>
                <w:b/>
                <w:sz w:val="20"/>
              </w:rPr>
            </w:pPr>
            <w:r w:rsidRPr="00B07E65">
              <w:rPr>
                <w:rFonts w:ascii="Arial Narrow" w:hAnsi="Arial Narrow"/>
                <w:b/>
                <w:sz w:val="20"/>
              </w:rPr>
              <w:t>Dispensed Price for Max. Qty</w:t>
            </w:r>
            <w:r w:rsidR="005A492B" w:rsidRPr="00B07E65">
              <w:rPr>
                <w:rFonts w:ascii="Arial Narrow" w:hAnsi="Arial Narrow"/>
                <w:b/>
                <w:sz w:val="20"/>
              </w:rPr>
              <w:t>*</w:t>
            </w:r>
            <w:r w:rsidR="00973D12" w:rsidRPr="00B07E65">
              <w:rPr>
                <w:rFonts w:ascii="Arial Narrow" w:hAnsi="Arial Narrow"/>
                <w:b/>
                <w:sz w:val="20"/>
              </w:rPr>
              <w:t>^</w:t>
            </w:r>
          </w:p>
        </w:tc>
        <w:tc>
          <w:tcPr>
            <w:tcW w:w="2126" w:type="dxa"/>
            <w:gridSpan w:val="2"/>
            <w:tcBorders>
              <w:bottom w:val="single" w:sz="4" w:space="0" w:color="auto"/>
            </w:tcBorders>
          </w:tcPr>
          <w:p w:rsidR="00E0194B" w:rsidRPr="00B07E65" w:rsidRDefault="00E0194B" w:rsidP="004A0F43">
            <w:pPr>
              <w:keepNext/>
              <w:rPr>
                <w:rFonts w:ascii="Arial Narrow" w:hAnsi="Arial Narrow"/>
                <w:b/>
                <w:sz w:val="20"/>
              </w:rPr>
            </w:pPr>
            <w:r w:rsidRPr="00B07E65">
              <w:rPr>
                <w:rFonts w:ascii="Arial Narrow" w:hAnsi="Arial Narrow"/>
                <w:b/>
                <w:sz w:val="20"/>
              </w:rPr>
              <w:t>Proprietary Name and Manufacturer</w:t>
            </w:r>
          </w:p>
        </w:tc>
      </w:tr>
      <w:tr w:rsidR="00E0194B" w:rsidRPr="00B07E65" w:rsidTr="003C0B6A">
        <w:tblPrEx>
          <w:tblCellMar>
            <w:left w:w="28" w:type="dxa"/>
            <w:right w:w="28" w:type="dxa"/>
          </w:tblCellMar>
        </w:tblPrEx>
        <w:trPr>
          <w:cantSplit/>
          <w:trHeight w:val="545"/>
        </w:trPr>
        <w:tc>
          <w:tcPr>
            <w:tcW w:w="3686" w:type="dxa"/>
            <w:gridSpan w:val="2"/>
            <w:tcBorders>
              <w:top w:val="single" w:sz="4" w:space="0" w:color="auto"/>
            </w:tcBorders>
          </w:tcPr>
          <w:p w:rsidR="00E0194B" w:rsidRPr="00B07E65" w:rsidRDefault="00E0194B" w:rsidP="004A0F43">
            <w:pPr>
              <w:keepNext/>
              <w:rPr>
                <w:rFonts w:ascii="Arial Narrow" w:hAnsi="Arial Narrow"/>
                <w:sz w:val="20"/>
                <w:szCs w:val="22"/>
              </w:rPr>
            </w:pPr>
            <w:r w:rsidRPr="00B07E65">
              <w:rPr>
                <w:rFonts w:ascii="Arial Narrow" w:hAnsi="Arial Narrow"/>
                <w:smallCaps/>
                <w:sz w:val="20"/>
                <w:szCs w:val="22"/>
              </w:rPr>
              <w:t>Methotrexate</w:t>
            </w:r>
          </w:p>
          <w:p w:rsidR="00E0194B" w:rsidRPr="00B07E65" w:rsidRDefault="00E0194B" w:rsidP="004A0F43">
            <w:pPr>
              <w:keepNext/>
              <w:rPr>
                <w:rFonts w:ascii="Arial Narrow" w:hAnsi="Arial Narrow"/>
                <w:sz w:val="20"/>
                <w:szCs w:val="22"/>
              </w:rPr>
            </w:pPr>
            <w:r w:rsidRPr="00B07E65">
              <w:rPr>
                <w:rFonts w:ascii="Arial Narrow" w:hAnsi="Arial Narrow"/>
                <w:sz w:val="20"/>
                <w:szCs w:val="22"/>
              </w:rPr>
              <w:t xml:space="preserve">7.5 mg/0.15 mL injection, 1 x 0.15 mL syringe </w:t>
            </w:r>
          </w:p>
        </w:tc>
        <w:tc>
          <w:tcPr>
            <w:tcW w:w="708" w:type="dxa"/>
            <w:tcBorders>
              <w:top w:val="single" w:sz="4" w:space="0" w:color="auto"/>
            </w:tcBorders>
            <w:vAlign w:val="center"/>
          </w:tcPr>
          <w:p w:rsidR="003C0B6A" w:rsidRPr="00B07E65" w:rsidRDefault="003C0B6A" w:rsidP="004A0F43">
            <w:pPr>
              <w:keepNext/>
              <w:jc w:val="center"/>
              <w:rPr>
                <w:rFonts w:ascii="Arial Narrow" w:hAnsi="Arial Narrow"/>
                <w:sz w:val="20"/>
                <w:szCs w:val="22"/>
              </w:rPr>
            </w:pPr>
          </w:p>
          <w:p w:rsidR="00E0194B" w:rsidRPr="00B07E65" w:rsidRDefault="00E0194B" w:rsidP="004A0F43">
            <w:pPr>
              <w:keepNext/>
              <w:jc w:val="center"/>
              <w:rPr>
                <w:rFonts w:ascii="Arial Narrow" w:hAnsi="Arial Narrow"/>
                <w:sz w:val="20"/>
                <w:szCs w:val="22"/>
              </w:rPr>
            </w:pPr>
            <w:r w:rsidRPr="00B07E65">
              <w:rPr>
                <w:rFonts w:ascii="Arial Narrow" w:hAnsi="Arial Narrow"/>
                <w:sz w:val="20"/>
                <w:szCs w:val="22"/>
              </w:rPr>
              <w:t>4</w:t>
            </w:r>
          </w:p>
        </w:tc>
        <w:tc>
          <w:tcPr>
            <w:tcW w:w="851" w:type="dxa"/>
            <w:tcBorders>
              <w:top w:val="single" w:sz="4" w:space="0" w:color="auto"/>
            </w:tcBorders>
            <w:vAlign w:val="center"/>
          </w:tcPr>
          <w:p w:rsidR="003C0B6A" w:rsidRPr="00B07E65" w:rsidRDefault="003C0B6A" w:rsidP="004A0F43">
            <w:pPr>
              <w:keepNext/>
              <w:jc w:val="center"/>
              <w:rPr>
                <w:rFonts w:ascii="Arial Narrow" w:hAnsi="Arial Narrow"/>
                <w:sz w:val="20"/>
                <w:szCs w:val="22"/>
              </w:rPr>
            </w:pPr>
          </w:p>
          <w:p w:rsidR="00E0194B" w:rsidRPr="00B07E65" w:rsidRDefault="003C0B6A" w:rsidP="004A0F43">
            <w:pPr>
              <w:keepNext/>
              <w:jc w:val="center"/>
              <w:rPr>
                <w:rFonts w:ascii="Arial Narrow" w:hAnsi="Arial Narrow"/>
                <w:sz w:val="20"/>
                <w:szCs w:val="22"/>
              </w:rPr>
            </w:pPr>
            <w:r w:rsidRPr="00B07E65">
              <w:rPr>
                <w:rFonts w:ascii="Arial Narrow" w:hAnsi="Arial Narrow"/>
                <w:sz w:val="20"/>
                <w:szCs w:val="22"/>
              </w:rPr>
              <w:t>5</w:t>
            </w:r>
          </w:p>
        </w:tc>
        <w:tc>
          <w:tcPr>
            <w:tcW w:w="1134" w:type="dxa"/>
            <w:tcBorders>
              <w:top w:val="single" w:sz="4" w:space="0" w:color="auto"/>
            </w:tcBorders>
            <w:vAlign w:val="center"/>
          </w:tcPr>
          <w:p w:rsidR="003C0B6A" w:rsidRPr="00B07E65" w:rsidRDefault="003C0B6A" w:rsidP="004A0F43">
            <w:pPr>
              <w:keepNext/>
              <w:jc w:val="center"/>
              <w:rPr>
                <w:rFonts w:ascii="Arial Narrow" w:hAnsi="Arial Narrow"/>
                <w:i/>
                <w:sz w:val="20"/>
                <w:szCs w:val="22"/>
              </w:rPr>
            </w:pPr>
          </w:p>
          <w:p w:rsidR="00E0194B" w:rsidRPr="00B07E65" w:rsidRDefault="005A492B" w:rsidP="00973D12">
            <w:pPr>
              <w:keepNext/>
              <w:jc w:val="center"/>
              <w:rPr>
                <w:rFonts w:ascii="Arial Narrow" w:hAnsi="Arial Narrow"/>
                <w:i/>
                <w:sz w:val="20"/>
                <w:szCs w:val="22"/>
              </w:rPr>
            </w:pPr>
            <w:r w:rsidRPr="00B07E65">
              <w:rPr>
                <w:rFonts w:ascii="Arial Narrow" w:hAnsi="Arial Narrow"/>
                <w:i/>
                <w:sz w:val="20"/>
                <w:szCs w:val="22"/>
              </w:rPr>
              <w:t>$</w:t>
            </w:r>
            <w:r w:rsidR="00916DCD">
              <w:rPr>
                <w:rFonts w:ascii="Arial Narrow" w:hAnsi="Arial Narrow"/>
                <w:i/>
                <w:noProof/>
                <w:color w:val="000000"/>
                <w:sz w:val="20"/>
                <w:szCs w:val="22"/>
                <w:highlight w:val="black"/>
              </w:rPr>
              <w:t>'''''''''''''''''</w:t>
            </w:r>
          </w:p>
        </w:tc>
        <w:tc>
          <w:tcPr>
            <w:tcW w:w="992" w:type="dxa"/>
            <w:tcBorders>
              <w:top w:val="single" w:sz="4" w:space="0" w:color="auto"/>
            </w:tcBorders>
          </w:tcPr>
          <w:p w:rsidR="00E0194B" w:rsidRPr="00B07E65" w:rsidRDefault="00E0194B" w:rsidP="004A0F43">
            <w:pPr>
              <w:keepNext/>
              <w:jc w:val="center"/>
              <w:rPr>
                <w:rFonts w:ascii="Arial Narrow" w:hAnsi="Arial Narrow"/>
                <w:sz w:val="20"/>
                <w:szCs w:val="22"/>
              </w:rPr>
            </w:pPr>
            <w:r w:rsidRPr="00B07E65">
              <w:rPr>
                <w:rFonts w:ascii="Arial Narrow" w:hAnsi="Arial Narrow"/>
                <w:sz w:val="20"/>
                <w:szCs w:val="22"/>
              </w:rPr>
              <w:t>Trexject®</w:t>
            </w:r>
          </w:p>
        </w:tc>
        <w:tc>
          <w:tcPr>
            <w:tcW w:w="1134" w:type="dxa"/>
            <w:tcBorders>
              <w:top w:val="single" w:sz="4" w:space="0" w:color="auto"/>
            </w:tcBorders>
          </w:tcPr>
          <w:p w:rsidR="00E0194B" w:rsidRPr="00B07E65" w:rsidRDefault="00E0194B" w:rsidP="004A0F43">
            <w:pPr>
              <w:keepNext/>
              <w:jc w:val="center"/>
              <w:rPr>
                <w:rFonts w:ascii="Arial Narrow" w:hAnsi="Arial Narrow"/>
                <w:sz w:val="20"/>
                <w:szCs w:val="22"/>
              </w:rPr>
            </w:pPr>
            <w:r w:rsidRPr="00B07E65">
              <w:rPr>
                <w:rFonts w:ascii="Arial Narrow" w:hAnsi="Arial Narrow"/>
                <w:sz w:val="20"/>
                <w:szCs w:val="22"/>
              </w:rPr>
              <w:t>Link Medical Products</w:t>
            </w:r>
          </w:p>
        </w:tc>
      </w:tr>
      <w:tr w:rsidR="005A492B" w:rsidRPr="00B07E65" w:rsidTr="003C0B6A">
        <w:tblPrEx>
          <w:tblCellMar>
            <w:left w:w="28" w:type="dxa"/>
            <w:right w:w="28" w:type="dxa"/>
          </w:tblCellMar>
        </w:tblPrEx>
        <w:trPr>
          <w:cantSplit/>
          <w:trHeight w:val="283"/>
        </w:trPr>
        <w:tc>
          <w:tcPr>
            <w:tcW w:w="3686" w:type="dxa"/>
            <w:gridSpan w:val="2"/>
          </w:tcPr>
          <w:p w:rsidR="005A492B" w:rsidRPr="00B07E65" w:rsidRDefault="005A492B" w:rsidP="004A0F43">
            <w:pPr>
              <w:rPr>
                <w:rFonts w:ascii="Arial Narrow" w:hAnsi="Arial Narrow"/>
                <w:sz w:val="20"/>
                <w:szCs w:val="22"/>
              </w:rPr>
            </w:pPr>
            <w:r w:rsidRPr="00B07E65">
              <w:rPr>
                <w:rFonts w:ascii="Arial Narrow" w:hAnsi="Arial Narrow"/>
                <w:sz w:val="20"/>
                <w:szCs w:val="22"/>
              </w:rPr>
              <w:t xml:space="preserve">10 mg/0.2 mL injection, 1 x 0.2 mL syringe </w:t>
            </w:r>
          </w:p>
        </w:tc>
        <w:tc>
          <w:tcPr>
            <w:tcW w:w="708"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4</w:t>
            </w:r>
          </w:p>
        </w:tc>
        <w:tc>
          <w:tcPr>
            <w:tcW w:w="851"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5</w:t>
            </w:r>
          </w:p>
        </w:tc>
        <w:tc>
          <w:tcPr>
            <w:tcW w:w="1134" w:type="dxa"/>
          </w:tcPr>
          <w:p w:rsidR="005A492B" w:rsidRPr="00B07E65" w:rsidRDefault="005A492B" w:rsidP="005A492B">
            <w:pPr>
              <w:jc w:val="center"/>
            </w:pPr>
            <w:r w:rsidRPr="00B07E65">
              <w:rPr>
                <w:rFonts w:ascii="Arial Narrow" w:hAnsi="Arial Narrow"/>
                <w:i/>
                <w:sz w:val="20"/>
                <w:szCs w:val="22"/>
              </w:rPr>
              <w:t>$</w:t>
            </w:r>
            <w:r w:rsidR="00916DCD">
              <w:rPr>
                <w:rFonts w:ascii="Arial Narrow" w:hAnsi="Arial Narrow"/>
                <w:i/>
                <w:noProof/>
                <w:color w:val="000000"/>
                <w:sz w:val="20"/>
                <w:szCs w:val="22"/>
                <w:highlight w:val="black"/>
              </w:rPr>
              <w:t>''''''''''''''''</w:t>
            </w:r>
          </w:p>
        </w:tc>
        <w:tc>
          <w:tcPr>
            <w:tcW w:w="992" w:type="dxa"/>
          </w:tcPr>
          <w:p w:rsidR="005A492B" w:rsidRPr="00B07E65" w:rsidRDefault="005A492B" w:rsidP="004A0F43">
            <w:pPr>
              <w:keepNext/>
              <w:jc w:val="center"/>
              <w:rPr>
                <w:rFonts w:ascii="Arial Narrow" w:hAnsi="Arial Narrow"/>
                <w:sz w:val="20"/>
                <w:szCs w:val="22"/>
              </w:rPr>
            </w:pPr>
          </w:p>
        </w:tc>
        <w:tc>
          <w:tcPr>
            <w:tcW w:w="1134" w:type="dxa"/>
          </w:tcPr>
          <w:p w:rsidR="005A492B" w:rsidRPr="00B07E65" w:rsidRDefault="005A492B" w:rsidP="004A0F43">
            <w:pPr>
              <w:keepNext/>
              <w:jc w:val="center"/>
              <w:rPr>
                <w:rFonts w:ascii="Arial Narrow" w:hAnsi="Arial Narrow"/>
                <w:sz w:val="20"/>
                <w:szCs w:val="22"/>
              </w:rPr>
            </w:pPr>
          </w:p>
        </w:tc>
      </w:tr>
      <w:tr w:rsidR="005A492B" w:rsidRPr="00B07E65" w:rsidTr="003C0B6A">
        <w:tblPrEx>
          <w:tblCellMar>
            <w:left w:w="28" w:type="dxa"/>
            <w:right w:w="28" w:type="dxa"/>
          </w:tblCellMar>
        </w:tblPrEx>
        <w:trPr>
          <w:cantSplit/>
          <w:trHeight w:val="283"/>
        </w:trPr>
        <w:tc>
          <w:tcPr>
            <w:tcW w:w="3686" w:type="dxa"/>
            <w:gridSpan w:val="2"/>
          </w:tcPr>
          <w:p w:rsidR="005A492B" w:rsidRPr="00B07E65" w:rsidRDefault="005A492B" w:rsidP="004A0F43">
            <w:pPr>
              <w:rPr>
                <w:rFonts w:ascii="Arial Narrow" w:hAnsi="Arial Narrow"/>
                <w:sz w:val="20"/>
                <w:szCs w:val="22"/>
              </w:rPr>
            </w:pPr>
            <w:r w:rsidRPr="00B07E65">
              <w:rPr>
                <w:rFonts w:ascii="Arial Narrow" w:hAnsi="Arial Narrow"/>
                <w:sz w:val="20"/>
                <w:szCs w:val="22"/>
              </w:rPr>
              <w:t xml:space="preserve">15 mg/0.3 mL injection, 1 x 0.3 mL syringe </w:t>
            </w:r>
          </w:p>
        </w:tc>
        <w:tc>
          <w:tcPr>
            <w:tcW w:w="708"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4</w:t>
            </w:r>
          </w:p>
        </w:tc>
        <w:tc>
          <w:tcPr>
            <w:tcW w:w="851"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5</w:t>
            </w:r>
          </w:p>
        </w:tc>
        <w:tc>
          <w:tcPr>
            <w:tcW w:w="1134" w:type="dxa"/>
          </w:tcPr>
          <w:p w:rsidR="005A492B" w:rsidRPr="00B07E65" w:rsidRDefault="005A492B" w:rsidP="005A492B">
            <w:pPr>
              <w:jc w:val="center"/>
            </w:pPr>
            <w:r w:rsidRPr="00B07E65">
              <w:rPr>
                <w:rFonts w:ascii="Arial Narrow" w:hAnsi="Arial Narrow"/>
                <w:i/>
                <w:sz w:val="20"/>
                <w:szCs w:val="22"/>
              </w:rPr>
              <w:t>$</w:t>
            </w:r>
            <w:r w:rsidR="00916DCD">
              <w:rPr>
                <w:rFonts w:ascii="Arial Narrow" w:hAnsi="Arial Narrow"/>
                <w:i/>
                <w:noProof/>
                <w:color w:val="000000"/>
                <w:sz w:val="20"/>
                <w:szCs w:val="22"/>
                <w:highlight w:val="black"/>
              </w:rPr>
              <w:t>'''''''''''''''''</w:t>
            </w:r>
          </w:p>
        </w:tc>
        <w:tc>
          <w:tcPr>
            <w:tcW w:w="992" w:type="dxa"/>
          </w:tcPr>
          <w:p w:rsidR="005A492B" w:rsidRPr="00B07E65" w:rsidRDefault="005A492B" w:rsidP="004A0F43">
            <w:pPr>
              <w:keepNext/>
              <w:jc w:val="center"/>
              <w:rPr>
                <w:rFonts w:ascii="Arial Narrow" w:hAnsi="Arial Narrow"/>
                <w:sz w:val="20"/>
                <w:szCs w:val="22"/>
              </w:rPr>
            </w:pPr>
          </w:p>
        </w:tc>
        <w:tc>
          <w:tcPr>
            <w:tcW w:w="1134" w:type="dxa"/>
          </w:tcPr>
          <w:p w:rsidR="005A492B" w:rsidRPr="00B07E65" w:rsidRDefault="005A492B" w:rsidP="004A0F43">
            <w:pPr>
              <w:keepNext/>
              <w:jc w:val="center"/>
              <w:rPr>
                <w:rFonts w:ascii="Arial Narrow" w:hAnsi="Arial Narrow"/>
                <w:sz w:val="20"/>
                <w:szCs w:val="22"/>
              </w:rPr>
            </w:pPr>
          </w:p>
        </w:tc>
      </w:tr>
      <w:tr w:rsidR="005A492B" w:rsidRPr="00B07E65" w:rsidTr="003C0B6A">
        <w:tblPrEx>
          <w:tblCellMar>
            <w:left w:w="28" w:type="dxa"/>
            <w:right w:w="28" w:type="dxa"/>
          </w:tblCellMar>
        </w:tblPrEx>
        <w:trPr>
          <w:cantSplit/>
          <w:trHeight w:val="283"/>
        </w:trPr>
        <w:tc>
          <w:tcPr>
            <w:tcW w:w="3686" w:type="dxa"/>
            <w:gridSpan w:val="2"/>
          </w:tcPr>
          <w:p w:rsidR="005A492B" w:rsidRPr="00B07E65" w:rsidRDefault="005A492B" w:rsidP="004A0F43">
            <w:pPr>
              <w:rPr>
                <w:rFonts w:ascii="Arial Narrow" w:hAnsi="Arial Narrow"/>
                <w:sz w:val="20"/>
                <w:szCs w:val="22"/>
              </w:rPr>
            </w:pPr>
            <w:r w:rsidRPr="00B07E65">
              <w:rPr>
                <w:rFonts w:ascii="Arial Narrow" w:hAnsi="Arial Narrow"/>
                <w:sz w:val="20"/>
                <w:szCs w:val="22"/>
              </w:rPr>
              <w:t xml:space="preserve">20 mg/0.4 mL injection, 1 x 0.4 mL syringe </w:t>
            </w:r>
          </w:p>
        </w:tc>
        <w:tc>
          <w:tcPr>
            <w:tcW w:w="708"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4</w:t>
            </w:r>
          </w:p>
        </w:tc>
        <w:tc>
          <w:tcPr>
            <w:tcW w:w="851"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5</w:t>
            </w:r>
          </w:p>
        </w:tc>
        <w:tc>
          <w:tcPr>
            <w:tcW w:w="1134" w:type="dxa"/>
          </w:tcPr>
          <w:p w:rsidR="005A492B" w:rsidRPr="00B07E65" w:rsidRDefault="005A492B" w:rsidP="005A492B">
            <w:pPr>
              <w:jc w:val="center"/>
            </w:pPr>
            <w:r w:rsidRPr="00B07E65">
              <w:rPr>
                <w:rFonts w:ascii="Arial Narrow" w:hAnsi="Arial Narrow"/>
                <w:i/>
                <w:sz w:val="20"/>
                <w:szCs w:val="22"/>
              </w:rPr>
              <w:t>$</w:t>
            </w:r>
            <w:r w:rsidR="00916DCD">
              <w:rPr>
                <w:rFonts w:ascii="Arial Narrow" w:hAnsi="Arial Narrow"/>
                <w:i/>
                <w:noProof/>
                <w:color w:val="000000"/>
                <w:sz w:val="20"/>
                <w:szCs w:val="22"/>
                <w:highlight w:val="black"/>
              </w:rPr>
              <w:t>''''''''''''''''''</w:t>
            </w:r>
          </w:p>
        </w:tc>
        <w:tc>
          <w:tcPr>
            <w:tcW w:w="992" w:type="dxa"/>
          </w:tcPr>
          <w:p w:rsidR="005A492B" w:rsidRPr="00B07E65" w:rsidRDefault="005A492B" w:rsidP="004A0F43">
            <w:pPr>
              <w:keepNext/>
              <w:jc w:val="center"/>
              <w:rPr>
                <w:rFonts w:ascii="Arial Narrow" w:hAnsi="Arial Narrow"/>
                <w:sz w:val="20"/>
                <w:szCs w:val="22"/>
              </w:rPr>
            </w:pPr>
          </w:p>
        </w:tc>
        <w:tc>
          <w:tcPr>
            <w:tcW w:w="1134" w:type="dxa"/>
          </w:tcPr>
          <w:p w:rsidR="005A492B" w:rsidRPr="00B07E65" w:rsidRDefault="005A492B" w:rsidP="004A0F43">
            <w:pPr>
              <w:keepNext/>
              <w:jc w:val="center"/>
              <w:rPr>
                <w:rFonts w:ascii="Arial Narrow" w:hAnsi="Arial Narrow"/>
                <w:sz w:val="20"/>
                <w:szCs w:val="22"/>
              </w:rPr>
            </w:pPr>
          </w:p>
        </w:tc>
      </w:tr>
      <w:tr w:rsidR="005A492B" w:rsidRPr="00B07E65" w:rsidTr="003C0B6A">
        <w:tblPrEx>
          <w:tblCellMar>
            <w:left w:w="28" w:type="dxa"/>
            <w:right w:w="28" w:type="dxa"/>
          </w:tblCellMar>
        </w:tblPrEx>
        <w:trPr>
          <w:cantSplit/>
          <w:trHeight w:val="283"/>
        </w:trPr>
        <w:tc>
          <w:tcPr>
            <w:tcW w:w="3686" w:type="dxa"/>
            <w:gridSpan w:val="2"/>
          </w:tcPr>
          <w:p w:rsidR="005A492B" w:rsidRPr="00B07E65" w:rsidRDefault="005A492B" w:rsidP="004A0F43">
            <w:pPr>
              <w:rPr>
                <w:rFonts w:ascii="Arial Narrow" w:hAnsi="Arial Narrow"/>
                <w:sz w:val="20"/>
                <w:szCs w:val="22"/>
              </w:rPr>
            </w:pPr>
            <w:r w:rsidRPr="00B07E65">
              <w:rPr>
                <w:rFonts w:ascii="Arial Narrow" w:hAnsi="Arial Narrow"/>
                <w:sz w:val="20"/>
                <w:szCs w:val="22"/>
              </w:rPr>
              <w:t xml:space="preserve">25 mg/0.5 mL injection, 1 x 0.5 mL syringe </w:t>
            </w:r>
          </w:p>
        </w:tc>
        <w:tc>
          <w:tcPr>
            <w:tcW w:w="708"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4</w:t>
            </w:r>
          </w:p>
        </w:tc>
        <w:tc>
          <w:tcPr>
            <w:tcW w:w="851" w:type="dxa"/>
            <w:vAlign w:val="center"/>
          </w:tcPr>
          <w:p w:rsidR="005A492B" w:rsidRPr="00B07E65" w:rsidRDefault="005A492B" w:rsidP="004A0F43">
            <w:pPr>
              <w:keepNext/>
              <w:jc w:val="center"/>
              <w:rPr>
                <w:rFonts w:ascii="Arial Narrow" w:hAnsi="Arial Narrow"/>
                <w:sz w:val="20"/>
                <w:szCs w:val="22"/>
              </w:rPr>
            </w:pPr>
            <w:r w:rsidRPr="00B07E65">
              <w:rPr>
                <w:rFonts w:ascii="Arial Narrow" w:hAnsi="Arial Narrow"/>
                <w:sz w:val="20"/>
                <w:szCs w:val="22"/>
              </w:rPr>
              <w:t>5</w:t>
            </w:r>
          </w:p>
        </w:tc>
        <w:tc>
          <w:tcPr>
            <w:tcW w:w="1134" w:type="dxa"/>
          </w:tcPr>
          <w:p w:rsidR="005A492B" w:rsidRPr="00B07E65" w:rsidRDefault="005A492B" w:rsidP="005A492B">
            <w:pPr>
              <w:jc w:val="center"/>
            </w:pPr>
            <w:r w:rsidRPr="00B07E65">
              <w:rPr>
                <w:rFonts w:ascii="Arial Narrow" w:hAnsi="Arial Narrow"/>
                <w:i/>
                <w:sz w:val="20"/>
                <w:szCs w:val="22"/>
              </w:rPr>
              <w:t>$</w:t>
            </w:r>
            <w:r w:rsidR="00916DCD">
              <w:rPr>
                <w:rFonts w:ascii="Arial Narrow" w:hAnsi="Arial Narrow"/>
                <w:i/>
                <w:noProof/>
                <w:color w:val="000000"/>
                <w:sz w:val="20"/>
                <w:szCs w:val="22"/>
                <w:highlight w:val="black"/>
              </w:rPr>
              <w:t>''''''''''''''''''</w:t>
            </w:r>
          </w:p>
        </w:tc>
        <w:tc>
          <w:tcPr>
            <w:tcW w:w="992" w:type="dxa"/>
          </w:tcPr>
          <w:p w:rsidR="005A492B" w:rsidRPr="00B07E65" w:rsidRDefault="005A492B" w:rsidP="004A0F43">
            <w:pPr>
              <w:keepNext/>
              <w:jc w:val="center"/>
              <w:rPr>
                <w:rFonts w:ascii="Arial Narrow" w:hAnsi="Arial Narrow"/>
                <w:sz w:val="20"/>
                <w:szCs w:val="22"/>
              </w:rPr>
            </w:pPr>
          </w:p>
        </w:tc>
        <w:tc>
          <w:tcPr>
            <w:tcW w:w="1134" w:type="dxa"/>
          </w:tcPr>
          <w:p w:rsidR="005A492B" w:rsidRPr="00B07E65" w:rsidRDefault="005A492B" w:rsidP="004A0F43">
            <w:pPr>
              <w:keepNext/>
              <w:jc w:val="center"/>
              <w:rPr>
                <w:rFonts w:ascii="Arial Narrow" w:hAnsi="Arial Narrow"/>
                <w:sz w:val="20"/>
                <w:szCs w:val="22"/>
              </w:rPr>
            </w:pPr>
          </w:p>
        </w:tc>
      </w:tr>
      <w:tr w:rsidR="00E0194B" w:rsidRPr="00B07E65" w:rsidTr="005A492B">
        <w:trPr>
          <w:cantSplit/>
          <w:trHeight w:val="681"/>
        </w:trPr>
        <w:tc>
          <w:tcPr>
            <w:tcW w:w="8505" w:type="dxa"/>
            <w:gridSpan w:val="7"/>
            <w:tcBorders>
              <w:bottom w:val="single" w:sz="4" w:space="0" w:color="auto"/>
            </w:tcBorders>
          </w:tcPr>
          <w:p w:rsidR="00E0194B" w:rsidRPr="00B07E65" w:rsidRDefault="005A492B" w:rsidP="005A492B">
            <w:pPr>
              <w:rPr>
                <w:rFonts w:ascii="Arial Narrow" w:hAnsi="Arial Narrow"/>
                <w:sz w:val="18"/>
              </w:rPr>
            </w:pPr>
            <w:r w:rsidRPr="00B07E65">
              <w:rPr>
                <w:rFonts w:ascii="Arial Narrow" w:hAnsi="Arial Narrow"/>
                <w:sz w:val="18"/>
              </w:rPr>
              <w:t>*Corrected using Tier 1 AHI fees. The DPMQ includes a wholesale mark-up of 7.52%; plus Tier 1 AHI of $3.54 per prescription plus dispensing fee of $7.02 per prescription.</w:t>
            </w:r>
          </w:p>
          <w:p w:rsidR="00973D12" w:rsidRPr="00B07E65" w:rsidRDefault="00973D12" w:rsidP="005A492B">
            <w:pPr>
              <w:rPr>
                <w:rFonts w:ascii="Arial Narrow" w:hAnsi="Arial Narrow"/>
                <w:sz w:val="18"/>
              </w:rPr>
            </w:pPr>
            <w:r w:rsidRPr="00B07E65">
              <w:rPr>
                <w:rFonts w:ascii="Arial Narrow" w:hAnsi="Arial Narrow"/>
                <w:sz w:val="18"/>
              </w:rPr>
              <w:t>^ Revised DPMQ of $</w:t>
            </w:r>
            <w:r w:rsidR="00916DCD">
              <w:rPr>
                <w:rFonts w:ascii="Arial Narrow" w:hAnsi="Arial Narrow"/>
                <w:noProof/>
                <w:color w:val="000000"/>
                <w:sz w:val="18"/>
                <w:highlight w:val="black"/>
              </w:rPr>
              <w:t>'''''''''''''''</w:t>
            </w:r>
            <w:r w:rsidRPr="00B07E65">
              <w:rPr>
                <w:rFonts w:ascii="Arial Narrow" w:hAnsi="Arial Narrow"/>
                <w:sz w:val="18"/>
              </w:rPr>
              <w:t xml:space="preserve"> was pre</w:t>
            </w:r>
            <w:r w:rsidR="00906E37">
              <w:rPr>
                <w:rFonts w:ascii="Arial Narrow" w:hAnsi="Arial Narrow"/>
                <w:sz w:val="18"/>
              </w:rPr>
              <w:t>sented in the Pre-PBAC Response</w:t>
            </w:r>
            <w:r w:rsidRPr="00B07E65">
              <w:rPr>
                <w:rFonts w:ascii="Arial Narrow" w:hAnsi="Arial Narrow"/>
                <w:sz w:val="18"/>
              </w:rPr>
              <w:t>.</w:t>
            </w:r>
          </w:p>
          <w:p w:rsidR="009A1E41" w:rsidRPr="00B07E65" w:rsidRDefault="009A1E41" w:rsidP="005A492B">
            <w:pPr>
              <w:rPr>
                <w:rFonts w:ascii="Arial Narrow" w:hAnsi="Arial Narrow"/>
                <w:sz w:val="20"/>
              </w:rPr>
            </w:pP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GENERAL – General Schedule (Code GE)</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Prescriber type:</w:t>
            </w:r>
          </w:p>
          <w:p w:rsidR="00E0194B" w:rsidRPr="00B07E65" w:rsidRDefault="00E0194B" w:rsidP="004A0F43">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1"/>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Dental  </w:t>
            </w: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Medical Practitioners  </w:t>
            </w: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Nurse practitioners  </w:t>
            </w: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Optometrists</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Midwives</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trike/>
                <w:sz w:val="20"/>
              </w:rPr>
            </w:pPr>
            <w:r w:rsidRPr="00B07E65">
              <w:rPr>
                <w:rFonts w:ascii="Arial Narrow" w:hAnsi="Arial Narrow"/>
                <w:b/>
                <w:strike/>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trike/>
                <w:sz w:val="20"/>
              </w:rPr>
            </w:pPr>
            <w:r w:rsidRPr="00B07E65">
              <w:rPr>
                <w:rFonts w:ascii="Arial Narrow" w:hAnsi="Arial Narrow"/>
                <w:strike/>
                <w:sz w:val="20"/>
              </w:rPr>
              <w:t>Chronic treatment</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Severe, recalcitrant, active</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 xml:space="preserve">Rheumatoid arthritis </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PBS Indication:</w:t>
            </w:r>
          </w:p>
          <w:p w:rsidR="00E0194B" w:rsidRPr="00B07E65" w:rsidRDefault="00E0194B" w:rsidP="004A0F43">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trike/>
                <w:sz w:val="20"/>
              </w:rPr>
              <w:t>For the treatment of</w:t>
            </w:r>
            <w:r w:rsidRPr="00B07E65">
              <w:rPr>
                <w:rFonts w:ascii="Arial Narrow" w:hAnsi="Arial Narrow"/>
                <w:sz w:val="20"/>
              </w:rPr>
              <w:t xml:space="preserve"> </w:t>
            </w:r>
            <w:r w:rsidRPr="00B07E65">
              <w:rPr>
                <w:rFonts w:ascii="Arial Narrow" w:hAnsi="Arial Narrow"/>
                <w:i/>
                <w:sz w:val="20"/>
              </w:rPr>
              <w:t>Severe, recalcitrant, active</w:t>
            </w:r>
            <w:r w:rsidRPr="00B07E65">
              <w:rPr>
                <w:rFonts w:ascii="Arial Narrow" w:hAnsi="Arial Narrow"/>
                <w:sz w:val="20"/>
              </w:rPr>
              <w:t xml:space="preserve"> rheumatoid arthritis </w:t>
            </w:r>
            <w:r w:rsidRPr="00B07E65">
              <w:rPr>
                <w:rFonts w:ascii="Arial Narrow" w:hAnsi="Arial Narrow"/>
                <w:strike/>
                <w:sz w:val="20"/>
              </w:rPr>
              <w:t>when the oral tablet form of methotrexate is unsuitable</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trike/>
                <w:sz w:val="20"/>
              </w:rPr>
            </w:pPr>
            <w:r w:rsidRPr="00B07E65">
              <w:rPr>
                <w:rFonts w:ascii="Arial Narrow" w:hAnsi="Arial Narrow"/>
                <w:b/>
                <w:strike/>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trike/>
                <w:sz w:val="20"/>
              </w:rPr>
            </w:pPr>
            <w:r w:rsidRPr="00B07E65">
              <w:rPr>
                <w:rFonts w:ascii="Arial Narrow" w:hAnsi="Arial Narrow"/>
                <w:strike/>
                <w:sz w:val="20"/>
              </w:rPr>
              <w:t xml:space="preserve">Initial and continuing </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lastRenderedPageBreak/>
              <w:t>Restriction Level / Method:</w:t>
            </w:r>
          </w:p>
          <w:p w:rsidR="00E0194B" w:rsidRPr="00B07E65" w:rsidRDefault="00E0194B" w:rsidP="004A0F43">
            <w:pPr>
              <w:rPr>
                <w:rFonts w:ascii="Arial Narrow" w:hAnsi="Arial Narrow"/>
                <w:i/>
                <w:sz w:val="20"/>
                <w:highlight w:val="yellow"/>
              </w:rPr>
            </w:pPr>
          </w:p>
          <w:p w:rsidR="00E0194B" w:rsidRPr="00B07E65" w:rsidRDefault="00E0194B" w:rsidP="004A0F43">
            <w:pPr>
              <w:rPr>
                <w:rFonts w:ascii="Arial Narrow" w:hAnsi="Arial Narrow"/>
                <w:i/>
                <w:sz w:val="20"/>
              </w:rPr>
            </w:pPr>
          </w:p>
          <w:p w:rsidR="00E0194B" w:rsidRPr="00B07E65" w:rsidRDefault="00E0194B" w:rsidP="004A0F43">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1"/>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Restricted benefit</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In Writing</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Telephone</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Emergency</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Electronic</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5"/>
                  <w:enabled/>
                  <w:calcOnExit w:val="0"/>
                  <w:checkBox>
                    <w:sizeAuto/>
                    <w:default w:val="1"/>
                  </w:checkBox>
                </w:ffData>
              </w:fldChar>
            </w:r>
            <w:bookmarkStart w:id="3" w:name="Check5"/>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bookmarkEnd w:id="3"/>
            <w:r w:rsidRPr="00B07E65">
              <w:rPr>
                <w:rFonts w:ascii="Arial Narrow" w:hAnsi="Arial Narrow"/>
                <w:sz w:val="20"/>
              </w:rPr>
              <w:t>Streamlined</w:t>
            </w:r>
          </w:p>
        </w:tc>
      </w:tr>
      <w:tr w:rsidR="00E0194B" w:rsidRPr="00B07E65" w:rsidTr="00651E49">
        <w:trPr>
          <w:cantSplit/>
          <w:trHeight w:val="360"/>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Clinical criteria:</w:t>
            </w:r>
          </w:p>
          <w:p w:rsidR="00E0194B" w:rsidRPr="00B07E65" w:rsidRDefault="00E0194B" w:rsidP="004A0F43">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The condition must be not responding to</w:t>
            </w:r>
            <w:r w:rsidRPr="00B07E65">
              <w:rPr>
                <w:rFonts w:ascii="Arial Narrow" w:hAnsi="Arial Narrow"/>
                <w:strike/>
                <w:sz w:val="20"/>
              </w:rPr>
              <w:t>, or intolerant of,</w:t>
            </w:r>
            <w:r w:rsidRPr="00B07E65">
              <w:rPr>
                <w:rFonts w:ascii="Arial Narrow" w:hAnsi="Arial Narrow"/>
                <w:sz w:val="20"/>
              </w:rPr>
              <w:t xml:space="preserve"> an adequate trial of NSAIDs and one or more disease modifying drugs,</w:t>
            </w:r>
          </w:p>
          <w:p w:rsidR="00E0194B" w:rsidRPr="00B07E65" w:rsidRDefault="00E0194B" w:rsidP="004A0F43">
            <w:pPr>
              <w:rPr>
                <w:rFonts w:ascii="Arial Narrow" w:hAnsi="Arial Narrow"/>
                <w:i/>
                <w:sz w:val="20"/>
              </w:rPr>
            </w:pPr>
            <w:r w:rsidRPr="00B07E65">
              <w:rPr>
                <w:rFonts w:ascii="Arial Narrow" w:hAnsi="Arial Narrow"/>
                <w:i/>
                <w:sz w:val="20"/>
              </w:rPr>
              <w:t>OR</w:t>
            </w:r>
          </w:p>
          <w:p w:rsidR="00E0194B" w:rsidRPr="00B07E65" w:rsidRDefault="00E0194B" w:rsidP="004A0F43">
            <w:pPr>
              <w:rPr>
                <w:rFonts w:ascii="Arial Narrow" w:hAnsi="Arial Narrow"/>
                <w:i/>
                <w:sz w:val="20"/>
              </w:rPr>
            </w:pPr>
            <w:r w:rsidRPr="00B07E65">
              <w:rPr>
                <w:rFonts w:ascii="Arial Narrow" w:hAnsi="Arial Narrow"/>
                <w:i/>
                <w:sz w:val="20"/>
              </w:rPr>
              <w:t>The condition must be intolerant of an adequate trial of NSAIDs and one or more disease modifying drugs,</w:t>
            </w:r>
          </w:p>
          <w:p w:rsidR="00E0194B" w:rsidRPr="00B07E65" w:rsidRDefault="00E0194B" w:rsidP="004A0F43">
            <w:pPr>
              <w:rPr>
                <w:rFonts w:ascii="Arial Narrow" w:hAnsi="Arial Narrow"/>
                <w:i/>
                <w:sz w:val="20"/>
              </w:rPr>
            </w:pPr>
          </w:p>
          <w:p w:rsidR="00E0194B" w:rsidRPr="00B07E65" w:rsidRDefault="00E0194B" w:rsidP="004A0F43">
            <w:pPr>
              <w:rPr>
                <w:rFonts w:ascii="Arial Narrow" w:hAnsi="Arial Narrow"/>
                <w:i/>
                <w:sz w:val="20"/>
              </w:rPr>
            </w:pPr>
            <w:r w:rsidRPr="00B07E65">
              <w:rPr>
                <w:rFonts w:ascii="Arial Narrow" w:hAnsi="Arial Narrow"/>
                <w:i/>
                <w:sz w:val="20"/>
              </w:rPr>
              <w:t xml:space="preserve">AND </w:t>
            </w:r>
          </w:p>
          <w:p w:rsidR="00E0194B" w:rsidRPr="00B07E65" w:rsidRDefault="00E0194B" w:rsidP="004A0F43">
            <w:pPr>
              <w:rPr>
                <w:rFonts w:ascii="Arial Narrow" w:hAnsi="Arial Narrow"/>
                <w:i/>
                <w:sz w:val="20"/>
              </w:rPr>
            </w:pPr>
          </w:p>
          <w:p w:rsidR="00E0194B" w:rsidRPr="00B07E65" w:rsidRDefault="00E0194B" w:rsidP="004A0F43">
            <w:pPr>
              <w:rPr>
                <w:rFonts w:ascii="Arial Narrow" w:hAnsi="Arial Narrow"/>
                <w:i/>
                <w:sz w:val="20"/>
              </w:rPr>
            </w:pPr>
            <w:r w:rsidRPr="00B07E65">
              <w:rPr>
                <w:rFonts w:ascii="Arial Narrow" w:hAnsi="Arial Narrow"/>
                <w:i/>
                <w:sz w:val="20"/>
              </w:rPr>
              <w:t>Patient must be unsuitable for administration of an oral form of methotrexate for this condition.</w:t>
            </w:r>
          </w:p>
        </w:tc>
      </w:tr>
      <w:tr w:rsidR="00E0194B" w:rsidRPr="00B07E65" w:rsidTr="00651E49">
        <w:trPr>
          <w:cantSplit/>
          <w:trHeight w:val="332"/>
        </w:trPr>
        <w:tc>
          <w:tcPr>
            <w:tcW w:w="2126" w:type="dxa"/>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trike/>
                <w:sz w:val="20"/>
              </w:rPr>
              <w:t xml:space="preserve">The </w:t>
            </w:r>
            <w:proofErr w:type="spellStart"/>
            <w:r w:rsidRPr="00B07E65">
              <w:rPr>
                <w:rFonts w:ascii="Arial Narrow" w:hAnsi="Arial Narrow"/>
                <w:strike/>
                <w:sz w:val="20"/>
              </w:rPr>
              <w:t>p</w:t>
            </w:r>
            <w:r w:rsidRPr="00B07E65">
              <w:rPr>
                <w:rFonts w:ascii="Arial Narrow" w:hAnsi="Arial Narrow"/>
                <w:i/>
                <w:sz w:val="20"/>
              </w:rPr>
              <w:t>P</w:t>
            </w:r>
            <w:r w:rsidRPr="00B07E65">
              <w:rPr>
                <w:rFonts w:ascii="Arial Narrow" w:hAnsi="Arial Narrow"/>
                <w:sz w:val="20"/>
              </w:rPr>
              <w:t>atient</w:t>
            </w:r>
            <w:proofErr w:type="spellEnd"/>
            <w:r w:rsidRPr="00B07E65">
              <w:rPr>
                <w:rFonts w:ascii="Arial Narrow" w:hAnsi="Arial Narrow"/>
                <w:sz w:val="20"/>
              </w:rPr>
              <w:t xml:space="preserve"> must be </w:t>
            </w:r>
            <w:r w:rsidRPr="00B07E65">
              <w:rPr>
                <w:rFonts w:ascii="Arial Narrow" w:hAnsi="Arial Narrow"/>
                <w:i/>
                <w:sz w:val="20"/>
              </w:rPr>
              <w:t>an</w:t>
            </w:r>
            <w:r w:rsidRPr="00B07E65">
              <w:rPr>
                <w:rFonts w:ascii="Arial Narrow" w:hAnsi="Arial Narrow"/>
                <w:sz w:val="20"/>
              </w:rPr>
              <w:t xml:space="preserve"> adult.</w:t>
            </w:r>
          </w:p>
          <w:p w:rsidR="00E0194B" w:rsidRPr="00B07E65" w:rsidRDefault="00E0194B" w:rsidP="004A0F43">
            <w:pPr>
              <w:rPr>
                <w:rFonts w:ascii="Arial Narrow" w:hAnsi="Arial Narrow"/>
                <w:sz w:val="20"/>
              </w:rPr>
            </w:pPr>
            <w:r w:rsidRPr="00B07E65">
              <w:rPr>
                <w:rFonts w:ascii="Arial Narrow" w:hAnsi="Arial Narrow"/>
                <w:strike/>
                <w:sz w:val="20"/>
              </w:rPr>
              <w:t>The solid dose form of methotrexate must be unsuitable for the patient.</w:t>
            </w:r>
          </w:p>
        </w:tc>
      </w:tr>
    </w:tbl>
    <w:p w:rsidR="00E0194B" w:rsidRPr="00B07E65" w:rsidRDefault="00E0194B" w:rsidP="00E0194B">
      <w:pPr>
        <w:rPr>
          <w:szCs w:val="22"/>
        </w:rPr>
      </w:pPr>
    </w:p>
    <w:tbl>
      <w:tblPr>
        <w:tblW w:w="4601" w:type="pct"/>
        <w:tblInd w:w="817" w:type="dxa"/>
        <w:tblLook w:val="0000" w:firstRow="0" w:lastRow="0" w:firstColumn="0" w:lastColumn="0" w:noHBand="0" w:noVBand="0"/>
      </w:tblPr>
      <w:tblGrid>
        <w:gridCol w:w="2126"/>
        <w:gridCol w:w="6378"/>
      </w:tblGrid>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Category / Program</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GENERAL – General Schedule (Code GE)</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Prescriber type:</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1"/>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Dental  </w:t>
            </w: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Medical Practitioners  </w:t>
            </w: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Nurse practitioners  </w:t>
            </w: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Optometrists</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Midwives</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trike/>
                <w:sz w:val="20"/>
              </w:rPr>
            </w:pPr>
            <w:r w:rsidRPr="00B07E65">
              <w:rPr>
                <w:rFonts w:ascii="Arial Narrow" w:hAnsi="Arial Narrow"/>
                <w:b/>
                <w:strike/>
                <w:sz w:val="20"/>
              </w:rPr>
              <w:t>Episodicity:</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trike/>
                <w:sz w:val="20"/>
              </w:rPr>
            </w:pPr>
            <w:r w:rsidRPr="00B07E65">
              <w:rPr>
                <w:rFonts w:ascii="Arial Narrow" w:hAnsi="Arial Narrow"/>
                <w:strike/>
                <w:sz w:val="20"/>
              </w:rPr>
              <w:t>Chronic treatment</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Severity:</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Severe, recalcitrant, disabling</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Condition:</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t xml:space="preserve">Psoriasis </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PBS Indication:</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i/>
                <w:sz w:val="20"/>
              </w:rPr>
              <w:t>Severe, recalcitrant, disabling</w:t>
            </w:r>
            <w:r w:rsidRPr="00B07E65">
              <w:rPr>
                <w:rFonts w:ascii="Arial Narrow" w:hAnsi="Arial Narrow"/>
                <w:sz w:val="20"/>
              </w:rPr>
              <w:t xml:space="preserve"> </w:t>
            </w:r>
            <w:r w:rsidRPr="00B07E65">
              <w:rPr>
                <w:rFonts w:ascii="Arial Narrow" w:hAnsi="Arial Narrow"/>
                <w:strike/>
                <w:sz w:val="20"/>
              </w:rPr>
              <w:t>For the treatment of</w:t>
            </w:r>
            <w:r w:rsidRPr="00B07E65">
              <w:rPr>
                <w:rFonts w:ascii="Arial Narrow" w:hAnsi="Arial Narrow"/>
                <w:sz w:val="20"/>
              </w:rPr>
              <w:t xml:space="preserve"> psoriasis </w:t>
            </w:r>
            <w:r w:rsidRPr="00B07E65">
              <w:rPr>
                <w:rFonts w:ascii="Arial Narrow" w:hAnsi="Arial Narrow"/>
                <w:strike/>
                <w:sz w:val="20"/>
              </w:rPr>
              <w:t>when the oral tablet form of methotrexate is unsuitable</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trike/>
                <w:sz w:val="20"/>
              </w:rPr>
            </w:pPr>
            <w:r w:rsidRPr="00B07E65">
              <w:rPr>
                <w:rFonts w:ascii="Arial Narrow" w:hAnsi="Arial Narrow"/>
                <w:b/>
                <w:strike/>
                <w:sz w:val="20"/>
              </w:rPr>
              <w:t>Treatment phase:</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trike/>
                <w:sz w:val="20"/>
              </w:rPr>
            </w:pPr>
            <w:r w:rsidRPr="00B07E65">
              <w:rPr>
                <w:rFonts w:ascii="Arial Narrow" w:hAnsi="Arial Narrow"/>
                <w:strike/>
                <w:sz w:val="20"/>
              </w:rPr>
              <w:t xml:space="preserve">Initial and continuing </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Restriction Level / Method:</w:t>
            </w:r>
          </w:p>
          <w:p w:rsidR="00E0194B" w:rsidRPr="00B07E65" w:rsidRDefault="00E0194B" w:rsidP="004A0F43">
            <w:pPr>
              <w:rPr>
                <w:rFonts w:ascii="Arial Narrow" w:hAnsi="Arial Narrow"/>
                <w:sz w:val="20"/>
              </w:rPr>
            </w:pP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Restricted benefit</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In Writing</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Telephone</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Emergency</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Authority Required - Electronic</w:t>
            </w:r>
          </w:p>
          <w:p w:rsidR="00E0194B" w:rsidRPr="00B07E65" w:rsidRDefault="00E0194B" w:rsidP="004A0F43">
            <w:pPr>
              <w:rPr>
                <w:rFonts w:ascii="Arial Narrow" w:hAnsi="Arial Narrow"/>
                <w:sz w:val="20"/>
              </w:rPr>
            </w:pP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Streamlined</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Clinical criteria:</w:t>
            </w: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trike/>
                <w:sz w:val="20"/>
              </w:rPr>
              <w:t>Patient must have severe, recalcitrant, disabling psoriasis which is not</w:t>
            </w:r>
            <w:r w:rsidRPr="00B07E65">
              <w:rPr>
                <w:rFonts w:ascii="Arial Narrow" w:hAnsi="Arial Narrow"/>
                <w:sz w:val="20"/>
              </w:rPr>
              <w:t xml:space="preserve"> </w:t>
            </w:r>
            <w:r w:rsidRPr="00B07E65">
              <w:rPr>
                <w:rFonts w:ascii="Arial Narrow" w:hAnsi="Arial Narrow"/>
                <w:i/>
                <w:sz w:val="20"/>
              </w:rPr>
              <w:t>The condition must not be</w:t>
            </w:r>
            <w:r w:rsidRPr="00B07E65">
              <w:rPr>
                <w:rFonts w:ascii="Arial Narrow" w:hAnsi="Arial Narrow"/>
                <w:sz w:val="20"/>
              </w:rPr>
              <w:t xml:space="preserve"> adequately responsive to other forms of treatment,</w:t>
            </w:r>
          </w:p>
          <w:p w:rsidR="00E0194B" w:rsidRPr="00B07E65" w:rsidRDefault="00E0194B" w:rsidP="004A0F43">
            <w:pPr>
              <w:rPr>
                <w:rFonts w:ascii="Arial Narrow" w:hAnsi="Arial Narrow"/>
                <w:sz w:val="20"/>
              </w:rPr>
            </w:pPr>
          </w:p>
          <w:p w:rsidR="00E0194B" w:rsidRPr="00B07E65" w:rsidRDefault="00E0194B" w:rsidP="004A0F43">
            <w:pPr>
              <w:rPr>
                <w:rFonts w:ascii="Arial Narrow" w:hAnsi="Arial Narrow"/>
                <w:i/>
                <w:sz w:val="20"/>
              </w:rPr>
            </w:pPr>
            <w:r w:rsidRPr="00B07E65">
              <w:rPr>
                <w:rFonts w:ascii="Arial Narrow" w:hAnsi="Arial Narrow"/>
                <w:i/>
                <w:sz w:val="20"/>
              </w:rPr>
              <w:t>AND</w:t>
            </w:r>
          </w:p>
          <w:p w:rsidR="00E0194B" w:rsidRPr="00B07E65" w:rsidRDefault="00E0194B" w:rsidP="004A0F43">
            <w:pPr>
              <w:rPr>
                <w:rFonts w:ascii="Arial Narrow" w:hAnsi="Arial Narrow"/>
                <w:i/>
                <w:sz w:val="20"/>
              </w:rPr>
            </w:pPr>
          </w:p>
          <w:p w:rsidR="00E0194B" w:rsidRPr="00B07E65" w:rsidRDefault="00E0194B" w:rsidP="004A0F43">
            <w:pPr>
              <w:rPr>
                <w:rFonts w:ascii="Arial Narrow" w:hAnsi="Arial Narrow"/>
                <w:sz w:val="20"/>
              </w:rPr>
            </w:pPr>
            <w:r w:rsidRPr="00B07E65">
              <w:rPr>
                <w:rFonts w:ascii="Arial Narrow" w:hAnsi="Arial Narrow"/>
                <w:i/>
                <w:sz w:val="20"/>
              </w:rPr>
              <w:t>The patient must be unsuitable for administration of an oral form of methotrexate for this condition.</w:t>
            </w:r>
            <w:r w:rsidRPr="00B07E65">
              <w:rPr>
                <w:rFonts w:ascii="Arial Narrow" w:hAnsi="Arial Narrow"/>
                <w:sz w:val="20"/>
              </w:rPr>
              <w:t xml:space="preserve"> </w:t>
            </w:r>
          </w:p>
        </w:tc>
      </w:tr>
      <w:tr w:rsidR="00E0194B" w:rsidRPr="00B07E65" w:rsidTr="00651E49">
        <w:trPr>
          <w:cantSplit/>
          <w:trHeight w:val="360"/>
        </w:trPr>
        <w:tc>
          <w:tcPr>
            <w:tcW w:w="12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b/>
                <w:sz w:val="20"/>
              </w:rPr>
            </w:pPr>
            <w:r w:rsidRPr="00B07E65">
              <w:rPr>
                <w:rFonts w:ascii="Arial Narrow" w:hAnsi="Arial Narrow"/>
                <w:b/>
                <w:sz w:val="20"/>
              </w:rPr>
              <w:t>Population criteria:</w:t>
            </w:r>
          </w:p>
          <w:p w:rsidR="00E0194B" w:rsidRPr="00B07E65" w:rsidRDefault="00E0194B" w:rsidP="004A0F43">
            <w:pPr>
              <w:rPr>
                <w:rFonts w:ascii="Arial Narrow" w:hAnsi="Arial Narrow"/>
                <w:sz w:val="20"/>
              </w:rPr>
            </w:pPr>
          </w:p>
        </w:tc>
        <w:tc>
          <w:tcPr>
            <w:tcW w:w="3750" w:type="pct"/>
            <w:tcBorders>
              <w:top w:val="single" w:sz="4" w:space="0" w:color="auto"/>
              <w:left w:val="single" w:sz="4" w:space="0" w:color="auto"/>
              <w:bottom w:val="single" w:sz="4" w:space="0" w:color="auto"/>
              <w:right w:val="single" w:sz="4" w:space="0" w:color="auto"/>
            </w:tcBorders>
          </w:tcPr>
          <w:p w:rsidR="00E0194B" w:rsidRPr="00B07E65" w:rsidRDefault="00E0194B" w:rsidP="004A0F43">
            <w:pPr>
              <w:rPr>
                <w:rFonts w:ascii="Arial Narrow" w:hAnsi="Arial Narrow"/>
                <w:sz w:val="20"/>
              </w:rPr>
            </w:pPr>
            <w:r w:rsidRPr="00B07E65">
              <w:rPr>
                <w:rFonts w:ascii="Arial Narrow" w:hAnsi="Arial Narrow"/>
                <w:strike/>
                <w:sz w:val="20"/>
              </w:rPr>
              <w:t xml:space="preserve">The </w:t>
            </w:r>
            <w:proofErr w:type="spellStart"/>
            <w:r w:rsidRPr="00B07E65">
              <w:rPr>
                <w:rFonts w:ascii="Arial Narrow" w:hAnsi="Arial Narrow"/>
                <w:strike/>
                <w:sz w:val="20"/>
              </w:rPr>
              <w:t>p</w:t>
            </w:r>
            <w:r w:rsidRPr="00B07E65">
              <w:rPr>
                <w:rFonts w:ascii="Arial Narrow" w:hAnsi="Arial Narrow"/>
                <w:i/>
                <w:sz w:val="20"/>
              </w:rPr>
              <w:t>P</w:t>
            </w:r>
            <w:r w:rsidRPr="00B07E65">
              <w:rPr>
                <w:rFonts w:ascii="Arial Narrow" w:hAnsi="Arial Narrow"/>
                <w:sz w:val="20"/>
              </w:rPr>
              <w:t>atient</w:t>
            </w:r>
            <w:proofErr w:type="spellEnd"/>
            <w:r w:rsidRPr="00B07E65">
              <w:rPr>
                <w:rFonts w:ascii="Arial Narrow" w:hAnsi="Arial Narrow"/>
                <w:sz w:val="20"/>
              </w:rPr>
              <w:t xml:space="preserve"> must be </w:t>
            </w:r>
            <w:r w:rsidRPr="00B07E65">
              <w:rPr>
                <w:rFonts w:ascii="Arial Narrow" w:hAnsi="Arial Narrow"/>
                <w:i/>
                <w:sz w:val="20"/>
              </w:rPr>
              <w:t xml:space="preserve">an </w:t>
            </w:r>
            <w:r w:rsidRPr="00B07E65">
              <w:rPr>
                <w:rFonts w:ascii="Arial Narrow" w:hAnsi="Arial Narrow"/>
                <w:sz w:val="20"/>
              </w:rPr>
              <w:t>adult.</w:t>
            </w:r>
          </w:p>
          <w:p w:rsidR="00E0194B" w:rsidRPr="00B07E65" w:rsidRDefault="00E0194B" w:rsidP="004A0F43">
            <w:pPr>
              <w:rPr>
                <w:rFonts w:ascii="Arial Narrow" w:hAnsi="Arial Narrow"/>
                <w:strike/>
                <w:sz w:val="20"/>
              </w:rPr>
            </w:pPr>
            <w:r w:rsidRPr="00B07E65">
              <w:rPr>
                <w:rFonts w:ascii="Arial Narrow" w:hAnsi="Arial Narrow"/>
                <w:strike/>
                <w:sz w:val="20"/>
              </w:rPr>
              <w:t>The solid dose form of methotrexate must be unsuitable for the patient.</w:t>
            </w:r>
          </w:p>
        </w:tc>
      </w:tr>
    </w:tbl>
    <w:p w:rsidR="00E0194B" w:rsidRPr="00B07E65" w:rsidRDefault="00E0194B" w:rsidP="00E0194B"/>
    <w:p w:rsidR="00E8492D" w:rsidRPr="00B07E65" w:rsidRDefault="007C7CFB" w:rsidP="00271C16">
      <w:pPr>
        <w:pStyle w:val="ListParagraph"/>
        <w:widowControl/>
        <w:numPr>
          <w:ilvl w:val="1"/>
          <w:numId w:val="2"/>
        </w:numPr>
        <w:rPr>
          <w:szCs w:val="22"/>
        </w:rPr>
      </w:pPr>
      <w:r w:rsidRPr="00B07E65">
        <w:t>The resubmission changed the proposed restriction level from Restricted Benefit to Authority Required (St</w:t>
      </w:r>
      <w:r w:rsidR="00D67616" w:rsidRPr="00B07E65">
        <w:t>r</w:t>
      </w:r>
      <w:r w:rsidRPr="00B07E65">
        <w:t xml:space="preserve">eamlined) to </w:t>
      </w:r>
      <w:r w:rsidR="00A113BD" w:rsidRPr="00B07E65">
        <w:t xml:space="preserve">help </w:t>
      </w:r>
      <w:r w:rsidRPr="00B07E65">
        <w:t>minimise</w:t>
      </w:r>
      <w:r w:rsidR="00A113BD" w:rsidRPr="00B07E65">
        <w:t xml:space="preserve"> potential</w:t>
      </w:r>
      <w:r w:rsidRPr="00B07E65">
        <w:t xml:space="preserve"> use outside the requested indications.</w:t>
      </w:r>
      <w:r w:rsidR="0037489A" w:rsidRPr="00B07E65">
        <w:t xml:space="preserve"> This was to address the PBAC</w:t>
      </w:r>
      <w:r w:rsidR="0042234B" w:rsidRPr="00B07E65">
        <w:t>’s</w:t>
      </w:r>
      <w:r w:rsidR="0037489A" w:rsidRPr="00B07E65">
        <w:t xml:space="preserve"> concerns </w:t>
      </w:r>
      <w:r w:rsidR="00D427EE" w:rsidRPr="00B07E65">
        <w:t xml:space="preserve">(from its previous consideration) </w:t>
      </w:r>
      <w:r w:rsidR="0037489A" w:rsidRPr="00B07E65">
        <w:t xml:space="preserve">that substantial leakage outside the requested indications was likely. </w:t>
      </w:r>
      <w:r w:rsidR="004F77A2" w:rsidRPr="00B07E65">
        <w:t>Apart from this, t</w:t>
      </w:r>
      <w:r w:rsidRPr="00B07E65">
        <w:t>he wording of the proposed restriction was unchanged from the previous submission.</w:t>
      </w:r>
      <w:r w:rsidRPr="00B07E65">
        <w:rPr>
          <w:color w:val="FF0000"/>
        </w:rPr>
        <w:t xml:space="preserve"> </w:t>
      </w:r>
    </w:p>
    <w:p w:rsidR="005E09F7" w:rsidRPr="00B07E65" w:rsidRDefault="005E09F7" w:rsidP="005E09F7">
      <w:pPr>
        <w:pStyle w:val="ListParagraph"/>
        <w:widowControl/>
        <w:rPr>
          <w:szCs w:val="22"/>
        </w:rPr>
      </w:pPr>
    </w:p>
    <w:p w:rsidR="00F97A78" w:rsidRPr="00B07E65" w:rsidRDefault="007C7CFB" w:rsidP="00271C16">
      <w:pPr>
        <w:pStyle w:val="ListParagraph"/>
        <w:widowControl/>
        <w:numPr>
          <w:ilvl w:val="1"/>
          <w:numId w:val="2"/>
        </w:numPr>
        <w:rPr>
          <w:szCs w:val="22"/>
        </w:rPr>
      </w:pPr>
      <w:r w:rsidRPr="00B07E65">
        <w:rPr>
          <w:szCs w:val="22"/>
        </w:rPr>
        <w:lastRenderedPageBreak/>
        <w:t xml:space="preserve">The resubmission presented a cost-minimisation analysis that compared SC methotrexate </w:t>
      </w:r>
      <w:r w:rsidR="006953ED" w:rsidRPr="00B07E65">
        <w:rPr>
          <w:szCs w:val="22"/>
        </w:rPr>
        <w:t>with</w:t>
      </w:r>
      <w:r w:rsidR="002921CD" w:rsidRPr="00B07E65">
        <w:rPr>
          <w:szCs w:val="22"/>
        </w:rPr>
        <w:t xml:space="preserve"> other</w:t>
      </w:r>
      <w:r w:rsidR="006953ED" w:rsidRPr="00B07E65">
        <w:rPr>
          <w:szCs w:val="22"/>
        </w:rPr>
        <w:t xml:space="preserve"> </w:t>
      </w:r>
      <w:r w:rsidRPr="00B07E65">
        <w:rPr>
          <w:szCs w:val="22"/>
        </w:rPr>
        <w:t>parenteral methotrexate.</w:t>
      </w:r>
    </w:p>
    <w:p w:rsidR="00A878EF" w:rsidRPr="00B07E65" w:rsidRDefault="00A878EF" w:rsidP="00A878EF">
      <w:pPr>
        <w:pStyle w:val="ListParagraph"/>
        <w:rPr>
          <w:szCs w:val="22"/>
        </w:rPr>
      </w:pPr>
    </w:p>
    <w:p w:rsidR="00A878EF" w:rsidRDefault="00A878EF" w:rsidP="00271C16">
      <w:pPr>
        <w:pStyle w:val="ListParagraph"/>
        <w:widowControl/>
        <w:numPr>
          <w:ilvl w:val="1"/>
          <w:numId w:val="2"/>
        </w:numPr>
        <w:rPr>
          <w:szCs w:val="22"/>
        </w:rPr>
      </w:pPr>
      <w:r w:rsidRPr="00B07E65">
        <w:rPr>
          <w:szCs w:val="22"/>
        </w:rPr>
        <w:t>The PBAC noted that the proposed PBS indications were aligned with the TGA indications (“severe, recalcitrant, active rheumatoid arthritis” and “severe, recalcitrant, disabling psoriasis”).</w:t>
      </w:r>
      <w:r w:rsidR="00E456B5" w:rsidRPr="00B07E65">
        <w:rPr>
          <w:szCs w:val="22"/>
        </w:rPr>
        <w:t xml:space="preserve"> However, the PBAC viewed that these criteria were sufficiently captured by the clinical criteria under the restriction, and </w:t>
      </w:r>
      <w:r w:rsidR="00A5537A" w:rsidRPr="00B07E65">
        <w:rPr>
          <w:szCs w:val="22"/>
        </w:rPr>
        <w:t>considered</w:t>
      </w:r>
      <w:r w:rsidR="00E456B5" w:rsidRPr="00B07E65">
        <w:rPr>
          <w:szCs w:val="22"/>
        </w:rPr>
        <w:t xml:space="preserve"> that PBS indications of “severe rheumatoid arthritis” and “severe psoriasis” would be sufficient to identify the appropriate patient population.</w:t>
      </w:r>
      <w:r w:rsidR="003C5444">
        <w:rPr>
          <w:szCs w:val="22"/>
        </w:rPr>
        <w:t xml:space="preserve"> </w:t>
      </w:r>
    </w:p>
    <w:p w:rsidR="003C5444" w:rsidRPr="003C5444" w:rsidRDefault="003C5444" w:rsidP="003C5444">
      <w:pPr>
        <w:pStyle w:val="ListParagraph"/>
        <w:rPr>
          <w:szCs w:val="22"/>
        </w:rPr>
      </w:pPr>
    </w:p>
    <w:p w:rsidR="003C5444" w:rsidRPr="003C5444" w:rsidRDefault="003C5444" w:rsidP="003C5444">
      <w:pPr>
        <w:numPr>
          <w:ilvl w:val="1"/>
          <w:numId w:val="2"/>
        </w:numPr>
        <w:rPr>
          <w:bCs/>
        </w:rPr>
      </w:pPr>
      <w:r>
        <w:rPr>
          <w:bCs/>
        </w:rPr>
        <w:t xml:space="preserve">The PBAC noted that the proposed RA listing required that patients have failed, or be intolerant to NSAIDs or one or more disease modifying drugs prior to commencing therapy with methotrexate SC. The PBAC considered that this was not aligned with current clinical practice and did not recommend inclusion of this criterion in the listing. For the psoriasis listing, the PBAC advised that the clinical criteria should specify that “the condition must not have adequately responded to topical treatment”. Finally, the PBAC was of the view that an age requirement was unnecessary for either listing, as the prescribing clinician would be responsible for ensuring that methotrexate SC was only prescribed for suitable patients. </w:t>
      </w:r>
    </w:p>
    <w:p w:rsidR="00A72477" w:rsidRPr="00B07E65" w:rsidRDefault="00A72477" w:rsidP="00E74A87">
      <w:pPr>
        <w:pStyle w:val="ListParagraph"/>
        <w:widowControl/>
      </w:pPr>
    </w:p>
    <w:p w:rsidR="00D266AF" w:rsidRPr="00B07E65" w:rsidRDefault="00D266AF" w:rsidP="00D061A0">
      <w:pPr>
        <w:ind w:firstLine="720"/>
      </w:pPr>
      <w:r w:rsidRPr="00B07E65">
        <w:rPr>
          <w:bCs/>
          <w:i/>
          <w:szCs w:val="22"/>
        </w:rPr>
        <w:t>For more detail on PBAC’s view, see section 7 “PBAC outcome”</w:t>
      </w:r>
    </w:p>
    <w:p w:rsidR="00E74A87" w:rsidRPr="00B07E65" w:rsidRDefault="004A0F43" w:rsidP="004A0F43">
      <w:pPr>
        <w:pStyle w:val="ListParagraph"/>
        <w:widowControl/>
        <w:tabs>
          <w:tab w:val="left" w:pos="1770"/>
        </w:tabs>
      </w:pPr>
      <w:r w:rsidRPr="00B07E65">
        <w:tab/>
      </w:r>
    </w:p>
    <w:p w:rsidR="00023198" w:rsidRPr="00B07E65" w:rsidRDefault="00F338FF" w:rsidP="00023198">
      <w:pPr>
        <w:pStyle w:val="PBACheading1"/>
      </w:pPr>
      <w:bookmarkStart w:id="4" w:name="_Toc472340122"/>
      <w:r w:rsidRPr="00B07E65">
        <w:rPr>
          <w:b/>
        </w:rPr>
        <w:t>Background</w:t>
      </w:r>
      <w:bookmarkEnd w:id="4"/>
    </w:p>
    <w:p w:rsidR="00B60939" w:rsidRPr="00B07E65" w:rsidRDefault="00B60939" w:rsidP="00577717"/>
    <w:p w:rsidR="00023198" w:rsidRPr="00B07E65" w:rsidRDefault="00BE74C5" w:rsidP="00271C16">
      <w:pPr>
        <w:pStyle w:val="ListParagraph"/>
        <w:widowControl/>
        <w:numPr>
          <w:ilvl w:val="1"/>
          <w:numId w:val="1"/>
        </w:numPr>
        <w:rPr>
          <w:szCs w:val="22"/>
        </w:rPr>
      </w:pPr>
      <w:r w:rsidRPr="00B07E65">
        <w:rPr>
          <w:b/>
          <w:bCs/>
          <w:szCs w:val="22"/>
        </w:rPr>
        <w:t xml:space="preserve">TGA status at time of </w:t>
      </w:r>
      <w:r w:rsidR="00007DA7" w:rsidRPr="00B07E65">
        <w:rPr>
          <w:b/>
          <w:bCs/>
          <w:szCs w:val="22"/>
        </w:rPr>
        <w:t>PBAC consideration</w:t>
      </w:r>
      <w:r w:rsidRPr="00B07E65">
        <w:rPr>
          <w:b/>
          <w:bCs/>
          <w:szCs w:val="22"/>
        </w:rPr>
        <w:t>:</w:t>
      </w:r>
      <w:r w:rsidRPr="00B07E65">
        <w:rPr>
          <w:bCs/>
          <w:szCs w:val="22"/>
        </w:rPr>
        <w:t xml:space="preserve">  </w:t>
      </w:r>
      <w:r w:rsidR="00023198" w:rsidRPr="00B07E65">
        <w:rPr>
          <w:szCs w:val="22"/>
        </w:rPr>
        <w:t>SC methotrexate was TGA registered on 25 August 2015 for the following indications:</w:t>
      </w:r>
    </w:p>
    <w:p w:rsidR="00023198" w:rsidRPr="00B07E65" w:rsidRDefault="00023198" w:rsidP="00271C16">
      <w:pPr>
        <w:pStyle w:val="ListParagraph"/>
        <w:numPr>
          <w:ilvl w:val="0"/>
          <w:numId w:val="7"/>
        </w:numPr>
        <w:ind w:left="1077" w:hanging="357"/>
        <w:rPr>
          <w:szCs w:val="22"/>
        </w:rPr>
      </w:pPr>
      <w:r w:rsidRPr="00B07E65">
        <w:rPr>
          <w:szCs w:val="22"/>
        </w:rPr>
        <w:t>Management of severe, recalcitrant, active rheumatoid arthritis in adults not responding to, or intolerant of, an adequate trial of non-steroidal anti</w:t>
      </w:r>
      <w:r w:rsidRPr="00B07E65">
        <w:rPr>
          <w:szCs w:val="22"/>
        </w:rPr>
        <w:noBreakHyphen/>
        <w:t>inflammatory drugs (</w:t>
      </w:r>
      <w:r w:rsidR="00AD54F0" w:rsidRPr="00B07E65">
        <w:rPr>
          <w:szCs w:val="22"/>
        </w:rPr>
        <w:t>NSAID) and one or more disease-</w:t>
      </w:r>
      <w:r w:rsidRPr="00B07E65">
        <w:rPr>
          <w:szCs w:val="22"/>
        </w:rPr>
        <w:t xml:space="preserve">modifying </w:t>
      </w:r>
      <w:proofErr w:type="spellStart"/>
      <w:r w:rsidR="00A178A9" w:rsidRPr="00B07E65">
        <w:rPr>
          <w:szCs w:val="22"/>
        </w:rPr>
        <w:t>antirheumatic</w:t>
      </w:r>
      <w:proofErr w:type="spellEnd"/>
      <w:r w:rsidR="00A178A9" w:rsidRPr="00B07E65">
        <w:rPr>
          <w:szCs w:val="22"/>
        </w:rPr>
        <w:t xml:space="preserve"> </w:t>
      </w:r>
      <w:r w:rsidRPr="00B07E65">
        <w:rPr>
          <w:szCs w:val="22"/>
        </w:rPr>
        <w:t>drugs (DMARD); and</w:t>
      </w:r>
    </w:p>
    <w:p w:rsidR="00023198" w:rsidRPr="00B07E65" w:rsidRDefault="00023198" w:rsidP="00271C16">
      <w:pPr>
        <w:pStyle w:val="ListParagraph"/>
        <w:numPr>
          <w:ilvl w:val="0"/>
          <w:numId w:val="7"/>
        </w:numPr>
        <w:ind w:left="1077" w:hanging="357"/>
        <w:rPr>
          <w:szCs w:val="22"/>
        </w:rPr>
      </w:pPr>
      <w:r w:rsidRPr="00B07E65">
        <w:rPr>
          <w:szCs w:val="22"/>
        </w:rPr>
        <w:t>May be of value in the symptomatic control of severe, recalcitrant, disabling psoriasis in adults which is not adequately responsive to other forms of treatment.</w:t>
      </w:r>
    </w:p>
    <w:p w:rsidR="00023198" w:rsidRPr="00B07E65" w:rsidRDefault="00023198" w:rsidP="00023198">
      <w:pPr>
        <w:pStyle w:val="ListParagraph"/>
        <w:widowControl/>
        <w:rPr>
          <w:szCs w:val="22"/>
        </w:rPr>
      </w:pPr>
    </w:p>
    <w:p w:rsidR="00CA7079" w:rsidRPr="00B07E65" w:rsidRDefault="00CA7079" w:rsidP="00271C16">
      <w:pPr>
        <w:pStyle w:val="ListParagraph"/>
        <w:widowControl/>
        <w:numPr>
          <w:ilvl w:val="1"/>
          <w:numId w:val="1"/>
        </w:numPr>
        <w:rPr>
          <w:szCs w:val="22"/>
        </w:rPr>
      </w:pPr>
      <w:r w:rsidRPr="00B07E65">
        <w:rPr>
          <w:szCs w:val="22"/>
        </w:rPr>
        <w:t>The PBAC previously considered SC methotrexate as a minor submission at the March 2016 meeting.</w:t>
      </w:r>
      <w:r w:rsidR="00023198" w:rsidRPr="00B07E65">
        <w:rPr>
          <w:szCs w:val="22"/>
        </w:rPr>
        <w:t xml:space="preserve"> The PBAC </w:t>
      </w:r>
      <w:r w:rsidR="00BE1E10" w:rsidRPr="00B07E65">
        <w:rPr>
          <w:szCs w:val="22"/>
        </w:rPr>
        <w:t>rejected the submission on the basis that</w:t>
      </w:r>
      <w:r w:rsidR="00023198" w:rsidRPr="00B07E65">
        <w:rPr>
          <w:szCs w:val="22"/>
        </w:rPr>
        <w:t xml:space="preserve"> uncertainty remained around key inputs into the cost-minimisation analysis. The PBAC considered that a future submission would need to provide clarity around the proportion of patients likely to self-</w:t>
      </w:r>
      <w:r w:rsidR="007C55B1" w:rsidRPr="00B07E65">
        <w:rPr>
          <w:szCs w:val="22"/>
        </w:rPr>
        <w:t xml:space="preserve">inject </w:t>
      </w:r>
      <w:r w:rsidR="00023198" w:rsidRPr="00B07E65">
        <w:rPr>
          <w:szCs w:val="22"/>
        </w:rPr>
        <w:t xml:space="preserve">with the associated decrease in </w:t>
      </w:r>
      <w:r w:rsidR="00567CE1" w:rsidRPr="00B07E65">
        <w:rPr>
          <w:szCs w:val="22"/>
        </w:rPr>
        <w:t>general practitioner (</w:t>
      </w:r>
      <w:r w:rsidR="00023198" w:rsidRPr="00B07E65">
        <w:rPr>
          <w:szCs w:val="22"/>
        </w:rPr>
        <w:t>GP</w:t>
      </w:r>
      <w:r w:rsidR="00567CE1" w:rsidRPr="00B07E65">
        <w:rPr>
          <w:szCs w:val="22"/>
        </w:rPr>
        <w:t>)</w:t>
      </w:r>
      <w:r w:rsidR="00023198" w:rsidRPr="00B07E65">
        <w:rPr>
          <w:szCs w:val="22"/>
        </w:rPr>
        <w:t xml:space="preserve"> visits, and should also address the health and safety concerns associated with self</w:t>
      </w:r>
      <w:r w:rsidR="003C571A" w:rsidRPr="00B07E65">
        <w:rPr>
          <w:szCs w:val="22"/>
        </w:rPr>
        <w:noBreakHyphen/>
      </w:r>
      <w:r w:rsidR="007C55B1" w:rsidRPr="00B07E65">
        <w:rPr>
          <w:szCs w:val="22"/>
        </w:rPr>
        <w:t>injection</w:t>
      </w:r>
      <w:r w:rsidR="00023198" w:rsidRPr="00B07E65">
        <w:rPr>
          <w:szCs w:val="22"/>
        </w:rPr>
        <w:t>.</w:t>
      </w:r>
    </w:p>
    <w:p w:rsidR="00CA7079" w:rsidRPr="00B07E65" w:rsidRDefault="00CA7079" w:rsidP="00677297"/>
    <w:p w:rsidR="001D112E" w:rsidRPr="00B07E65" w:rsidRDefault="00CA7079" w:rsidP="00271C16">
      <w:pPr>
        <w:pStyle w:val="ListParagraph"/>
        <w:widowControl/>
        <w:numPr>
          <w:ilvl w:val="1"/>
          <w:numId w:val="1"/>
        </w:numPr>
        <w:rPr>
          <w:szCs w:val="22"/>
        </w:rPr>
      </w:pPr>
      <w:r w:rsidRPr="00B07E65">
        <w:rPr>
          <w:szCs w:val="22"/>
        </w:rPr>
        <w:t>A summary of the comparison of the previous submission and this resubmission is outlined in Table 1.</w:t>
      </w:r>
    </w:p>
    <w:p w:rsidR="00E5571F" w:rsidRPr="00B07E65" w:rsidRDefault="00E5571F" w:rsidP="00E5571F">
      <w:pPr>
        <w:widowControl/>
        <w:rPr>
          <w:szCs w:val="22"/>
        </w:rPr>
      </w:pPr>
    </w:p>
    <w:p w:rsidR="001D112E" w:rsidRPr="00B07E65" w:rsidRDefault="00214094" w:rsidP="004C5AB1">
      <w:pPr>
        <w:keepNext/>
        <w:keepLines/>
        <w:ind w:firstLine="720"/>
        <w:rPr>
          <w:rStyle w:val="CommentReference"/>
        </w:rPr>
      </w:pPr>
      <w:r w:rsidRPr="00B07E65">
        <w:rPr>
          <w:rStyle w:val="CommentReference"/>
        </w:rPr>
        <w:t xml:space="preserve">Table 1: </w:t>
      </w:r>
      <w:r w:rsidR="001D112E" w:rsidRPr="00B07E65">
        <w:rPr>
          <w:rStyle w:val="CommentReference"/>
        </w:rPr>
        <w:t>Summary of the pre</w:t>
      </w:r>
      <w:r w:rsidRPr="00B07E65">
        <w:rPr>
          <w:rStyle w:val="CommentReference"/>
        </w:rPr>
        <w:t>vious submission and current re</w:t>
      </w:r>
      <w:r w:rsidR="001D112E" w:rsidRPr="00B07E65">
        <w:rPr>
          <w:rStyle w:val="CommentReference"/>
        </w:rPr>
        <w:t>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80"/>
        <w:gridCol w:w="3640"/>
        <w:gridCol w:w="3525"/>
      </w:tblGrid>
      <w:tr w:rsidR="00CE3EF9" w:rsidRPr="00B07E65" w:rsidTr="00CE3EF9">
        <w:trPr>
          <w:cantSplit/>
          <w:trHeight w:val="220"/>
          <w:tblHeader/>
        </w:trPr>
        <w:tc>
          <w:tcPr>
            <w:tcW w:w="0" w:type="auto"/>
          </w:tcPr>
          <w:p w:rsidR="001D112E" w:rsidRPr="00B07E65" w:rsidRDefault="001D112E" w:rsidP="004C5AB1">
            <w:pPr>
              <w:keepNext/>
              <w:keepLines/>
              <w:jc w:val="left"/>
              <w:rPr>
                <w:rFonts w:ascii="Arial Narrow" w:hAnsi="Arial Narrow"/>
                <w:sz w:val="19"/>
                <w:szCs w:val="19"/>
              </w:rPr>
            </w:pPr>
          </w:p>
        </w:tc>
        <w:tc>
          <w:tcPr>
            <w:tcW w:w="3640" w:type="dxa"/>
            <w:vAlign w:val="center"/>
          </w:tcPr>
          <w:p w:rsidR="001D112E" w:rsidRPr="00B07E65" w:rsidRDefault="00D07729" w:rsidP="004C5AB1">
            <w:pPr>
              <w:keepNext/>
              <w:keepLines/>
              <w:jc w:val="center"/>
              <w:rPr>
                <w:rFonts w:ascii="Arial Narrow" w:hAnsi="Arial Narrow"/>
                <w:b/>
                <w:sz w:val="19"/>
                <w:szCs w:val="19"/>
              </w:rPr>
            </w:pPr>
            <w:r w:rsidRPr="00B07E65">
              <w:rPr>
                <w:rFonts w:ascii="Arial Narrow" w:hAnsi="Arial Narrow"/>
                <w:b/>
                <w:sz w:val="19"/>
                <w:szCs w:val="19"/>
              </w:rPr>
              <w:t>Methotrexate March 2016</w:t>
            </w:r>
          </w:p>
        </w:tc>
        <w:tc>
          <w:tcPr>
            <w:tcW w:w="3525" w:type="dxa"/>
            <w:vAlign w:val="center"/>
          </w:tcPr>
          <w:p w:rsidR="001D112E" w:rsidRPr="00B07E65" w:rsidRDefault="001D112E" w:rsidP="004C5AB1">
            <w:pPr>
              <w:keepNext/>
              <w:keepLines/>
              <w:jc w:val="center"/>
              <w:rPr>
                <w:rFonts w:ascii="Arial Narrow" w:hAnsi="Arial Narrow"/>
                <w:b/>
                <w:sz w:val="19"/>
                <w:szCs w:val="19"/>
              </w:rPr>
            </w:pPr>
            <w:r w:rsidRPr="00B07E65">
              <w:rPr>
                <w:rFonts w:ascii="Arial Narrow" w:hAnsi="Arial Narrow"/>
                <w:b/>
                <w:sz w:val="19"/>
                <w:szCs w:val="19"/>
              </w:rPr>
              <w:t>Current re-submission</w:t>
            </w:r>
          </w:p>
        </w:tc>
      </w:tr>
      <w:tr w:rsidR="00CE3EF9" w:rsidRPr="00B07E65" w:rsidTr="00CE3EF9">
        <w:trPr>
          <w:cantSplit/>
          <w:trHeight w:val="100"/>
        </w:trPr>
        <w:tc>
          <w:tcPr>
            <w:tcW w:w="0" w:type="auto"/>
          </w:tcPr>
          <w:p w:rsidR="001D112E" w:rsidRPr="00B07E65" w:rsidRDefault="001D112E" w:rsidP="004C5AB1">
            <w:pPr>
              <w:keepNext/>
              <w:keepLines/>
              <w:jc w:val="left"/>
              <w:rPr>
                <w:rFonts w:ascii="Arial Narrow" w:hAnsi="Arial Narrow"/>
                <w:sz w:val="20"/>
              </w:rPr>
            </w:pPr>
            <w:r w:rsidRPr="00B07E65">
              <w:rPr>
                <w:rFonts w:ascii="Arial Narrow" w:hAnsi="Arial Narrow"/>
                <w:sz w:val="20"/>
              </w:rPr>
              <w:t>Requested PBS listing</w:t>
            </w:r>
          </w:p>
        </w:tc>
        <w:tc>
          <w:tcPr>
            <w:tcW w:w="3640" w:type="dxa"/>
          </w:tcPr>
          <w:p w:rsidR="00214094" w:rsidRPr="00B07E65" w:rsidRDefault="00D07729" w:rsidP="004C5AB1">
            <w:pPr>
              <w:pStyle w:val="Tabletext"/>
              <w:keepNext/>
              <w:keepLines/>
            </w:pPr>
            <w:r w:rsidRPr="00B07E65">
              <w:t>Restricted Benefit listing for</w:t>
            </w:r>
            <w:r w:rsidR="00214094" w:rsidRPr="00B07E65">
              <w:t>:</w:t>
            </w:r>
          </w:p>
          <w:p w:rsidR="00B342F2" w:rsidRPr="00B07E65" w:rsidRDefault="00B342F2" w:rsidP="004C5AB1">
            <w:pPr>
              <w:keepNext/>
              <w:keepLines/>
              <w:jc w:val="left"/>
              <w:rPr>
                <w:rFonts w:ascii="Arial Narrow" w:hAnsi="Arial Narrow"/>
                <w:sz w:val="20"/>
              </w:rPr>
            </w:pPr>
            <w:r w:rsidRPr="00B07E65">
              <w:rPr>
                <w:rFonts w:ascii="Arial Narrow" w:hAnsi="Arial Narrow"/>
                <w:sz w:val="20"/>
              </w:rPr>
              <w:t xml:space="preserve">•Severe, recalcitrant, active rheumatoid arthritis when the oral tablet form is unsuitable. </w:t>
            </w:r>
          </w:p>
          <w:p w:rsidR="00B342F2" w:rsidRPr="00B07E65" w:rsidRDefault="00B342F2" w:rsidP="004C5AB1">
            <w:pPr>
              <w:pStyle w:val="Tabletext"/>
              <w:keepNext/>
              <w:keepLines/>
            </w:pPr>
            <w:r w:rsidRPr="00B07E65">
              <w:t>•Severe, recalcitrant, disabling psoriasis which is not adequately responsive to other forms of treatment and the oral tablet form is unsuitable.</w:t>
            </w:r>
          </w:p>
          <w:p w:rsidR="001D112E" w:rsidRPr="00B07E65" w:rsidRDefault="00B342F2" w:rsidP="004C5AB1">
            <w:pPr>
              <w:pStyle w:val="Tabletext"/>
              <w:keepNext/>
              <w:keepLines/>
            </w:pPr>
            <w:r w:rsidRPr="00B07E65">
              <w:rPr>
                <w:b/>
              </w:rPr>
              <w:t>PBAC Comment:</w:t>
            </w:r>
            <w:r w:rsidRPr="00B07E65">
              <w:t xml:space="preserve"> substantial leakage outside the</w:t>
            </w:r>
            <w:r w:rsidR="009D436D" w:rsidRPr="00B07E65">
              <w:t xml:space="preserve"> requested indications likely (P</w:t>
            </w:r>
            <w:r w:rsidRPr="00B07E65">
              <w:t>ara 7.8).</w:t>
            </w:r>
          </w:p>
        </w:tc>
        <w:tc>
          <w:tcPr>
            <w:tcW w:w="3525" w:type="dxa"/>
          </w:tcPr>
          <w:p w:rsidR="00B52F53" w:rsidRPr="00B07E65" w:rsidRDefault="00B52F53" w:rsidP="004C5AB1">
            <w:pPr>
              <w:pStyle w:val="Tabletext"/>
              <w:keepNext/>
              <w:keepLines/>
            </w:pPr>
            <w:r w:rsidRPr="00B07E65">
              <w:t xml:space="preserve">Authority Required (Streamlined) listing for same conditions. </w:t>
            </w:r>
          </w:p>
          <w:p w:rsidR="001D112E" w:rsidRPr="00B07E65" w:rsidRDefault="001D112E" w:rsidP="004C5AB1">
            <w:pPr>
              <w:keepNext/>
              <w:keepLines/>
              <w:jc w:val="left"/>
              <w:rPr>
                <w:rFonts w:ascii="Arial Narrow" w:hAnsi="Arial Narrow"/>
                <w:sz w:val="20"/>
              </w:rPr>
            </w:pPr>
          </w:p>
        </w:tc>
      </w:tr>
      <w:tr w:rsidR="00CE3EF9" w:rsidRPr="00B07E65" w:rsidTr="00CE3EF9">
        <w:trPr>
          <w:cantSplit/>
          <w:trHeight w:val="422"/>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Requested price</w:t>
            </w:r>
            <w:r w:rsidR="0051124A" w:rsidRPr="00B07E65">
              <w:rPr>
                <w:rFonts w:ascii="Arial Narrow" w:hAnsi="Arial Narrow"/>
                <w:sz w:val="20"/>
              </w:rPr>
              <w:t xml:space="preserve"> (DPMQs)</w:t>
            </w:r>
          </w:p>
        </w:tc>
        <w:tc>
          <w:tcPr>
            <w:tcW w:w="3640" w:type="dxa"/>
          </w:tcPr>
          <w:p w:rsidR="001D112E" w:rsidRPr="00B07E65" w:rsidRDefault="00B52F53" w:rsidP="0051124A">
            <w:pPr>
              <w:pStyle w:val="Tabletext"/>
            </w:pPr>
            <w:r w:rsidRPr="00B07E65">
              <w:t>$</w:t>
            </w:r>
            <w:r w:rsidR="00916DCD">
              <w:rPr>
                <w:noProof/>
                <w:color w:val="000000"/>
                <w:highlight w:val="black"/>
              </w:rPr>
              <w:t>''''''''''''''''''</w:t>
            </w:r>
            <w:r w:rsidRPr="00B07E65">
              <w:t xml:space="preserve"> for all strengths</w:t>
            </w:r>
          </w:p>
        </w:tc>
        <w:tc>
          <w:tcPr>
            <w:tcW w:w="3525" w:type="dxa"/>
          </w:tcPr>
          <w:p w:rsidR="001D112E" w:rsidRPr="00B07E65" w:rsidRDefault="00B52F53" w:rsidP="00B52F53">
            <w:pPr>
              <w:pStyle w:val="Tabletext"/>
            </w:pPr>
            <w:r w:rsidRPr="00B07E65">
              <w:t>$</w:t>
            </w:r>
            <w:r w:rsidR="00916DCD">
              <w:rPr>
                <w:noProof/>
                <w:color w:val="000000"/>
                <w:highlight w:val="black"/>
              </w:rPr>
              <w:t>''''''''''''''''</w:t>
            </w:r>
            <w:r w:rsidRPr="00B07E65">
              <w:t xml:space="preserve"> for all strengths</w:t>
            </w:r>
            <w:r w:rsidR="00EA34A7" w:rsidRPr="00B07E65">
              <w:t xml:space="preserve"> (corrected to $</w:t>
            </w:r>
            <w:r w:rsidR="00916DCD">
              <w:rPr>
                <w:noProof/>
                <w:color w:val="000000"/>
                <w:highlight w:val="black"/>
              </w:rPr>
              <w:t>'''''''''''''''</w:t>
            </w:r>
            <w:r w:rsidR="00EA34A7" w:rsidRPr="00B07E65">
              <w:t xml:space="preserve"> during evaluation, to account for appropriate fees)</w:t>
            </w:r>
          </w:p>
        </w:tc>
      </w:tr>
      <w:tr w:rsidR="00CE3EF9" w:rsidRPr="00B07E65" w:rsidTr="00CE3EF9">
        <w:trPr>
          <w:cantSplit/>
          <w:trHeight w:val="642"/>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Main comparator</w:t>
            </w:r>
          </w:p>
        </w:tc>
        <w:tc>
          <w:tcPr>
            <w:tcW w:w="3640" w:type="dxa"/>
          </w:tcPr>
          <w:p w:rsidR="001D112E" w:rsidRPr="00B07E65" w:rsidRDefault="002921CD" w:rsidP="00B52F53">
            <w:pPr>
              <w:pStyle w:val="Tabletext"/>
            </w:pPr>
            <w:r w:rsidRPr="00B07E65">
              <w:t>Other p</w:t>
            </w:r>
            <w:r w:rsidR="00B52F53" w:rsidRPr="00B07E65">
              <w:t>arenteral methotrexate formulation</w:t>
            </w:r>
            <w:r w:rsidR="00BE58F0" w:rsidRPr="00B07E65">
              <w:t>s</w:t>
            </w:r>
            <w:r w:rsidR="00B52F53" w:rsidRPr="00B07E65">
              <w:t xml:space="preserve">. </w:t>
            </w:r>
          </w:p>
          <w:p w:rsidR="001D112E" w:rsidRPr="00B07E65" w:rsidRDefault="001D112E" w:rsidP="00BE58F0">
            <w:pPr>
              <w:pStyle w:val="Tabletext"/>
            </w:pPr>
            <w:r w:rsidRPr="00B07E65">
              <w:rPr>
                <w:b/>
              </w:rPr>
              <w:t>PBAC Comment:</w:t>
            </w:r>
            <w:r w:rsidRPr="00B07E65">
              <w:t xml:space="preserve"> </w:t>
            </w:r>
            <w:r w:rsidR="00BE58F0" w:rsidRPr="00B07E65">
              <w:t xml:space="preserve">The PBAC agreed that </w:t>
            </w:r>
            <w:r w:rsidR="002921CD" w:rsidRPr="00B07E65">
              <w:t xml:space="preserve">other </w:t>
            </w:r>
            <w:r w:rsidR="00BE58F0" w:rsidRPr="00B07E65">
              <w:t>parenteral methotrexate formulations were the appropriate comparator (</w:t>
            </w:r>
            <w:r w:rsidR="00F23659" w:rsidRPr="00B07E65">
              <w:t xml:space="preserve">Para </w:t>
            </w:r>
            <w:r w:rsidR="00BE58F0" w:rsidRPr="00B07E65">
              <w:t>7.2)</w:t>
            </w:r>
          </w:p>
        </w:tc>
        <w:tc>
          <w:tcPr>
            <w:tcW w:w="3525" w:type="dxa"/>
          </w:tcPr>
          <w:p w:rsidR="001D112E" w:rsidRPr="00B07E65" w:rsidRDefault="00BE58F0" w:rsidP="002750D8">
            <w:pPr>
              <w:pStyle w:val="Tabletext"/>
            </w:pPr>
            <w:r w:rsidRPr="00B07E65">
              <w:t>Main comparator: unchanged</w:t>
            </w:r>
            <w:r w:rsidRPr="00B07E65">
              <w:br/>
              <w:t xml:space="preserve">Supplementary comparator: oral </w:t>
            </w:r>
            <w:r w:rsidR="002750D8" w:rsidRPr="00B07E65">
              <w:t>MTX</w:t>
            </w:r>
          </w:p>
        </w:tc>
      </w:tr>
      <w:tr w:rsidR="00CE3EF9" w:rsidRPr="00B07E65" w:rsidTr="00CE3EF9">
        <w:trPr>
          <w:cantSplit/>
          <w:trHeight w:val="383"/>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Clinical evidence</w:t>
            </w:r>
          </w:p>
        </w:tc>
        <w:tc>
          <w:tcPr>
            <w:tcW w:w="3640" w:type="dxa"/>
          </w:tcPr>
          <w:p w:rsidR="003579F1" w:rsidRPr="00B07E65" w:rsidRDefault="003579F1" w:rsidP="003579F1">
            <w:pPr>
              <w:pStyle w:val="Tabletext"/>
            </w:pPr>
            <w:r w:rsidRPr="00B07E65">
              <w:t>2 bioequivalence studies:</w:t>
            </w:r>
          </w:p>
          <w:p w:rsidR="0051124A" w:rsidRPr="00B07E65" w:rsidRDefault="00ED7FA2" w:rsidP="00ED7FA2">
            <w:pPr>
              <w:pStyle w:val="Tabletext"/>
            </w:pPr>
            <w:r w:rsidRPr="00B07E65">
              <w:t xml:space="preserve">- </w:t>
            </w:r>
            <w:r w:rsidR="0051124A" w:rsidRPr="00B07E65">
              <w:t>SC MTX vs IM MTX: MC MTX.7/PH (N=16)</w:t>
            </w:r>
          </w:p>
          <w:p w:rsidR="0051124A" w:rsidRPr="00B07E65" w:rsidRDefault="00ED7FA2" w:rsidP="00ED7FA2">
            <w:pPr>
              <w:pStyle w:val="Tabletext"/>
            </w:pPr>
            <w:r w:rsidRPr="00B07E65">
              <w:t xml:space="preserve">- </w:t>
            </w:r>
            <w:r w:rsidR="003579F1" w:rsidRPr="00B07E65">
              <w:t>SC MTX (h</w:t>
            </w:r>
            <w:r w:rsidR="0051124A" w:rsidRPr="00B07E65">
              <w:t xml:space="preserve">igh </w:t>
            </w:r>
            <w:r w:rsidR="003579F1" w:rsidRPr="00B07E65">
              <w:t>vs low concentration) vs IM MTX:</w:t>
            </w:r>
            <w:r w:rsidR="0051124A" w:rsidRPr="00B07E65">
              <w:t xml:space="preserve"> </w:t>
            </w:r>
            <w:r w:rsidR="001E7207" w:rsidRPr="00B07E65">
              <w:t xml:space="preserve">MC-MTX.9/PH </w:t>
            </w:r>
            <w:r w:rsidR="0051124A" w:rsidRPr="00B07E65">
              <w:t>(N=24).</w:t>
            </w:r>
          </w:p>
          <w:p w:rsidR="001D112E" w:rsidRPr="00B07E65" w:rsidRDefault="0051124A" w:rsidP="003579F1">
            <w:pPr>
              <w:pStyle w:val="Tabletext"/>
            </w:pPr>
            <w:r w:rsidRPr="00B07E65">
              <w:t>1 patient preference study</w:t>
            </w:r>
            <w:r w:rsidR="000D2E33" w:rsidRPr="00B07E65">
              <w:t>: Striesow &amp; Brandt (2012)</w:t>
            </w:r>
            <w:r w:rsidR="009D436D" w:rsidRPr="00B07E65">
              <w:t>,</w:t>
            </w:r>
            <w:r w:rsidRPr="00B07E65">
              <w:t xml:space="preserve"> (N=403)</w:t>
            </w:r>
            <w:r w:rsidR="003E412C" w:rsidRPr="00B07E65">
              <w:t>.</w:t>
            </w:r>
          </w:p>
        </w:tc>
        <w:tc>
          <w:tcPr>
            <w:tcW w:w="3525" w:type="dxa"/>
          </w:tcPr>
          <w:p w:rsidR="00CF3396" w:rsidRPr="00B07E65" w:rsidRDefault="00F23659" w:rsidP="00CF3396">
            <w:pPr>
              <w:pStyle w:val="Tabletext"/>
            </w:pPr>
            <w:r w:rsidRPr="00B07E65">
              <w:t>3 new bioequivalence studies: SC MTX vs IM MTX</w:t>
            </w:r>
            <w:r w:rsidR="003579F1" w:rsidRPr="00B07E65">
              <w:t xml:space="preserve">: </w:t>
            </w:r>
            <w:proofErr w:type="spellStart"/>
            <w:r w:rsidR="00CF3396" w:rsidRPr="00B07E65">
              <w:t>Jundt</w:t>
            </w:r>
            <w:proofErr w:type="spellEnd"/>
            <w:r w:rsidR="00CF3396" w:rsidRPr="00B07E65">
              <w:t xml:space="preserve"> </w:t>
            </w:r>
            <w:r w:rsidR="009D436D" w:rsidRPr="00B07E65">
              <w:t>(</w:t>
            </w:r>
            <w:r w:rsidR="00CF3396" w:rsidRPr="00B07E65">
              <w:t>1993</w:t>
            </w:r>
            <w:r w:rsidR="009D436D" w:rsidRPr="00B07E65">
              <w:t>),</w:t>
            </w:r>
            <w:r w:rsidR="00CF3396" w:rsidRPr="00B07E65">
              <w:t xml:space="preserve"> (N=12)</w:t>
            </w:r>
            <w:r w:rsidR="003579F1" w:rsidRPr="00B07E65">
              <w:t xml:space="preserve">; </w:t>
            </w:r>
            <w:r w:rsidR="00CF3396" w:rsidRPr="00B07E65">
              <w:t xml:space="preserve">Brookes </w:t>
            </w:r>
            <w:r w:rsidR="009D436D" w:rsidRPr="00B07E65">
              <w:t>(</w:t>
            </w:r>
            <w:r w:rsidR="00CF3396" w:rsidRPr="00B07E65">
              <w:t>1990</w:t>
            </w:r>
            <w:r w:rsidR="009D436D" w:rsidRPr="00B07E65">
              <w:t>),</w:t>
            </w:r>
            <w:r w:rsidR="00CF3396" w:rsidRPr="00B07E65">
              <w:t xml:space="preserve"> (N=5)</w:t>
            </w:r>
            <w:r w:rsidR="003579F1" w:rsidRPr="00B07E65">
              <w:t>;</w:t>
            </w:r>
            <w:r w:rsidR="003E412C" w:rsidRPr="00B07E65">
              <w:t xml:space="preserve"> </w:t>
            </w:r>
            <w:r w:rsidR="00CF3396" w:rsidRPr="00B07E65">
              <w:t>NCT01737944 (N=36)</w:t>
            </w:r>
            <w:r w:rsidR="003579F1" w:rsidRPr="00B07E65">
              <w:t>.</w:t>
            </w:r>
          </w:p>
          <w:p w:rsidR="001D112E" w:rsidRPr="00B07E65" w:rsidRDefault="00F23659" w:rsidP="003E412C">
            <w:pPr>
              <w:pStyle w:val="Tabletext"/>
            </w:pPr>
            <w:r w:rsidRPr="00B07E65">
              <w:t>Study MC MTX.7/PH (N=16) re</w:t>
            </w:r>
            <w:r w:rsidR="003E412C" w:rsidRPr="00B07E65">
              <w:t>-</w:t>
            </w:r>
            <w:r w:rsidRPr="00B07E65">
              <w:t>presented</w:t>
            </w:r>
            <w:r w:rsidR="003E412C" w:rsidRPr="00B07E65">
              <w:t>.</w:t>
            </w:r>
          </w:p>
        </w:tc>
      </w:tr>
      <w:tr w:rsidR="00CE3EF9" w:rsidRPr="00B07E65" w:rsidTr="00CE3EF9">
        <w:trPr>
          <w:cantSplit/>
          <w:trHeight w:val="1064"/>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Key effectiveness data</w:t>
            </w:r>
          </w:p>
        </w:tc>
        <w:tc>
          <w:tcPr>
            <w:tcW w:w="3640" w:type="dxa"/>
          </w:tcPr>
          <w:p w:rsidR="00180543" w:rsidRPr="00B07E65" w:rsidRDefault="00180543" w:rsidP="00180543">
            <w:pPr>
              <w:pStyle w:val="Tabletext"/>
            </w:pPr>
            <w:r w:rsidRPr="00B07E65">
              <w:t>Study MC-MTX.7/PH</w:t>
            </w:r>
            <w:r w:rsidR="001E7207" w:rsidRPr="00B07E65">
              <w:t xml:space="preserve">: </w:t>
            </w:r>
            <w:r w:rsidRPr="00B07E65">
              <w:t xml:space="preserve">15 mg </w:t>
            </w:r>
            <w:r w:rsidR="003579F1" w:rsidRPr="00B07E65">
              <w:t>SC</w:t>
            </w:r>
            <w:r w:rsidR="001E7207" w:rsidRPr="00B07E65">
              <w:t xml:space="preserve"> vs 15 mg </w:t>
            </w:r>
            <w:r w:rsidR="003579F1" w:rsidRPr="00B07E65">
              <w:t>IM</w:t>
            </w:r>
            <w:r w:rsidR="001E7207" w:rsidRPr="00B07E65">
              <w:t xml:space="preserve"> MTX</w:t>
            </w:r>
            <w:r w:rsidRPr="00B07E65">
              <w:t xml:space="preserve"> </w:t>
            </w:r>
          </w:p>
          <w:tbl>
            <w:tblPr>
              <w:tblStyle w:val="TableGrid"/>
              <w:tblW w:w="0" w:type="auto"/>
              <w:tblLook w:val="04A0" w:firstRow="1" w:lastRow="0" w:firstColumn="1" w:lastColumn="0" w:noHBand="0" w:noVBand="1"/>
              <w:tblCaption w:val="Study MC-MTX.7/PH: 15 mg SC vs 15 mg IM MTX "/>
            </w:tblPr>
            <w:tblGrid>
              <w:gridCol w:w="1228"/>
              <w:gridCol w:w="2346"/>
            </w:tblGrid>
            <w:tr w:rsidR="00CE3EF9" w:rsidRPr="00B07E65" w:rsidTr="00D061A0">
              <w:trPr>
                <w:tblHeader/>
              </w:trPr>
              <w:tc>
                <w:tcPr>
                  <w:tcW w:w="1229" w:type="dxa"/>
                  <w:tcMar>
                    <w:left w:w="28" w:type="dxa"/>
                    <w:right w:w="28" w:type="dxa"/>
                  </w:tcMar>
                </w:tcPr>
                <w:p w:rsidR="00180543" w:rsidRPr="00B07E65" w:rsidRDefault="00180543" w:rsidP="00180543">
                  <w:pPr>
                    <w:pStyle w:val="Tabletext"/>
                  </w:pPr>
                  <w:r w:rsidRPr="00B07E65">
                    <w:t>Parameter</w:t>
                  </w:r>
                </w:p>
              </w:tc>
              <w:tc>
                <w:tcPr>
                  <w:tcW w:w="2349" w:type="dxa"/>
                  <w:tcMar>
                    <w:left w:w="28" w:type="dxa"/>
                    <w:right w:w="28" w:type="dxa"/>
                  </w:tcMar>
                </w:tcPr>
                <w:p w:rsidR="00180543" w:rsidRPr="00B07E65" w:rsidRDefault="00180543" w:rsidP="003579F1">
                  <w:pPr>
                    <w:pStyle w:val="Tabletext"/>
                  </w:pPr>
                  <w:r w:rsidRPr="00B07E65">
                    <w:t xml:space="preserve">Geometric mean ratio </w:t>
                  </w:r>
                  <w:r w:rsidR="003579F1" w:rsidRPr="00B07E65">
                    <w:t>(</w:t>
                  </w:r>
                  <w:r w:rsidRPr="00B07E65">
                    <w:t>90% CI</w:t>
                  </w:r>
                  <w:r w:rsidR="003579F1" w:rsidRPr="00B07E65">
                    <w:t>)</w:t>
                  </w:r>
                </w:p>
              </w:tc>
            </w:tr>
            <w:tr w:rsidR="00CE3EF9" w:rsidRPr="00B07E65" w:rsidTr="009D436D">
              <w:tc>
                <w:tcPr>
                  <w:tcW w:w="1229" w:type="dxa"/>
                  <w:tcMar>
                    <w:left w:w="28" w:type="dxa"/>
                    <w:right w:w="28" w:type="dxa"/>
                  </w:tcMar>
                </w:tcPr>
                <w:p w:rsidR="00180543" w:rsidRPr="00B07E65" w:rsidRDefault="00180543" w:rsidP="007206E5">
                  <w:pPr>
                    <w:pStyle w:val="ListParagraph"/>
                    <w:ind w:left="0"/>
                    <w:rPr>
                      <w:rFonts w:ascii="Arial Narrow" w:hAnsi="Arial Narrow"/>
                      <w:sz w:val="20"/>
                    </w:rPr>
                  </w:pPr>
                  <w:r w:rsidRPr="00B07E65">
                    <w:rPr>
                      <w:rFonts w:ascii="Arial Narrow" w:hAnsi="Arial Narrow"/>
                      <w:sz w:val="20"/>
                    </w:rPr>
                    <w:t>AUC</w:t>
                  </w:r>
                  <w:r w:rsidRPr="00B07E65">
                    <w:rPr>
                      <w:rFonts w:ascii="Arial Narrow" w:hAnsi="Arial Narrow"/>
                      <w:sz w:val="20"/>
                      <w:vertAlign w:val="subscript"/>
                    </w:rPr>
                    <w:t>0-t</w:t>
                  </w:r>
                  <w:r w:rsidRPr="00B07E65">
                    <w:rPr>
                      <w:rFonts w:ascii="Arial Narrow" w:hAnsi="Arial Narrow"/>
                      <w:sz w:val="20"/>
                    </w:rPr>
                    <w:t xml:space="preserve"> (µg*h/L)</w:t>
                  </w:r>
                </w:p>
              </w:tc>
              <w:tc>
                <w:tcPr>
                  <w:tcW w:w="2349" w:type="dxa"/>
                  <w:tcMar>
                    <w:left w:w="28" w:type="dxa"/>
                    <w:right w:w="28" w:type="dxa"/>
                  </w:tcMar>
                  <w:vAlign w:val="center"/>
                </w:tcPr>
                <w:p w:rsidR="00180543" w:rsidRPr="00B07E65" w:rsidRDefault="00180543" w:rsidP="009D436D">
                  <w:pPr>
                    <w:pStyle w:val="Tabletext"/>
                    <w:jc w:val="center"/>
                  </w:pPr>
                  <w:r w:rsidRPr="00B07E65">
                    <w:t>97.8</w:t>
                  </w:r>
                  <w:r w:rsidR="003579F1" w:rsidRPr="00B07E65">
                    <w:t>%</w:t>
                  </w:r>
                  <w:r w:rsidRPr="00B07E65">
                    <w:t xml:space="preserve"> (91.</w:t>
                  </w:r>
                  <w:r w:rsidR="009D436D" w:rsidRPr="00B07E65">
                    <w:t xml:space="preserve">1, </w:t>
                  </w:r>
                  <w:r w:rsidRPr="00B07E65">
                    <w:t>105.1)</w:t>
                  </w:r>
                </w:p>
              </w:tc>
            </w:tr>
            <w:tr w:rsidR="00CE3EF9" w:rsidRPr="00B07E65" w:rsidTr="009D436D">
              <w:tc>
                <w:tcPr>
                  <w:tcW w:w="1229" w:type="dxa"/>
                  <w:tcMar>
                    <w:left w:w="28" w:type="dxa"/>
                    <w:right w:w="28" w:type="dxa"/>
                  </w:tcMar>
                </w:tcPr>
                <w:p w:rsidR="00180543" w:rsidRPr="00B07E65" w:rsidRDefault="00180543" w:rsidP="007206E5">
                  <w:pPr>
                    <w:pStyle w:val="ListParagraph"/>
                    <w:ind w:left="0"/>
                    <w:rPr>
                      <w:rFonts w:ascii="Arial Narrow" w:hAnsi="Arial Narrow"/>
                      <w:sz w:val="20"/>
                    </w:rPr>
                  </w:pPr>
                  <w:r w:rsidRPr="00B07E65">
                    <w:rPr>
                      <w:rFonts w:ascii="Arial Narrow" w:hAnsi="Arial Narrow"/>
                      <w:sz w:val="20"/>
                    </w:rPr>
                    <w:t>AUC</w:t>
                  </w:r>
                  <w:r w:rsidRPr="00B07E65">
                    <w:rPr>
                      <w:rFonts w:ascii="Arial Narrow" w:hAnsi="Arial Narrow"/>
                      <w:sz w:val="20"/>
                      <w:vertAlign w:val="subscript"/>
                    </w:rPr>
                    <w:t xml:space="preserve">0-∞ </w:t>
                  </w:r>
                  <w:r w:rsidRPr="00B07E65">
                    <w:rPr>
                      <w:rFonts w:ascii="Arial Narrow" w:hAnsi="Arial Narrow"/>
                      <w:sz w:val="20"/>
                    </w:rPr>
                    <w:t>(µg*h/L)</w:t>
                  </w:r>
                </w:p>
              </w:tc>
              <w:tc>
                <w:tcPr>
                  <w:tcW w:w="2349" w:type="dxa"/>
                  <w:tcMar>
                    <w:left w:w="28" w:type="dxa"/>
                    <w:right w:w="28" w:type="dxa"/>
                  </w:tcMar>
                  <w:vAlign w:val="center"/>
                </w:tcPr>
                <w:p w:rsidR="00180543" w:rsidRPr="00B07E65" w:rsidRDefault="00180543" w:rsidP="009D436D">
                  <w:pPr>
                    <w:pStyle w:val="Tabletext"/>
                    <w:jc w:val="center"/>
                  </w:pPr>
                  <w:r w:rsidRPr="00B07E65">
                    <w:t>97.</w:t>
                  </w:r>
                  <w:r w:rsidR="009D436D" w:rsidRPr="00B07E65">
                    <w:t>3</w:t>
                  </w:r>
                  <w:r w:rsidR="003579F1" w:rsidRPr="00B07E65">
                    <w:t>%</w:t>
                  </w:r>
                  <w:r w:rsidRPr="00B07E65">
                    <w:t xml:space="preserve"> (91.0</w:t>
                  </w:r>
                  <w:r w:rsidR="009D436D" w:rsidRPr="00B07E65">
                    <w:t xml:space="preserve">, </w:t>
                  </w:r>
                  <w:r w:rsidRPr="00B07E65">
                    <w:t>103.9)</w:t>
                  </w:r>
                </w:p>
              </w:tc>
            </w:tr>
            <w:tr w:rsidR="00CE3EF9" w:rsidRPr="00B07E65" w:rsidTr="009D436D">
              <w:tc>
                <w:tcPr>
                  <w:tcW w:w="1229" w:type="dxa"/>
                  <w:tcMar>
                    <w:left w:w="28" w:type="dxa"/>
                    <w:right w:w="28" w:type="dxa"/>
                  </w:tcMar>
                </w:tcPr>
                <w:p w:rsidR="001E7207" w:rsidRPr="00B07E65" w:rsidRDefault="001E7207" w:rsidP="007206E5">
                  <w:pPr>
                    <w:pStyle w:val="ListParagraph"/>
                    <w:ind w:left="0"/>
                    <w:rPr>
                      <w:rFonts w:ascii="Arial Narrow" w:hAnsi="Arial Narrow"/>
                      <w:sz w:val="20"/>
                    </w:rPr>
                  </w:pPr>
                  <w:proofErr w:type="spellStart"/>
                  <w:r w:rsidRPr="00B07E65">
                    <w:rPr>
                      <w:rFonts w:ascii="Arial Narrow" w:hAnsi="Arial Narrow"/>
                      <w:sz w:val="20"/>
                    </w:rPr>
                    <w:t>C</w:t>
                  </w:r>
                  <w:r w:rsidRPr="00B07E65">
                    <w:rPr>
                      <w:rFonts w:ascii="Arial Narrow" w:hAnsi="Arial Narrow"/>
                      <w:sz w:val="20"/>
                      <w:vertAlign w:val="subscript"/>
                    </w:rPr>
                    <w:t>max</w:t>
                  </w:r>
                  <w:proofErr w:type="spellEnd"/>
                  <w:r w:rsidRPr="00B07E65">
                    <w:rPr>
                      <w:rFonts w:ascii="Arial Narrow" w:hAnsi="Arial Narrow"/>
                      <w:sz w:val="20"/>
                    </w:rPr>
                    <w:t xml:space="preserve"> (µg/L)</w:t>
                  </w:r>
                </w:p>
              </w:tc>
              <w:tc>
                <w:tcPr>
                  <w:tcW w:w="2349" w:type="dxa"/>
                  <w:tcMar>
                    <w:left w:w="28" w:type="dxa"/>
                    <w:right w:w="28" w:type="dxa"/>
                  </w:tcMar>
                  <w:vAlign w:val="center"/>
                </w:tcPr>
                <w:p w:rsidR="001E7207" w:rsidRPr="00B07E65" w:rsidRDefault="001E7207" w:rsidP="009D436D">
                  <w:pPr>
                    <w:pStyle w:val="Tabletext"/>
                    <w:jc w:val="center"/>
                  </w:pPr>
                  <w:r w:rsidRPr="00B07E65">
                    <w:t>58.</w:t>
                  </w:r>
                  <w:r w:rsidR="009D436D" w:rsidRPr="00B07E65">
                    <w:t>2</w:t>
                  </w:r>
                  <w:r w:rsidR="003579F1" w:rsidRPr="00B07E65">
                    <w:t xml:space="preserve">% </w:t>
                  </w:r>
                  <w:r w:rsidRPr="00B07E65">
                    <w:t>(47.6</w:t>
                  </w:r>
                  <w:r w:rsidR="009D436D" w:rsidRPr="00B07E65">
                    <w:t xml:space="preserve">, </w:t>
                  </w:r>
                  <w:r w:rsidRPr="00B07E65">
                    <w:t>71.</w:t>
                  </w:r>
                  <w:r w:rsidR="009D436D" w:rsidRPr="00B07E65">
                    <w:t>1</w:t>
                  </w:r>
                  <w:r w:rsidRPr="00B07E65">
                    <w:t>)</w:t>
                  </w:r>
                </w:p>
              </w:tc>
            </w:tr>
          </w:tbl>
          <w:p w:rsidR="003579F1" w:rsidRPr="00B07E65" w:rsidRDefault="003579F1" w:rsidP="00180543">
            <w:pPr>
              <w:pStyle w:val="Tabletext"/>
            </w:pPr>
          </w:p>
          <w:p w:rsidR="00700F5D" w:rsidRPr="00B07E65" w:rsidRDefault="00700F5D" w:rsidP="003579F1">
            <w:pPr>
              <w:pStyle w:val="Tabletext"/>
            </w:pPr>
            <w:r w:rsidRPr="00B07E65">
              <w:t>Study MC-MTX.9/PH</w:t>
            </w:r>
            <w:r w:rsidR="001E7207" w:rsidRPr="00B07E65">
              <w:t xml:space="preserve">: IM MTX had higher </w:t>
            </w:r>
            <w:proofErr w:type="spellStart"/>
            <w:r w:rsidR="001E7207" w:rsidRPr="00B07E65">
              <w:t>C</w:t>
            </w:r>
            <w:r w:rsidR="001E7207" w:rsidRPr="00B07E65">
              <w:rPr>
                <w:vertAlign w:val="subscript"/>
              </w:rPr>
              <w:t>max</w:t>
            </w:r>
            <w:proofErr w:type="spellEnd"/>
            <w:r w:rsidR="001E7207" w:rsidRPr="00B07E65">
              <w:rPr>
                <w:vertAlign w:val="subscript"/>
              </w:rPr>
              <w:t xml:space="preserve"> </w:t>
            </w:r>
            <w:r w:rsidR="001E7207" w:rsidRPr="00B07E65">
              <w:t>lower AUC</w:t>
            </w:r>
            <w:r w:rsidR="00EF700D" w:rsidRPr="00B07E65">
              <w:t xml:space="preserve"> but this was n</w:t>
            </w:r>
            <w:r w:rsidR="001E7207" w:rsidRPr="00B07E65">
              <w:t>ot</w:t>
            </w:r>
            <w:r w:rsidRPr="00B07E65">
              <w:t xml:space="preserve"> considered clinically significant by ACPM. </w:t>
            </w:r>
          </w:p>
          <w:p w:rsidR="00A93BAF" w:rsidRPr="00B07E65" w:rsidRDefault="00676258" w:rsidP="00676258">
            <w:pPr>
              <w:pStyle w:val="Tabletext"/>
            </w:pPr>
            <w:r w:rsidRPr="00B07E65">
              <w:t xml:space="preserve">Striesow &amp; Brandt (2012) patient preference study: </w:t>
            </w:r>
            <w:r w:rsidR="0018742F" w:rsidRPr="00B07E65">
              <w:t>majority of patients and healthcare professionals r</w:t>
            </w:r>
            <w:r w:rsidRPr="00B07E65">
              <w:t xml:space="preserve">eported a favourable perception of </w:t>
            </w:r>
            <w:r w:rsidR="003579F1" w:rsidRPr="00B07E65">
              <w:t>SC MTX.</w:t>
            </w:r>
            <w:r w:rsidR="0018742F" w:rsidRPr="00B07E65">
              <w:t xml:space="preserve"> </w:t>
            </w:r>
            <w:r w:rsidR="00A93BAF" w:rsidRPr="00B07E65">
              <w:t xml:space="preserve"> </w:t>
            </w:r>
          </w:p>
          <w:p w:rsidR="001D112E" w:rsidRPr="00B07E65" w:rsidRDefault="001D112E" w:rsidP="001E7207">
            <w:pPr>
              <w:pStyle w:val="Tabletext"/>
            </w:pPr>
            <w:r w:rsidRPr="00B07E65">
              <w:rPr>
                <w:b/>
              </w:rPr>
              <w:t>PBAC Comment:</w:t>
            </w:r>
            <w:r w:rsidR="00A93BAF" w:rsidRPr="00B07E65">
              <w:rPr>
                <w:b/>
              </w:rPr>
              <w:t xml:space="preserve"> </w:t>
            </w:r>
            <w:r w:rsidR="001E7207" w:rsidRPr="00B07E65">
              <w:t>PBAC accepted pre-filled syringe SC injection was bioequivalent to the IM injection.</w:t>
            </w:r>
            <w:r w:rsidR="005E072F" w:rsidRPr="00B07E65">
              <w:t xml:space="preserve"> (Para 7.3)</w:t>
            </w:r>
          </w:p>
        </w:tc>
        <w:tc>
          <w:tcPr>
            <w:tcW w:w="3525" w:type="dxa"/>
          </w:tcPr>
          <w:p w:rsidR="004A1EF6" w:rsidRPr="00B07E65" w:rsidRDefault="004A1EF6" w:rsidP="004A1EF6">
            <w:pPr>
              <w:pStyle w:val="Tabletext"/>
            </w:pPr>
            <w:r w:rsidRPr="00B07E65">
              <w:t xml:space="preserve">Study NCT01737944: SC MTX </w:t>
            </w:r>
            <w:r w:rsidR="00CE3EF9" w:rsidRPr="00B07E65">
              <w:t xml:space="preserve">with auto-injector vs SC MTX without auto-injector </w:t>
            </w:r>
            <w:r w:rsidRPr="00B07E65">
              <w:t>vs IM MTX</w:t>
            </w:r>
            <w:r w:rsidR="0071684D" w:rsidRPr="00B07E65">
              <w:t xml:space="preserve">. </w:t>
            </w:r>
            <w:r w:rsidR="000C23CE" w:rsidRPr="00B07E65">
              <w:t xml:space="preserve">Doses of 10 mg, 15 mg, 20 mg </w:t>
            </w:r>
            <w:r w:rsidR="00CE3EF9" w:rsidRPr="00B07E65">
              <w:t>or</w:t>
            </w:r>
            <w:r w:rsidR="000C23CE" w:rsidRPr="00B07E65">
              <w:t xml:space="preserve"> 25 mg were used</w:t>
            </w:r>
            <w:r w:rsidR="00EE76D5" w:rsidRPr="00B07E65">
              <w:t>, based on the patient’s baseline MTX dose</w:t>
            </w:r>
            <w:r w:rsidR="00CE3EF9" w:rsidRPr="00B07E65">
              <w:t xml:space="preserve"> and disease status</w:t>
            </w:r>
            <w:r w:rsidR="000C23CE" w:rsidRPr="00B07E65">
              <w:t>.</w:t>
            </w:r>
            <w:r w:rsidR="00EE76D5" w:rsidRPr="00B07E65">
              <w:t xml:space="preserve"> The study used a crossover design (single administration of each </w:t>
            </w:r>
            <w:r w:rsidR="00CE3EF9" w:rsidRPr="00B07E65">
              <w:t>product</w:t>
            </w:r>
            <w:r w:rsidR="00EE76D5" w:rsidRPr="00B07E65">
              <w:t xml:space="preserve">) and </w:t>
            </w:r>
            <w:r w:rsidR="00CE3EF9" w:rsidRPr="00B07E65">
              <w:t>the</w:t>
            </w:r>
            <w:r w:rsidR="00EE76D5" w:rsidRPr="00B07E65">
              <w:t xml:space="preserve"> patient</w:t>
            </w:r>
            <w:r w:rsidR="00CE3EF9" w:rsidRPr="00B07E65">
              <w:t>’s dose was the s</w:t>
            </w:r>
            <w:r w:rsidR="00EE76D5" w:rsidRPr="00B07E65">
              <w:t xml:space="preserve">ame </w:t>
            </w:r>
            <w:r w:rsidR="00CE3EF9" w:rsidRPr="00B07E65">
              <w:t xml:space="preserve">for the entire study. </w:t>
            </w:r>
          </w:p>
          <w:p w:rsidR="009D436D" w:rsidRPr="00B07E65" w:rsidRDefault="009D436D" w:rsidP="004A1EF6">
            <w:pPr>
              <w:pStyle w:val="Tabletext"/>
            </w:pPr>
          </w:p>
          <w:p w:rsidR="00CE3EF9" w:rsidRPr="00B07E65" w:rsidRDefault="00CE3EF9" w:rsidP="004A1EF6">
            <w:pPr>
              <w:pStyle w:val="Tabletext"/>
            </w:pPr>
            <w:r w:rsidRPr="00B07E65">
              <w:t>Results SC MTX (with auto-injector) vs IM MTX</w:t>
            </w:r>
          </w:p>
          <w:tbl>
            <w:tblPr>
              <w:tblStyle w:val="TableGrid"/>
              <w:tblW w:w="0" w:type="auto"/>
              <w:tblLook w:val="04A0" w:firstRow="1" w:lastRow="0" w:firstColumn="1" w:lastColumn="0" w:noHBand="0" w:noVBand="1"/>
              <w:tblCaption w:val="Results SC MTX (with auto-injector) vs IM MTX"/>
            </w:tblPr>
            <w:tblGrid>
              <w:gridCol w:w="1105"/>
              <w:gridCol w:w="2354"/>
            </w:tblGrid>
            <w:tr w:rsidR="00510C6C" w:rsidRPr="00B07E65" w:rsidTr="00D061A0">
              <w:trPr>
                <w:tblHeader/>
              </w:trPr>
              <w:tc>
                <w:tcPr>
                  <w:tcW w:w="977" w:type="dxa"/>
                  <w:tcMar>
                    <w:left w:w="28" w:type="dxa"/>
                    <w:right w:w="28" w:type="dxa"/>
                  </w:tcMar>
                </w:tcPr>
                <w:p w:rsidR="004A1EF6" w:rsidRPr="00B07E65" w:rsidRDefault="004A1EF6" w:rsidP="004A1EF6">
                  <w:pPr>
                    <w:pStyle w:val="Tabletext"/>
                  </w:pPr>
                  <w:r w:rsidRPr="00B07E65">
                    <w:t>Parameter</w:t>
                  </w:r>
                </w:p>
              </w:tc>
              <w:tc>
                <w:tcPr>
                  <w:tcW w:w="2358" w:type="dxa"/>
                  <w:tcMar>
                    <w:left w:w="28" w:type="dxa"/>
                    <w:right w:w="28" w:type="dxa"/>
                  </w:tcMar>
                </w:tcPr>
                <w:p w:rsidR="004A1EF6" w:rsidRPr="00B07E65" w:rsidRDefault="004A1EF6" w:rsidP="003579F1">
                  <w:pPr>
                    <w:pStyle w:val="Tabletext"/>
                  </w:pPr>
                  <w:r w:rsidRPr="00B07E65">
                    <w:t>Geometric mean ratio (90% CI</w:t>
                  </w:r>
                  <w:r w:rsidR="003579F1" w:rsidRPr="00B07E65">
                    <w:t>)</w:t>
                  </w:r>
                </w:p>
              </w:tc>
            </w:tr>
            <w:tr w:rsidR="00510C6C" w:rsidRPr="00B07E65" w:rsidTr="009D436D">
              <w:tc>
                <w:tcPr>
                  <w:tcW w:w="977" w:type="dxa"/>
                  <w:tcMar>
                    <w:left w:w="28" w:type="dxa"/>
                    <w:right w:w="28" w:type="dxa"/>
                  </w:tcMar>
                </w:tcPr>
                <w:p w:rsidR="004A1EF6" w:rsidRPr="00B07E65" w:rsidRDefault="004A1EF6" w:rsidP="00C643F0">
                  <w:pPr>
                    <w:pStyle w:val="Tabletext"/>
                  </w:pPr>
                  <w:r w:rsidRPr="00B07E65">
                    <w:t>AUC</w:t>
                  </w:r>
                  <w:r w:rsidRPr="00B07E65">
                    <w:rPr>
                      <w:vertAlign w:val="subscript"/>
                    </w:rPr>
                    <w:t xml:space="preserve">0-∞ </w:t>
                  </w:r>
                  <w:r w:rsidRPr="00B07E65">
                    <w:t>(</w:t>
                  </w:r>
                  <w:r w:rsidR="00C643F0" w:rsidRPr="00B07E65">
                    <w:t>ng*hr/mL/mg</w:t>
                  </w:r>
                  <w:r w:rsidRPr="00B07E65">
                    <w:t>)</w:t>
                  </w:r>
                </w:p>
              </w:tc>
              <w:tc>
                <w:tcPr>
                  <w:tcW w:w="2358" w:type="dxa"/>
                  <w:tcMar>
                    <w:left w:w="28" w:type="dxa"/>
                    <w:right w:w="28" w:type="dxa"/>
                  </w:tcMar>
                  <w:vAlign w:val="center"/>
                </w:tcPr>
                <w:p w:rsidR="004A1EF6" w:rsidRPr="00B07E65" w:rsidRDefault="004A1EF6" w:rsidP="009D436D">
                  <w:pPr>
                    <w:pStyle w:val="Tabletext"/>
                    <w:jc w:val="center"/>
                  </w:pPr>
                  <w:r w:rsidRPr="00B07E65">
                    <w:t>101.3</w:t>
                  </w:r>
                  <w:r w:rsidR="003579F1" w:rsidRPr="00B07E65">
                    <w:t xml:space="preserve">% </w:t>
                  </w:r>
                  <w:r w:rsidRPr="00B07E65">
                    <w:t>(97.2</w:t>
                  </w:r>
                  <w:r w:rsidR="009D436D" w:rsidRPr="00B07E65">
                    <w:t xml:space="preserve">, </w:t>
                  </w:r>
                  <w:r w:rsidRPr="00B07E65">
                    <w:t>105.6)</w:t>
                  </w:r>
                </w:p>
              </w:tc>
            </w:tr>
            <w:tr w:rsidR="00510C6C" w:rsidRPr="00B07E65" w:rsidTr="009D436D">
              <w:tc>
                <w:tcPr>
                  <w:tcW w:w="977" w:type="dxa"/>
                  <w:tcMar>
                    <w:left w:w="28" w:type="dxa"/>
                    <w:right w:w="28" w:type="dxa"/>
                  </w:tcMar>
                </w:tcPr>
                <w:p w:rsidR="004A1EF6" w:rsidRPr="00B07E65" w:rsidRDefault="004A1EF6" w:rsidP="004A1EF6">
                  <w:pPr>
                    <w:pStyle w:val="Tabletext"/>
                    <w:rPr>
                      <w:vertAlign w:val="subscript"/>
                    </w:rPr>
                  </w:pPr>
                  <w:r w:rsidRPr="00B07E65">
                    <w:t>AUC</w:t>
                  </w:r>
                  <w:r w:rsidRPr="00B07E65">
                    <w:rPr>
                      <w:vertAlign w:val="subscript"/>
                    </w:rPr>
                    <w:t>0</w:t>
                  </w:r>
                  <w:r w:rsidR="00510C6C" w:rsidRPr="00B07E65">
                    <w:rPr>
                      <w:vertAlign w:val="subscript"/>
                    </w:rPr>
                    <w:t>-</w:t>
                  </w:r>
                  <w:r w:rsidRPr="00B07E65">
                    <w:rPr>
                      <w:vertAlign w:val="subscript"/>
                    </w:rPr>
                    <w:t>24</w:t>
                  </w:r>
                </w:p>
                <w:p w:rsidR="004A1EF6" w:rsidRPr="00B07E65" w:rsidRDefault="00C643F0" w:rsidP="003579F1">
                  <w:pPr>
                    <w:pStyle w:val="Tabletext"/>
                  </w:pPr>
                  <w:r w:rsidRPr="00B07E65">
                    <w:t>(ng*hr/mL/mg)</w:t>
                  </w:r>
                </w:p>
              </w:tc>
              <w:tc>
                <w:tcPr>
                  <w:tcW w:w="2358" w:type="dxa"/>
                  <w:tcMar>
                    <w:left w:w="28" w:type="dxa"/>
                    <w:right w:w="28" w:type="dxa"/>
                  </w:tcMar>
                  <w:vAlign w:val="center"/>
                </w:tcPr>
                <w:p w:rsidR="004A1EF6" w:rsidRPr="00B07E65" w:rsidRDefault="004A1EF6" w:rsidP="009D436D">
                  <w:pPr>
                    <w:pStyle w:val="Tabletext"/>
                    <w:jc w:val="center"/>
                  </w:pPr>
                  <w:r w:rsidRPr="00B07E65">
                    <w:t>101.1</w:t>
                  </w:r>
                  <w:r w:rsidR="003579F1" w:rsidRPr="00B07E65">
                    <w:t xml:space="preserve">% </w:t>
                  </w:r>
                  <w:r w:rsidRPr="00B07E65">
                    <w:t>(97.0</w:t>
                  </w:r>
                  <w:r w:rsidR="009D436D" w:rsidRPr="00B07E65">
                    <w:t xml:space="preserve">, </w:t>
                  </w:r>
                  <w:r w:rsidRPr="00B07E65">
                    <w:t>105.4)</w:t>
                  </w:r>
                </w:p>
              </w:tc>
            </w:tr>
            <w:tr w:rsidR="00510C6C" w:rsidRPr="00B07E65" w:rsidTr="009D436D">
              <w:tc>
                <w:tcPr>
                  <w:tcW w:w="977" w:type="dxa"/>
                  <w:tcMar>
                    <w:left w:w="28" w:type="dxa"/>
                    <w:right w:w="28" w:type="dxa"/>
                  </w:tcMar>
                </w:tcPr>
                <w:p w:rsidR="004A1EF6" w:rsidRPr="00B07E65" w:rsidRDefault="004A1EF6" w:rsidP="004A1EF6">
                  <w:pPr>
                    <w:pStyle w:val="Tabletext"/>
                  </w:pPr>
                  <w:proofErr w:type="spellStart"/>
                  <w:r w:rsidRPr="00B07E65">
                    <w:t>C</w:t>
                  </w:r>
                  <w:r w:rsidRPr="00B07E65">
                    <w:rPr>
                      <w:vertAlign w:val="subscript"/>
                    </w:rPr>
                    <w:t>max</w:t>
                  </w:r>
                  <w:proofErr w:type="spellEnd"/>
                  <w:r w:rsidRPr="00B07E65">
                    <w:t xml:space="preserve"> </w:t>
                  </w:r>
                  <w:r w:rsidR="00C643F0" w:rsidRPr="00B07E65">
                    <w:t>(ng/mL/mg)</w:t>
                  </w:r>
                </w:p>
              </w:tc>
              <w:tc>
                <w:tcPr>
                  <w:tcW w:w="2358" w:type="dxa"/>
                  <w:tcMar>
                    <w:left w:w="28" w:type="dxa"/>
                    <w:right w:w="28" w:type="dxa"/>
                  </w:tcMar>
                  <w:vAlign w:val="center"/>
                </w:tcPr>
                <w:p w:rsidR="004A1EF6" w:rsidRPr="00B07E65" w:rsidRDefault="004A1EF6" w:rsidP="009D436D">
                  <w:pPr>
                    <w:pStyle w:val="Tabletext"/>
                    <w:jc w:val="center"/>
                  </w:pPr>
                  <w:r w:rsidRPr="00B07E65">
                    <w:t>89.8</w:t>
                  </w:r>
                  <w:r w:rsidR="003579F1" w:rsidRPr="00B07E65">
                    <w:t xml:space="preserve">% </w:t>
                  </w:r>
                  <w:r w:rsidRPr="00B07E65">
                    <w:t>(81.6</w:t>
                  </w:r>
                  <w:r w:rsidR="009D436D" w:rsidRPr="00B07E65">
                    <w:t xml:space="preserve">, </w:t>
                  </w:r>
                  <w:r w:rsidRPr="00B07E65">
                    <w:t>98.8)</w:t>
                  </w:r>
                </w:p>
              </w:tc>
            </w:tr>
          </w:tbl>
          <w:p w:rsidR="004A1EF6" w:rsidRPr="00B07E65" w:rsidRDefault="004A1EF6" w:rsidP="004A1EF6">
            <w:pPr>
              <w:pStyle w:val="Tabletext"/>
            </w:pPr>
            <w:r w:rsidRPr="00B07E65">
              <w:t xml:space="preserve">90% CI </w:t>
            </w:r>
            <w:r w:rsidR="00EC3FCF" w:rsidRPr="00B07E65">
              <w:t xml:space="preserve">for AUC </w:t>
            </w:r>
            <w:r w:rsidRPr="00B07E65">
              <w:t xml:space="preserve">within 80% to 125% </w:t>
            </w:r>
            <w:proofErr w:type="spellStart"/>
            <w:r w:rsidR="00FE683D" w:rsidRPr="00B07E65">
              <w:t>prespecified</w:t>
            </w:r>
            <w:proofErr w:type="spellEnd"/>
            <w:r w:rsidR="00FE683D" w:rsidRPr="00B07E65">
              <w:t xml:space="preserve"> </w:t>
            </w:r>
            <w:r w:rsidRPr="00B07E65">
              <w:t>range</w:t>
            </w:r>
            <w:r w:rsidR="00984F57" w:rsidRPr="00B07E65">
              <w:t xml:space="preserve"> required to demonstrate bioequivalence</w:t>
            </w:r>
            <w:r w:rsidRPr="00B07E65">
              <w:t>.</w:t>
            </w:r>
          </w:p>
        </w:tc>
      </w:tr>
      <w:tr w:rsidR="00CE3EF9" w:rsidRPr="00B07E65" w:rsidTr="00CE3EF9">
        <w:trPr>
          <w:cantSplit/>
          <w:trHeight w:val="242"/>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Key safety data</w:t>
            </w:r>
          </w:p>
        </w:tc>
        <w:tc>
          <w:tcPr>
            <w:tcW w:w="3640" w:type="dxa"/>
          </w:tcPr>
          <w:p w:rsidR="001D112E" w:rsidRPr="00B07E65" w:rsidRDefault="0018742F" w:rsidP="0018742F">
            <w:pPr>
              <w:pStyle w:val="Tabletext"/>
            </w:pPr>
            <w:r w:rsidRPr="00B07E65">
              <w:t xml:space="preserve">Limited safety data was presented in the submission. The TGA did not identify any safety concerns. </w:t>
            </w:r>
          </w:p>
          <w:p w:rsidR="00EF03A6" w:rsidRPr="00B07E65" w:rsidRDefault="001D112E" w:rsidP="00455241">
            <w:pPr>
              <w:pStyle w:val="Tabletext"/>
              <w:rPr>
                <w:color w:val="0000FF"/>
              </w:rPr>
            </w:pPr>
            <w:r w:rsidRPr="00B07E65">
              <w:rPr>
                <w:b/>
              </w:rPr>
              <w:t>PBAC Comment</w:t>
            </w:r>
            <w:r w:rsidRPr="00B07E65">
              <w:t>:</w:t>
            </w:r>
            <w:r w:rsidR="00455241" w:rsidRPr="00B07E65">
              <w:t xml:space="preserve"> PBAC considered that the</w:t>
            </w:r>
            <w:r w:rsidR="00455241" w:rsidRPr="00B07E65">
              <w:rPr>
                <w:color w:val="0000FF"/>
              </w:rPr>
              <w:t xml:space="preserve"> </w:t>
            </w:r>
            <w:r w:rsidR="00455241" w:rsidRPr="00B07E65">
              <w:t>h</w:t>
            </w:r>
            <w:r w:rsidR="00EF03A6" w:rsidRPr="00B07E65">
              <w:t xml:space="preserve">ealth and safety risks of </w:t>
            </w:r>
            <w:r w:rsidR="00455241" w:rsidRPr="00B07E65">
              <w:t>self-injection</w:t>
            </w:r>
            <w:r w:rsidR="00EF03A6" w:rsidRPr="00B07E65">
              <w:t xml:space="preserve"> outside clinic setting</w:t>
            </w:r>
            <w:r w:rsidR="00455241" w:rsidRPr="00B07E65">
              <w:t xml:space="preserve">, including </w:t>
            </w:r>
            <w:r w:rsidR="00EF03A6" w:rsidRPr="00B07E65">
              <w:t>disposal</w:t>
            </w:r>
            <w:r w:rsidR="00EF700D" w:rsidRPr="00B07E65">
              <w:t xml:space="preserve"> of used syringes</w:t>
            </w:r>
            <w:r w:rsidR="00455241" w:rsidRPr="00B07E65">
              <w:t>, had not been adequately addressed</w:t>
            </w:r>
            <w:r w:rsidR="00EF03A6" w:rsidRPr="00B07E65">
              <w:t>.</w:t>
            </w:r>
            <w:r w:rsidR="005E072F" w:rsidRPr="00B07E65">
              <w:t xml:space="preserve"> (Para 7.4)</w:t>
            </w:r>
          </w:p>
        </w:tc>
        <w:tc>
          <w:tcPr>
            <w:tcW w:w="3525" w:type="dxa"/>
          </w:tcPr>
          <w:p w:rsidR="00455241" w:rsidRPr="00B07E65" w:rsidRDefault="00455241" w:rsidP="00271C16">
            <w:pPr>
              <w:pStyle w:val="Tabletext"/>
              <w:numPr>
                <w:ilvl w:val="0"/>
                <w:numId w:val="10"/>
              </w:numPr>
              <w:ind w:left="200" w:hanging="200"/>
            </w:pPr>
            <w:r w:rsidRPr="00B07E65">
              <w:t xml:space="preserve">Naïve indirect comparison </w:t>
            </w:r>
            <w:r w:rsidR="002750D8" w:rsidRPr="00B07E65">
              <w:t>of adverse events from a range of studies</w:t>
            </w:r>
            <w:r w:rsidR="00A600E7" w:rsidRPr="00B07E65">
              <w:t>.</w:t>
            </w:r>
          </w:p>
          <w:p w:rsidR="005E17D6" w:rsidRPr="00B07E65" w:rsidRDefault="005E17D6" w:rsidP="00271C16">
            <w:pPr>
              <w:pStyle w:val="Tabletext"/>
              <w:numPr>
                <w:ilvl w:val="0"/>
                <w:numId w:val="10"/>
              </w:numPr>
              <w:ind w:left="200" w:hanging="200"/>
            </w:pPr>
            <w:r w:rsidRPr="00B07E65">
              <w:t xml:space="preserve">Results from post-marketing study of proposed drug (Striesow and Brandt </w:t>
            </w:r>
            <w:r w:rsidR="009D436D" w:rsidRPr="00B07E65">
              <w:t>(</w:t>
            </w:r>
            <w:r w:rsidRPr="00B07E65">
              <w:t>2012</w:t>
            </w:r>
            <w:r w:rsidR="009D436D" w:rsidRPr="00B07E65">
              <w:t>)</w:t>
            </w:r>
            <w:r w:rsidRPr="00B07E65">
              <w:t>) that showed no serious adverse events and few (5%) administration errors.</w:t>
            </w:r>
          </w:p>
          <w:p w:rsidR="005E17D6" w:rsidRPr="00B07E65" w:rsidRDefault="002750D8" w:rsidP="00271C16">
            <w:pPr>
              <w:pStyle w:val="Tabletext"/>
              <w:numPr>
                <w:ilvl w:val="0"/>
                <w:numId w:val="10"/>
              </w:numPr>
              <w:ind w:left="200" w:hanging="200"/>
            </w:pPr>
            <w:r w:rsidRPr="00B07E65">
              <w:t xml:space="preserve">Outlined QUM activities: </w:t>
            </w:r>
            <w:r w:rsidR="005E17D6" w:rsidRPr="00B07E65">
              <w:t xml:space="preserve">patient education and </w:t>
            </w:r>
            <w:r w:rsidRPr="00B07E65">
              <w:t xml:space="preserve">provision of </w:t>
            </w:r>
            <w:r w:rsidR="005E17D6" w:rsidRPr="00B07E65">
              <w:t xml:space="preserve">free cytotoxic sharps </w:t>
            </w:r>
            <w:r w:rsidR="00F90A75" w:rsidRPr="00B07E65">
              <w:t>container</w:t>
            </w:r>
            <w:r w:rsidR="00A600E7" w:rsidRPr="00B07E65">
              <w:t>.</w:t>
            </w:r>
          </w:p>
        </w:tc>
      </w:tr>
      <w:tr w:rsidR="00CE3EF9" w:rsidRPr="00B07E65" w:rsidTr="00CE3EF9">
        <w:trPr>
          <w:cantSplit/>
          <w:trHeight w:val="860"/>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Clinical claim</w:t>
            </w:r>
          </w:p>
        </w:tc>
        <w:tc>
          <w:tcPr>
            <w:tcW w:w="3640" w:type="dxa"/>
          </w:tcPr>
          <w:p w:rsidR="001D112E" w:rsidRPr="00B07E65" w:rsidRDefault="00A84FBE" w:rsidP="0018742F">
            <w:pPr>
              <w:pStyle w:val="Tabletext"/>
            </w:pPr>
            <w:r w:rsidRPr="00B07E65">
              <w:t>Claimed b</w:t>
            </w:r>
            <w:r w:rsidR="0018742F" w:rsidRPr="00B07E65">
              <w:t xml:space="preserve">ioequivalence </w:t>
            </w:r>
            <w:r w:rsidRPr="00B07E65">
              <w:t xml:space="preserve">and non-inferior comparative safety </w:t>
            </w:r>
            <w:r w:rsidR="0018742F" w:rsidRPr="00B07E65">
              <w:t xml:space="preserve">between </w:t>
            </w:r>
            <w:r w:rsidR="00455241" w:rsidRPr="00B07E65">
              <w:t xml:space="preserve">MTX </w:t>
            </w:r>
            <w:r w:rsidR="0018742F" w:rsidRPr="00B07E65">
              <w:t xml:space="preserve">pre-filled syringe and other parenteral formulations of </w:t>
            </w:r>
            <w:r w:rsidR="00455241" w:rsidRPr="00B07E65">
              <w:t>MTX</w:t>
            </w:r>
            <w:r w:rsidR="0018742F" w:rsidRPr="00B07E65">
              <w:t>.</w:t>
            </w:r>
          </w:p>
          <w:p w:rsidR="001D112E" w:rsidRPr="00B07E65" w:rsidRDefault="001D112E" w:rsidP="000E5405">
            <w:pPr>
              <w:pStyle w:val="Tabletext"/>
            </w:pPr>
            <w:r w:rsidRPr="00B07E65">
              <w:rPr>
                <w:b/>
              </w:rPr>
              <w:t>PBAC Comment:</w:t>
            </w:r>
            <w:r w:rsidR="0018742F" w:rsidRPr="00B07E65">
              <w:rPr>
                <w:b/>
              </w:rPr>
              <w:t xml:space="preserve"> </w:t>
            </w:r>
            <w:r w:rsidR="000E5405" w:rsidRPr="00B07E65">
              <w:t>N</w:t>
            </w:r>
            <w:r w:rsidR="0018742F" w:rsidRPr="00B07E65">
              <w:t>on</w:t>
            </w:r>
            <w:r w:rsidR="0018742F" w:rsidRPr="00B07E65">
              <w:noBreakHyphen/>
              <w:t xml:space="preserve">inferior comparative effectiveness was reasonable. </w:t>
            </w:r>
            <w:r w:rsidR="000E5405" w:rsidRPr="00B07E65">
              <w:t>N</w:t>
            </w:r>
            <w:r w:rsidR="0018742F" w:rsidRPr="00B07E65">
              <w:t>on</w:t>
            </w:r>
            <w:r w:rsidR="0018742F" w:rsidRPr="00B07E65">
              <w:noBreakHyphen/>
              <w:t xml:space="preserve">inferior comparative safety was not adequately supported. </w:t>
            </w:r>
            <w:r w:rsidR="005E072F" w:rsidRPr="00B07E65">
              <w:t>(Para 6.19)</w:t>
            </w:r>
          </w:p>
        </w:tc>
        <w:tc>
          <w:tcPr>
            <w:tcW w:w="3525" w:type="dxa"/>
          </w:tcPr>
          <w:p w:rsidR="001D112E" w:rsidRPr="00B07E65" w:rsidRDefault="000E5405" w:rsidP="00455241">
            <w:pPr>
              <w:pStyle w:val="Tabletext"/>
            </w:pPr>
            <w:r w:rsidRPr="00B07E65">
              <w:t>Unchanged</w:t>
            </w:r>
          </w:p>
        </w:tc>
      </w:tr>
      <w:tr w:rsidR="00CE3EF9" w:rsidRPr="00B07E65" w:rsidTr="00CE3EF9">
        <w:trPr>
          <w:cantSplit/>
          <w:trHeight w:val="1298"/>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Economic evaluation</w:t>
            </w:r>
          </w:p>
        </w:tc>
        <w:tc>
          <w:tcPr>
            <w:tcW w:w="3640" w:type="dxa"/>
          </w:tcPr>
          <w:p w:rsidR="00EF700D" w:rsidRPr="00B07E65" w:rsidRDefault="001D112E" w:rsidP="00AA0A07">
            <w:pPr>
              <w:jc w:val="left"/>
              <w:rPr>
                <w:rFonts w:ascii="Arial Narrow" w:hAnsi="Arial Narrow"/>
                <w:sz w:val="20"/>
              </w:rPr>
            </w:pPr>
            <w:r w:rsidRPr="00B07E65">
              <w:rPr>
                <w:rFonts w:ascii="Arial Narrow" w:hAnsi="Arial Narrow"/>
                <w:sz w:val="20"/>
              </w:rPr>
              <w:t xml:space="preserve">Cost-minimisation </w:t>
            </w:r>
            <w:r w:rsidR="000E5405" w:rsidRPr="00B07E65">
              <w:rPr>
                <w:rFonts w:ascii="Arial Narrow" w:hAnsi="Arial Narrow"/>
                <w:sz w:val="20"/>
              </w:rPr>
              <w:t>including administration costs</w:t>
            </w:r>
            <w:r w:rsidR="003E412C" w:rsidRPr="00B07E65">
              <w:rPr>
                <w:rFonts w:ascii="Arial Narrow" w:hAnsi="Arial Narrow"/>
                <w:sz w:val="20"/>
              </w:rPr>
              <w:t>:</w:t>
            </w:r>
          </w:p>
          <w:p w:rsidR="001D112E" w:rsidRPr="00B07E65" w:rsidRDefault="00CC0D19" w:rsidP="00271C16">
            <w:pPr>
              <w:pStyle w:val="ListParagraph"/>
              <w:numPr>
                <w:ilvl w:val="0"/>
                <w:numId w:val="8"/>
              </w:numPr>
              <w:ind w:left="149" w:hanging="149"/>
              <w:jc w:val="left"/>
              <w:rPr>
                <w:rFonts w:ascii="Arial Narrow" w:hAnsi="Arial Narrow"/>
                <w:sz w:val="20"/>
              </w:rPr>
            </w:pPr>
            <w:r w:rsidRPr="00B07E65">
              <w:rPr>
                <w:rFonts w:ascii="Arial Narrow" w:hAnsi="Arial Narrow"/>
                <w:sz w:val="20"/>
              </w:rPr>
              <w:t xml:space="preserve">One MTX pre-filled syringe (7.5 mg, 10 mg, 15 mg, 20 mg, 25 mg dose strengths) was equivalent to one </w:t>
            </w:r>
            <w:r w:rsidR="000E5405" w:rsidRPr="00B07E65">
              <w:rPr>
                <w:rFonts w:ascii="Arial Narrow" w:hAnsi="Arial Narrow"/>
                <w:sz w:val="20"/>
              </w:rPr>
              <w:t xml:space="preserve">MTX </w:t>
            </w:r>
            <w:r w:rsidRPr="00B07E65">
              <w:rPr>
                <w:rFonts w:ascii="Arial Narrow" w:hAnsi="Arial Narrow"/>
                <w:sz w:val="20"/>
              </w:rPr>
              <w:t>50 mg vial for injection</w:t>
            </w:r>
            <w:r w:rsidR="003E412C" w:rsidRPr="00B07E65">
              <w:rPr>
                <w:rFonts w:ascii="Arial Narrow" w:hAnsi="Arial Narrow"/>
                <w:sz w:val="20"/>
              </w:rPr>
              <w:t>;</w:t>
            </w:r>
            <w:r w:rsidR="00EF700D" w:rsidRPr="00B07E65">
              <w:rPr>
                <w:rFonts w:ascii="Arial Narrow" w:hAnsi="Arial Narrow"/>
                <w:sz w:val="20"/>
              </w:rPr>
              <w:t xml:space="preserve"> </w:t>
            </w:r>
          </w:p>
          <w:p w:rsidR="00EF700D" w:rsidRPr="00B07E65" w:rsidRDefault="009E1700" w:rsidP="00271C16">
            <w:pPr>
              <w:pStyle w:val="ListParagraph"/>
              <w:numPr>
                <w:ilvl w:val="0"/>
                <w:numId w:val="8"/>
              </w:numPr>
              <w:ind w:left="149" w:hanging="149"/>
              <w:jc w:val="left"/>
              <w:rPr>
                <w:rFonts w:ascii="Arial Narrow" w:hAnsi="Arial Narrow"/>
                <w:sz w:val="20"/>
              </w:rPr>
            </w:pPr>
            <w:r w:rsidRPr="00B07E65">
              <w:rPr>
                <w:rFonts w:ascii="Arial Narrow" w:hAnsi="Arial Narrow"/>
                <w:sz w:val="20"/>
              </w:rPr>
              <w:t xml:space="preserve">Parenteral MTX listings for chemotherapy (EFC listings) were </w:t>
            </w:r>
            <w:r w:rsidR="00EF700D" w:rsidRPr="00B07E65">
              <w:rPr>
                <w:rFonts w:ascii="Arial Narrow" w:hAnsi="Arial Narrow"/>
                <w:sz w:val="20"/>
              </w:rPr>
              <w:t>included</w:t>
            </w:r>
            <w:r w:rsidR="003E412C" w:rsidRPr="00B07E65">
              <w:rPr>
                <w:rFonts w:ascii="Arial Narrow" w:hAnsi="Arial Narrow"/>
                <w:sz w:val="20"/>
              </w:rPr>
              <w:t>;</w:t>
            </w:r>
          </w:p>
          <w:p w:rsidR="00EF700D" w:rsidRPr="00B07E65" w:rsidRDefault="00EF700D" w:rsidP="00271C16">
            <w:pPr>
              <w:pStyle w:val="ListParagraph"/>
              <w:numPr>
                <w:ilvl w:val="0"/>
                <w:numId w:val="8"/>
              </w:numPr>
              <w:ind w:left="149" w:hanging="149"/>
              <w:jc w:val="left"/>
              <w:rPr>
                <w:rFonts w:ascii="Arial Narrow" w:hAnsi="Arial Narrow"/>
                <w:sz w:val="20"/>
              </w:rPr>
            </w:pPr>
            <w:r w:rsidRPr="00B07E65">
              <w:rPr>
                <w:rFonts w:ascii="Arial Narrow" w:hAnsi="Arial Narrow"/>
                <w:sz w:val="20"/>
              </w:rPr>
              <w:t>96.3% of patients</w:t>
            </w:r>
            <w:r w:rsidR="000E5405" w:rsidRPr="00B07E65">
              <w:rPr>
                <w:rFonts w:ascii="Arial Narrow" w:hAnsi="Arial Narrow"/>
                <w:sz w:val="20"/>
              </w:rPr>
              <w:t xml:space="preserve"> would</w:t>
            </w:r>
            <w:r w:rsidRPr="00B07E65">
              <w:rPr>
                <w:rFonts w:ascii="Arial Narrow" w:hAnsi="Arial Narrow"/>
                <w:sz w:val="20"/>
              </w:rPr>
              <w:t xml:space="preserve"> self-inject</w:t>
            </w:r>
            <w:r w:rsidR="000E5405" w:rsidRPr="00B07E65">
              <w:rPr>
                <w:rFonts w:ascii="Arial Narrow" w:hAnsi="Arial Narrow"/>
                <w:sz w:val="20"/>
              </w:rPr>
              <w:t xml:space="preserve"> SC MTX</w:t>
            </w:r>
            <w:r w:rsidR="003E412C" w:rsidRPr="00B07E65">
              <w:rPr>
                <w:rFonts w:ascii="Arial Narrow" w:hAnsi="Arial Narrow"/>
                <w:sz w:val="20"/>
              </w:rPr>
              <w:t>;</w:t>
            </w:r>
          </w:p>
          <w:p w:rsidR="00EF700D" w:rsidRPr="00B07E65" w:rsidRDefault="00EF700D" w:rsidP="00271C16">
            <w:pPr>
              <w:pStyle w:val="ListParagraph"/>
              <w:numPr>
                <w:ilvl w:val="0"/>
                <w:numId w:val="8"/>
              </w:numPr>
              <w:ind w:left="145" w:hanging="145"/>
              <w:jc w:val="left"/>
              <w:rPr>
                <w:rFonts w:ascii="Arial Narrow" w:hAnsi="Arial Narrow"/>
                <w:sz w:val="20"/>
              </w:rPr>
            </w:pPr>
            <w:r w:rsidRPr="00B07E65">
              <w:rPr>
                <w:rFonts w:ascii="Arial Narrow" w:hAnsi="Arial Narrow"/>
                <w:sz w:val="20"/>
              </w:rPr>
              <w:t xml:space="preserve">MBS item 23 ($37.05) used </w:t>
            </w:r>
            <w:r w:rsidR="000E5405" w:rsidRPr="00B07E65">
              <w:rPr>
                <w:rFonts w:ascii="Arial Narrow" w:hAnsi="Arial Narrow"/>
                <w:sz w:val="20"/>
              </w:rPr>
              <w:t>as</w:t>
            </w:r>
            <w:r w:rsidRPr="00B07E65">
              <w:rPr>
                <w:rFonts w:ascii="Arial Narrow" w:hAnsi="Arial Narrow"/>
                <w:sz w:val="20"/>
              </w:rPr>
              <w:t xml:space="preserve"> administration cost of parenteral MTX administration</w:t>
            </w:r>
            <w:r w:rsidR="003E412C" w:rsidRPr="00B07E65">
              <w:rPr>
                <w:rFonts w:ascii="Arial Narrow" w:hAnsi="Arial Narrow"/>
                <w:sz w:val="20"/>
              </w:rPr>
              <w:t>;</w:t>
            </w:r>
          </w:p>
          <w:p w:rsidR="000E5405" w:rsidRPr="00B07E65" w:rsidRDefault="003C571A" w:rsidP="00271C16">
            <w:pPr>
              <w:pStyle w:val="ListParagraph"/>
              <w:numPr>
                <w:ilvl w:val="0"/>
                <w:numId w:val="8"/>
              </w:numPr>
              <w:ind w:left="145" w:hanging="145"/>
              <w:jc w:val="left"/>
              <w:rPr>
                <w:rFonts w:ascii="Arial Narrow" w:hAnsi="Arial Narrow"/>
                <w:sz w:val="20"/>
              </w:rPr>
            </w:pPr>
            <w:r w:rsidRPr="00B07E65">
              <w:rPr>
                <w:rFonts w:ascii="Arial Narrow" w:hAnsi="Arial Narrow"/>
                <w:sz w:val="20"/>
              </w:rPr>
              <w:t>C</w:t>
            </w:r>
            <w:r w:rsidR="000E5405" w:rsidRPr="00B07E65">
              <w:rPr>
                <w:rFonts w:ascii="Arial Narrow" w:hAnsi="Arial Narrow"/>
                <w:sz w:val="20"/>
              </w:rPr>
              <w:t>ost of needles and syringes for IM MTX: $0.25</w:t>
            </w:r>
            <w:r w:rsidR="003E412C" w:rsidRPr="00B07E65">
              <w:rPr>
                <w:rFonts w:ascii="Arial Narrow" w:hAnsi="Arial Narrow"/>
                <w:sz w:val="20"/>
              </w:rPr>
              <w:t>.</w:t>
            </w:r>
          </w:p>
          <w:p w:rsidR="00EF03A6" w:rsidRPr="00B07E65" w:rsidRDefault="00CC0D19" w:rsidP="005E072F">
            <w:pPr>
              <w:pStyle w:val="Tabletext"/>
            </w:pPr>
            <w:r w:rsidRPr="00B07E65">
              <w:rPr>
                <w:b/>
              </w:rPr>
              <w:t>PBAC Comment</w:t>
            </w:r>
            <w:r w:rsidRPr="00B07E65">
              <w:t>:</w:t>
            </w:r>
            <w:r w:rsidR="007206E5" w:rsidRPr="00B07E65">
              <w:t xml:space="preserve"> Equivalent dosing considered appropriate.</w:t>
            </w:r>
            <w:r w:rsidRPr="00B07E65">
              <w:rPr>
                <w:color w:val="0000FF"/>
              </w:rPr>
              <w:t xml:space="preserve"> </w:t>
            </w:r>
            <w:r w:rsidR="00EF03A6" w:rsidRPr="00B07E65">
              <w:t>Inclusion of EFC MTX listings inappropriate. Overestimation of patien</w:t>
            </w:r>
            <w:r w:rsidR="00EF700D" w:rsidRPr="00B07E65">
              <w:t>ts suitable for self</w:t>
            </w:r>
            <w:r w:rsidR="00EF700D" w:rsidRPr="00B07E65">
              <w:noBreakHyphen/>
              <w:t xml:space="preserve">injection. </w:t>
            </w:r>
            <w:r w:rsidRPr="00B07E65">
              <w:t xml:space="preserve">PBAC requested a suitable estimate and sensitivity analyses. </w:t>
            </w:r>
            <w:r w:rsidR="005E072F" w:rsidRPr="00B07E65">
              <w:br/>
              <w:t xml:space="preserve">(Para 6.22, 6.35, 7.5, 7.7) </w:t>
            </w:r>
          </w:p>
        </w:tc>
        <w:tc>
          <w:tcPr>
            <w:tcW w:w="3525" w:type="dxa"/>
          </w:tcPr>
          <w:p w:rsidR="007206E5" w:rsidRPr="00B07E65" w:rsidRDefault="007206E5" w:rsidP="000E5405">
            <w:pPr>
              <w:jc w:val="left"/>
              <w:rPr>
                <w:rFonts w:ascii="Arial Narrow" w:hAnsi="Arial Narrow"/>
                <w:sz w:val="20"/>
              </w:rPr>
            </w:pPr>
            <w:r w:rsidRPr="00B07E65">
              <w:rPr>
                <w:rFonts w:ascii="Arial Narrow" w:hAnsi="Arial Narrow"/>
                <w:sz w:val="20"/>
              </w:rPr>
              <w:t xml:space="preserve">Cost-minimisation </w:t>
            </w:r>
            <w:r w:rsidR="000E5405" w:rsidRPr="00B07E65">
              <w:rPr>
                <w:rFonts w:ascii="Arial Narrow" w:hAnsi="Arial Narrow"/>
                <w:sz w:val="20"/>
              </w:rPr>
              <w:t>including administration costs</w:t>
            </w:r>
            <w:r w:rsidR="003E412C" w:rsidRPr="00B07E65">
              <w:rPr>
                <w:rFonts w:ascii="Arial Narrow" w:hAnsi="Arial Narrow"/>
                <w:sz w:val="20"/>
              </w:rPr>
              <w:t>:</w:t>
            </w:r>
          </w:p>
          <w:p w:rsidR="000E5405" w:rsidRPr="00B07E65" w:rsidRDefault="00EF700D" w:rsidP="00271C16">
            <w:pPr>
              <w:pStyle w:val="ListParagraph"/>
              <w:numPr>
                <w:ilvl w:val="0"/>
                <w:numId w:val="9"/>
              </w:numPr>
              <w:ind w:left="148" w:hanging="148"/>
              <w:jc w:val="left"/>
              <w:rPr>
                <w:rFonts w:ascii="Arial Narrow" w:hAnsi="Arial Narrow"/>
                <w:sz w:val="20"/>
              </w:rPr>
            </w:pPr>
            <w:r w:rsidRPr="00B07E65">
              <w:rPr>
                <w:rFonts w:ascii="Arial Narrow" w:hAnsi="Arial Narrow"/>
                <w:sz w:val="20"/>
              </w:rPr>
              <w:t>Equi-effective doses unchanged</w:t>
            </w:r>
            <w:r w:rsidR="003E412C" w:rsidRPr="00B07E65">
              <w:rPr>
                <w:rFonts w:ascii="Arial Narrow" w:hAnsi="Arial Narrow"/>
                <w:sz w:val="20"/>
              </w:rPr>
              <w:t>;</w:t>
            </w:r>
          </w:p>
          <w:p w:rsidR="00EF700D" w:rsidRPr="00B07E65" w:rsidRDefault="00EF700D" w:rsidP="00271C16">
            <w:pPr>
              <w:pStyle w:val="ListParagraph"/>
              <w:numPr>
                <w:ilvl w:val="0"/>
                <w:numId w:val="9"/>
              </w:numPr>
              <w:ind w:left="148" w:hanging="148"/>
              <w:jc w:val="left"/>
              <w:rPr>
                <w:rFonts w:ascii="Arial Narrow" w:hAnsi="Arial Narrow"/>
                <w:sz w:val="20"/>
              </w:rPr>
            </w:pPr>
            <w:r w:rsidRPr="00B07E65">
              <w:rPr>
                <w:rFonts w:ascii="Arial Narrow" w:hAnsi="Arial Narrow"/>
                <w:sz w:val="20"/>
              </w:rPr>
              <w:t>EFC items removed</w:t>
            </w:r>
            <w:r w:rsidR="003E412C" w:rsidRPr="00B07E65">
              <w:rPr>
                <w:rFonts w:ascii="Arial Narrow" w:hAnsi="Arial Narrow"/>
                <w:sz w:val="20"/>
              </w:rPr>
              <w:t>;</w:t>
            </w:r>
          </w:p>
          <w:p w:rsidR="00EF700D" w:rsidRPr="00B07E65" w:rsidRDefault="00EF700D" w:rsidP="00271C16">
            <w:pPr>
              <w:pStyle w:val="ListParagraph"/>
              <w:numPr>
                <w:ilvl w:val="0"/>
                <w:numId w:val="9"/>
              </w:numPr>
              <w:ind w:left="148" w:hanging="148"/>
              <w:jc w:val="left"/>
              <w:rPr>
                <w:rFonts w:ascii="Arial Narrow" w:hAnsi="Arial Narrow"/>
                <w:sz w:val="20"/>
              </w:rPr>
            </w:pPr>
            <w:r w:rsidRPr="00B07E65">
              <w:rPr>
                <w:rFonts w:ascii="Arial Narrow" w:hAnsi="Arial Narrow"/>
                <w:sz w:val="20"/>
              </w:rPr>
              <w:t xml:space="preserve">85.5% of patients </w:t>
            </w:r>
            <w:r w:rsidR="000E5405" w:rsidRPr="00B07E65">
              <w:rPr>
                <w:rFonts w:ascii="Arial Narrow" w:hAnsi="Arial Narrow"/>
                <w:sz w:val="20"/>
              </w:rPr>
              <w:t>would</w:t>
            </w:r>
            <w:r w:rsidRPr="00B07E65">
              <w:rPr>
                <w:rFonts w:ascii="Arial Narrow" w:hAnsi="Arial Narrow"/>
                <w:sz w:val="20"/>
              </w:rPr>
              <w:t xml:space="preserve"> self</w:t>
            </w:r>
            <w:r w:rsidRPr="00B07E65">
              <w:rPr>
                <w:rFonts w:ascii="Arial Narrow" w:hAnsi="Arial Narrow"/>
                <w:sz w:val="20"/>
              </w:rPr>
              <w:noBreakHyphen/>
              <w:t>inj</w:t>
            </w:r>
            <w:r w:rsidR="003E412C" w:rsidRPr="00B07E65">
              <w:rPr>
                <w:rFonts w:ascii="Arial Narrow" w:hAnsi="Arial Narrow"/>
                <w:sz w:val="20"/>
              </w:rPr>
              <w:t>ect based on clinician survey (N</w:t>
            </w:r>
            <w:r w:rsidRPr="00B07E65">
              <w:rPr>
                <w:rFonts w:ascii="Arial Narrow" w:hAnsi="Arial Narrow"/>
                <w:sz w:val="20"/>
              </w:rPr>
              <w:t>=48)</w:t>
            </w:r>
            <w:r w:rsidR="00BD1981" w:rsidRPr="00B07E65">
              <w:rPr>
                <w:rFonts w:ascii="Arial Narrow" w:hAnsi="Arial Narrow"/>
                <w:sz w:val="20"/>
              </w:rPr>
              <w:t>;</w:t>
            </w:r>
          </w:p>
          <w:p w:rsidR="00EF700D" w:rsidRPr="00B07E65" w:rsidRDefault="00EF700D" w:rsidP="00271C16">
            <w:pPr>
              <w:pStyle w:val="ListParagraph"/>
              <w:numPr>
                <w:ilvl w:val="0"/>
                <w:numId w:val="9"/>
              </w:numPr>
              <w:ind w:left="148" w:hanging="142"/>
              <w:jc w:val="left"/>
              <w:rPr>
                <w:rFonts w:ascii="Arial Narrow" w:hAnsi="Arial Narrow"/>
                <w:sz w:val="20"/>
              </w:rPr>
            </w:pPr>
            <w:r w:rsidRPr="00B07E65">
              <w:rPr>
                <w:rFonts w:ascii="Arial Narrow" w:hAnsi="Arial Narrow"/>
                <w:sz w:val="20"/>
              </w:rPr>
              <w:t>MBS Item 23 ($37.05) and $0.25 in supplies will be used for IM injection (unchanged)</w:t>
            </w:r>
            <w:r w:rsidR="003E412C" w:rsidRPr="00B07E65">
              <w:rPr>
                <w:rFonts w:ascii="Arial Narrow" w:hAnsi="Arial Narrow"/>
                <w:sz w:val="20"/>
              </w:rPr>
              <w:t>;</w:t>
            </w:r>
          </w:p>
          <w:p w:rsidR="001D112E" w:rsidRPr="00B07E65" w:rsidRDefault="00EF700D" w:rsidP="00271C16">
            <w:pPr>
              <w:pStyle w:val="ListParagraph"/>
              <w:numPr>
                <w:ilvl w:val="0"/>
                <w:numId w:val="9"/>
              </w:numPr>
              <w:ind w:left="148" w:hanging="142"/>
              <w:jc w:val="left"/>
              <w:rPr>
                <w:rFonts w:ascii="Arial Narrow" w:hAnsi="Arial Narrow"/>
                <w:sz w:val="20"/>
              </w:rPr>
            </w:pPr>
            <w:r w:rsidRPr="00B07E65">
              <w:rPr>
                <w:rFonts w:ascii="Arial Narrow" w:hAnsi="Arial Narrow"/>
                <w:sz w:val="20"/>
              </w:rPr>
              <w:t xml:space="preserve">Supplementary </w:t>
            </w:r>
            <w:r w:rsidR="00683E70" w:rsidRPr="00B07E65">
              <w:rPr>
                <w:rFonts w:ascii="Arial Narrow" w:hAnsi="Arial Narrow"/>
                <w:sz w:val="20"/>
              </w:rPr>
              <w:t xml:space="preserve">cost-utility analysis: SC MTX vs oral </w:t>
            </w:r>
            <w:r w:rsidR="000E5405" w:rsidRPr="00B07E65">
              <w:rPr>
                <w:rFonts w:ascii="Arial Narrow" w:hAnsi="Arial Narrow"/>
                <w:sz w:val="20"/>
              </w:rPr>
              <w:t>MTX</w:t>
            </w:r>
            <w:r w:rsidR="00683E70" w:rsidRPr="00B07E65">
              <w:rPr>
                <w:rFonts w:ascii="Arial Narrow" w:hAnsi="Arial Narrow"/>
                <w:sz w:val="20"/>
              </w:rPr>
              <w:t xml:space="preserve">. SC </w:t>
            </w:r>
            <w:r w:rsidR="000E5405" w:rsidRPr="00B07E65">
              <w:rPr>
                <w:rFonts w:ascii="Arial Narrow" w:hAnsi="Arial Narrow"/>
                <w:sz w:val="20"/>
              </w:rPr>
              <w:t xml:space="preserve">MTX </w:t>
            </w:r>
            <w:r w:rsidR="00683E70" w:rsidRPr="00B07E65">
              <w:rPr>
                <w:rFonts w:ascii="Arial Narrow" w:hAnsi="Arial Narrow"/>
                <w:sz w:val="20"/>
              </w:rPr>
              <w:t>dominant.</w:t>
            </w:r>
            <w:r w:rsidR="00746110" w:rsidRPr="00B07E65">
              <w:rPr>
                <w:rFonts w:ascii="Arial Narrow" w:hAnsi="Arial Narrow"/>
                <w:sz w:val="20"/>
              </w:rPr>
              <w:t xml:space="preserve"> </w:t>
            </w:r>
          </w:p>
        </w:tc>
      </w:tr>
      <w:tr w:rsidR="00CE3EF9" w:rsidRPr="00B07E65" w:rsidTr="00CE3EF9">
        <w:trPr>
          <w:cantSplit/>
          <w:trHeight w:val="497"/>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Number of patients</w:t>
            </w:r>
          </w:p>
        </w:tc>
        <w:tc>
          <w:tcPr>
            <w:tcW w:w="3640" w:type="dxa"/>
          </w:tcPr>
          <w:p w:rsidR="001D112E" w:rsidRPr="00B07E65" w:rsidRDefault="00E5571F" w:rsidP="00AA0A07">
            <w:pPr>
              <w:jc w:val="left"/>
              <w:rPr>
                <w:rFonts w:ascii="Arial Narrow" w:hAnsi="Arial Narrow"/>
                <w:sz w:val="20"/>
              </w:rPr>
            </w:pPr>
            <w:r w:rsidRPr="00B07E65">
              <w:rPr>
                <w:rFonts w:ascii="Arial Narrow" w:hAnsi="Arial Narrow"/>
                <w:sz w:val="20"/>
              </w:rPr>
              <w:t xml:space="preserve">No patient numbers calculated. </w:t>
            </w:r>
          </w:p>
        </w:tc>
        <w:tc>
          <w:tcPr>
            <w:tcW w:w="3525" w:type="dxa"/>
          </w:tcPr>
          <w:p w:rsidR="001D112E" w:rsidRPr="00B07E65" w:rsidRDefault="00E341ED" w:rsidP="00E341ED">
            <w:pPr>
              <w:jc w:val="left"/>
              <w:rPr>
                <w:rFonts w:ascii="Arial Narrow" w:hAnsi="Arial Narrow"/>
                <w:color w:val="0000FF"/>
                <w:sz w:val="20"/>
              </w:rPr>
            </w:pPr>
            <w:r>
              <w:rPr>
                <w:rFonts w:ascii="Arial Narrow" w:hAnsi="Arial Narrow"/>
                <w:sz w:val="20"/>
              </w:rPr>
              <w:t>Less than 10,000</w:t>
            </w:r>
            <w:r w:rsidR="00FB410D" w:rsidRPr="00B07E65">
              <w:rPr>
                <w:rFonts w:ascii="Arial Narrow" w:hAnsi="Arial Narrow"/>
                <w:sz w:val="20"/>
              </w:rPr>
              <w:t xml:space="preserve"> </w:t>
            </w:r>
            <w:r w:rsidR="001D112E" w:rsidRPr="00B07E65">
              <w:rPr>
                <w:rFonts w:ascii="Arial Narrow" w:hAnsi="Arial Narrow"/>
                <w:sz w:val="20"/>
              </w:rPr>
              <w:t xml:space="preserve">in Year 1 increasing to </w:t>
            </w:r>
            <w:r>
              <w:rPr>
                <w:rFonts w:ascii="Arial Narrow" w:hAnsi="Arial Narrow"/>
                <w:sz w:val="20"/>
              </w:rPr>
              <w:t>less than 10,000</w:t>
            </w:r>
            <w:r w:rsidR="00FB410D" w:rsidRPr="00B07E65">
              <w:rPr>
                <w:rFonts w:ascii="Arial Narrow" w:hAnsi="Arial Narrow"/>
                <w:sz w:val="20"/>
              </w:rPr>
              <w:t xml:space="preserve"> in</w:t>
            </w:r>
            <w:r w:rsidR="00E5571F" w:rsidRPr="00B07E65">
              <w:rPr>
                <w:rFonts w:ascii="Arial Narrow" w:hAnsi="Arial Narrow"/>
                <w:sz w:val="20"/>
              </w:rPr>
              <w:t xml:space="preserve"> Year </w:t>
            </w:r>
            <w:r w:rsidR="001D112E" w:rsidRPr="00B07E65">
              <w:rPr>
                <w:rFonts w:ascii="Arial Narrow" w:hAnsi="Arial Narrow"/>
                <w:sz w:val="20"/>
              </w:rPr>
              <w:t>5.</w:t>
            </w:r>
          </w:p>
        </w:tc>
      </w:tr>
      <w:tr w:rsidR="00CE3EF9" w:rsidRPr="00B07E65" w:rsidTr="00CE3EF9">
        <w:trPr>
          <w:cantSplit/>
          <w:trHeight w:val="497"/>
        </w:trPr>
        <w:tc>
          <w:tcPr>
            <w:tcW w:w="0" w:type="auto"/>
          </w:tcPr>
          <w:p w:rsidR="00683E70" w:rsidRPr="00B07E65" w:rsidRDefault="003E412C" w:rsidP="00AA0A07">
            <w:pPr>
              <w:jc w:val="left"/>
              <w:rPr>
                <w:rFonts w:ascii="Arial Narrow" w:hAnsi="Arial Narrow"/>
                <w:sz w:val="20"/>
              </w:rPr>
            </w:pPr>
            <w:r w:rsidRPr="00B07E65">
              <w:rPr>
                <w:rFonts w:ascii="Arial Narrow" w:hAnsi="Arial Narrow"/>
                <w:sz w:val="20"/>
              </w:rPr>
              <w:t>Number of prescriptions</w:t>
            </w:r>
            <w:r w:rsidR="00683E70" w:rsidRPr="00B07E65">
              <w:rPr>
                <w:rFonts w:ascii="Arial Narrow" w:hAnsi="Arial Narrow"/>
                <w:sz w:val="20"/>
              </w:rPr>
              <w:t xml:space="preserve"> </w:t>
            </w:r>
          </w:p>
        </w:tc>
        <w:tc>
          <w:tcPr>
            <w:tcW w:w="3640" w:type="dxa"/>
          </w:tcPr>
          <w:p w:rsidR="00683E70" w:rsidRPr="00B07E65" w:rsidRDefault="007F5744" w:rsidP="007F5744">
            <w:pPr>
              <w:jc w:val="left"/>
              <w:rPr>
                <w:rFonts w:ascii="Arial Narrow" w:hAnsi="Arial Narrow"/>
                <w:sz w:val="20"/>
              </w:rPr>
            </w:pPr>
            <w:r>
              <w:rPr>
                <w:rFonts w:ascii="Arial Narrow" w:hAnsi="Arial Narrow"/>
                <w:sz w:val="20"/>
              </w:rPr>
              <w:t>Less than 10,000</w:t>
            </w:r>
            <w:r w:rsidR="00683E70" w:rsidRPr="00B07E65">
              <w:rPr>
                <w:rFonts w:ascii="Arial Narrow" w:hAnsi="Arial Narrow"/>
                <w:sz w:val="20"/>
              </w:rPr>
              <w:t xml:space="preserve"> in Year 1 increasing to </w:t>
            </w:r>
            <w:r>
              <w:rPr>
                <w:rFonts w:ascii="Arial Narrow" w:hAnsi="Arial Narrow"/>
                <w:sz w:val="20"/>
              </w:rPr>
              <w:t>less than 10,000</w:t>
            </w:r>
            <w:r w:rsidR="00683E70" w:rsidRPr="00B07E65">
              <w:rPr>
                <w:rFonts w:ascii="Arial Narrow" w:hAnsi="Arial Narrow"/>
                <w:sz w:val="20"/>
              </w:rPr>
              <w:t xml:space="preserve"> in Year 5</w:t>
            </w:r>
            <w:r w:rsidR="000E5405" w:rsidRPr="00B07E65">
              <w:rPr>
                <w:rFonts w:ascii="Arial Narrow" w:hAnsi="Arial Narrow"/>
                <w:sz w:val="20"/>
              </w:rPr>
              <w:t>, based on market share approach</w:t>
            </w:r>
            <w:r w:rsidR="00683E70" w:rsidRPr="00B07E65">
              <w:rPr>
                <w:rFonts w:ascii="Arial Narrow" w:hAnsi="Arial Narrow"/>
                <w:sz w:val="20"/>
              </w:rPr>
              <w:t>.</w:t>
            </w:r>
          </w:p>
        </w:tc>
        <w:tc>
          <w:tcPr>
            <w:tcW w:w="3525" w:type="dxa"/>
          </w:tcPr>
          <w:p w:rsidR="000E5405" w:rsidRPr="00B07E65" w:rsidRDefault="007F5744" w:rsidP="007F5744">
            <w:pPr>
              <w:jc w:val="left"/>
              <w:rPr>
                <w:rFonts w:ascii="Arial Narrow" w:hAnsi="Arial Narrow"/>
                <w:sz w:val="20"/>
              </w:rPr>
            </w:pPr>
            <w:r>
              <w:rPr>
                <w:rFonts w:ascii="Arial Narrow" w:hAnsi="Arial Narrow"/>
                <w:sz w:val="20"/>
              </w:rPr>
              <w:t>10,000 – 50,000</w:t>
            </w:r>
            <w:r w:rsidR="00683E70" w:rsidRPr="00B07E65">
              <w:rPr>
                <w:rFonts w:ascii="Arial Narrow" w:hAnsi="Arial Narrow"/>
                <w:sz w:val="20"/>
              </w:rPr>
              <w:t xml:space="preserve"> in Year 1 increasing to </w:t>
            </w:r>
            <w:r>
              <w:rPr>
                <w:rFonts w:ascii="Arial Narrow" w:hAnsi="Arial Narrow"/>
                <w:sz w:val="20"/>
              </w:rPr>
              <w:t>10,000 – 50,000</w:t>
            </w:r>
            <w:r w:rsidR="00683E70" w:rsidRPr="00B07E65">
              <w:rPr>
                <w:rFonts w:ascii="Arial Narrow" w:hAnsi="Arial Narrow"/>
                <w:sz w:val="20"/>
              </w:rPr>
              <w:t xml:space="preserve"> in Year 5</w:t>
            </w:r>
            <w:r w:rsidR="000E5405" w:rsidRPr="00B07E65">
              <w:rPr>
                <w:rFonts w:ascii="Arial Narrow" w:hAnsi="Arial Narrow"/>
                <w:sz w:val="20"/>
              </w:rPr>
              <w:t>, based on epidemiological approach.</w:t>
            </w:r>
          </w:p>
        </w:tc>
      </w:tr>
      <w:tr w:rsidR="00CE3EF9" w:rsidRPr="00B07E65" w:rsidTr="00CE3EF9">
        <w:trPr>
          <w:cantSplit/>
          <w:trHeight w:val="1080"/>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t xml:space="preserve">Estimated </w:t>
            </w:r>
            <w:r w:rsidR="00E77FDA" w:rsidRPr="00B07E65">
              <w:rPr>
                <w:rFonts w:ascii="Arial Narrow" w:hAnsi="Arial Narrow"/>
                <w:sz w:val="20"/>
              </w:rPr>
              <w:t xml:space="preserve">total </w:t>
            </w:r>
            <w:r w:rsidRPr="00B07E65">
              <w:rPr>
                <w:rFonts w:ascii="Arial Narrow" w:hAnsi="Arial Narrow"/>
                <w:sz w:val="20"/>
              </w:rPr>
              <w:t>cost to PBS</w:t>
            </w:r>
            <w:r w:rsidR="00EA34A7" w:rsidRPr="00B07E65">
              <w:rPr>
                <w:rFonts w:ascii="Arial Narrow" w:hAnsi="Arial Narrow"/>
                <w:sz w:val="20"/>
              </w:rPr>
              <w:t>/RPBS (net)</w:t>
            </w:r>
          </w:p>
        </w:tc>
        <w:tc>
          <w:tcPr>
            <w:tcW w:w="3640" w:type="dxa"/>
          </w:tcPr>
          <w:p w:rsidR="001D112E" w:rsidRPr="00B07E65" w:rsidRDefault="007F5744" w:rsidP="00AA0A07">
            <w:pPr>
              <w:jc w:val="left"/>
              <w:rPr>
                <w:rFonts w:ascii="Arial Narrow" w:hAnsi="Arial Narrow"/>
                <w:sz w:val="20"/>
              </w:rPr>
            </w:pPr>
            <w:r>
              <w:rPr>
                <w:rFonts w:ascii="Arial Narrow" w:hAnsi="Arial Narrow"/>
                <w:sz w:val="20"/>
              </w:rPr>
              <w:t xml:space="preserve">Less than </w:t>
            </w:r>
            <w:r w:rsidR="00E5571F" w:rsidRPr="00B07E65">
              <w:rPr>
                <w:rFonts w:ascii="Arial Narrow" w:hAnsi="Arial Narrow"/>
                <w:sz w:val="20"/>
              </w:rPr>
              <w:t>$</w:t>
            </w:r>
            <w:r>
              <w:rPr>
                <w:rFonts w:ascii="Arial Narrow" w:hAnsi="Arial Narrow"/>
                <w:sz w:val="20"/>
              </w:rPr>
              <w:t>10 million</w:t>
            </w:r>
            <w:r w:rsidR="00E5571F" w:rsidRPr="00B07E65">
              <w:rPr>
                <w:rFonts w:ascii="Arial Narrow" w:hAnsi="Arial Narrow"/>
                <w:sz w:val="20"/>
              </w:rPr>
              <w:t xml:space="preserve"> </w:t>
            </w:r>
            <w:r w:rsidR="00D430E2" w:rsidRPr="00B07E65">
              <w:rPr>
                <w:rFonts w:ascii="Arial Narrow" w:hAnsi="Arial Narrow"/>
                <w:sz w:val="20"/>
              </w:rPr>
              <w:t xml:space="preserve">in Year 1 increasing to </w:t>
            </w:r>
            <w:r>
              <w:rPr>
                <w:rFonts w:ascii="Arial Narrow" w:hAnsi="Arial Narrow"/>
                <w:sz w:val="20"/>
              </w:rPr>
              <w:t xml:space="preserve">less than </w:t>
            </w:r>
            <w:r w:rsidR="00E5571F" w:rsidRPr="00B07E65">
              <w:rPr>
                <w:rFonts w:ascii="Arial Narrow" w:hAnsi="Arial Narrow"/>
                <w:sz w:val="20"/>
              </w:rPr>
              <w:t>$</w:t>
            </w:r>
            <w:r>
              <w:rPr>
                <w:rFonts w:ascii="Arial Narrow" w:hAnsi="Arial Narrow"/>
                <w:sz w:val="20"/>
              </w:rPr>
              <w:t>10 million</w:t>
            </w:r>
            <w:r w:rsidR="00E5571F" w:rsidRPr="00B07E65">
              <w:rPr>
                <w:rFonts w:ascii="Arial Narrow" w:hAnsi="Arial Narrow"/>
                <w:sz w:val="20"/>
              </w:rPr>
              <w:t xml:space="preserve"> </w:t>
            </w:r>
            <w:r w:rsidR="003C571A" w:rsidRPr="00B07E65">
              <w:rPr>
                <w:rFonts w:ascii="Arial Narrow" w:hAnsi="Arial Narrow"/>
                <w:sz w:val="20"/>
              </w:rPr>
              <w:t>in Year </w:t>
            </w:r>
            <w:r w:rsidR="001D112E" w:rsidRPr="00B07E65">
              <w:rPr>
                <w:rFonts w:ascii="Arial Narrow" w:hAnsi="Arial Narrow"/>
                <w:sz w:val="20"/>
              </w:rPr>
              <w:t>5 for a to</w:t>
            </w:r>
            <w:r w:rsidR="00D430E2" w:rsidRPr="00B07E65">
              <w:rPr>
                <w:rFonts w:ascii="Arial Narrow" w:hAnsi="Arial Narrow"/>
                <w:sz w:val="20"/>
              </w:rPr>
              <w:t xml:space="preserve">tal of </w:t>
            </w:r>
            <w:r>
              <w:rPr>
                <w:rFonts w:ascii="Arial Narrow" w:hAnsi="Arial Narrow"/>
                <w:sz w:val="20"/>
              </w:rPr>
              <w:t xml:space="preserve">less than </w:t>
            </w:r>
            <w:r w:rsidR="00D430E2" w:rsidRPr="00B07E65">
              <w:rPr>
                <w:rFonts w:ascii="Arial Narrow" w:hAnsi="Arial Narrow"/>
                <w:sz w:val="20"/>
              </w:rPr>
              <w:t>$</w:t>
            </w:r>
            <w:r>
              <w:rPr>
                <w:rFonts w:ascii="Arial Narrow" w:hAnsi="Arial Narrow"/>
                <w:sz w:val="20"/>
              </w:rPr>
              <w:t>10</w:t>
            </w:r>
            <w:r w:rsidR="00D430E2" w:rsidRPr="00B07E65">
              <w:rPr>
                <w:rFonts w:ascii="Arial Narrow" w:hAnsi="Arial Narrow"/>
                <w:sz w:val="20"/>
              </w:rPr>
              <w:t xml:space="preserve"> million </w:t>
            </w:r>
            <w:r w:rsidR="001D112E" w:rsidRPr="00B07E65">
              <w:rPr>
                <w:rFonts w:ascii="Arial Narrow" w:hAnsi="Arial Narrow"/>
                <w:sz w:val="20"/>
              </w:rPr>
              <w:t>over the first 5 years of listing.</w:t>
            </w:r>
            <w:r w:rsidR="00E5571F" w:rsidRPr="00B07E65">
              <w:rPr>
                <w:rFonts w:ascii="Arial Narrow" w:hAnsi="Arial Narrow"/>
                <w:sz w:val="20"/>
              </w:rPr>
              <w:t xml:space="preserve"> </w:t>
            </w:r>
          </w:p>
          <w:p w:rsidR="00214094" w:rsidRPr="00B07E65" w:rsidRDefault="001D112E" w:rsidP="000E5405">
            <w:pPr>
              <w:pStyle w:val="Tabletext"/>
            </w:pPr>
            <w:r w:rsidRPr="00B07E65">
              <w:rPr>
                <w:b/>
              </w:rPr>
              <w:t>PBAC Comment</w:t>
            </w:r>
            <w:r w:rsidR="00D430E2" w:rsidRPr="00B07E65">
              <w:rPr>
                <w:b/>
              </w:rPr>
              <w:t>:</w:t>
            </w:r>
            <w:r w:rsidR="00D430E2" w:rsidRPr="00B07E65">
              <w:t xml:space="preserve"> There is a substantial risk of leakage outside requested indications. </w:t>
            </w:r>
            <w:r w:rsidR="00956FF7" w:rsidRPr="00B07E65">
              <w:t>A r</w:t>
            </w:r>
            <w:r w:rsidR="00D430E2" w:rsidRPr="00B07E65">
              <w:t xml:space="preserve">isk share </w:t>
            </w:r>
            <w:r w:rsidR="00956FF7" w:rsidRPr="00B07E65">
              <w:t>arrangement would be needed</w:t>
            </w:r>
            <w:r w:rsidR="00D430E2" w:rsidRPr="00B07E65">
              <w:t xml:space="preserve"> to mitigate costs</w:t>
            </w:r>
            <w:r w:rsidR="00E5571F" w:rsidRPr="00B07E65">
              <w:t>.</w:t>
            </w:r>
            <w:r w:rsidR="005E072F" w:rsidRPr="00B07E65">
              <w:t xml:space="preserve"> (Para 7.8)</w:t>
            </w:r>
          </w:p>
        </w:tc>
        <w:tc>
          <w:tcPr>
            <w:tcW w:w="3525" w:type="dxa"/>
          </w:tcPr>
          <w:p w:rsidR="001D112E" w:rsidRPr="00B07E65" w:rsidRDefault="007F5744" w:rsidP="00E5571F">
            <w:pPr>
              <w:jc w:val="left"/>
              <w:rPr>
                <w:rFonts w:ascii="Arial Narrow" w:hAnsi="Arial Narrow"/>
                <w:sz w:val="20"/>
              </w:rPr>
            </w:pPr>
            <w:r>
              <w:rPr>
                <w:rFonts w:ascii="Arial Narrow" w:hAnsi="Arial Narrow"/>
                <w:sz w:val="20"/>
              </w:rPr>
              <w:t xml:space="preserve">Less than </w:t>
            </w:r>
            <w:r w:rsidR="003C571A" w:rsidRPr="00B07E65">
              <w:rPr>
                <w:rFonts w:ascii="Arial Narrow" w:hAnsi="Arial Narrow"/>
                <w:sz w:val="20"/>
              </w:rPr>
              <w:t>$</w:t>
            </w:r>
            <w:r>
              <w:rPr>
                <w:rFonts w:ascii="Arial Narrow" w:hAnsi="Arial Narrow"/>
                <w:sz w:val="20"/>
              </w:rPr>
              <w:t>10</w:t>
            </w:r>
            <w:r w:rsidR="00E77FDA" w:rsidRPr="00B07E65">
              <w:rPr>
                <w:rFonts w:ascii="Arial Narrow" w:hAnsi="Arial Narrow"/>
                <w:sz w:val="20"/>
              </w:rPr>
              <w:t xml:space="preserve"> million </w:t>
            </w:r>
            <w:r w:rsidR="001D112E" w:rsidRPr="00B07E65">
              <w:rPr>
                <w:rFonts w:ascii="Arial Narrow" w:hAnsi="Arial Narrow"/>
                <w:sz w:val="20"/>
              </w:rPr>
              <w:t xml:space="preserve">in Year 1 increasing to </w:t>
            </w:r>
            <w:r>
              <w:rPr>
                <w:rFonts w:ascii="Arial Narrow" w:hAnsi="Arial Narrow"/>
                <w:sz w:val="20"/>
              </w:rPr>
              <w:t xml:space="preserve">less than </w:t>
            </w:r>
            <w:r w:rsidR="003C571A" w:rsidRPr="00B07E65">
              <w:rPr>
                <w:rFonts w:ascii="Arial Narrow" w:hAnsi="Arial Narrow"/>
                <w:sz w:val="20"/>
              </w:rPr>
              <w:t>$</w:t>
            </w:r>
            <w:r>
              <w:rPr>
                <w:rFonts w:ascii="Arial Narrow" w:hAnsi="Arial Narrow"/>
                <w:sz w:val="20"/>
              </w:rPr>
              <w:t>10</w:t>
            </w:r>
            <w:r w:rsidR="00E77FDA" w:rsidRPr="00B07E65">
              <w:rPr>
                <w:rFonts w:ascii="Arial Narrow" w:hAnsi="Arial Narrow"/>
                <w:sz w:val="20"/>
              </w:rPr>
              <w:t xml:space="preserve"> million </w:t>
            </w:r>
            <w:r w:rsidR="001D112E" w:rsidRPr="00B07E65">
              <w:rPr>
                <w:rFonts w:ascii="Arial Narrow" w:hAnsi="Arial Narrow"/>
                <w:sz w:val="20"/>
              </w:rPr>
              <w:t>i</w:t>
            </w:r>
            <w:r w:rsidR="00FB410D" w:rsidRPr="00B07E65">
              <w:rPr>
                <w:rFonts w:ascii="Arial Narrow" w:hAnsi="Arial Narrow"/>
                <w:sz w:val="20"/>
              </w:rPr>
              <w:t>n Year 5 for a total of $</w:t>
            </w:r>
            <w:r>
              <w:rPr>
                <w:rFonts w:ascii="Arial Narrow" w:hAnsi="Arial Narrow"/>
                <w:sz w:val="20"/>
              </w:rPr>
              <w:t>10 - 20</w:t>
            </w:r>
            <w:r w:rsidR="003C571A" w:rsidRPr="00B07E65">
              <w:rPr>
                <w:rFonts w:ascii="Arial Narrow" w:hAnsi="Arial Narrow"/>
                <w:sz w:val="20"/>
              </w:rPr>
              <w:t> </w:t>
            </w:r>
            <w:r w:rsidR="00E5571F" w:rsidRPr="00B07E65">
              <w:rPr>
                <w:rFonts w:ascii="Arial Narrow" w:hAnsi="Arial Narrow"/>
                <w:sz w:val="20"/>
              </w:rPr>
              <w:t>million</w:t>
            </w:r>
            <w:r w:rsidR="00FB410D" w:rsidRPr="00B07E65">
              <w:rPr>
                <w:rFonts w:ascii="Arial Narrow" w:hAnsi="Arial Narrow"/>
                <w:sz w:val="20"/>
              </w:rPr>
              <w:t xml:space="preserve"> over</w:t>
            </w:r>
            <w:r w:rsidR="001D112E" w:rsidRPr="00B07E65">
              <w:rPr>
                <w:rFonts w:ascii="Arial Narrow" w:hAnsi="Arial Narrow"/>
                <w:sz w:val="20"/>
              </w:rPr>
              <w:t xml:space="preserve"> the first 5 years of listing</w:t>
            </w:r>
            <w:r w:rsidR="0071684D" w:rsidRPr="00B07E65">
              <w:rPr>
                <w:rFonts w:ascii="Arial Narrow" w:hAnsi="Arial Narrow"/>
                <w:sz w:val="20"/>
              </w:rPr>
              <w:t xml:space="preserve"> (updated for corrected DPMQ during the evaluation</w:t>
            </w:r>
            <w:r w:rsidR="000C23CE" w:rsidRPr="00B07E65">
              <w:rPr>
                <w:rFonts w:ascii="Arial Narrow" w:hAnsi="Arial Narrow"/>
                <w:sz w:val="20"/>
              </w:rPr>
              <w:t>)</w:t>
            </w:r>
            <w:r w:rsidR="001D112E" w:rsidRPr="00B07E65">
              <w:rPr>
                <w:rFonts w:ascii="Arial Narrow" w:hAnsi="Arial Narrow"/>
                <w:sz w:val="20"/>
              </w:rPr>
              <w:t>.</w:t>
            </w:r>
            <w:r w:rsidR="0071684D" w:rsidRPr="00B07E65">
              <w:rPr>
                <w:rFonts w:ascii="Arial Narrow" w:hAnsi="Arial Narrow"/>
                <w:sz w:val="20"/>
              </w:rPr>
              <w:t xml:space="preserve"> </w:t>
            </w:r>
          </w:p>
          <w:p w:rsidR="00956FF7" w:rsidRPr="00B07E65" w:rsidRDefault="00956FF7" w:rsidP="000E5405">
            <w:pPr>
              <w:jc w:val="left"/>
              <w:rPr>
                <w:rFonts w:ascii="Arial Narrow" w:hAnsi="Arial Narrow"/>
                <w:color w:val="0000FF"/>
                <w:sz w:val="20"/>
              </w:rPr>
            </w:pPr>
            <w:r w:rsidRPr="00B07E65">
              <w:rPr>
                <w:rFonts w:ascii="Arial Narrow" w:hAnsi="Arial Narrow"/>
                <w:sz w:val="20"/>
              </w:rPr>
              <w:t xml:space="preserve">Increase in costs </w:t>
            </w:r>
            <w:r w:rsidR="000E5405" w:rsidRPr="00B07E65">
              <w:rPr>
                <w:rFonts w:ascii="Arial Narrow" w:hAnsi="Arial Narrow"/>
                <w:sz w:val="20"/>
              </w:rPr>
              <w:t xml:space="preserve">was </w:t>
            </w:r>
            <w:r w:rsidRPr="00B07E65">
              <w:rPr>
                <w:rFonts w:ascii="Arial Narrow" w:hAnsi="Arial Narrow"/>
                <w:sz w:val="20"/>
              </w:rPr>
              <w:t xml:space="preserve">due to </w:t>
            </w:r>
            <w:r w:rsidR="00510C6C" w:rsidRPr="00B07E65">
              <w:rPr>
                <w:rFonts w:ascii="Arial Narrow" w:hAnsi="Arial Narrow"/>
                <w:sz w:val="20"/>
              </w:rPr>
              <w:t xml:space="preserve">epidemiological method resulting in larger number of estimated prescriptions compared to predominantly market share approach in </w:t>
            </w:r>
            <w:r w:rsidR="000E5405" w:rsidRPr="00B07E65">
              <w:rPr>
                <w:rFonts w:ascii="Arial Narrow" w:hAnsi="Arial Narrow"/>
                <w:sz w:val="20"/>
              </w:rPr>
              <w:t xml:space="preserve">previous </w:t>
            </w:r>
            <w:r w:rsidR="00510C6C" w:rsidRPr="00B07E65">
              <w:rPr>
                <w:rFonts w:ascii="Arial Narrow" w:hAnsi="Arial Narrow"/>
                <w:sz w:val="20"/>
              </w:rPr>
              <w:t xml:space="preserve">submission. </w:t>
            </w:r>
          </w:p>
        </w:tc>
      </w:tr>
      <w:tr w:rsidR="00CE3EF9" w:rsidRPr="00B07E65" w:rsidTr="00CE3EF9">
        <w:trPr>
          <w:cantSplit/>
          <w:trHeight w:val="438"/>
        </w:trPr>
        <w:tc>
          <w:tcPr>
            <w:tcW w:w="0" w:type="auto"/>
          </w:tcPr>
          <w:p w:rsidR="001D112E" w:rsidRPr="00B07E65" w:rsidRDefault="001D112E" w:rsidP="00AA0A07">
            <w:pPr>
              <w:jc w:val="left"/>
              <w:rPr>
                <w:rFonts w:ascii="Arial Narrow" w:hAnsi="Arial Narrow"/>
                <w:sz w:val="20"/>
              </w:rPr>
            </w:pPr>
            <w:r w:rsidRPr="00B07E65">
              <w:rPr>
                <w:rFonts w:ascii="Arial Narrow" w:hAnsi="Arial Narrow"/>
                <w:sz w:val="20"/>
              </w:rPr>
              <w:br w:type="page"/>
              <w:t>PBAC decision</w:t>
            </w:r>
          </w:p>
        </w:tc>
        <w:tc>
          <w:tcPr>
            <w:tcW w:w="3640" w:type="dxa"/>
          </w:tcPr>
          <w:p w:rsidR="001D112E" w:rsidRPr="00B07E65" w:rsidRDefault="0040724F" w:rsidP="000E5405">
            <w:pPr>
              <w:jc w:val="left"/>
              <w:rPr>
                <w:rFonts w:ascii="Arial Narrow" w:hAnsi="Arial Narrow"/>
                <w:sz w:val="20"/>
              </w:rPr>
            </w:pPr>
            <w:r w:rsidRPr="00B07E65">
              <w:rPr>
                <w:rFonts w:ascii="Arial Narrow" w:hAnsi="Arial Narrow"/>
                <w:sz w:val="20"/>
              </w:rPr>
              <w:t>•Reject. Future submission should clarify proportion of patients who will self</w:t>
            </w:r>
            <w:r w:rsidRPr="00B07E65">
              <w:rPr>
                <w:rFonts w:ascii="Arial Narrow" w:hAnsi="Arial Narrow"/>
                <w:sz w:val="20"/>
              </w:rPr>
              <w:noBreakHyphen/>
              <w:t>administer and address health and safety concerns with self</w:t>
            </w:r>
            <w:r w:rsidRPr="00B07E65">
              <w:rPr>
                <w:rFonts w:ascii="Arial Narrow" w:hAnsi="Arial Narrow"/>
                <w:sz w:val="20"/>
              </w:rPr>
              <w:noBreakHyphen/>
              <w:t xml:space="preserve">administration. </w:t>
            </w:r>
            <w:r w:rsidR="005E072F" w:rsidRPr="00B07E65">
              <w:rPr>
                <w:rFonts w:ascii="Arial Narrow" w:hAnsi="Arial Narrow"/>
                <w:sz w:val="20"/>
              </w:rPr>
              <w:t>(Para 7.9)</w:t>
            </w:r>
          </w:p>
        </w:tc>
        <w:tc>
          <w:tcPr>
            <w:tcW w:w="3525" w:type="dxa"/>
          </w:tcPr>
          <w:p w:rsidR="001D112E" w:rsidRPr="00B07E65" w:rsidRDefault="001D112E" w:rsidP="003E412C">
            <w:pPr>
              <w:jc w:val="left"/>
              <w:rPr>
                <w:rFonts w:ascii="Arial Narrow" w:hAnsi="Arial Narrow"/>
                <w:color w:val="0000FF"/>
                <w:sz w:val="20"/>
              </w:rPr>
            </w:pPr>
            <w:r w:rsidRPr="00B07E65">
              <w:rPr>
                <w:rFonts w:ascii="Arial Narrow" w:hAnsi="Arial Narrow"/>
                <w:sz w:val="20"/>
              </w:rPr>
              <w:t>-</w:t>
            </w:r>
          </w:p>
        </w:tc>
      </w:tr>
    </w:tbl>
    <w:p w:rsidR="00B60939" w:rsidRPr="00B07E65" w:rsidRDefault="001D112E" w:rsidP="00F338FF">
      <w:pPr>
        <w:pStyle w:val="TableFooter"/>
        <w:ind w:firstLine="720"/>
      </w:pPr>
      <w:r w:rsidRPr="00B07E65">
        <w:t>Source: Compiled during the evaluation</w:t>
      </w:r>
    </w:p>
    <w:p w:rsidR="00956FF7" w:rsidRPr="00B07E65" w:rsidRDefault="003E412C" w:rsidP="00E5571F">
      <w:pPr>
        <w:pStyle w:val="TableFooter"/>
        <w:ind w:left="720"/>
        <w:rPr>
          <w:szCs w:val="22"/>
        </w:rPr>
      </w:pPr>
      <w:r w:rsidRPr="00B07E65">
        <w:rPr>
          <w:szCs w:val="22"/>
        </w:rPr>
        <w:t xml:space="preserve">ACPM = Advisory Committee of Prescription Medicines; </w:t>
      </w:r>
      <w:r w:rsidR="00180543" w:rsidRPr="00B07E65">
        <w:rPr>
          <w:szCs w:val="22"/>
        </w:rPr>
        <w:t>AUC</w:t>
      </w:r>
      <w:r w:rsidR="007A7ADB" w:rsidRPr="00B07E65">
        <w:rPr>
          <w:szCs w:val="22"/>
        </w:rPr>
        <w:t xml:space="preserve"> </w:t>
      </w:r>
      <w:r w:rsidR="00956FF7" w:rsidRPr="00B07E65">
        <w:rPr>
          <w:szCs w:val="22"/>
        </w:rPr>
        <w:t>=</w:t>
      </w:r>
      <w:r w:rsidR="00180543" w:rsidRPr="00B07E65">
        <w:rPr>
          <w:szCs w:val="22"/>
        </w:rPr>
        <w:t xml:space="preserve"> area under the plasma concentration time curve; </w:t>
      </w:r>
      <w:proofErr w:type="spellStart"/>
      <w:r w:rsidR="00180543" w:rsidRPr="00B07E65">
        <w:rPr>
          <w:szCs w:val="22"/>
        </w:rPr>
        <w:t>C</w:t>
      </w:r>
      <w:r w:rsidR="00180543" w:rsidRPr="00B07E65">
        <w:rPr>
          <w:szCs w:val="22"/>
          <w:vertAlign w:val="subscript"/>
        </w:rPr>
        <w:t>max</w:t>
      </w:r>
      <w:proofErr w:type="spellEnd"/>
      <w:r w:rsidR="00956FF7" w:rsidRPr="00B07E65">
        <w:rPr>
          <w:szCs w:val="22"/>
        </w:rPr>
        <w:t xml:space="preserve"> =</w:t>
      </w:r>
      <w:r w:rsidR="00180543" w:rsidRPr="00B07E65">
        <w:rPr>
          <w:szCs w:val="22"/>
        </w:rPr>
        <w:t xml:space="preserve"> maximum plasma concentration; CI</w:t>
      </w:r>
      <w:r w:rsidR="00956FF7" w:rsidRPr="00B07E65">
        <w:rPr>
          <w:szCs w:val="22"/>
        </w:rPr>
        <w:t xml:space="preserve"> =</w:t>
      </w:r>
      <w:r w:rsidR="00180543" w:rsidRPr="00B07E65">
        <w:rPr>
          <w:szCs w:val="22"/>
        </w:rPr>
        <w:t xml:space="preserve"> confidence interval;</w:t>
      </w:r>
      <w:r w:rsidR="00E5571F" w:rsidRPr="00B07E65">
        <w:rPr>
          <w:szCs w:val="22"/>
        </w:rPr>
        <w:t xml:space="preserve"> </w:t>
      </w:r>
      <w:r w:rsidR="00956FF7" w:rsidRPr="00B07E65">
        <w:rPr>
          <w:szCs w:val="22"/>
        </w:rPr>
        <w:t xml:space="preserve">DPMQ = dispensed price </w:t>
      </w:r>
      <w:r w:rsidR="006B3087" w:rsidRPr="00B07E65">
        <w:rPr>
          <w:szCs w:val="22"/>
        </w:rPr>
        <w:t xml:space="preserve">for </w:t>
      </w:r>
      <w:r w:rsidR="00956FF7" w:rsidRPr="00B07E65">
        <w:rPr>
          <w:szCs w:val="22"/>
        </w:rPr>
        <w:t xml:space="preserve">maximum quantity; </w:t>
      </w:r>
      <w:r w:rsidR="007D21C8" w:rsidRPr="00B07E65">
        <w:rPr>
          <w:szCs w:val="22"/>
        </w:rPr>
        <w:t xml:space="preserve">EFC = </w:t>
      </w:r>
      <w:r w:rsidR="00510C6C" w:rsidRPr="00B07E65">
        <w:rPr>
          <w:szCs w:val="22"/>
        </w:rPr>
        <w:t xml:space="preserve">Efficient Funding of Chemotherapy; IM = intramuscular; MBS = Medicare Benefits Schedule; </w:t>
      </w:r>
      <w:r w:rsidR="00956FF7" w:rsidRPr="00B07E65">
        <w:rPr>
          <w:szCs w:val="22"/>
        </w:rPr>
        <w:t>MTX = methotrexate</w:t>
      </w:r>
      <w:r w:rsidR="00510C6C" w:rsidRPr="00B07E65">
        <w:rPr>
          <w:szCs w:val="22"/>
        </w:rPr>
        <w:t xml:space="preserve">; Para = paragraph; </w:t>
      </w:r>
      <w:r w:rsidRPr="00B07E65">
        <w:rPr>
          <w:szCs w:val="22"/>
        </w:rPr>
        <w:t xml:space="preserve">PBAC = Pharmaceutical Benefits Advisory Committee; PBS = Pharmaceutical Benefits Scheme; QUM = quality use of medicines; </w:t>
      </w:r>
      <w:r w:rsidR="00510C6C" w:rsidRPr="00B07E65">
        <w:rPr>
          <w:szCs w:val="22"/>
        </w:rPr>
        <w:t>SC</w:t>
      </w:r>
      <w:r w:rsidR="007A7ADB" w:rsidRPr="00B07E65">
        <w:rPr>
          <w:szCs w:val="22"/>
        </w:rPr>
        <w:t xml:space="preserve"> </w:t>
      </w:r>
      <w:r w:rsidRPr="00B07E65">
        <w:rPr>
          <w:szCs w:val="22"/>
        </w:rPr>
        <w:t>= subcutaneous; TGA = Therapeutic Goods Administration; vs = versus</w:t>
      </w:r>
    </w:p>
    <w:p w:rsidR="00180543" w:rsidRPr="00B07E65" w:rsidRDefault="00180543" w:rsidP="00E5571F">
      <w:pPr>
        <w:pStyle w:val="TableFooter"/>
        <w:ind w:left="720"/>
      </w:pPr>
    </w:p>
    <w:p w:rsidR="00D266AF" w:rsidRPr="00B07E65" w:rsidRDefault="00D266AF" w:rsidP="00D266AF">
      <w:pPr>
        <w:ind w:firstLine="720"/>
        <w:rPr>
          <w:bCs/>
          <w:szCs w:val="22"/>
        </w:rPr>
      </w:pPr>
      <w:r w:rsidRPr="00B07E65">
        <w:rPr>
          <w:bCs/>
          <w:i/>
          <w:szCs w:val="22"/>
        </w:rPr>
        <w:t>For more detail on PBAC’s view, see section 7 “PBAC outcome”</w:t>
      </w:r>
    </w:p>
    <w:p w:rsidR="001B6188" w:rsidRPr="00B07E65" w:rsidRDefault="001B6188" w:rsidP="00497F10"/>
    <w:p w:rsidR="00AB33E4" w:rsidRDefault="00AB33E4">
      <w:pPr>
        <w:widowControl/>
        <w:jc w:val="left"/>
      </w:pPr>
      <w:r>
        <w:br w:type="page"/>
      </w:r>
    </w:p>
    <w:p w:rsidR="00D266AF" w:rsidRPr="00B07E65" w:rsidRDefault="00D266AF" w:rsidP="00497F10"/>
    <w:p w:rsidR="00F338FF" w:rsidRPr="00B07E65" w:rsidRDefault="00F338FF" w:rsidP="005D7E3E">
      <w:pPr>
        <w:pStyle w:val="PBACheading1"/>
        <w:rPr>
          <w:b/>
        </w:rPr>
      </w:pPr>
      <w:bookmarkStart w:id="5" w:name="_Toc472340123"/>
      <w:r w:rsidRPr="00B07E65">
        <w:rPr>
          <w:b/>
        </w:rPr>
        <w:t>Clinical place for the proposed therapy</w:t>
      </w:r>
      <w:bookmarkEnd w:id="5"/>
    </w:p>
    <w:p w:rsidR="00B60939" w:rsidRPr="00B07E65" w:rsidRDefault="00B60939" w:rsidP="00B60939">
      <w:pPr>
        <w:rPr>
          <w:szCs w:val="22"/>
        </w:rPr>
      </w:pPr>
    </w:p>
    <w:p w:rsidR="00C643F0" w:rsidRPr="00B07E65" w:rsidRDefault="00C643F0" w:rsidP="00271C16">
      <w:pPr>
        <w:pStyle w:val="ListParagraph"/>
        <w:numPr>
          <w:ilvl w:val="1"/>
          <w:numId w:val="1"/>
        </w:numPr>
        <w:rPr>
          <w:szCs w:val="22"/>
        </w:rPr>
      </w:pPr>
      <w:r w:rsidRPr="00B07E65">
        <w:rPr>
          <w:szCs w:val="22"/>
        </w:rPr>
        <w:t>Methotrexate is a folic acid antagonist that has immunosuppressant and anti</w:t>
      </w:r>
      <w:r w:rsidRPr="00B07E65">
        <w:rPr>
          <w:szCs w:val="22"/>
        </w:rPr>
        <w:noBreakHyphen/>
        <w:t xml:space="preserve">inflammatory effects. It is used in doses up to 25 mg weekly for the treatment of rheumatoid arthritis and psoriasis. </w:t>
      </w:r>
    </w:p>
    <w:p w:rsidR="00C643F0" w:rsidRPr="00B07E65" w:rsidRDefault="00C643F0" w:rsidP="00C643F0">
      <w:pPr>
        <w:pStyle w:val="ListParagraph"/>
        <w:widowControl/>
        <w:rPr>
          <w:szCs w:val="22"/>
        </w:rPr>
      </w:pPr>
    </w:p>
    <w:p w:rsidR="003B1D45" w:rsidRPr="00B07E65" w:rsidRDefault="00D67A55" w:rsidP="00271C16">
      <w:pPr>
        <w:pStyle w:val="ListParagraph"/>
        <w:widowControl/>
        <w:numPr>
          <w:ilvl w:val="1"/>
          <w:numId w:val="1"/>
        </w:numPr>
        <w:rPr>
          <w:szCs w:val="22"/>
        </w:rPr>
      </w:pPr>
      <w:r w:rsidRPr="00B07E65">
        <w:t xml:space="preserve">The resubmission proposed </w:t>
      </w:r>
      <w:r w:rsidR="0042234B" w:rsidRPr="00B07E65">
        <w:t xml:space="preserve">that </w:t>
      </w:r>
      <w:r w:rsidRPr="00B07E65">
        <w:t xml:space="preserve">SC methotrexate would be </w:t>
      </w:r>
      <w:r w:rsidR="003B1D45" w:rsidRPr="00B07E65">
        <w:t>an alternative to other parenteral methotrexate formulations for patients with rheumatoid arthritis and psoriasis who are unable to use methotrexate tablets</w:t>
      </w:r>
      <w:r w:rsidRPr="00B07E65">
        <w:t xml:space="preserve">. </w:t>
      </w:r>
      <w:r w:rsidR="003B1D45" w:rsidRPr="00B07E65">
        <w:t xml:space="preserve">Patients may be unable to use methotrexate tablets </w:t>
      </w:r>
      <w:r w:rsidR="00510C6C" w:rsidRPr="00B07E65">
        <w:t>due</w:t>
      </w:r>
      <w:r w:rsidR="003B1D45" w:rsidRPr="00B07E65">
        <w:t xml:space="preserve"> to gastrointestinal adverse events, poor oral bioavailability and po</w:t>
      </w:r>
      <w:r w:rsidR="00117CA0" w:rsidRPr="00B07E65">
        <w:t xml:space="preserve">or efficacy at higher doses, and </w:t>
      </w:r>
      <w:r w:rsidR="007A7ADB" w:rsidRPr="00B07E65">
        <w:t xml:space="preserve">an </w:t>
      </w:r>
      <w:r w:rsidR="00117CA0" w:rsidRPr="00B07E65">
        <w:t xml:space="preserve">inability to swallow tablets. </w:t>
      </w:r>
      <w:r w:rsidRPr="00B07E65">
        <w:t>This was appropriate</w:t>
      </w:r>
      <w:r w:rsidR="00510C6C" w:rsidRPr="00B07E65">
        <w:t xml:space="preserve"> and unchanged from the previous submission</w:t>
      </w:r>
      <w:r w:rsidRPr="00B07E65">
        <w:t>.</w:t>
      </w:r>
      <w:r w:rsidRPr="00B07E65">
        <w:rPr>
          <w:i/>
        </w:rPr>
        <w:t xml:space="preserve"> </w:t>
      </w:r>
    </w:p>
    <w:p w:rsidR="007624FB" w:rsidRPr="00B07E65" w:rsidRDefault="007624FB" w:rsidP="007624FB">
      <w:pPr>
        <w:pStyle w:val="ListParagraph"/>
        <w:widowControl/>
        <w:rPr>
          <w:szCs w:val="22"/>
        </w:rPr>
      </w:pPr>
    </w:p>
    <w:p w:rsidR="007624FB" w:rsidRPr="00B07E65" w:rsidRDefault="007624FB" w:rsidP="00271C16">
      <w:pPr>
        <w:pStyle w:val="ListParagraph"/>
        <w:widowControl/>
        <w:numPr>
          <w:ilvl w:val="1"/>
          <w:numId w:val="1"/>
        </w:numPr>
        <w:rPr>
          <w:szCs w:val="22"/>
        </w:rPr>
      </w:pPr>
      <w:r w:rsidRPr="00B07E65">
        <w:t xml:space="preserve">The resubmission requested that SC methotrexate </w:t>
      </w:r>
      <w:r w:rsidR="00D42BEE" w:rsidRPr="00B07E65">
        <w:t xml:space="preserve">pre-filled syringes </w:t>
      </w:r>
      <w:r w:rsidRPr="00B07E65">
        <w:t>be determined as an item exempt</w:t>
      </w:r>
      <w:r w:rsidRPr="00B07E65">
        <w:rPr>
          <w:szCs w:val="22"/>
        </w:rPr>
        <w:t xml:space="preserve"> from statutory price reductions in accordance with Section 84AH of the </w:t>
      </w:r>
      <w:r w:rsidRPr="00B07E65">
        <w:rPr>
          <w:i/>
          <w:szCs w:val="22"/>
        </w:rPr>
        <w:t>National Health Act 1953</w:t>
      </w:r>
      <w:r w:rsidRPr="00B07E65">
        <w:rPr>
          <w:szCs w:val="22"/>
        </w:rPr>
        <w:t>.</w:t>
      </w:r>
      <w:r w:rsidR="0042234B" w:rsidRPr="00B07E65">
        <w:rPr>
          <w:szCs w:val="22"/>
        </w:rPr>
        <w:t xml:space="preserve"> </w:t>
      </w:r>
      <w:r w:rsidRPr="00B07E65">
        <w:t>For this to apply, among other criteria, the Minister must be satisfied, having regard to advice (if any) by the PBAC, that:</w:t>
      </w:r>
    </w:p>
    <w:p w:rsidR="007624FB" w:rsidRPr="00B07E65" w:rsidRDefault="007624FB" w:rsidP="00271C16">
      <w:pPr>
        <w:pStyle w:val="ListParagraph"/>
        <w:numPr>
          <w:ilvl w:val="0"/>
          <w:numId w:val="4"/>
        </w:numPr>
        <w:ind w:left="1077" w:hanging="357"/>
      </w:pPr>
      <w:r w:rsidRPr="00B07E65">
        <w:t>the listed drug in the relevant item represents suitable therapy for a particular patient population; and</w:t>
      </w:r>
    </w:p>
    <w:p w:rsidR="007624FB" w:rsidRPr="00B07E65" w:rsidRDefault="007624FB" w:rsidP="00271C16">
      <w:pPr>
        <w:pStyle w:val="ListParagraph"/>
        <w:numPr>
          <w:ilvl w:val="0"/>
          <w:numId w:val="4"/>
        </w:numPr>
        <w:ind w:left="1077" w:hanging="357"/>
      </w:pPr>
      <w:r w:rsidRPr="00B07E65">
        <w:t>the relevant item is suitable for use by a particular subgroup of that population because of either or both of the form and manner of administration of the drug in the item; and</w:t>
      </w:r>
    </w:p>
    <w:p w:rsidR="007624FB" w:rsidRPr="00B07E65" w:rsidRDefault="007624FB" w:rsidP="00271C16">
      <w:pPr>
        <w:pStyle w:val="ListParagraph"/>
        <w:numPr>
          <w:ilvl w:val="0"/>
          <w:numId w:val="4"/>
        </w:numPr>
        <w:ind w:left="1077" w:hanging="357"/>
      </w:pPr>
      <w:proofErr w:type="gramStart"/>
      <w:r w:rsidRPr="00B07E65">
        <w:t>no</w:t>
      </w:r>
      <w:proofErr w:type="gramEnd"/>
      <w:r w:rsidRPr="00B07E65">
        <w:t xml:space="preserve"> other pharmaceutical item that has that drug is suitable for use by that subgroup because of either or both of the form and manner of administration of the drug in that other item.</w:t>
      </w:r>
    </w:p>
    <w:p w:rsidR="00F84322" w:rsidRPr="00B07E65" w:rsidRDefault="00F84322" w:rsidP="00F84322">
      <w:pPr>
        <w:pStyle w:val="ListParagraph"/>
        <w:widowControl/>
        <w:rPr>
          <w:strike/>
          <w:szCs w:val="22"/>
        </w:rPr>
      </w:pPr>
    </w:p>
    <w:p w:rsidR="00D13E35" w:rsidRPr="00B07E65" w:rsidRDefault="00D13E35" w:rsidP="00271C16">
      <w:pPr>
        <w:pStyle w:val="ListParagraph"/>
        <w:widowControl/>
        <w:numPr>
          <w:ilvl w:val="1"/>
          <w:numId w:val="1"/>
        </w:numPr>
        <w:rPr>
          <w:strike/>
          <w:szCs w:val="22"/>
        </w:rPr>
      </w:pPr>
      <w:r w:rsidRPr="00B07E65">
        <w:t>The</w:t>
      </w:r>
      <w:r w:rsidRPr="00B07E65">
        <w:rPr>
          <w:szCs w:val="22"/>
        </w:rPr>
        <w:t xml:space="preserve"> Revised Explanatory Memorandum of the </w:t>
      </w:r>
      <w:r w:rsidRPr="00B07E65">
        <w:rPr>
          <w:i/>
          <w:szCs w:val="22"/>
        </w:rPr>
        <w:t>National Health Amendment (Pharmaceutical Benefits Scheme) Bill 2007</w:t>
      </w:r>
      <w:r w:rsidRPr="00B07E65">
        <w:rPr>
          <w:szCs w:val="22"/>
        </w:rPr>
        <w:t xml:space="preserve"> details that the intention of exemption is to encourage the availability of certain pharmaceutical items with particular formulations of drugs that are used by a demographic subgroup (e.g. children or geriatric patients) for whom other formulations of the drug are not suitable. The Explanatory Memorandum goes on to say that subgroups identified on the grounds of their disease characteristics will not qualify.</w:t>
      </w:r>
    </w:p>
    <w:p w:rsidR="007624FB" w:rsidRPr="00B07E65" w:rsidRDefault="007624FB" w:rsidP="007624FB"/>
    <w:p w:rsidR="007624FB" w:rsidRPr="00B07E65" w:rsidRDefault="006C5918" w:rsidP="00271C16">
      <w:pPr>
        <w:pStyle w:val="ListParagraph"/>
        <w:widowControl/>
        <w:numPr>
          <w:ilvl w:val="1"/>
          <w:numId w:val="1"/>
        </w:numPr>
        <w:rPr>
          <w:szCs w:val="22"/>
        </w:rPr>
      </w:pPr>
      <w:r w:rsidRPr="00B07E65">
        <w:rPr>
          <w:szCs w:val="22"/>
        </w:rPr>
        <w:t>T</w:t>
      </w:r>
      <w:r w:rsidR="007624FB" w:rsidRPr="00B07E65">
        <w:rPr>
          <w:szCs w:val="22"/>
        </w:rPr>
        <w:t>h</w:t>
      </w:r>
      <w:r w:rsidRPr="00B07E65">
        <w:rPr>
          <w:szCs w:val="22"/>
        </w:rPr>
        <w:t xml:space="preserve">e proposed </w:t>
      </w:r>
      <w:r w:rsidR="007624FB" w:rsidRPr="00B07E65">
        <w:rPr>
          <w:szCs w:val="22"/>
        </w:rPr>
        <w:t>i</w:t>
      </w:r>
      <w:r w:rsidRPr="00B07E65">
        <w:rPr>
          <w:szCs w:val="22"/>
        </w:rPr>
        <w:t xml:space="preserve">tem </w:t>
      </w:r>
      <w:r w:rsidR="007624FB" w:rsidRPr="00B07E65">
        <w:rPr>
          <w:szCs w:val="22"/>
        </w:rPr>
        <w:t xml:space="preserve">is the only brand of </w:t>
      </w:r>
      <w:r w:rsidRPr="00B07E65">
        <w:rPr>
          <w:szCs w:val="22"/>
        </w:rPr>
        <w:t xml:space="preserve">injectable </w:t>
      </w:r>
      <w:r w:rsidR="007624FB" w:rsidRPr="00B07E65">
        <w:rPr>
          <w:szCs w:val="22"/>
        </w:rPr>
        <w:t xml:space="preserve">methotrexate </w:t>
      </w:r>
      <w:r w:rsidR="008C2B8B" w:rsidRPr="00B07E65">
        <w:rPr>
          <w:szCs w:val="22"/>
        </w:rPr>
        <w:t xml:space="preserve">that is TGA registered </w:t>
      </w:r>
      <w:r w:rsidR="007624FB" w:rsidRPr="00B07E65">
        <w:rPr>
          <w:szCs w:val="22"/>
        </w:rPr>
        <w:t xml:space="preserve">for </w:t>
      </w:r>
      <w:r w:rsidR="0042234B" w:rsidRPr="00B07E65">
        <w:rPr>
          <w:szCs w:val="22"/>
        </w:rPr>
        <w:t xml:space="preserve">SC </w:t>
      </w:r>
      <w:r w:rsidRPr="00B07E65">
        <w:rPr>
          <w:szCs w:val="22"/>
        </w:rPr>
        <w:t xml:space="preserve">administration </w:t>
      </w:r>
      <w:r w:rsidR="007624FB" w:rsidRPr="00B07E65">
        <w:rPr>
          <w:szCs w:val="22"/>
        </w:rPr>
        <w:t>injection</w:t>
      </w:r>
      <w:r w:rsidR="00B64DC1" w:rsidRPr="00B07E65">
        <w:rPr>
          <w:szCs w:val="22"/>
        </w:rPr>
        <w:t>. It is also the only injectable methotrexate that is TGA registered for</w:t>
      </w:r>
      <w:r w:rsidRPr="00B07E65">
        <w:rPr>
          <w:szCs w:val="22"/>
        </w:rPr>
        <w:t xml:space="preserve"> use in rheumatoid arthritis. </w:t>
      </w:r>
      <w:r w:rsidR="006A610E" w:rsidRPr="00B07E65">
        <w:rPr>
          <w:szCs w:val="22"/>
        </w:rPr>
        <w:t xml:space="preserve">The resubmission: </w:t>
      </w:r>
    </w:p>
    <w:p w:rsidR="00825011" w:rsidRPr="00B07E65" w:rsidRDefault="00B64DC1" w:rsidP="00271C16">
      <w:pPr>
        <w:pStyle w:val="ListParagraph"/>
        <w:widowControl/>
        <w:numPr>
          <w:ilvl w:val="0"/>
          <w:numId w:val="11"/>
        </w:numPr>
        <w:rPr>
          <w:i/>
        </w:rPr>
      </w:pPr>
      <w:r w:rsidRPr="00B07E65">
        <w:rPr>
          <w:szCs w:val="22"/>
        </w:rPr>
        <w:t xml:space="preserve">stated that </w:t>
      </w:r>
      <w:r w:rsidR="00211302" w:rsidRPr="00B07E65">
        <w:rPr>
          <w:szCs w:val="22"/>
        </w:rPr>
        <w:t xml:space="preserve">SC methotrexate is </w:t>
      </w:r>
      <w:r w:rsidR="000D4A7F" w:rsidRPr="00B07E65">
        <w:rPr>
          <w:szCs w:val="22"/>
        </w:rPr>
        <w:t>a suitable therapy for patients with rheumatoid arthritis and psoriasis;</w:t>
      </w:r>
    </w:p>
    <w:p w:rsidR="000D4A7F" w:rsidRPr="00B07E65" w:rsidRDefault="00D42BEE" w:rsidP="00271C16">
      <w:pPr>
        <w:pStyle w:val="ListParagraph"/>
        <w:widowControl/>
        <w:numPr>
          <w:ilvl w:val="0"/>
          <w:numId w:val="11"/>
        </w:numPr>
        <w:rPr>
          <w:i/>
        </w:rPr>
      </w:pPr>
      <w:proofErr w:type="gramStart"/>
      <w:r w:rsidRPr="00B07E65">
        <w:rPr>
          <w:szCs w:val="22"/>
        </w:rPr>
        <w:t>stated</w:t>
      </w:r>
      <w:proofErr w:type="gramEnd"/>
      <w:r w:rsidRPr="00B07E65">
        <w:rPr>
          <w:szCs w:val="22"/>
        </w:rPr>
        <w:t xml:space="preserve"> that </w:t>
      </w:r>
      <w:r w:rsidR="00D13E35" w:rsidRPr="00B07E65">
        <w:rPr>
          <w:szCs w:val="22"/>
        </w:rPr>
        <w:t xml:space="preserve">SC methotrexate is </w:t>
      </w:r>
      <w:r w:rsidR="00EF31E6" w:rsidRPr="00B07E65">
        <w:rPr>
          <w:szCs w:val="22"/>
        </w:rPr>
        <w:t>i</w:t>
      </w:r>
      <w:r w:rsidRPr="00B07E65">
        <w:rPr>
          <w:szCs w:val="22"/>
        </w:rPr>
        <w:t>ntended for use by a subgroup of patients, namely those for whom the oral form of methotrexate is unsuitable.</w:t>
      </w:r>
      <w:r w:rsidR="008A2939" w:rsidRPr="00B07E65">
        <w:rPr>
          <w:szCs w:val="22"/>
        </w:rPr>
        <w:t xml:space="preserve"> T</w:t>
      </w:r>
      <w:r w:rsidR="00D13E35" w:rsidRPr="00B07E65">
        <w:rPr>
          <w:szCs w:val="22"/>
        </w:rPr>
        <w:t>h</w:t>
      </w:r>
      <w:r w:rsidRPr="00B07E65">
        <w:rPr>
          <w:szCs w:val="22"/>
        </w:rPr>
        <w:t>is</w:t>
      </w:r>
      <w:r w:rsidR="00D13E35" w:rsidRPr="00B07E65">
        <w:rPr>
          <w:szCs w:val="22"/>
        </w:rPr>
        <w:t xml:space="preserve"> constitute</w:t>
      </w:r>
      <w:r w:rsidR="008A2939" w:rsidRPr="00B07E65">
        <w:rPr>
          <w:szCs w:val="22"/>
        </w:rPr>
        <w:t>s</w:t>
      </w:r>
      <w:r w:rsidR="00D13E35" w:rsidRPr="00B07E65">
        <w:rPr>
          <w:szCs w:val="22"/>
        </w:rPr>
        <w:t xml:space="preserve"> a subgroup identified on the grounds of </w:t>
      </w:r>
      <w:r w:rsidR="008A2939" w:rsidRPr="00B07E65">
        <w:rPr>
          <w:szCs w:val="22"/>
        </w:rPr>
        <w:t>its</w:t>
      </w:r>
      <w:r w:rsidR="00D13E35" w:rsidRPr="00B07E65">
        <w:rPr>
          <w:szCs w:val="22"/>
        </w:rPr>
        <w:t xml:space="preserve"> disease characteristics, rather than a demographic subgroup</w:t>
      </w:r>
      <w:r w:rsidR="006A610E" w:rsidRPr="00B07E65">
        <w:rPr>
          <w:szCs w:val="22"/>
        </w:rPr>
        <w:t>;</w:t>
      </w:r>
      <w:r w:rsidR="00D13E35" w:rsidRPr="00B07E65">
        <w:rPr>
          <w:szCs w:val="22"/>
        </w:rPr>
        <w:t xml:space="preserve"> </w:t>
      </w:r>
      <w:r w:rsidR="000D4A7F" w:rsidRPr="00B07E65">
        <w:rPr>
          <w:szCs w:val="22"/>
        </w:rPr>
        <w:t xml:space="preserve">and  </w:t>
      </w:r>
    </w:p>
    <w:p w:rsidR="006C5918" w:rsidRPr="00B07E65" w:rsidRDefault="006A610E" w:rsidP="00271C16">
      <w:pPr>
        <w:pStyle w:val="ListParagraph"/>
        <w:numPr>
          <w:ilvl w:val="0"/>
          <w:numId w:val="11"/>
        </w:numPr>
        <w:rPr>
          <w:szCs w:val="22"/>
        </w:rPr>
      </w:pPr>
      <w:proofErr w:type="gramStart"/>
      <w:r w:rsidRPr="00B07E65">
        <w:rPr>
          <w:szCs w:val="22"/>
        </w:rPr>
        <w:t>did</w:t>
      </w:r>
      <w:proofErr w:type="gramEnd"/>
      <w:r w:rsidRPr="00B07E65">
        <w:rPr>
          <w:szCs w:val="22"/>
        </w:rPr>
        <w:t xml:space="preserve"> not provide a rationale as to why no other pharmaceutical item would be suitable for use by that subgroup. T</w:t>
      </w:r>
      <w:r w:rsidR="006C5918" w:rsidRPr="00B07E65">
        <w:rPr>
          <w:szCs w:val="22"/>
        </w:rPr>
        <w:t>he identified subgroup</w:t>
      </w:r>
      <w:r w:rsidR="00F84322" w:rsidRPr="00B07E65">
        <w:rPr>
          <w:szCs w:val="22"/>
        </w:rPr>
        <w:t xml:space="preserve"> may be able to use methotrexate 50 mg </w:t>
      </w:r>
      <w:r w:rsidR="00EF31E6" w:rsidRPr="00B07E65">
        <w:rPr>
          <w:szCs w:val="22"/>
        </w:rPr>
        <w:t>in</w:t>
      </w:r>
      <w:r w:rsidR="00F84322" w:rsidRPr="00B07E65">
        <w:rPr>
          <w:szCs w:val="22"/>
        </w:rPr>
        <w:t xml:space="preserve"> 2 mL </w:t>
      </w:r>
      <w:r w:rsidRPr="00B07E65">
        <w:rPr>
          <w:szCs w:val="22"/>
        </w:rPr>
        <w:t xml:space="preserve">glass </w:t>
      </w:r>
      <w:r w:rsidR="00F84322" w:rsidRPr="00B07E65">
        <w:rPr>
          <w:szCs w:val="22"/>
        </w:rPr>
        <w:t>vials</w:t>
      </w:r>
      <w:r w:rsidR="00313440" w:rsidRPr="00B07E65">
        <w:rPr>
          <w:szCs w:val="22"/>
        </w:rPr>
        <w:t>.</w:t>
      </w:r>
      <w:r w:rsidR="006C5918" w:rsidRPr="00B07E65">
        <w:rPr>
          <w:szCs w:val="22"/>
        </w:rPr>
        <w:t xml:space="preserve"> </w:t>
      </w:r>
    </w:p>
    <w:p w:rsidR="004E716C" w:rsidRPr="00B07E65" w:rsidRDefault="004E716C" w:rsidP="004E716C">
      <w:pPr>
        <w:pStyle w:val="ListParagraph"/>
        <w:widowControl/>
        <w:rPr>
          <w:i/>
        </w:rPr>
      </w:pPr>
    </w:p>
    <w:p w:rsidR="00825011" w:rsidRPr="00B07E65" w:rsidRDefault="00825011" w:rsidP="00271C16">
      <w:pPr>
        <w:pStyle w:val="ListParagraph"/>
        <w:widowControl/>
        <w:numPr>
          <w:ilvl w:val="1"/>
          <w:numId w:val="1"/>
        </w:numPr>
      </w:pPr>
      <w:r w:rsidRPr="00B07E65">
        <w:t xml:space="preserve">The PSCR argued that the patients who are unsuitable for the oral tablet form of methotrexate may present clinical features which are not necessarily disease characteristics. The ESC advised that these clinical features do not appear to represent </w:t>
      </w:r>
      <w:r w:rsidR="00313440" w:rsidRPr="00B07E65">
        <w:t xml:space="preserve">a </w:t>
      </w:r>
      <w:r w:rsidRPr="00B07E65">
        <w:t>demographic subgroup.</w:t>
      </w:r>
    </w:p>
    <w:p w:rsidR="00825011" w:rsidRPr="00B07E65" w:rsidRDefault="00825011" w:rsidP="004E716C">
      <w:pPr>
        <w:pStyle w:val="ListParagraph"/>
        <w:widowControl/>
        <w:rPr>
          <w:highlight w:val="yellow"/>
        </w:rPr>
      </w:pPr>
    </w:p>
    <w:p w:rsidR="000D4A7F" w:rsidRPr="00B07E65" w:rsidRDefault="007262B7" w:rsidP="00271C16">
      <w:pPr>
        <w:pStyle w:val="ListParagraph"/>
        <w:widowControl/>
        <w:numPr>
          <w:ilvl w:val="1"/>
          <w:numId w:val="1"/>
        </w:numPr>
      </w:pPr>
      <w:r w:rsidRPr="00B07E65">
        <w:rPr>
          <w:szCs w:val="22"/>
        </w:rPr>
        <w:t xml:space="preserve">The ESC </w:t>
      </w:r>
      <w:r w:rsidR="00825011" w:rsidRPr="00B07E65">
        <w:rPr>
          <w:szCs w:val="22"/>
        </w:rPr>
        <w:t>advised</w:t>
      </w:r>
      <w:r w:rsidRPr="00B07E65">
        <w:rPr>
          <w:szCs w:val="22"/>
        </w:rPr>
        <w:t xml:space="preserve"> that t</w:t>
      </w:r>
      <w:r w:rsidR="00D13E35" w:rsidRPr="00B07E65">
        <w:rPr>
          <w:szCs w:val="22"/>
        </w:rPr>
        <w:t xml:space="preserve">he resubmission did not </w:t>
      </w:r>
      <w:r w:rsidR="00F84322" w:rsidRPr="00B07E65">
        <w:rPr>
          <w:szCs w:val="22"/>
        </w:rPr>
        <w:t xml:space="preserve">adequately </w:t>
      </w:r>
      <w:r w:rsidR="00D13E35" w:rsidRPr="00B07E65">
        <w:rPr>
          <w:szCs w:val="22"/>
        </w:rPr>
        <w:t>address</w:t>
      </w:r>
      <w:r w:rsidR="00D42BEE" w:rsidRPr="00B07E65">
        <w:rPr>
          <w:szCs w:val="22"/>
        </w:rPr>
        <w:t xml:space="preserve"> the last two criteria (i.e.</w:t>
      </w:r>
      <w:r w:rsidR="00D13E35" w:rsidRPr="00B07E65">
        <w:rPr>
          <w:szCs w:val="22"/>
        </w:rPr>
        <w:t xml:space="preserve"> </w:t>
      </w:r>
      <w:r w:rsidR="00BD1981" w:rsidRPr="00B07E65">
        <w:rPr>
          <w:szCs w:val="22"/>
        </w:rPr>
        <w:t>whether there we</w:t>
      </w:r>
      <w:r w:rsidR="006C5918" w:rsidRPr="00B07E65">
        <w:rPr>
          <w:szCs w:val="22"/>
        </w:rPr>
        <w:t xml:space="preserve">re demographic subgroups </w:t>
      </w:r>
      <w:r w:rsidR="00D42BEE" w:rsidRPr="00B07E65">
        <w:rPr>
          <w:szCs w:val="22"/>
        </w:rPr>
        <w:t xml:space="preserve">for </w:t>
      </w:r>
      <w:proofErr w:type="gramStart"/>
      <w:r w:rsidR="00D42BEE" w:rsidRPr="00B07E65">
        <w:rPr>
          <w:szCs w:val="22"/>
        </w:rPr>
        <w:t>who</w:t>
      </w:r>
      <w:r w:rsidR="00BD1981" w:rsidRPr="00B07E65">
        <w:rPr>
          <w:szCs w:val="22"/>
        </w:rPr>
        <w:t>m</w:t>
      </w:r>
      <w:proofErr w:type="gramEnd"/>
      <w:r w:rsidR="00D42BEE" w:rsidRPr="00B07E65">
        <w:rPr>
          <w:szCs w:val="22"/>
        </w:rPr>
        <w:t xml:space="preserve"> SC methotrexate</w:t>
      </w:r>
      <w:r w:rsidR="00BD1981" w:rsidRPr="00B07E65">
        <w:rPr>
          <w:szCs w:val="22"/>
        </w:rPr>
        <w:t xml:space="preserve"> was the only formulation </w:t>
      </w:r>
      <w:r w:rsidR="00D42BEE" w:rsidRPr="00B07E65">
        <w:rPr>
          <w:szCs w:val="22"/>
        </w:rPr>
        <w:t>suitable)</w:t>
      </w:r>
      <w:r w:rsidR="000F136E" w:rsidRPr="00B07E65">
        <w:rPr>
          <w:szCs w:val="22"/>
        </w:rPr>
        <w:t xml:space="preserve">. </w:t>
      </w:r>
    </w:p>
    <w:p w:rsidR="00B67B8F" w:rsidRPr="00B07E65" w:rsidRDefault="00B67B8F" w:rsidP="00B67B8F">
      <w:pPr>
        <w:pStyle w:val="ListParagraph"/>
      </w:pPr>
    </w:p>
    <w:p w:rsidR="00894AB8" w:rsidRPr="00B07E65" w:rsidRDefault="00894AB8" w:rsidP="00271C16">
      <w:pPr>
        <w:pStyle w:val="ListParagraph"/>
        <w:widowControl/>
        <w:numPr>
          <w:ilvl w:val="1"/>
          <w:numId w:val="1"/>
        </w:numPr>
      </w:pPr>
      <w:r w:rsidRPr="00B07E65">
        <w:t xml:space="preserve">The Pre-PBAC </w:t>
      </w:r>
      <w:r w:rsidR="00CD4B36" w:rsidRPr="00B07E65">
        <w:t>Response stated</w:t>
      </w:r>
      <w:r w:rsidRPr="00B07E65">
        <w:t xml:space="preserve"> that may not be viable for the sponsor to supply SC methotrexate to the PBS should the presentation be subject to ongoing fluctuations in the pricing of methotrexate vials.</w:t>
      </w:r>
    </w:p>
    <w:p w:rsidR="00894AB8" w:rsidRPr="00B07E65" w:rsidRDefault="00894AB8" w:rsidP="00894AB8">
      <w:pPr>
        <w:pStyle w:val="ListParagraph"/>
      </w:pPr>
    </w:p>
    <w:p w:rsidR="00D266AF" w:rsidRPr="00B07E65" w:rsidRDefault="00D266AF" w:rsidP="00D266AF">
      <w:pPr>
        <w:ind w:firstLine="720"/>
        <w:rPr>
          <w:bCs/>
          <w:szCs w:val="22"/>
        </w:rPr>
      </w:pPr>
      <w:r w:rsidRPr="00B07E65">
        <w:rPr>
          <w:bCs/>
          <w:i/>
          <w:szCs w:val="22"/>
        </w:rPr>
        <w:t>For more detail on PBAC’s view, see section 7 “PBAC outcome”</w:t>
      </w:r>
    </w:p>
    <w:p w:rsidR="00E74A87" w:rsidRPr="00B07E65" w:rsidRDefault="00E74A87" w:rsidP="006C299C">
      <w:pPr>
        <w:widowControl/>
        <w:jc w:val="left"/>
        <w:rPr>
          <w:szCs w:val="22"/>
        </w:rPr>
      </w:pPr>
    </w:p>
    <w:p w:rsidR="00B67B8F" w:rsidRPr="00B07E65" w:rsidRDefault="00B67B8F" w:rsidP="006C299C">
      <w:pPr>
        <w:widowControl/>
        <w:jc w:val="left"/>
        <w:rPr>
          <w:szCs w:val="22"/>
        </w:rPr>
      </w:pPr>
    </w:p>
    <w:p w:rsidR="00F338FF" w:rsidRPr="00B07E65" w:rsidRDefault="00F338FF" w:rsidP="005D7E3E">
      <w:pPr>
        <w:pStyle w:val="PBACheading1"/>
        <w:rPr>
          <w:b/>
        </w:rPr>
      </w:pPr>
      <w:bookmarkStart w:id="6" w:name="_Toc472340124"/>
      <w:r w:rsidRPr="00B07E65">
        <w:rPr>
          <w:b/>
        </w:rPr>
        <w:t>Comparator</w:t>
      </w:r>
      <w:bookmarkEnd w:id="6"/>
    </w:p>
    <w:p w:rsidR="00497F10" w:rsidRPr="00B07E65" w:rsidRDefault="00497F10" w:rsidP="00577717"/>
    <w:p w:rsidR="00510C6C" w:rsidRPr="00B07E65" w:rsidRDefault="00510C6C" w:rsidP="00271C16">
      <w:pPr>
        <w:pStyle w:val="ListParagraph"/>
        <w:widowControl/>
        <w:numPr>
          <w:ilvl w:val="1"/>
          <w:numId w:val="1"/>
        </w:numPr>
        <w:rPr>
          <w:szCs w:val="22"/>
        </w:rPr>
      </w:pPr>
      <w:r w:rsidRPr="00B07E65">
        <w:t>The comparator was p</w:t>
      </w:r>
      <w:r w:rsidR="003B1D45" w:rsidRPr="00B07E65">
        <w:t>arenteral methotrexate in the form of methotrexate 50 mg in 2</w:t>
      </w:r>
      <w:r w:rsidR="007A7ADB" w:rsidRPr="00B07E65">
        <w:t> </w:t>
      </w:r>
      <w:r w:rsidR="003B1D45" w:rsidRPr="00B07E65">
        <w:t>mL glass vials.</w:t>
      </w:r>
      <w:r w:rsidR="004F270A" w:rsidRPr="00B07E65">
        <w:t xml:space="preserve"> The resubmission assumed the glass vials were generally given as an </w:t>
      </w:r>
      <w:r w:rsidR="006A610E" w:rsidRPr="00B07E65">
        <w:rPr>
          <w:szCs w:val="22"/>
        </w:rPr>
        <w:t>intramuscular</w:t>
      </w:r>
      <w:r w:rsidR="006A610E" w:rsidRPr="00B07E65">
        <w:t xml:space="preserve"> (</w:t>
      </w:r>
      <w:r w:rsidR="004F270A" w:rsidRPr="00B07E65">
        <w:t>IM</w:t>
      </w:r>
      <w:r w:rsidR="006A610E" w:rsidRPr="00B07E65">
        <w:t>)</w:t>
      </w:r>
      <w:r w:rsidR="004F270A" w:rsidRPr="00B07E65">
        <w:t xml:space="preserve"> injection.</w:t>
      </w:r>
      <w:r w:rsidR="00497F10" w:rsidRPr="00B07E65">
        <w:rPr>
          <w:color w:val="3366FF"/>
        </w:rPr>
        <w:t xml:space="preserve"> </w:t>
      </w:r>
      <w:r w:rsidR="00A61D60" w:rsidRPr="00B07E65">
        <w:t>The PBAC reaffirmed that t</w:t>
      </w:r>
      <w:r w:rsidR="00497F10" w:rsidRPr="00B07E65">
        <w:t xml:space="preserve">his </w:t>
      </w:r>
      <w:r w:rsidR="003B1D45" w:rsidRPr="00B07E65">
        <w:t>was</w:t>
      </w:r>
      <w:r w:rsidR="00497F10" w:rsidRPr="00B07E65">
        <w:t xml:space="preserve"> the appropriate comparator</w:t>
      </w:r>
      <w:r w:rsidR="003B1D45" w:rsidRPr="00B07E65">
        <w:t>.</w:t>
      </w:r>
    </w:p>
    <w:p w:rsidR="003B1D45" w:rsidRPr="00B07E65" w:rsidRDefault="00497F10" w:rsidP="00677297">
      <w:r w:rsidRPr="00B07E65">
        <w:t xml:space="preserve"> </w:t>
      </w:r>
    </w:p>
    <w:p w:rsidR="00411527" w:rsidRPr="00B07E65" w:rsidRDefault="00610D7D" w:rsidP="00271C16">
      <w:pPr>
        <w:pStyle w:val="ListParagraph"/>
        <w:widowControl/>
        <w:numPr>
          <w:ilvl w:val="1"/>
          <w:numId w:val="1"/>
        </w:numPr>
      </w:pPr>
      <w:r w:rsidRPr="00B07E65">
        <w:t>In the supplementary economic evaluation, t</w:t>
      </w:r>
      <w:r w:rsidR="003B1D45" w:rsidRPr="00B07E65">
        <w:t>he resubmission</w:t>
      </w:r>
      <w:r w:rsidR="00117CA0" w:rsidRPr="00B07E65">
        <w:t xml:space="preserve"> nominated oral methotrexate as a comparator. The resubmission claimed that </w:t>
      </w:r>
      <w:r w:rsidR="0070795E" w:rsidRPr="00B07E65">
        <w:t>parenteral methotrexate wa</w:t>
      </w:r>
      <w:r w:rsidR="007A7ADB" w:rsidRPr="00B07E65">
        <w:t xml:space="preserve">s currently underutilised and that </w:t>
      </w:r>
      <w:r w:rsidR="00117CA0" w:rsidRPr="00B07E65">
        <w:t>listing a “convenient” dose form may result in additional patients switching from oral methotrexate to parenteral methotrexate.</w:t>
      </w:r>
      <w:r w:rsidR="007A7ADB" w:rsidRPr="00B07E65">
        <w:t xml:space="preserve"> The resubmission further claimed that this would delay patients progressing to biological DMARDs (bDMARD).</w:t>
      </w:r>
      <w:r w:rsidR="003B1D45" w:rsidRPr="00B07E65">
        <w:t xml:space="preserve"> </w:t>
      </w:r>
      <w:r w:rsidR="000B232A" w:rsidRPr="00B07E65">
        <w:t xml:space="preserve">This was not appropriate; </w:t>
      </w:r>
      <w:r w:rsidR="00F5257D" w:rsidRPr="00B07E65">
        <w:t xml:space="preserve">because </w:t>
      </w:r>
      <w:r w:rsidR="00117CA0" w:rsidRPr="00B07E65">
        <w:t xml:space="preserve">the resubmission only sought listing in patients who are </w:t>
      </w:r>
      <w:r w:rsidR="00117CA0" w:rsidRPr="00B07E65">
        <w:rPr>
          <w:u w:val="single"/>
        </w:rPr>
        <w:t>unsuitable</w:t>
      </w:r>
      <w:r w:rsidR="00117CA0" w:rsidRPr="00B07E65">
        <w:t xml:space="preserve"> for oral methotrexate</w:t>
      </w:r>
      <w:r w:rsidR="00393FAE" w:rsidRPr="00B07E65">
        <w:t>, not those who would prefer a SC formulation</w:t>
      </w:r>
      <w:r w:rsidR="00F5257D" w:rsidRPr="00B07E65">
        <w:t xml:space="preserve">; and the </w:t>
      </w:r>
      <w:r w:rsidR="00A36A92" w:rsidRPr="00B07E65">
        <w:t>presented</w:t>
      </w:r>
      <w:r w:rsidR="00F5257D" w:rsidRPr="00B07E65">
        <w:t xml:space="preserve"> evidence (Ha</w:t>
      </w:r>
      <w:r w:rsidR="00A36A92" w:rsidRPr="00B07E65">
        <w:t>z</w:t>
      </w:r>
      <w:r w:rsidR="00F5257D" w:rsidRPr="00B07E65">
        <w:t xml:space="preserve">elwood et al, 2015) found that there was no statistically significant difference between SC and oral administrations of </w:t>
      </w:r>
      <w:r w:rsidR="0001031A" w:rsidRPr="00B07E65">
        <w:t>methotrexate</w:t>
      </w:r>
      <w:r w:rsidR="00F5257D" w:rsidRPr="00B07E65">
        <w:t xml:space="preserve"> at one year in terms of progression</w:t>
      </w:r>
      <w:r w:rsidR="00313440" w:rsidRPr="00B07E65">
        <w:t xml:space="preserve"> to a bDMARD</w:t>
      </w:r>
      <w:r w:rsidR="00F5257D" w:rsidRPr="00B07E65">
        <w:t>.</w:t>
      </w:r>
      <w:r w:rsidR="00117CA0" w:rsidRPr="00B07E65">
        <w:t xml:space="preserve"> </w:t>
      </w:r>
      <w:r w:rsidR="000B232A" w:rsidRPr="00B07E65">
        <w:t>Further, t</w:t>
      </w:r>
      <w:r w:rsidR="00117CA0" w:rsidRPr="00B07E65">
        <w:t xml:space="preserve">he resubmission did not present any evidence that methotrexate was currently underutilised, nor that the </w:t>
      </w:r>
      <w:r w:rsidR="00B83A6D" w:rsidRPr="00B07E65">
        <w:t>availability</w:t>
      </w:r>
      <w:r w:rsidR="00117CA0" w:rsidRPr="00B07E65">
        <w:t xml:space="preserve"> of </w:t>
      </w:r>
      <w:r w:rsidR="00FF4D87" w:rsidRPr="00B07E65">
        <w:t xml:space="preserve">SC </w:t>
      </w:r>
      <w:r w:rsidR="00117CA0" w:rsidRPr="00B07E65">
        <w:t xml:space="preserve">methotrexate would </w:t>
      </w:r>
      <w:r w:rsidR="009B090F" w:rsidRPr="00B07E65">
        <w:t xml:space="preserve">increase </w:t>
      </w:r>
      <w:r w:rsidR="00117CA0" w:rsidRPr="00B07E65">
        <w:t>utilisation of methotrexate.</w:t>
      </w:r>
      <w:r w:rsidR="00FF4D87" w:rsidRPr="00B07E65">
        <w:t xml:space="preserve"> </w:t>
      </w:r>
      <w:r w:rsidR="00411527" w:rsidRPr="00B07E65">
        <w:t xml:space="preserve">The ESC considered that </w:t>
      </w:r>
      <w:r w:rsidR="000B232A" w:rsidRPr="00B07E65">
        <w:t xml:space="preserve">this comparison was inappropriate, </w:t>
      </w:r>
      <w:r w:rsidR="00411527" w:rsidRPr="00B07E65">
        <w:t xml:space="preserve">but noted that </w:t>
      </w:r>
      <w:r w:rsidR="000B232A" w:rsidRPr="00B07E65">
        <w:t>it was provided for information only</w:t>
      </w:r>
      <w:r w:rsidR="00111C1D" w:rsidRPr="00B07E65">
        <w:t xml:space="preserve"> </w:t>
      </w:r>
      <w:r w:rsidR="00F5257D" w:rsidRPr="00B07E65">
        <w:t xml:space="preserve">in the supplementary cost-effectiveness context </w:t>
      </w:r>
      <w:r w:rsidR="00111C1D" w:rsidRPr="00B07E65">
        <w:t>and</w:t>
      </w:r>
      <w:r w:rsidR="000B232A" w:rsidRPr="00B07E65">
        <w:t xml:space="preserve"> did not impact the clinical claim (non-inferiority to parenteral methotrexate) nor the price requested.</w:t>
      </w:r>
    </w:p>
    <w:p w:rsidR="00411527" w:rsidRPr="00B07E65" w:rsidRDefault="00411527" w:rsidP="00411527">
      <w:pPr>
        <w:pStyle w:val="ListParagraph"/>
        <w:widowControl/>
      </w:pPr>
    </w:p>
    <w:p w:rsidR="001B6188" w:rsidRPr="00B07E65" w:rsidRDefault="00AD50B0" w:rsidP="00271C16">
      <w:pPr>
        <w:pStyle w:val="ListParagraph"/>
        <w:widowControl/>
        <w:numPr>
          <w:ilvl w:val="1"/>
          <w:numId w:val="1"/>
        </w:numPr>
      </w:pPr>
      <w:r w:rsidRPr="00B07E65">
        <w:t>The PBAC did not consider the supplementary comparison as relevant to the requested PBS population.</w:t>
      </w:r>
    </w:p>
    <w:p w:rsidR="00E74A87" w:rsidRPr="00B07E65" w:rsidRDefault="00E74A87" w:rsidP="00497F10"/>
    <w:p w:rsidR="00D266AF" w:rsidRPr="00B07E65" w:rsidRDefault="00D266AF" w:rsidP="00D266AF">
      <w:pPr>
        <w:ind w:firstLine="720"/>
        <w:rPr>
          <w:bCs/>
          <w:szCs w:val="22"/>
        </w:rPr>
      </w:pPr>
      <w:r w:rsidRPr="00B07E65">
        <w:rPr>
          <w:bCs/>
          <w:i/>
          <w:szCs w:val="22"/>
        </w:rPr>
        <w:t>For more detail on PBAC’s view, see section 7 “PBAC outcome”</w:t>
      </w:r>
    </w:p>
    <w:p w:rsidR="00D266AF" w:rsidRPr="00B07E65" w:rsidRDefault="00D266AF" w:rsidP="00497F10"/>
    <w:p w:rsidR="00D266AF" w:rsidRPr="00B07E65" w:rsidRDefault="00D266AF" w:rsidP="00497F10"/>
    <w:p w:rsidR="00D06FD4" w:rsidRPr="00B07E65" w:rsidRDefault="00472359" w:rsidP="00151F4C">
      <w:pPr>
        <w:pStyle w:val="PBACheading1"/>
        <w:keepNext/>
        <w:keepLines/>
        <w:rPr>
          <w:b/>
        </w:rPr>
      </w:pPr>
      <w:bookmarkStart w:id="7" w:name="_Toc472340125"/>
      <w:r w:rsidRPr="00B07E65">
        <w:rPr>
          <w:b/>
        </w:rPr>
        <w:t>C</w:t>
      </w:r>
      <w:r w:rsidR="00D06FD4" w:rsidRPr="00B07E65">
        <w:rPr>
          <w:b/>
        </w:rPr>
        <w:t>onsideration of the evidence</w:t>
      </w:r>
      <w:bookmarkEnd w:id="7"/>
    </w:p>
    <w:p w:rsidR="00B60939" w:rsidRPr="00B07E65" w:rsidRDefault="00B60939" w:rsidP="00151F4C">
      <w:pPr>
        <w:keepNext/>
        <w:keepLines/>
        <w:widowControl/>
        <w:rPr>
          <w:b/>
          <w:szCs w:val="22"/>
        </w:rPr>
      </w:pPr>
    </w:p>
    <w:p w:rsidR="00D266AF" w:rsidRPr="00B07E65" w:rsidRDefault="00D266AF" w:rsidP="00151F4C">
      <w:pPr>
        <w:pStyle w:val="Heading2"/>
        <w:keepNext/>
        <w:keepLines/>
        <w:rPr>
          <w:i/>
        </w:rPr>
      </w:pPr>
      <w:r w:rsidRPr="00B07E65">
        <w:rPr>
          <w:i/>
        </w:rPr>
        <w:t>Sponsor hearing</w:t>
      </w:r>
    </w:p>
    <w:p w:rsidR="00D266AF" w:rsidRPr="00B07E65" w:rsidRDefault="00D266AF" w:rsidP="00151F4C">
      <w:pPr>
        <w:keepNext/>
        <w:keepLines/>
        <w:rPr>
          <w:b/>
          <w:bCs/>
          <w:szCs w:val="22"/>
          <w:highlight w:val="yellow"/>
        </w:rPr>
      </w:pPr>
    </w:p>
    <w:p w:rsidR="00D266AF" w:rsidRPr="00B07E65" w:rsidRDefault="00D266AF" w:rsidP="00151F4C">
      <w:pPr>
        <w:keepNext/>
        <w:keepLines/>
        <w:widowControl/>
        <w:numPr>
          <w:ilvl w:val="1"/>
          <w:numId w:val="1"/>
        </w:numPr>
        <w:jc w:val="left"/>
        <w:rPr>
          <w:bCs/>
          <w:szCs w:val="22"/>
        </w:rPr>
      </w:pPr>
      <w:r w:rsidRPr="00B07E65">
        <w:rPr>
          <w:bCs/>
          <w:szCs w:val="22"/>
        </w:rPr>
        <w:t>The</w:t>
      </w:r>
      <w:r w:rsidR="00CB54FC" w:rsidRPr="00B07E65">
        <w:rPr>
          <w:bCs/>
          <w:szCs w:val="22"/>
        </w:rPr>
        <w:t>re was no hearing for this item</w:t>
      </w:r>
      <w:r w:rsidRPr="00B07E65">
        <w:rPr>
          <w:bCs/>
          <w:szCs w:val="22"/>
        </w:rPr>
        <w:t>.</w:t>
      </w:r>
    </w:p>
    <w:p w:rsidR="00D266AF" w:rsidRPr="00B07E65" w:rsidRDefault="00D266AF" w:rsidP="00D266AF">
      <w:pPr>
        <w:rPr>
          <w:bCs/>
          <w:szCs w:val="22"/>
          <w:highlight w:val="yellow"/>
        </w:rPr>
      </w:pPr>
    </w:p>
    <w:p w:rsidR="00D266AF" w:rsidRPr="00B07E65" w:rsidRDefault="00D266AF" w:rsidP="00AB33E4">
      <w:pPr>
        <w:pStyle w:val="Heading2"/>
        <w:keepNext/>
        <w:rPr>
          <w:i/>
        </w:rPr>
      </w:pPr>
      <w:r w:rsidRPr="00B07E65">
        <w:rPr>
          <w:i/>
        </w:rPr>
        <w:t>Consumer comments</w:t>
      </w:r>
    </w:p>
    <w:p w:rsidR="00D266AF" w:rsidRPr="00B07E65" w:rsidRDefault="00D266AF" w:rsidP="00D266AF">
      <w:pPr>
        <w:rPr>
          <w:b/>
          <w:bCs/>
          <w:szCs w:val="22"/>
          <w:highlight w:val="yellow"/>
        </w:rPr>
      </w:pPr>
    </w:p>
    <w:p w:rsidR="00022F9F" w:rsidRPr="00B07E65" w:rsidRDefault="00022F9F" w:rsidP="00271C16">
      <w:pPr>
        <w:widowControl/>
        <w:numPr>
          <w:ilvl w:val="1"/>
          <w:numId w:val="1"/>
        </w:numPr>
        <w:rPr>
          <w:bCs/>
          <w:szCs w:val="22"/>
        </w:rPr>
      </w:pPr>
      <w:r w:rsidRPr="00B07E65">
        <w:rPr>
          <w:bCs/>
          <w:szCs w:val="22"/>
        </w:rPr>
        <w:t>The PBAC noted and welcomed the input from individuals (21), health care professionals (29) and organisations (3) via the Consumer Comments facility on the PBS website. The comments de</w:t>
      </w:r>
      <w:r w:rsidR="008317FE" w:rsidRPr="00B07E65">
        <w:rPr>
          <w:bCs/>
          <w:szCs w:val="22"/>
        </w:rPr>
        <w:t>scribed a range of benefits of treatment with</w:t>
      </w:r>
      <w:r w:rsidRPr="00B07E65">
        <w:rPr>
          <w:bCs/>
          <w:szCs w:val="22"/>
        </w:rPr>
        <w:t xml:space="preserve"> SC methotrexate pre-filled syring</w:t>
      </w:r>
      <w:r w:rsidR="008317FE" w:rsidRPr="00B07E65">
        <w:rPr>
          <w:bCs/>
          <w:szCs w:val="22"/>
        </w:rPr>
        <w:t>e</w:t>
      </w:r>
      <w:r w:rsidRPr="00B07E65">
        <w:rPr>
          <w:bCs/>
          <w:szCs w:val="22"/>
        </w:rPr>
        <w:t>s</w:t>
      </w:r>
      <w:r w:rsidR="008317FE" w:rsidRPr="00B07E65">
        <w:rPr>
          <w:bCs/>
          <w:szCs w:val="22"/>
        </w:rPr>
        <w:t xml:space="preserve"> including </w:t>
      </w:r>
      <w:r w:rsidR="00405F7F" w:rsidRPr="00B07E65">
        <w:rPr>
          <w:bCs/>
          <w:szCs w:val="22"/>
        </w:rPr>
        <w:t>improve</w:t>
      </w:r>
      <w:r w:rsidR="00A61D60" w:rsidRPr="00B07E65">
        <w:rPr>
          <w:bCs/>
          <w:szCs w:val="22"/>
        </w:rPr>
        <w:t xml:space="preserve">d </w:t>
      </w:r>
      <w:r w:rsidR="00F2029A" w:rsidRPr="00B07E65">
        <w:rPr>
          <w:bCs/>
          <w:szCs w:val="22"/>
        </w:rPr>
        <w:t>dosing</w:t>
      </w:r>
      <w:r w:rsidR="009D43C8" w:rsidRPr="00B07E65">
        <w:rPr>
          <w:bCs/>
          <w:szCs w:val="22"/>
        </w:rPr>
        <w:t xml:space="preserve"> </w:t>
      </w:r>
      <w:r w:rsidR="00405F7F" w:rsidRPr="00B07E65">
        <w:rPr>
          <w:bCs/>
          <w:szCs w:val="22"/>
        </w:rPr>
        <w:t>accuracy</w:t>
      </w:r>
      <w:r w:rsidR="009D43C8" w:rsidRPr="00B07E65">
        <w:rPr>
          <w:bCs/>
          <w:szCs w:val="22"/>
        </w:rPr>
        <w:t xml:space="preserve">, </w:t>
      </w:r>
      <w:r w:rsidR="00E0297F" w:rsidRPr="00B07E65">
        <w:rPr>
          <w:bCs/>
          <w:szCs w:val="22"/>
        </w:rPr>
        <w:t>ease of</w:t>
      </w:r>
      <w:r w:rsidR="008317FE" w:rsidRPr="00B07E65">
        <w:rPr>
          <w:bCs/>
          <w:szCs w:val="22"/>
        </w:rPr>
        <w:t xml:space="preserve"> </w:t>
      </w:r>
      <w:proofErr w:type="gramStart"/>
      <w:r w:rsidR="008317FE" w:rsidRPr="00B07E65">
        <w:rPr>
          <w:bCs/>
          <w:szCs w:val="22"/>
        </w:rPr>
        <w:t>administration</w:t>
      </w:r>
      <w:r w:rsidR="002F1FD2" w:rsidRPr="00B07E65">
        <w:rPr>
          <w:bCs/>
          <w:szCs w:val="22"/>
        </w:rPr>
        <w:t>,</w:t>
      </w:r>
      <w:proofErr w:type="gramEnd"/>
      <w:r w:rsidR="00F2029A" w:rsidRPr="00B07E65">
        <w:rPr>
          <w:bCs/>
          <w:szCs w:val="22"/>
        </w:rPr>
        <w:t xml:space="preserve"> lack of wastage compared to vials,</w:t>
      </w:r>
      <w:r w:rsidR="009D43C8" w:rsidRPr="00B07E65">
        <w:rPr>
          <w:bCs/>
          <w:szCs w:val="22"/>
        </w:rPr>
        <w:t xml:space="preserve"> </w:t>
      </w:r>
      <w:r w:rsidR="001E1652" w:rsidRPr="00B07E65">
        <w:rPr>
          <w:bCs/>
          <w:szCs w:val="22"/>
        </w:rPr>
        <w:t xml:space="preserve">improved compliance </w:t>
      </w:r>
      <w:r w:rsidR="009D43C8" w:rsidRPr="00B07E65">
        <w:rPr>
          <w:bCs/>
          <w:szCs w:val="22"/>
        </w:rPr>
        <w:t xml:space="preserve">and </w:t>
      </w:r>
      <w:r w:rsidR="001E1652" w:rsidRPr="00B07E65">
        <w:rPr>
          <w:bCs/>
          <w:szCs w:val="22"/>
        </w:rPr>
        <w:t>enhanced</w:t>
      </w:r>
      <w:r w:rsidR="009D43C8" w:rsidRPr="00B07E65">
        <w:rPr>
          <w:bCs/>
          <w:szCs w:val="22"/>
        </w:rPr>
        <w:t xml:space="preserve"> quality of life</w:t>
      </w:r>
      <w:r w:rsidR="008317FE" w:rsidRPr="00B07E65">
        <w:rPr>
          <w:bCs/>
          <w:szCs w:val="22"/>
        </w:rPr>
        <w:t>.</w:t>
      </w:r>
      <w:r w:rsidR="007B379A" w:rsidRPr="00B07E65">
        <w:rPr>
          <w:bCs/>
          <w:szCs w:val="22"/>
        </w:rPr>
        <w:t xml:space="preserve"> It was also noted that the availability of pre-filled syringes could potentially delay or remove the need for patients to transition to more expensive biologic therapies.</w:t>
      </w:r>
      <w:r w:rsidRPr="00B07E65">
        <w:rPr>
          <w:bCs/>
          <w:szCs w:val="22"/>
        </w:rPr>
        <w:t xml:space="preserve"> </w:t>
      </w:r>
      <w:r w:rsidR="009D43C8" w:rsidRPr="00B07E65">
        <w:rPr>
          <w:bCs/>
          <w:szCs w:val="22"/>
        </w:rPr>
        <w:t>The</w:t>
      </w:r>
      <w:r w:rsidR="00724F07" w:rsidRPr="00B07E65">
        <w:rPr>
          <w:bCs/>
          <w:szCs w:val="22"/>
        </w:rPr>
        <w:t xml:space="preserve"> PBAC </w:t>
      </w:r>
      <w:r w:rsidR="00F2029A" w:rsidRPr="00B07E65">
        <w:rPr>
          <w:bCs/>
          <w:szCs w:val="22"/>
        </w:rPr>
        <w:t xml:space="preserve">also </w:t>
      </w:r>
      <w:r w:rsidRPr="00B07E65">
        <w:rPr>
          <w:bCs/>
          <w:szCs w:val="22"/>
        </w:rPr>
        <w:t>noted</w:t>
      </w:r>
      <w:r w:rsidR="00F2029A" w:rsidRPr="00B07E65">
        <w:rPr>
          <w:bCs/>
          <w:szCs w:val="22"/>
        </w:rPr>
        <w:t xml:space="preserve"> the comments</w:t>
      </w:r>
      <w:r w:rsidRPr="00B07E65">
        <w:rPr>
          <w:bCs/>
          <w:szCs w:val="22"/>
        </w:rPr>
        <w:t xml:space="preserve"> that the </w:t>
      </w:r>
      <w:r w:rsidR="002F1FD2" w:rsidRPr="00B07E65">
        <w:rPr>
          <w:bCs/>
          <w:szCs w:val="22"/>
        </w:rPr>
        <w:t>TGA registration</w:t>
      </w:r>
      <w:r w:rsidRPr="00B07E65">
        <w:rPr>
          <w:bCs/>
          <w:szCs w:val="22"/>
        </w:rPr>
        <w:t xml:space="preserve"> of SC methotrexate pre-filled syringes</w:t>
      </w:r>
      <w:r w:rsidR="00F2029A" w:rsidRPr="00B07E65">
        <w:rPr>
          <w:bCs/>
          <w:szCs w:val="22"/>
        </w:rPr>
        <w:t xml:space="preserve"> had</w:t>
      </w:r>
      <w:r w:rsidRPr="00B07E65">
        <w:rPr>
          <w:bCs/>
          <w:szCs w:val="22"/>
        </w:rPr>
        <w:t xml:space="preserve"> led to </w:t>
      </w:r>
      <w:r w:rsidR="00A61D60" w:rsidRPr="00B07E65">
        <w:rPr>
          <w:bCs/>
          <w:szCs w:val="22"/>
        </w:rPr>
        <w:t xml:space="preserve">some </w:t>
      </w:r>
      <w:r w:rsidRPr="00B07E65">
        <w:rPr>
          <w:bCs/>
          <w:szCs w:val="22"/>
        </w:rPr>
        <w:t xml:space="preserve">compounding </w:t>
      </w:r>
      <w:r w:rsidR="008317FE" w:rsidRPr="00B07E65">
        <w:rPr>
          <w:bCs/>
          <w:szCs w:val="22"/>
        </w:rPr>
        <w:t>pharmacists</w:t>
      </w:r>
      <w:r w:rsidRPr="00B07E65">
        <w:rPr>
          <w:bCs/>
          <w:szCs w:val="22"/>
        </w:rPr>
        <w:t xml:space="preserve"> stopp</w:t>
      </w:r>
      <w:r w:rsidR="00F2029A" w:rsidRPr="00B07E65">
        <w:rPr>
          <w:bCs/>
          <w:szCs w:val="22"/>
        </w:rPr>
        <w:t>ing</w:t>
      </w:r>
      <w:r w:rsidRPr="00B07E65">
        <w:rPr>
          <w:bCs/>
          <w:szCs w:val="22"/>
        </w:rPr>
        <w:t xml:space="preserve"> produc</w:t>
      </w:r>
      <w:r w:rsidR="00F2029A" w:rsidRPr="00B07E65">
        <w:rPr>
          <w:bCs/>
          <w:szCs w:val="22"/>
        </w:rPr>
        <w:t>tion of</w:t>
      </w:r>
      <w:r w:rsidR="002F1FD2" w:rsidRPr="00B07E65">
        <w:rPr>
          <w:bCs/>
          <w:szCs w:val="22"/>
        </w:rPr>
        <w:t xml:space="preserve"> </w:t>
      </w:r>
      <w:r w:rsidRPr="00B07E65">
        <w:rPr>
          <w:bCs/>
          <w:szCs w:val="22"/>
        </w:rPr>
        <w:t>pre-filled syringes</w:t>
      </w:r>
      <w:r w:rsidR="00F2029A" w:rsidRPr="00B07E65">
        <w:rPr>
          <w:bCs/>
          <w:szCs w:val="22"/>
        </w:rPr>
        <w:t>,</w:t>
      </w:r>
      <w:r w:rsidRPr="00B07E65">
        <w:rPr>
          <w:bCs/>
          <w:szCs w:val="22"/>
        </w:rPr>
        <w:t xml:space="preserve"> </w:t>
      </w:r>
      <w:r w:rsidR="00A61D60" w:rsidRPr="00B07E65">
        <w:rPr>
          <w:bCs/>
          <w:szCs w:val="22"/>
        </w:rPr>
        <w:t xml:space="preserve">which </w:t>
      </w:r>
      <w:r w:rsidR="00F2029A" w:rsidRPr="00B07E65">
        <w:rPr>
          <w:bCs/>
          <w:szCs w:val="22"/>
        </w:rPr>
        <w:t>ha</w:t>
      </w:r>
      <w:r w:rsidR="002F1FD2" w:rsidRPr="00B07E65">
        <w:rPr>
          <w:bCs/>
          <w:szCs w:val="22"/>
        </w:rPr>
        <w:t>d</w:t>
      </w:r>
      <w:r w:rsidR="00F2029A" w:rsidRPr="00B07E65">
        <w:rPr>
          <w:bCs/>
          <w:szCs w:val="22"/>
        </w:rPr>
        <w:t xml:space="preserve"> </w:t>
      </w:r>
      <w:r w:rsidR="00A61D60" w:rsidRPr="00B07E65">
        <w:rPr>
          <w:bCs/>
          <w:szCs w:val="22"/>
        </w:rPr>
        <w:t>increased administrative burden</w:t>
      </w:r>
      <w:r w:rsidR="00F2029A" w:rsidRPr="00B07E65">
        <w:rPr>
          <w:bCs/>
          <w:szCs w:val="22"/>
        </w:rPr>
        <w:t>s</w:t>
      </w:r>
      <w:r w:rsidR="00A61D60" w:rsidRPr="00B07E65">
        <w:rPr>
          <w:bCs/>
          <w:szCs w:val="22"/>
        </w:rPr>
        <w:t xml:space="preserve"> for </w:t>
      </w:r>
      <w:r w:rsidR="006604EE" w:rsidRPr="00B07E65">
        <w:rPr>
          <w:bCs/>
          <w:szCs w:val="22"/>
        </w:rPr>
        <w:t xml:space="preserve">those </w:t>
      </w:r>
      <w:r w:rsidR="00A61D60" w:rsidRPr="00B07E65">
        <w:rPr>
          <w:bCs/>
          <w:szCs w:val="22"/>
        </w:rPr>
        <w:t>patients</w:t>
      </w:r>
      <w:r w:rsidR="00F2029A" w:rsidRPr="00B07E65">
        <w:rPr>
          <w:bCs/>
          <w:szCs w:val="22"/>
        </w:rPr>
        <w:t xml:space="preserve"> who now have to see their GP for injections</w:t>
      </w:r>
      <w:r w:rsidRPr="00B07E65">
        <w:rPr>
          <w:bCs/>
          <w:szCs w:val="22"/>
        </w:rPr>
        <w:t xml:space="preserve">. </w:t>
      </w:r>
    </w:p>
    <w:p w:rsidR="009D43C8" w:rsidRPr="00B07E65" w:rsidRDefault="009D43C8" w:rsidP="00280296">
      <w:pPr>
        <w:widowControl/>
        <w:ind w:left="720"/>
        <w:rPr>
          <w:bCs/>
          <w:szCs w:val="22"/>
        </w:rPr>
      </w:pPr>
    </w:p>
    <w:p w:rsidR="00D9676F" w:rsidRPr="00B07E65" w:rsidRDefault="0027064A" w:rsidP="00271C16">
      <w:pPr>
        <w:widowControl/>
        <w:numPr>
          <w:ilvl w:val="1"/>
          <w:numId w:val="1"/>
        </w:numPr>
        <w:rPr>
          <w:bCs/>
          <w:szCs w:val="22"/>
        </w:rPr>
      </w:pPr>
      <w:r w:rsidRPr="00B07E65">
        <w:rPr>
          <w:bCs/>
          <w:szCs w:val="22"/>
        </w:rPr>
        <w:t>The comments from</w:t>
      </w:r>
      <w:r w:rsidR="00441E9D" w:rsidRPr="00B07E65">
        <w:rPr>
          <w:bCs/>
          <w:szCs w:val="22"/>
        </w:rPr>
        <w:t xml:space="preserve"> Creaky Joints Australia and</w:t>
      </w:r>
      <w:r w:rsidR="003728D6" w:rsidRPr="00B07E65">
        <w:rPr>
          <w:bCs/>
          <w:szCs w:val="22"/>
        </w:rPr>
        <w:t xml:space="preserve"> the</w:t>
      </w:r>
      <w:r w:rsidR="00441E9D" w:rsidRPr="00B07E65">
        <w:rPr>
          <w:bCs/>
          <w:szCs w:val="22"/>
        </w:rPr>
        <w:t xml:space="preserve"> Young Women</w:t>
      </w:r>
      <w:r w:rsidR="003728D6" w:rsidRPr="00B07E65">
        <w:rPr>
          <w:bCs/>
          <w:szCs w:val="22"/>
        </w:rPr>
        <w:t>’</w:t>
      </w:r>
      <w:r w:rsidR="00441E9D" w:rsidRPr="00B07E65">
        <w:rPr>
          <w:bCs/>
          <w:szCs w:val="22"/>
        </w:rPr>
        <w:t xml:space="preserve">s Arthritis Support Group </w:t>
      </w:r>
      <w:r w:rsidR="00724F07" w:rsidRPr="00B07E65">
        <w:rPr>
          <w:bCs/>
          <w:szCs w:val="22"/>
        </w:rPr>
        <w:t xml:space="preserve">also </w:t>
      </w:r>
      <w:r w:rsidR="00405F7F" w:rsidRPr="00B07E65">
        <w:rPr>
          <w:bCs/>
          <w:szCs w:val="22"/>
        </w:rPr>
        <w:t>highlighted</w:t>
      </w:r>
      <w:r w:rsidR="00724F07" w:rsidRPr="00B07E65">
        <w:rPr>
          <w:bCs/>
          <w:szCs w:val="22"/>
        </w:rPr>
        <w:t xml:space="preserve"> that the pre-filled syringes provided convenience in the administration of methotrexate</w:t>
      </w:r>
      <w:r w:rsidR="003728D6" w:rsidRPr="00B07E65">
        <w:rPr>
          <w:bCs/>
          <w:szCs w:val="22"/>
        </w:rPr>
        <w:t>, particularly as patients with RA may have limited dexterity and be unable to administer other</w:t>
      </w:r>
      <w:r w:rsidR="00EA586A" w:rsidRPr="00B07E65">
        <w:rPr>
          <w:bCs/>
          <w:szCs w:val="22"/>
        </w:rPr>
        <w:t xml:space="preserve"> forms of</w:t>
      </w:r>
      <w:r w:rsidR="003728D6" w:rsidRPr="00B07E65">
        <w:rPr>
          <w:bCs/>
          <w:szCs w:val="22"/>
        </w:rPr>
        <w:t xml:space="preserve"> injectable methotrexate.</w:t>
      </w:r>
      <w:r w:rsidR="006857A7" w:rsidRPr="00B07E65">
        <w:rPr>
          <w:bCs/>
          <w:szCs w:val="22"/>
        </w:rPr>
        <w:t xml:space="preserve"> The PBAC welcomed the patient comments compiled</w:t>
      </w:r>
      <w:r w:rsidR="00031124" w:rsidRPr="00B07E65">
        <w:rPr>
          <w:bCs/>
          <w:szCs w:val="22"/>
        </w:rPr>
        <w:t xml:space="preserve"> by Creaky Joints Australia. These comments</w:t>
      </w:r>
      <w:r w:rsidR="006857A7" w:rsidRPr="00B07E65">
        <w:rPr>
          <w:bCs/>
          <w:szCs w:val="22"/>
        </w:rPr>
        <w:t xml:space="preserve"> </w:t>
      </w:r>
      <w:r w:rsidR="00031124" w:rsidRPr="00B07E65">
        <w:rPr>
          <w:bCs/>
          <w:szCs w:val="22"/>
        </w:rPr>
        <w:t>reiterated the range of benefits experienced using SC methotrexate pre-filled syringes</w:t>
      </w:r>
      <w:r w:rsidR="00D9676F" w:rsidRPr="00B07E65">
        <w:rPr>
          <w:bCs/>
          <w:szCs w:val="22"/>
        </w:rPr>
        <w:t>.</w:t>
      </w:r>
    </w:p>
    <w:p w:rsidR="00D9676F" w:rsidRPr="00B07E65" w:rsidRDefault="00D9676F" w:rsidP="00D9676F">
      <w:pPr>
        <w:pStyle w:val="ListParagraph"/>
        <w:rPr>
          <w:bCs/>
          <w:szCs w:val="22"/>
        </w:rPr>
      </w:pPr>
    </w:p>
    <w:p w:rsidR="009D43C8" w:rsidRPr="00B07E65" w:rsidRDefault="00D9676F" w:rsidP="00271C16">
      <w:pPr>
        <w:widowControl/>
        <w:numPr>
          <w:ilvl w:val="1"/>
          <w:numId w:val="1"/>
        </w:numPr>
        <w:rPr>
          <w:bCs/>
          <w:szCs w:val="22"/>
        </w:rPr>
      </w:pPr>
      <w:r w:rsidRPr="00B07E65">
        <w:rPr>
          <w:bCs/>
          <w:szCs w:val="22"/>
        </w:rPr>
        <w:t xml:space="preserve">The PBAC also noted the </w:t>
      </w:r>
      <w:r w:rsidR="00C67F31" w:rsidRPr="00B07E65">
        <w:rPr>
          <w:bCs/>
          <w:szCs w:val="22"/>
        </w:rPr>
        <w:t>correspondence</w:t>
      </w:r>
      <w:r w:rsidRPr="00B07E65">
        <w:rPr>
          <w:bCs/>
          <w:szCs w:val="22"/>
        </w:rPr>
        <w:t xml:space="preserve"> from Monash Rheumatology at Monash Health</w:t>
      </w:r>
      <w:r w:rsidR="00A17EB2" w:rsidRPr="00B07E65">
        <w:rPr>
          <w:bCs/>
          <w:szCs w:val="22"/>
        </w:rPr>
        <w:t>, strongly in support of PBS listing of methotrexate SC pre-filled syringes.</w:t>
      </w:r>
      <w:r w:rsidR="00C67F31" w:rsidRPr="00B07E65">
        <w:rPr>
          <w:bCs/>
          <w:szCs w:val="22"/>
        </w:rPr>
        <w:t xml:space="preserve"> </w:t>
      </w:r>
      <w:proofErr w:type="gramStart"/>
      <w:r w:rsidR="00C67F31" w:rsidRPr="00B07E65">
        <w:rPr>
          <w:bCs/>
          <w:szCs w:val="22"/>
        </w:rPr>
        <w:t>This correspondence viewed that the listing would increase the uptake of injectable methotrexate treatments in Australia, resulting in improved efficacy and i</w:t>
      </w:r>
      <w:r w:rsidR="000F4C41">
        <w:rPr>
          <w:bCs/>
          <w:szCs w:val="22"/>
        </w:rPr>
        <w:t>mproved quality of life, and</w:t>
      </w:r>
      <w:r w:rsidR="00C67F31" w:rsidRPr="00B07E65">
        <w:rPr>
          <w:bCs/>
          <w:szCs w:val="22"/>
        </w:rPr>
        <w:t xml:space="preserve"> delay or reduce</w:t>
      </w:r>
      <w:proofErr w:type="gramEnd"/>
      <w:r w:rsidR="00C67F31" w:rsidRPr="00B07E65">
        <w:rPr>
          <w:bCs/>
          <w:szCs w:val="22"/>
        </w:rPr>
        <w:t xml:space="preserve"> the uptake of biological therapies for RA.</w:t>
      </w:r>
      <w:r w:rsidR="00476795" w:rsidRPr="00B07E65">
        <w:rPr>
          <w:bCs/>
          <w:szCs w:val="22"/>
        </w:rPr>
        <w:t xml:space="preserve"> The correspondence also stated that significant num</w:t>
      </w:r>
      <w:r w:rsidR="007A5A8C" w:rsidRPr="00B07E65">
        <w:rPr>
          <w:bCs/>
          <w:szCs w:val="22"/>
        </w:rPr>
        <w:t xml:space="preserve">bers of patients at Monash had </w:t>
      </w:r>
      <w:r w:rsidR="00476795" w:rsidRPr="00B07E65">
        <w:rPr>
          <w:bCs/>
          <w:szCs w:val="22"/>
        </w:rPr>
        <w:t xml:space="preserve">been successfully </w:t>
      </w:r>
      <w:r w:rsidR="007A5A8C" w:rsidRPr="00B07E65">
        <w:rPr>
          <w:bCs/>
          <w:szCs w:val="22"/>
        </w:rPr>
        <w:t>treated</w:t>
      </w:r>
      <w:r w:rsidR="00476795" w:rsidRPr="00B07E65">
        <w:rPr>
          <w:bCs/>
          <w:szCs w:val="22"/>
        </w:rPr>
        <w:t xml:space="preserve"> with </w:t>
      </w:r>
      <w:r w:rsidR="0031694B" w:rsidRPr="00B07E65">
        <w:rPr>
          <w:bCs/>
          <w:szCs w:val="22"/>
        </w:rPr>
        <w:t>SC</w:t>
      </w:r>
      <w:r w:rsidR="00476795" w:rsidRPr="00B07E65">
        <w:rPr>
          <w:bCs/>
          <w:szCs w:val="22"/>
        </w:rPr>
        <w:t xml:space="preserve"> methotrexate after an inadequate response to oral methotrexate.</w:t>
      </w:r>
    </w:p>
    <w:p w:rsidR="00724F07" w:rsidRPr="00B07E65" w:rsidRDefault="00724F07" w:rsidP="00724F07">
      <w:pPr>
        <w:pStyle w:val="ListParagraph"/>
        <w:rPr>
          <w:bCs/>
          <w:szCs w:val="22"/>
          <w:highlight w:val="yellow"/>
        </w:rPr>
      </w:pPr>
    </w:p>
    <w:p w:rsidR="00B60939" w:rsidRPr="00B07E65" w:rsidRDefault="00B60939" w:rsidP="00497F10">
      <w:pPr>
        <w:pStyle w:val="Heading2"/>
        <w:rPr>
          <w:i/>
        </w:rPr>
      </w:pPr>
      <w:bookmarkStart w:id="8" w:name="_Toc472340126"/>
      <w:r w:rsidRPr="00B07E65">
        <w:rPr>
          <w:i/>
        </w:rPr>
        <w:t>Clinical trials</w:t>
      </w:r>
      <w:bookmarkEnd w:id="8"/>
    </w:p>
    <w:p w:rsidR="00B60939" w:rsidRPr="00B07E65" w:rsidRDefault="00B60939" w:rsidP="00B60939">
      <w:pPr>
        <w:rPr>
          <w:szCs w:val="22"/>
        </w:rPr>
      </w:pPr>
    </w:p>
    <w:p w:rsidR="007F1017" w:rsidRPr="00B07E65" w:rsidRDefault="00360F5F" w:rsidP="00271C16">
      <w:pPr>
        <w:pStyle w:val="ListParagraph"/>
        <w:widowControl/>
        <w:numPr>
          <w:ilvl w:val="1"/>
          <w:numId w:val="1"/>
        </w:numPr>
        <w:rPr>
          <w:szCs w:val="22"/>
        </w:rPr>
      </w:pPr>
      <w:r w:rsidRPr="00B07E65">
        <w:t xml:space="preserve">At its March 2016 meeting, the PBAC considered that SC methotrexate pre-filled syringes were non-inferior to IM methotrexate. To </w:t>
      </w:r>
      <w:r w:rsidR="00422E7A" w:rsidRPr="00B07E65">
        <w:t xml:space="preserve">further </w:t>
      </w:r>
      <w:r w:rsidRPr="00B07E65">
        <w:t xml:space="preserve">support this, the resubmission presented three new studies and re-presented </w:t>
      </w:r>
      <w:r w:rsidR="00F80536" w:rsidRPr="00B07E65">
        <w:t>one</w:t>
      </w:r>
      <w:r w:rsidRPr="00B07E65">
        <w:t xml:space="preserve"> study from the previous submission (MC MTX.7</w:t>
      </w:r>
      <w:r w:rsidR="00E74A87" w:rsidRPr="00B07E65">
        <w:t>/</w:t>
      </w:r>
      <w:r w:rsidRPr="00B07E65">
        <w:t>PH).</w:t>
      </w:r>
      <w:r w:rsidR="001B6188" w:rsidRPr="00B07E65">
        <w:rPr>
          <w:color w:val="3366FF"/>
        </w:rPr>
        <w:t xml:space="preserve"> </w:t>
      </w:r>
    </w:p>
    <w:p w:rsidR="002F2D90" w:rsidRPr="00B07E65" w:rsidRDefault="002F2D90" w:rsidP="002F2D90">
      <w:pPr>
        <w:pStyle w:val="ListParagraph"/>
        <w:widowControl/>
        <w:rPr>
          <w:szCs w:val="22"/>
        </w:rPr>
      </w:pPr>
    </w:p>
    <w:p w:rsidR="002F2D90" w:rsidRPr="00B07E65" w:rsidRDefault="002F2D90" w:rsidP="00271C16">
      <w:pPr>
        <w:pStyle w:val="ListParagraph"/>
        <w:widowControl/>
        <w:numPr>
          <w:ilvl w:val="1"/>
          <w:numId w:val="1"/>
        </w:numPr>
        <w:rPr>
          <w:szCs w:val="22"/>
        </w:rPr>
      </w:pPr>
      <w:r w:rsidRPr="00B07E65">
        <w:rPr>
          <w:szCs w:val="22"/>
        </w:rPr>
        <w:t>Two of the newly identified studies (</w:t>
      </w:r>
      <w:proofErr w:type="spellStart"/>
      <w:r w:rsidRPr="00B07E65">
        <w:rPr>
          <w:szCs w:val="22"/>
        </w:rPr>
        <w:t>Jundt</w:t>
      </w:r>
      <w:proofErr w:type="spellEnd"/>
      <w:r w:rsidRPr="00B07E65">
        <w:rPr>
          <w:szCs w:val="22"/>
        </w:rPr>
        <w:t xml:space="preserve"> (1993) and Brooks (1990)) were excluded during the evaluation as they did not include the relevant outcomes.</w:t>
      </w:r>
      <w:r w:rsidRPr="00B07E65">
        <w:t xml:space="preserve"> The studies did not report</w:t>
      </w:r>
      <w:r w:rsidRPr="00B07E65">
        <w:rPr>
          <w:szCs w:val="22"/>
        </w:rPr>
        <w:t xml:space="preserve"> the geometric mean ratio between pharmacokinetic parameters.</w:t>
      </w:r>
      <w:r w:rsidR="00761E49" w:rsidRPr="00B07E65">
        <w:rPr>
          <w:szCs w:val="22"/>
        </w:rPr>
        <w:t xml:space="preserve"> Thus</w:t>
      </w:r>
      <w:r w:rsidR="00AC0030" w:rsidRPr="00B07E65">
        <w:rPr>
          <w:szCs w:val="22"/>
        </w:rPr>
        <w:t>,</w:t>
      </w:r>
      <w:r w:rsidR="00761E49" w:rsidRPr="00B07E65">
        <w:rPr>
          <w:szCs w:val="22"/>
        </w:rPr>
        <w:t xml:space="preserve"> </w:t>
      </w:r>
      <w:r w:rsidR="00761E49" w:rsidRPr="00B07E65">
        <w:t>the evaluation was based on two pharmacokinetic studies (n = 52).</w:t>
      </w:r>
    </w:p>
    <w:p w:rsidR="00C00B03" w:rsidRPr="00B07E65" w:rsidRDefault="00C00B03" w:rsidP="00C00B03">
      <w:pPr>
        <w:pStyle w:val="ListParagraph"/>
        <w:rPr>
          <w:szCs w:val="22"/>
        </w:rPr>
      </w:pPr>
    </w:p>
    <w:p w:rsidR="00486B6F" w:rsidRPr="00B07E65" w:rsidRDefault="00F80536" w:rsidP="00271C16">
      <w:pPr>
        <w:pStyle w:val="ListParagraph"/>
        <w:numPr>
          <w:ilvl w:val="1"/>
          <w:numId w:val="1"/>
        </w:numPr>
      </w:pPr>
      <w:r w:rsidRPr="00B07E65">
        <w:t>Additionally, t</w:t>
      </w:r>
      <w:r w:rsidR="00C06D22" w:rsidRPr="00B07E65">
        <w:t>he resubmission presented one randomised trial (n</w:t>
      </w:r>
      <w:r w:rsidR="00FF4D87" w:rsidRPr="00B07E65">
        <w:t xml:space="preserve"> </w:t>
      </w:r>
      <w:r w:rsidR="00C06D22" w:rsidRPr="00B07E65">
        <w:t>=</w:t>
      </w:r>
      <w:r w:rsidR="00FF4D87" w:rsidRPr="00B07E65">
        <w:t xml:space="preserve"> </w:t>
      </w:r>
      <w:r w:rsidR="00C06D22" w:rsidRPr="00B07E65">
        <w:t>375) and one observational study (n</w:t>
      </w:r>
      <w:r w:rsidR="00FF4D87" w:rsidRPr="00B07E65">
        <w:t xml:space="preserve"> </w:t>
      </w:r>
      <w:r w:rsidR="00C06D22" w:rsidRPr="00B07E65">
        <w:t>=</w:t>
      </w:r>
      <w:r w:rsidR="00FF4D87" w:rsidRPr="00B07E65">
        <w:t xml:space="preserve"> </w:t>
      </w:r>
      <w:r w:rsidR="00C06D22" w:rsidRPr="00B07E65">
        <w:t xml:space="preserve">666) that compared SC methotrexate </w:t>
      </w:r>
      <w:r w:rsidR="00111C1D" w:rsidRPr="00B07E65">
        <w:t xml:space="preserve">with </w:t>
      </w:r>
      <w:r w:rsidR="00707CF9" w:rsidRPr="00B07E65">
        <w:t>oral</w:t>
      </w:r>
      <w:r w:rsidR="00C06D22" w:rsidRPr="00B07E65">
        <w:t xml:space="preserve"> methotrexate to support the supplementary comparison </w:t>
      </w:r>
      <w:r w:rsidR="000B232A" w:rsidRPr="00B07E65">
        <w:t xml:space="preserve">against </w:t>
      </w:r>
      <w:r w:rsidR="00C06D22" w:rsidRPr="00B07E65">
        <w:t xml:space="preserve">oral methotrexate. </w:t>
      </w:r>
      <w:r w:rsidR="00F5633C" w:rsidRPr="00B07E65">
        <w:t xml:space="preserve">The PBAC did not consider the comparison </w:t>
      </w:r>
      <w:r w:rsidR="0032717F" w:rsidRPr="00B07E65">
        <w:t>informative</w:t>
      </w:r>
      <w:r w:rsidR="00F5633C" w:rsidRPr="00B07E65">
        <w:t xml:space="preserve"> to its decision-making for the requested PBS listing.</w:t>
      </w:r>
    </w:p>
    <w:p w:rsidR="00AB33E4" w:rsidRDefault="00AB33E4">
      <w:pPr>
        <w:widowControl/>
        <w:jc w:val="left"/>
        <w:rPr>
          <w:szCs w:val="22"/>
        </w:rPr>
      </w:pPr>
      <w:r>
        <w:rPr>
          <w:szCs w:val="22"/>
        </w:rPr>
        <w:br w:type="page"/>
      </w:r>
    </w:p>
    <w:p w:rsidR="001B6188" w:rsidRPr="00B07E65" w:rsidRDefault="001B6188" w:rsidP="001B6188">
      <w:pPr>
        <w:widowControl/>
        <w:rPr>
          <w:szCs w:val="22"/>
        </w:rPr>
      </w:pPr>
    </w:p>
    <w:p w:rsidR="001B6188" w:rsidRPr="00B07E65" w:rsidRDefault="001B6188" w:rsidP="00271C16">
      <w:pPr>
        <w:pStyle w:val="ListParagraph"/>
        <w:widowControl/>
        <w:numPr>
          <w:ilvl w:val="1"/>
          <w:numId w:val="1"/>
        </w:numPr>
        <w:rPr>
          <w:szCs w:val="22"/>
        </w:rPr>
      </w:pPr>
      <w:r w:rsidRPr="00B07E65">
        <w:rPr>
          <w:szCs w:val="22"/>
        </w:rPr>
        <w:t>Details of</w:t>
      </w:r>
      <w:r w:rsidR="00C06D22" w:rsidRPr="00B07E65">
        <w:rPr>
          <w:szCs w:val="22"/>
        </w:rPr>
        <w:t xml:space="preserve"> the </w:t>
      </w:r>
      <w:r w:rsidR="00FF4D87" w:rsidRPr="00B07E65">
        <w:rPr>
          <w:szCs w:val="22"/>
        </w:rPr>
        <w:t>studies</w:t>
      </w:r>
      <w:r w:rsidR="00C06D22" w:rsidRPr="00B07E65">
        <w:rPr>
          <w:szCs w:val="22"/>
        </w:rPr>
        <w:t xml:space="preserve"> presented in the re</w:t>
      </w:r>
      <w:r w:rsidRPr="00B07E65">
        <w:rPr>
          <w:szCs w:val="22"/>
        </w:rPr>
        <w:t>submission are provided in the table below.</w:t>
      </w:r>
    </w:p>
    <w:p w:rsidR="00DD785C" w:rsidRDefault="00DD785C" w:rsidP="00AB33E4">
      <w:pPr>
        <w:keepLines/>
        <w:rPr>
          <w:rStyle w:val="CommentReference"/>
        </w:rPr>
      </w:pPr>
    </w:p>
    <w:p w:rsidR="00961AF9" w:rsidRPr="00B07E65" w:rsidRDefault="00961AF9" w:rsidP="00DD785C">
      <w:pPr>
        <w:keepLines/>
        <w:ind w:firstLine="720"/>
        <w:rPr>
          <w:rStyle w:val="CommentReference"/>
        </w:rPr>
      </w:pPr>
      <w:r w:rsidRPr="00B07E65">
        <w:rPr>
          <w:rStyle w:val="CommentReference"/>
        </w:rPr>
        <w:t xml:space="preserve">Table </w:t>
      </w:r>
      <w:r w:rsidR="003C7ABF" w:rsidRPr="00B07E65">
        <w:rPr>
          <w:rStyle w:val="CommentReference"/>
        </w:rPr>
        <w:t>2</w:t>
      </w:r>
      <w:r w:rsidRPr="00B07E65">
        <w:rPr>
          <w:rStyle w:val="CommentReference"/>
        </w:rPr>
        <w:t>: Trials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682"/>
        <w:gridCol w:w="1963"/>
      </w:tblGrid>
      <w:tr w:rsidR="00D06FD4" w:rsidRPr="00B07E65" w:rsidTr="00F80536">
        <w:trPr>
          <w:cantSplit/>
          <w:tblHeader/>
        </w:trPr>
        <w:tc>
          <w:tcPr>
            <w:tcW w:w="1019" w:type="pct"/>
            <w:tcBorders>
              <w:top w:val="single" w:sz="4" w:space="0" w:color="auto"/>
              <w:left w:val="single" w:sz="4" w:space="0" w:color="auto"/>
              <w:bottom w:val="single" w:sz="4" w:space="0" w:color="auto"/>
              <w:right w:val="single" w:sz="4" w:space="0" w:color="auto"/>
            </w:tcBorders>
          </w:tcPr>
          <w:p w:rsidR="00D06FD4" w:rsidRPr="00B07E65" w:rsidRDefault="00D06FD4" w:rsidP="00AB33E4">
            <w:pPr>
              <w:keepLines/>
              <w:jc w:val="left"/>
              <w:rPr>
                <w:rFonts w:ascii="Arial Narrow" w:hAnsi="Arial Narrow"/>
                <w:b/>
                <w:sz w:val="20"/>
              </w:rPr>
            </w:pPr>
            <w:r w:rsidRPr="00B07E65">
              <w:rPr>
                <w:rFonts w:ascii="Arial Narrow" w:hAnsi="Arial Narrow"/>
                <w:b/>
                <w:sz w:val="20"/>
              </w:rPr>
              <w:t>Trial ID/First Author</w:t>
            </w:r>
          </w:p>
        </w:tc>
        <w:tc>
          <w:tcPr>
            <w:tcW w:w="2805" w:type="pct"/>
            <w:tcBorders>
              <w:top w:val="single" w:sz="4" w:space="0" w:color="auto"/>
              <w:left w:val="single" w:sz="4" w:space="0" w:color="auto"/>
              <w:bottom w:val="single" w:sz="4" w:space="0" w:color="auto"/>
              <w:right w:val="single" w:sz="4" w:space="0" w:color="auto"/>
            </w:tcBorders>
          </w:tcPr>
          <w:p w:rsidR="00D06FD4" w:rsidRPr="00B07E65" w:rsidRDefault="00D06FD4" w:rsidP="00AB33E4">
            <w:pPr>
              <w:keepLines/>
              <w:jc w:val="center"/>
              <w:rPr>
                <w:rFonts w:ascii="Arial Narrow" w:hAnsi="Arial Narrow"/>
                <w:b/>
                <w:sz w:val="20"/>
              </w:rPr>
            </w:pPr>
            <w:r w:rsidRPr="00B07E65">
              <w:rPr>
                <w:rFonts w:ascii="Arial Narrow" w:hAnsi="Arial Narrow"/>
                <w:b/>
                <w:sz w:val="20"/>
              </w:rPr>
              <w:t>Protocol title/ Publication title</w:t>
            </w:r>
          </w:p>
        </w:tc>
        <w:tc>
          <w:tcPr>
            <w:tcW w:w="1176" w:type="pct"/>
            <w:tcBorders>
              <w:top w:val="single" w:sz="4" w:space="0" w:color="auto"/>
              <w:left w:val="single" w:sz="4" w:space="0" w:color="auto"/>
              <w:bottom w:val="single" w:sz="4" w:space="0" w:color="auto"/>
              <w:right w:val="single" w:sz="4" w:space="0" w:color="auto"/>
            </w:tcBorders>
          </w:tcPr>
          <w:p w:rsidR="00D06FD4" w:rsidRPr="00B07E65" w:rsidRDefault="00D06FD4" w:rsidP="00AB33E4">
            <w:pPr>
              <w:keepLines/>
              <w:jc w:val="center"/>
              <w:rPr>
                <w:rFonts w:ascii="Arial Narrow" w:hAnsi="Arial Narrow"/>
                <w:b/>
                <w:sz w:val="20"/>
              </w:rPr>
            </w:pPr>
            <w:r w:rsidRPr="00B07E65">
              <w:rPr>
                <w:rFonts w:ascii="Arial Narrow" w:hAnsi="Arial Narrow"/>
                <w:b/>
                <w:sz w:val="20"/>
              </w:rPr>
              <w:t>Publication citation</w:t>
            </w:r>
          </w:p>
        </w:tc>
      </w:tr>
      <w:tr w:rsidR="00D06FD4" w:rsidRPr="00B07E65" w:rsidTr="00F80536">
        <w:trPr>
          <w:cantSplit/>
        </w:trPr>
        <w:tc>
          <w:tcPr>
            <w:tcW w:w="5000" w:type="pct"/>
            <w:gridSpan w:val="3"/>
          </w:tcPr>
          <w:p w:rsidR="00D06FD4" w:rsidRPr="00B07E65" w:rsidRDefault="003B7DCB" w:rsidP="00AB33E4">
            <w:pPr>
              <w:keepLines/>
              <w:jc w:val="left"/>
              <w:rPr>
                <w:rFonts w:ascii="Arial Narrow" w:hAnsi="Arial Narrow"/>
                <w:b/>
                <w:sz w:val="20"/>
              </w:rPr>
            </w:pPr>
            <w:r w:rsidRPr="00B07E65">
              <w:rPr>
                <w:rFonts w:ascii="Arial Narrow" w:hAnsi="Arial Narrow"/>
                <w:b/>
                <w:sz w:val="20"/>
              </w:rPr>
              <w:t>Pharmacokinetic studies</w:t>
            </w:r>
          </w:p>
        </w:tc>
      </w:tr>
      <w:tr w:rsidR="003B7DCB" w:rsidRPr="00B07E65" w:rsidTr="00F80536">
        <w:trPr>
          <w:cantSplit/>
        </w:trPr>
        <w:tc>
          <w:tcPr>
            <w:tcW w:w="1019" w:type="pct"/>
          </w:tcPr>
          <w:p w:rsidR="003B7DCB" w:rsidRPr="00B07E65" w:rsidRDefault="003B7DCB" w:rsidP="00AB33E4">
            <w:pPr>
              <w:keepLines/>
              <w:jc w:val="left"/>
              <w:rPr>
                <w:rFonts w:ascii="Arial Narrow" w:hAnsi="Arial Narrow"/>
                <w:sz w:val="20"/>
              </w:rPr>
            </w:pPr>
            <w:r w:rsidRPr="00B07E65">
              <w:rPr>
                <w:rFonts w:ascii="Arial Narrow" w:hAnsi="Arial Narrow"/>
                <w:sz w:val="20"/>
              </w:rPr>
              <w:t>MC-MTX.7/PH</w:t>
            </w:r>
          </w:p>
        </w:tc>
        <w:tc>
          <w:tcPr>
            <w:tcW w:w="2805" w:type="pct"/>
          </w:tcPr>
          <w:p w:rsidR="003B7DCB" w:rsidRPr="00B07E65" w:rsidRDefault="003B7DCB" w:rsidP="00AB33E4">
            <w:pPr>
              <w:keepLines/>
              <w:jc w:val="left"/>
              <w:rPr>
                <w:rFonts w:ascii="Arial Narrow" w:hAnsi="Arial Narrow"/>
                <w:b/>
                <w:sz w:val="20"/>
              </w:rPr>
            </w:pPr>
            <w:r w:rsidRPr="00B07E65">
              <w:rPr>
                <w:rFonts w:ascii="Arial Narrow" w:hAnsi="Arial Narrow"/>
                <w:sz w:val="20"/>
              </w:rPr>
              <w:t xml:space="preserve">Clinical study to evaluate the pharmacokinetic characteristics and the rate and extent of absorption of 16.5 mg methotrexate disodium salt as an aqueous solution corresponding to 15.0 mg methotrexate when given subcutaneously as compared to an equal dose after intramuscular administration as reference in 16 healthy male volunteers. </w:t>
            </w:r>
          </w:p>
        </w:tc>
        <w:tc>
          <w:tcPr>
            <w:tcW w:w="1176" w:type="pct"/>
          </w:tcPr>
          <w:p w:rsidR="003B7DCB" w:rsidRPr="00B07E65" w:rsidRDefault="003B7DCB" w:rsidP="00AB33E4">
            <w:pPr>
              <w:keepLines/>
              <w:jc w:val="left"/>
              <w:rPr>
                <w:rFonts w:ascii="Arial Narrow" w:hAnsi="Arial Narrow"/>
                <w:b/>
                <w:sz w:val="20"/>
              </w:rPr>
            </w:pPr>
            <w:r w:rsidRPr="00B07E65">
              <w:rPr>
                <w:rFonts w:ascii="Arial Narrow" w:hAnsi="Arial Narrow"/>
                <w:sz w:val="20"/>
              </w:rPr>
              <w:t>Not published</w:t>
            </w:r>
          </w:p>
        </w:tc>
      </w:tr>
      <w:tr w:rsidR="003B7DCB" w:rsidRPr="00B07E65" w:rsidTr="00F80536">
        <w:trPr>
          <w:cantSplit/>
        </w:trPr>
        <w:tc>
          <w:tcPr>
            <w:tcW w:w="1019" w:type="pct"/>
          </w:tcPr>
          <w:p w:rsidR="003B7DCB" w:rsidRPr="00B07E65" w:rsidRDefault="003B7DCB" w:rsidP="00AB33E4">
            <w:pPr>
              <w:keepLines/>
              <w:jc w:val="left"/>
              <w:rPr>
                <w:rFonts w:ascii="Arial Narrow" w:hAnsi="Arial Narrow"/>
                <w:sz w:val="20"/>
              </w:rPr>
            </w:pPr>
            <w:proofErr w:type="spellStart"/>
            <w:r w:rsidRPr="00B07E65">
              <w:rPr>
                <w:rFonts w:ascii="Arial Narrow" w:hAnsi="Arial Narrow"/>
                <w:sz w:val="20"/>
              </w:rPr>
              <w:t>Jundt</w:t>
            </w:r>
            <w:proofErr w:type="spellEnd"/>
            <w:r w:rsidRPr="00B07E65">
              <w:rPr>
                <w:rFonts w:ascii="Arial Narrow" w:hAnsi="Arial Narrow"/>
                <w:sz w:val="20"/>
              </w:rPr>
              <w:t xml:space="preserve"> 1993</w:t>
            </w:r>
          </w:p>
        </w:tc>
        <w:tc>
          <w:tcPr>
            <w:tcW w:w="2805" w:type="pct"/>
          </w:tcPr>
          <w:p w:rsidR="003B7DCB" w:rsidRPr="00B07E65" w:rsidRDefault="003B7DCB" w:rsidP="00AB33E4">
            <w:pPr>
              <w:keepLines/>
              <w:jc w:val="left"/>
              <w:rPr>
                <w:rFonts w:ascii="Arial Narrow" w:hAnsi="Arial Narrow"/>
                <w:b/>
                <w:sz w:val="20"/>
              </w:rPr>
            </w:pPr>
            <w:r w:rsidRPr="00B07E65">
              <w:rPr>
                <w:rFonts w:ascii="Arial Narrow" w:hAnsi="Arial Narrow"/>
                <w:sz w:val="20"/>
              </w:rPr>
              <w:t xml:space="preserve">A comparison of low dose methotrexate bioavailability: oral solution, oral tablet, subcutaneous and intramuscular injection. </w:t>
            </w:r>
          </w:p>
        </w:tc>
        <w:tc>
          <w:tcPr>
            <w:tcW w:w="1176" w:type="pct"/>
          </w:tcPr>
          <w:p w:rsidR="003B7DCB" w:rsidRPr="00B07E65" w:rsidRDefault="003B7DCB" w:rsidP="00AB33E4">
            <w:pPr>
              <w:keepLines/>
              <w:jc w:val="left"/>
              <w:rPr>
                <w:rFonts w:ascii="Arial Narrow" w:hAnsi="Arial Narrow"/>
                <w:sz w:val="20"/>
              </w:rPr>
            </w:pPr>
            <w:r w:rsidRPr="00B07E65">
              <w:rPr>
                <w:rFonts w:ascii="Arial Narrow" w:hAnsi="Arial Narrow"/>
                <w:sz w:val="20"/>
              </w:rPr>
              <w:t>Journal of Rheumatology 1993; 20:1845-49.</w:t>
            </w:r>
          </w:p>
        </w:tc>
      </w:tr>
      <w:tr w:rsidR="003B7DCB" w:rsidRPr="00B07E65" w:rsidTr="00F80536">
        <w:trPr>
          <w:cantSplit/>
        </w:trPr>
        <w:tc>
          <w:tcPr>
            <w:tcW w:w="1019" w:type="pct"/>
          </w:tcPr>
          <w:p w:rsidR="003B7DCB" w:rsidRPr="00B07E65" w:rsidRDefault="003B7DCB" w:rsidP="00AB33E4">
            <w:pPr>
              <w:keepLines/>
              <w:jc w:val="left"/>
              <w:rPr>
                <w:rFonts w:ascii="Arial Narrow" w:hAnsi="Arial Narrow"/>
                <w:sz w:val="20"/>
              </w:rPr>
            </w:pPr>
            <w:r w:rsidRPr="00B07E65">
              <w:rPr>
                <w:rFonts w:ascii="Arial Narrow" w:hAnsi="Arial Narrow"/>
                <w:sz w:val="20"/>
              </w:rPr>
              <w:t>Brooks 1990</w:t>
            </w:r>
          </w:p>
        </w:tc>
        <w:tc>
          <w:tcPr>
            <w:tcW w:w="2805" w:type="pct"/>
          </w:tcPr>
          <w:p w:rsidR="003B7DCB" w:rsidRPr="00B07E65" w:rsidRDefault="003B7DCB" w:rsidP="00AB33E4">
            <w:pPr>
              <w:keepLines/>
              <w:jc w:val="left"/>
              <w:rPr>
                <w:rFonts w:ascii="Arial Narrow" w:hAnsi="Arial Narrow"/>
                <w:sz w:val="20"/>
              </w:rPr>
            </w:pPr>
            <w:r w:rsidRPr="00B07E65">
              <w:rPr>
                <w:rFonts w:ascii="Arial Narrow" w:hAnsi="Arial Narrow"/>
                <w:sz w:val="20"/>
              </w:rPr>
              <w:t xml:space="preserve">Pharmacokinetics of methotrexate administered by intramuscular and subcutaneous injections in patients with rheumatoid arthritis. </w:t>
            </w:r>
          </w:p>
        </w:tc>
        <w:tc>
          <w:tcPr>
            <w:tcW w:w="1176" w:type="pct"/>
          </w:tcPr>
          <w:p w:rsidR="003B7DCB" w:rsidRPr="00B07E65" w:rsidRDefault="003B7DCB" w:rsidP="00AB33E4">
            <w:pPr>
              <w:keepLines/>
              <w:jc w:val="left"/>
              <w:rPr>
                <w:rFonts w:ascii="Arial Narrow" w:hAnsi="Arial Narrow"/>
                <w:sz w:val="20"/>
              </w:rPr>
            </w:pPr>
            <w:r w:rsidRPr="00B07E65">
              <w:rPr>
                <w:rFonts w:ascii="Arial Narrow" w:hAnsi="Arial Narrow"/>
                <w:sz w:val="20"/>
              </w:rPr>
              <w:t>Arthritis and rheumatism 1990; 33(1): 91-4.</w:t>
            </w:r>
          </w:p>
        </w:tc>
      </w:tr>
      <w:tr w:rsidR="003B7DCB" w:rsidRPr="00B07E65" w:rsidTr="00F80536">
        <w:trPr>
          <w:cantSplit/>
        </w:trPr>
        <w:tc>
          <w:tcPr>
            <w:tcW w:w="1019" w:type="pct"/>
          </w:tcPr>
          <w:p w:rsidR="003B7DCB" w:rsidRPr="00B07E65" w:rsidRDefault="003B7DCB" w:rsidP="00AB33E4">
            <w:pPr>
              <w:keepLines/>
              <w:jc w:val="left"/>
              <w:rPr>
                <w:rFonts w:ascii="Arial Narrow" w:hAnsi="Arial Narrow"/>
                <w:sz w:val="20"/>
              </w:rPr>
            </w:pPr>
            <w:r w:rsidRPr="00B07E65">
              <w:rPr>
                <w:rFonts w:ascii="Arial Narrow" w:hAnsi="Arial Narrow"/>
                <w:sz w:val="20"/>
              </w:rPr>
              <w:t>NCT01737944</w:t>
            </w:r>
          </w:p>
        </w:tc>
        <w:tc>
          <w:tcPr>
            <w:tcW w:w="2805" w:type="pct"/>
          </w:tcPr>
          <w:p w:rsidR="003B7DCB" w:rsidRPr="00B07E65" w:rsidRDefault="003B7DCB" w:rsidP="00AB33E4">
            <w:pPr>
              <w:keepLines/>
              <w:jc w:val="left"/>
              <w:rPr>
                <w:rFonts w:ascii="Arial Narrow" w:hAnsi="Arial Narrow"/>
                <w:sz w:val="20"/>
              </w:rPr>
            </w:pPr>
            <w:r w:rsidRPr="00B07E65">
              <w:rPr>
                <w:rFonts w:ascii="Arial Narrow" w:hAnsi="Arial Narrow"/>
                <w:sz w:val="20"/>
              </w:rPr>
              <w:t>Exposure Study Comparing 3 Routes of Methotrexate Administration</w:t>
            </w:r>
          </w:p>
        </w:tc>
        <w:tc>
          <w:tcPr>
            <w:tcW w:w="1176" w:type="pct"/>
          </w:tcPr>
          <w:p w:rsidR="003B7DCB" w:rsidRPr="00B07E65" w:rsidRDefault="003B7DCB" w:rsidP="00AB33E4">
            <w:pPr>
              <w:keepLines/>
              <w:jc w:val="left"/>
              <w:rPr>
                <w:rFonts w:ascii="Arial Narrow" w:hAnsi="Arial Narrow"/>
                <w:sz w:val="20"/>
              </w:rPr>
            </w:pPr>
            <w:r w:rsidRPr="00B07E65">
              <w:rPr>
                <w:rFonts w:ascii="Arial Narrow" w:hAnsi="Arial Narrow"/>
                <w:sz w:val="20"/>
              </w:rPr>
              <w:t>Not published</w:t>
            </w:r>
          </w:p>
        </w:tc>
      </w:tr>
      <w:tr w:rsidR="00D06FD4" w:rsidRPr="00B07E65" w:rsidTr="00F80536">
        <w:trPr>
          <w:cantSplit/>
        </w:trPr>
        <w:tc>
          <w:tcPr>
            <w:tcW w:w="5000" w:type="pct"/>
            <w:gridSpan w:val="3"/>
          </w:tcPr>
          <w:p w:rsidR="00D06FD4" w:rsidRPr="00B07E65" w:rsidRDefault="00D06FD4" w:rsidP="00AB33E4">
            <w:pPr>
              <w:keepLines/>
              <w:jc w:val="left"/>
              <w:rPr>
                <w:rFonts w:ascii="Arial Narrow" w:hAnsi="Arial Narrow"/>
                <w:b/>
                <w:sz w:val="20"/>
              </w:rPr>
            </w:pPr>
            <w:r w:rsidRPr="00B07E65">
              <w:rPr>
                <w:rFonts w:ascii="Arial Narrow" w:hAnsi="Arial Narrow"/>
                <w:b/>
                <w:sz w:val="20"/>
              </w:rPr>
              <w:t xml:space="preserve">Supplementary </w:t>
            </w:r>
            <w:r w:rsidR="003B7DCB" w:rsidRPr="00B07E65">
              <w:rPr>
                <w:rFonts w:ascii="Arial Narrow" w:hAnsi="Arial Narrow"/>
                <w:b/>
                <w:sz w:val="20"/>
              </w:rPr>
              <w:t>comparison</w:t>
            </w:r>
          </w:p>
        </w:tc>
      </w:tr>
      <w:tr w:rsidR="009062CB" w:rsidRPr="00B07E65" w:rsidTr="00F80536">
        <w:trPr>
          <w:cantSplit/>
          <w:trHeight w:val="946"/>
        </w:trPr>
        <w:tc>
          <w:tcPr>
            <w:tcW w:w="1019" w:type="pct"/>
            <w:vMerge w:val="restart"/>
          </w:tcPr>
          <w:p w:rsidR="009062CB" w:rsidRPr="00B07E65" w:rsidRDefault="009062CB" w:rsidP="00AB33E4">
            <w:pPr>
              <w:keepLines/>
              <w:jc w:val="left"/>
              <w:rPr>
                <w:rFonts w:ascii="Arial Narrow" w:hAnsi="Arial Narrow"/>
                <w:sz w:val="20"/>
              </w:rPr>
            </w:pPr>
            <w:r w:rsidRPr="00B07E65">
              <w:rPr>
                <w:rFonts w:ascii="Arial Narrow" w:hAnsi="Arial Narrow"/>
                <w:sz w:val="20"/>
              </w:rPr>
              <w:t>MC-MTX.6/RH</w:t>
            </w:r>
          </w:p>
          <w:p w:rsidR="009062CB" w:rsidRPr="00B07E65" w:rsidRDefault="009062CB" w:rsidP="00AB33E4">
            <w:pPr>
              <w:keepLines/>
              <w:jc w:val="left"/>
              <w:rPr>
                <w:rFonts w:ascii="Arial Narrow" w:hAnsi="Arial Narrow"/>
                <w:sz w:val="20"/>
              </w:rPr>
            </w:pPr>
          </w:p>
        </w:tc>
        <w:tc>
          <w:tcPr>
            <w:tcW w:w="2805" w:type="pct"/>
          </w:tcPr>
          <w:p w:rsidR="009062CB" w:rsidRPr="00B07E65" w:rsidRDefault="009062CB" w:rsidP="00AB33E4">
            <w:pPr>
              <w:keepLines/>
              <w:jc w:val="left"/>
              <w:rPr>
                <w:rFonts w:ascii="Arial Narrow" w:hAnsi="Arial Narrow"/>
                <w:sz w:val="20"/>
              </w:rPr>
            </w:pPr>
            <w:r w:rsidRPr="00B07E65">
              <w:rPr>
                <w:rFonts w:ascii="Arial Narrow" w:hAnsi="Arial Narrow"/>
                <w:sz w:val="20"/>
              </w:rPr>
              <w:t xml:space="preserve">Double-blind, </w:t>
            </w:r>
            <w:proofErr w:type="spellStart"/>
            <w:r w:rsidRPr="00B07E65">
              <w:rPr>
                <w:rFonts w:ascii="Arial Narrow" w:hAnsi="Arial Narrow"/>
                <w:sz w:val="20"/>
              </w:rPr>
              <w:t>multicentric</w:t>
            </w:r>
            <w:proofErr w:type="spellEnd"/>
            <w:r w:rsidRPr="00B07E65">
              <w:rPr>
                <w:rFonts w:ascii="Arial Narrow" w:hAnsi="Arial Narrow"/>
                <w:sz w:val="20"/>
              </w:rPr>
              <w:t>, randomized clinical trial phase IV to evaluate efficacy of subcutaneous administered methotrexate (</w:t>
            </w:r>
            <w:proofErr w:type="spellStart"/>
            <w:r w:rsidRPr="00B07E65">
              <w:rPr>
                <w:rFonts w:ascii="Arial Narrow" w:hAnsi="Arial Narrow"/>
                <w:sz w:val="20"/>
              </w:rPr>
              <w:t>Metex</w:t>
            </w:r>
            <w:proofErr w:type="spellEnd"/>
            <w:r w:rsidRPr="00B07E65">
              <w:rPr>
                <w:rFonts w:ascii="Arial Narrow" w:hAnsi="Arial Narrow"/>
                <w:sz w:val="20"/>
              </w:rPr>
              <w:t>®) in comparison with oral treatment in patients with active rheumatoid arthritis</w:t>
            </w:r>
          </w:p>
        </w:tc>
        <w:tc>
          <w:tcPr>
            <w:tcW w:w="1176" w:type="pct"/>
          </w:tcPr>
          <w:p w:rsidR="009062CB" w:rsidRPr="00B07E65" w:rsidRDefault="009062CB" w:rsidP="00AB33E4">
            <w:pPr>
              <w:keepLines/>
              <w:jc w:val="left"/>
              <w:rPr>
                <w:rFonts w:ascii="Arial Narrow" w:hAnsi="Arial Narrow"/>
                <w:sz w:val="20"/>
              </w:rPr>
            </w:pPr>
            <w:r w:rsidRPr="00B07E65">
              <w:rPr>
                <w:rFonts w:ascii="Arial Narrow" w:hAnsi="Arial Narrow"/>
                <w:sz w:val="20"/>
              </w:rPr>
              <w:t xml:space="preserve">Clinical Study Report </w:t>
            </w:r>
            <w:r w:rsidRPr="00B07E65">
              <w:rPr>
                <w:rFonts w:ascii="Arial Narrow" w:hAnsi="Arial Narrow"/>
                <w:sz w:val="20"/>
              </w:rPr>
              <w:br/>
              <w:t xml:space="preserve">MC-MTX.6/RH </w:t>
            </w:r>
          </w:p>
          <w:p w:rsidR="009062CB" w:rsidRPr="00B07E65" w:rsidRDefault="009062CB" w:rsidP="00AB33E4">
            <w:pPr>
              <w:keepLines/>
              <w:jc w:val="left"/>
              <w:rPr>
                <w:rFonts w:ascii="Arial Narrow" w:hAnsi="Arial Narrow"/>
                <w:sz w:val="20"/>
              </w:rPr>
            </w:pPr>
            <w:r w:rsidRPr="00B07E65">
              <w:rPr>
                <w:rFonts w:ascii="Arial Narrow" w:hAnsi="Arial Narrow"/>
                <w:sz w:val="20"/>
              </w:rPr>
              <w:t>16 January 2007</w:t>
            </w:r>
          </w:p>
          <w:p w:rsidR="009062CB" w:rsidRPr="00B07E65" w:rsidRDefault="009062CB" w:rsidP="00AB33E4">
            <w:pPr>
              <w:keepLines/>
              <w:jc w:val="left"/>
              <w:rPr>
                <w:rFonts w:ascii="Arial Narrow" w:hAnsi="Arial Narrow"/>
                <w:b/>
                <w:sz w:val="20"/>
              </w:rPr>
            </w:pPr>
          </w:p>
        </w:tc>
      </w:tr>
      <w:tr w:rsidR="009062CB" w:rsidRPr="00B07E65" w:rsidTr="00F80536">
        <w:trPr>
          <w:cantSplit/>
          <w:trHeight w:val="711"/>
        </w:trPr>
        <w:tc>
          <w:tcPr>
            <w:tcW w:w="1019" w:type="pct"/>
            <w:vMerge/>
          </w:tcPr>
          <w:p w:rsidR="009062CB" w:rsidRPr="00B07E65" w:rsidRDefault="009062CB" w:rsidP="00AB33E4">
            <w:pPr>
              <w:keepLines/>
              <w:jc w:val="left"/>
              <w:rPr>
                <w:rFonts w:ascii="Arial Narrow" w:hAnsi="Arial Narrow"/>
                <w:sz w:val="20"/>
              </w:rPr>
            </w:pPr>
          </w:p>
        </w:tc>
        <w:tc>
          <w:tcPr>
            <w:tcW w:w="2805" w:type="pct"/>
          </w:tcPr>
          <w:p w:rsidR="009062CB" w:rsidRPr="00B07E65" w:rsidRDefault="009062CB" w:rsidP="00AB33E4">
            <w:pPr>
              <w:keepLines/>
              <w:jc w:val="left"/>
              <w:rPr>
                <w:rFonts w:ascii="Arial Narrow" w:hAnsi="Arial Narrow"/>
                <w:sz w:val="20"/>
              </w:rPr>
            </w:pPr>
            <w:r w:rsidRPr="00B07E65">
              <w:rPr>
                <w:rFonts w:ascii="Arial Narrow" w:hAnsi="Arial Narrow"/>
                <w:sz w:val="20"/>
              </w:rPr>
              <w:t>Braun et al. Comparison of the clinical efficacy and safety of subcutaneous versus oral administration of methotrexate in patients with active rheumatoid arthritis</w:t>
            </w:r>
            <w:r w:rsidR="000B232A" w:rsidRPr="00B07E65">
              <w:rPr>
                <w:rFonts w:ascii="Arial Narrow" w:hAnsi="Arial Narrow"/>
                <w:sz w:val="20"/>
              </w:rPr>
              <w:t>.</w:t>
            </w:r>
          </w:p>
        </w:tc>
        <w:tc>
          <w:tcPr>
            <w:tcW w:w="1176" w:type="pct"/>
          </w:tcPr>
          <w:p w:rsidR="009062CB" w:rsidRPr="00B07E65" w:rsidRDefault="009062CB" w:rsidP="00AB33E4">
            <w:pPr>
              <w:keepLines/>
              <w:jc w:val="left"/>
              <w:rPr>
                <w:rFonts w:ascii="Arial Narrow" w:hAnsi="Arial Narrow"/>
                <w:sz w:val="20"/>
              </w:rPr>
            </w:pPr>
            <w:r w:rsidRPr="00B07E65">
              <w:rPr>
                <w:rFonts w:ascii="Arial Narrow" w:hAnsi="Arial Narrow"/>
                <w:sz w:val="20"/>
              </w:rPr>
              <w:t>Arthritis and rheumatism, 2008; 58(1):73-81.</w:t>
            </w:r>
          </w:p>
        </w:tc>
      </w:tr>
      <w:tr w:rsidR="00D06FD4" w:rsidRPr="00B07E65" w:rsidTr="00F80536">
        <w:trPr>
          <w:cantSplit/>
        </w:trPr>
        <w:tc>
          <w:tcPr>
            <w:tcW w:w="1019" w:type="pct"/>
          </w:tcPr>
          <w:p w:rsidR="00D06FD4" w:rsidRPr="00B07E65" w:rsidRDefault="009062CB" w:rsidP="00AB33E4">
            <w:pPr>
              <w:keepLines/>
              <w:jc w:val="left"/>
              <w:rPr>
                <w:rFonts w:ascii="Arial Narrow" w:hAnsi="Arial Narrow"/>
                <w:sz w:val="20"/>
              </w:rPr>
            </w:pPr>
            <w:r w:rsidRPr="00B07E65">
              <w:rPr>
                <w:rFonts w:ascii="Arial Narrow" w:hAnsi="Arial Narrow"/>
                <w:sz w:val="20"/>
              </w:rPr>
              <w:t>Hazelwood 2015</w:t>
            </w:r>
          </w:p>
        </w:tc>
        <w:tc>
          <w:tcPr>
            <w:tcW w:w="2805" w:type="pct"/>
          </w:tcPr>
          <w:p w:rsidR="00D06FD4" w:rsidRPr="00B07E65" w:rsidRDefault="009062CB" w:rsidP="00AB33E4">
            <w:pPr>
              <w:keepLines/>
              <w:jc w:val="left"/>
              <w:rPr>
                <w:rFonts w:ascii="Arial Narrow" w:hAnsi="Arial Narrow"/>
                <w:sz w:val="20"/>
              </w:rPr>
            </w:pPr>
            <w:r w:rsidRPr="00B07E65">
              <w:rPr>
                <w:rFonts w:ascii="Arial Narrow" w:hAnsi="Arial Narrow"/>
                <w:sz w:val="20"/>
              </w:rPr>
              <w:t>Hazelwood et al. The comparative effectiveness of oral versus subcutaneous methotrexate for the treatment of early rheumatoid arthritis.</w:t>
            </w:r>
          </w:p>
        </w:tc>
        <w:tc>
          <w:tcPr>
            <w:tcW w:w="1176" w:type="pct"/>
          </w:tcPr>
          <w:p w:rsidR="00D06FD4" w:rsidRPr="00B07E65" w:rsidRDefault="009062CB" w:rsidP="00AB33E4">
            <w:pPr>
              <w:keepLines/>
              <w:jc w:val="left"/>
              <w:rPr>
                <w:rFonts w:ascii="Arial Narrow" w:hAnsi="Arial Narrow"/>
                <w:sz w:val="20"/>
              </w:rPr>
            </w:pPr>
            <w:r w:rsidRPr="00B07E65">
              <w:rPr>
                <w:rFonts w:ascii="Arial Narrow" w:hAnsi="Arial Narrow"/>
                <w:sz w:val="20"/>
              </w:rPr>
              <w:t>Annals of the Rheum Diseases, 2016</w:t>
            </w:r>
            <w:r w:rsidR="002A63D1" w:rsidRPr="00B07E65">
              <w:rPr>
                <w:rFonts w:ascii="Arial Narrow" w:hAnsi="Arial Narrow"/>
                <w:sz w:val="20"/>
              </w:rPr>
              <w:t>; 75</w:t>
            </w:r>
            <w:r w:rsidRPr="00B07E65">
              <w:rPr>
                <w:rFonts w:ascii="Arial Narrow" w:hAnsi="Arial Narrow"/>
                <w:sz w:val="20"/>
              </w:rPr>
              <w:t>(6):1003-8.</w:t>
            </w:r>
            <w:r w:rsidR="00FF4D87" w:rsidRPr="00B07E65">
              <w:rPr>
                <w:rFonts w:ascii="Arial Narrow" w:hAnsi="Arial Narrow"/>
                <w:sz w:val="20"/>
              </w:rPr>
              <w:t>(</w:t>
            </w:r>
            <w:r w:rsidR="002A63D1" w:rsidRPr="00B07E65">
              <w:rPr>
                <w:rFonts w:ascii="Arial Narrow" w:hAnsi="Arial Narrow"/>
                <w:sz w:val="20"/>
              </w:rPr>
              <w:t>Published online May 2015</w:t>
            </w:r>
            <w:r w:rsidR="00FF4D87" w:rsidRPr="00B07E65">
              <w:rPr>
                <w:rFonts w:ascii="Arial Narrow" w:hAnsi="Arial Narrow"/>
                <w:sz w:val="20"/>
              </w:rPr>
              <w:t>)</w:t>
            </w:r>
          </w:p>
        </w:tc>
      </w:tr>
    </w:tbl>
    <w:p w:rsidR="001B6188" w:rsidRPr="00B07E65" w:rsidRDefault="00961AF9" w:rsidP="00AB33E4">
      <w:pPr>
        <w:pStyle w:val="TableFooter"/>
        <w:keepLines/>
        <w:ind w:left="709"/>
      </w:pPr>
      <w:r w:rsidRPr="00B07E65">
        <w:t xml:space="preserve">Source: </w:t>
      </w:r>
      <w:r w:rsidR="003B7DCB" w:rsidRPr="00B07E65">
        <w:t xml:space="preserve">Table 11, p43 of the </w:t>
      </w:r>
      <w:r w:rsidR="0090329B" w:rsidRPr="00B07E65">
        <w:t>re</w:t>
      </w:r>
      <w:r w:rsidR="003B7DCB" w:rsidRPr="00B07E65">
        <w:t xml:space="preserve">submission; Study MC-MTX.7/PH study report, p1; </w:t>
      </w:r>
      <w:proofErr w:type="spellStart"/>
      <w:r w:rsidR="003B7DCB" w:rsidRPr="00B07E65">
        <w:t>Jundt</w:t>
      </w:r>
      <w:proofErr w:type="spellEnd"/>
      <w:r w:rsidR="003B7DCB" w:rsidRPr="00B07E65">
        <w:t xml:space="preserve"> </w:t>
      </w:r>
      <w:r w:rsidR="0070795E" w:rsidRPr="00B07E65">
        <w:t>(</w:t>
      </w:r>
      <w:r w:rsidR="003B7DCB" w:rsidRPr="00B07E65">
        <w:t>1993</w:t>
      </w:r>
      <w:r w:rsidR="0070795E" w:rsidRPr="00B07E65">
        <w:t>)</w:t>
      </w:r>
      <w:r w:rsidR="003B7DCB" w:rsidRPr="00B07E65">
        <w:t xml:space="preserve">; Brooks </w:t>
      </w:r>
      <w:r w:rsidR="0070795E" w:rsidRPr="00B07E65">
        <w:t>(</w:t>
      </w:r>
      <w:r w:rsidR="003B7DCB" w:rsidRPr="00B07E65">
        <w:t>1990</w:t>
      </w:r>
      <w:r w:rsidR="0070795E" w:rsidRPr="00B07E65">
        <w:t>)</w:t>
      </w:r>
      <w:r w:rsidR="003B7DCB" w:rsidRPr="00B07E65">
        <w:t>; NCT01737944</w:t>
      </w:r>
      <w:r w:rsidR="002A63D1" w:rsidRPr="00B07E65">
        <w:t>; and constructed during the evaluation.</w:t>
      </w:r>
    </w:p>
    <w:p w:rsidR="003D27DE" w:rsidRPr="00B07E65" w:rsidRDefault="003D27DE" w:rsidP="00586586">
      <w:pPr>
        <w:pStyle w:val="TableFooter"/>
        <w:keepNext/>
        <w:keepLines/>
        <w:ind w:left="709"/>
        <w:rPr>
          <w:sz w:val="22"/>
          <w:szCs w:val="22"/>
        </w:rPr>
      </w:pPr>
    </w:p>
    <w:p w:rsidR="00B22262" w:rsidRPr="00B07E65" w:rsidRDefault="00961AF9" w:rsidP="00271C16">
      <w:pPr>
        <w:pStyle w:val="ListParagraph"/>
        <w:keepNext/>
        <w:keepLines/>
        <w:widowControl/>
        <w:numPr>
          <w:ilvl w:val="1"/>
          <w:numId w:val="1"/>
        </w:numPr>
        <w:rPr>
          <w:szCs w:val="22"/>
        </w:rPr>
      </w:pPr>
      <w:r w:rsidRPr="00B07E65">
        <w:rPr>
          <w:szCs w:val="22"/>
        </w:rPr>
        <w:t xml:space="preserve">The key features of the </w:t>
      </w:r>
      <w:r w:rsidR="005C577F" w:rsidRPr="00B07E65">
        <w:rPr>
          <w:szCs w:val="22"/>
        </w:rPr>
        <w:t xml:space="preserve">included </w:t>
      </w:r>
      <w:r w:rsidR="00FE4BE3" w:rsidRPr="00B07E65">
        <w:rPr>
          <w:szCs w:val="22"/>
        </w:rPr>
        <w:t xml:space="preserve">studies </w:t>
      </w:r>
      <w:r w:rsidR="00E038B9" w:rsidRPr="00B07E65">
        <w:rPr>
          <w:szCs w:val="22"/>
        </w:rPr>
        <w:t xml:space="preserve">in the main </w:t>
      </w:r>
      <w:r w:rsidR="00B15817" w:rsidRPr="00B07E65">
        <w:rPr>
          <w:szCs w:val="22"/>
        </w:rPr>
        <w:t>comparison</w:t>
      </w:r>
      <w:r w:rsidR="00E038B9" w:rsidRPr="00B07E65">
        <w:rPr>
          <w:szCs w:val="22"/>
        </w:rPr>
        <w:t xml:space="preserve"> </w:t>
      </w:r>
      <w:r w:rsidRPr="00B07E65">
        <w:rPr>
          <w:szCs w:val="22"/>
        </w:rPr>
        <w:t>are summarised in the table below.</w:t>
      </w:r>
    </w:p>
    <w:p w:rsidR="000B784E" w:rsidRPr="00B07E65" w:rsidRDefault="000B784E" w:rsidP="000B784E">
      <w:pPr>
        <w:pStyle w:val="ListParagraph"/>
        <w:keepNext/>
        <w:keepLines/>
        <w:widowControl/>
        <w:rPr>
          <w:szCs w:val="22"/>
        </w:rPr>
      </w:pPr>
    </w:p>
    <w:p w:rsidR="00B22262" w:rsidRPr="00B07E65" w:rsidRDefault="00B22262" w:rsidP="00096F3A">
      <w:pPr>
        <w:keepNext/>
        <w:keepLines/>
        <w:ind w:firstLine="720"/>
        <w:rPr>
          <w:rStyle w:val="CommentReference"/>
        </w:rPr>
      </w:pPr>
      <w:r w:rsidRPr="00B07E65">
        <w:rPr>
          <w:rStyle w:val="CommentReference"/>
        </w:rPr>
        <w:t xml:space="preserve">Table 3: Key features of the included </w:t>
      </w:r>
      <w:r w:rsidR="00FE4BE3" w:rsidRPr="00B07E65">
        <w:rPr>
          <w:rStyle w:val="CommentReference"/>
        </w:rPr>
        <w:t>evidence:</w:t>
      </w:r>
      <w:r w:rsidR="00FE4BE3" w:rsidRPr="00B07E65">
        <w:rPr>
          <w:rFonts w:ascii="Arial Narrow" w:hAnsi="Arial Narrow"/>
          <w:b/>
          <w:sz w:val="20"/>
        </w:rPr>
        <w:t xml:space="preserve"> </w:t>
      </w:r>
      <w:r w:rsidR="00096F3A" w:rsidRPr="00B07E65">
        <w:rPr>
          <w:rFonts w:ascii="Arial Narrow" w:hAnsi="Arial Narrow"/>
          <w:b/>
          <w:sz w:val="20"/>
        </w:rPr>
        <w:t>SC MTX versus</w:t>
      </w:r>
      <w:r w:rsidR="00FE4BE3" w:rsidRPr="00B07E65">
        <w:rPr>
          <w:rFonts w:ascii="Arial Narrow" w:hAnsi="Arial Narrow"/>
          <w:b/>
          <w:sz w:val="20"/>
        </w:rPr>
        <w:t xml:space="preserve"> </w:t>
      </w:r>
      <w:r w:rsidR="00096F3A" w:rsidRPr="00B07E65">
        <w:rPr>
          <w:rFonts w:ascii="Arial Narrow" w:hAnsi="Arial Narrow"/>
          <w:b/>
          <w:sz w:val="20"/>
        </w:rPr>
        <w:t xml:space="preserve">IM </w:t>
      </w:r>
      <w:r w:rsidR="00FE4BE3" w:rsidRPr="00B07E65">
        <w:rPr>
          <w:rFonts w:ascii="Arial Narrow" w:hAnsi="Arial Narrow"/>
          <w:b/>
          <w:sz w:val="20"/>
        </w:rPr>
        <w:t xml:space="preserve">MTX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3"/>
        <w:gridCol w:w="295"/>
        <w:gridCol w:w="1842"/>
        <w:gridCol w:w="709"/>
        <w:gridCol w:w="1276"/>
        <w:gridCol w:w="1984"/>
        <w:gridCol w:w="1116"/>
      </w:tblGrid>
      <w:tr w:rsidR="00B22262" w:rsidRPr="00B07E65" w:rsidTr="0070795E">
        <w:trPr>
          <w:tblHeader/>
        </w:trPr>
        <w:tc>
          <w:tcPr>
            <w:tcW w:w="1123" w:type="dxa"/>
            <w:shd w:val="clear" w:color="auto" w:fill="auto"/>
            <w:vAlign w:val="center"/>
          </w:tcPr>
          <w:p w:rsidR="00B22262" w:rsidRPr="00B07E65" w:rsidRDefault="00B22262" w:rsidP="00096F3A">
            <w:pPr>
              <w:keepNext/>
              <w:keepLines/>
              <w:jc w:val="left"/>
              <w:rPr>
                <w:rFonts w:ascii="Arial Narrow" w:hAnsi="Arial Narrow"/>
                <w:b/>
                <w:sz w:val="20"/>
              </w:rPr>
            </w:pPr>
            <w:r w:rsidRPr="00B07E65">
              <w:rPr>
                <w:rFonts w:ascii="Arial Narrow" w:hAnsi="Arial Narrow"/>
                <w:b/>
                <w:sz w:val="20"/>
              </w:rPr>
              <w:t>Study</w:t>
            </w:r>
          </w:p>
        </w:tc>
        <w:tc>
          <w:tcPr>
            <w:tcW w:w="295"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N</w:t>
            </w:r>
          </w:p>
        </w:tc>
        <w:tc>
          <w:tcPr>
            <w:tcW w:w="1842"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Design/ duration</w:t>
            </w:r>
          </w:p>
        </w:tc>
        <w:tc>
          <w:tcPr>
            <w:tcW w:w="709"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Risk of bias</w:t>
            </w:r>
          </w:p>
        </w:tc>
        <w:tc>
          <w:tcPr>
            <w:tcW w:w="1276"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Patient population</w:t>
            </w:r>
          </w:p>
        </w:tc>
        <w:tc>
          <w:tcPr>
            <w:tcW w:w="1984"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Therapies compared</w:t>
            </w:r>
          </w:p>
        </w:tc>
        <w:tc>
          <w:tcPr>
            <w:tcW w:w="1116" w:type="dxa"/>
            <w:shd w:val="clear" w:color="auto" w:fill="auto"/>
            <w:vAlign w:val="center"/>
          </w:tcPr>
          <w:p w:rsidR="00B22262" w:rsidRPr="00B07E65" w:rsidRDefault="00B22262" w:rsidP="00096F3A">
            <w:pPr>
              <w:keepNext/>
              <w:keepLines/>
              <w:jc w:val="center"/>
              <w:rPr>
                <w:rFonts w:ascii="Arial Narrow" w:hAnsi="Arial Narrow"/>
                <w:b/>
                <w:sz w:val="20"/>
              </w:rPr>
            </w:pPr>
            <w:r w:rsidRPr="00B07E65">
              <w:rPr>
                <w:rFonts w:ascii="Arial Narrow" w:hAnsi="Arial Narrow"/>
                <w:b/>
                <w:sz w:val="20"/>
              </w:rPr>
              <w:t>In previous submission</w:t>
            </w:r>
            <w:r w:rsidR="0070795E" w:rsidRPr="00B07E65">
              <w:rPr>
                <w:rFonts w:ascii="Arial Narrow" w:hAnsi="Arial Narrow"/>
                <w:b/>
                <w:sz w:val="20"/>
              </w:rPr>
              <w:t>?</w:t>
            </w:r>
          </w:p>
        </w:tc>
      </w:tr>
      <w:tr w:rsidR="00B22262" w:rsidRPr="00B07E65" w:rsidTr="0070795E">
        <w:tc>
          <w:tcPr>
            <w:tcW w:w="1123" w:type="dxa"/>
            <w:shd w:val="clear" w:color="auto" w:fill="auto"/>
            <w:vAlign w:val="center"/>
          </w:tcPr>
          <w:p w:rsidR="00B22262" w:rsidRPr="00B07E65" w:rsidRDefault="00B22262" w:rsidP="00096F3A">
            <w:pPr>
              <w:pStyle w:val="Tabletext"/>
              <w:keepNext/>
              <w:keepLines/>
            </w:pPr>
            <w:r w:rsidRPr="00B07E65">
              <w:t>MC-MTX.7/PH</w:t>
            </w:r>
          </w:p>
        </w:tc>
        <w:tc>
          <w:tcPr>
            <w:tcW w:w="295" w:type="dxa"/>
            <w:shd w:val="clear" w:color="auto" w:fill="auto"/>
            <w:vAlign w:val="center"/>
          </w:tcPr>
          <w:p w:rsidR="00B22262" w:rsidRPr="00B07E65" w:rsidRDefault="00B22262" w:rsidP="00096F3A">
            <w:pPr>
              <w:pStyle w:val="Tabletext"/>
              <w:keepNext/>
              <w:keepLines/>
              <w:jc w:val="center"/>
            </w:pPr>
            <w:r w:rsidRPr="00B07E65">
              <w:t>16</w:t>
            </w:r>
          </w:p>
        </w:tc>
        <w:tc>
          <w:tcPr>
            <w:tcW w:w="1842" w:type="dxa"/>
            <w:shd w:val="clear" w:color="auto" w:fill="auto"/>
            <w:vAlign w:val="center"/>
          </w:tcPr>
          <w:p w:rsidR="00B22262" w:rsidRPr="00B07E65" w:rsidRDefault="00B22262" w:rsidP="00096F3A">
            <w:pPr>
              <w:pStyle w:val="Tabletext"/>
              <w:keepNext/>
              <w:keepLines/>
            </w:pPr>
            <w:r w:rsidRPr="00B07E65">
              <w:t>OL, two period, single dose random sequence, crossover study</w:t>
            </w:r>
          </w:p>
        </w:tc>
        <w:tc>
          <w:tcPr>
            <w:tcW w:w="709" w:type="dxa"/>
            <w:shd w:val="clear" w:color="auto" w:fill="auto"/>
            <w:vAlign w:val="center"/>
          </w:tcPr>
          <w:p w:rsidR="00B22262" w:rsidRPr="00B07E65" w:rsidRDefault="00B22262" w:rsidP="00096F3A">
            <w:pPr>
              <w:pStyle w:val="Tabletext"/>
              <w:keepNext/>
              <w:keepLines/>
              <w:jc w:val="center"/>
            </w:pPr>
            <w:r w:rsidRPr="00B07E65">
              <w:t>Low</w:t>
            </w:r>
          </w:p>
        </w:tc>
        <w:tc>
          <w:tcPr>
            <w:tcW w:w="1276" w:type="dxa"/>
            <w:shd w:val="clear" w:color="auto" w:fill="auto"/>
            <w:vAlign w:val="center"/>
          </w:tcPr>
          <w:p w:rsidR="00B22262" w:rsidRPr="00B07E65" w:rsidRDefault="00B22262" w:rsidP="00096F3A">
            <w:pPr>
              <w:pStyle w:val="Tabletext"/>
              <w:keepNext/>
              <w:keepLines/>
              <w:jc w:val="center"/>
            </w:pPr>
            <w:r w:rsidRPr="00B07E65">
              <w:t>Healthy males</w:t>
            </w:r>
          </w:p>
        </w:tc>
        <w:tc>
          <w:tcPr>
            <w:tcW w:w="1984" w:type="dxa"/>
            <w:shd w:val="clear" w:color="auto" w:fill="auto"/>
            <w:vAlign w:val="center"/>
          </w:tcPr>
          <w:p w:rsidR="00B22262" w:rsidRPr="00B07E65" w:rsidRDefault="0070795E" w:rsidP="00096F3A">
            <w:pPr>
              <w:pStyle w:val="Tabletext"/>
              <w:keepNext/>
              <w:keepLines/>
            </w:pPr>
            <w:r w:rsidRPr="00B07E65">
              <w:t xml:space="preserve">- </w:t>
            </w:r>
            <w:r w:rsidR="00B22262" w:rsidRPr="00B07E65">
              <w:t>15 mg IM MTX</w:t>
            </w:r>
          </w:p>
          <w:p w:rsidR="00B22262" w:rsidRPr="00B07E65" w:rsidRDefault="0070795E" w:rsidP="00096F3A">
            <w:pPr>
              <w:pStyle w:val="Tabletext"/>
              <w:keepNext/>
              <w:keepLines/>
            </w:pPr>
            <w:r w:rsidRPr="00B07E65">
              <w:t xml:space="preserve">- </w:t>
            </w:r>
            <w:r w:rsidR="00B22262" w:rsidRPr="00B07E65">
              <w:t>15 mg SC MTX</w:t>
            </w:r>
          </w:p>
        </w:tc>
        <w:tc>
          <w:tcPr>
            <w:tcW w:w="1116" w:type="dxa"/>
            <w:shd w:val="clear" w:color="auto" w:fill="auto"/>
            <w:vAlign w:val="center"/>
          </w:tcPr>
          <w:p w:rsidR="00B22262" w:rsidRPr="00B07E65" w:rsidRDefault="00B22262" w:rsidP="00096F3A">
            <w:pPr>
              <w:pStyle w:val="Tabletext"/>
              <w:keepNext/>
              <w:keepLines/>
              <w:jc w:val="center"/>
            </w:pPr>
            <w:r w:rsidRPr="00B07E65">
              <w:t>Yes</w:t>
            </w:r>
          </w:p>
        </w:tc>
      </w:tr>
      <w:tr w:rsidR="00B22262" w:rsidRPr="00B07E65" w:rsidTr="0070795E">
        <w:tc>
          <w:tcPr>
            <w:tcW w:w="1123" w:type="dxa"/>
            <w:shd w:val="clear" w:color="auto" w:fill="auto"/>
            <w:vAlign w:val="center"/>
          </w:tcPr>
          <w:p w:rsidR="00B22262" w:rsidRPr="00B07E65" w:rsidRDefault="00B22262" w:rsidP="00096F3A">
            <w:pPr>
              <w:pStyle w:val="Tabletext"/>
              <w:keepNext/>
              <w:keepLines/>
            </w:pPr>
            <w:r w:rsidRPr="00B07E65">
              <w:t>NCT01737944</w:t>
            </w:r>
          </w:p>
        </w:tc>
        <w:tc>
          <w:tcPr>
            <w:tcW w:w="295" w:type="dxa"/>
            <w:shd w:val="clear" w:color="auto" w:fill="auto"/>
            <w:vAlign w:val="center"/>
          </w:tcPr>
          <w:p w:rsidR="00B22262" w:rsidRPr="00B07E65" w:rsidRDefault="00B22262" w:rsidP="00096F3A">
            <w:pPr>
              <w:pStyle w:val="Tabletext"/>
              <w:keepNext/>
              <w:keepLines/>
              <w:jc w:val="center"/>
            </w:pPr>
            <w:r w:rsidRPr="00B07E65">
              <w:t>36</w:t>
            </w:r>
          </w:p>
        </w:tc>
        <w:tc>
          <w:tcPr>
            <w:tcW w:w="1842" w:type="dxa"/>
            <w:shd w:val="clear" w:color="auto" w:fill="auto"/>
            <w:vAlign w:val="center"/>
          </w:tcPr>
          <w:p w:rsidR="00B22262" w:rsidRPr="00B07E65" w:rsidRDefault="00B22262" w:rsidP="00096F3A">
            <w:pPr>
              <w:pStyle w:val="Tabletext"/>
              <w:keepNext/>
              <w:keepLines/>
            </w:pPr>
            <w:r w:rsidRPr="00B07E65">
              <w:t>R, OL, crossover</w:t>
            </w:r>
          </w:p>
          <w:p w:rsidR="00B22262" w:rsidRPr="00B07E65" w:rsidRDefault="00B22262" w:rsidP="00096F3A">
            <w:pPr>
              <w:pStyle w:val="Tabletext"/>
              <w:keepNext/>
              <w:keepLines/>
            </w:pPr>
            <w:r w:rsidRPr="00B07E65">
              <w:t>Single administration of each study drug</w:t>
            </w:r>
            <w:r w:rsidR="00526701" w:rsidRPr="00B07E65">
              <w:t xml:space="preserve"> </w:t>
            </w:r>
          </w:p>
        </w:tc>
        <w:tc>
          <w:tcPr>
            <w:tcW w:w="709" w:type="dxa"/>
            <w:shd w:val="clear" w:color="auto" w:fill="auto"/>
            <w:vAlign w:val="center"/>
          </w:tcPr>
          <w:p w:rsidR="00B22262" w:rsidRPr="00B07E65" w:rsidRDefault="00B22262" w:rsidP="00096F3A">
            <w:pPr>
              <w:pStyle w:val="Tabletext"/>
              <w:keepNext/>
              <w:keepLines/>
              <w:jc w:val="center"/>
            </w:pPr>
            <w:r w:rsidRPr="00B07E65">
              <w:t>Low</w:t>
            </w:r>
          </w:p>
        </w:tc>
        <w:tc>
          <w:tcPr>
            <w:tcW w:w="1276" w:type="dxa"/>
            <w:shd w:val="clear" w:color="auto" w:fill="auto"/>
            <w:vAlign w:val="center"/>
          </w:tcPr>
          <w:p w:rsidR="00B22262" w:rsidRPr="00B07E65" w:rsidRDefault="00B22262" w:rsidP="00096F3A">
            <w:pPr>
              <w:pStyle w:val="Tabletext"/>
              <w:keepNext/>
              <w:keepLines/>
              <w:jc w:val="center"/>
            </w:pPr>
            <w:r w:rsidRPr="00B07E65">
              <w:t>RA pts receiving MTX 10-25 mg weekly</w:t>
            </w:r>
          </w:p>
        </w:tc>
        <w:tc>
          <w:tcPr>
            <w:tcW w:w="1984" w:type="dxa"/>
            <w:shd w:val="clear" w:color="auto" w:fill="auto"/>
            <w:vAlign w:val="center"/>
          </w:tcPr>
          <w:p w:rsidR="00B22262" w:rsidRPr="00B07E65" w:rsidRDefault="0070795E" w:rsidP="00096F3A">
            <w:pPr>
              <w:pStyle w:val="Tabletext"/>
              <w:keepNext/>
              <w:keepLines/>
            </w:pPr>
            <w:r w:rsidRPr="00B07E65">
              <w:t xml:space="preserve">- </w:t>
            </w:r>
            <w:r w:rsidR="00B22262" w:rsidRPr="00B07E65">
              <w:t>SC MTX (</w:t>
            </w:r>
            <w:r w:rsidR="007C71F3" w:rsidRPr="00B07E65">
              <w:t xml:space="preserve">with </w:t>
            </w:r>
            <w:r w:rsidR="00C443A2" w:rsidRPr="00B07E65">
              <w:t>PFS auto-injector</w:t>
            </w:r>
            <w:r w:rsidR="007C71F3" w:rsidRPr="00B07E65">
              <w:t xml:space="preserve"> device</w:t>
            </w:r>
            <w:r w:rsidR="00B22262" w:rsidRPr="00B07E65">
              <w:t>)</w:t>
            </w:r>
            <w:r w:rsidR="00C443A2" w:rsidRPr="00B07E65">
              <w:t xml:space="preserve"> </w:t>
            </w:r>
            <w:r w:rsidR="00C443A2" w:rsidRPr="00B07E65">
              <w:rPr>
                <w:vertAlign w:val="superscript"/>
              </w:rPr>
              <w:t>a</w:t>
            </w:r>
            <w:r w:rsidR="00B22262" w:rsidRPr="00B07E65">
              <w:t xml:space="preserve"> </w:t>
            </w:r>
            <w:r w:rsidR="00B22262" w:rsidRPr="00B07E65">
              <w:br/>
            </w:r>
            <w:r w:rsidRPr="00B07E65">
              <w:t xml:space="preserve">- </w:t>
            </w:r>
            <w:r w:rsidR="00B22262" w:rsidRPr="00B07E65">
              <w:t>SC MTX (</w:t>
            </w:r>
            <w:r w:rsidR="00C443A2" w:rsidRPr="00B07E65">
              <w:t>without PFS auto-injector</w:t>
            </w:r>
            <w:r w:rsidR="007C71F3" w:rsidRPr="00B07E65">
              <w:t xml:space="preserve"> device</w:t>
            </w:r>
            <w:r w:rsidR="00B22262" w:rsidRPr="00B07E65">
              <w:t>)</w:t>
            </w:r>
          </w:p>
          <w:p w:rsidR="00B22262" w:rsidRPr="00B07E65" w:rsidRDefault="0070795E" w:rsidP="00096F3A">
            <w:pPr>
              <w:pStyle w:val="Tabletext"/>
              <w:keepNext/>
              <w:keepLines/>
            </w:pPr>
            <w:r w:rsidRPr="00B07E65">
              <w:t xml:space="preserve">- </w:t>
            </w:r>
            <w:r w:rsidR="00B22262" w:rsidRPr="00B07E65">
              <w:t>IM MTX</w:t>
            </w:r>
          </w:p>
          <w:p w:rsidR="00EF0975" w:rsidRPr="00B07E65" w:rsidRDefault="00EF0975" w:rsidP="00526701">
            <w:pPr>
              <w:pStyle w:val="Tabletext"/>
              <w:keepNext/>
              <w:keepLines/>
            </w:pPr>
            <w:r w:rsidRPr="00B07E65">
              <w:t>MTX doses of 10 mg, 15 mg, 20 mg and</w:t>
            </w:r>
            <w:r w:rsidR="00FF7EEF" w:rsidRPr="00B07E65">
              <w:t xml:space="preserve"> 25mg were used</w:t>
            </w:r>
            <w:r w:rsidR="00526701" w:rsidRPr="00B07E65">
              <w:t>. The patient’s dose was the same for the entire study</w:t>
            </w:r>
          </w:p>
        </w:tc>
        <w:tc>
          <w:tcPr>
            <w:tcW w:w="1116" w:type="dxa"/>
            <w:shd w:val="clear" w:color="auto" w:fill="auto"/>
            <w:vAlign w:val="center"/>
          </w:tcPr>
          <w:p w:rsidR="00B22262" w:rsidRPr="00B07E65" w:rsidRDefault="00B22262" w:rsidP="00096F3A">
            <w:pPr>
              <w:pStyle w:val="Tabletext"/>
              <w:keepNext/>
              <w:keepLines/>
              <w:jc w:val="center"/>
            </w:pPr>
            <w:r w:rsidRPr="00B07E65">
              <w:t>No</w:t>
            </w:r>
          </w:p>
        </w:tc>
      </w:tr>
    </w:tbl>
    <w:p w:rsidR="00B22262" w:rsidRPr="00B07E65" w:rsidRDefault="00B22262" w:rsidP="00111C1D">
      <w:pPr>
        <w:pStyle w:val="TableFooter"/>
        <w:keepNext/>
        <w:keepLines/>
        <w:ind w:firstLine="720"/>
      </w:pPr>
      <w:r w:rsidRPr="00B07E65">
        <w:t>Source: Compiled during evaluation</w:t>
      </w:r>
    </w:p>
    <w:p w:rsidR="00B22262" w:rsidRPr="00B07E65" w:rsidRDefault="00B22262" w:rsidP="00111C1D">
      <w:pPr>
        <w:pStyle w:val="TableFooter"/>
        <w:keepNext/>
        <w:keepLines/>
        <w:ind w:left="720"/>
      </w:pPr>
      <w:r w:rsidRPr="00B07E65">
        <w:t>IM = intramuscular; MTX = methotrexate; OL</w:t>
      </w:r>
      <w:r w:rsidR="00A33F83" w:rsidRPr="00B07E65">
        <w:t> </w:t>
      </w:r>
      <w:r w:rsidRPr="00B07E65">
        <w:t>=</w:t>
      </w:r>
      <w:r w:rsidR="00A33F83" w:rsidRPr="00B07E65">
        <w:t> </w:t>
      </w:r>
      <w:r w:rsidRPr="00B07E65">
        <w:t xml:space="preserve">open label; </w:t>
      </w:r>
      <w:r w:rsidR="00C443A2" w:rsidRPr="00B07E65">
        <w:t xml:space="preserve">PFS = pre-filled syringe; </w:t>
      </w:r>
      <w:r w:rsidR="0070795E" w:rsidRPr="00B07E65">
        <w:t>p</w:t>
      </w:r>
      <w:r w:rsidRPr="00B07E65">
        <w:t>ts = patients; R</w:t>
      </w:r>
      <w:r w:rsidR="0070795E" w:rsidRPr="00B07E65">
        <w:t xml:space="preserve"> </w:t>
      </w:r>
      <w:r w:rsidRPr="00B07E65">
        <w:t>=</w:t>
      </w:r>
      <w:r w:rsidR="0070795E" w:rsidRPr="00B07E65">
        <w:t xml:space="preserve"> </w:t>
      </w:r>
      <w:r w:rsidRPr="00B07E65">
        <w:t>randomised. RA = rheumatoid arthritis; SC = subcutaneous</w:t>
      </w:r>
    </w:p>
    <w:p w:rsidR="00C443A2" w:rsidRPr="00B07E65" w:rsidRDefault="00C443A2" w:rsidP="00111C1D">
      <w:pPr>
        <w:pStyle w:val="TableFooter"/>
        <w:keepNext/>
        <w:keepLines/>
        <w:ind w:left="720"/>
      </w:pPr>
      <w:proofErr w:type="gramStart"/>
      <w:r w:rsidRPr="00B07E65">
        <w:rPr>
          <w:vertAlign w:val="superscript"/>
        </w:rPr>
        <w:t>a</w:t>
      </w:r>
      <w:proofErr w:type="gramEnd"/>
      <w:r w:rsidRPr="00B07E65">
        <w:t xml:space="preserve"> This </w:t>
      </w:r>
      <w:r w:rsidR="007C71F3" w:rsidRPr="00B07E65">
        <w:t>was a propriety auto-injector device (i.e. not the same PFS as that proposed for listing)</w:t>
      </w:r>
      <w:r w:rsidRPr="00B07E65">
        <w:t xml:space="preserve"> </w:t>
      </w:r>
    </w:p>
    <w:p w:rsidR="00626B5B" w:rsidRPr="00B07E65" w:rsidRDefault="00626B5B" w:rsidP="00111C1D">
      <w:pPr>
        <w:pStyle w:val="TableFooter"/>
        <w:ind w:left="720"/>
        <w:rPr>
          <w:rFonts w:ascii="Arial" w:hAnsi="Arial"/>
          <w:sz w:val="22"/>
          <w:szCs w:val="22"/>
        </w:rPr>
      </w:pPr>
    </w:p>
    <w:p w:rsidR="00B22262" w:rsidRPr="00B07E65" w:rsidRDefault="00B83A6D" w:rsidP="00271C16">
      <w:pPr>
        <w:pStyle w:val="ListParagraph"/>
        <w:widowControl/>
        <w:numPr>
          <w:ilvl w:val="1"/>
          <w:numId w:val="1"/>
        </w:numPr>
      </w:pPr>
      <w:r w:rsidRPr="00B07E65">
        <w:t>Study NCT01737944 was t</w:t>
      </w:r>
      <w:r w:rsidR="00626B5B" w:rsidRPr="00B07E65">
        <w:t xml:space="preserve">he only new study included </w:t>
      </w:r>
      <w:r w:rsidRPr="00B07E65">
        <w:t>in the</w:t>
      </w:r>
      <w:r w:rsidR="00626B5B" w:rsidRPr="00B07E65">
        <w:t xml:space="preserve"> evaluation</w:t>
      </w:r>
      <w:r w:rsidR="00F96050" w:rsidRPr="00B07E65">
        <w:t>. This was a randomised, open label</w:t>
      </w:r>
      <w:r w:rsidR="00707CF9" w:rsidRPr="00B07E65">
        <w:t>,</w:t>
      </w:r>
      <w:r w:rsidR="00F96050" w:rsidRPr="00B07E65">
        <w:t xml:space="preserve"> crossover study with three arms: SC methotrexate administered with a</w:t>
      </w:r>
      <w:r w:rsidR="00BD3D21" w:rsidRPr="00B07E65">
        <w:t xml:space="preserve"> pre-filled syringe auto-injector</w:t>
      </w:r>
      <w:r w:rsidR="00F96050" w:rsidRPr="00B07E65">
        <w:t xml:space="preserve"> device; SC methotrexate administered without a device; and IM methotrexate. It was conducted in patients with rheumatoid arthritis</w:t>
      </w:r>
      <w:r w:rsidR="00526701" w:rsidRPr="00B07E65">
        <w:t xml:space="preserve"> who were on methotrexate</w:t>
      </w:r>
      <w:r w:rsidR="00F96050" w:rsidRPr="00B07E65">
        <w:t>.</w:t>
      </w:r>
      <w:r w:rsidR="00EF0975" w:rsidRPr="00B07E65">
        <w:t xml:space="preserve"> </w:t>
      </w:r>
      <w:r w:rsidR="00526701" w:rsidRPr="00B07E65">
        <w:t>Methotrexate doses of 10 mg, 15 mg, 20 mg and 25</w:t>
      </w:r>
      <w:r w:rsidR="00284425">
        <w:t xml:space="preserve"> </w:t>
      </w:r>
      <w:r w:rsidR="00526701" w:rsidRPr="00B07E65">
        <w:t>mg were used</w:t>
      </w:r>
      <w:r w:rsidR="00064A09" w:rsidRPr="00B07E65">
        <w:t>. Each</w:t>
      </w:r>
      <w:r w:rsidR="00526701" w:rsidRPr="00B07E65">
        <w:t xml:space="preserve"> </w:t>
      </w:r>
      <w:r w:rsidR="00FF7EEF" w:rsidRPr="00B07E65">
        <w:t>pati</w:t>
      </w:r>
      <w:r w:rsidR="00EE76D5" w:rsidRPr="00B07E65">
        <w:t>ent</w:t>
      </w:r>
      <w:r w:rsidR="00526701" w:rsidRPr="00B07E65">
        <w:t>’s</w:t>
      </w:r>
      <w:r w:rsidR="00FF7EEF" w:rsidRPr="00B07E65">
        <w:t xml:space="preserve"> </w:t>
      </w:r>
      <w:r w:rsidR="00526701" w:rsidRPr="00B07E65">
        <w:t xml:space="preserve">dose was </w:t>
      </w:r>
      <w:r w:rsidR="00FF7EEF" w:rsidRPr="00B07E65">
        <w:t xml:space="preserve">determined by the investigator based on the </w:t>
      </w:r>
      <w:r w:rsidR="00EE76D5" w:rsidRPr="00B07E65">
        <w:t>dose at baseline</w:t>
      </w:r>
      <w:r w:rsidR="00FF7EEF" w:rsidRPr="00B07E65">
        <w:t xml:space="preserve"> and disease status</w:t>
      </w:r>
      <w:r w:rsidR="00C15FCF" w:rsidRPr="00B07E65">
        <w:t xml:space="preserve">. </w:t>
      </w:r>
      <w:r w:rsidR="00890DC8" w:rsidRPr="00B07E65">
        <w:t xml:space="preserve">The study had a crossover design </w:t>
      </w:r>
      <w:r w:rsidR="009A4CC0" w:rsidRPr="00B07E65">
        <w:t xml:space="preserve">wherein </w:t>
      </w:r>
      <w:r w:rsidR="00890DC8" w:rsidRPr="00B07E65">
        <w:t>each patient received all three formulations</w:t>
      </w:r>
      <w:r w:rsidR="009A4CC0" w:rsidRPr="00B07E65">
        <w:t>,</w:t>
      </w:r>
      <w:r w:rsidR="00890DC8" w:rsidRPr="00B07E65">
        <w:t xml:space="preserve"> and the</w:t>
      </w:r>
      <w:r w:rsidR="00C15FCF" w:rsidRPr="00B07E65">
        <w:t xml:space="preserve"> patient’s dose</w:t>
      </w:r>
      <w:r w:rsidR="00FF7EEF" w:rsidRPr="00B07E65">
        <w:t xml:space="preserve"> was </w:t>
      </w:r>
      <w:r w:rsidR="00C15FCF" w:rsidRPr="00B07E65">
        <w:t>the same for the entire study</w:t>
      </w:r>
      <w:r w:rsidR="00FF7EEF" w:rsidRPr="00B07E65">
        <w:t xml:space="preserve">. </w:t>
      </w:r>
    </w:p>
    <w:p w:rsidR="00626B5B" w:rsidRPr="00B07E65" w:rsidRDefault="00626B5B" w:rsidP="00626B5B">
      <w:pPr>
        <w:pStyle w:val="ListParagraph"/>
        <w:widowControl/>
      </w:pPr>
    </w:p>
    <w:p w:rsidR="00B22262" w:rsidRPr="00B07E65" w:rsidRDefault="00B22262" w:rsidP="00B22262">
      <w:pPr>
        <w:pStyle w:val="Heading2"/>
        <w:rPr>
          <w:i/>
        </w:rPr>
      </w:pPr>
      <w:bookmarkStart w:id="9" w:name="_Toc472340127"/>
      <w:bookmarkStart w:id="10" w:name="_GoBack"/>
      <w:bookmarkEnd w:id="10"/>
      <w:r w:rsidRPr="00B07E65">
        <w:rPr>
          <w:i/>
        </w:rPr>
        <w:t>Comparative effectiveness</w:t>
      </w:r>
      <w:bookmarkEnd w:id="9"/>
    </w:p>
    <w:p w:rsidR="00B22262" w:rsidRPr="00B07E65" w:rsidRDefault="00B22262" w:rsidP="00B22262">
      <w:pPr>
        <w:pStyle w:val="ListParagraph"/>
        <w:rPr>
          <w:szCs w:val="22"/>
        </w:rPr>
      </w:pPr>
    </w:p>
    <w:p w:rsidR="00B22262" w:rsidRPr="00B07E65" w:rsidRDefault="00B22262" w:rsidP="00271C16">
      <w:pPr>
        <w:pStyle w:val="ListParagraph"/>
        <w:widowControl/>
        <w:numPr>
          <w:ilvl w:val="1"/>
          <w:numId w:val="1"/>
        </w:numPr>
        <w:rPr>
          <w:szCs w:val="22"/>
        </w:rPr>
      </w:pPr>
      <w:r w:rsidRPr="00B07E65">
        <w:t>Table 4 present</w:t>
      </w:r>
      <w:r w:rsidR="000B232A" w:rsidRPr="00B07E65">
        <w:t>s</w:t>
      </w:r>
      <w:r w:rsidRPr="00B07E65">
        <w:t xml:space="preserve"> the key pharmacokinetic outcomes from study NCT01737944.</w:t>
      </w:r>
    </w:p>
    <w:p w:rsidR="00AB33E4" w:rsidRDefault="00AB33E4">
      <w:pPr>
        <w:widowControl/>
        <w:jc w:val="left"/>
      </w:pPr>
      <w:r>
        <w:br w:type="page"/>
      </w:r>
    </w:p>
    <w:p w:rsidR="00FE4BE3" w:rsidRPr="00B07E65" w:rsidRDefault="00FE4BE3" w:rsidP="00677297"/>
    <w:p w:rsidR="00FE4BE3" w:rsidRPr="00B07E65" w:rsidRDefault="00FE4BE3" w:rsidP="00096F3A">
      <w:pPr>
        <w:keepNext/>
        <w:ind w:firstLine="720"/>
        <w:rPr>
          <w:rStyle w:val="CommentReference"/>
        </w:rPr>
      </w:pPr>
      <w:r w:rsidRPr="00B07E65">
        <w:rPr>
          <w:rStyle w:val="CommentReference"/>
        </w:rPr>
        <w:t>Table 4: Results of pharmacokinetic outcomes from NCT01737944</w:t>
      </w:r>
      <w:r w:rsidR="0031283F" w:rsidRPr="00B07E65">
        <w:rPr>
          <w:rStyle w:val="CommentReference"/>
        </w:rPr>
        <w:t xml:space="preserve"> (dose </w:t>
      </w:r>
      <w:proofErr w:type="spellStart"/>
      <w:r w:rsidR="0031283F" w:rsidRPr="00B07E65">
        <w:rPr>
          <w:rStyle w:val="CommentReference"/>
        </w:rPr>
        <w:t>normalised</w:t>
      </w:r>
      <w:r w:rsidR="00526701" w:rsidRPr="00B07E65">
        <w:rPr>
          <w:rStyle w:val="CommentReference"/>
          <w:vertAlign w:val="superscript"/>
        </w:rPr>
        <w:t>a</w:t>
      </w:r>
      <w:proofErr w:type="spellEnd"/>
      <w:r w:rsidR="0031283F" w:rsidRPr="00B07E65">
        <w:rPr>
          <w:rStyle w:val="CommentReference"/>
        </w:rPr>
        <w:t>)</w:t>
      </w:r>
      <w:r w:rsidR="004C3055" w:rsidRPr="00B07E65">
        <w:rPr>
          <w:rFonts w:ascii="Arial Narrow" w:hAnsi="Arial Narrow"/>
          <w:b/>
          <w:sz w:val="20"/>
          <w:vertAlign w:val="superscript"/>
        </w:rPr>
        <w:t xml:space="preserve"> </w:t>
      </w:r>
      <w:r w:rsidR="004C3055" w:rsidRPr="00B07E65">
        <w:rPr>
          <w:rStyle w:val="CommentReference"/>
          <w:rFonts w:cs="Times New Roman"/>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134"/>
        <w:gridCol w:w="1408"/>
        <w:gridCol w:w="832"/>
        <w:gridCol w:w="1936"/>
        <w:gridCol w:w="2043"/>
      </w:tblGrid>
      <w:tr w:rsidR="007C71F3" w:rsidRPr="00B07E65" w:rsidTr="00B4328E">
        <w:trPr>
          <w:tblHeader/>
        </w:trPr>
        <w:tc>
          <w:tcPr>
            <w:tcW w:w="992" w:type="dxa"/>
            <w:vMerge w:val="restart"/>
            <w:shd w:val="clear" w:color="auto" w:fill="auto"/>
            <w:vAlign w:val="center"/>
          </w:tcPr>
          <w:p w:rsidR="007C71F3" w:rsidRPr="00B07E65" w:rsidRDefault="007C71F3" w:rsidP="00096F3A">
            <w:pPr>
              <w:keepNext/>
              <w:jc w:val="left"/>
              <w:rPr>
                <w:rFonts w:ascii="Arial Narrow" w:hAnsi="Arial Narrow"/>
                <w:b/>
                <w:sz w:val="20"/>
              </w:rPr>
            </w:pPr>
            <w:r w:rsidRPr="00B07E65">
              <w:rPr>
                <w:rFonts w:ascii="Arial Narrow" w:hAnsi="Arial Narrow"/>
                <w:b/>
                <w:sz w:val="20"/>
              </w:rPr>
              <w:t>Parameter</w:t>
            </w:r>
          </w:p>
        </w:tc>
        <w:tc>
          <w:tcPr>
            <w:tcW w:w="1134" w:type="dxa"/>
            <w:vMerge w:val="restart"/>
            <w:shd w:val="clear" w:color="auto" w:fill="auto"/>
            <w:vAlign w:val="center"/>
          </w:tcPr>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SC MTX with device (SD)</w:t>
            </w:r>
          </w:p>
        </w:tc>
        <w:tc>
          <w:tcPr>
            <w:tcW w:w="1408" w:type="dxa"/>
            <w:vMerge w:val="restart"/>
            <w:vAlign w:val="center"/>
          </w:tcPr>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SC MTX without device (SD)</w:t>
            </w:r>
          </w:p>
        </w:tc>
        <w:tc>
          <w:tcPr>
            <w:tcW w:w="832" w:type="dxa"/>
            <w:vMerge w:val="restart"/>
            <w:shd w:val="clear" w:color="auto" w:fill="auto"/>
            <w:vAlign w:val="center"/>
          </w:tcPr>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IM MTX</w:t>
            </w:r>
          </w:p>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(SD)</w:t>
            </w:r>
          </w:p>
        </w:tc>
        <w:tc>
          <w:tcPr>
            <w:tcW w:w="3979" w:type="dxa"/>
            <w:gridSpan w:val="2"/>
            <w:shd w:val="clear" w:color="auto" w:fill="auto"/>
            <w:vAlign w:val="center"/>
          </w:tcPr>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Geometric mean ratio</w:t>
            </w:r>
            <w:r w:rsidR="0031283F" w:rsidRPr="00B07E65">
              <w:rPr>
                <w:rFonts w:ascii="Arial Narrow" w:hAnsi="Arial Narrow"/>
                <w:b/>
                <w:sz w:val="20"/>
              </w:rPr>
              <w:t>, %</w:t>
            </w:r>
            <w:r w:rsidRPr="00B07E65">
              <w:rPr>
                <w:rFonts w:ascii="Arial Narrow" w:hAnsi="Arial Narrow"/>
                <w:b/>
                <w:sz w:val="20"/>
              </w:rPr>
              <w:t xml:space="preserve"> (90% CI)</w:t>
            </w:r>
          </w:p>
        </w:tc>
      </w:tr>
      <w:tr w:rsidR="007C71F3" w:rsidRPr="00B07E65" w:rsidTr="00B4328E">
        <w:trPr>
          <w:tblHeader/>
        </w:trPr>
        <w:tc>
          <w:tcPr>
            <w:tcW w:w="992" w:type="dxa"/>
            <w:vMerge/>
            <w:shd w:val="clear" w:color="auto" w:fill="auto"/>
            <w:vAlign w:val="center"/>
          </w:tcPr>
          <w:p w:rsidR="007C71F3" w:rsidRPr="00B07E65" w:rsidRDefault="007C71F3" w:rsidP="00096F3A">
            <w:pPr>
              <w:keepNext/>
              <w:jc w:val="left"/>
              <w:rPr>
                <w:rFonts w:ascii="Arial Narrow" w:hAnsi="Arial Narrow"/>
                <w:b/>
                <w:sz w:val="20"/>
              </w:rPr>
            </w:pPr>
          </w:p>
        </w:tc>
        <w:tc>
          <w:tcPr>
            <w:tcW w:w="1134" w:type="dxa"/>
            <w:vMerge/>
            <w:shd w:val="clear" w:color="auto" w:fill="auto"/>
            <w:vAlign w:val="center"/>
          </w:tcPr>
          <w:p w:rsidR="007C71F3" w:rsidRPr="00B07E65" w:rsidRDefault="007C71F3" w:rsidP="00096F3A">
            <w:pPr>
              <w:keepNext/>
              <w:keepLines/>
              <w:jc w:val="center"/>
              <w:rPr>
                <w:rFonts w:ascii="Arial Narrow" w:hAnsi="Arial Narrow"/>
                <w:b/>
                <w:sz w:val="20"/>
              </w:rPr>
            </w:pPr>
          </w:p>
        </w:tc>
        <w:tc>
          <w:tcPr>
            <w:tcW w:w="1408" w:type="dxa"/>
            <w:vMerge/>
          </w:tcPr>
          <w:p w:rsidR="007C71F3" w:rsidRPr="00B07E65" w:rsidRDefault="007C71F3" w:rsidP="00096F3A">
            <w:pPr>
              <w:keepNext/>
              <w:keepLines/>
              <w:jc w:val="center"/>
              <w:rPr>
                <w:rFonts w:ascii="Arial Narrow" w:hAnsi="Arial Narrow"/>
                <w:sz w:val="20"/>
              </w:rPr>
            </w:pPr>
          </w:p>
        </w:tc>
        <w:tc>
          <w:tcPr>
            <w:tcW w:w="832" w:type="dxa"/>
            <w:vMerge/>
            <w:shd w:val="clear" w:color="auto" w:fill="auto"/>
            <w:vAlign w:val="center"/>
          </w:tcPr>
          <w:p w:rsidR="007C71F3" w:rsidRPr="00B07E65" w:rsidRDefault="007C71F3" w:rsidP="00096F3A">
            <w:pPr>
              <w:keepNext/>
              <w:keepLines/>
              <w:jc w:val="center"/>
              <w:rPr>
                <w:rFonts w:ascii="Arial Narrow" w:hAnsi="Arial Narrow"/>
                <w:sz w:val="20"/>
              </w:rPr>
            </w:pPr>
          </w:p>
        </w:tc>
        <w:tc>
          <w:tcPr>
            <w:tcW w:w="1936" w:type="dxa"/>
            <w:shd w:val="clear" w:color="auto" w:fill="auto"/>
            <w:vAlign w:val="center"/>
          </w:tcPr>
          <w:p w:rsidR="007C71F3" w:rsidRPr="00B07E65" w:rsidRDefault="007C71F3" w:rsidP="004C3055">
            <w:pPr>
              <w:keepNext/>
              <w:keepLines/>
              <w:jc w:val="center"/>
              <w:rPr>
                <w:rFonts w:ascii="Arial Narrow" w:hAnsi="Arial Narrow"/>
                <w:b/>
                <w:sz w:val="20"/>
              </w:rPr>
            </w:pPr>
            <w:r w:rsidRPr="00B07E65">
              <w:rPr>
                <w:rFonts w:ascii="Arial Narrow" w:hAnsi="Arial Narrow"/>
                <w:b/>
                <w:sz w:val="20"/>
              </w:rPr>
              <w:t>SC MTX with device vs IM MTX</w:t>
            </w:r>
            <w:r w:rsidR="009B7BC1" w:rsidRPr="00B07E65">
              <w:rPr>
                <w:rFonts w:ascii="Arial Narrow" w:hAnsi="Arial Narrow"/>
                <w:b/>
                <w:sz w:val="20"/>
              </w:rPr>
              <w:t xml:space="preserve"> </w:t>
            </w:r>
            <w:r w:rsidR="00105084" w:rsidRPr="00B07E65">
              <w:rPr>
                <w:rFonts w:ascii="Arial Narrow" w:hAnsi="Arial Narrow"/>
                <w:b/>
                <w:sz w:val="20"/>
                <w:vertAlign w:val="superscript"/>
              </w:rPr>
              <w:t xml:space="preserve">b </w:t>
            </w:r>
          </w:p>
        </w:tc>
        <w:tc>
          <w:tcPr>
            <w:tcW w:w="2043" w:type="dxa"/>
            <w:shd w:val="clear" w:color="auto" w:fill="auto"/>
            <w:vAlign w:val="center"/>
          </w:tcPr>
          <w:p w:rsidR="007C71F3" w:rsidRPr="00B07E65" w:rsidRDefault="007C71F3" w:rsidP="00096F3A">
            <w:pPr>
              <w:keepNext/>
              <w:keepLines/>
              <w:jc w:val="center"/>
              <w:rPr>
                <w:rFonts w:ascii="Arial Narrow" w:hAnsi="Arial Narrow"/>
                <w:b/>
                <w:sz w:val="20"/>
              </w:rPr>
            </w:pPr>
            <w:r w:rsidRPr="00B07E65">
              <w:rPr>
                <w:rFonts w:ascii="Arial Narrow" w:hAnsi="Arial Narrow"/>
                <w:b/>
                <w:sz w:val="20"/>
              </w:rPr>
              <w:t xml:space="preserve">SC MTX with device vs </w:t>
            </w:r>
          </w:p>
          <w:p w:rsidR="007C71F3" w:rsidRPr="00B07E65" w:rsidRDefault="00B4328E" w:rsidP="00096F3A">
            <w:pPr>
              <w:keepNext/>
              <w:keepLines/>
              <w:jc w:val="center"/>
              <w:rPr>
                <w:rFonts w:ascii="Arial Narrow" w:hAnsi="Arial Narrow"/>
                <w:sz w:val="20"/>
              </w:rPr>
            </w:pPr>
            <w:r w:rsidRPr="00B07E65">
              <w:rPr>
                <w:rFonts w:ascii="Arial Narrow" w:hAnsi="Arial Narrow"/>
                <w:b/>
                <w:sz w:val="20"/>
              </w:rPr>
              <w:t>S</w:t>
            </w:r>
            <w:r w:rsidR="007C71F3" w:rsidRPr="00B07E65">
              <w:rPr>
                <w:rFonts w:ascii="Arial Narrow" w:hAnsi="Arial Narrow"/>
                <w:b/>
                <w:sz w:val="20"/>
              </w:rPr>
              <w:t>C MTX without device</w:t>
            </w:r>
          </w:p>
        </w:tc>
      </w:tr>
      <w:tr w:rsidR="007C71F3" w:rsidRPr="00B07E65" w:rsidTr="00B4328E">
        <w:tc>
          <w:tcPr>
            <w:tcW w:w="992" w:type="dxa"/>
            <w:shd w:val="clear" w:color="auto" w:fill="auto"/>
            <w:vAlign w:val="center"/>
          </w:tcPr>
          <w:p w:rsidR="007C71F3" w:rsidRPr="00B07E65" w:rsidRDefault="007C71F3" w:rsidP="00096F3A">
            <w:pPr>
              <w:keepNext/>
              <w:keepLines/>
              <w:jc w:val="left"/>
              <w:rPr>
                <w:rFonts w:ascii="Arial Narrow" w:hAnsi="Arial Narrow"/>
                <w:sz w:val="20"/>
              </w:rPr>
            </w:pPr>
            <w:r w:rsidRPr="00B07E65">
              <w:rPr>
                <w:rFonts w:ascii="Arial Narrow" w:hAnsi="Arial Narrow"/>
                <w:sz w:val="20"/>
              </w:rPr>
              <w:t>AUC</w:t>
            </w:r>
            <w:r w:rsidRPr="00B07E65">
              <w:rPr>
                <w:rFonts w:ascii="Arial Narrow" w:hAnsi="Arial Narrow"/>
                <w:sz w:val="20"/>
                <w:vertAlign w:val="subscript"/>
              </w:rPr>
              <w:t>0</w:t>
            </w:r>
            <w:r w:rsidRPr="00B07E65">
              <w:rPr>
                <w:rFonts w:ascii="Arial Narrow" w:hAnsi="Arial Narrow"/>
                <w:sz w:val="20"/>
                <w:vertAlign w:val="subscript"/>
              </w:rPr>
              <w:noBreakHyphen/>
              <w:t>∞</w:t>
            </w:r>
            <w:r w:rsidRPr="00B07E65">
              <w:rPr>
                <w:rFonts w:ascii="Arial Narrow" w:hAnsi="Arial Narrow"/>
                <w:sz w:val="20"/>
              </w:rPr>
              <w:t xml:space="preserve"> (</w:t>
            </w:r>
            <w:r w:rsidR="0031283F" w:rsidRPr="00B07E65">
              <w:rPr>
                <w:rFonts w:ascii="Arial Narrow" w:hAnsi="Arial Narrow"/>
                <w:sz w:val="20"/>
              </w:rPr>
              <w:t>ng*hr/mL/</w:t>
            </w:r>
            <w:r w:rsidR="0031283F" w:rsidRPr="00B07E65">
              <w:rPr>
                <w:rFonts w:ascii="Arial Narrow" w:hAnsi="Arial Narrow"/>
                <w:sz w:val="20"/>
              </w:rPr>
              <w:br/>
              <w:t>mg</w:t>
            </w:r>
            <w:r w:rsidRPr="00B07E65">
              <w:rPr>
                <w:rFonts w:ascii="Arial Narrow" w:hAnsi="Arial Narrow"/>
                <w:sz w:val="20"/>
              </w:rPr>
              <w:t>)</w:t>
            </w:r>
          </w:p>
        </w:tc>
        <w:tc>
          <w:tcPr>
            <w:tcW w:w="1134" w:type="dxa"/>
            <w:shd w:val="clear" w:color="auto" w:fill="auto"/>
            <w:vAlign w:val="center"/>
          </w:tcPr>
          <w:p w:rsidR="007C71F3" w:rsidRPr="00B07E65" w:rsidRDefault="007C71F3" w:rsidP="00096F3A">
            <w:pPr>
              <w:pStyle w:val="Tabletext"/>
              <w:keepNext/>
              <w:keepLines/>
              <w:jc w:val="center"/>
            </w:pPr>
            <w:r w:rsidRPr="00B07E65">
              <w:t>118.1</w:t>
            </w:r>
          </w:p>
          <w:p w:rsidR="007C71F3" w:rsidRPr="00B07E65" w:rsidRDefault="007C71F3" w:rsidP="00096F3A">
            <w:pPr>
              <w:pStyle w:val="Tabletext"/>
              <w:keepNext/>
              <w:keepLines/>
              <w:jc w:val="center"/>
            </w:pPr>
            <w:r w:rsidRPr="00B07E65">
              <w:t>(42.3)</w:t>
            </w:r>
          </w:p>
        </w:tc>
        <w:tc>
          <w:tcPr>
            <w:tcW w:w="1408" w:type="dxa"/>
            <w:vAlign w:val="center"/>
          </w:tcPr>
          <w:p w:rsidR="007C71F3" w:rsidRPr="00B07E65" w:rsidRDefault="007C71F3" w:rsidP="00096F3A">
            <w:pPr>
              <w:pStyle w:val="Tabletext"/>
              <w:keepNext/>
              <w:keepLines/>
              <w:jc w:val="center"/>
            </w:pPr>
            <w:r w:rsidRPr="00B07E65">
              <w:t>122.6</w:t>
            </w:r>
          </w:p>
          <w:p w:rsidR="007C71F3" w:rsidRPr="00B07E65" w:rsidRDefault="007C71F3" w:rsidP="00096F3A">
            <w:pPr>
              <w:pStyle w:val="Tabletext"/>
              <w:keepNext/>
              <w:keepLines/>
              <w:jc w:val="center"/>
            </w:pPr>
            <w:r w:rsidRPr="00B07E65">
              <w:t>(40.6)</w:t>
            </w:r>
          </w:p>
        </w:tc>
        <w:tc>
          <w:tcPr>
            <w:tcW w:w="832" w:type="dxa"/>
            <w:shd w:val="clear" w:color="auto" w:fill="auto"/>
            <w:vAlign w:val="center"/>
          </w:tcPr>
          <w:p w:rsidR="007C71F3" w:rsidRPr="00B07E65" w:rsidRDefault="007C71F3" w:rsidP="00096F3A">
            <w:pPr>
              <w:pStyle w:val="Tabletext"/>
              <w:keepNext/>
              <w:keepLines/>
              <w:jc w:val="center"/>
            </w:pPr>
            <w:r w:rsidRPr="00B07E65">
              <w:t>116.7</w:t>
            </w:r>
          </w:p>
          <w:p w:rsidR="007C71F3" w:rsidRPr="00B07E65" w:rsidRDefault="007C71F3" w:rsidP="00096F3A">
            <w:pPr>
              <w:pStyle w:val="Tabletext"/>
              <w:keepNext/>
              <w:keepLines/>
              <w:jc w:val="center"/>
            </w:pPr>
            <w:r w:rsidRPr="00B07E65">
              <w:t>(41.4)</w:t>
            </w:r>
          </w:p>
        </w:tc>
        <w:tc>
          <w:tcPr>
            <w:tcW w:w="1936" w:type="dxa"/>
            <w:shd w:val="clear" w:color="auto" w:fill="auto"/>
            <w:vAlign w:val="center"/>
          </w:tcPr>
          <w:p w:rsidR="007C71F3" w:rsidRPr="00B07E65" w:rsidRDefault="007C71F3" w:rsidP="00096F3A">
            <w:pPr>
              <w:pStyle w:val="Tabletext"/>
              <w:keepNext/>
              <w:keepLines/>
              <w:jc w:val="center"/>
            </w:pPr>
            <w:r w:rsidRPr="00B07E65">
              <w:t>101.3</w:t>
            </w:r>
            <w:r w:rsidR="0031283F" w:rsidRPr="00B07E65">
              <w:t>%</w:t>
            </w:r>
            <w:r w:rsidRPr="00B07E65">
              <w:br/>
              <w:t>(97.2, 105.6)</w:t>
            </w:r>
          </w:p>
        </w:tc>
        <w:tc>
          <w:tcPr>
            <w:tcW w:w="2043" w:type="dxa"/>
            <w:shd w:val="clear" w:color="auto" w:fill="auto"/>
            <w:vAlign w:val="center"/>
          </w:tcPr>
          <w:p w:rsidR="007C71F3" w:rsidRPr="00B07E65" w:rsidRDefault="007C71F3" w:rsidP="00096F3A">
            <w:pPr>
              <w:pStyle w:val="Tabletext"/>
              <w:keepNext/>
              <w:keepLines/>
              <w:jc w:val="center"/>
            </w:pPr>
            <w:r w:rsidRPr="00B07E65">
              <w:t>96.2</w:t>
            </w:r>
            <w:r w:rsidR="0031283F" w:rsidRPr="00B07E65">
              <w:t>%</w:t>
            </w:r>
            <w:r w:rsidRPr="00B07E65">
              <w:br/>
              <w:t>(92.3, 100.3)</w:t>
            </w:r>
          </w:p>
        </w:tc>
      </w:tr>
      <w:tr w:rsidR="007C71F3" w:rsidRPr="00B07E65" w:rsidTr="00B4328E">
        <w:tc>
          <w:tcPr>
            <w:tcW w:w="992" w:type="dxa"/>
            <w:shd w:val="clear" w:color="auto" w:fill="auto"/>
            <w:vAlign w:val="center"/>
          </w:tcPr>
          <w:p w:rsidR="007C71F3" w:rsidRPr="00B07E65" w:rsidRDefault="007C71F3" w:rsidP="00096F3A">
            <w:pPr>
              <w:keepNext/>
              <w:jc w:val="left"/>
              <w:rPr>
                <w:rFonts w:ascii="Arial Narrow" w:hAnsi="Arial Narrow"/>
                <w:sz w:val="20"/>
              </w:rPr>
            </w:pPr>
            <w:r w:rsidRPr="00B07E65">
              <w:rPr>
                <w:rFonts w:ascii="Arial Narrow" w:hAnsi="Arial Narrow"/>
                <w:sz w:val="20"/>
              </w:rPr>
              <w:t>AUC</w:t>
            </w:r>
            <w:r w:rsidRPr="00B07E65">
              <w:rPr>
                <w:rFonts w:ascii="Arial Narrow" w:hAnsi="Arial Narrow"/>
                <w:sz w:val="20"/>
                <w:vertAlign w:val="subscript"/>
              </w:rPr>
              <w:t>0</w:t>
            </w:r>
            <w:r w:rsidRPr="00B07E65">
              <w:rPr>
                <w:rFonts w:ascii="Arial Narrow" w:hAnsi="Arial Narrow"/>
                <w:sz w:val="20"/>
                <w:vertAlign w:val="subscript"/>
              </w:rPr>
              <w:noBreakHyphen/>
              <w:t>24</w:t>
            </w:r>
            <w:r w:rsidRPr="00B07E65">
              <w:rPr>
                <w:rFonts w:ascii="Arial Narrow" w:hAnsi="Arial Narrow"/>
                <w:sz w:val="20"/>
              </w:rPr>
              <w:t xml:space="preserve"> </w:t>
            </w:r>
            <w:r w:rsidR="0031283F" w:rsidRPr="00B07E65">
              <w:rPr>
                <w:rFonts w:ascii="Arial Narrow" w:hAnsi="Arial Narrow"/>
                <w:sz w:val="20"/>
              </w:rPr>
              <w:t>(ng*hr/mL/</w:t>
            </w:r>
            <w:r w:rsidR="0031283F" w:rsidRPr="00B07E65">
              <w:rPr>
                <w:rFonts w:ascii="Arial Narrow" w:hAnsi="Arial Narrow"/>
                <w:sz w:val="20"/>
              </w:rPr>
              <w:br/>
              <w:t>mg)</w:t>
            </w:r>
          </w:p>
        </w:tc>
        <w:tc>
          <w:tcPr>
            <w:tcW w:w="1134" w:type="dxa"/>
            <w:shd w:val="clear" w:color="auto" w:fill="auto"/>
            <w:vAlign w:val="center"/>
          </w:tcPr>
          <w:p w:rsidR="007C71F3" w:rsidRPr="00B07E65" w:rsidRDefault="007C71F3" w:rsidP="00096F3A">
            <w:pPr>
              <w:pStyle w:val="Tabletext"/>
              <w:keepNext/>
              <w:jc w:val="center"/>
            </w:pPr>
            <w:r w:rsidRPr="00B07E65">
              <w:t>116.6</w:t>
            </w:r>
          </w:p>
          <w:p w:rsidR="007C71F3" w:rsidRPr="00B07E65" w:rsidRDefault="007C71F3" w:rsidP="00096F3A">
            <w:pPr>
              <w:pStyle w:val="Tabletext"/>
              <w:keepNext/>
              <w:jc w:val="center"/>
            </w:pPr>
            <w:r w:rsidRPr="00B07E65">
              <w:t>(41.0)</w:t>
            </w:r>
          </w:p>
        </w:tc>
        <w:tc>
          <w:tcPr>
            <w:tcW w:w="1408" w:type="dxa"/>
            <w:vAlign w:val="center"/>
          </w:tcPr>
          <w:p w:rsidR="007C71F3" w:rsidRPr="00B07E65" w:rsidRDefault="007C71F3" w:rsidP="00096F3A">
            <w:pPr>
              <w:pStyle w:val="Tabletext"/>
              <w:keepNext/>
              <w:jc w:val="center"/>
            </w:pPr>
            <w:r w:rsidRPr="00B07E65">
              <w:t>121.1</w:t>
            </w:r>
          </w:p>
          <w:p w:rsidR="007C71F3" w:rsidRPr="00B07E65" w:rsidRDefault="007C71F3" w:rsidP="00096F3A">
            <w:pPr>
              <w:pStyle w:val="Tabletext"/>
              <w:keepNext/>
              <w:jc w:val="center"/>
            </w:pPr>
            <w:r w:rsidRPr="00B07E65">
              <w:t>(39.4)</w:t>
            </w:r>
          </w:p>
        </w:tc>
        <w:tc>
          <w:tcPr>
            <w:tcW w:w="832" w:type="dxa"/>
            <w:shd w:val="clear" w:color="auto" w:fill="auto"/>
            <w:vAlign w:val="center"/>
          </w:tcPr>
          <w:p w:rsidR="007C71F3" w:rsidRPr="00B07E65" w:rsidRDefault="007C71F3" w:rsidP="00096F3A">
            <w:pPr>
              <w:pStyle w:val="Tabletext"/>
              <w:keepNext/>
              <w:jc w:val="center"/>
            </w:pPr>
            <w:r w:rsidRPr="00B07E65">
              <w:t>122.6</w:t>
            </w:r>
          </w:p>
          <w:p w:rsidR="007C71F3" w:rsidRPr="00B07E65" w:rsidRDefault="007C71F3" w:rsidP="00096F3A">
            <w:pPr>
              <w:pStyle w:val="Tabletext"/>
              <w:keepNext/>
              <w:jc w:val="center"/>
            </w:pPr>
            <w:r w:rsidRPr="00B07E65">
              <w:t>(40.6)</w:t>
            </w:r>
          </w:p>
        </w:tc>
        <w:tc>
          <w:tcPr>
            <w:tcW w:w="1936" w:type="dxa"/>
            <w:shd w:val="clear" w:color="auto" w:fill="auto"/>
            <w:vAlign w:val="center"/>
          </w:tcPr>
          <w:p w:rsidR="007C71F3" w:rsidRPr="00B07E65" w:rsidRDefault="007C71F3" w:rsidP="00096F3A">
            <w:pPr>
              <w:pStyle w:val="Tabletext"/>
              <w:keepNext/>
              <w:jc w:val="center"/>
            </w:pPr>
            <w:r w:rsidRPr="00B07E65">
              <w:t>101.1</w:t>
            </w:r>
            <w:r w:rsidR="0031283F" w:rsidRPr="00B07E65">
              <w:t>%</w:t>
            </w:r>
            <w:r w:rsidRPr="00B07E65">
              <w:t xml:space="preserve"> </w:t>
            </w:r>
            <w:r w:rsidRPr="00B07E65">
              <w:br/>
              <w:t>(97.0, 105.4)</w:t>
            </w:r>
          </w:p>
        </w:tc>
        <w:tc>
          <w:tcPr>
            <w:tcW w:w="2043" w:type="dxa"/>
            <w:shd w:val="clear" w:color="auto" w:fill="auto"/>
            <w:vAlign w:val="center"/>
          </w:tcPr>
          <w:p w:rsidR="007C71F3" w:rsidRPr="00B07E65" w:rsidRDefault="007C71F3" w:rsidP="00096F3A">
            <w:pPr>
              <w:pStyle w:val="Tabletext"/>
              <w:keepNext/>
              <w:jc w:val="center"/>
            </w:pPr>
            <w:r w:rsidRPr="00B07E65">
              <w:t>96.2</w:t>
            </w:r>
            <w:r w:rsidR="0031283F" w:rsidRPr="00B07E65">
              <w:t>%</w:t>
            </w:r>
            <w:r w:rsidRPr="00B07E65">
              <w:br/>
              <w:t>(92.3, 100.3)</w:t>
            </w:r>
          </w:p>
        </w:tc>
      </w:tr>
      <w:tr w:rsidR="007C71F3" w:rsidRPr="00B07E65" w:rsidTr="00B4328E">
        <w:tc>
          <w:tcPr>
            <w:tcW w:w="992" w:type="dxa"/>
            <w:shd w:val="clear" w:color="auto" w:fill="auto"/>
            <w:vAlign w:val="center"/>
          </w:tcPr>
          <w:p w:rsidR="007C71F3" w:rsidRPr="00B07E65" w:rsidRDefault="007C71F3" w:rsidP="00096F3A">
            <w:pPr>
              <w:keepNext/>
              <w:jc w:val="left"/>
              <w:rPr>
                <w:rFonts w:ascii="Arial Narrow" w:hAnsi="Arial Narrow"/>
                <w:sz w:val="20"/>
                <w:vertAlign w:val="subscript"/>
              </w:rPr>
            </w:pPr>
            <w:proofErr w:type="spellStart"/>
            <w:r w:rsidRPr="00B07E65">
              <w:rPr>
                <w:rFonts w:ascii="Arial Narrow" w:hAnsi="Arial Narrow"/>
                <w:sz w:val="20"/>
              </w:rPr>
              <w:t>C</w:t>
            </w:r>
            <w:r w:rsidRPr="00B07E65">
              <w:rPr>
                <w:rFonts w:ascii="Arial Narrow" w:hAnsi="Arial Narrow"/>
                <w:sz w:val="20"/>
                <w:vertAlign w:val="subscript"/>
              </w:rPr>
              <w:t>max</w:t>
            </w:r>
            <w:proofErr w:type="spellEnd"/>
          </w:p>
          <w:p w:rsidR="0031283F" w:rsidRPr="00B07E65" w:rsidRDefault="0031283F" w:rsidP="00096F3A">
            <w:pPr>
              <w:keepNext/>
              <w:jc w:val="left"/>
              <w:rPr>
                <w:rFonts w:ascii="Arial Narrow" w:hAnsi="Arial Narrow"/>
                <w:sz w:val="20"/>
              </w:rPr>
            </w:pPr>
            <w:r w:rsidRPr="00B07E65">
              <w:rPr>
                <w:rFonts w:ascii="Arial Narrow" w:hAnsi="Arial Narrow"/>
                <w:sz w:val="20"/>
              </w:rPr>
              <w:t>(ng/mL/mg)</w:t>
            </w:r>
          </w:p>
        </w:tc>
        <w:tc>
          <w:tcPr>
            <w:tcW w:w="1134" w:type="dxa"/>
            <w:shd w:val="clear" w:color="auto" w:fill="auto"/>
          </w:tcPr>
          <w:p w:rsidR="007C71F3" w:rsidRPr="00B07E65" w:rsidRDefault="007C71F3" w:rsidP="00096F3A">
            <w:pPr>
              <w:pStyle w:val="Tabletext"/>
              <w:keepNext/>
              <w:jc w:val="center"/>
            </w:pPr>
            <w:r w:rsidRPr="00B07E65">
              <w:t>21.4</w:t>
            </w:r>
          </w:p>
          <w:p w:rsidR="007C71F3" w:rsidRPr="00B07E65" w:rsidRDefault="007C71F3" w:rsidP="00096F3A">
            <w:pPr>
              <w:pStyle w:val="Tabletext"/>
              <w:keepNext/>
              <w:jc w:val="center"/>
            </w:pPr>
            <w:r w:rsidRPr="00B07E65">
              <w:t xml:space="preserve"> (8.3)</w:t>
            </w:r>
          </w:p>
        </w:tc>
        <w:tc>
          <w:tcPr>
            <w:tcW w:w="1408" w:type="dxa"/>
            <w:vAlign w:val="center"/>
          </w:tcPr>
          <w:p w:rsidR="007C71F3" w:rsidRPr="00B07E65" w:rsidRDefault="007C71F3" w:rsidP="00096F3A">
            <w:pPr>
              <w:pStyle w:val="Tabletext"/>
              <w:keepNext/>
              <w:jc w:val="center"/>
            </w:pPr>
            <w:r w:rsidRPr="00B07E65">
              <w:t>22.4</w:t>
            </w:r>
          </w:p>
          <w:p w:rsidR="007C71F3" w:rsidRPr="00B07E65" w:rsidRDefault="007C71F3" w:rsidP="00096F3A">
            <w:pPr>
              <w:pStyle w:val="Tabletext"/>
              <w:keepNext/>
              <w:jc w:val="center"/>
            </w:pPr>
            <w:r w:rsidRPr="00B07E65">
              <w:t xml:space="preserve"> (10.3)</w:t>
            </w:r>
          </w:p>
        </w:tc>
        <w:tc>
          <w:tcPr>
            <w:tcW w:w="832" w:type="dxa"/>
            <w:shd w:val="clear" w:color="auto" w:fill="auto"/>
            <w:vAlign w:val="center"/>
          </w:tcPr>
          <w:p w:rsidR="007C71F3" w:rsidRPr="00B07E65" w:rsidRDefault="007C71F3" w:rsidP="00096F3A">
            <w:pPr>
              <w:pStyle w:val="Tabletext"/>
              <w:keepNext/>
              <w:jc w:val="center"/>
            </w:pPr>
            <w:r w:rsidRPr="00B07E65">
              <w:t>23.4</w:t>
            </w:r>
          </w:p>
          <w:p w:rsidR="007C71F3" w:rsidRPr="00B07E65" w:rsidRDefault="007C71F3" w:rsidP="00096F3A">
            <w:pPr>
              <w:pStyle w:val="Tabletext"/>
              <w:keepNext/>
              <w:jc w:val="center"/>
            </w:pPr>
            <w:r w:rsidRPr="00B07E65">
              <w:t xml:space="preserve"> (7.2)</w:t>
            </w:r>
          </w:p>
        </w:tc>
        <w:tc>
          <w:tcPr>
            <w:tcW w:w="1936" w:type="dxa"/>
            <w:shd w:val="clear" w:color="auto" w:fill="auto"/>
            <w:vAlign w:val="center"/>
          </w:tcPr>
          <w:p w:rsidR="007C71F3" w:rsidRPr="00B07E65" w:rsidRDefault="007C71F3" w:rsidP="00096F3A">
            <w:pPr>
              <w:pStyle w:val="Tabletext"/>
              <w:keepNext/>
              <w:jc w:val="center"/>
            </w:pPr>
            <w:r w:rsidRPr="00B07E65">
              <w:t>89.8</w:t>
            </w:r>
            <w:r w:rsidR="0031283F" w:rsidRPr="00B07E65">
              <w:t>%</w:t>
            </w:r>
            <w:r w:rsidRPr="00B07E65">
              <w:br/>
              <w:t>(81.6, 98.8)</w:t>
            </w:r>
          </w:p>
        </w:tc>
        <w:tc>
          <w:tcPr>
            <w:tcW w:w="2043" w:type="dxa"/>
            <w:shd w:val="clear" w:color="auto" w:fill="auto"/>
            <w:vAlign w:val="center"/>
          </w:tcPr>
          <w:p w:rsidR="007C71F3" w:rsidRPr="00B07E65" w:rsidRDefault="007C71F3" w:rsidP="00096F3A">
            <w:pPr>
              <w:pStyle w:val="Tabletext"/>
              <w:keepNext/>
              <w:jc w:val="center"/>
            </w:pPr>
            <w:r w:rsidRPr="00B07E65">
              <w:t>96.8</w:t>
            </w:r>
            <w:r w:rsidR="0031283F" w:rsidRPr="00B07E65">
              <w:t>%</w:t>
            </w:r>
            <w:r w:rsidRPr="00B07E65">
              <w:t xml:space="preserve"> </w:t>
            </w:r>
            <w:r w:rsidRPr="00B07E65">
              <w:br/>
              <w:t>(87.9, 106.5)</w:t>
            </w:r>
          </w:p>
        </w:tc>
      </w:tr>
    </w:tbl>
    <w:p w:rsidR="00FE4BE3" w:rsidRPr="00B07E65" w:rsidRDefault="00FE4BE3" w:rsidP="00FE4BE3">
      <w:pPr>
        <w:pStyle w:val="TableFooter"/>
        <w:ind w:firstLine="720"/>
      </w:pPr>
      <w:r w:rsidRPr="00B07E65">
        <w:t>Source: Table 16, p</w:t>
      </w:r>
      <w:r w:rsidR="006C4C20" w:rsidRPr="00B07E65">
        <w:t>p</w:t>
      </w:r>
      <w:r w:rsidRPr="00B07E65">
        <w:t>53-4 of the resubmission</w:t>
      </w:r>
    </w:p>
    <w:p w:rsidR="00FE4BE3" w:rsidRPr="00B07E65" w:rsidRDefault="0090329B" w:rsidP="00FE4BE3">
      <w:pPr>
        <w:pStyle w:val="TableFooter"/>
        <w:keepNext/>
        <w:keepLines/>
        <w:ind w:left="720"/>
        <w:rPr>
          <w:snapToGrid/>
          <w:szCs w:val="18"/>
        </w:rPr>
      </w:pPr>
      <w:r w:rsidRPr="00B07E65">
        <w:t>AUC0-∞ = area under the curve extrapolated to infinity</w:t>
      </w:r>
      <w:r w:rsidR="00FE4BE3" w:rsidRPr="00B07E65">
        <w:t xml:space="preserve">; </w:t>
      </w:r>
      <w:r w:rsidR="00FE4BE3" w:rsidRPr="00B07E65">
        <w:rPr>
          <w:snapToGrid/>
          <w:szCs w:val="18"/>
        </w:rPr>
        <w:t>AUC</w:t>
      </w:r>
      <w:r w:rsidR="00FE4BE3" w:rsidRPr="00B07E65">
        <w:rPr>
          <w:snapToGrid/>
          <w:szCs w:val="18"/>
          <w:vertAlign w:val="subscript"/>
        </w:rPr>
        <w:t>0-24</w:t>
      </w:r>
      <w:r w:rsidR="00FE4BE3" w:rsidRPr="00B07E65">
        <w:rPr>
          <w:snapToGrid/>
          <w:szCs w:val="18"/>
        </w:rPr>
        <w:t xml:space="preserve"> </w:t>
      </w:r>
      <w:r w:rsidR="00FE4BE3" w:rsidRPr="00B07E65">
        <w:rPr>
          <w:snapToGrid/>
          <w:szCs w:val="18"/>
          <w:vertAlign w:val="subscript"/>
        </w:rPr>
        <w:t xml:space="preserve">= </w:t>
      </w:r>
      <w:r w:rsidR="00FE4BE3" w:rsidRPr="00B07E65">
        <w:rPr>
          <w:snapToGrid/>
          <w:szCs w:val="18"/>
        </w:rPr>
        <w:t>area under the curve from zero to 24 hours</w:t>
      </w:r>
      <w:r w:rsidRPr="00B07E65">
        <w:rPr>
          <w:snapToGrid/>
          <w:szCs w:val="18"/>
        </w:rPr>
        <w:t xml:space="preserve"> post dose</w:t>
      </w:r>
      <w:r w:rsidR="00FE4BE3" w:rsidRPr="00B07E65">
        <w:rPr>
          <w:snapToGrid/>
          <w:szCs w:val="18"/>
        </w:rPr>
        <w:t>; CI</w:t>
      </w:r>
      <w:r w:rsidR="007C71F3" w:rsidRPr="00B07E65">
        <w:rPr>
          <w:snapToGrid/>
          <w:szCs w:val="18"/>
        </w:rPr>
        <w:t> </w:t>
      </w:r>
      <w:r w:rsidR="00FE4BE3" w:rsidRPr="00B07E65">
        <w:rPr>
          <w:snapToGrid/>
          <w:szCs w:val="18"/>
        </w:rPr>
        <w:t>=</w:t>
      </w:r>
      <w:r w:rsidR="007C71F3" w:rsidRPr="00B07E65">
        <w:rPr>
          <w:snapToGrid/>
          <w:szCs w:val="18"/>
        </w:rPr>
        <w:t> </w:t>
      </w:r>
      <w:r w:rsidR="00FE4BE3" w:rsidRPr="00B07E65">
        <w:rPr>
          <w:snapToGrid/>
          <w:szCs w:val="18"/>
        </w:rPr>
        <w:t xml:space="preserve">confidence interval; IM = intramuscular; MTX = methotrexate; </w:t>
      </w:r>
      <w:r w:rsidR="00096F3A" w:rsidRPr="00B07E65">
        <w:rPr>
          <w:snapToGrid/>
          <w:szCs w:val="18"/>
        </w:rPr>
        <w:t xml:space="preserve">PFS = pre-filled syringe; </w:t>
      </w:r>
      <w:r w:rsidR="00FE4BE3" w:rsidRPr="00B07E65">
        <w:rPr>
          <w:snapToGrid/>
          <w:szCs w:val="18"/>
        </w:rPr>
        <w:t>SC</w:t>
      </w:r>
      <w:r w:rsidR="007C71F3" w:rsidRPr="00B07E65">
        <w:rPr>
          <w:snapToGrid/>
          <w:szCs w:val="18"/>
        </w:rPr>
        <w:t> </w:t>
      </w:r>
      <w:r w:rsidR="00FE4BE3" w:rsidRPr="00B07E65">
        <w:rPr>
          <w:snapToGrid/>
          <w:szCs w:val="18"/>
        </w:rPr>
        <w:t>=</w:t>
      </w:r>
      <w:r w:rsidR="007C71F3" w:rsidRPr="00B07E65">
        <w:rPr>
          <w:snapToGrid/>
          <w:szCs w:val="18"/>
        </w:rPr>
        <w:t> </w:t>
      </w:r>
      <w:r w:rsidR="00FE4BE3" w:rsidRPr="00B07E65">
        <w:rPr>
          <w:snapToGrid/>
          <w:szCs w:val="18"/>
        </w:rPr>
        <w:t>subcutaneous; SD = standard deviation</w:t>
      </w:r>
    </w:p>
    <w:p w:rsidR="004C3055" w:rsidRPr="00B07E65" w:rsidRDefault="0039712D" w:rsidP="00FE4BE3">
      <w:pPr>
        <w:pStyle w:val="TableFooter"/>
        <w:keepNext/>
        <w:keepLines/>
        <w:ind w:left="720"/>
      </w:pPr>
      <w:proofErr w:type="gramStart"/>
      <w:r w:rsidRPr="00B07E65">
        <w:rPr>
          <w:vertAlign w:val="superscript"/>
        </w:rPr>
        <w:t>a</w:t>
      </w:r>
      <w:proofErr w:type="gramEnd"/>
      <w:r w:rsidRPr="00B07E65">
        <w:t xml:space="preserve"> </w:t>
      </w:r>
      <w:r w:rsidR="00526701" w:rsidRPr="00B07E65">
        <w:t xml:space="preserve">The </w:t>
      </w:r>
      <w:r w:rsidR="004C3055" w:rsidRPr="00B07E65">
        <w:t xml:space="preserve">pharmacokinetic parameter </w:t>
      </w:r>
      <w:r w:rsidR="00526701" w:rsidRPr="00B07E65">
        <w:t xml:space="preserve">was divided </w:t>
      </w:r>
      <w:r w:rsidR="004C3055" w:rsidRPr="00B07E65">
        <w:t xml:space="preserve">by the dose administered. </w:t>
      </w:r>
    </w:p>
    <w:p w:rsidR="0039712D" w:rsidRPr="00B07E65" w:rsidRDefault="004C3055" w:rsidP="00FE4BE3">
      <w:pPr>
        <w:pStyle w:val="TableFooter"/>
        <w:keepNext/>
        <w:keepLines/>
        <w:ind w:left="720"/>
        <w:rPr>
          <w:snapToGrid/>
          <w:szCs w:val="18"/>
        </w:rPr>
      </w:pPr>
      <w:proofErr w:type="gramStart"/>
      <w:r w:rsidRPr="00B07E65">
        <w:rPr>
          <w:vertAlign w:val="superscript"/>
        </w:rPr>
        <w:t>b</w:t>
      </w:r>
      <w:proofErr w:type="gramEnd"/>
      <w:r w:rsidRPr="00B07E65">
        <w:rPr>
          <w:vertAlign w:val="superscript"/>
        </w:rPr>
        <w:t xml:space="preserve"> </w:t>
      </w:r>
      <w:r w:rsidR="0039712D" w:rsidRPr="00B07E65">
        <w:t>This was a propriety auto-injector device (i.e. not the same PFS as that proposed for listing). As this was a pharmacokinetic study</w:t>
      </w:r>
      <w:r w:rsidR="00B4328E" w:rsidRPr="00B07E65">
        <w:t xml:space="preserve"> in a clinic setting</w:t>
      </w:r>
      <w:r w:rsidR="0039712D" w:rsidRPr="00B07E65">
        <w:t xml:space="preserve">, differences between types of pre-filled syringes would be unlikely to affect outcomes. </w:t>
      </w:r>
    </w:p>
    <w:p w:rsidR="00FE4BE3" w:rsidRPr="00B07E65" w:rsidRDefault="00FE4BE3" w:rsidP="00677297"/>
    <w:p w:rsidR="009A4CC0" w:rsidRPr="00B07E65" w:rsidRDefault="00FE4BE3" w:rsidP="00271C16">
      <w:pPr>
        <w:pStyle w:val="ListParagraph"/>
        <w:widowControl/>
        <w:numPr>
          <w:ilvl w:val="1"/>
          <w:numId w:val="1"/>
        </w:numPr>
        <w:rPr>
          <w:szCs w:val="22"/>
        </w:rPr>
      </w:pPr>
      <w:r w:rsidRPr="00B07E65">
        <w:rPr>
          <w:szCs w:val="22"/>
        </w:rPr>
        <w:t xml:space="preserve">The 90% confidence interval of the ratio of the geometric least square means of the </w:t>
      </w:r>
      <w:r w:rsidR="00F96050" w:rsidRPr="00B07E65">
        <w:rPr>
          <w:szCs w:val="22"/>
        </w:rPr>
        <w:t>area under the curve (</w:t>
      </w:r>
      <w:r w:rsidRPr="00B07E65">
        <w:rPr>
          <w:szCs w:val="22"/>
        </w:rPr>
        <w:t>AUC</w:t>
      </w:r>
      <w:r w:rsidR="00F96050" w:rsidRPr="00B07E65">
        <w:rPr>
          <w:szCs w:val="22"/>
        </w:rPr>
        <w:t>)</w:t>
      </w:r>
      <w:r w:rsidRPr="00B07E65">
        <w:rPr>
          <w:szCs w:val="22"/>
        </w:rPr>
        <w:t xml:space="preserve"> of SC methotrexate with the administration device versus IM methotrexate was fully contained within the pre-specified 80% to 125% range.</w:t>
      </w:r>
      <w:r w:rsidR="00F96050" w:rsidRPr="00B07E65">
        <w:rPr>
          <w:szCs w:val="22"/>
        </w:rPr>
        <w:t xml:space="preserve"> This supported the PBAC’s previous conclusion (from March 2016) of non-inferiority between SC methotrexate and IM methotrexate.</w:t>
      </w:r>
      <w:r w:rsidR="008D6DE8" w:rsidRPr="00B07E65">
        <w:rPr>
          <w:szCs w:val="22"/>
        </w:rPr>
        <w:t xml:space="preserve"> </w:t>
      </w:r>
    </w:p>
    <w:p w:rsidR="009A4CC0" w:rsidRPr="00B07E65" w:rsidRDefault="009A4CC0" w:rsidP="009A4CC0">
      <w:pPr>
        <w:pStyle w:val="ListParagraph"/>
        <w:widowControl/>
        <w:rPr>
          <w:szCs w:val="22"/>
        </w:rPr>
      </w:pPr>
    </w:p>
    <w:p w:rsidR="00B04DAA" w:rsidRPr="00B07E65" w:rsidRDefault="008D6DE8" w:rsidP="00271C16">
      <w:pPr>
        <w:pStyle w:val="ListParagraph"/>
        <w:widowControl/>
        <w:numPr>
          <w:ilvl w:val="1"/>
          <w:numId w:val="1"/>
        </w:numPr>
        <w:rPr>
          <w:szCs w:val="22"/>
        </w:rPr>
      </w:pPr>
      <w:r w:rsidRPr="00B07E65">
        <w:rPr>
          <w:szCs w:val="22"/>
        </w:rPr>
        <w:t>The Advisory Committee on Prescription Medicines (ACPM) considered that small differences in pharmacokinetic parameters between IM</w:t>
      </w:r>
      <w:r w:rsidRPr="00B07E65">
        <w:t xml:space="preserve"> and SC methotrexate administration seen in study MC-MTX.7/PH were not likely to be of clinical significance (ACPM minutes, June 2015). </w:t>
      </w:r>
    </w:p>
    <w:p w:rsidR="00D06FD4" w:rsidRPr="00B07E65" w:rsidRDefault="00D06FD4" w:rsidP="00FE4BE3">
      <w:pPr>
        <w:rPr>
          <w:i/>
          <w:szCs w:val="22"/>
        </w:rPr>
      </w:pPr>
    </w:p>
    <w:p w:rsidR="00B60939" w:rsidRPr="00B07E65" w:rsidRDefault="00B60939" w:rsidP="00497F10">
      <w:pPr>
        <w:pStyle w:val="Heading2"/>
        <w:rPr>
          <w:i/>
        </w:rPr>
      </w:pPr>
      <w:bookmarkStart w:id="11" w:name="_Toc472340128"/>
      <w:r w:rsidRPr="00B07E65">
        <w:rPr>
          <w:i/>
        </w:rPr>
        <w:t>Comparative harms</w:t>
      </w:r>
      <w:bookmarkEnd w:id="11"/>
    </w:p>
    <w:p w:rsidR="00B60939" w:rsidRPr="00B07E65" w:rsidRDefault="00B60939" w:rsidP="00B60939">
      <w:pPr>
        <w:ind w:left="720" w:hanging="720"/>
        <w:rPr>
          <w:szCs w:val="22"/>
        </w:rPr>
      </w:pPr>
    </w:p>
    <w:p w:rsidR="009501FD" w:rsidRPr="00B07E65" w:rsidRDefault="009501FD" w:rsidP="004A13BF">
      <w:pPr>
        <w:pStyle w:val="Heading3"/>
      </w:pPr>
      <w:r w:rsidRPr="00B07E65">
        <w:t>Comparative safety (versus IM methotrexate)</w:t>
      </w:r>
    </w:p>
    <w:p w:rsidR="000144A2" w:rsidRPr="00B07E65" w:rsidRDefault="000144A2" w:rsidP="000144A2">
      <w:pPr>
        <w:widowControl/>
        <w:rPr>
          <w:szCs w:val="22"/>
          <w:highlight w:val="yellow"/>
        </w:rPr>
      </w:pPr>
    </w:p>
    <w:p w:rsidR="009501FD" w:rsidRPr="00B07E65" w:rsidRDefault="00460A23" w:rsidP="00271C16">
      <w:pPr>
        <w:pStyle w:val="ListParagraph"/>
        <w:widowControl/>
        <w:numPr>
          <w:ilvl w:val="1"/>
          <w:numId w:val="1"/>
        </w:numPr>
        <w:rPr>
          <w:szCs w:val="22"/>
        </w:rPr>
      </w:pPr>
      <w:r w:rsidRPr="00B07E65">
        <w:rPr>
          <w:szCs w:val="22"/>
        </w:rPr>
        <w:t>In its previous consideration, t</w:t>
      </w:r>
      <w:r w:rsidR="000144A2" w:rsidRPr="00B07E65">
        <w:rPr>
          <w:szCs w:val="22"/>
        </w:rPr>
        <w:t xml:space="preserve">he PBAC </w:t>
      </w:r>
      <w:r w:rsidR="00CF4C3E" w:rsidRPr="00B07E65">
        <w:rPr>
          <w:szCs w:val="22"/>
        </w:rPr>
        <w:t xml:space="preserve">stated </w:t>
      </w:r>
      <w:r w:rsidR="000144A2" w:rsidRPr="00B07E65">
        <w:rPr>
          <w:szCs w:val="22"/>
        </w:rPr>
        <w:t xml:space="preserve">that the claim of non-inferior comparative safety was not adequately supported by the data. To address this, the resubmission presented a naïve comparison of </w:t>
      </w:r>
      <w:r w:rsidR="00A33F83" w:rsidRPr="00B07E65">
        <w:rPr>
          <w:szCs w:val="22"/>
        </w:rPr>
        <w:t>safety outcomes of SC versus IM </w:t>
      </w:r>
      <w:r w:rsidR="000144A2" w:rsidRPr="00B07E65">
        <w:rPr>
          <w:szCs w:val="22"/>
        </w:rPr>
        <w:t xml:space="preserve">methotrexate </w:t>
      </w:r>
      <w:r w:rsidR="00E544D4" w:rsidRPr="00B07E65">
        <w:rPr>
          <w:szCs w:val="22"/>
        </w:rPr>
        <w:t xml:space="preserve">(in patients with rheumatoid arthritis) </w:t>
      </w:r>
      <w:r w:rsidR="000144A2" w:rsidRPr="00B07E65">
        <w:rPr>
          <w:szCs w:val="22"/>
        </w:rPr>
        <w:t>using single arm studies or studies with different comparators.</w:t>
      </w:r>
      <w:r w:rsidR="000144A2" w:rsidRPr="00B07E65">
        <w:t xml:space="preserve"> There was significant heterogeneity between the studies in terms of the patient populations (e.g. different severity of arthritis), the doses of methotrexate given (which ranged from 2 mg weekly to 15 mg weekly), and the reporting of adverse events. The outcomes of the two most </w:t>
      </w:r>
      <w:r w:rsidR="00CF4C3E" w:rsidRPr="00B07E65">
        <w:t xml:space="preserve">similar </w:t>
      </w:r>
      <w:r w:rsidR="00852496" w:rsidRPr="00B07E65">
        <w:t>studies (</w:t>
      </w:r>
      <w:r w:rsidR="000144A2" w:rsidRPr="00B07E65">
        <w:t xml:space="preserve">MC-MTX.6/RH and Rau </w:t>
      </w:r>
      <w:r w:rsidR="00BD1981" w:rsidRPr="00B07E65">
        <w:t>(</w:t>
      </w:r>
      <w:r w:rsidR="000144A2" w:rsidRPr="00B07E65">
        <w:t>1997</w:t>
      </w:r>
      <w:r w:rsidR="00BD1981" w:rsidRPr="00B07E65">
        <w:t>)</w:t>
      </w:r>
      <w:r w:rsidR="000144A2" w:rsidRPr="00B07E65">
        <w:t xml:space="preserve">) are presented in </w:t>
      </w:r>
      <w:r w:rsidR="00A33F83" w:rsidRPr="00B07E65">
        <w:t>Table 5</w:t>
      </w:r>
      <w:r w:rsidR="000144A2" w:rsidRPr="00B07E65">
        <w:t>.</w:t>
      </w:r>
      <w:r w:rsidR="00916C40" w:rsidRPr="00B07E65">
        <w:t xml:space="preserve"> MC-MTX.6/RH compared 15 mg SC methotrexate </w:t>
      </w:r>
      <w:r w:rsidR="00CC19F9" w:rsidRPr="00B07E65">
        <w:t xml:space="preserve">(could be increased to 20 mg after 16 weeks) </w:t>
      </w:r>
      <w:r w:rsidR="00916C40" w:rsidRPr="00B07E65">
        <w:t>with oral methotrexate in methotrexate</w:t>
      </w:r>
      <w:r w:rsidR="00916C40" w:rsidRPr="00B07E65">
        <w:noBreakHyphen/>
        <w:t xml:space="preserve">naïve patients. Rau </w:t>
      </w:r>
      <w:r w:rsidR="00096F3A" w:rsidRPr="00B07E65">
        <w:t>(</w:t>
      </w:r>
      <w:r w:rsidR="00916C40" w:rsidRPr="00B07E65">
        <w:t>1997</w:t>
      </w:r>
      <w:r w:rsidR="00096F3A" w:rsidRPr="00B07E65">
        <w:t>)</w:t>
      </w:r>
      <w:r w:rsidR="00916C40" w:rsidRPr="00B07E65">
        <w:t xml:space="preserve"> compared IM methotrexate </w:t>
      </w:r>
      <w:r w:rsidR="00707CF9" w:rsidRPr="00B07E65">
        <w:t>(7.5 mg for the first two weeks</w:t>
      </w:r>
      <w:r w:rsidR="00CC19F9" w:rsidRPr="00B07E65">
        <w:t>, 15 mg thereafter</w:t>
      </w:r>
      <w:r w:rsidR="00707CF9" w:rsidRPr="00B07E65">
        <w:t xml:space="preserve">) </w:t>
      </w:r>
      <w:r w:rsidR="00916C40" w:rsidRPr="00B07E65">
        <w:t xml:space="preserve">and IM gold </w:t>
      </w:r>
      <w:r w:rsidR="00055221" w:rsidRPr="00B07E65">
        <w:t xml:space="preserve">in patients with erosive rheumatoid arthritis. </w:t>
      </w:r>
    </w:p>
    <w:p w:rsidR="00433068" w:rsidRPr="00B07E65" w:rsidRDefault="00433068" w:rsidP="00433068">
      <w:pPr>
        <w:pStyle w:val="ListParagraph"/>
        <w:widowControl/>
        <w:rPr>
          <w:szCs w:val="22"/>
          <w:highlight w:val="yellow"/>
        </w:rPr>
      </w:pPr>
    </w:p>
    <w:p w:rsidR="00404575" w:rsidRPr="00B07E65" w:rsidRDefault="00404575" w:rsidP="0031283F">
      <w:pPr>
        <w:pStyle w:val="Tabletext"/>
        <w:keepNext/>
        <w:keepLines/>
        <w:ind w:firstLine="720"/>
        <w:rPr>
          <w:rStyle w:val="CommentReference"/>
          <w:szCs w:val="20"/>
        </w:rPr>
      </w:pPr>
      <w:r w:rsidRPr="00B07E65">
        <w:rPr>
          <w:rStyle w:val="CommentReference"/>
          <w:szCs w:val="20"/>
        </w:rPr>
        <w:t xml:space="preserve">Table </w:t>
      </w:r>
      <w:r w:rsidR="0096281F" w:rsidRPr="00B07E65">
        <w:rPr>
          <w:rStyle w:val="CommentReference"/>
          <w:szCs w:val="20"/>
        </w:rPr>
        <w:t>5:</w:t>
      </w:r>
      <w:r w:rsidRPr="00B07E65">
        <w:rPr>
          <w:rStyle w:val="CommentReference"/>
          <w:szCs w:val="20"/>
        </w:rPr>
        <w:t xml:space="preserve"> Naïve comparison of safety outcomes </w:t>
      </w:r>
      <w:r w:rsidR="00CF4C3E" w:rsidRPr="00B07E65">
        <w:rPr>
          <w:rStyle w:val="CommentReference"/>
          <w:szCs w:val="20"/>
        </w:rPr>
        <w:t xml:space="preserve">between SC and IM methotrexate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836"/>
        <w:gridCol w:w="2957"/>
      </w:tblGrid>
      <w:tr w:rsidR="0096281F" w:rsidRPr="00B07E65" w:rsidTr="00CF4C3E">
        <w:trPr>
          <w:tblHeader/>
        </w:trPr>
        <w:tc>
          <w:tcPr>
            <w:tcW w:w="1529" w:type="pct"/>
            <w:vAlign w:val="center"/>
          </w:tcPr>
          <w:p w:rsidR="0096281F" w:rsidRPr="00B07E65" w:rsidRDefault="0096281F" w:rsidP="0031283F">
            <w:pPr>
              <w:keepNext/>
              <w:keepLines/>
              <w:tabs>
                <w:tab w:val="left" w:pos="150"/>
              </w:tabs>
              <w:jc w:val="left"/>
              <w:rPr>
                <w:rFonts w:ascii="Arial Narrow" w:hAnsi="Arial Narrow"/>
                <w:sz w:val="20"/>
              </w:rPr>
            </w:pPr>
            <w:r w:rsidRPr="00B07E65">
              <w:rPr>
                <w:rFonts w:ascii="Arial Narrow" w:hAnsi="Arial Narrow"/>
                <w:b/>
                <w:sz w:val="20"/>
              </w:rPr>
              <w:t>Trial ID</w:t>
            </w:r>
          </w:p>
        </w:tc>
        <w:tc>
          <w:tcPr>
            <w:tcW w:w="1699" w:type="pct"/>
            <w:vAlign w:val="center"/>
          </w:tcPr>
          <w:p w:rsidR="00CF4C3E" w:rsidRPr="00B07E65" w:rsidRDefault="0096281F" w:rsidP="0031283F">
            <w:pPr>
              <w:keepNext/>
              <w:keepLines/>
              <w:jc w:val="center"/>
              <w:rPr>
                <w:rFonts w:ascii="Arial Narrow" w:hAnsi="Arial Narrow"/>
                <w:b/>
                <w:sz w:val="20"/>
              </w:rPr>
            </w:pPr>
            <w:r w:rsidRPr="00B07E65">
              <w:rPr>
                <w:rFonts w:ascii="Arial Narrow" w:hAnsi="Arial Narrow"/>
                <w:b/>
                <w:sz w:val="20"/>
              </w:rPr>
              <w:t xml:space="preserve">SC MTX </w:t>
            </w:r>
          </w:p>
          <w:p w:rsidR="00C43A01" w:rsidRPr="00B07E65" w:rsidRDefault="0096281F" w:rsidP="0031283F">
            <w:pPr>
              <w:keepNext/>
              <w:keepLines/>
              <w:jc w:val="center"/>
              <w:rPr>
                <w:rFonts w:ascii="Arial Narrow" w:hAnsi="Arial Narrow"/>
                <w:b/>
                <w:sz w:val="20"/>
                <w:vertAlign w:val="superscript"/>
              </w:rPr>
            </w:pPr>
            <w:r w:rsidRPr="00B07E65">
              <w:rPr>
                <w:rFonts w:ascii="Arial Narrow" w:hAnsi="Arial Narrow"/>
                <w:b/>
                <w:sz w:val="20"/>
              </w:rPr>
              <w:t>MC-MTX.6/RH</w:t>
            </w:r>
            <w:r w:rsidR="00707CF9" w:rsidRPr="00B07E65">
              <w:rPr>
                <w:rFonts w:ascii="Arial Narrow" w:hAnsi="Arial Narrow"/>
                <w:b/>
                <w:sz w:val="20"/>
              </w:rPr>
              <w:t>;</w:t>
            </w:r>
            <w:r w:rsidR="00CF4C3E" w:rsidRPr="00B07E65">
              <w:rPr>
                <w:rFonts w:ascii="Arial Narrow" w:hAnsi="Arial Narrow"/>
                <w:b/>
                <w:sz w:val="20"/>
              </w:rPr>
              <w:t xml:space="preserve"> </w:t>
            </w:r>
            <w:r w:rsidR="00E77FDA" w:rsidRPr="00B07E65">
              <w:rPr>
                <w:rFonts w:ascii="Arial Narrow" w:hAnsi="Arial Narrow"/>
                <w:b/>
                <w:sz w:val="20"/>
              </w:rPr>
              <w:t>n</w:t>
            </w:r>
            <w:r w:rsidR="00460A23" w:rsidRPr="00B07E65">
              <w:rPr>
                <w:rFonts w:ascii="Arial Narrow" w:hAnsi="Arial Narrow"/>
                <w:b/>
                <w:sz w:val="20"/>
              </w:rPr>
              <w:t xml:space="preserve"> </w:t>
            </w:r>
            <w:r w:rsidR="00C43A01" w:rsidRPr="00B07E65">
              <w:rPr>
                <w:rFonts w:ascii="Arial Narrow" w:hAnsi="Arial Narrow"/>
                <w:b/>
                <w:sz w:val="20"/>
              </w:rPr>
              <w:t>=</w:t>
            </w:r>
            <w:r w:rsidR="00460A23" w:rsidRPr="00B07E65">
              <w:rPr>
                <w:rFonts w:ascii="Arial Narrow" w:hAnsi="Arial Narrow"/>
                <w:b/>
                <w:sz w:val="20"/>
              </w:rPr>
              <w:t xml:space="preserve"> </w:t>
            </w:r>
            <w:r w:rsidR="00C43A01" w:rsidRPr="00B07E65">
              <w:rPr>
                <w:rFonts w:ascii="Arial Narrow" w:hAnsi="Arial Narrow"/>
                <w:b/>
                <w:sz w:val="20"/>
              </w:rPr>
              <w:t>1</w:t>
            </w:r>
            <w:r w:rsidR="00E77FDA" w:rsidRPr="00B07E65">
              <w:rPr>
                <w:rFonts w:ascii="Arial Narrow" w:hAnsi="Arial Narrow"/>
                <w:b/>
                <w:sz w:val="20"/>
              </w:rPr>
              <w:t>93</w:t>
            </w:r>
            <w:r w:rsidR="00FE0806" w:rsidRPr="00B07E65">
              <w:rPr>
                <w:rFonts w:ascii="Arial Narrow" w:hAnsi="Arial Narrow"/>
                <w:b/>
                <w:sz w:val="20"/>
              </w:rPr>
              <w:t xml:space="preserve"> </w:t>
            </w:r>
            <w:r w:rsidR="00FE0806" w:rsidRPr="00B07E65">
              <w:rPr>
                <w:rFonts w:ascii="Arial Narrow" w:hAnsi="Arial Narrow"/>
                <w:b/>
                <w:sz w:val="20"/>
                <w:vertAlign w:val="superscript"/>
              </w:rPr>
              <w:t>a</w:t>
            </w:r>
          </w:p>
        </w:tc>
        <w:tc>
          <w:tcPr>
            <w:tcW w:w="1772" w:type="pct"/>
            <w:vAlign w:val="center"/>
          </w:tcPr>
          <w:p w:rsidR="0096281F" w:rsidRPr="00B07E65" w:rsidRDefault="0096281F" w:rsidP="0031283F">
            <w:pPr>
              <w:keepNext/>
              <w:keepLines/>
              <w:jc w:val="center"/>
              <w:rPr>
                <w:rFonts w:ascii="Arial Narrow" w:hAnsi="Arial Narrow"/>
                <w:b/>
                <w:sz w:val="20"/>
              </w:rPr>
            </w:pPr>
            <w:r w:rsidRPr="00B07E65">
              <w:rPr>
                <w:rFonts w:ascii="Arial Narrow" w:hAnsi="Arial Narrow"/>
                <w:b/>
                <w:sz w:val="20"/>
              </w:rPr>
              <w:t>IM MTX</w:t>
            </w:r>
          </w:p>
          <w:p w:rsidR="00C43A01" w:rsidRPr="00B07E65" w:rsidRDefault="0096281F" w:rsidP="0031283F">
            <w:pPr>
              <w:keepNext/>
              <w:keepLines/>
              <w:jc w:val="center"/>
              <w:rPr>
                <w:rFonts w:ascii="Arial Narrow" w:hAnsi="Arial Narrow"/>
                <w:sz w:val="20"/>
              </w:rPr>
            </w:pPr>
            <w:r w:rsidRPr="00B07E65">
              <w:rPr>
                <w:rFonts w:ascii="Arial Narrow" w:hAnsi="Arial Narrow"/>
                <w:b/>
                <w:sz w:val="20"/>
              </w:rPr>
              <w:t>Rau 1997</w:t>
            </w:r>
            <w:r w:rsidR="00707CF9" w:rsidRPr="00B07E65">
              <w:rPr>
                <w:rFonts w:ascii="Arial Narrow" w:hAnsi="Arial Narrow"/>
                <w:b/>
                <w:sz w:val="20"/>
              </w:rPr>
              <w:t xml:space="preserve">; </w:t>
            </w:r>
            <w:r w:rsidR="00E77FDA" w:rsidRPr="00B07E65">
              <w:rPr>
                <w:rFonts w:ascii="Arial Narrow" w:hAnsi="Arial Narrow"/>
                <w:b/>
                <w:sz w:val="20"/>
              </w:rPr>
              <w:t>n</w:t>
            </w:r>
            <w:r w:rsidR="00460A23" w:rsidRPr="00B07E65">
              <w:rPr>
                <w:rFonts w:ascii="Arial Narrow" w:hAnsi="Arial Narrow"/>
                <w:b/>
                <w:sz w:val="20"/>
              </w:rPr>
              <w:t xml:space="preserve"> </w:t>
            </w:r>
            <w:r w:rsidR="00C43A01" w:rsidRPr="00B07E65">
              <w:rPr>
                <w:rFonts w:ascii="Arial Narrow" w:hAnsi="Arial Narrow"/>
                <w:b/>
                <w:sz w:val="20"/>
              </w:rPr>
              <w:t>=</w:t>
            </w:r>
            <w:r w:rsidR="00460A23" w:rsidRPr="00B07E65">
              <w:rPr>
                <w:rFonts w:ascii="Arial Narrow" w:hAnsi="Arial Narrow"/>
                <w:b/>
                <w:sz w:val="20"/>
              </w:rPr>
              <w:t xml:space="preserve"> </w:t>
            </w:r>
            <w:r w:rsidR="00C43A01" w:rsidRPr="00B07E65">
              <w:rPr>
                <w:rFonts w:ascii="Arial Narrow" w:hAnsi="Arial Narrow"/>
                <w:b/>
                <w:sz w:val="20"/>
              </w:rPr>
              <w:t>87</w:t>
            </w:r>
          </w:p>
        </w:tc>
      </w:tr>
      <w:tr w:rsidR="0096281F" w:rsidRPr="00B07E65" w:rsidTr="00CF4C3E">
        <w:tc>
          <w:tcPr>
            <w:tcW w:w="1529" w:type="pct"/>
            <w:vAlign w:val="center"/>
          </w:tcPr>
          <w:p w:rsidR="0096281F" w:rsidRPr="00B07E65" w:rsidRDefault="0096281F" w:rsidP="0031283F">
            <w:pPr>
              <w:keepNext/>
              <w:keepLines/>
              <w:tabs>
                <w:tab w:val="left" w:pos="150"/>
              </w:tabs>
              <w:jc w:val="left"/>
              <w:rPr>
                <w:rFonts w:ascii="Arial Narrow" w:hAnsi="Arial Narrow"/>
                <w:sz w:val="20"/>
              </w:rPr>
            </w:pPr>
            <w:r w:rsidRPr="00B07E65">
              <w:rPr>
                <w:rFonts w:ascii="Arial Narrow" w:hAnsi="Arial Narrow"/>
                <w:sz w:val="20"/>
              </w:rPr>
              <w:t>All AEs</w:t>
            </w:r>
            <w:r w:rsidR="003C1062" w:rsidRPr="00B07E65">
              <w:rPr>
                <w:rFonts w:ascii="Arial Narrow" w:hAnsi="Arial Narrow"/>
                <w:sz w:val="20"/>
              </w:rPr>
              <w:t xml:space="preserve"> (patients)</w:t>
            </w:r>
          </w:p>
        </w:tc>
        <w:tc>
          <w:tcPr>
            <w:tcW w:w="1699" w:type="pct"/>
            <w:vAlign w:val="center"/>
          </w:tcPr>
          <w:p w:rsidR="0096281F" w:rsidRPr="00B07E65" w:rsidRDefault="00357A65" w:rsidP="0031283F">
            <w:pPr>
              <w:keepNext/>
              <w:keepLines/>
              <w:jc w:val="center"/>
              <w:rPr>
                <w:rFonts w:ascii="Arial Narrow" w:hAnsi="Arial Narrow"/>
                <w:sz w:val="20"/>
              </w:rPr>
            </w:pPr>
            <w:r w:rsidRPr="00B07E65">
              <w:rPr>
                <w:rFonts w:ascii="Arial Narrow" w:hAnsi="Arial Narrow"/>
                <w:sz w:val="20"/>
              </w:rPr>
              <w:t>66.3%</w:t>
            </w:r>
          </w:p>
        </w:tc>
        <w:tc>
          <w:tcPr>
            <w:tcW w:w="1772" w:type="pct"/>
            <w:vAlign w:val="center"/>
          </w:tcPr>
          <w:p w:rsidR="0096281F" w:rsidRPr="00B07E65" w:rsidRDefault="00357A65" w:rsidP="0031283F">
            <w:pPr>
              <w:keepNext/>
              <w:keepLines/>
              <w:jc w:val="center"/>
              <w:rPr>
                <w:rFonts w:ascii="Arial Narrow" w:hAnsi="Arial Narrow"/>
                <w:sz w:val="20"/>
              </w:rPr>
            </w:pPr>
            <w:r w:rsidRPr="00B07E65">
              <w:rPr>
                <w:rFonts w:ascii="Arial Narrow" w:hAnsi="Arial Narrow"/>
                <w:sz w:val="20"/>
              </w:rPr>
              <w:t>66.7%</w:t>
            </w:r>
          </w:p>
        </w:tc>
      </w:tr>
      <w:tr w:rsidR="00357A65" w:rsidRPr="00B07E65" w:rsidTr="00CF4C3E">
        <w:tc>
          <w:tcPr>
            <w:tcW w:w="1529" w:type="pct"/>
            <w:vAlign w:val="center"/>
          </w:tcPr>
          <w:p w:rsidR="00357A65" w:rsidRPr="00B07E65" w:rsidRDefault="00357A65" w:rsidP="0031283F">
            <w:pPr>
              <w:keepNext/>
              <w:keepLines/>
              <w:tabs>
                <w:tab w:val="left" w:pos="150"/>
              </w:tabs>
              <w:jc w:val="left"/>
              <w:rPr>
                <w:rFonts w:ascii="Arial Narrow" w:hAnsi="Arial Narrow"/>
                <w:sz w:val="20"/>
              </w:rPr>
            </w:pPr>
            <w:r w:rsidRPr="00B07E65">
              <w:rPr>
                <w:rFonts w:ascii="Arial Narrow" w:hAnsi="Arial Narrow"/>
                <w:sz w:val="20"/>
              </w:rPr>
              <w:t>Grade 3/4 AEs</w:t>
            </w:r>
            <w:r w:rsidR="00FE0806" w:rsidRPr="00B07E65">
              <w:rPr>
                <w:rFonts w:ascii="Arial Narrow" w:hAnsi="Arial Narrow"/>
                <w:sz w:val="20"/>
              </w:rPr>
              <w:t xml:space="preserve"> (events)</w:t>
            </w:r>
          </w:p>
        </w:tc>
        <w:tc>
          <w:tcPr>
            <w:tcW w:w="1699" w:type="pct"/>
            <w:vAlign w:val="center"/>
          </w:tcPr>
          <w:p w:rsidR="00357A65" w:rsidRPr="00B07E65" w:rsidRDefault="003C1062" w:rsidP="0031283F">
            <w:pPr>
              <w:keepNext/>
              <w:keepLines/>
              <w:jc w:val="center"/>
              <w:rPr>
                <w:rFonts w:ascii="Arial Narrow" w:hAnsi="Arial Narrow"/>
                <w:sz w:val="20"/>
              </w:rPr>
            </w:pPr>
            <w:r w:rsidRPr="00B07E65">
              <w:rPr>
                <w:rFonts w:ascii="Arial Narrow" w:hAnsi="Arial Narrow"/>
                <w:sz w:val="20"/>
              </w:rPr>
              <w:t>-</w:t>
            </w:r>
          </w:p>
        </w:tc>
        <w:tc>
          <w:tcPr>
            <w:tcW w:w="1772" w:type="pct"/>
            <w:vAlign w:val="center"/>
          </w:tcPr>
          <w:p w:rsidR="00357A65" w:rsidRPr="00B07E65" w:rsidRDefault="00357A65" w:rsidP="0031283F">
            <w:pPr>
              <w:keepNext/>
              <w:keepLines/>
              <w:jc w:val="center"/>
              <w:rPr>
                <w:rFonts w:ascii="Arial Narrow" w:hAnsi="Arial Narrow"/>
                <w:sz w:val="20"/>
                <w:vertAlign w:val="superscript"/>
              </w:rPr>
            </w:pPr>
            <w:r w:rsidRPr="00B07E65">
              <w:rPr>
                <w:rFonts w:ascii="Arial Narrow" w:hAnsi="Arial Narrow"/>
                <w:sz w:val="20"/>
              </w:rPr>
              <w:t>1</w:t>
            </w:r>
            <w:r w:rsidR="003C1062" w:rsidRPr="00B07E65">
              <w:rPr>
                <w:rFonts w:ascii="Arial Narrow" w:hAnsi="Arial Narrow"/>
                <w:sz w:val="20"/>
              </w:rPr>
              <w:t>6</w:t>
            </w:r>
            <w:r w:rsidRPr="00B07E65">
              <w:rPr>
                <w:rFonts w:ascii="Arial Narrow" w:hAnsi="Arial Narrow"/>
                <w:sz w:val="20"/>
              </w:rPr>
              <w:t>%</w:t>
            </w:r>
          </w:p>
        </w:tc>
      </w:tr>
      <w:tr w:rsidR="003C1062" w:rsidRPr="00B07E65" w:rsidTr="00CF4C3E">
        <w:tc>
          <w:tcPr>
            <w:tcW w:w="1529" w:type="pct"/>
            <w:vAlign w:val="center"/>
          </w:tcPr>
          <w:p w:rsidR="003C1062" w:rsidRPr="00B07E65" w:rsidRDefault="003C1062" w:rsidP="0031283F">
            <w:pPr>
              <w:keepNext/>
              <w:keepLines/>
              <w:tabs>
                <w:tab w:val="left" w:pos="150"/>
              </w:tabs>
              <w:jc w:val="left"/>
              <w:rPr>
                <w:rFonts w:ascii="Arial Narrow" w:hAnsi="Arial Narrow"/>
                <w:sz w:val="20"/>
              </w:rPr>
            </w:pPr>
            <w:r w:rsidRPr="00B07E65">
              <w:rPr>
                <w:rFonts w:ascii="Arial Narrow" w:hAnsi="Arial Narrow"/>
                <w:sz w:val="20"/>
              </w:rPr>
              <w:t>SAE</w:t>
            </w:r>
            <w:r w:rsidR="00096F3A" w:rsidRPr="00B07E65">
              <w:rPr>
                <w:rFonts w:ascii="Arial Narrow" w:hAnsi="Arial Narrow"/>
                <w:sz w:val="20"/>
              </w:rPr>
              <w:t xml:space="preserve"> </w:t>
            </w:r>
            <w:r w:rsidR="00FE0806" w:rsidRPr="00B07E65">
              <w:rPr>
                <w:rFonts w:ascii="Arial Narrow" w:hAnsi="Arial Narrow"/>
                <w:sz w:val="20"/>
              </w:rPr>
              <w:t>(patients)</w:t>
            </w:r>
            <w:r w:rsidR="00096F3A" w:rsidRPr="00B07E65">
              <w:rPr>
                <w:rFonts w:ascii="Arial Narrow" w:hAnsi="Arial Narrow"/>
                <w:sz w:val="20"/>
              </w:rPr>
              <w:t xml:space="preserve"> </w:t>
            </w:r>
            <w:r w:rsidR="00096F3A" w:rsidRPr="00B07E65">
              <w:rPr>
                <w:rFonts w:ascii="Arial Narrow" w:hAnsi="Arial Narrow"/>
                <w:sz w:val="20"/>
                <w:vertAlign w:val="superscript"/>
              </w:rPr>
              <w:t>b</w:t>
            </w:r>
          </w:p>
        </w:tc>
        <w:tc>
          <w:tcPr>
            <w:tcW w:w="1699" w:type="pct"/>
            <w:vAlign w:val="center"/>
          </w:tcPr>
          <w:p w:rsidR="003C1062" w:rsidRPr="00B07E65" w:rsidRDefault="00C43A01" w:rsidP="0031283F">
            <w:pPr>
              <w:keepNext/>
              <w:keepLines/>
              <w:jc w:val="center"/>
              <w:rPr>
                <w:rFonts w:ascii="Arial Narrow" w:hAnsi="Arial Narrow"/>
                <w:sz w:val="20"/>
              </w:rPr>
            </w:pPr>
            <w:r w:rsidRPr="00B07E65">
              <w:rPr>
                <w:rFonts w:ascii="Arial Narrow" w:hAnsi="Arial Narrow"/>
                <w:sz w:val="20"/>
              </w:rPr>
              <w:t>5.7%</w:t>
            </w:r>
          </w:p>
        </w:tc>
        <w:tc>
          <w:tcPr>
            <w:tcW w:w="1772" w:type="pct"/>
            <w:vAlign w:val="center"/>
          </w:tcPr>
          <w:p w:rsidR="003C1062" w:rsidRPr="00B07E65" w:rsidRDefault="003C1062" w:rsidP="0031283F">
            <w:pPr>
              <w:keepNext/>
              <w:keepLines/>
              <w:jc w:val="center"/>
              <w:rPr>
                <w:rFonts w:ascii="Arial Narrow" w:hAnsi="Arial Narrow"/>
                <w:sz w:val="20"/>
              </w:rPr>
            </w:pPr>
            <w:r w:rsidRPr="00B07E65">
              <w:rPr>
                <w:rFonts w:ascii="Arial Narrow" w:hAnsi="Arial Narrow"/>
                <w:sz w:val="20"/>
              </w:rPr>
              <w:t>-</w:t>
            </w:r>
          </w:p>
        </w:tc>
      </w:tr>
      <w:tr w:rsidR="003C1062" w:rsidRPr="00B07E65" w:rsidTr="00CF4C3E">
        <w:tc>
          <w:tcPr>
            <w:tcW w:w="1529" w:type="pct"/>
            <w:vAlign w:val="center"/>
          </w:tcPr>
          <w:p w:rsidR="003C1062" w:rsidRPr="00B07E65" w:rsidRDefault="00C43A01" w:rsidP="0031283F">
            <w:pPr>
              <w:keepNext/>
              <w:keepLines/>
              <w:tabs>
                <w:tab w:val="left" w:pos="150"/>
              </w:tabs>
              <w:jc w:val="left"/>
              <w:rPr>
                <w:rFonts w:ascii="Arial Narrow" w:hAnsi="Arial Narrow"/>
                <w:sz w:val="20"/>
              </w:rPr>
            </w:pPr>
            <w:r w:rsidRPr="00B07E65">
              <w:rPr>
                <w:rFonts w:ascii="Arial Narrow" w:hAnsi="Arial Narrow"/>
                <w:sz w:val="20"/>
              </w:rPr>
              <w:t>AEs leading to discontinuation</w:t>
            </w:r>
          </w:p>
        </w:tc>
        <w:tc>
          <w:tcPr>
            <w:tcW w:w="1699" w:type="pct"/>
            <w:vAlign w:val="center"/>
          </w:tcPr>
          <w:p w:rsidR="003C1062" w:rsidRPr="00B07E65" w:rsidRDefault="00C43A01" w:rsidP="0031283F">
            <w:pPr>
              <w:keepNext/>
              <w:keepLines/>
              <w:jc w:val="center"/>
              <w:rPr>
                <w:rFonts w:ascii="Arial Narrow" w:hAnsi="Arial Narrow"/>
                <w:sz w:val="20"/>
              </w:rPr>
            </w:pPr>
            <w:r w:rsidRPr="00B07E65">
              <w:rPr>
                <w:rFonts w:ascii="Arial Narrow" w:hAnsi="Arial Narrow"/>
                <w:sz w:val="20"/>
              </w:rPr>
              <w:t>9.3%</w:t>
            </w:r>
          </w:p>
        </w:tc>
        <w:tc>
          <w:tcPr>
            <w:tcW w:w="1772" w:type="pct"/>
            <w:vAlign w:val="center"/>
          </w:tcPr>
          <w:p w:rsidR="003C1062" w:rsidRPr="00B07E65" w:rsidRDefault="00C43A01" w:rsidP="0031283F">
            <w:pPr>
              <w:keepNext/>
              <w:keepLines/>
              <w:jc w:val="center"/>
              <w:rPr>
                <w:rFonts w:ascii="Arial Narrow" w:hAnsi="Arial Narrow"/>
                <w:sz w:val="20"/>
              </w:rPr>
            </w:pPr>
            <w:r w:rsidRPr="00B07E65">
              <w:rPr>
                <w:rFonts w:ascii="Arial Narrow" w:hAnsi="Arial Narrow"/>
                <w:sz w:val="20"/>
              </w:rPr>
              <w:t>6.9%</w:t>
            </w:r>
          </w:p>
        </w:tc>
      </w:tr>
    </w:tbl>
    <w:p w:rsidR="003C1062" w:rsidRPr="00B07E65" w:rsidRDefault="0096281F" w:rsidP="0031283F">
      <w:pPr>
        <w:pStyle w:val="TableFooter"/>
        <w:keepNext/>
        <w:keepLines/>
        <w:ind w:left="720"/>
      </w:pPr>
      <w:r w:rsidRPr="00B07E65">
        <w:t>Source</w:t>
      </w:r>
      <w:r w:rsidR="00A737A4" w:rsidRPr="00B07E65">
        <w:t xml:space="preserve">: Table 17, p56 </w:t>
      </w:r>
      <w:r w:rsidR="00F003D0" w:rsidRPr="00B07E65">
        <w:t>and Table 18, p60</w:t>
      </w:r>
      <w:r w:rsidR="00A737A4" w:rsidRPr="00B07E65">
        <w:t xml:space="preserve"> of the submission; </w:t>
      </w:r>
      <w:r w:rsidR="00096F3A" w:rsidRPr="00B07E65">
        <w:t>Rau</w:t>
      </w:r>
      <w:r w:rsidR="001D6DBC" w:rsidRPr="00B07E65">
        <w:t xml:space="preserve"> </w:t>
      </w:r>
      <w:r w:rsidR="00096F3A" w:rsidRPr="00B07E65">
        <w:t>(</w:t>
      </w:r>
      <w:r w:rsidR="003C1062" w:rsidRPr="00B07E65">
        <w:t>1997</w:t>
      </w:r>
      <w:r w:rsidR="00096F3A" w:rsidRPr="00B07E65">
        <w:t>)</w:t>
      </w:r>
      <w:r w:rsidR="003C1062" w:rsidRPr="00B07E65">
        <w:t xml:space="preserve">; </w:t>
      </w:r>
      <w:r w:rsidR="00C43A01" w:rsidRPr="00B07E65">
        <w:t>p</w:t>
      </w:r>
      <w:r w:rsidR="006C4C20" w:rsidRPr="00B07E65">
        <w:t>p</w:t>
      </w:r>
      <w:r w:rsidR="00C43A01" w:rsidRPr="00B07E65">
        <w:t>108-109 of MC-MTX.6/RH CSR</w:t>
      </w:r>
      <w:r w:rsidR="001D6DBC" w:rsidRPr="00B07E65">
        <w:t>; Table</w:t>
      </w:r>
      <w:r w:rsidR="00AE15D3" w:rsidRPr="00B07E65">
        <w:t xml:space="preserve"> 12.2.3.2, p106, </w:t>
      </w:r>
      <w:r w:rsidR="00C43A01" w:rsidRPr="00B07E65">
        <w:t xml:space="preserve">Table 14.3.1.1A, p322 </w:t>
      </w:r>
      <w:r w:rsidR="00AE15D3" w:rsidRPr="00B07E65">
        <w:t xml:space="preserve">and pp100-101 </w:t>
      </w:r>
      <w:r w:rsidR="00C43A01" w:rsidRPr="00B07E65">
        <w:t>of MC-MTX.6/RH CSR</w:t>
      </w:r>
      <w:r w:rsidR="00A33F83" w:rsidRPr="00B07E65">
        <w:t xml:space="preserve">; </w:t>
      </w:r>
      <w:r w:rsidR="00F003D0" w:rsidRPr="00B07E65">
        <w:t xml:space="preserve">and </w:t>
      </w:r>
      <w:r w:rsidR="00A33F83" w:rsidRPr="00B07E65">
        <w:t xml:space="preserve">Braun </w:t>
      </w:r>
      <w:r w:rsidR="00096F3A" w:rsidRPr="00B07E65">
        <w:t>(</w:t>
      </w:r>
      <w:r w:rsidR="00A33F83" w:rsidRPr="00B07E65">
        <w:t>2008</w:t>
      </w:r>
      <w:r w:rsidR="00096F3A" w:rsidRPr="00B07E65">
        <w:t>)</w:t>
      </w:r>
    </w:p>
    <w:p w:rsidR="003C1062" w:rsidRPr="00B07E65" w:rsidRDefault="00A737A4" w:rsidP="0031283F">
      <w:pPr>
        <w:pStyle w:val="TableFooter"/>
        <w:keepNext/>
        <w:keepLines/>
        <w:ind w:firstLine="720"/>
      </w:pPr>
      <w:r w:rsidRPr="00B07E65">
        <w:t xml:space="preserve">AE = adverse event, IM = intramuscular; MTX = methotrexate; </w:t>
      </w:r>
      <w:r w:rsidR="003C1062" w:rsidRPr="00B07E65">
        <w:t>SAE = serious adverse event</w:t>
      </w:r>
      <w:r w:rsidRPr="00B07E65">
        <w:t>; SC= subcutaneous</w:t>
      </w:r>
    </w:p>
    <w:p w:rsidR="00D270E0" w:rsidRPr="00B07E65" w:rsidRDefault="00357A65" w:rsidP="0031283F">
      <w:pPr>
        <w:pStyle w:val="TableFooter"/>
        <w:keepNext/>
        <w:keepLines/>
        <w:ind w:firstLine="720"/>
      </w:pPr>
      <w:proofErr w:type="gramStart"/>
      <w:r w:rsidRPr="00B07E65">
        <w:rPr>
          <w:vertAlign w:val="superscript"/>
        </w:rPr>
        <w:t>a</w:t>
      </w:r>
      <w:proofErr w:type="gramEnd"/>
      <w:r w:rsidRPr="00B07E65">
        <w:t xml:space="preserve"> </w:t>
      </w:r>
      <w:r w:rsidR="00D270E0" w:rsidRPr="00B07E65">
        <w:t>Safety population</w:t>
      </w:r>
    </w:p>
    <w:p w:rsidR="0096281F" w:rsidRPr="00B07E65" w:rsidRDefault="00FE0806" w:rsidP="0031283F">
      <w:pPr>
        <w:pStyle w:val="TableFooter"/>
        <w:keepNext/>
        <w:keepLines/>
        <w:ind w:left="720"/>
        <w:rPr>
          <w:rStyle w:val="TabletextChar"/>
        </w:rPr>
      </w:pPr>
      <w:proofErr w:type="gramStart"/>
      <w:r w:rsidRPr="00B07E65">
        <w:rPr>
          <w:rStyle w:val="CommentReference"/>
          <w:vertAlign w:val="superscript"/>
        </w:rPr>
        <w:t>b</w:t>
      </w:r>
      <w:proofErr w:type="gramEnd"/>
      <w:r w:rsidR="003C1062" w:rsidRPr="00B07E65">
        <w:rPr>
          <w:rStyle w:val="CommentReference"/>
          <w:vertAlign w:val="superscript"/>
        </w:rPr>
        <w:t xml:space="preserve"> </w:t>
      </w:r>
      <w:r w:rsidR="00460A23" w:rsidRPr="00B07E65">
        <w:rPr>
          <w:rStyle w:val="TabletextChar"/>
        </w:rPr>
        <w:t>A</w:t>
      </w:r>
      <w:r w:rsidR="00C43A01" w:rsidRPr="00B07E65">
        <w:rPr>
          <w:rStyle w:val="TabletextChar"/>
        </w:rPr>
        <w:t>ny event that result</w:t>
      </w:r>
      <w:r w:rsidR="00707CF9" w:rsidRPr="00B07E65">
        <w:rPr>
          <w:rStyle w:val="TabletextChar"/>
        </w:rPr>
        <w:t>ed</w:t>
      </w:r>
      <w:r w:rsidR="00C43A01" w:rsidRPr="00B07E65">
        <w:rPr>
          <w:rStyle w:val="TabletextChar"/>
        </w:rPr>
        <w:t xml:space="preserve"> in death, </w:t>
      </w:r>
      <w:r w:rsidR="00707CF9" w:rsidRPr="00B07E65">
        <w:rPr>
          <w:rStyle w:val="TabletextChar"/>
        </w:rPr>
        <w:t>wa</w:t>
      </w:r>
      <w:r w:rsidR="00C43A01" w:rsidRPr="00B07E65">
        <w:rPr>
          <w:rStyle w:val="TabletextChar"/>
        </w:rPr>
        <w:t>s life-threatening, require</w:t>
      </w:r>
      <w:r w:rsidR="00707CF9" w:rsidRPr="00B07E65">
        <w:rPr>
          <w:rStyle w:val="TabletextChar"/>
        </w:rPr>
        <w:t>d</w:t>
      </w:r>
      <w:r w:rsidR="00C43A01" w:rsidRPr="00B07E65">
        <w:rPr>
          <w:rStyle w:val="TabletextChar"/>
        </w:rPr>
        <w:t xml:space="preserve"> hospitalisation or prolongation of existing hospitalisation, result</w:t>
      </w:r>
      <w:r w:rsidR="00707CF9" w:rsidRPr="00B07E65">
        <w:rPr>
          <w:rStyle w:val="TabletextChar"/>
        </w:rPr>
        <w:t>ed</w:t>
      </w:r>
      <w:r w:rsidR="00C43A01" w:rsidRPr="00B07E65">
        <w:rPr>
          <w:rStyle w:val="TabletextChar"/>
        </w:rPr>
        <w:t xml:space="preserve"> in persistent or significan</w:t>
      </w:r>
      <w:r w:rsidR="00707CF9" w:rsidRPr="00B07E65">
        <w:rPr>
          <w:rStyle w:val="TabletextChar"/>
        </w:rPr>
        <w:t>t disability or incapacity, or wa</w:t>
      </w:r>
      <w:r w:rsidR="00C43A01" w:rsidRPr="00B07E65">
        <w:rPr>
          <w:rStyle w:val="TabletextChar"/>
        </w:rPr>
        <w:t>s a congenital anomaly or birth defect.</w:t>
      </w:r>
    </w:p>
    <w:p w:rsidR="00916C40" w:rsidRPr="00B07E65" w:rsidRDefault="00916C40" w:rsidP="0031283F">
      <w:pPr>
        <w:pStyle w:val="TableFooter"/>
        <w:keepNext/>
        <w:keepLines/>
        <w:ind w:firstLine="720"/>
        <w:rPr>
          <w:rStyle w:val="CommentReference"/>
          <w:b w:val="0"/>
          <w:sz w:val="18"/>
          <w:szCs w:val="20"/>
        </w:rPr>
      </w:pPr>
      <w:r w:rsidRPr="00B07E65">
        <w:rPr>
          <w:rStyle w:val="CommentReference"/>
          <w:b w:val="0"/>
          <w:sz w:val="18"/>
          <w:szCs w:val="20"/>
        </w:rPr>
        <w:t xml:space="preserve">Note: Grade3/4 adverse events reported in Rau </w:t>
      </w:r>
      <w:r w:rsidR="00096F3A" w:rsidRPr="00B07E65">
        <w:rPr>
          <w:rStyle w:val="CommentReference"/>
          <w:b w:val="0"/>
          <w:sz w:val="18"/>
          <w:szCs w:val="20"/>
        </w:rPr>
        <w:t>(</w:t>
      </w:r>
      <w:r w:rsidRPr="00B07E65">
        <w:rPr>
          <w:rStyle w:val="CommentReference"/>
          <w:b w:val="0"/>
          <w:sz w:val="18"/>
          <w:szCs w:val="20"/>
        </w:rPr>
        <w:t>1997</w:t>
      </w:r>
      <w:r w:rsidR="00096F3A" w:rsidRPr="00B07E65">
        <w:rPr>
          <w:rStyle w:val="CommentReference"/>
          <w:b w:val="0"/>
          <w:sz w:val="18"/>
          <w:szCs w:val="20"/>
        </w:rPr>
        <w:t>)</w:t>
      </w:r>
      <w:r w:rsidRPr="00B07E65">
        <w:rPr>
          <w:rStyle w:val="CommentReference"/>
          <w:b w:val="0"/>
          <w:sz w:val="18"/>
          <w:szCs w:val="20"/>
        </w:rPr>
        <w:t xml:space="preserve"> </w:t>
      </w:r>
      <w:r w:rsidR="00460A23" w:rsidRPr="00B07E65">
        <w:rPr>
          <w:rStyle w:val="CommentReference"/>
          <w:b w:val="0"/>
          <w:sz w:val="18"/>
          <w:szCs w:val="20"/>
        </w:rPr>
        <w:t>are</w:t>
      </w:r>
      <w:r w:rsidRPr="00B07E65">
        <w:rPr>
          <w:rStyle w:val="CommentReference"/>
          <w:b w:val="0"/>
          <w:sz w:val="18"/>
          <w:szCs w:val="20"/>
        </w:rPr>
        <w:t xml:space="preserve"> not comparable with SAEs reported in MC</w:t>
      </w:r>
      <w:r w:rsidRPr="00B07E65">
        <w:rPr>
          <w:rStyle w:val="CommentReference"/>
          <w:b w:val="0"/>
          <w:sz w:val="18"/>
          <w:szCs w:val="20"/>
        </w:rPr>
        <w:noBreakHyphen/>
        <w:t xml:space="preserve">MTX.6/RH. </w:t>
      </w:r>
    </w:p>
    <w:p w:rsidR="00404575" w:rsidRPr="00B07E65" w:rsidRDefault="00404575" w:rsidP="00677297"/>
    <w:p w:rsidR="00852496" w:rsidRPr="00B07E65" w:rsidRDefault="00CF4C3E" w:rsidP="00271C16">
      <w:pPr>
        <w:pStyle w:val="ListParagraph"/>
        <w:widowControl/>
        <w:numPr>
          <w:ilvl w:val="1"/>
          <w:numId w:val="1"/>
        </w:numPr>
        <w:rPr>
          <w:szCs w:val="22"/>
        </w:rPr>
      </w:pPr>
      <w:r w:rsidRPr="00B07E65">
        <w:rPr>
          <w:szCs w:val="22"/>
        </w:rPr>
        <w:t>There was significant heterogeneity between the two studies</w:t>
      </w:r>
      <w:r w:rsidR="007E0D00" w:rsidRPr="00B07E65">
        <w:rPr>
          <w:szCs w:val="22"/>
        </w:rPr>
        <w:t>;</w:t>
      </w:r>
      <w:r w:rsidRPr="00B07E65">
        <w:rPr>
          <w:szCs w:val="22"/>
        </w:rPr>
        <w:t xml:space="preserve"> however</w:t>
      </w:r>
      <w:r w:rsidR="007E0D00" w:rsidRPr="00B07E65">
        <w:rPr>
          <w:szCs w:val="22"/>
        </w:rPr>
        <w:t>,</w:t>
      </w:r>
      <w:r w:rsidRPr="00B07E65">
        <w:rPr>
          <w:szCs w:val="22"/>
        </w:rPr>
        <w:t xml:space="preserve"> t</w:t>
      </w:r>
      <w:r w:rsidR="00852496" w:rsidRPr="00B07E65">
        <w:rPr>
          <w:szCs w:val="22"/>
        </w:rPr>
        <w:t xml:space="preserve">he </w:t>
      </w:r>
      <w:r w:rsidR="00EF0F54" w:rsidRPr="00B07E65">
        <w:rPr>
          <w:szCs w:val="22"/>
        </w:rPr>
        <w:t xml:space="preserve">naïve comparison </w:t>
      </w:r>
      <w:r w:rsidRPr="00B07E65">
        <w:rPr>
          <w:szCs w:val="22"/>
        </w:rPr>
        <w:t>show</w:t>
      </w:r>
      <w:r w:rsidR="00CC19F9" w:rsidRPr="00B07E65">
        <w:rPr>
          <w:szCs w:val="22"/>
        </w:rPr>
        <w:t>ed</w:t>
      </w:r>
      <w:r w:rsidRPr="00B07E65">
        <w:rPr>
          <w:szCs w:val="22"/>
        </w:rPr>
        <w:t xml:space="preserve"> broadly similar rates of </w:t>
      </w:r>
      <w:r w:rsidR="00EF0F54" w:rsidRPr="00B07E65">
        <w:rPr>
          <w:szCs w:val="22"/>
        </w:rPr>
        <w:t>adverse events</w:t>
      </w:r>
      <w:r w:rsidR="00CC19F9" w:rsidRPr="00B07E65">
        <w:rPr>
          <w:szCs w:val="22"/>
        </w:rPr>
        <w:t xml:space="preserve"> between SC and IM methotrexate</w:t>
      </w:r>
      <w:r w:rsidR="00EF0F54" w:rsidRPr="00B07E65">
        <w:t xml:space="preserve">. </w:t>
      </w:r>
    </w:p>
    <w:p w:rsidR="008A2939" w:rsidRPr="00B07E65" w:rsidRDefault="008A2939" w:rsidP="008A2939">
      <w:pPr>
        <w:pStyle w:val="ListParagraph"/>
        <w:widowControl/>
        <w:rPr>
          <w:szCs w:val="22"/>
        </w:rPr>
      </w:pPr>
    </w:p>
    <w:p w:rsidR="009501FD" w:rsidRPr="00B07E65" w:rsidRDefault="009501FD" w:rsidP="004A13BF">
      <w:pPr>
        <w:pStyle w:val="Heading3"/>
      </w:pPr>
      <w:r w:rsidRPr="00B07E65">
        <w:t>Safety of self-administration in the community</w:t>
      </w:r>
    </w:p>
    <w:p w:rsidR="009501FD" w:rsidRPr="00B07E65" w:rsidRDefault="009501FD" w:rsidP="009501FD">
      <w:pPr>
        <w:pStyle w:val="ListParagraph"/>
        <w:widowControl/>
        <w:rPr>
          <w:szCs w:val="22"/>
        </w:rPr>
      </w:pPr>
    </w:p>
    <w:p w:rsidR="00F80536" w:rsidRPr="00B07E65" w:rsidRDefault="00F80536" w:rsidP="00271C16">
      <w:pPr>
        <w:pStyle w:val="ListParagraph"/>
        <w:widowControl/>
        <w:numPr>
          <w:ilvl w:val="1"/>
          <w:numId w:val="1"/>
        </w:numPr>
        <w:rPr>
          <w:szCs w:val="22"/>
        </w:rPr>
      </w:pPr>
      <w:r w:rsidRPr="00B07E65">
        <w:t xml:space="preserve">In its previous consideration, the PBAC noted that there may be potential </w:t>
      </w:r>
      <w:r w:rsidR="00111C1D" w:rsidRPr="00B07E65">
        <w:t>health and s</w:t>
      </w:r>
      <w:r w:rsidRPr="00B07E65">
        <w:t>afety concerns with self-administration of injectable methotrexate outside the clinic setting. To address this, t</w:t>
      </w:r>
      <w:r w:rsidR="007337D7" w:rsidRPr="00B07E65">
        <w:t>he resubmission presented</w:t>
      </w:r>
      <w:r w:rsidR="00B733AD" w:rsidRPr="00B07E65">
        <w:t xml:space="preserve"> a range of information including</w:t>
      </w:r>
      <w:r w:rsidR="00050491" w:rsidRPr="00B07E65">
        <w:t xml:space="preserve"> data regarding </w:t>
      </w:r>
      <w:r w:rsidR="00050491" w:rsidRPr="00B07E65">
        <w:rPr>
          <w:szCs w:val="22"/>
        </w:rPr>
        <w:t xml:space="preserve">the use of SC methotrexate in the community (including Striesow </w:t>
      </w:r>
      <w:r w:rsidR="00096F3A" w:rsidRPr="00B07E65">
        <w:rPr>
          <w:szCs w:val="22"/>
        </w:rPr>
        <w:t>(</w:t>
      </w:r>
      <w:r w:rsidR="00050491" w:rsidRPr="00B07E65">
        <w:rPr>
          <w:szCs w:val="22"/>
        </w:rPr>
        <w:t>2012</w:t>
      </w:r>
      <w:r w:rsidR="00096F3A" w:rsidRPr="00B07E65">
        <w:rPr>
          <w:szCs w:val="22"/>
        </w:rPr>
        <w:t>)</w:t>
      </w:r>
      <w:r w:rsidR="00050491" w:rsidRPr="00B07E65">
        <w:t>); and details regarding Quality Use of Medicines activities.</w:t>
      </w:r>
    </w:p>
    <w:p w:rsidR="00747D5B" w:rsidRPr="00B07E65" w:rsidRDefault="00747D5B" w:rsidP="00747D5B">
      <w:pPr>
        <w:pStyle w:val="ListParagraph"/>
      </w:pPr>
    </w:p>
    <w:p w:rsidR="00CA03CF" w:rsidRPr="00B07E65" w:rsidRDefault="00B733AD" w:rsidP="00271C16">
      <w:pPr>
        <w:pStyle w:val="ListParagraph"/>
        <w:widowControl/>
        <w:numPr>
          <w:ilvl w:val="1"/>
          <w:numId w:val="1"/>
        </w:numPr>
      </w:pPr>
      <w:r w:rsidRPr="00B07E65">
        <w:t>The most relevant study presented to support the safe</w:t>
      </w:r>
      <w:r w:rsidR="00D75D3D" w:rsidRPr="00B07E65">
        <w:t>ty of self-administration of SC </w:t>
      </w:r>
      <w:r w:rsidRPr="00B07E65">
        <w:t>methotrexate in the community setting was</w:t>
      </w:r>
      <w:r w:rsidR="001D058A" w:rsidRPr="00B07E65">
        <w:t xml:space="preserve"> a post-marketing surveillance study by</w:t>
      </w:r>
      <w:r w:rsidRPr="00B07E65">
        <w:t xml:space="preserve"> </w:t>
      </w:r>
      <w:r w:rsidR="00422E7A" w:rsidRPr="00B07E65">
        <w:t xml:space="preserve">Striesow </w:t>
      </w:r>
      <w:r w:rsidR="00096F3A" w:rsidRPr="00B07E65">
        <w:t>(</w:t>
      </w:r>
      <w:r w:rsidR="00422E7A" w:rsidRPr="00B07E65">
        <w:t>2012</w:t>
      </w:r>
      <w:r w:rsidR="00096F3A" w:rsidRPr="00B07E65">
        <w:t>)</w:t>
      </w:r>
      <w:r w:rsidRPr="00B07E65">
        <w:t xml:space="preserve">. </w:t>
      </w:r>
      <w:r w:rsidR="001C5111" w:rsidRPr="00B07E65">
        <w:t>T</w:t>
      </w:r>
      <w:r w:rsidR="00CA03CF" w:rsidRPr="00B07E65">
        <w:t xml:space="preserve">he study assessed preference, satisfaction, usability, and tolerability of </w:t>
      </w:r>
      <w:r w:rsidR="00747D5B" w:rsidRPr="00B07E65">
        <w:t xml:space="preserve">SC </w:t>
      </w:r>
      <w:r w:rsidR="00CA03CF" w:rsidRPr="00B07E65">
        <w:t xml:space="preserve">methotrexate </w:t>
      </w:r>
      <w:r w:rsidR="00747D5B" w:rsidRPr="00B07E65">
        <w:t>pre-filled syringes</w:t>
      </w:r>
      <w:r w:rsidR="00CA03CF" w:rsidRPr="00B07E65">
        <w:t xml:space="preserve"> in 403 pa</w:t>
      </w:r>
      <w:r w:rsidR="000F4E27" w:rsidRPr="00B07E65">
        <w:t>tients with rheumatoid arthritis or psoriatic arthritis</w:t>
      </w:r>
      <w:r w:rsidR="00CA03CF" w:rsidRPr="00B07E65">
        <w:t>. Pa</w:t>
      </w:r>
      <w:r w:rsidR="000F4E27" w:rsidRPr="00B07E65">
        <w:t>tients</w:t>
      </w:r>
      <w:r w:rsidR="00CA03CF" w:rsidRPr="00B07E65">
        <w:t xml:space="preserve"> received six doses: the first dose was administered by a clinician, the second </w:t>
      </w:r>
      <w:r w:rsidR="00D75D3D" w:rsidRPr="00B07E65">
        <w:t xml:space="preserve">and sixth </w:t>
      </w:r>
      <w:r w:rsidR="00CA03CF" w:rsidRPr="00B07E65">
        <w:t>dose</w:t>
      </w:r>
      <w:r w:rsidR="00D75D3D" w:rsidRPr="00B07E65">
        <w:t>s</w:t>
      </w:r>
      <w:r w:rsidR="00CA03CF" w:rsidRPr="00B07E65">
        <w:t xml:space="preserve"> w</w:t>
      </w:r>
      <w:r w:rsidR="00D75D3D" w:rsidRPr="00B07E65">
        <w:t>ere</w:t>
      </w:r>
      <w:r w:rsidR="00CA03CF" w:rsidRPr="00B07E65">
        <w:t xml:space="preserve"> self-administered with clinician supervision and the remaining </w:t>
      </w:r>
      <w:r w:rsidR="00D75D3D" w:rsidRPr="00B07E65">
        <w:t>three</w:t>
      </w:r>
      <w:r w:rsidR="00CA03CF" w:rsidRPr="00B07E65">
        <w:t xml:space="preserve"> doses were self-administered. The findings were:</w:t>
      </w:r>
    </w:p>
    <w:p w:rsidR="0031283F" w:rsidRPr="00B07E65" w:rsidRDefault="0031283F" w:rsidP="00271C16">
      <w:pPr>
        <w:pStyle w:val="ListParagraph"/>
        <w:widowControl/>
        <w:numPr>
          <w:ilvl w:val="0"/>
          <w:numId w:val="5"/>
        </w:numPr>
        <w:ind w:left="1077" w:hanging="357"/>
        <w:rPr>
          <w:szCs w:val="22"/>
        </w:rPr>
      </w:pPr>
      <w:r w:rsidRPr="00B07E65">
        <w:rPr>
          <w:szCs w:val="22"/>
        </w:rPr>
        <w:t xml:space="preserve">no serious adverse events were reported in the study; </w:t>
      </w:r>
    </w:p>
    <w:p w:rsidR="0031283F" w:rsidRPr="00B07E65" w:rsidRDefault="0031283F" w:rsidP="00271C16">
      <w:pPr>
        <w:pStyle w:val="ListParagraph"/>
        <w:widowControl/>
        <w:numPr>
          <w:ilvl w:val="0"/>
          <w:numId w:val="5"/>
        </w:numPr>
        <w:ind w:left="1077" w:hanging="357"/>
        <w:rPr>
          <w:szCs w:val="22"/>
        </w:rPr>
      </w:pPr>
      <w:r w:rsidRPr="00B07E65">
        <w:rPr>
          <w:szCs w:val="22"/>
        </w:rPr>
        <w:t xml:space="preserve">5% of participants reported administration errors relating to administration site and disinfection; and, </w:t>
      </w:r>
    </w:p>
    <w:p w:rsidR="00CA03CF" w:rsidRPr="00B07E65" w:rsidRDefault="00CA03CF" w:rsidP="00271C16">
      <w:pPr>
        <w:pStyle w:val="ListParagraph"/>
        <w:widowControl/>
        <w:numPr>
          <w:ilvl w:val="0"/>
          <w:numId w:val="5"/>
        </w:numPr>
        <w:ind w:left="1077" w:hanging="357"/>
        <w:rPr>
          <w:szCs w:val="22"/>
        </w:rPr>
      </w:pPr>
      <w:r w:rsidRPr="00B07E65">
        <w:rPr>
          <w:szCs w:val="22"/>
        </w:rPr>
        <w:t xml:space="preserve">87.6% of patients assessed the </w:t>
      </w:r>
      <w:r w:rsidR="00E60B87" w:rsidRPr="00B07E65">
        <w:rPr>
          <w:szCs w:val="22"/>
        </w:rPr>
        <w:t>SC methotrexate</w:t>
      </w:r>
      <w:r w:rsidRPr="00B07E65">
        <w:rPr>
          <w:szCs w:val="22"/>
        </w:rPr>
        <w:t xml:space="preserve"> </w:t>
      </w:r>
      <w:r w:rsidR="00B64AA1" w:rsidRPr="00B07E65">
        <w:rPr>
          <w:szCs w:val="22"/>
        </w:rPr>
        <w:t>pre-filled</w:t>
      </w:r>
      <w:r w:rsidR="00E60B87" w:rsidRPr="00B07E65">
        <w:rPr>
          <w:szCs w:val="22"/>
        </w:rPr>
        <w:t xml:space="preserve"> syringes </w:t>
      </w:r>
      <w:r w:rsidRPr="00B07E65">
        <w:rPr>
          <w:szCs w:val="22"/>
        </w:rPr>
        <w:t xml:space="preserve">as ‘very good’ or ‘good’;  </w:t>
      </w:r>
    </w:p>
    <w:p w:rsidR="00C65F68" w:rsidRPr="00B07E65" w:rsidRDefault="00C65F68" w:rsidP="00837E80">
      <w:pPr>
        <w:widowControl/>
        <w:ind w:left="709"/>
        <w:rPr>
          <w:szCs w:val="22"/>
        </w:rPr>
      </w:pPr>
      <w:r w:rsidRPr="00B07E65">
        <w:rPr>
          <w:szCs w:val="22"/>
        </w:rPr>
        <w:t xml:space="preserve">The results of the Striesow </w:t>
      </w:r>
      <w:r w:rsidR="00096F3A" w:rsidRPr="00B07E65">
        <w:rPr>
          <w:szCs w:val="22"/>
        </w:rPr>
        <w:t>(</w:t>
      </w:r>
      <w:r w:rsidRPr="00B07E65">
        <w:rPr>
          <w:szCs w:val="22"/>
        </w:rPr>
        <w:t>2012</w:t>
      </w:r>
      <w:r w:rsidR="00096F3A" w:rsidRPr="00B07E65">
        <w:rPr>
          <w:szCs w:val="22"/>
        </w:rPr>
        <w:t>)</w:t>
      </w:r>
      <w:r w:rsidRPr="00B07E65">
        <w:rPr>
          <w:szCs w:val="22"/>
        </w:rPr>
        <w:t xml:space="preserve"> </w:t>
      </w:r>
      <w:r w:rsidR="00A879BA" w:rsidRPr="00B07E65">
        <w:rPr>
          <w:szCs w:val="22"/>
        </w:rPr>
        <w:t>showed no serious adverse events</w:t>
      </w:r>
      <w:r w:rsidR="008A2939" w:rsidRPr="00B07E65">
        <w:rPr>
          <w:szCs w:val="22"/>
        </w:rPr>
        <w:t xml:space="preserve"> and few administration errors.</w:t>
      </w:r>
    </w:p>
    <w:p w:rsidR="00C65F68" w:rsidRPr="00B07E65" w:rsidRDefault="00C65F68" w:rsidP="00677297"/>
    <w:p w:rsidR="005E5E60" w:rsidRPr="00B07E65" w:rsidRDefault="005E5E60" w:rsidP="00271C16">
      <w:pPr>
        <w:pStyle w:val="ListParagraph"/>
        <w:widowControl/>
        <w:numPr>
          <w:ilvl w:val="1"/>
          <w:numId w:val="1"/>
        </w:numPr>
        <w:rPr>
          <w:szCs w:val="22"/>
        </w:rPr>
      </w:pPr>
      <w:r w:rsidRPr="00B07E65">
        <w:rPr>
          <w:szCs w:val="22"/>
        </w:rPr>
        <w:t>During the evaluation, guidance from the Australian Rheumatology Association was identified regarding the handling of low dose methotrexate. The guidance stated that methotrexate “is not absorbed through the skin in tablet or liquid forms: the tablets and injections can be handled without absorption through contact.” Further, it stated that “high dose (1,000-2,000 mg) contamination studies have shown no methotrexate in air samples – gloves and masks are certainly not required when handling the lower doses.” (Australian Rheumatology Association, 2015).</w:t>
      </w:r>
    </w:p>
    <w:p w:rsidR="005E5E60" w:rsidRPr="00B07E65" w:rsidRDefault="005E5E60" w:rsidP="005E5E60">
      <w:pPr>
        <w:pStyle w:val="ListParagraph"/>
        <w:widowControl/>
        <w:rPr>
          <w:szCs w:val="22"/>
        </w:rPr>
      </w:pPr>
    </w:p>
    <w:p w:rsidR="002242E5" w:rsidRPr="00B07E65" w:rsidRDefault="00111C1D" w:rsidP="00271C16">
      <w:pPr>
        <w:pStyle w:val="ListParagraph"/>
        <w:widowControl/>
        <w:numPr>
          <w:ilvl w:val="1"/>
          <w:numId w:val="1"/>
        </w:numPr>
        <w:rPr>
          <w:szCs w:val="22"/>
        </w:rPr>
      </w:pPr>
      <w:r w:rsidRPr="00B07E65">
        <w:rPr>
          <w:szCs w:val="22"/>
        </w:rPr>
        <w:t xml:space="preserve">To address the PBAC’s concerns from </w:t>
      </w:r>
      <w:r w:rsidR="00EA635F" w:rsidRPr="00B07E65">
        <w:rPr>
          <w:szCs w:val="22"/>
        </w:rPr>
        <w:t xml:space="preserve">the </w:t>
      </w:r>
      <w:r w:rsidRPr="00B07E65">
        <w:rPr>
          <w:szCs w:val="22"/>
        </w:rPr>
        <w:t xml:space="preserve">March 2016 </w:t>
      </w:r>
      <w:r w:rsidR="00EA635F" w:rsidRPr="00B07E65">
        <w:rPr>
          <w:szCs w:val="22"/>
        </w:rPr>
        <w:t xml:space="preserve">meeting </w:t>
      </w:r>
      <w:r w:rsidRPr="00B07E65">
        <w:rPr>
          <w:szCs w:val="22"/>
        </w:rPr>
        <w:t>regarding disposal of used syringes, t</w:t>
      </w:r>
      <w:r w:rsidR="00F9371A" w:rsidRPr="00B07E65">
        <w:rPr>
          <w:szCs w:val="22"/>
        </w:rPr>
        <w:t xml:space="preserve">he resubmission stated </w:t>
      </w:r>
      <w:r w:rsidR="00EA635F" w:rsidRPr="00B07E65">
        <w:rPr>
          <w:szCs w:val="22"/>
        </w:rPr>
        <w:t xml:space="preserve">that </w:t>
      </w:r>
      <w:r w:rsidR="00F9371A" w:rsidRPr="00B07E65">
        <w:rPr>
          <w:szCs w:val="22"/>
        </w:rPr>
        <w:t xml:space="preserve">the sponsor would provide education material relating to </w:t>
      </w:r>
      <w:r w:rsidR="00EA635F" w:rsidRPr="00B07E65">
        <w:rPr>
          <w:szCs w:val="22"/>
        </w:rPr>
        <w:t xml:space="preserve">the </w:t>
      </w:r>
      <w:r w:rsidR="00F9371A" w:rsidRPr="00B07E65">
        <w:rPr>
          <w:szCs w:val="22"/>
        </w:rPr>
        <w:t xml:space="preserve">appropriate use and disposal of </w:t>
      </w:r>
      <w:r w:rsidR="00C774FD" w:rsidRPr="00B07E65">
        <w:rPr>
          <w:szCs w:val="22"/>
        </w:rPr>
        <w:t xml:space="preserve">SC </w:t>
      </w:r>
      <w:r w:rsidR="00F9371A" w:rsidRPr="00B07E65">
        <w:rPr>
          <w:szCs w:val="22"/>
        </w:rPr>
        <w:t>methotrexate. This w</w:t>
      </w:r>
      <w:r w:rsidRPr="00B07E65">
        <w:rPr>
          <w:szCs w:val="22"/>
        </w:rPr>
        <w:t>ould</w:t>
      </w:r>
      <w:r w:rsidR="00F9371A" w:rsidRPr="00B07E65">
        <w:rPr>
          <w:szCs w:val="22"/>
        </w:rPr>
        <w:t xml:space="preserve"> include free provision of </w:t>
      </w:r>
      <w:r w:rsidR="005F08C9" w:rsidRPr="00B07E65">
        <w:rPr>
          <w:szCs w:val="22"/>
        </w:rPr>
        <w:t xml:space="preserve">a </w:t>
      </w:r>
      <w:r w:rsidR="00F9371A" w:rsidRPr="00B07E65">
        <w:rPr>
          <w:szCs w:val="22"/>
        </w:rPr>
        <w:t xml:space="preserve">cytotoxic sharps container bin through online order or </w:t>
      </w:r>
      <w:r w:rsidR="00F20EBB" w:rsidRPr="00B07E65">
        <w:rPr>
          <w:szCs w:val="22"/>
        </w:rPr>
        <w:t xml:space="preserve">a </w:t>
      </w:r>
      <w:r w:rsidR="00F9371A" w:rsidRPr="00B07E65">
        <w:rPr>
          <w:szCs w:val="22"/>
        </w:rPr>
        <w:t>Reply Paid Card</w:t>
      </w:r>
      <w:r w:rsidRPr="00B07E65">
        <w:t xml:space="preserve"> included in the educational materials</w:t>
      </w:r>
      <w:r w:rsidR="00837E80" w:rsidRPr="00B07E65">
        <w:rPr>
          <w:szCs w:val="22"/>
        </w:rPr>
        <w:t>.</w:t>
      </w:r>
      <w:r w:rsidR="00D1760D" w:rsidRPr="00B07E65">
        <w:rPr>
          <w:szCs w:val="22"/>
        </w:rPr>
        <w:t xml:space="preserve"> This </w:t>
      </w:r>
      <w:r w:rsidR="00C34971" w:rsidRPr="00B07E65">
        <w:rPr>
          <w:szCs w:val="22"/>
        </w:rPr>
        <w:t xml:space="preserve">appeared to place the responsibility on the patient to source the cytotoxic sharps container, and </w:t>
      </w:r>
      <w:r w:rsidR="00D1760D" w:rsidRPr="00B07E65">
        <w:rPr>
          <w:szCs w:val="22"/>
        </w:rPr>
        <w:t xml:space="preserve">may result in patients receiving </w:t>
      </w:r>
      <w:r w:rsidR="0045158A" w:rsidRPr="00B07E65">
        <w:rPr>
          <w:szCs w:val="22"/>
        </w:rPr>
        <w:t xml:space="preserve">the </w:t>
      </w:r>
      <w:r w:rsidR="00D1760D" w:rsidRPr="00B07E65">
        <w:rPr>
          <w:szCs w:val="22"/>
        </w:rPr>
        <w:t xml:space="preserve">sharps </w:t>
      </w:r>
      <w:r w:rsidR="00C34971" w:rsidRPr="00B07E65">
        <w:rPr>
          <w:szCs w:val="22"/>
        </w:rPr>
        <w:t xml:space="preserve">container </w:t>
      </w:r>
      <w:r w:rsidR="00D1760D" w:rsidRPr="00B07E65">
        <w:rPr>
          <w:szCs w:val="22"/>
        </w:rPr>
        <w:t>weeks after starting SC methotrexate. Distribution through pharmaci</w:t>
      </w:r>
      <w:r w:rsidR="00E544D4" w:rsidRPr="00B07E65">
        <w:rPr>
          <w:szCs w:val="22"/>
        </w:rPr>
        <w:t>e</w:t>
      </w:r>
      <w:r w:rsidR="00D1760D" w:rsidRPr="00B07E65">
        <w:rPr>
          <w:szCs w:val="22"/>
        </w:rPr>
        <w:t xml:space="preserve">s </w:t>
      </w:r>
      <w:r w:rsidR="0045158A" w:rsidRPr="00B07E65">
        <w:rPr>
          <w:szCs w:val="22"/>
        </w:rPr>
        <w:t xml:space="preserve">(e.g. </w:t>
      </w:r>
      <w:r w:rsidR="001A1D7A" w:rsidRPr="00B07E65">
        <w:rPr>
          <w:szCs w:val="22"/>
        </w:rPr>
        <w:t>via</w:t>
      </w:r>
      <w:r w:rsidR="0045158A" w:rsidRPr="00B07E65">
        <w:rPr>
          <w:szCs w:val="22"/>
        </w:rPr>
        <w:t xml:space="preserve"> wholesalers) </w:t>
      </w:r>
      <w:r w:rsidR="00D1760D" w:rsidRPr="00B07E65">
        <w:rPr>
          <w:szCs w:val="22"/>
        </w:rPr>
        <w:t>or rheumatologists</w:t>
      </w:r>
      <w:r w:rsidR="00E544D4" w:rsidRPr="00B07E65">
        <w:rPr>
          <w:szCs w:val="22"/>
        </w:rPr>
        <w:t>/prescribers (e.g. as part of the educational material)</w:t>
      </w:r>
      <w:r w:rsidR="00D1760D" w:rsidRPr="00B07E65">
        <w:rPr>
          <w:szCs w:val="22"/>
        </w:rPr>
        <w:t xml:space="preserve"> may provide </w:t>
      </w:r>
      <w:r w:rsidR="00E544D4" w:rsidRPr="00B07E65">
        <w:rPr>
          <w:szCs w:val="22"/>
        </w:rPr>
        <w:t xml:space="preserve">easier and </w:t>
      </w:r>
      <w:r w:rsidR="00D1760D" w:rsidRPr="00B07E65">
        <w:rPr>
          <w:szCs w:val="22"/>
        </w:rPr>
        <w:t xml:space="preserve">more timely access to the sharps </w:t>
      </w:r>
      <w:r w:rsidR="00F90A75" w:rsidRPr="00B07E65">
        <w:rPr>
          <w:szCs w:val="22"/>
        </w:rPr>
        <w:t>container</w:t>
      </w:r>
      <w:r w:rsidR="00D1760D" w:rsidRPr="00B07E65">
        <w:rPr>
          <w:szCs w:val="22"/>
        </w:rPr>
        <w:t>.</w:t>
      </w:r>
      <w:r w:rsidR="002242E5" w:rsidRPr="00B07E65">
        <w:rPr>
          <w:szCs w:val="22"/>
        </w:rPr>
        <w:t xml:space="preserve"> Further, the education materials </w:t>
      </w:r>
      <w:r w:rsidR="001A03C2" w:rsidRPr="00B07E65">
        <w:rPr>
          <w:szCs w:val="22"/>
        </w:rPr>
        <w:t>state</w:t>
      </w:r>
      <w:r w:rsidR="002242E5" w:rsidRPr="00B07E65">
        <w:rPr>
          <w:szCs w:val="22"/>
        </w:rPr>
        <w:t xml:space="preserve"> that sharps containers can be requested </w:t>
      </w:r>
      <w:r w:rsidR="00B53A58" w:rsidRPr="00B07E65">
        <w:rPr>
          <w:szCs w:val="22"/>
        </w:rPr>
        <w:t xml:space="preserve">with the patient’s </w:t>
      </w:r>
      <w:r w:rsidR="002242E5" w:rsidRPr="00B07E65">
        <w:rPr>
          <w:szCs w:val="22"/>
        </w:rPr>
        <w:t xml:space="preserve">first prescription. However, replacements would be required on an ongoing basis. </w:t>
      </w:r>
    </w:p>
    <w:p w:rsidR="002242E5" w:rsidRPr="00B07E65" w:rsidRDefault="002242E5" w:rsidP="002242E5">
      <w:pPr>
        <w:pStyle w:val="ListParagraph"/>
        <w:rPr>
          <w:szCs w:val="22"/>
        </w:rPr>
      </w:pPr>
    </w:p>
    <w:p w:rsidR="00111C1D" w:rsidRPr="00B07E65" w:rsidRDefault="005E5E60" w:rsidP="00271C16">
      <w:pPr>
        <w:pStyle w:val="ListParagraph"/>
        <w:widowControl/>
        <w:numPr>
          <w:ilvl w:val="1"/>
          <w:numId w:val="1"/>
        </w:numPr>
        <w:rPr>
          <w:szCs w:val="22"/>
        </w:rPr>
      </w:pPr>
      <w:r w:rsidRPr="00B07E65">
        <w:rPr>
          <w:szCs w:val="22"/>
        </w:rPr>
        <w:t>The</w:t>
      </w:r>
      <w:r w:rsidR="001F275B" w:rsidRPr="00B07E65">
        <w:rPr>
          <w:szCs w:val="22"/>
        </w:rPr>
        <w:t xml:space="preserve"> </w:t>
      </w:r>
      <w:r w:rsidRPr="00B07E65">
        <w:rPr>
          <w:szCs w:val="22"/>
        </w:rPr>
        <w:t xml:space="preserve">patient </w:t>
      </w:r>
      <w:r w:rsidR="001F275B" w:rsidRPr="00B07E65">
        <w:rPr>
          <w:szCs w:val="22"/>
        </w:rPr>
        <w:t xml:space="preserve">education </w:t>
      </w:r>
      <w:r w:rsidRPr="00B07E65">
        <w:rPr>
          <w:szCs w:val="22"/>
        </w:rPr>
        <w:t xml:space="preserve">materials </w:t>
      </w:r>
      <w:r w:rsidR="0031283F" w:rsidRPr="00B07E65">
        <w:rPr>
          <w:szCs w:val="22"/>
        </w:rPr>
        <w:t xml:space="preserve">stated that patients should seek advice from their doctor, pharmacist, local council or hospital for advice on disposal of the full sharps container. </w:t>
      </w:r>
      <w:r w:rsidR="005F26D8" w:rsidRPr="00B07E65">
        <w:rPr>
          <w:szCs w:val="22"/>
        </w:rPr>
        <w:t xml:space="preserve">The Return of Unwanted Medicines project </w:t>
      </w:r>
      <w:r w:rsidR="00F20EBB" w:rsidRPr="00B07E65">
        <w:rPr>
          <w:szCs w:val="22"/>
        </w:rPr>
        <w:t xml:space="preserve">(in community pharmacies) </w:t>
      </w:r>
      <w:r w:rsidR="0031283F" w:rsidRPr="00B07E65">
        <w:rPr>
          <w:szCs w:val="22"/>
        </w:rPr>
        <w:t xml:space="preserve">website stated that it </w:t>
      </w:r>
      <w:r w:rsidR="005F26D8" w:rsidRPr="00B07E65">
        <w:rPr>
          <w:szCs w:val="22"/>
        </w:rPr>
        <w:t>does not collect sharps or liquid cytotoxic products.</w:t>
      </w:r>
    </w:p>
    <w:p w:rsidR="00374DCC" w:rsidRPr="00B07E65" w:rsidRDefault="00374DCC" w:rsidP="00A879BA"/>
    <w:p w:rsidR="00B60939" w:rsidRPr="00B07E65" w:rsidRDefault="00B60939" w:rsidP="00096F3A">
      <w:pPr>
        <w:pStyle w:val="Heading2"/>
        <w:keepNext/>
        <w:rPr>
          <w:i/>
        </w:rPr>
      </w:pPr>
      <w:bookmarkStart w:id="12" w:name="_Toc472340129"/>
      <w:r w:rsidRPr="00B07E65">
        <w:rPr>
          <w:i/>
        </w:rPr>
        <w:t>Clinical claim</w:t>
      </w:r>
      <w:bookmarkEnd w:id="12"/>
    </w:p>
    <w:p w:rsidR="00B60939" w:rsidRPr="00B07E65" w:rsidRDefault="00B60939" w:rsidP="00096F3A">
      <w:pPr>
        <w:pStyle w:val="BodyText"/>
        <w:keepNext/>
      </w:pPr>
    </w:p>
    <w:p w:rsidR="008A2939" w:rsidRPr="00B07E65" w:rsidRDefault="007337D7" w:rsidP="00271C16">
      <w:pPr>
        <w:pStyle w:val="ListParagraph"/>
        <w:numPr>
          <w:ilvl w:val="1"/>
          <w:numId w:val="1"/>
        </w:numPr>
      </w:pPr>
      <w:r w:rsidRPr="00B07E65">
        <w:t xml:space="preserve">The resubmission described </w:t>
      </w:r>
      <w:r w:rsidR="00E60B87" w:rsidRPr="00B07E65">
        <w:t>SC methotrexate</w:t>
      </w:r>
      <w:r w:rsidRPr="00B07E65">
        <w:t xml:space="preserve"> </w:t>
      </w:r>
      <w:r w:rsidR="00A72379" w:rsidRPr="00B07E65">
        <w:t xml:space="preserve">pre-filled syringes </w:t>
      </w:r>
      <w:r w:rsidRPr="00B07E65">
        <w:t xml:space="preserve">as non-inferior </w:t>
      </w:r>
      <w:r w:rsidR="00A72379" w:rsidRPr="00B07E65">
        <w:t xml:space="preserve">and bioequivalent </w:t>
      </w:r>
      <w:r w:rsidRPr="00B07E65">
        <w:t xml:space="preserve">in terms of comparative effectiveness and non-inferior in terms of comparative safety over </w:t>
      </w:r>
      <w:r w:rsidR="00A72379" w:rsidRPr="00B07E65">
        <w:t>methotrexate glass vials injected intramuscularly</w:t>
      </w:r>
      <w:r w:rsidRPr="00B07E65">
        <w:t>.</w:t>
      </w:r>
      <w:r w:rsidR="00521683" w:rsidRPr="00B07E65">
        <w:t xml:space="preserve"> </w:t>
      </w:r>
      <w:r w:rsidRPr="00B07E65">
        <w:t>The PBAC had previously accepted the claim of non</w:t>
      </w:r>
      <w:r w:rsidRPr="00B07E65">
        <w:noBreakHyphen/>
        <w:t>inferior comparative effectiveness over IM methotrexate</w:t>
      </w:r>
      <w:r w:rsidR="000F4E27" w:rsidRPr="00B07E65">
        <w:rPr>
          <w:szCs w:val="22"/>
        </w:rPr>
        <w:t xml:space="preserve"> and the new clinical data supported the PBAC’s previous conclusion</w:t>
      </w:r>
      <w:r w:rsidRPr="00B07E65">
        <w:t>.</w:t>
      </w:r>
    </w:p>
    <w:p w:rsidR="00993117" w:rsidRPr="00B07E65" w:rsidRDefault="007337D7" w:rsidP="008A2939">
      <w:pPr>
        <w:pStyle w:val="ListParagraph"/>
      </w:pPr>
      <w:r w:rsidRPr="00B07E65">
        <w:t xml:space="preserve"> </w:t>
      </w:r>
    </w:p>
    <w:p w:rsidR="008A2939" w:rsidRPr="00B07E65" w:rsidRDefault="008A2939" w:rsidP="00271C16">
      <w:pPr>
        <w:pStyle w:val="ListParagraph"/>
        <w:widowControl/>
        <w:numPr>
          <w:ilvl w:val="1"/>
          <w:numId w:val="1"/>
        </w:numPr>
        <w:rPr>
          <w:szCs w:val="22"/>
        </w:rPr>
      </w:pPr>
      <w:r w:rsidRPr="00B07E65">
        <w:rPr>
          <w:szCs w:val="22"/>
        </w:rPr>
        <w:t>The PBAC considered that the claim of non-inferior comparative safety was reasonable, and viewed that the resubmission had adequately addressed the PBAC’s previous concerns about the safety of methotrexate self-injection outside the clinic setting.</w:t>
      </w:r>
    </w:p>
    <w:p w:rsidR="0045158A" w:rsidRPr="00B07E65" w:rsidRDefault="0045158A" w:rsidP="0045158A">
      <w:pPr>
        <w:pStyle w:val="ListParagraph"/>
      </w:pPr>
    </w:p>
    <w:p w:rsidR="00C774FD" w:rsidRPr="00B07E65" w:rsidRDefault="00C774FD" w:rsidP="00271C16">
      <w:pPr>
        <w:pStyle w:val="ListParagraph"/>
        <w:widowControl/>
        <w:numPr>
          <w:ilvl w:val="1"/>
          <w:numId w:val="1"/>
        </w:numPr>
        <w:rPr>
          <w:szCs w:val="22"/>
        </w:rPr>
      </w:pPr>
      <w:r w:rsidRPr="00B07E65">
        <w:rPr>
          <w:szCs w:val="22"/>
        </w:rPr>
        <w:t xml:space="preserve">The </w:t>
      </w:r>
      <w:r w:rsidR="002C58D8" w:rsidRPr="00B07E65">
        <w:rPr>
          <w:szCs w:val="22"/>
        </w:rPr>
        <w:t xml:space="preserve">following </w:t>
      </w:r>
      <w:r w:rsidRPr="00B07E65">
        <w:rPr>
          <w:szCs w:val="22"/>
        </w:rPr>
        <w:t xml:space="preserve">health and safety risks of self-injection in the community setting were </w:t>
      </w:r>
      <w:r w:rsidR="00011719" w:rsidRPr="00B07E65">
        <w:rPr>
          <w:szCs w:val="22"/>
        </w:rPr>
        <w:t xml:space="preserve">adequately </w:t>
      </w:r>
      <w:r w:rsidRPr="00B07E65">
        <w:rPr>
          <w:szCs w:val="22"/>
        </w:rPr>
        <w:t>addressed:</w:t>
      </w:r>
    </w:p>
    <w:p w:rsidR="00993117" w:rsidRPr="00B07E65" w:rsidRDefault="00BD1981" w:rsidP="00271C16">
      <w:pPr>
        <w:pStyle w:val="ListParagraph"/>
        <w:widowControl/>
        <w:numPr>
          <w:ilvl w:val="3"/>
          <w:numId w:val="6"/>
        </w:numPr>
        <w:ind w:left="1077" w:hanging="357"/>
        <w:rPr>
          <w:szCs w:val="22"/>
        </w:rPr>
      </w:pPr>
      <w:r w:rsidRPr="00B07E65">
        <w:t>m</w:t>
      </w:r>
      <w:r w:rsidR="00993117" w:rsidRPr="00B07E65">
        <w:t xml:space="preserve">ethotrexate is </w:t>
      </w:r>
      <w:r w:rsidR="003B6126" w:rsidRPr="00B07E65">
        <w:t xml:space="preserve">only minimally absorbed </w:t>
      </w:r>
      <w:r w:rsidR="00993117" w:rsidRPr="00B07E65">
        <w:t xml:space="preserve">through skin </w:t>
      </w:r>
      <w:r w:rsidR="003B6126" w:rsidRPr="00B07E65">
        <w:t>and not</w:t>
      </w:r>
      <w:r w:rsidR="00993117" w:rsidRPr="00B07E65">
        <w:t xml:space="preserve"> detected in air samples, minimising the risk of inadvertent exposure through spills;</w:t>
      </w:r>
    </w:p>
    <w:p w:rsidR="00993117" w:rsidRPr="00B07E65" w:rsidRDefault="003B6126" w:rsidP="00271C16">
      <w:pPr>
        <w:pStyle w:val="ListParagraph"/>
        <w:widowControl/>
        <w:numPr>
          <w:ilvl w:val="3"/>
          <w:numId w:val="6"/>
        </w:numPr>
        <w:ind w:left="1077" w:hanging="357"/>
        <w:rPr>
          <w:szCs w:val="22"/>
        </w:rPr>
      </w:pPr>
      <w:r w:rsidRPr="00B07E65">
        <w:rPr>
          <w:szCs w:val="22"/>
        </w:rPr>
        <w:t xml:space="preserve">SC </w:t>
      </w:r>
      <w:r w:rsidR="00993117" w:rsidRPr="00B07E65">
        <w:rPr>
          <w:szCs w:val="22"/>
        </w:rPr>
        <w:t xml:space="preserve">methotrexate </w:t>
      </w:r>
      <w:r w:rsidR="00F20EBB" w:rsidRPr="00B07E65">
        <w:rPr>
          <w:szCs w:val="22"/>
        </w:rPr>
        <w:t xml:space="preserve">pre-filled syringes </w:t>
      </w:r>
      <w:r w:rsidR="00993117" w:rsidRPr="00B07E65">
        <w:rPr>
          <w:szCs w:val="22"/>
        </w:rPr>
        <w:t>ha</w:t>
      </w:r>
      <w:r w:rsidR="00F20EBB" w:rsidRPr="00B07E65">
        <w:rPr>
          <w:szCs w:val="22"/>
        </w:rPr>
        <w:t>ve</w:t>
      </w:r>
      <w:r w:rsidR="00993117" w:rsidRPr="00B07E65">
        <w:rPr>
          <w:szCs w:val="22"/>
        </w:rPr>
        <w:t xml:space="preserve"> been available internationally </w:t>
      </w:r>
      <w:r w:rsidR="00F20EBB" w:rsidRPr="00B07E65">
        <w:rPr>
          <w:szCs w:val="22"/>
        </w:rPr>
        <w:t>since 2009 and, at 30 June 2016, are registered in 34 countries. N</w:t>
      </w:r>
      <w:r w:rsidR="00993117" w:rsidRPr="00B07E65">
        <w:rPr>
          <w:szCs w:val="22"/>
        </w:rPr>
        <w:t>o specific safety problems have been identified with respect to the safety of self</w:t>
      </w:r>
      <w:r w:rsidR="00993117" w:rsidRPr="00B07E65">
        <w:rPr>
          <w:szCs w:val="22"/>
        </w:rPr>
        <w:noBreakHyphen/>
        <w:t>administration</w:t>
      </w:r>
      <w:r w:rsidRPr="00B07E65">
        <w:rPr>
          <w:szCs w:val="22"/>
        </w:rPr>
        <w:t>, including in patient preference studies and post-marketing surveillance activities</w:t>
      </w:r>
      <w:r w:rsidR="00993117" w:rsidRPr="00B07E65">
        <w:rPr>
          <w:szCs w:val="22"/>
        </w:rPr>
        <w:t>;</w:t>
      </w:r>
      <w:r w:rsidR="00420C21" w:rsidRPr="00B07E65">
        <w:rPr>
          <w:szCs w:val="22"/>
        </w:rPr>
        <w:t xml:space="preserve"> and</w:t>
      </w:r>
      <w:r w:rsidR="00D23E31" w:rsidRPr="00B07E65">
        <w:rPr>
          <w:szCs w:val="22"/>
        </w:rPr>
        <w:t xml:space="preserve"> </w:t>
      </w:r>
    </w:p>
    <w:p w:rsidR="00993117" w:rsidRPr="00B07E65" w:rsidRDefault="00BD1981" w:rsidP="00271C16">
      <w:pPr>
        <w:pStyle w:val="ListParagraph"/>
        <w:widowControl/>
        <w:numPr>
          <w:ilvl w:val="3"/>
          <w:numId w:val="6"/>
        </w:numPr>
        <w:ind w:left="1077" w:hanging="357"/>
        <w:rPr>
          <w:szCs w:val="22"/>
        </w:rPr>
      </w:pPr>
      <w:proofErr w:type="gramStart"/>
      <w:r w:rsidRPr="00B07E65">
        <w:rPr>
          <w:szCs w:val="22"/>
        </w:rPr>
        <w:t>t</w:t>
      </w:r>
      <w:r w:rsidR="00D23E31" w:rsidRPr="00B07E65">
        <w:rPr>
          <w:szCs w:val="22"/>
        </w:rPr>
        <w:t>he</w:t>
      </w:r>
      <w:proofErr w:type="gramEnd"/>
      <w:r w:rsidR="00993117" w:rsidRPr="00B07E65">
        <w:rPr>
          <w:szCs w:val="22"/>
        </w:rPr>
        <w:t xml:space="preserve"> sponsor </w:t>
      </w:r>
      <w:r w:rsidR="008F5AB7" w:rsidRPr="00B07E65">
        <w:rPr>
          <w:szCs w:val="22"/>
        </w:rPr>
        <w:t xml:space="preserve">has </w:t>
      </w:r>
      <w:r w:rsidR="00993117" w:rsidRPr="00B07E65">
        <w:rPr>
          <w:szCs w:val="22"/>
        </w:rPr>
        <w:t xml:space="preserve">developed an education program on appropriate handling of </w:t>
      </w:r>
      <w:r w:rsidR="00993117" w:rsidRPr="00B07E65">
        <w:t>SC methotrexate. This</w:t>
      </w:r>
      <w:r w:rsidR="00993117" w:rsidRPr="00B07E65">
        <w:rPr>
          <w:szCs w:val="22"/>
        </w:rPr>
        <w:t xml:space="preserve"> include</w:t>
      </w:r>
      <w:r w:rsidR="00F20EBB" w:rsidRPr="00B07E65">
        <w:rPr>
          <w:szCs w:val="22"/>
        </w:rPr>
        <w:t>d</w:t>
      </w:r>
      <w:r w:rsidR="00993117" w:rsidRPr="00B07E65">
        <w:rPr>
          <w:szCs w:val="22"/>
        </w:rPr>
        <w:t xml:space="preserve"> provision of </w:t>
      </w:r>
      <w:r w:rsidR="00F20EBB" w:rsidRPr="00B07E65">
        <w:rPr>
          <w:szCs w:val="22"/>
        </w:rPr>
        <w:t xml:space="preserve">free </w:t>
      </w:r>
      <w:r w:rsidR="00993117" w:rsidRPr="00B07E65">
        <w:rPr>
          <w:szCs w:val="22"/>
        </w:rPr>
        <w:t>cytotoxic sharps container</w:t>
      </w:r>
      <w:r w:rsidR="00F20EBB" w:rsidRPr="00B07E65">
        <w:rPr>
          <w:szCs w:val="22"/>
        </w:rPr>
        <w:t>s</w:t>
      </w:r>
      <w:r w:rsidR="00993117" w:rsidRPr="00B07E65">
        <w:rPr>
          <w:szCs w:val="22"/>
        </w:rPr>
        <w:t xml:space="preserve">. </w:t>
      </w:r>
    </w:p>
    <w:p w:rsidR="00684406" w:rsidRPr="00B07E65" w:rsidRDefault="00684406" w:rsidP="00993117">
      <w:pPr>
        <w:rPr>
          <w:szCs w:val="22"/>
        </w:rPr>
      </w:pPr>
    </w:p>
    <w:p w:rsidR="00B60939" w:rsidRPr="00B07E65" w:rsidRDefault="00B60939" w:rsidP="00497F10">
      <w:pPr>
        <w:pStyle w:val="Heading2"/>
        <w:rPr>
          <w:i/>
        </w:rPr>
      </w:pPr>
      <w:bookmarkStart w:id="13" w:name="_Toc472340130"/>
      <w:r w:rsidRPr="00B07E65">
        <w:rPr>
          <w:i/>
        </w:rPr>
        <w:t>Economic analysis</w:t>
      </w:r>
      <w:bookmarkEnd w:id="13"/>
      <w:r w:rsidR="00491B3A" w:rsidRPr="00B07E65">
        <w:rPr>
          <w:i/>
        </w:rPr>
        <w:t xml:space="preserve"> </w:t>
      </w:r>
    </w:p>
    <w:p w:rsidR="00B60939" w:rsidRPr="00B07E65" w:rsidRDefault="00B60939" w:rsidP="00B60939">
      <w:pPr>
        <w:ind w:left="720" w:hanging="720"/>
        <w:rPr>
          <w:szCs w:val="22"/>
        </w:rPr>
      </w:pPr>
    </w:p>
    <w:p w:rsidR="00FF3F81" w:rsidRDefault="00FF3F81" w:rsidP="00271C16">
      <w:pPr>
        <w:pStyle w:val="ListParagraph"/>
        <w:widowControl/>
        <w:numPr>
          <w:ilvl w:val="1"/>
          <w:numId w:val="1"/>
        </w:numPr>
      </w:pPr>
      <w:r w:rsidRPr="00B07E65">
        <w:t>The resubmission presented a cost-minimisation analysis</w:t>
      </w:r>
      <w:r w:rsidR="00D24E42" w:rsidRPr="00B07E65">
        <w:t xml:space="preserve"> </w:t>
      </w:r>
      <w:r w:rsidRPr="00B07E65">
        <w:t>versus methotrexate glass vials</w:t>
      </w:r>
      <w:r w:rsidR="00420C21" w:rsidRPr="00B07E65">
        <w:t xml:space="preserve"> </w:t>
      </w:r>
      <w:r w:rsidR="008F5FE9" w:rsidRPr="00B07E65">
        <w:t>including</w:t>
      </w:r>
      <w:r w:rsidR="00420C21" w:rsidRPr="00B07E65">
        <w:t xml:space="preserve"> drug, injection and administration costs</w:t>
      </w:r>
      <w:r w:rsidR="00D24E42" w:rsidRPr="00B07E65">
        <w:t xml:space="preserve"> (a cost-analysis)</w:t>
      </w:r>
      <w:r w:rsidRPr="00B07E65">
        <w:t xml:space="preserve">. </w:t>
      </w:r>
      <w:r w:rsidR="00D24E42" w:rsidRPr="00B07E65">
        <w:t xml:space="preserve">This included reduced healthcare visits for </w:t>
      </w:r>
      <w:r w:rsidR="005E1DC1" w:rsidRPr="00B07E65">
        <w:t xml:space="preserve">weekly </w:t>
      </w:r>
      <w:r w:rsidR="00D24E42" w:rsidRPr="00B07E65">
        <w:t xml:space="preserve">self-administration of methotrexate. </w:t>
      </w:r>
      <w:r w:rsidR="000B0C44" w:rsidRPr="00B07E65">
        <w:t xml:space="preserve">Table </w:t>
      </w:r>
      <w:r w:rsidR="00D270E0" w:rsidRPr="00B07E65">
        <w:t>6</w:t>
      </w:r>
      <w:r w:rsidR="000B0C44" w:rsidRPr="00B07E65">
        <w:t xml:space="preserve"> summarises the key differences </w:t>
      </w:r>
      <w:r w:rsidRPr="00B07E65">
        <w:t>compared with the previous submission.</w:t>
      </w:r>
    </w:p>
    <w:p w:rsidR="00E341ED" w:rsidRPr="00B07E65" w:rsidRDefault="00E341ED" w:rsidP="00E341ED">
      <w:pPr>
        <w:pStyle w:val="ListParagraph"/>
        <w:widowControl/>
      </w:pPr>
    </w:p>
    <w:p w:rsidR="000B0C44" w:rsidRPr="00B07E65" w:rsidRDefault="000B0C44" w:rsidP="006C299C">
      <w:pPr>
        <w:pStyle w:val="Tabletext"/>
        <w:keepNext/>
        <w:keepLines/>
        <w:ind w:left="709"/>
        <w:rPr>
          <w:b/>
        </w:rPr>
      </w:pPr>
      <w:r w:rsidRPr="00B07E65">
        <w:rPr>
          <w:b/>
        </w:rPr>
        <w:t xml:space="preserve">Table </w:t>
      </w:r>
      <w:r w:rsidR="00D270E0" w:rsidRPr="00B07E65">
        <w:rPr>
          <w:b/>
        </w:rPr>
        <w:t>6</w:t>
      </w:r>
      <w:r w:rsidRPr="00B07E65">
        <w:rPr>
          <w:b/>
        </w:rPr>
        <w:t xml:space="preserve">: Comparison of the economic evaluation in the previous submission and the current resubmission </w:t>
      </w:r>
    </w:p>
    <w:tbl>
      <w:tblPr>
        <w:tblStyle w:val="TableGrid"/>
        <w:tblW w:w="4602" w:type="pct"/>
        <w:tblInd w:w="737" w:type="dxa"/>
        <w:tblLook w:val="0480" w:firstRow="0" w:lastRow="0" w:firstColumn="1" w:lastColumn="0" w:noHBand="0" w:noVBand="1"/>
        <w:tblCaption w:val="Table 6: Comparison of the economic evaluation in the previous submission and the current resubmission "/>
      </w:tblPr>
      <w:tblGrid>
        <w:gridCol w:w="1277"/>
        <w:gridCol w:w="1785"/>
        <w:gridCol w:w="3033"/>
        <w:gridCol w:w="2264"/>
      </w:tblGrid>
      <w:tr w:rsidR="000B0C44" w:rsidRPr="00B07E65" w:rsidTr="006B3087">
        <w:trPr>
          <w:cantSplit/>
          <w:tblHeader/>
        </w:trPr>
        <w:tc>
          <w:tcPr>
            <w:tcW w:w="763" w:type="pct"/>
            <w:tcMar>
              <w:left w:w="28" w:type="dxa"/>
              <w:right w:w="28" w:type="dxa"/>
            </w:tcMar>
            <w:vAlign w:val="center"/>
          </w:tcPr>
          <w:p w:rsidR="000B0C44" w:rsidRPr="00B07E65" w:rsidRDefault="000B0C44" w:rsidP="006C299C">
            <w:pPr>
              <w:pStyle w:val="Tabletext"/>
              <w:keepNext/>
              <w:keepLines/>
              <w:rPr>
                <w:b/>
              </w:rPr>
            </w:pPr>
            <w:r w:rsidRPr="00B07E65">
              <w:rPr>
                <w:b/>
              </w:rPr>
              <w:t>Issue</w:t>
            </w:r>
          </w:p>
        </w:tc>
        <w:tc>
          <w:tcPr>
            <w:tcW w:w="1068" w:type="pct"/>
            <w:tcMar>
              <w:left w:w="28" w:type="dxa"/>
              <w:right w:w="28" w:type="dxa"/>
            </w:tcMar>
          </w:tcPr>
          <w:p w:rsidR="000B0C44" w:rsidRPr="00B07E65" w:rsidRDefault="000B0C44" w:rsidP="006C299C">
            <w:pPr>
              <w:pStyle w:val="Tabletext"/>
              <w:keepNext/>
              <w:keepLines/>
              <w:jc w:val="center"/>
              <w:rPr>
                <w:b/>
              </w:rPr>
            </w:pPr>
            <w:r w:rsidRPr="00B07E65">
              <w:rPr>
                <w:b/>
              </w:rPr>
              <w:t>Previous submission</w:t>
            </w:r>
          </w:p>
          <w:p w:rsidR="008F5FE9" w:rsidRPr="00B07E65" w:rsidRDefault="008F5FE9" w:rsidP="006C299C">
            <w:pPr>
              <w:pStyle w:val="Tabletext"/>
              <w:keepNext/>
              <w:keepLines/>
              <w:jc w:val="center"/>
              <w:rPr>
                <w:b/>
              </w:rPr>
            </w:pPr>
            <w:r w:rsidRPr="00B07E65">
              <w:rPr>
                <w:b/>
              </w:rPr>
              <w:t>March 2016</w:t>
            </w:r>
          </w:p>
        </w:tc>
        <w:tc>
          <w:tcPr>
            <w:tcW w:w="1814" w:type="pct"/>
            <w:tcMar>
              <w:left w:w="28" w:type="dxa"/>
              <w:right w:w="28" w:type="dxa"/>
            </w:tcMar>
          </w:tcPr>
          <w:p w:rsidR="000B0C44" w:rsidRPr="00B07E65" w:rsidRDefault="000B0C44" w:rsidP="006C299C">
            <w:pPr>
              <w:pStyle w:val="Tabletext"/>
              <w:keepNext/>
              <w:keepLines/>
              <w:jc w:val="center"/>
              <w:rPr>
                <w:b/>
              </w:rPr>
            </w:pPr>
            <w:r w:rsidRPr="00B07E65">
              <w:rPr>
                <w:b/>
              </w:rPr>
              <w:t>Previous PBAC</w:t>
            </w:r>
            <w:r w:rsidR="00096F3A" w:rsidRPr="00B07E65">
              <w:rPr>
                <w:b/>
              </w:rPr>
              <w:t>/e</w:t>
            </w:r>
            <w:r w:rsidRPr="00B07E65">
              <w:rPr>
                <w:b/>
              </w:rPr>
              <w:t xml:space="preserve">valuator comments </w:t>
            </w:r>
          </w:p>
          <w:p w:rsidR="000B0C44" w:rsidRPr="00B07E65" w:rsidRDefault="000B0C44" w:rsidP="006C299C">
            <w:pPr>
              <w:pStyle w:val="Tabletext"/>
              <w:keepNext/>
              <w:keepLines/>
              <w:jc w:val="center"/>
              <w:rPr>
                <w:b/>
              </w:rPr>
            </w:pPr>
            <w:r w:rsidRPr="00B07E65">
              <w:rPr>
                <w:b/>
              </w:rPr>
              <w:t>March 2016</w:t>
            </w:r>
          </w:p>
        </w:tc>
        <w:tc>
          <w:tcPr>
            <w:tcW w:w="1354" w:type="pct"/>
            <w:tcMar>
              <w:left w:w="28" w:type="dxa"/>
              <w:right w:w="28" w:type="dxa"/>
            </w:tcMar>
            <w:vAlign w:val="center"/>
          </w:tcPr>
          <w:p w:rsidR="000B0C44" w:rsidRPr="00B07E65" w:rsidRDefault="000B0C44" w:rsidP="006C299C">
            <w:pPr>
              <w:pStyle w:val="Tabletext"/>
              <w:keepNext/>
              <w:keepLines/>
              <w:jc w:val="center"/>
              <w:rPr>
                <w:b/>
              </w:rPr>
            </w:pPr>
            <w:r w:rsidRPr="00B07E65">
              <w:rPr>
                <w:b/>
              </w:rPr>
              <w:t>Resubmission</w:t>
            </w:r>
          </w:p>
        </w:tc>
      </w:tr>
      <w:tr w:rsidR="000B0C44" w:rsidRPr="00B07E65" w:rsidTr="006B3087">
        <w:trPr>
          <w:cantSplit/>
        </w:trPr>
        <w:tc>
          <w:tcPr>
            <w:tcW w:w="763" w:type="pct"/>
            <w:tcMar>
              <w:left w:w="28" w:type="dxa"/>
              <w:right w:w="28" w:type="dxa"/>
            </w:tcMar>
          </w:tcPr>
          <w:p w:rsidR="000B0C44" w:rsidRPr="00B07E65" w:rsidRDefault="000B0C44" w:rsidP="006C299C">
            <w:pPr>
              <w:pStyle w:val="Tabletext"/>
              <w:keepNext/>
              <w:keepLines/>
            </w:pPr>
            <w:r w:rsidRPr="00B07E65">
              <w:t>Equi</w:t>
            </w:r>
            <w:r w:rsidRPr="00B07E65">
              <w:noBreakHyphen/>
              <w:t>effective doses</w:t>
            </w:r>
          </w:p>
        </w:tc>
        <w:tc>
          <w:tcPr>
            <w:tcW w:w="1068" w:type="pct"/>
            <w:tcMar>
              <w:left w:w="28" w:type="dxa"/>
              <w:right w:w="28" w:type="dxa"/>
            </w:tcMar>
          </w:tcPr>
          <w:p w:rsidR="000B0C44" w:rsidRPr="00B07E65" w:rsidRDefault="00F20EBB" w:rsidP="006C299C">
            <w:pPr>
              <w:pStyle w:val="Tabletext"/>
              <w:keepNext/>
              <w:keepLines/>
            </w:pPr>
            <w:r w:rsidRPr="00B07E65">
              <w:t>One</w:t>
            </w:r>
            <w:r w:rsidR="000B0C44" w:rsidRPr="00B07E65">
              <w:t xml:space="preserve"> </w:t>
            </w:r>
            <w:r w:rsidR="00486B6F" w:rsidRPr="00B07E65">
              <w:t xml:space="preserve">SC </w:t>
            </w:r>
            <w:r w:rsidR="000B0C44" w:rsidRPr="00B07E65">
              <w:t xml:space="preserve">MTX </w:t>
            </w:r>
            <w:r w:rsidR="00486B6F" w:rsidRPr="00B07E65">
              <w:t xml:space="preserve">PFS </w:t>
            </w:r>
            <w:r w:rsidR="000B0C44" w:rsidRPr="00B07E65">
              <w:t xml:space="preserve">equivalent to </w:t>
            </w:r>
            <w:r w:rsidRPr="00B07E65">
              <w:t>one</w:t>
            </w:r>
            <w:r w:rsidR="00216727" w:rsidRPr="00B07E65">
              <w:t xml:space="preserve"> </w:t>
            </w:r>
            <w:r w:rsidR="000B0C44" w:rsidRPr="00B07E65">
              <w:t>50 mg/2 mL vial.</w:t>
            </w:r>
          </w:p>
        </w:tc>
        <w:tc>
          <w:tcPr>
            <w:tcW w:w="1814" w:type="pct"/>
            <w:tcMar>
              <w:left w:w="28" w:type="dxa"/>
              <w:right w:w="28" w:type="dxa"/>
            </w:tcMar>
          </w:tcPr>
          <w:p w:rsidR="000B0C44" w:rsidRPr="00B07E65" w:rsidRDefault="00420C21" w:rsidP="006C299C">
            <w:pPr>
              <w:pStyle w:val="Tabletext"/>
              <w:keepNext/>
              <w:keepLines/>
            </w:pPr>
            <w:r w:rsidRPr="00B07E65">
              <w:t>R</w:t>
            </w:r>
            <w:r w:rsidR="000B0C44" w:rsidRPr="00B07E65">
              <w:t>easonable (Para 6.22)</w:t>
            </w:r>
          </w:p>
        </w:tc>
        <w:tc>
          <w:tcPr>
            <w:tcW w:w="1354" w:type="pct"/>
            <w:tcMar>
              <w:left w:w="28" w:type="dxa"/>
              <w:right w:w="28" w:type="dxa"/>
            </w:tcMar>
          </w:tcPr>
          <w:p w:rsidR="000B0C44" w:rsidRPr="00B07E65" w:rsidRDefault="000B0C44" w:rsidP="006C299C">
            <w:pPr>
              <w:pStyle w:val="Tabletext"/>
              <w:keepNext/>
              <w:keepLines/>
            </w:pPr>
            <w:r w:rsidRPr="00B07E65">
              <w:t>Unchanged. This was appropriate</w:t>
            </w:r>
          </w:p>
        </w:tc>
      </w:tr>
      <w:tr w:rsidR="000B0C44" w:rsidRPr="00B07E65" w:rsidTr="006B3087">
        <w:trPr>
          <w:cantSplit/>
        </w:trPr>
        <w:tc>
          <w:tcPr>
            <w:tcW w:w="763" w:type="pct"/>
            <w:tcMar>
              <w:left w:w="28" w:type="dxa"/>
              <w:right w:w="28" w:type="dxa"/>
            </w:tcMar>
          </w:tcPr>
          <w:p w:rsidR="000B0C44" w:rsidRPr="00B07E65" w:rsidRDefault="000B0C44" w:rsidP="006C299C">
            <w:pPr>
              <w:pStyle w:val="Tabletext"/>
              <w:keepNext/>
              <w:keepLines/>
            </w:pPr>
            <w:r w:rsidRPr="00B07E65">
              <w:t>EFC MTX items</w:t>
            </w:r>
          </w:p>
        </w:tc>
        <w:tc>
          <w:tcPr>
            <w:tcW w:w="1068" w:type="pct"/>
            <w:tcMar>
              <w:left w:w="28" w:type="dxa"/>
              <w:right w:w="28" w:type="dxa"/>
            </w:tcMar>
          </w:tcPr>
          <w:p w:rsidR="000B0C44" w:rsidRPr="00B07E65" w:rsidRDefault="000B0C44" w:rsidP="006C299C">
            <w:pPr>
              <w:pStyle w:val="Tabletext"/>
              <w:keepNext/>
              <w:keepLines/>
            </w:pPr>
            <w:r w:rsidRPr="00B07E65">
              <w:t>Included in drug price calculations.</w:t>
            </w:r>
          </w:p>
        </w:tc>
        <w:tc>
          <w:tcPr>
            <w:tcW w:w="1814" w:type="pct"/>
            <w:tcMar>
              <w:left w:w="28" w:type="dxa"/>
              <w:right w:w="28" w:type="dxa"/>
            </w:tcMar>
          </w:tcPr>
          <w:p w:rsidR="000B0C44" w:rsidRPr="00B07E65" w:rsidRDefault="000B0C44" w:rsidP="006C299C">
            <w:pPr>
              <w:pStyle w:val="Tabletext"/>
              <w:keepNext/>
              <w:keepLines/>
            </w:pPr>
            <w:r w:rsidRPr="00B07E65">
              <w:t>Inappropriate and inadequately justified. (Para 7.6)</w:t>
            </w:r>
          </w:p>
        </w:tc>
        <w:tc>
          <w:tcPr>
            <w:tcW w:w="1354" w:type="pct"/>
            <w:tcMar>
              <w:left w:w="28" w:type="dxa"/>
              <w:right w:w="28" w:type="dxa"/>
            </w:tcMar>
          </w:tcPr>
          <w:p w:rsidR="000B0C44" w:rsidRPr="00B07E65" w:rsidRDefault="000B0C44" w:rsidP="006C299C">
            <w:pPr>
              <w:pStyle w:val="Tabletext"/>
              <w:keepNext/>
              <w:keepLines/>
            </w:pPr>
            <w:r w:rsidRPr="00B07E65">
              <w:t>Excluded. This was appropriate</w:t>
            </w:r>
          </w:p>
        </w:tc>
      </w:tr>
      <w:tr w:rsidR="000B0C44" w:rsidRPr="00B07E65" w:rsidTr="006B3087">
        <w:trPr>
          <w:cantSplit/>
          <w:trHeight w:val="554"/>
        </w:trPr>
        <w:tc>
          <w:tcPr>
            <w:tcW w:w="763" w:type="pct"/>
            <w:tcMar>
              <w:left w:w="28" w:type="dxa"/>
              <w:right w:w="28" w:type="dxa"/>
            </w:tcMar>
          </w:tcPr>
          <w:p w:rsidR="000B0C44" w:rsidRPr="00B07E65" w:rsidRDefault="000B0C44" w:rsidP="006C299C">
            <w:pPr>
              <w:pStyle w:val="Tabletext"/>
              <w:keepNext/>
              <w:keepLines/>
            </w:pPr>
            <w:r w:rsidRPr="00B07E65">
              <w:t>% of pts self</w:t>
            </w:r>
            <w:r w:rsidRPr="00B07E65">
              <w:noBreakHyphen/>
              <w:t>inject</w:t>
            </w:r>
            <w:r w:rsidR="008F5FE9" w:rsidRPr="00B07E65">
              <w:t>ing</w:t>
            </w:r>
            <w:r w:rsidRPr="00B07E65">
              <w:t xml:space="preserve"> MTX PFS</w:t>
            </w:r>
          </w:p>
        </w:tc>
        <w:tc>
          <w:tcPr>
            <w:tcW w:w="1068" w:type="pct"/>
            <w:tcMar>
              <w:left w:w="28" w:type="dxa"/>
              <w:right w:w="28" w:type="dxa"/>
            </w:tcMar>
          </w:tcPr>
          <w:p w:rsidR="000B0C44" w:rsidRPr="00B07E65" w:rsidRDefault="000B0C44" w:rsidP="006C299C">
            <w:pPr>
              <w:pStyle w:val="Tabletext"/>
              <w:keepNext/>
              <w:keepLines/>
            </w:pPr>
            <w:r w:rsidRPr="00B07E65">
              <w:t xml:space="preserve">96.3% </w:t>
            </w:r>
          </w:p>
          <w:p w:rsidR="000B0C44" w:rsidRPr="00B07E65" w:rsidRDefault="000B0C44" w:rsidP="006C299C">
            <w:pPr>
              <w:pStyle w:val="Tabletext"/>
              <w:keepNext/>
              <w:keepLines/>
            </w:pPr>
          </w:p>
        </w:tc>
        <w:tc>
          <w:tcPr>
            <w:tcW w:w="1814" w:type="pct"/>
            <w:tcMar>
              <w:left w:w="28" w:type="dxa"/>
              <w:right w:w="28" w:type="dxa"/>
            </w:tcMar>
          </w:tcPr>
          <w:p w:rsidR="000B0C44" w:rsidRPr="00B07E65" w:rsidRDefault="000B0C44" w:rsidP="006C299C">
            <w:pPr>
              <w:pStyle w:val="Tabletext"/>
              <w:keepNext/>
              <w:keepLines/>
            </w:pPr>
            <w:r w:rsidRPr="00B07E65">
              <w:t>Overestimated. The estimate was based on patients considered suitable for self-injection (Para 7.7)</w:t>
            </w:r>
          </w:p>
        </w:tc>
        <w:tc>
          <w:tcPr>
            <w:tcW w:w="1354" w:type="pct"/>
            <w:tcMar>
              <w:left w:w="28" w:type="dxa"/>
              <w:right w:w="28" w:type="dxa"/>
            </w:tcMar>
          </w:tcPr>
          <w:p w:rsidR="000B0C44" w:rsidRPr="00B07E65" w:rsidRDefault="000B0C44" w:rsidP="006C299C">
            <w:pPr>
              <w:pStyle w:val="Tabletext"/>
              <w:keepNext/>
              <w:keepLines/>
            </w:pPr>
            <w:r w:rsidRPr="00B07E65">
              <w:t>85.5% based on a clinician survey (n=4</w:t>
            </w:r>
            <w:r w:rsidR="00BC0390" w:rsidRPr="00B07E65">
              <w:t>8</w:t>
            </w:r>
            <w:r w:rsidRPr="00B07E65">
              <w:t>)</w:t>
            </w:r>
            <w:r w:rsidR="004D7E86" w:rsidRPr="00B07E65">
              <w:t xml:space="preserve"> </w:t>
            </w:r>
            <w:r w:rsidR="001F275B" w:rsidRPr="00B07E65">
              <w:t>Th</w:t>
            </w:r>
            <w:r w:rsidR="000B5C03" w:rsidRPr="00B07E65">
              <w:t xml:space="preserve">e clinician survey was generally well conducted but did not include patients and GPs. </w:t>
            </w:r>
          </w:p>
        </w:tc>
      </w:tr>
      <w:tr w:rsidR="000B0C44" w:rsidRPr="00B07E65" w:rsidTr="006B3087">
        <w:trPr>
          <w:cantSplit/>
          <w:trHeight w:val="507"/>
        </w:trPr>
        <w:tc>
          <w:tcPr>
            <w:tcW w:w="763" w:type="pct"/>
            <w:tcMar>
              <w:left w:w="28" w:type="dxa"/>
              <w:right w:w="28" w:type="dxa"/>
            </w:tcMar>
          </w:tcPr>
          <w:p w:rsidR="000B0C44" w:rsidRPr="00B07E65" w:rsidDel="00DF6BEC" w:rsidRDefault="000B0C44" w:rsidP="006C299C">
            <w:pPr>
              <w:pStyle w:val="Tabletext"/>
              <w:keepNext/>
              <w:keepLines/>
            </w:pPr>
            <w:r w:rsidRPr="00B07E65">
              <w:t>% of pts self</w:t>
            </w:r>
            <w:r w:rsidRPr="00B07E65">
              <w:noBreakHyphen/>
              <w:t>inject</w:t>
            </w:r>
            <w:r w:rsidR="008F5FE9" w:rsidRPr="00B07E65">
              <w:t>ing</w:t>
            </w:r>
            <w:r w:rsidRPr="00B07E65">
              <w:t xml:space="preserve"> MTX glass vials</w:t>
            </w:r>
          </w:p>
        </w:tc>
        <w:tc>
          <w:tcPr>
            <w:tcW w:w="1068" w:type="pct"/>
            <w:tcMar>
              <w:left w:w="28" w:type="dxa"/>
              <w:right w:w="28" w:type="dxa"/>
            </w:tcMar>
          </w:tcPr>
          <w:p w:rsidR="000B0C44" w:rsidRPr="00B07E65" w:rsidRDefault="000B0C44" w:rsidP="006C299C">
            <w:pPr>
              <w:pStyle w:val="Tabletext"/>
              <w:keepNext/>
              <w:keepLines/>
            </w:pPr>
            <w:r w:rsidRPr="00B07E65">
              <w:t xml:space="preserve">0% </w:t>
            </w:r>
          </w:p>
        </w:tc>
        <w:tc>
          <w:tcPr>
            <w:tcW w:w="1814" w:type="pct"/>
            <w:tcMar>
              <w:left w:w="28" w:type="dxa"/>
              <w:right w:w="28" w:type="dxa"/>
            </w:tcMar>
          </w:tcPr>
          <w:p w:rsidR="000B0C44" w:rsidRPr="00B07E65" w:rsidRDefault="000B0C44" w:rsidP="006C299C">
            <w:pPr>
              <w:pStyle w:val="Tabletext"/>
              <w:keepNext/>
              <w:keepLines/>
            </w:pPr>
            <w:r w:rsidRPr="00B07E65">
              <w:t>-</w:t>
            </w:r>
          </w:p>
        </w:tc>
        <w:tc>
          <w:tcPr>
            <w:tcW w:w="1354" w:type="pct"/>
            <w:tcMar>
              <w:left w:w="28" w:type="dxa"/>
              <w:right w:w="28" w:type="dxa"/>
            </w:tcMar>
          </w:tcPr>
          <w:p w:rsidR="000B0C44" w:rsidRPr="00B07E65" w:rsidRDefault="000B0C44" w:rsidP="006C299C">
            <w:pPr>
              <w:pStyle w:val="Tabletext"/>
              <w:keepNext/>
              <w:keepLines/>
            </w:pPr>
            <w:r w:rsidRPr="00B07E65">
              <w:t xml:space="preserve">10%. The basis was unclear. </w:t>
            </w:r>
            <w:r w:rsidR="00CB7484" w:rsidRPr="00B07E65">
              <w:t>Likely o</w:t>
            </w:r>
            <w:r w:rsidRPr="00B07E65">
              <w:t>verestimated but conservative.</w:t>
            </w:r>
          </w:p>
        </w:tc>
      </w:tr>
      <w:tr w:rsidR="000B0C44" w:rsidRPr="00B07E65" w:rsidTr="006B3087">
        <w:trPr>
          <w:cantSplit/>
          <w:trHeight w:val="574"/>
        </w:trPr>
        <w:tc>
          <w:tcPr>
            <w:tcW w:w="763" w:type="pct"/>
            <w:tcMar>
              <w:left w:w="28" w:type="dxa"/>
              <w:right w:w="28" w:type="dxa"/>
            </w:tcMar>
          </w:tcPr>
          <w:p w:rsidR="000B0C44" w:rsidRPr="00B07E65" w:rsidRDefault="000B0C44" w:rsidP="006C299C">
            <w:pPr>
              <w:pStyle w:val="Tabletext"/>
              <w:keepNext/>
              <w:keepLines/>
            </w:pPr>
            <w:r w:rsidRPr="00B07E65">
              <w:t>Cost of MTX administration</w:t>
            </w:r>
          </w:p>
        </w:tc>
        <w:tc>
          <w:tcPr>
            <w:tcW w:w="1068" w:type="pct"/>
            <w:tcMar>
              <w:left w:w="28" w:type="dxa"/>
              <w:right w:w="28" w:type="dxa"/>
            </w:tcMar>
          </w:tcPr>
          <w:p w:rsidR="000B0C44" w:rsidRPr="00B07E65" w:rsidRDefault="000B0C44" w:rsidP="006C299C">
            <w:pPr>
              <w:pStyle w:val="Tabletext"/>
              <w:keepNext/>
              <w:keepLines/>
            </w:pPr>
            <w:r w:rsidRPr="00B07E65">
              <w:t xml:space="preserve">MBS Item 23 (Level B GP, $37.05) </w:t>
            </w:r>
          </w:p>
        </w:tc>
        <w:tc>
          <w:tcPr>
            <w:tcW w:w="1814" w:type="pct"/>
            <w:tcMar>
              <w:left w:w="28" w:type="dxa"/>
              <w:right w:w="28" w:type="dxa"/>
            </w:tcMar>
          </w:tcPr>
          <w:p w:rsidR="000B0C44" w:rsidRPr="00B07E65" w:rsidRDefault="000B0C44" w:rsidP="006C299C">
            <w:pPr>
              <w:pStyle w:val="Tabletext"/>
              <w:keepNext/>
              <w:keepLines/>
            </w:pPr>
            <w:r w:rsidRPr="00B07E65">
              <w:t>Unclear which MBS items are being used in clinical practice (Para 6.36)</w:t>
            </w:r>
          </w:p>
        </w:tc>
        <w:tc>
          <w:tcPr>
            <w:tcW w:w="1354" w:type="pct"/>
            <w:tcMar>
              <w:left w:w="28" w:type="dxa"/>
              <w:right w:w="28" w:type="dxa"/>
            </w:tcMar>
          </w:tcPr>
          <w:p w:rsidR="000B0C44" w:rsidRPr="00B07E65" w:rsidRDefault="000B0C44" w:rsidP="006C299C">
            <w:pPr>
              <w:pStyle w:val="Tabletext"/>
              <w:keepNext/>
              <w:keepLines/>
            </w:pPr>
            <w:r w:rsidRPr="00B07E65">
              <w:t xml:space="preserve">Unchanged, stating use of MBS Item 3 (Level A GP) is very low. </w:t>
            </w:r>
          </w:p>
        </w:tc>
      </w:tr>
      <w:tr w:rsidR="000B0C44" w:rsidRPr="00B07E65" w:rsidTr="006B3087">
        <w:trPr>
          <w:cantSplit/>
        </w:trPr>
        <w:tc>
          <w:tcPr>
            <w:tcW w:w="763" w:type="pct"/>
            <w:tcMar>
              <w:left w:w="28" w:type="dxa"/>
              <w:right w:w="28" w:type="dxa"/>
            </w:tcMar>
          </w:tcPr>
          <w:p w:rsidR="000B0C44" w:rsidRPr="00B07E65" w:rsidRDefault="000B0C44" w:rsidP="006C299C">
            <w:pPr>
              <w:pStyle w:val="Tabletext"/>
              <w:keepNext/>
              <w:keepLines/>
            </w:pPr>
            <w:r w:rsidRPr="00B07E65">
              <w:t>% of visits to GPs solely for MTX injection</w:t>
            </w:r>
          </w:p>
        </w:tc>
        <w:tc>
          <w:tcPr>
            <w:tcW w:w="1068" w:type="pct"/>
            <w:tcMar>
              <w:left w:w="28" w:type="dxa"/>
              <w:right w:w="28" w:type="dxa"/>
            </w:tcMar>
          </w:tcPr>
          <w:p w:rsidR="000B0C44" w:rsidRPr="00B07E65" w:rsidRDefault="000B0C44" w:rsidP="006C299C">
            <w:pPr>
              <w:pStyle w:val="Tabletext"/>
              <w:keepNext/>
              <w:keepLines/>
            </w:pPr>
            <w:r w:rsidRPr="00B07E65">
              <w:t>100% of attendances assumed to be solely for MTX administration</w:t>
            </w:r>
          </w:p>
        </w:tc>
        <w:tc>
          <w:tcPr>
            <w:tcW w:w="1814" w:type="pct"/>
            <w:tcMar>
              <w:left w:w="28" w:type="dxa"/>
              <w:right w:w="28" w:type="dxa"/>
            </w:tcMar>
          </w:tcPr>
          <w:p w:rsidR="000B0C44" w:rsidRPr="00B07E65" w:rsidRDefault="008F5FE9" w:rsidP="006C299C">
            <w:pPr>
              <w:pStyle w:val="Tabletext"/>
              <w:keepNext/>
              <w:keepLines/>
            </w:pPr>
            <w:r w:rsidRPr="00B07E65">
              <w:t>P</w:t>
            </w:r>
            <w:r w:rsidR="000B0C44" w:rsidRPr="00B07E65">
              <w:t>ts may have multiple morbidities/ co-administered medications addressed in a single visit (Para 6.33).</w:t>
            </w:r>
          </w:p>
        </w:tc>
        <w:tc>
          <w:tcPr>
            <w:tcW w:w="1354" w:type="pct"/>
            <w:tcMar>
              <w:left w:w="28" w:type="dxa"/>
              <w:right w:w="28" w:type="dxa"/>
            </w:tcMar>
          </w:tcPr>
          <w:p w:rsidR="000B0C44" w:rsidRPr="00B07E65" w:rsidRDefault="000B0C44" w:rsidP="006C299C">
            <w:pPr>
              <w:pStyle w:val="Tabletext"/>
              <w:keepNext/>
              <w:keepLines/>
            </w:pPr>
            <w:r w:rsidRPr="00B07E65">
              <w:t>Unchanged. This may not be appropriate.</w:t>
            </w:r>
          </w:p>
        </w:tc>
      </w:tr>
    </w:tbl>
    <w:p w:rsidR="000B0C44" w:rsidRPr="00B07E65" w:rsidRDefault="000B0C44" w:rsidP="006C299C">
      <w:pPr>
        <w:pStyle w:val="TableFooter"/>
        <w:keepNext/>
        <w:keepLines/>
        <w:ind w:left="709"/>
      </w:pPr>
      <w:r w:rsidRPr="00B07E65">
        <w:t>Source: Compiled during evaluation based on pp73-74 of the resubmission</w:t>
      </w:r>
      <w:r w:rsidRPr="00B07E65">
        <w:rPr>
          <w:highlight w:val="yellow"/>
        </w:rPr>
        <w:t xml:space="preserve"> </w:t>
      </w:r>
    </w:p>
    <w:p w:rsidR="000B0C44" w:rsidRPr="00B07E65" w:rsidRDefault="000B0C44" w:rsidP="006C299C">
      <w:pPr>
        <w:pStyle w:val="TableFooter"/>
        <w:keepNext/>
        <w:keepLines/>
        <w:ind w:left="709"/>
      </w:pPr>
      <w:r w:rsidRPr="00B07E65">
        <w:t xml:space="preserve">EFC = efficient funding of chemotherapy; GP = General Practitioner; IM = intramuscular; MBS = Medicare Benefits Schedule; MTX = methotrexate; </w:t>
      </w:r>
      <w:r w:rsidR="006B3087" w:rsidRPr="00B07E65">
        <w:t>P</w:t>
      </w:r>
      <w:r w:rsidRPr="00B07E65">
        <w:t xml:space="preserve">ara = paragraph; PFS = </w:t>
      </w:r>
      <w:r w:rsidR="00B64AA1" w:rsidRPr="00B07E65">
        <w:t>pre-filled</w:t>
      </w:r>
      <w:r w:rsidRPr="00B07E65">
        <w:t xml:space="preserve"> syringe; pts = patients</w:t>
      </w:r>
      <w:r w:rsidR="006B3087" w:rsidRPr="00B07E65">
        <w:t>; SC = subcutaneous</w:t>
      </w:r>
    </w:p>
    <w:p w:rsidR="000B0C44" w:rsidRPr="00B07E65" w:rsidRDefault="000B0C44" w:rsidP="00FF3F81">
      <w:pPr>
        <w:pStyle w:val="ListParagraph"/>
        <w:widowControl/>
        <w:rPr>
          <w:szCs w:val="22"/>
        </w:rPr>
      </w:pPr>
    </w:p>
    <w:p w:rsidR="001040E6" w:rsidRPr="00B07E65" w:rsidRDefault="00DC6CE1" w:rsidP="00271C16">
      <w:pPr>
        <w:pStyle w:val="ListParagraph"/>
        <w:widowControl/>
        <w:numPr>
          <w:ilvl w:val="1"/>
          <w:numId w:val="1"/>
        </w:numPr>
        <w:rPr>
          <w:szCs w:val="22"/>
        </w:rPr>
      </w:pPr>
      <w:r w:rsidRPr="00B07E65">
        <w:t xml:space="preserve">The resubmission assumed </w:t>
      </w:r>
      <w:r w:rsidR="000B0C44" w:rsidRPr="00B07E65">
        <w:t xml:space="preserve">SC </w:t>
      </w:r>
      <w:r w:rsidRPr="00B07E65">
        <w:t xml:space="preserve">methotrexate </w:t>
      </w:r>
      <w:r w:rsidR="001729B6" w:rsidRPr="00B07E65">
        <w:t>pre-filled syringe</w:t>
      </w:r>
      <w:r w:rsidR="00D23E31" w:rsidRPr="00B07E65">
        <w:t>s</w:t>
      </w:r>
      <w:r w:rsidR="001729B6" w:rsidRPr="00B07E65">
        <w:t xml:space="preserve"> </w:t>
      </w:r>
      <w:r w:rsidRPr="00B07E65">
        <w:t>and other forms of parenteral</w:t>
      </w:r>
      <w:r w:rsidR="00745DF8" w:rsidRPr="00B07E65">
        <w:t xml:space="preserve"> methotrexate had the same equi</w:t>
      </w:r>
      <w:r w:rsidR="00745DF8" w:rsidRPr="00B07E65">
        <w:noBreakHyphen/>
      </w:r>
      <w:r w:rsidRPr="00B07E65">
        <w:t xml:space="preserve">effective dosing. In pragmatic terms, the resubmission assumed that one </w:t>
      </w:r>
      <w:r w:rsidR="000B0C44" w:rsidRPr="00B07E65">
        <w:t xml:space="preserve">SC </w:t>
      </w:r>
      <w:r w:rsidRPr="00B07E65">
        <w:t xml:space="preserve">methotrexate </w:t>
      </w:r>
      <w:r w:rsidR="000B0C44" w:rsidRPr="00B07E65">
        <w:t xml:space="preserve">pre-filled syringe </w:t>
      </w:r>
      <w:r w:rsidRPr="00B07E65">
        <w:t>(7.5 mg, 10 mg, 15 mg, 20 mg, 25 mg dose strengths available) was equivalent to one methotrexate 50 mg glass vial for injection (which could be used to prepare an equivalent dose, with the remainder lost as wastage).</w:t>
      </w:r>
      <w:r w:rsidR="001040E6" w:rsidRPr="00B07E65">
        <w:t xml:space="preserve"> This was unchanged from the previous submission. This approach was considered reasonable by the </w:t>
      </w:r>
      <w:r w:rsidR="00A12F3C" w:rsidRPr="00B07E65">
        <w:t>PBAC</w:t>
      </w:r>
      <w:r w:rsidR="001040E6" w:rsidRPr="00B07E65">
        <w:t xml:space="preserve">. </w:t>
      </w:r>
    </w:p>
    <w:p w:rsidR="001040E6" w:rsidRPr="00B07E65" w:rsidRDefault="001040E6" w:rsidP="001040E6">
      <w:pPr>
        <w:pStyle w:val="ListParagraph"/>
        <w:widowControl/>
        <w:rPr>
          <w:szCs w:val="22"/>
        </w:rPr>
      </w:pPr>
    </w:p>
    <w:p w:rsidR="00C217CB" w:rsidRPr="00B07E65" w:rsidRDefault="00FF3F81" w:rsidP="00271C16">
      <w:pPr>
        <w:pStyle w:val="ListParagraph"/>
        <w:widowControl/>
        <w:numPr>
          <w:ilvl w:val="1"/>
          <w:numId w:val="1"/>
        </w:numPr>
        <w:rPr>
          <w:szCs w:val="22"/>
        </w:rPr>
      </w:pPr>
      <w:r w:rsidRPr="00B07E65">
        <w:t xml:space="preserve">A key difference compared with the previous submission was that </w:t>
      </w:r>
      <w:r w:rsidR="00C9309A" w:rsidRPr="00B07E65">
        <w:t>the proportion of patients who would self</w:t>
      </w:r>
      <w:r w:rsidR="00C9309A" w:rsidRPr="00B07E65">
        <w:noBreakHyphen/>
      </w:r>
      <w:r w:rsidR="00663165" w:rsidRPr="00B07E65">
        <w:t xml:space="preserve">inject </w:t>
      </w:r>
      <w:r w:rsidR="00C9309A" w:rsidRPr="00B07E65">
        <w:t>SC methotrexate</w:t>
      </w:r>
      <w:r w:rsidRPr="00B07E65">
        <w:t xml:space="preserve"> was updated</w:t>
      </w:r>
      <w:r w:rsidR="00663165" w:rsidRPr="00B07E65">
        <w:t xml:space="preserve"> </w:t>
      </w:r>
      <w:r w:rsidR="00A4625E" w:rsidRPr="00B07E65">
        <w:t xml:space="preserve">as requested by the PBAC. The resubmission </w:t>
      </w:r>
      <w:r w:rsidR="00663165" w:rsidRPr="00B07E65">
        <w:t xml:space="preserve">included </w:t>
      </w:r>
      <w:r w:rsidR="00A4625E" w:rsidRPr="00B07E65">
        <w:t>a survey of rheumatolog</w:t>
      </w:r>
      <w:r w:rsidRPr="00B07E65">
        <w:t>ists</w:t>
      </w:r>
      <w:r w:rsidR="00A4625E" w:rsidRPr="00B07E65">
        <w:t xml:space="preserve"> and dermatolog</w:t>
      </w:r>
      <w:r w:rsidRPr="00B07E65">
        <w:t>ists</w:t>
      </w:r>
      <w:r w:rsidR="00663165" w:rsidRPr="00B07E65">
        <w:t xml:space="preserve"> conducted</w:t>
      </w:r>
      <w:r w:rsidR="00A4625E" w:rsidRPr="00B07E65">
        <w:t xml:space="preserve"> to quantify the proportion of patients who were likely to self</w:t>
      </w:r>
      <w:r w:rsidR="00A4625E" w:rsidRPr="00B07E65">
        <w:noBreakHyphen/>
        <w:t xml:space="preserve">inject </w:t>
      </w:r>
      <w:r w:rsidRPr="00B07E65">
        <w:t xml:space="preserve">SC methotrexate. </w:t>
      </w:r>
      <w:r w:rsidR="00BC0390" w:rsidRPr="00B07E65">
        <w:t>A total of 48 clinicians provided evaluable responses (</w:t>
      </w:r>
      <w:r w:rsidR="00A4625E" w:rsidRPr="00B07E65">
        <w:t>31</w:t>
      </w:r>
      <w:r w:rsidR="00BC0390" w:rsidRPr="00B07E65">
        <w:t> </w:t>
      </w:r>
      <w:r w:rsidR="00A4625E" w:rsidRPr="00B07E65">
        <w:t>rheumatologists, 14 dermatologists and 3 rheumatology nurses</w:t>
      </w:r>
      <w:r w:rsidR="00BC0390" w:rsidRPr="00B07E65">
        <w:t>)</w:t>
      </w:r>
      <w:r w:rsidR="00385200" w:rsidRPr="00B07E65">
        <w:t xml:space="preserve"> and the response rate was 41% (based on evaluable responses</w:t>
      </w:r>
      <w:r w:rsidR="0045158A" w:rsidRPr="00B07E65">
        <w:t>, calculated during evaluation to</w:t>
      </w:r>
      <w:r w:rsidR="00050BCE" w:rsidRPr="00B07E65">
        <w:t xml:space="preserve"> exclude</w:t>
      </w:r>
      <w:r w:rsidR="00804BC4" w:rsidRPr="00B07E65">
        <w:t xml:space="preserve"> nil or</w:t>
      </w:r>
      <w:r w:rsidR="00050BCE" w:rsidRPr="00B07E65">
        <w:t xml:space="preserve"> incomplete responses</w:t>
      </w:r>
      <w:r w:rsidR="00385200" w:rsidRPr="00B07E65">
        <w:t>)</w:t>
      </w:r>
      <w:r w:rsidR="00A4625E" w:rsidRPr="00B07E65">
        <w:t xml:space="preserve">. </w:t>
      </w:r>
      <w:r w:rsidR="00923130" w:rsidRPr="00B07E65">
        <w:t>Overall,</w:t>
      </w:r>
      <w:r w:rsidR="00923130" w:rsidRPr="00B07E65">
        <w:rPr>
          <w:szCs w:val="22"/>
        </w:rPr>
        <w:t xml:space="preserve"> </w:t>
      </w:r>
      <w:r w:rsidR="00BC0390" w:rsidRPr="00B07E65">
        <w:rPr>
          <w:szCs w:val="22"/>
        </w:rPr>
        <w:t xml:space="preserve">clinicians considered that </w:t>
      </w:r>
      <w:r w:rsidR="00C217CB" w:rsidRPr="00B07E65">
        <w:rPr>
          <w:szCs w:val="22"/>
        </w:rPr>
        <w:t>85.</w:t>
      </w:r>
      <w:r w:rsidR="00760F27" w:rsidRPr="00B07E65">
        <w:rPr>
          <w:szCs w:val="22"/>
        </w:rPr>
        <w:t>5</w:t>
      </w:r>
      <w:r w:rsidR="00F37867" w:rsidRPr="00B07E65">
        <w:rPr>
          <w:szCs w:val="22"/>
        </w:rPr>
        <w:t xml:space="preserve">% (range 30% to </w:t>
      </w:r>
      <w:r w:rsidR="00C217CB" w:rsidRPr="00B07E65">
        <w:rPr>
          <w:szCs w:val="22"/>
        </w:rPr>
        <w:t xml:space="preserve">100%) of </w:t>
      </w:r>
      <w:proofErr w:type="gramStart"/>
      <w:r w:rsidR="00C217CB" w:rsidRPr="00B07E65">
        <w:rPr>
          <w:szCs w:val="22"/>
        </w:rPr>
        <w:t>patients</w:t>
      </w:r>
      <w:proofErr w:type="gramEnd"/>
      <w:r w:rsidR="00C217CB" w:rsidRPr="00B07E65">
        <w:rPr>
          <w:szCs w:val="22"/>
        </w:rPr>
        <w:t xml:space="preserve"> prescribed SC methotrexate would be likely to self</w:t>
      </w:r>
      <w:r w:rsidR="00C217CB" w:rsidRPr="00B07E65">
        <w:rPr>
          <w:szCs w:val="22"/>
        </w:rPr>
        <w:noBreakHyphen/>
        <w:t>inject.</w:t>
      </w:r>
      <w:r w:rsidR="00385200" w:rsidRPr="00B07E65">
        <w:rPr>
          <w:szCs w:val="22"/>
        </w:rPr>
        <w:t xml:space="preserve"> The range indicated a high variation in responses, although most clinicians (</w:t>
      </w:r>
      <w:r w:rsidR="006F359C" w:rsidRPr="00B07E65">
        <w:rPr>
          <w:szCs w:val="22"/>
        </w:rPr>
        <w:t>90</w:t>
      </w:r>
      <w:r w:rsidR="00385200" w:rsidRPr="00B07E65">
        <w:rPr>
          <w:szCs w:val="22"/>
        </w:rPr>
        <w:t xml:space="preserve">%) indicated that 70% </w:t>
      </w:r>
      <w:r w:rsidR="006F359C" w:rsidRPr="00B07E65">
        <w:rPr>
          <w:szCs w:val="22"/>
        </w:rPr>
        <w:t>or more of</w:t>
      </w:r>
      <w:r w:rsidR="00385200" w:rsidRPr="00B07E65">
        <w:rPr>
          <w:szCs w:val="22"/>
        </w:rPr>
        <w:t xml:space="preserve"> patients would be likely to self-inject.</w:t>
      </w:r>
      <w:r w:rsidR="00C217CB" w:rsidRPr="00B07E65">
        <w:rPr>
          <w:szCs w:val="22"/>
        </w:rPr>
        <w:t xml:space="preserve"> </w:t>
      </w:r>
      <w:r w:rsidR="009E74A8" w:rsidRPr="00B07E65">
        <w:rPr>
          <w:szCs w:val="22"/>
        </w:rPr>
        <w:t>Overall, the survey appeared to have been reasonably well conducted. However, i</w:t>
      </w:r>
      <w:r w:rsidR="00A6077B" w:rsidRPr="00B07E65">
        <w:t>t was unclear how clinicians were selected to participate</w:t>
      </w:r>
      <w:r w:rsidR="009E74A8" w:rsidRPr="00B07E65">
        <w:t>,</w:t>
      </w:r>
      <w:r w:rsidR="00A6077B" w:rsidRPr="00B07E65">
        <w:t xml:space="preserve"> and the survey did not include patients or </w:t>
      </w:r>
      <w:r w:rsidR="00F37867" w:rsidRPr="00B07E65">
        <w:t>General Practitioners (</w:t>
      </w:r>
      <w:r w:rsidR="00A6077B" w:rsidRPr="00B07E65">
        <w:t>GP</w:t>
      </w:r>
      <w:r w:rsidR="00F37867" w:rsidRPr="00B07E65">
        <w:t>)</w:t>
      </w:r>
      <w:r w:rsidR="00A6077B" w:rsidRPr="00B07E65">
        <w:t xml:space="preserve"> (who would be responsible for the day-to-day management of patients with rheumatoid arthritis).</w:t>
      </w:r>
    </w:p>
    <w:p w:rsidR="00C217CB" w:rsidRPr="00B07E65" w:rsidRDefault="00C217CB" w:rsidP="00677297"/>
    <w:p w:rsidR="00C217CB" w:rsidRPr="00B07E65" w:rsidRDefault="00923130" w:rsidP="00271C16">
      <w:pPr>
        <w:pStyle w:val="ListParagraph"/>
        <w:widowControl/>
        <w:numPr>
          <w:ilvl w:val="1"/>
          <w:numId w:val="1"/>
        </w:numPr>
        <w:rPr>
          <w:szCs w:val="22"/>
        </w:rPr>
      </w:pPr>
      <w:r w:rsidRPr="00B07E65">
        <w:t>To further support this estimate, t</w:t>
      </w:r>
      <w:r w:rsidR="00C217CB" w:rsidRPr="00B07E65">
        <w:t xml:space="preserve">he resubmission </w:t>
      </w:r>
      <w:r w:rsidR="00773849" w:rsidRPr="00B07E65">
        <w:t>noted that</w:t>
      </w:r>
      <w:r w:rsidRPr="00B07E65">
        <w:t xml:space="preserve"> the</w:t>
      </w:r>
      <w:r w:rsidR="00773849" w:rsidRPr="00B07E65">
        <w:t xml:space="preserve"> PBAC had previously accepted that 10% </w:t>
      </w:r>
      <w:r w:rsidRPr="00B07E65">
        <w:t xml:space="preserve">of patients </w:t>
      </w:r>
      <w:r w:rsidR="00773849" w:rsidRPr="00B07E65">
        <w:t xml:space="preserve">would require assistance with </w:t>
      </w:r>
      <w:r w:rsidRPr="00B07E65">
        <w:t>SC administration of golimumab, a bDMARD</w:t>
      </w:r>
      <w:r w:rsidRPr="00B07E65" w:rsidDel="00923130">
        <w:t xml:space="preserve"> </w:t>
      </w:r>
      <w:r w:rsidRPr="00B07E65">
        <w:t>(</w:t>
      </w:r>
      <w:r w:rsidR="00773849" w:rsidRPr="00B07E65">
        <w:t>March 2010</w:t>
      </w:r>
      <w:r w:rsidRPr="00B07E65">
        <w:t>)</w:t>
      </w:r>
      <w:r w:rsidR="00773849" w:rsidRPr="00B07E65">
        <w:t xml:space="preserve">. The resubmission did not consider whether the </w:t>
      </w:r>
      <w:r w:rsidR="008F5FE9" w:rsidRPr="00B07E65">
        <w:t xml:space="preserve">rates </w:t>
      </w:r>
      <w:r w:rsidR="00773849" w:rsidRPr="00B07E65">
        <w:t>of self</w:t>
      </w:r>
      <w:r w:rsidR="00773849" w:rsidRPr="00B07E65">
        <w:noBreakHyphen/>
      </w:r>
      <w:r w:rsidR="00663165" w:rsidRPr="00B07E65">
        <w:t xml:space="preserve">injection </w:t>
      </w:r>
      <w:r w:rsidR="00773849" w:rsidRPr="00B07E65">
        <w:t>would differ between cytotoxic and non</w:t>
      </w:r>
      <w:r w:rsidR="00773849" w:rsidRPr="00B07E65">
        <w:noBreakHyphen/>
        <w:t xml:space="preserve">cytotoxic medicines. </w:t>
      </w:r>
    </w:p>
    <w:p w:rsidR="00C217CB" w:rsidRPr="00B07E65" w:rsidRDefault="00C217CB" w:rsidP="00677297"/>
    <w:p w:rsidR="00773849" w:rsidRPr="00B07E65" w:rsidRDefault="00773849" w:rsidP="00271C16">
      <w:pPr>
        <w:pStyle w:val="ListParagraph"/>
        <w:widowControl/>
        <w:numPr>
          <w:ilvl w:val="1"/>
          <w:numId w:val="1"/>
        </w:numPr>
        <w:rPr>
          <w:szCs w:val="22"/>
        </w:rPr>
      </w:pPr>
      <w:r w:rsidRPr="00B07E65">
        <w:t xml:space="preserve">The resubmission </w:t>
      </w:r>
      <w:r w:rsidR="00663165" w:rsidRPr="00B07E65">
        <w:t>included an estimat</w:t>
      </w:r>
      <w:r w:rsidR="00832764">
        <w:t>e</w:t>
      </w:r>
      <w:r w:rsidRPr="00B07E65">
        <w:t xml:space="preserve"> that 10% of patients currently self-</w:t>
      </w:r>
      <w:r w:rsidR="00663165" w:rsidRPr="00B07E65">
        <w:t xml:space="preserve">inject </w:t>
      </w:r>
      <w:r w:rsidRPr="00B07E65">
        <w:t>parenteral methotrexate from the 50 mg</w:t>
      </w:r>
      <w:r w:rsidR="00E77FDA" w:rsidRPr="00B07E65">
        <w:t xml:space="preserve"> in </w:t>
      </w:r>
      <w:r w:rsidRPr="00B07E65">
        <w:t xml:space="preserve">2 mL glass vials. </w:t>
      </w:r>
      <w:r w:rsidR="008F5FE9" w:rsidRPr="00B07E65">
        <w:t>This was not included in the previous submission and n</w:t>
      </w:r>
      <w:r w:rsidR="00923130" w:rsidRPr="00B07E65">
        <w:t>o evidence was provided to support this</w:t>
      </w:r>
      <w:r w:rsidRPr="00B07E65">
        <w:t xml:space="preserve">. However, this assumption </w:t>
      </w:r>
      <w:r w:rsidR="00923130" w:rsidRPr="00B07E65">
        <w:t>wa</w:t>
      </w:r>
      <w:r w:rsidRPr="00B07E65">
        <w:t xml:space="preserve">s conservative </w:t>
      </w:r>
      <w:r w:rsidR="00663165" w:rsidRPr="00B07E65">
        <w:t xml:space="preserve">in nature </w:t>
      </w:r>
      <w:r w:rsidR="00923130" w:rsidRPr="00B07E65">
        <w:t>(</w:t>
      </w:r>
      <w:r w:rsidRPr="00B07E65">
        <w:t>reduce</w:t>
      </w:r>
      <w:r w:rsidR="00923130" w:rsidRPr="00B07E65">
        <w:t>d</w:t>
      </w:r>
      <w:r w:rsidRPr="00B07E65">
        <w:t xml:space="preserve"> the price of SC methotrexate</w:t>
      </w:r>
      <w:r w:rsidR="00923130" w:rsidRPr="00B07E65">
        <w:t>)</w:t>
      </w:r>
      <w:r w:rsidRPr="00B07E65">
        <w:t xml:space="preserve">. </w:t>
      </w:r>
    </w:p>
    <w:p w:rsidR="00923130" w:rsidRPr="00B07E65" w:rsidRDefault="00923130" w:rsidP="00923130">
      <w:pPr>
        <w:pStyle w:val="ListParagraph"/>
        <w:rPr>
          <w:szCs w:val="22"/>
        </w:rPr>
      </w:pPr>
    </w:p>
    <w:p w:rsidR="00E47266" w:rsidRPr="00B07E65" w:rsidRDefault="00E47266" w:rsidP="00271C16">
      <w:pPr>
        <w:pStyle w:val="ListParagraph"/>
        <w:widowControl/>
        <w:numPr>
          <w:ilvl w:val="1"/>
          <w:numId w:val="1"/>
        </w:numPr>
      </w:pPr>
      <w:r w:rsidRPr="00B07E65">
        <w:t>The re-submission assumed that patients not self-</w:t>
      </w:r>
      <w:r w:rsidR="00663165" w:rsidRPr="00B07E65">
        <w:t xml:space="preserve">injecting </w:t>
      </w:r>
      <w:r w:rsidRPr="00B07E65">
        <w:t xml:space="preserve">methotrexate would require a Level B GP consult (MBS Item 23, less than 20 minutes) once weekly for administration. This was unchanged from the previous submission. This assumed that each visit was for the sole purpose of methotrexate injection. The previous </w:t>
      </w:r>
      <w:r w:rsidR="00663165" w:rsidRPr="00B07E65">
        <w:t>consideration stated</w:t>
      </w:r>
      <w:r w:rsidRPr="00B07E65">
        <w:t xml:space="preserve"> that patients may have multiple morbidities and/or co</w:t>
      </w:r>
      <w:r w:rsidR="00D23E31" w:rsidRPr="00B07E65">
        <w:noBreakHyphen/>
      </w:r>
      <w:r w:rsidRPr="00B07E65">
        <w:t xml:space="preserve">administered medications addressed at a single visit (Paragraph 6.33, March 2016 </w:t>
      </w:r>
      <w:r w:rsidR="001972FC">
        <w:t>PSD</w:t>
      </w:r>
      <w:r w:rsidRPr="00B07E65">
        <w:t xml:space="preserve">). Further, there may be some administration by practice nurses. Thus, the use of one Level B GP consult for every non-self-administered injection </w:t>
      </w:r>
      <w:r w:rsidR="00663165" w:rsidRPr="00B07E65">
        <w:t xml:space="preserve">may </w:t>
      </w:r>
      <w:r w:rsidRPr="00B07E65">
        <w:t>overestimate the administr</w:t>
      </w:r>
      <w:r w:rsidR="009E74A8" w:rsidRPr="00B07E65">
        <w:t>ation costs of</w:t>
      </w:r>
      <w:r w:rsidRPr="00B07E65">
        <w:t xml:space="preserve"> methotrexate glass vials. </w:t>
      </w:r>
    </w:p>
    <w:p w:rsidR="00773849" w:rsidRPr="00B07E65" w:rsidRDefault="00773849" w:rsidP="00773849">
      <w:pPr>
        <w:pStyle w:val="ListParagraph"/>
      </w:pPr>
    </w:p>
    <w:p w:rsidR="005B47EC" w:rsidRPr="00B07E65" w:rsidRDefault="005B47EC" w:rsidP="00271C16">
      <w:pPr>
        <w:pStyle w:val="ListParagraph"/>
        <w:widowControl/>
        <w:numPr>
          <w:ilvl w:val="1"/>
          <w:numId w:val="1"/>
        </w:numPr>
      </w:pPr>
      <w:r w:rsidRPr="00B07E65">
        <w:t xml:space="preserve">As shown in Table </w:t>
      </w:r>
      <w:r w:rsidR="00D270E0" w:rsidRPr="00B07E65">
        <w:t>7</w:t>
      </w:r>
      <w:r w:rsidRPr="00B07E65">
        <w:t>, t</w:t>
      </w:r>
      <w:r w:rsidR="00760F27" w:rsidRPr="00B07E65">
        <w:t xml:space="preserve">he </w:t>
      </w:r>
      <w:r w:rsidR="00923130" w:rsidRPr="00B07E65">
        <w:t xml:space="preserve">resubmission </w:t>
      </w:r>
      <w:r w:rsidR="00760F27" w:rsidRPr="00B07E65">
        <w:t>proposed an ex-manufacturer price of $</w:t>
      </w:r>
      <w:r w:rsidR="00916DCD">
        <w:rPr>
          <w:noProof/>
          <w:color w:val="000000"/>
          <w:highlight w:val="black"/>
        </w:rPr>
        <w:t>'''''''''''''</w:t>
      </w:r>
      <w:r w:rsidR="00760F27" w:rsidRPr="00B07E65">
        <w:t xml:space="preserve"> per </w:t>
      </w:r>
      <w:r w:rsidR="00CE0E6E" w:rsidRPr="00B07E65">
        <w:t xml:space="preserve">syringe </w:t>
      </w:r>
      <w:r w:rsidR="00760F27" w:rsidRPr="00B07E65">
        <w:t>(</w:t>
      </w:r>
      <w:r w:rsidR="00A221FC" w:rsidRPr="00B07E65">
        <w:t xml:space="preserve">dispensed price maximum quantity </w:t>
      </w:r>
      <w:r w:rsidR="00F37867" w:rsidRPr="00B07E65">
        <w:t>(</w:t>
      </w:r>
      <w:r w:rsidR="00760F27" w:rsidRPr="00B07E65">
        <w:t>DPMQ</w:t>
      </w:r>
      <w:r w:rsidR="00F37867" w:rsidRPr="00B07E65">
        <w:t>)</w:t>
      </w:r>
      <w:r w:rsidR="00760F27" w:rsidRPr="00B07E65">
        <w:t xml:space="preserve"> = $</w:t>
      </w:r>
      <w:r w:rsidR="00916DCD">
        <w:rPr>
          <w:noProof/>
          <w:color w:val="000000"/>
          <w:highlight w:val="black"/>
        </w:rPr>
        <w:t>''''''''''''''''''</w:t>
      </w:r>
      <w:r w:rsidR="00FE0806" w:rsidRPr="00B07E65">
        <w:t xml:space="preserve"> for 4 </w:t>
      </w:r>
      <w:r w:rsidR="00CE0E6E" w:rsidRPr="00B07E65">
        <w:t>syringes</w:t>
      </w:r>
      <w:r w:rsidR="00760F27" w:rsidRPr="00B07E65">
        <w:t>).</w:t>
      </w:r>
      <w:r w:rsidR="00CE0E6E" w:rsidRPr="00B07E65">
        <w:t xml:space="preserve"> The Pre-PBAC Response revised this price to $</w:t>
      </w:r>
      <w:r w:rsidR="00916DCD">
        <w:rPr>
          <w:noProof/>
          <w:color w:val="000000"/>
          <w:highlight w:val="black"/>
        </w:rPr>
        <w:t>''''''''''''''</w:t>
      </w:r>
      <w:r w:rsidR="00CE0E6E" w:rsidRPr="00B07E65">
        <w:t xml:space="preserve"> per syringe (DPMQ = $</w:t>
      </w:r>
      <w:r w:rsidR="00916DCD">
        <w:rPr>
          <w:noProof/>
          <w:color w:val="000000"/>
          <w:highlight w:val="black"/>
        </w:rPr>
        <w:t>''''''''''''''''''</w:t>
      </w:r>
      <w:r w:rsidR="00CE0E6E" w:rsidRPr="00B07E65">
        <w:t xml:space="preserve"> for 4 syringes)</w:t>
      </w:r>
      <w:r w:rsidR="004479AE" w:rsidRPr="00B07E65">
        <w:t>, to address the ESC’s advice that the cost offsets for administration of glass vials were likely overestimated</w:t>
      </w:r>
      <w:r w:rsidR="003D20FA" w:rsidRPr="00B07E65">
        <w:t>.</w:t>
      </w:r>
    </w:p>
    <w:p w:rsidR="005B47EC" w:rsidRPr="00B07E65" w:rsidRDefault="005B47EC" w:rsidP="005B47EC">
      <w:pPr>
        <w:pStyle w:val="ListParagraph"/>
        <w:widowControl/>
      </w:pPr>
    </w:p>
    <w:p w:rsidR="001F3418" w:rsidRPr="00B07E65" w:rsidRDefault="005B47EC" w:rsidP="00151F4C">
      <w:pPr>
        <w:pStyle w:val="ListParagraph"/>
        <w:keepNext/>
        <w:keepLines/>
        <w:widowControl/>
        <w:rPr>
          <w:rStyle w:val="CommentReference"/>
        </w:rPr>
      </w:pPr>
      <w:r w:rsidRPr="00B07E65">
        <w:rPr>
          <w:rStyle w:val="CommentReference"/>
        </w:rPr>
        <w:t xml:space="preserve">Table </w:t>
      </w:r>
      <w:r w:rsidR="00D270E0" w:rsidRPr="00B07E65">
        <w:rPr>
          <w:rStyle w:val="CommentReference"/>
        </w:rPr>
        <w:t>7</w:t>
      </w:r>
      <w:r w:rsidRPr="00B07E65">
        <w:rPr>
          <w:rStyle w:val="CommentReference"/>
        </w:rPr>
        <w:t>: Cost-minimisation analysis</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275"/>
        <w:gridCol w:w="1559"/>
        <w:gridCol w:w="1418"/>
        <w:gridCol w:w="1541"/>
      </w:tblGrid>
      <w:tr w:rsidR="001F3418" w:rsidRPr="00B07E65" w:rsidTr="006B3087">
        <w:trPr>
          <w:cantSplit/>
          <w:tblHeader/>
        </w:trPr>
        <w:tc>
          <w:tcPr>
            <w:tcW w:w="2552" w:type="dxa"/>
            <w:vMerge w:val="restart"/>
            <w:tcBorders>
              <w:top w:val="single" w:sz="4" w:space="0" w:color="auto"/>
              <w:left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r w:rsidRPr="00B07E65">
              <w:rPr>
                <w:rFonts w:ascii="Arial Narrow" w:hAnsi="Arial Narrow"/>
                <w:b/>
                <w:sz w:val="20"/>
              </w:rPr>
              <w:t>Type of resource item</w:t>
            </w:r>
          </w:p>
        </w:tc>
        <w:tc>
          <w:tcPr>
            <w:tcW w:w="2834" w:type="dxa"/>
            <w:gridSpan w:val="2"/>
            <w:tcBorders>
              <w:top w:val="single" w:sz="4" w:space="0" w:color="auto"/>
              <w:left w:val="double" w:sz="4" w:space="0" w:color="auto"/>
              <w:bottom w:val="single" w:sz="4" w:space="0" w:color="auto"/>
              <w:right w:val="double" w:sz="4" w:space="0" w:color="auto"/>
            </w:tcBorders>
            <w:vAlign w:val="center"/>
          </w:tcPr>
          <w:p w:rsidR="001F3418" w:rsidRPr="00B07E65" w:rsidRDefault="001F3418" w:rsidP="00151F4C">
            <w:pPr>
              <w:keepNext/>
              <w:keepLines/>
              <w:jc w:val="center"/>
              <w:rPr>
                <w:rFonts w:ascii="Arial Narrow" w:hAnsi="Arial Narrow"/>
                <w:b/>
                <w:sz w:val="20"/>
              </w:rPr>
            </w:pPr>
            <w:r w:rsidRPr="00B07E65">
              <w:rPr>
                <w:rFonts w:ascii="Arial Narrow" w:hAnsi="Arial Narrow"/>
                <w:b/>
                <w:sz w:val="20"/>
              </w:rPr>
              <w:t>MTX vials</w:t>
            </w:r>
          </w:p>
        </w:tc>
        <w:tc>
          <w:tcPr>
            <w:tcW w:w="2959" w:type="dxa"/>
            <w:gridSpan w:val="2"/>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keepNext/>
              <w:keepLines/>
              <w:jc w:val="center"/>
              <w:rPr>
                <w:rFonts w:ascii="Arial Narrow" w:hAnsi="Arial Narrow"/>
                <w:b/>
                <w:sz w:val="20"/>
              </w:rPr>
            </w:pPr>
            <w:r w:rsidRPr="00B07E65">
              <w:rPr>
                <w:rFonts w:ascii="Arial Narrow" w:hAnsi="Arial Narrow"/>
                <w:b/>
                <w:sz w:val="20"/>
              </w:rPr>
              <w:t>SC MTX</w:t>
            </w:r>
          </w:p>
        </w:tc>
      </w:tr>
      <w:tr w:rsidR="001F3418" w:rsidRPr="00B07E65" w:rsidTr="006B3087">
        <w:trPr>
          <w:cantSplit/>
          <w:tblHeader/>
        </w:trPr>
        <w:tc>
          <w:tcPr>
            <w:tcW w:w="2552" w:type="dxa"/>
            <w:vMerge/>
            <w:tcBorders>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p>
        </w:tc>
        <w:tc>
          <w:tcPr>
            <w:tcW w:w="1275"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keepNext/>
              <w:keepLines/>
              <w:jc w:val="center"/>
              <w:rPr>
                <w:rFonts w:ascii="Arial Narrow" w:hAnsi="Arial Narrow"/>
                <w:b/>
                <w:sz w:val="20"/>
              </w:rPr>
            </w:pPr>
            <w:r w:rsidRPr="00B07E65">
              <w:rPr>
                <w:rFonts w:ascii="Arial Narrow" w:hAnsi="Arial Narrow"/>
                <w:b/>
                <w:sz w:val="20"/>
              </w:rPr>
              <w:t>Per dose</w:t>
            </w:r>
          </w:p>
        </w:tc>
        <w:tc>
          <w:tcPr>
            <w:tcW w:w="1559" w:type="dxa"/>
            <w:tcBorders>
              <w:top w:val="single" w:sz="4" w:space="0" w:color="auto"/>
              <w:left w:val="single" w:sz="4" w:space="0" w:color="auto"/>
              <w:bottom w:val="single" w:sz="4" w:space="0" w:color="auto"/>
              <w:right w:val="double" w:sz="4" w:space="0" w:color="auto"/>
            </w:tcBorders>
          </w:tcPr>
          <w:p w:rsidR="001F3418" w:rsidRPr="00B07E65" w:rsidRDefault="001F3418" w:rsidP="00151F4C">
            <w:pPr>
              <w:keepNext/>
              <w:keepLines/>
              <w:jc w:val="center"/>
              <w:rPr>
                <w:rFonts w:ascii="Arial Narrow" w:hAnsi="Arial Narrow"/>
                <w:b/>
                <w:sz w:val="20"/>
                <w:vertAlign w:val="superscript"/>
              </w:rPr>
            </w:pPr>
            <w:r w:rsidRPr="00B07E65">
              <w:rPr>
                <w:rFonts w:ascii="Arial Narrow" w:hAnsi="Arial Narrow"/>
                <w:b/>
                <w:sz w:val="20"/>
              </w:rPr>
              <w:t>Total per month</w:t>
            </w:r>
            <w:r w:rsidR="006B3087" w:rsidRPr="00B07E65">
              <w:rPr>
                <w:rFonts w:ascii="Arial Narrow" w:hAnsi="Arial Narrow"/>
                <w:b/>
                <w:sz w:val="20"/>
              </w:rPr>
              <w:t xml:space="preserve"> </w:t>
            </w:r>
            <w:r w:rsidRPr="00B07E65">
              <w:rPr>
                <w:rFonts w:ascii="Arial Narrow" w:hAnsi="Arial Narrow"/>
                <w:b/>
                <w:sz w:val="20"/>
                <w:vertAlign w:val="superscript"/>
              </w:rPr>
              <w:t>a</w:t>
            </w:r>
            <w:r w:rsidR="00F93DB0" w:rsidRPr="00B07E65">
              <w:rPr>
                <w:rFonts w:ascii="Arial Narrow" w:hAnsi="Arial Narrow"/>
                <w:b/>
                <w:sz w:val="20"/>
                <w:vertAlign w:val="superscript"/>
              </w:rPr>
              <w:t xml:space="preserve">   </w:t>
            </w:r>
          </w:p>
        </w:tc>
        <w:tc>
          <w:tcPr>
            <w:tcW w:w="1418"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keepNext/>
              <w:keepLines/>
              <w:jc w:val="center"/>
              <w:rPr>
                <w:rFonts w:ascii="Arial Narrow" w:hAnsi="Arial Narrow"/>
                <w:b/>
                <w:sz w:val="20"/>
              </w:rPr>
            </w:pPr>
            <w:r w:rsidRPr="00B07E65">
              <w:rPr>
                <w:rFonts w:ascii="Arial Narrow" w:hAnsi="Arial Narrow"/>
                <w:b/>
                <w:sz w:val="20"/>
              </w:rPr>
              <w:t>Per dose</w:t>
            </w:r>
          </w:p>
        </w:tc>
        <w:tc>
          <w:tcPr>
            <w:tcW w:w="1541" w:type="dxa"/>
            <w:tcBorders>
              <w:top w:val="single" w:sz="4" w:space="0" w:color="auto"/>
              <w:left w:val="single" w:sz="4" w:space="0" w:color="auto"/>
              <w:bottom w:val="single" w:sz="4" w:space="0" w:color="auto"/>
              <w:right w:val="single" w:sz="4" w:space="0" w:color="auto"/>
            </w:tcBorders>
          </w:tcPr>
          <w:p w:rsidR="001F3418" w:rsidRPr="00B07E65" w:rsidRDefault="001F3418" w:rsidP="00151F4C">
            <w:pPr>
              <w:keepNext/>
              <w:keepLines/>
              <w:jc w:val="center"/>
              <w:rPr>
                <w:rFonts w:ascii="Arial Narrow" w:hAnsi="Arial Narrow"/>
                <w:b/>
                <w:sz w:val="20"/>
              </w:rPr>
            </w:pPr>
            <w:r w:rsidRPr="00B07E65">
              <w:rPr>
                <w:rFonts w:ascii="Arial Narrow" w:hAnsi="Arial Narrow"/>
                <w:b/>
                <w:sz w:val="20"/>
              </w:rPr>
              <w:t>Total per month</w:t>
            </w:r>
            <w:r w:rsidR="006B3087" w:rsidRPr="00B07E65">
              <w:rPr>
                <w:rFonts w:ascii="Arial Narrow" w:hAnsi="Arial Narrow"/>
                <w:b/>
                <w:sz w:val="20"/>
              </w:rPr>
              <w:t xml:space="preserve"> </w:t>
            </w:r>
            <w:r w:rsidRPr="00B07E65">
              <w:rPr>
                <w:rFonts w:ascii="Arial Narrow" w:hAnsi="Arial Narrow"/>
                <w:b/>
                <w:sz w:val="20"/>
                <w:vertAlign w:val="superscript"/>
              </w:rPr>
              <w:t>a</w:t>
            </w:r>
            <w:r w:rsidR="00F93DB0" w:rsidRPr="00B07E65">
              <w:rPr>
                <w:rFonts w:ascii="Arial Narrow" w:hAnsi="Arial Narrow"/>
                <w:b/>
                <w:sz w:val="20"/>
                <w:vertAlign w:val="superscript"/>
              </w:rPr>
              <w:t> </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sz w:val="20"/>
              </w:rPr>
            </w:pPr>
            <w:r w:rsidRPr="00B07E65">
              <w:rPr>
                <w:rFonts w:ascii="Arial Narrow" w:hAnsi="Arial Narrow"/>
                <w:sz w:val="20"/>
              </w:rPr>
              <w:t>Drug costs per injection (AEMP)</w:t>
            </w:r>
          </w:p>
        </w:tc>
        <w:tc>
          <w:tcPr>
            <w:tcW w:w="1275" w:type="dxa"/>
            <w:tcBorders>
              <w:top w:val="single" w:sz="4" w:space="0" w:color="auto"/>
              <w:left w:val="double" w:sz="4" w:space="0" w:color="auto"/>
              <w:bottom w:val="single" w:sz="4" w:space="0" w:color="auto"/>
              <w:right w:val="single" w:sz="4" w:space="0" w:color="auto"/>
            </w:tcBorders>
            <w:shd w:val="clear" w:color="auto" w:fill="auto"/>
            <w:vAlign w:val="center"/>
          </w:tcPr>
          <w:p w:rsidR="001F3418" w:rsidRPr="00B07E65" w:rsidRDefault="001F3418" w:rsidP="00151F4C">
            <w:pPr>
              <w:keepNext/>
              <w:keepLines/>
              <w:jc w:val="center"/>
              <w:rPr>
                <w:rFonts w:ascii="Arial Narrow" w:hAnsi="Arial Narrow"/>
                <w:sz w:val="20"/>
                <w:vertAlign w:val="superscript"/>
              </w:rPr>
            </w:pPr>
            <w:r w:rsidRPr="00B07E65">
              <w:rPr>
                <w:rFonts w:ascii="Arial Narrow" w:hAnsi="Arial Narrow"/>
                <w:sz w:val="20"/>
              </w:rPr>
              <w:t>$</w:t>
            </w:r>
            <w:r w:rsidRPr="0079641E">
              <w:rPr>
                <w:rFonts w:ascii="Arial Narrow" w:hAnsi="Arial Narrow"/>
                <w:sz w:val="20"/>
              </w:rPr>
              <w:t>3.13</w:t>
            </w:r>
            <w:r w:rsidRPr="00B07E65">
              <w:rPr>
                <w:rFonts w:ascii="Arial Narrow" w:hAnsi="Arial Narrow"/>
                <w:sz w:val="20"/>
              </w:rPr>
              <w:t xml:space="preserve">/vial </w:t>
            </w:r>
          </w:p>
        </w:tc>
        <w:tc>
          <w:tcPr>
            <w:tcW w:w="1559" w:type="dxa"/>
            <w:tcBorders>
              <w:top w:val="single" w:sz="4" w:space="0" w:color="auto"/>
              <w:left w:val="single" w:sz="4" w:space="0" w:color="auto"/>
              <w:bottom w:val="single" w:sz="4" w:space="0" w:color="auto"/>
              <w:right w:val="double" w:sz="4" w:space="0" w:color="auto"/>
            </w:tcBorders>
            <w:shd w:val="clear" w:color="auto" w:fill="auto"/>
          </w:tcPr>
          <w:p w:rsidR="001F3418" w:rsidRPr="00B07E65" w:rsidRDefault="001F3418" w:rsidP="00151F4C">
            <w:pPr>
              <w:keepNext/>
              <w:keepLines/>
              <w:jc w:val="right"/>
              <w:rPr>
                <w:rFonts w:ascii="Arial Narrow" w:hAnsi="Arial Narrow"/>
                <w:sz w:val="20"/>
              </w:rPr>
            </w:pPr>
            <w:r w:rsidRPr="00B07E65">
              <w:rPr>
                <w:rFonts w:ascii="Arial Narrow" w:hAnsi="Arial Narrow"/>
                <w:sz w:val="20"/>
              </w:rPr>
              <w:t>$</w:t>
            </w:r>
            <w:r w:rsidRPr="0079641E">
              <w:rPr>
                <w:rFonts w:ascii="Arial Narrow" w:hAnsi="Arial Narrow"/>
                <w:sz w:val="20"/>
              </w:rPr>
              <w:t>12.52</w:t>
            </w:r>
          </w:p>
        </w:tc>
        <w:tc>
          <w:tcPr>
            <w:tcW w:w="1418" w:type="dxa"/>
            <w:tcBorders>
              <w:top w:val="single" w:sz="4" w:space="0" w:color="auto"/>
              <w:left w:val="double" w:sz="4" w:space="0" w:color="auto"/>
              <w:bottom w:val="single" w:sz="4" w:space="0" w:color="auto"/>
              <w:right w:val="single" w:sz="4" w:space="0" w:color="auto"/>
            </w:tcBorders>
            <w:vAlign w:val="center"/>
          </w:tcPr>
          <w:p w:rsidR="001F3418" w:rsidRPr="00B07E65" w:rsidRDefault="00F93DB0" w:rsidP="00151F4C">
            <w:pPr>
              <w:keepNext/>
              <w:keepLines/>
              <w:jc w:val="center"/>
              <w:rPr>
                <w:rFonts w:ascii="Arial Narrow" w:hAnsi="Arial Narrow"/>
                <w:sz w:val="20"/>
              </w:rPr>
            </w:pPr>
            <w:r w:rsidRPr="00B07E65">
              <w:rPr>
                <w:rFonts w:ascii="Arial Narrow" w:hAnsi="Arial Narrow"/>
                <w:sz w:val="20"/>
              </w:rPr>
              <w:t>-</w:t>
            </w:r>
          </w:p>
        </w:tc>
        <w:tc>
          <w:tcPr>
            <w:tcW w:w="1541" w:type="dxa"/>
            <w:tcBorders>
              <w:top w:val="single" w:sz="4" w:space="0" w:color="auto"/>
              <w:left w:val="single" w:sz="4" w:space="0" w:color="auto"/>
              <w:bottom w:val="single" w:sz="4" w:space="0" w:color="auto"/>
              <w:right w:val="single" w:sz="4" w:space="0" w:color="auto"/>
            </w:tcBorders>
          </w:tcPr>
          <w:p w:rsidR="001F3418" w:rsidRPr="00B07E65" w:rsidRDefault="00F93DB0" w:rsidP="00151F4C">
            <w:pPr>
              <w:keepNext/>
              <w:keepLines/>
              <w:jc w:val="center"/>
              <w:rPr>
                <w:rFonts w:ascii="Arial Narrow" w:hAnsi="Arial Narrow"/>
                <w:sz w:val="20"/>
              </w:rPr>
            </w:pPr>
            <w:r w:rsidRPr="00B07E65">
              <w:rPr>
                <w:rFonts w:ascii="Arial Narrow" w:hAnsi="Arial Narrow"/>
                <w:sz w:val="20"/>
              </w:rPr>
              <w:t>-</w:t>
            </w:r>
          </w:p>
        </w:tc>
      </w:tr>
      <w:tr w:rsidR="001F3418" w:rsidRPr="00B07E65" w:rsidTr="001F3418">
        <w:trPr>
          <w:cantSplit/>
        </w:trPr>
        <w:tc>
          <w:tcPr>
            <w:tcW w:w="0" w:type="auto"/>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F3418" w:rsidRPr="00B07E65" w:rsidRDefault="001F3418" w:rsidP="00151F4C">
            <w:pPr>
              <w:pStyle w:val="Tabletext"/>
              <w:keepNext/>
              <w:keepLines/>
              <w:rPr>
                <w:b/>
              </w:rPr>
            </w:pPr>
            <w:r w:rsidRPr="00B07E65">
              <w:rPr>
                <w:b/>
              </w:rPr>
              <w:t>Administration costs</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sz w:val="20"/>
              </w:rPr>
            </w:pPr>
            <w:r w:rsidRPr="00B07E65">
              <w:rPr>
                <w:rFonts w:ascii="Arial Narrow" w:hAnsi="Arial Narrow"/>
                <w:sz w:val="20"/>
              </w:rPr>
              <w:t>Level B GP attendance</w:t>
            </w:r>
          </w:p>
        </w:tc>
        <w:tc>
          <w:tcPr>
            <w:tcW w:w="1275"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center"/>
            </w:pPr>
            <w:r w:rsidRPr="00B07E65">
              <w:t>$37.05/consult</w:t>
            </w:r>
          </w:p>
        </w:tc>
        <w:tc>
          <w:tcPr>
            <w:tcW w:w="1559" w:type="dxa"/>
            <w:vMerge w:val="restart"/>
            <w:tcBorders>
              <w:top w:val="single" w:sz="4" w:space="0" w:color="auto"/>
              <w:left w:val="single" w:sz="4" w:space="0" w:color="auto"/>
              <w:right w:val="double" w:sz="4" w:space="0" w:color="auto"/>
            </w:tcBorders>
            <w:vAlign w:val="center"/>
          </w:tcPr>
          <w:p w:rsidR="001F3418" w:rsidRPr="00B07E65" w:rsidRDefault="001F3418" w:rsidP="00151F4C">
            <w:pPr>
              <w:pStyle w:val="Tabletext"/>
              <w:keepNext/>
              <w:keepLines/>
              <w:jc w:val="right"/>
            </w:pPr>
            <w:r w:rsidRPr="00B07E65">
              <w:t>$133.38</w:t>
            </w:r>
          </w:p>
        </w:tc>
        <w:tc>
          <w:tcPr>
            <w:tcW w:w="1418"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center"/>
            </w:pPr>
            <w:r w:rsidRPr="00B07E65">
              <w:t>$37.05/consult</w:t>
            </w:r>
          </w:p>
        </w:tc>
        <w:tc>
          <w:tcPr>
            <w:tcW w:w="1541" w:type="dxa"/>
            <w:vMerge w:val="restart"/>
            <w:tcBorders>
              <w:top w:val="single" w:sz="4" w:space="0" w:color="auto"/>
              <w:left w:val="single" w:sz="4" w:space="0" w:color="auto"/>
              <w:right w:val="single" w:sz="4" w:space="0" w:color="auto"/>
            </w:tcBorders>
            <w:vAlign w:val="center"/>
          </w:tcPr>
          <w:p w:rsidR="001F3418" w:rsidRPr="00B07E65" w:rsidRDefault="001F3418" w:rsidP="00151F4C">
            <w:pPr>
              <w:pStyle w:val="Tabletext"/>
              <w:keepNext/>
              <w:keepLines/>
              <w:jc w:val="right"/>
            </w:pPr>
            <w:r w:rsidRPr="00B07E65">
              <w:t>$21.49</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sz w:val="20"/>
              </w:rPr>
            </w:pPr>
            <w:r w:rsidRPr="00B07E65">
              <w:rPr>
                <w:rFonts w:ascii="Arial Narrow" w:hAnsi="Arial Narrow"/>
                <w:sz w:val="20"/>
              </w:rPr>
              <w:t>% patients who require weekly consult</w:t>
            </w:r>
          </w:p>
        </w:tc>
        <w:tc>
          <w:tcPr>
            <w:tcW w:w="1275"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center"/>
            </w:pPr>
            <w:r w:rsidRPr="00B07E65">
              <w:t>90%</w:t>
            </w:r>
          </w:p>
          <w:p w:rsidR="001F3418" w:rsidRPr="00B07E65" w:rsidRDefault="001F3418" w:rsidP="00151F4C">
            <w:pPr>
              <w:pStyle w:val="Tabletext"/>
              <w:keepNext/>
              <w:keepLines/>
              <w:jc w:val="center"/>
            </w:pPr>
            <w:r w:rsidRPr="00B07E65">
              <w:t>(10% self-inject)</w:t>
            </w:r>
          </w:p>
        </w:tc>
        <w:tc>
          <w:tcPr>
            <w:tcW w:w="1559" w:type="dxa"/>
            <w:vMerge/>
            <w:tcBorders>
              <w:left w:val="single" w:sz="4" w:space="0" w:color="auto"/>
              <w:bottom w:val="single" w:sz="4" w:space="0" w:color="auto"/>
              <w:right w:val="double" w:sz="4" w:space="0" w:color="auto"/>
            </w:tcBorders>
          </w:tcPr>
          <w:p w:rsidR="001F3418" w:rsidRPr="00B07E65" w:rsidRDefault="001F3418" w:rsidP="00151F4C">
            <w:pPr>
              <w:pStyle w:val="Tabletext"/>
              <w:keepNext/>
              <w:keepLines/>
              <w:jc w:val="right"/>
            </w:pPr>
          </w:p>
        </w:tc>
        <w:tc>
          <w:tcPr>
            <w:tcW w:w="1418"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center"/>
            </w:pPr>
            <w:r w:rsidRPr="00B07E65">
              <w:t>14.5%</w:t>
            </w:r>
          </w:p>
          <w:p w:rsidR="001F3418" w:rsidRPr="00B07E65" w:rsidRDefault="001F3418" w:rsidP="00151F4C">
            <w:pPr>
              <w:pStyle w:val="Tabletext"/>
              <w:keepNext/>
              <w:keepLines/>
              <w:jc w:val="center"/>
            </w:pPr>
            <w:r w:rsidRPr="00B07E65">
              <w:t>(85.5% self-inject)</w:t>
            </w:r>
          </w:p>
        </w:tc>
        <w:tc>
          <w:tcPr>
            <w:tcW w:w="1541" w:type="dxa"/>
            <w:vMerge/>
            <w:tcBorders>
              <w:left w:val="single" w:sz="4" w:space="0" w:color="auto"/>
              <w:bottom w:val="single" w:sz="4" w:space="0" w:color="auto"/>
              <w:right w:val="single" w:sz="4" w:space="0" w:color="auto"/>
            </w:tcBorders>
          </w:tcPr>
          <w:p w:rsidR="001F3418" w:rsidRPr="00B07E65" w:rsidRDefault="001F3418" w:rsidP="00151F4C">
            <w:pPr>
              <w:pStyle w:val="Tabletext"/>
              <w:keepNext/>
              <w:keepLines/>
              <w:jc w:val="right"/>
            </w:pPr>
          </w:p>
        </w:tc>
      </w:tr>
      <w:tr w:rsidR="007D5936"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7D5936" w:rsidRPr="00B07E65" w:rsidRDefault="007D5936" w:rsidP="00151F4C">
            <w:pPr>
              <w:keepNext/>
              <w:keepLines/>
              <w:jc w:val="left"/>
              <w:rPr>
                <w:rFonts w:ascii="Arial Narrow" w:hAnsi="Arial Narrow"/>
                <w:sz w:val="20"/>
              </w:rPr>
            </w:pPr>
            <w:r w:rsidRPr="00B07E65">
              <w:rPr>
                <w:rFonts w:ascii="Arial Narrow" w:hAnsi="Arial Narrow"/>
                <w:sz w:val="20"/>
              </w:rPr>
              <w:t>Needles and syringes</w:t>
            </w:r>
          </w:p>
        </w:tc>
        <w:tc>
          <w:tcPr>
            <w:tcW w:w="1275" w:type="dxa"/>
            <w:tcBorders>
              <w:top w:val="single" w:sz="4" w:space="0" w:color="auto"/>
              <w:left w:val="double" w:sz="4" w:space="0" w:color="auto"/>
              <w:bottom w:val="single" w:sz="4" w:space="0" w:color="auto"/>
              <w:right w:val="single" w:sz="4" w:space="0" w:color="auto"/>
            </w:tcBorders>
            <w:vAlign w:val="center"/>
          </w:tcPr>
          <w:p w:rsidR="007D5936" w:rsidRPr="00B07E65" w:rsidRDefault="007D5936" w:rsidP="00151F4C">
            <w:pPr>
              <w:pStyle w:val="Tabletext"/>
              <w:keepNext/>
              <w:keepLines/>
              <w:jc w:val="center"/>
            </w:pPr>
            <w:r w:rsidRPr="00B07E65">
              <w:t>$0.25/injection</w:t>
            </w:r>
          </w:p>
        </w:tc>
        <w:tc>
          <w:tcPr>
            <w:tcW w:w="1559" w:type="dxa"/>
            <w:tcBorders>
              <w:top w:val="single" w:sz="4" w:space="0" w:color="auto"/>
              <w:left w:val="single" w:sz="4" w:space="0" w:color="auto"/>
              <w:bottom w:val="single" w:sz="4" w:space="0" w:color="auto"/>
              <w:right w:val="double" w:sz="4" w:space="0" w:color="auto"/>
            </w:tcBorders>
          </w:tcPr>
          <w:p w:rsidR="007D5936" w:rsidRPr="00B07E65" w:rsidRDefault="007D5936" w:rsidP="00151F4C">
            <w:pPr>
              <w:pStyle w:val="Tabletext"/>
              <w:keepNext/>
              <w:keepLines/>
              <w:jc w:val="right"/>
            </w:pPr>
            <w:r w:rsidRPr="00B07E65">
              <w:t>$1.00</w:t>
            </w:r>
          </w:p>
        </w:tc>
        <w:tc>
          <w:tcPr>
            <w:tcW w:w="2959" w:type="dxa"/>
            <w:gridSpan w:val="2"/>
            <w:tcBorders>
              <w:top w:val="single" w:sz="4" w:space="0" w:color="auto"/>
              <w:left w:val="double" w:sz="4" w:space="0" w:color="auto"/>
              <w:bottom w:val="single" w:sz="4" w:space="0" w:color="auto"/>
              <w:right w:val="single" w:sz="4" w:space="0" w:color="auto"/>
            </w:tcBorders>
            <w:vAlign w:val="center"/>
          </w:tcPr>
          <w:p w:rsidR="007D5936" w:rsidRPr="00B07E65" w:rsidRDefault="007D5936" w:rsidP="00151F4C">
            <w:pPr>
              <w:pStyle w:val="Tabletext"/>
              <w:keepNext/>
              <w:keepLines/>
              <w:jc w:val="center"/>
            </w:pPr>
            <w:r w:rsidRPr="00B07E65">
              <w:t>-</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r w:rsidRPr="00B07E65">
              <w:rPr>
                <w:rFonts w:ascii="Arial Narrow" w:hAnsi="Arial Narrow"/>
                <w:b/>
                <w:sz w:val="20"/>
              </w:rPr>
              <w:t>Total administration cost</w:t>
            </w:r>
          </w:p>
        </w:tc>
        <w:tc>
          <w:tcPr>
            <w:tcW w:w="1275"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right"/>
              <w:rPr>
                <w:rFonts w:eastAsiaTheme="minorHAnsi" w:cstheme="minorBidi"/>
                <w:szCs w:val="22"/>
                <w:vertAlign w:val="superscript"/>
              </w:rPr>
            </w:pPr>
            <w:r w:rsidRPr="00B07E65">
              <w:rPr>
                <w:rFonts w:eastAsiaTheme="minorHAnsi" w:cstheme="minorBidi"/>
                <w:szCs w:val="22"/>
              </w:rPr>
              <w:t>$33.</w:t>
            </w:r>
            <w:r w:rsidR="00FE0806" w:rsidRPr="00B07E65">
              <w:rPr>
                <w:rFonts w:eastAsiaTheme="minorHAnsi" w:cstheme="minorBidi"/>
                <w:szCs w:val="22"/>
              </w:rPr>
              <w:t>60</w:t>
            </w:r>
            <w:r w:rsidRPr="00B07E65">
              <w:rPr>
                <w:rFonts w:eastAsiaTheme="minorHAnsi" w:cstheme="minorBidi"/>
                <w:szCs w:val="22"/>
                <w:vertAlign w:val="superscript"/>
              </w:rPr>
              <w:t>b</w:t>
            </w:r>
          </w:p>
        </w:tc>
        <w:tc>
          <w:tcPr>
            <w:tcW w:w="1559" w:type="dxa"/>
            <w:tcBorders>
              <w:top w:val="single" w:sz="4" w:space="0" w:color="auto"/>
              <w:left w:val="single" w:sz="4" w:space="0" w:color="auto"/>
              <w:bottom w:val="single" w:sz="4" w:space="0" w:color="auto"/>
              <w:right w:val="double" w:sz="4" w:space="0" w:color="auto"/>
            </w:tcBorders>
            <w:vAlign w:val="center"/>
          </w:tcPr>
          <w:p w:rsidR="001F3418" w:rsidRPr="00B07E65" w:rsidRDefault="001F3418" w:rsidP="00151F4C">
            <w:pPr>
              <w:pStyle w:val="Tabletext"/>
              <w:keepNext/>
              <w:keepLines/>
              <w:jc w:val="right"/>
              <w:rPr>
                <w:rFonts w:eastAsiaTheme="minorHAnsi" w:cstheme="minorBidi"/>
                <w:szCs w:val="22"/>
                <w:vertAlign w:val="superscript"/>
              </w:rPr>
            </w:pPr>
            <w:r w:rsidRPr="00B07E65">
              <w:rPr>
                <w:rFonts w:eastAsiaTheme="minorHAnsi" w:cstheme="minorBidi"/>
                <w:szCs w:val="22"/>
              </w:rPr>
              <w:t>$13</w:t>
            </w:r>
            <w:r w:rsidR="0093351B" w:rsidRPr="00B07E65">
              <w:rPr>
                <w:rFonts w:eastAsiaTheme="minorHAnsi" w:cstheme="minorBidi"/>
                <w:szCs w:val="22"/>
              </w:rPr>
              <w:t>4</w:t>
            </w:r>
            <w:r w:rsidRPr="00B07E65">
              <w:rPr>
                <w:rFonts w:eastAsiaTheme="minorHAnsi" w:cstheme="minorBidi"/>
                <w:szCs w:val="22"/>
              </w:rPr>
              <w:t>.38</w:t>
            </w:r>
            <w:r w:rsidRPr="00B07E65">
              <w:rPr>
                <w:rFonts w:eastAsiaTheme="minorHAnsi" w:cstheme="minorBidi"/>
                <w:szCs w:val="22"/>
                <w:vertAlign w:val="superscript"/>
              </w:rPr>
              <w:t>b</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1F3418" w:rsidRPr="00B07E65" w:rsidRDefault="001F3418" w:rsidP="00151F4C">
            <w:pPr>
              <w:pStyle w:val="Tabletext"/>
              <w:keepNext/>
              <w:keepLines/>
              <w:jc w:val="right"/>
              <w:rPr>
                <w:rFonts w:eastAsiaTheme="minorHAnsi" w:cstheme="minorBidi"/>
                <w:szCs w:val="22"/>
              </w:rPr>
            </w:pPr>
            <w:r w:rsidRPr="00B07E65">
              <w:rPr>
                <w:rFonts w:eastAsiaTheme="minorHAnsi" w:cstheme="minorBidi"/>
                <w:szCs w:val="22"/>
              </w:rPr>
              <w:t>$5.37</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F3418" w:rsidRPr="00B07E65" w:rsidRDefault="001F3418" w:rsidP="00151F4C">
            <w:pPr>
              <w:pStyle w:val="Tabletext"/>
              <w:keepNext/>
              <w:keepLines/>
              <w:jc w:val="right"/>
              <w:rPr>
                <w:rFonts w:eastAsiaTheme="minorHAnsi" w:cstheme="minorBidi"/>
                <w:szCs w:val="22"/>
              </w:rPr>
            </w:pPr>
            <w:r w:rsidRPr="00B07E65">
              <w:rPr>
                <w:rFonts w:eastAsiaTheme="minorHAnsi" w:cstheme="minorBidi"/>
                <w:szCs w:val="22"/>
              </w:rPr>
              <w:t>$21.49</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r w:rsidRPr="00B07E65">
              <w:rPr>
                <w:rFonts w:ascii="Arial Narrow" w:hAnsi="Arial Narrow"/>
                <w:b/>
                <w:sz w:val="20"/>
              </w:rPr>
              <w:t xml:space="preserve">Total cost MTX vial </w:t>
            </w:r>
          </w:p>
        </w:tc>
        <w:tc>
          <w:tcPr>
            <w:tcW w:w="1275"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right"/>
            </w:pPr>
            <w:r w:rsidRPr="00B07E65">
              <w:t>$</w:t>
            </w:r>
            <w:r w:rsidRPr="0079641E">
              <w:t>36.73</w:t>
            </w:r>
          </w:p>
        </w:tc>
        <w:tc>
          <w:tcPr>
            <w:tcW w:w="1559" w:type="dxa"/>
            <w:tcBorders>
              <w:top w:val="single" w:sz="4" w:space="0" w:color="auto"/>
              <w:left w:val="single" w:sz="4" w:space="0" w:color="auto"/>
              <w:bottom w:val="single" w:sz="4" w:space="0" w:color="auto"/>
              <w:right w:val="double" w:sz="4" w:space="0" w:color="auto"/>
            </w:tcBorders>
          </w:tcPr>
          <w:p w:rsidR="001F3418" w:rsidRPr="00B07E65" w:rsidRDefault="001F3418" w:rsidP="00151F4C">
            <w:pPr>
              <w:pStyle w:val="Tabletext"/>
              <w:keepNext/>
              <w:keepLines/>
              <w:jc w:val="right"/>
            </w:pPr>
            <w:r w:rsidRPr="00B07E65">
              <w:t>$</w:t>
            </w:r>
            <w:r w:rsidRPr="0079641E">
              <w:t>146.90</w:t>
            </w:r>
          </w:p>
        </w:tc>
        <w:tc>
          <w:tcPr>
            <w:tcW w:w="295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1F3418" w:rsidRPr="00B07E65" w:rsidRDefault="001F3418" w:rsidP="00151F4C">
            <w:pPr>
              <w:pStyle w:val="Tabletext"/>
              <w:keepNext/>
              <w:keepLines/>
              <w:jc w:val="center"/>
            </w:pPr>
            <w:r w:rsidRPr="00B07E65">
              <w:t>-</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r w:rsidRPr="00B07E65">
              <w:rPr>
                <w:rFonts w:ascii="Arial Narrow" w:hAnsi="Arial Narrow"/>
                <w:b/>
                <w:sz w:val="20"/>
              </w:rPr>
              <w:t>Total cost SC MTX (AEMP)</w:t>
            </w:r>
          </w:p>
        </w:tc>
        <w:tc>
          <w:tcPr>
            <w:tcW w:w="2834" w:type="dxa"/>
            <w:gridSpan w:val="2"/>
            <w:vMerge w:val="restart"/>
            <w:tcBorders>
              <w:left w:val="double" w:sz="4" w:space="0" w:color="auto"/>
              <w:right w:val="double" w:sz="4" w:space="0" w:color="auto"/>
            </w:tcBorders>
            <w:shd w:val="clear" w:color="auto" w:fill="auto"/>
            <w:vAlign w:val="center"/>
          </w:tcPr>
          <w:p w:rsidR="001F3418" w:rsidRPr="00B07E65" w:rsidRDefault="001F3418" w:rsidP="00151F4C">
            <w:pPr>
              <w:keepNext/>
              <w:keepLines/>
              <w:jc w:val="center"/>
              <w:rPr>
                <w:rFonts w:ascii="Arial Narrow" w:hAnsi="Arial Narrow"/>
                <w:sz w:val="20"/>
              </w:rPr>
            </w:pPr>
            <w:r w:rsidRPr="00B07E65">
              <w:rPr>
                <w:rFonts w:ascii="Arial Narrow" w:hAnsi="Arial Narrow"/>
                <w:sz w:val="20"/>
              </w:rPr>
              <w:t>-</w:t>
            </w:r>
          </w:p>
        </w:tc>
        <w:tc>
          <w:tcPr>
            <w:tcW w:w="1418" w:type="dxa"/>
            <w:tcBorders>
              <w:top w:val="single" w:sz="4" w:space="0" w:color="auto"/>
              <w:left w:val="double" w:sz="4" w:space="0" w:color="auto"/>
              <w:bottom w:val="single" w:sz="4" w:space="0" w:color="auto"/>
              <w:right w:val="single" w:sz="4" w:space="0" w:color="auto"/>
            </w:tcBorders>
            <w:vAlign w:val="center"/>
          </w:tcPr>
          <w:p w:rsidR="001F3418" w:rsidRPr="00B07E65" w:rsidRDefault="001F3418" w:rsidP="00151F4C">
            <w:pPr>
              <w:pStyle w:val="Tabletext"/>
              <w:keepNext/>
              <w:keepLines/>
              <w:jc w:val="right"/>
              <w:rPr>
                <w:vertAlign w:val="superscript"/>
              </w:rPr>
            </w:pPr>
            <w:r w:rsidRPr="00B07E65">
              <w:t>$</w:t>
            </w:r>
            <w:r w:rsidR="00916DCD">
              <w:rPr>
                <w:noProof/>
                <w:color w:val="000000"/>
                <w:highlight w:val="black"/>
              </w:rPr>
              <w:t>''''''''''''''</w:t>
            </w:r>
            <w:r w:rsidR="0093351B" w:rsidRPr="00B07E65">
              <w:t xml:space="preserve"> </w:t>
            </w:r>
            <w:r w:rsidR="0093351B" w:rsidRPr="00B07E65">
              <w:rPr>
                <w:vertAlign w:val="superscript"/>
              </w:rPr>
              <w:t>c</w:t>
            </w:r>
          </w:p>
        </w:tc>
        <w:tc>
          <w:tcPr>
            <w:tcW w:w="1541" w:type="dxa"/>
            <w:tcBorders>
              <w:top w:val="single" w:sz="4" w:space="0" w:color="auto"/>
              <w:left w:val="single" w:sz="4" w:space="0" w:color="auto"/>
              <w:bottom w:val="single" w:sz="4" w:space="0" w:color="auto"/>
              <w:right w:val="single" w:sz="4" w:space="0" w:color="auto"/>
            </w:tcBorders>
            <w:vAlign w:val="center"/>
          </w:tcPr>
          <w:p w:rsidR="001F3418" w:rsidRPr="00B07E65" w:rsidRDefault="001F3418" w:rsidP="00151F4C">
            <w:pPr>
              <w:pStyle w:val="Tabletext"/>
              <w:keepNext/>
              <w:keepLines/>
              <w:jc w:val="right"/>
            </w:pPr>
            <w:r w:rsidRPr="00B07E65">
              <w:t>$</w:t>
            </w:r>
            <w:r w:rsidR="00916DCD">
              <w:rPr>
                <w:noProof/>
                <w:color w:val="000000"/>
                <w:highlight w:val="black"/>
              </w:rPr>
              <w:t>'''''''''''''''</w:t>
            </w:r>
          </w:p>
        </w:tc>
      </w:tr>
      <w:tr w:rsidR="001F3418" w:rsidRPr="00B07E65" w:rsidTr="006B3087">
        <w:trPr>
          <w:cantSplit/>
        </w:trPr>
        <w:tc>
          <w:tcPr>
            <w:tcW w:w="2552" w:type="dxa"/>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1F3418" w:rsidRPr="00B07E65" w:rsidRDefault="001F3418" w:rsidP="00151F4C">
            <w:pPr>
              <w:keepNext/>
              <w:keepLines/>
              <w:jc w:val="left"/>
              <w:rPr>
                <w:rFonts w:ascii="Arial Narrow" w:hAnsi="Arial Narrow"/>
                <w:b/>
                <w:sz w:val="20"/>
              </w:rPr>
            </w:pPr>
            <w:r w:rsidRPr="00B07E65">
              <w:rPr>
                <w:rFonts w:ascii="Arial Narrow" w:hAnsi="Arial Narrow"/>
                <w:b/>
                <w:sz w:val="20"/>
              </w:rPr>
              <w:t>Total cost SC MTX (DPMQ)</w:t>
            </w:r>
          </w:p>
        </w:tc>
        <w:tc>
          <w:tcPr>
            <w:tcW w:w="2834" w:type="dxa"/>
            <w:gridSpan w:val="2"/>
            <w:vMerge/>
            <w:tcBorders>
              <w:left w:val="double" w:sz="4" w:space="0" w:color="auto"/>
              <w:bottom w:val="single" w:sz="4" w:space="0" w:color="auto"/>
              <w:right w:val="double" w:sz="4" w:space="0" w:color="auto"/>
            </w:tcBorders>
            <w:shd w:val="clear" w:color="auto" w:fill="auto"/>
            <w:vAlign w:val="center"/>
          </w:tcPr>
          <w:p w:rsidR="001F3418" w:rsidRPr="00B07E65" w:rsidRDefault="001F3418" w:rsidP="00151F4C">
            <w:pPr>
              <w:keepNext/>
              <w:keepLines/>
              <w:jc w:val="center"/>
              <w:rPr>
                <w:rFonts w:ascii="Arial Narrow" w:hAnsi="Arial Narrow"/>
                <w:sz w:val="20"/>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1F3418" w:rsidRPr="00B07E65" w:rsidRDefault="007D5936" w:rsidP="00151F4C">
            <w:pPr>
              <w:pStyle w:val="Tabletext"/>
              <w:keepNext/>
              <w:keepLines/>
              <w:jc w:val="center"/>
            </w:pPr>
            <w:r w:rsidRPr="00B07E65">
              <w:t>-</w:t>
            </w:r>
          </w:p>
        </w:tc>
        <w:tc>
          <w:tcPr>
            <w:tcW w:w="1541" w:type="dxa"/>
            <w:tcBorders>
              <w:top w:val="single" w:sz="4" w:space="0" w:color="auto"/>
              <w:left w:val="single" w:sz="4" w:space="0" w:color="auto"/>
              <w:bottom w:val="single" w:sz="4" w:space="0" w:color="auto"/>
              <w:right w:val="single" w:sz="4" w:space="0" w:color="auto"/>
            </w:tcBorders>
          </w:tcPr>
          <w:p w:rsidR="001F3418" w:rsidRPr="00B07E65" w:rsidRDefault="001F3418" w:rsidP="00151F4C">
            <w:pPr>
              <w:pStyle w:val="Tabletext"/>
              <w:keepNext/>
              <w:keepLines/>
              <w:jc w:val="right"/>
              <w:rPr>
                <w:vertAlign w:val="superscript"/>
              </w:rPr>
            </w:pPr>
            <w:r w:rsidRPr="00B07E65">
              <w:t>$</w:t>
            </w:r>
            <w:r w:rsidR="00916DCD">
              <w:rPr>
                <w:noProof/>
                <w:color w:val="000000"/>
                <w:highlight w:val="black"/>
              </w:rPr>
              <w:t xml:space="preserve">'''''''''''''''' </w:t>
            </w:r>
            <w:r w:rsidRPr="00B07E65">
              <w:rPr>
                <w:vertAlign w:val="superscript"/>
              </w:rPr>
              <w:t xml:space="preserve"> </w:t>
            </w:r>
            <w:r w:rsidR="0093351B" w:rsidRPr="00B07E65">
              <w:rPr>
                <w:vertAlign w:val="superscript"/>
              </w:rPr>
              <w:t>d</w:t>
            </w:r>
          </w:p>
        </w:tc>
      </w:tr>
    </w:tbl>
    <w:p w:rsidR="001F3418" w:rsidRPr="00B07E65" w:rsidRDefault="001F3418" w:rsidP="00151F4C">
      <w:pPr>
        <w:keepNext/>
        <w:keepLines/>
        <w:ind w:firstLine="720"/>
        <w:rPr>
          <w:rFonts w:ascii="Arial Narrow" w:hAnsi="Arial Narrow"/>
          <w:sz w:val="18"/>
        </w:rPr>
      </w:pPr>
      <w:r w:rsidRPr="00B07E65">
        <w:rPr>
          <w:rFonts w:ascii="Arial Narrow" w:hAnsi="Arial Narrow"/>
          <w:sz w:val="18"/>
        </w:rPr>
        <w:t>Source: Tab</w:t>
      </w:r>
      <w:r w:rsidR="00ED7FA2" w:rsidRPr="00B07E65">
        <w:rPr>
          <w:rFonts w:ascii="Arial Narrow" w:hAnsi="Arial Narrow"/>
          <w:sz w:val="18"/>
        </w:rPr>
        <w:t>le 20, p</w:t>
      </w:r>
      <w:r w:rsidR="006C4C20" w:rsidRPr="00B07E65">
        <w:rPr>
          <w:rFonts w:ascii="Arial Narrow" w:hAnsi="Arial Narrow"/>
          <w:sz w:val="18"/>
        </w:rPr>
        <w:t>p</w:t>
      </w:r>
      <w:r w:rsidR="00ED7FA2" w:rsidRPr="00B07E65">
        <w:rPr>
          <w:rFonts w:ascii="Arial Narrow" w:hAnsi="Arial Narrow"/>
          <w:sz w:val="18"/>
        </w:rPr>
        <w:t xml:space="preserve">76-77 of the </w:t>
      </w:r>
      <w:r w:rsidR="005E1DC1" w:rsidRPr="00B07E65">
        <w:rPr>
          <w:rFonts w:ascii="Arial Narrow" w:hAnsi="Arial Narrow"/>
          <w:sz w:val="18"/>
        </w:rPr>
        <w:t>re</w:t>
      </w:r>
      <w:r w:rsidR="00ED7FA2" w:rsidRPr="00B07E65">
        <w:rPr>
          <w:rFonts w:ascii="Arial Narrow" w:hAnsi="Arial Narrow"/>
          <w:sz w:val="18"/>
        </w:rPr>
        <w:t>submission; and corrected during evaluation</w:t>
      </w:r>
    </w:p>
    <w:p w:rsidR="001F3418" w:rsidRPr="00B07E65" w:rsidRDefault="001F3418" w:rsidP="00151F4C">
      <w:pPr>
        <w:keepNext/>
        <w:keepLines/>
        <w:ind w:left="720"/>
        <w:rPr>
          <w:rFonts w:ascii="Arial Narrow" w:hAnsi="Arial Narrow"/>
          <w:sz w:val="18"/>
        </w:rPr>
      </w:pPr>
      <w:r w:rsidRPr="00B07E65">
        <w:rPr>
          <w:rFonts w:ascii="Arial Narrow" w:hAnsi="Arial Narrow"/>
          <w:sz w:val="18"/>
        </w:rPr>
        <w:t xml:space="preserve">AEMP = approved ex-manufacturer price; </w:t>
      </w:r>
      <w:r w:rsidR="00D244DD" w:rsidRPr="00B07E65">
        <w:rPr>
          <w:rFonts w:ascii="Arial Narrow" w:hAnsi="Arial Narrow"/>
          <w:sz w:val="18"/>
        </w:rPr>
        <w:t xml:space="preserve">AHI = Administration, Handling and Infrastructure; </w:t>
      </w:r>
      <w:r w:rsidRPr="00B07E65">
        <w:rPr>
          <w:rFonts w:ascii="Arial Narrow" w:hAnsi="Arial Narrow"/>
          <w:sz w:val="18"/>
        </w:rPr>
        <w:t xml:space="preserve">DPMQ = dispensed price for maximum quantity; GP = General practitioner; MBS = Medicare Benefits Schedule; MTX = methotrexate; NA = not applicable; PBS = Pharmaceutical Benefits Scheme; SC= subcutaneous </w:t>
      </w:r>
    </w:p>
    <w:p w:rsidR="001F3418" w:rsidRPr="00B07E65" w:rsidRDefault="001F3418" w:rsidP="00151F4C">
      <w:pPr>
        <w:keepNext/>
        <w:keepLines/>
        <w:ind w:firstLine="720"/>
        <w:rPr>
          <w:rFonts w:ascii="Arial Narrow" w:hAnsi="Arial Narrow"/>
          <w:sz w:val="18"/>
        </w:rPr>
      </w:pPr>
      <w:proofErr w:type="gramStart"/>
      <w:r w:rsidRPr="00B07E65">
        <w:rPr>
          <w:rFonts w:ascii="Arial Narrow" w:hAnsi="Arial Narrow"/>
          <w:sz w:val="18"/>
          <w:vertAlign w:val="superscript"/>
        </w:rPr>
        <w:t>a</w:t>
      </w:r>
      <w:proofErr w:type="gramEnd"/>
      <w:r w:rsidRPr="00B07E65">
        <w:rPr>
          <w:rFonts w:ascii="Arial Narrow" w:hAnsi="Arial Narrow"/>
          <w:sz w:val="18"/>
        </w:rPr>
        <w:t xml:space="preserve"> 4 weeks</w:t>
      </w:r>
    </w:p>
    <w:p w:rsidR="001F3418" w:rsidRPr="00B07E65" w:rsidRDefault="001F3418" w:rsidP="00151F4C">
      <w:pPr>
        <w:keepNext/>
        <w:keepLines/>
        <w:ind w:firstLine="720"/>
        <w:rPr>
          <w:rFonts w:ascii="Arial Narrow" w:hAnsi="Arial Narrow"/>
          <w:sz w:val="18"/>
        </w:rPr>
      </w:pPr>
      <w:proofErr w:type="gramStart"/>
      <w:r w:rsidRPr="00B07E65">
        <w:rPr>
          <w:rFonts w:ascii="Arial Narrow" w:hAnsi="Arial Narrow"/>
          <w:sz w:val="18"/>
          <w:vertAlign w:val="superscript"/>
        </w:rPr>
        <w:t>b</w:t>
      </w:r>
      <w:proofErr w:type="gramEnd"/>
      <w:r w:rsidRPr="00B07E65">
        <w:rPr>
          <w:rFonts w:ascii="Arial Narrow" w:hAnsi="Arial Narrow"/>
          <w:sz w:val="18"/>
        </w:rPr>
        <w:t xml:space="preserve"> Calculated as $37.05 (MBS fee) ×</w:t>
      </w:r>
      <w:r w:rsidR="0093351B" w:rsidRPr="00B07E65">
        <w:rPr>
          <w:rFonts w:ascii="Arial Narrow" w:hAnsi="Arial Narrow"/>
          <w:sz w:val="18"/>
        </w:rPr>
        <w:t xml:space="preserve"> </w:t>
      </w:r>
      <w:r w:rsidRPr="00B07E65">
        <w:rPr>
          <w:rFonts w:ascii="Arial Narrow" w:hAnsi="Arial Narrow"/>
          <w:sz w:val="18"/>
        </w:rPr>
        <w:t xml:space="preserve">90% per dose </w:t>
      </w:r>
      <w:r w:rsidR="0093351B" w:rsidRPr="00B07E65">
        <w:rPr>
          <w:rFonts w:ascii="Arial Narrow" w:hAnsi="Arial Narrow"/>
          <w:sz w:val="18"/>
        </w:rPr>
        <w:t>+ $0.25/injection for needles and syringes</w:t>
      </w:r>
      <w:r w:rsidR="006C4C20" w:rsidRPr="00B07E65">
        <w:rPr>
          <w:rFonts w:ascii="Arial Narrow" w:hAnsi="Arial Narrow"/>
          <w:sz w:val="18"/>
        </w:rPr>
        <w:t>.</w:t>
      </w:r>
    </w:p>
    <w:p w:rsidR="0093351B" w:rsidRPr="00B07E65" w:rsidRDefault="0093351B" w:rsidP="00151F4C">
      <w:pPr>
        <w:keepNext/>
        <w:keepLines/>
        <w:ind w:firstLine="720"/>
        <w:rPr>
          <w:rFonts w:ascii="Arial Narrow" w:hAnsi="Arial Narrow"/>
          <w:sz w:val="18"/>
        </w:rPr>
      </w:pPr>
      <w:proofErr w:type="gramStart"/>
      <w:r w:rsidRPr="00B07E65">
        <w:rPr>
          <w:rFonts w:ascii="Arial Narrow" w:hAnsi="Arial Narrow"/>
          <w:sz w:val="18"/>
          <w:vertAlign w:val="superscript"/>
        </w:rPr>
        <w:t>c</w:t>
      </w:r>
      <w:proofErr w:type="gramEnd"/>
      <w:r w:rsidRPr="00B07E65">
        <w:rPr>
          <w:rFonts w:ascii="Arial Narrow" w:hAnsi="Arial Narrow"/>
          <w:sz w:val="18"/>
        </w:rPr>
        <w:t xml:space="preserve"> Derived by subtracting the SC MTX administration cost per dose ($</w:t>
      </w:r>
      <w:r w:rsidR="00916DCD">
        <w:rPr>
          <w:rFonts w:ascii="Arial Narrow" w:hAnsi="Arial Narrow"/>
          <w:noProof/>
          <w:color w:val="000000"/>
          <w:sz w:val="18"/>
          <w:highlight w:val="black"/>
        </w:rPr>
        <w:t>''''''''''</w:t>
      </w:r>
      <w:r w:rsidRPr="00B07E65">
        <w:rPr>
          <w:rFonts w:ascii="Arial Narrow" w:hAnsi="Arial Narrow"/>
          <w:sz w:val="18"/>
        </w:rPr>
        <w:t>) from the total cost of MTX vial ($</w:t>
      </w:r>
      <w:r w:rsidR="00916DCD">
        <w:rPr>
          <w:rFonts w:ascii="Arial Narrow" w:hAnsi="Arial Narrow"/>
          <w:noProof/>
          <w:color w:val="000000"/>
          <w:sz w:val="18"/>
          <w:highlight w:val="black"/>
        </w:rPr>
        <w:t>'''''''''''''</w:t>
      </w:r>
      <w:r w:rsidRPr="00B07E65">
        <w:rPr>
          <w:rFonts w:ascii="Arial Narrow" w:hAnsi="Arial Narrow"/>
          <w:sz w:val="18"/>
        </w:rPr>
        <w:t>)</w:t>
      </w:r>
      <w:r w:rsidR="006C4C20" w:rsidRPr="00B07E65">
        <w:rPr>
          <w:rFonts w:ascii="Arial Narrow" w:hAnsi="Arial Narrow"/>
          <w:sz w:val="18"/>
        </w:rPr>
        <w:t>.</w:t>
      </w:r>
    </w:p>
    <w:p w:rsidR="001F3418" w:rsidRPr="00B07E65" w:rsidRDefault="0093351B" w:rsidP="00151F4C">
      <w:pPr>
        <w:keepNext/>
        <w:keepLines/>
        <w:ind w:left="720"/>
        <w:rPr>
          <w:rFonts w:ascii="Arial Narrow" w:hAnsi="Arial Narrow"/>
          <w:sz w:val="18"/>
        </w:rPr>
      </w:pPr>
      <w:proofErr w:type="gramStart"/>
      <w:r w:rsidRPr="00B07E65">
        <w:rPr>
          <w:rFonts w:ascii="Arial Narrow" w:hAnsi="Arial Narrow"/>
          <w:sz w:val="18"/>
          <w:vertAlign w:val="superscript"/>
        </w:rPr>
        <w:t>d</w:t>
      </w:r>
      <w:proofErr w:type="gramEnd"/>
      <w:r w:rsidR="001F3418" w:rsidRPr="00B07E65">
        <w:rPr>
          <w:rFonts w:ascii="Arial Narrow" w:hAnsi="Arial Narrow"/>
          <w:sz w:val="18"/>
        </w:rPr>
        <w:t xml:space="preserve"> Corrected during evaluation, using Tier 1 AHI fees. The DPMQ includes a wholesale mark-up of 7.52%; plus Tier 1 AHI of $3.54 per prescription plus dispensing fee of $7.02 per prescription</w:t>
      </w:r>
      <w:r w:rsidR="006C4C20" w:rsidRPr="00B07E65">
        <w:rPr>
          <w:rFonts w:ascii="Arial Narrow" w:hAnsi="Arial Narrow"/>
          <w:sz w:val="18"/>
        </w:rPr>
        <w:t>.</w:t>
      </w:r>
    </w:p>
    <w:p w:rsidR="005B47EC" w:rsidRPr="00B07E65" w:rsidRDefault="005B47EC" w:rsidP="005B47EC">
      <w:pPr>
        <w:pStyle w:val="TableFooter"/>
        <w:rPr>
          <w:rFonts w:ascii="Arial" w:hAnsi="Arial"/>
          <w:sz w:val="22"/>
        </w:rPr>
      </w:pPr>
    </w:p>
    <w:p w:rsidR="00760F27" w:rsidRPr="00B07E65" w:rsidRDefault="00A221FC" w:rsidP="00271C16">
      <w:pPr>
        <w:pStyle w:val="ListParagraph"/>
        <w:widowControl/>
        <w:numPr>
          <w:ilvl w:val="1"/>
          <w:numId w:val="1"/>
        </w:numPr>
        <w:rPr>
          <w:szCs w:val="22"/>
        </w:rPr>
      </w:pPr>
      <w:r w:rsidRPr="00B07E65">
        <w:t>The results of s</w:t>
      </w:r>
      <w:r w:rsidR="00760F27" w:rsidRPr="00B07E65">
        <w:t>ensitivity analyses un</w:t>
      </w:r>
      <w:r w:rsidRPr="00B07E65">
        <w:t xml:space="preserve">dertaken during the evaluation </w:t>
      </w:r>
      <w:r w:rsidR="00A94EB8" w:rsidRPr="00B07E65">
        <w:t>are presented in Table </w:t>
      </w:r>
      <w:r w:rsidR="00D270E0" w:rsidRPr="00B07E65">
        <w:t>8</w:t>
      </w:r>
      <w:r w:rsidR="00A879BA" w:rsidRPr="00B07E65">
        <w:t xml:space="preserve">. </w:t>
      </w:r>
    </w:p>
    <w:p w:rsidR="00A879BA" w:rsidRPr="00B07E65" w:rsidRDefault="00A879BA" w:rsidP="00A879BA">
      <w:pPr>
        <w:pStyle w:val="ListParagraph"/>
        <w:rPr>
          <w:szCs w:val="22"/>
        </w:rPr>
      </w:pPr>
    </w:p>
    <w:p w:rsidR="00A879BA" w:rsidRPr="00B07E65" w:rsidRDefault="00A879BA" w:rsidP="006C299C">
      <w:pPr>
        <w:keepNext/>
        <w:keepLines/>
        <w:snapToGrid w:val="0"/>
        <w:ind w:left="709"/>
        <w:jc w:val="left"/>
        <w:rPr>
          <w:rFonts w:ascii="Arial Narrow" w:hAnsi="Arial Narrow"/>
          <w:b/>
          <w:snapToGrid/>
          <w:sz w:val="20"/>
          <w:szCs w:val="16"/>
        </w:rPr>
      </w:pPr>
      <w:r w:rsidRPr="00B07E65">
        <w:rPr>
          <w:rFonts w:ascii="Arial Narrow" w:hAnsi="Arial Narrow"/>
          <w:b/>
          <w:snapToGrid/>
          <w:sz w:val="20"/>
          <w:szCs w:val="16"/>
        </w:rPr>
        <w:t xml:space="preserve">Table </w:t>
      </w:r>
      <w:r w:rsidR="00D270E0" w:rsidRPr="00B07E65">
        <w:rPr>
          <w:rFonts w:ascii="Arial Narrow" w:hAnsi="Arial Narrow"/>
          <w:b/>
          <w:snapToGrid/>
          <w:sz w:val="20"/>
          <w:szCs w:val="16"/>
        </w:rPr>
        <w:t>8</w:t>
      </w:r>
      <w:r w:rsidRPr="00B07E65">
        <w:rPr>
          <w:rFonts w:ascii="Arial Narrow" w:hAnsi="Arial Narrow"/>
          <w:b/>
          <w:snapToGrid/>
          <w:sz w:val="20"/>
          <w:szCs w:val="16"/>
        </w:rPr>
        <w:t>: Results of sensitivity analyses</w:t>
      </w:r>
      <w:r w:rsidR="00923130" w:rsidRPr="00B07E65">
        <w:rPr>
          <w:rFonts w:ascii="Arial Narrow" w:hAnsi="Arial Narrow"/>
          <w:b/>
          <w:snapToGrid/>
          <w:sz w:val="20"/>
          <w:szCs w:val="16"/>
        </w:rPr>
        <w:t xml:space="preserve"> undertaken during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28"/>
        <w:gridCol w:w="1117"/>
      </w:tblGrid>
      <w:tr w:rsidR="00A879BA" w:rsidRPr="00B07E65" w:rsidTr="006B3087">
        <w:trPr>
          <w:tblHeader/>
        </w:trPr>
        <w:tc>
          <w:tcPr>
            <w:tcW w:w="4331"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left"/>
              <w:rPr>
                <w:rFonts w:ascii="Arial Narrow" w:hAnsi="Arial Narrow"/>
                <w:snapToGrid/>
                <w:sz w:val="20"/>
              </w:rPr>
            </w:pPr>
            <w:r w:rsidRPr="00B07E65">
              <w:rPr>
                <w:rFonts w:ascii="Arial Narrow" w:hAnsi="Arial Narrow"/>
                <w:b/>
                <w:snapToGrid/>
                <w:sz w:val="20"/>
              </w:rPr>
              <w:t>Sensitivity analyses</w:t>
            </w:r>
          </w:p>
        </w:tc>
        <w:tc>
          <w:tcPr>
            <w:tcW w:w="669"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center"/>
              <w:rPr>
                <w:rFonts w:ascii="Arial Narrow" w:hAnsi="Arial Narrow"/>
                <w:snapToGrid/>
                <w:sz w:val="20"/>
              </w:rPr>
            </w:pPr>
            <w:r w:rsidRPr="00B07E65">
              <w:rPr>
                <w:rFonts w:ascii="Arial Narrow" w:hAnsi="Arial Narrow"/>
                <w:b/>
                <w:snapToGrid/>
                <w:sz w:val="20"/>
              </w:rPr>
              <w:t>DPMQ</w:t>
            </w:r>
          </w:p>
        </w:tc>
      </w:tr>
      <w:tr w:rsidR="00A879BA" w:rsidRPr="00B07E65" w:rsidTr="006B3087">
        <w:tc>
          <w:tcPr>
            <w:tcW w:w="4331"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left"/>
              <w:rPr>
                <w:rFonts w:ascii="Arial Narrow" w:hAnsi="Arial Narrow"/>
                <w:snapToGrid/>
                <w:sz w:val="20"/>
              </w:rPr>
            </w:pPr>
            <w:r w:rsidRPr="00B07E65">
              <w:rPr>
                <w:rFonts w:ascii="Arial Narrow" w:hAnsi="Arial Narrow"/>
                <w:snapToGrid/>
                <w:sz w:val="20"/>
              </w:rPr>
              <w:t>Base case</w:t>
            </w:r>
          </w:p>
        </w:tc>
        <w:tc>
          <w:tcPr>
            <w:tcW w:w="669"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right"/>
              <w:rPr>
                <w:rFonts w:ascii="Arial Narrow" w:hAnsi="Arial Narrow"/>
                <w:snapToGrid/>
                <w:sz w:val="20"/>
              </w:rPr>
            </w:pPr>
            <w:r w:rsidRPr="00B07E65">
              <w:rPr>
                <w:rFonts w:ascii="Arial Narrow" w:hAnsi="Arial Narrow"/>
                <w:snapToGrid/>
                <w:sz w:val="20"/>
              </w:rPr>
              <w:t>$</w:t>
            </w:r>
            <w:r w:rsidR="00916DCD">
              <w:rPr>
                <w:rFonts w:ascii="Arial Narrow" w:hAnsi="Arial Narrow"/>
                <w:noProof/>
                <w:snapToGrid/>
                <w:color w:val="000000"/>
                <w:sz w:val="20"/>
                <w:highlight w:val="black"/>
              </w:rPr>
              <w:t>'''''''''''''''''</w:t>
            </w:r>
            <w:r w:rsidRPr="00B07E65">
              <w:rPr>
                <w:rFonts w:ascii="Arial Narrow" w:hAnsi="Arial Narrow"/>
                <w:snapToGrid/>
                <w:sz w:val="20"/>
              </w:rPr>
              <w:t xml:space="preserve"> </w:t>
            </w:r>
            <w:r w:rsidRPr="00B07E65">
              <w:rPr>
                <w:rFonts w:ascii="Arial Narrow" w:hAnsi="Arial Narrow"/>
                <w:snapToGrid/>
                <w:sz w:val="20"/>
                <w:vertAlign w:val="superscript"/>
              </w:rPr>
              <w:t>a</w:t>
            </w:r>
          </w:p>
        </w:tc>
      </w:tr>
      <w:tr w:rsidR="00A879BA" w:rsidRPr="00B07E65" w:rsidTr="00A12A5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60612">
            <w:pPr>
              <w:keepNext/>
              <w:keepLines/>
              <w:snapToGrid w:val="0"/>
              <w:jc w:val="left"/>
              <w:rPr>
                <w:rFonts w:ascii="Arial Narrow" w:hAnsi="Arial Narrow"/>
                <w:b/>
                <w:snapToGrid/>
                <w:sz w:val="20"/>
              </w:rPr>
            </w:pPr>
            <w:r w:rsidRPr="00B07E65">
              <w:rPr>
                <w:rFonts w:ascii="Arial Narrow" w:hAnsi="Arial Narrow"/>
                <w:b/>
                <w:snapToGrid/>
                <w:sz w:val="20"/>
              </w:rPr>
              <w:t>% self-</w:t>
            </w:r>
            <w:r w:rsidR="00660612" w:rsidRPr="00B07E65">
              <w:rPr>
                <w:rFonts w:ascii="Arial Narrow" w:hAnsi="Arial Narrow"/>
                <w:b/>
                <w:snapToGrid/>
                <w:sz w:val="20"/>
              </w:rPr>
              <w:t>injection</w:t>
            </w:r>
          </w:p>
        </w:tc>
      </w:tr>
      <w:tr w:rsidR="00A879BA" w:rsidRPr="00B07E65" w:rsidTr="006B3087">
        <w:tc>
          <w:tcPr>
            <w:tcW w:w="4331"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60612">
            <w:pPr>
              <w:keepNext/>
              <w:keepLines/>
              <w:snapToGrid w:val="0"/>
              <w:jc w:val="left"/>
              <w:rPr>
                <w:rFonts w:ascii="Arial Narrow" w:hAnsi="Arial Narrow"/>
                <w:snapToGrid/>
                <w:sz w:val="20"/>
              </w:rPr>
            </w:pPr>
            <w:r w:rsidRPr="00B07E65">
              <w:rPr>
                <w:rFonts w:ascii="Arial Narrow" w:hAnsi="Arial Narrow"/>
                <w:snapToGrid/>
                <w:sz w:val="20"/>
              </w:rPr>
              <w:t>0% self</w:t>
            </w:r>
            <w:r w:rsidRPr="00B07E65">
              <w:rPr>
                <w:rFonts w:ascii="Arial Narrow" w:hAnsi="Arial Narrow"/>
                <w:snapToGrid/>
                <w:sz w:val="20"/>
              </w:rPr>
              <w:noBreakHyphen/>
            </w:r>
            <w:r w:rsidR="00660612" w:rsidRPr="00B07E65">
              <w:rPr>
                <w:rFonts w:ascii="Arial Narrow" w:hAnsi="Arial Narrow"/>
                <w:snapToGrid/>
                <w:sz w:val="20"/>
              </w:rPr>
              <w:t xml:space="preserve">injection </w:t>
            </w:r>
            <w:r w:rsidRPr="00B07E65">
              <w:rPr>
                <w:rFonts w:ascii="Arial Narrow" w:hAnsi="Arial Narrow"/>
                <w:snapToGrid/>
                <w:sz w:val="20"/>
              </w:rPr>
              <w:t>of glass vials (Base case = 10%)</w:t>
            </w:r>
          </w:p>
        </w:tc>
        <w:tc>
          <w:tcPr>
            <w:tcW w:w="669"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right"/>
              <w:rPr>
                <w:rFonts w:ascii="Arial Narrow" w:hAnsi="Arial Narrow"/>
                <w:snapToGrid/>
                <w:sz w:val="20"/>
                <w:vertAlign w:val="superscript"/>
              </w:rPr>
            </w:pPr>
            <w:r w:rsidRPr="00B07E65">
              <w:rPr>
                <w:rFonts w:ascii="Arial Narrow" w:hAnsi="Arial Narrow"/>
                <w:snapToGrid/>
                <w:sz w:val="20"/>
              </w:rPr>
              <w:t>$</w:t>
            </w:r>
            <w:r w:rsidR="00916DCD">
              <w:rPr>
                <w:rFonts w:ascii="Arial Narrow" w:hAnsi="Arial Narrow"/>
                <w:noProof/>
                <w:snapToGrid/>
                <w:color w:val="000000"/>
                <w:sz w:val="20"/>
                <w:highlight w:val="black"/>
              </w:rPr>
              <w:t>''''''''''''''''</w:t>
            </w:r>
          </w:p>
        </w:tc>
      </w:tr>
      <w:tr w:rsidR="00054F2B" w:rsidRPr="00B07E65" w:rsidTr="006B3087">
        <w:tc>
          <w:tcPr>
            <w:tcW w:w="4331" w:type="pct"/>
            <w:tcBorders>
              <w:top w:val="single" w:sz="4" w:space="0" w:color="auto"/>
              <w:left w:val="single" w:sz="4" w:space="0" w:color="auto"/>
              <w:bottom w:val="single" w:sz="4" w:space="0" w:color="auto"/>
              <w:right w:val="single" w:sz="4" w:space="0" w:color="auto"/>
            </w:tcBorders>
            <w:vAlign w:val="center"/>
          </w:tcPr>
          <w:p w:rsidR="00054F2B" w:rsidRPr="00B07E65" w:rsidRDefault="00054F2B" w:rsidP="00660612">
            <w:pPr>
              <w:keepNext/>
              <w:keepLines/>
              <w:jc w:val="left"/>
              <w:rPr>
                <w:rFonts w:ascii="Arial Narrow" w:hAnsi="Arial Narrow"/>
                <w:sz w:val="20"/>
              </w:rPr>
            </w:pPr>
            <w:r w:rsidRPr="00B07E65">
              <w:rPr>
                <w:rFonts w:ascii="Arial Narrow" w:hAnsi="Arial Narrow"/>
                <w:sz w:val="20"/>
              </w:rPr>
              <w:t>80% self-</w:t>
            </w:r>
            <w:r w:rsidR="00660612" w:rsidRPr="00B07E65">
              <w:rPr>
                <w:rFonts w:ascii="Arial Narrow" w:hAnsi="Arial Narrow"/>
                <w:sz w:val="20"/>
              </w:rPr>
              <w:t xml:space="preserve">injection </w:t>
            </w:r>
            <w:r w:rsidRPr="00B07E65">
              <w:rPr>
                <w:rFonts w:ascii="Arial Narrow" w:hAnsi="Arial Narrow"/>
                <w:sz w:val="20"/>
              </w:rPr>
              <w:t xml:space="preserve">of SC methotrexate (38% of clinicians surveyed estimated that </w:t>
            </w:r>
            <w:r w:rsidR="00A221FC" w:rsidRPr="00B07E65">
              <w:rPr>
                <w:rFonts w:ascii="Arial Narrow" w:hAnsi="Arial Narrow"/>
                <w:sz w:val="20"/>
              </w:rPr>
              <w:t>≤</w:t>
            </w:r>
            <w:r w:rsidR="006B3087" w:rsidRPr="00B07E65">
              <w:rPr>
                <w:rFonts w:ascii="Arial Narrow" w:hAnsi="Arial Narrow"/>
                <w:sz w:val="20"/>
              </w:rPr>
              <w:t xml:space="preserve"> </w:t>
            </w:r>
            <w:r w:rsidRPr="00B07E65">
              <w:rPr>
                <w:rFonts w:ascii="Arial Narrow" w:hAnsi="Arial Narrow"/>
                <w:sz w:val="20"/>
              </w:rPr>
              <w:t xml:space="preserve">80% patients would be likely to self-inject) (Base case = 85.5%)  </w:t>
            </w:r>
          </w:p>
        </w:tc>
        <w:tc>
          <w:tcPr>
            <w:tcW w:w="669" w:type="pct"/>
            <w:tcBorders>
              <w:top w:val="single" w:sz="4" w:space="0" w:color="auto"/>
              <w:left w:val="single" w:sz="4" w:space="0" w:color="auto"/>
              <w:bottom w:val="single" w:sz="4" w:space="0" w:color="auto"/>
              <w:right w:val="single" w:sz="4" w:space="0" w:color="auto"/>
            </w:tcBorders>
            <w:vAlign w:val="center"/>
          </w:tcPr>
          <w:p w:rsidR="00054F2B" w:rsidRPr="00B07E65" w:rsidRDefault="00054F2B" w:rsidP="006C299C">
            <w:pPr>
              <w:keepNext/>
              <w:keepLines/>
              <w:jc w:val="right"/>
              <w:rPr>
                <w:rFonts w:ascii="Arial Narrow" w:hAnsi="Arial Narrow"/>
                <w:sz w:val="20"/>
              </w:rPr>
            </w:pPr>
            <w:r w:rsidRPr="00B07E65">
              <w:rPr>
                <w:rFonts w:ascii="Arial Narrow" w:hAnsi="Arial Narrow"/>
                <w:sz w:val="20"/>
              </w:rPr>
              <w:t>$</w:t>
            </w:r>
            <w:r w:rsidR="00916DCD">
              <w:rPr>
                <w:rFonts w:ascii="Arial Narrow" w:hAnsi="Arial Narrow"/>
                <w:noProof/>
                <w:color w:val="000000"/>
                <w:sz w:val="20"/>
                <w:highlight w:val="black"/>
              </w:rPr>
              <w:t>'''''''''''''''''</w:t>
            </w:r>
          </w:p>
        </w:tc>
      </w:tr>
      <w:tr w:rsidR="00A879BA" w:rsidRPr="00B07E65" w:rsidTr="006B3087">
        <w:tc>
          <w:tcPr>
            <w:tcW w:w="4331"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B66984">
            <w:pPr>
              <w:keepNext/>
              <w:keepLines/>
              <w:snapToGrid w:val="0"/>
              <w:jc w:val="left"/>
              <w:rPr>
                <w:rFonts w:ascii="Arial Narrow" w:hAnsi="Arial Narrow"/>
                <w:snapToGrid/>
                <w:sz w:val="20"/>
              </w:rPr>
            </w:pPr>
            <w:r w:rsidRPr="00B07E65">
              <w:rPr>
                <w:rFonts w:ascii="Arial Narrow" w:hAnsi="Arial Narrow"/>
                <w:snapToGrid/>
                <w:sz w:val="20"/>
              </w:rPr>
              <w:t>70% self-</w:t>
            </w:r>
            <w:r w:rsidR="00B66984" w:rsidRPr="00B07E65">
              <w:rPr>
                <w:rFonts w:ascii="Arial Narrow" w:hAnsi="Arial Narrow"/>
                <w:snapToGrid/>
                <w:sz w:val="20"/>
              </w:rPr>
              <w:t xml:space="preserve">injection </w:t>
            </w:r>
            <w:r w:rsidRPr="00B07E65">
              <w:rPr>
                <w:rFonts w:ascii="Arial Narrow" w:hAnsi="Arial Narrow"/>
                <w:snapToGrid/>
                <w:sz w:val="20"/>
              </w:rPr>
              <w:t xml:space="preserve">of </w:t>
            </w:r>
            <w:r w:rsidR="00E60B87" w:rsidRPr="00B07E65">
              <w:rPr>
                <w:rFonts w:ascii="Arial Narrow" w:hAnsi="Arial Narrow"/>
                <w:snapToGrid/>
                <w:sz w:val="20"/>
              </w:rPr>
              <w:t>SC methotrexate</w:t>
            </w:r>
            <w:r w:rsidRPr="00B07E65">
              <w:rPr>
                <w:rFonts w:ascii="Arial Narrow" w:hAnsi="Arial Narrow"/>
                <w:snapToGrid/>
                <w:sz w:val="20"/>
              </w:rPr>
              <w:t xml:space="preserve"> (Base case =</w:t>
            </w:r>
            <w:r w:rsidR="00D1263F" w:rsidRPr="00B07E65">
              <w:rPr>
                <w:rFonts w:ascii="Arial Narrow" w:hAnsi="Arial Narrow"/>
                <w:snapToGrid/>
                <w:sz w:val="20"/>
              </w:rPr>
              <w:t xml:space="preserve"> </w:t>
            </w:r>
            <w:r w:rsidRPr="00B07E65">
              <w:rPr>
                <w:rFonts w:ascii="Arial Narrow" w:hAnsi="Arial Narrow"/>
                <w:snapToGrid/>
                <w:sz w:val="20"/>
              </w:rPr>
              <w:t xml:space="preserve">85.5%)  </w:t>
            </w:r>
          </w:p>
        </w:tc>
        <w:tc>
          <w:tcPr>
            <w:tcW w:w="669"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right"/>
              <w:rPr>
                <w:rFonts w:ascii="Arial Narrow" w:hAnsi="Arial Narrow"/>
                <w:snapToGrid/>
                <w:sz w:val="20"/>
              </w:rPr>
            </w:pPr>
            <w:r w:rsidRPr="00B07E65">
              <w:rPr>
                <w:rFonts w:ascii="Arial Narrow" w:hAnsi="Arial Narrow"/>
                <w:snapToGrid/>
                <w:sz w:val="20"/>
              </w:rPr>
              <w:t>$</w:t>
            </w:r>
            <w:r w:rsidR="00916DCD">
              <w:rPr>
                <w:rFonts w:ascii="Arial Narrow" w:hAnsi="Arial Narrow"/>
                <w:noProof/>
                <w:snapToGrid/>
                <w:color w:val="000000"/>
                <w:sz w:val="20"/>
                <w:highlight w:val="black"/>
              </w:rPr>
              <w:t>'''''''''''''''</w:t>
            </w:r>
          </w:p>
        </w:tc>
      </w:tr>
      <w:tr w:rsidR="00A879BA" w:rsidRPr="00B07E65" w:rsidTr="00A12A5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widowControl/>
              <w:jc w:val="left"/>
              <w:rPr>
                <w:rFonts w:ascii="Arial Narrow" w:hAnsi="Arial Narrow" w:cs="Times New Roman"/>
                <w:b/>
                <w:snapToGrid/>
                <w:sz w:val="20"/>
              </w:rPr>
            </w:pPr>
            <w:r w:rsidRPr="00B07E65">
              <w:rPr>
                <w:rFonts w:ascii="Arial Narrow" w:hAnsi="Arial Narrow" w:cs="Times New Roman"/>
                <w:b/>
                <w:snapToGrid/>
                <w:sz w:val="20"/>
              </w:rPr>
              <w:t>MBS item for methotrexate administration</w:t>
            </w:r>
          </w:p>
        </w:tc>
      </w:tr>
      <w:tr w:rsidR="00A879BA" w:rsidRPr="00B07E65" w:rsidTr="006B3087">
        <w:tc>
          <w:tcPr>
            <w:tcW w:w="4331"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A879BA" w:rsidP="006C299C">
            <w:pPr>
              <w:keepNext/>
              <w:keepLines/>
              <w:snapToGrid w:val="0"/>
              <w:jc w:val="left"/>
              <w:rPr>
                <w:rFonts w:ascii="Arial Narrow" w:hAnsi="Arial Narrow"/>
                <w:snapToGrid/>
                <w:sz w:val="20"/>
              </w:rPr>
            </w:pPr>
            <w:r w:rsidRPr="00B07E65">
              <w:rPr>
                <w:rFonts w:ascii="Arial Narrow" w:hAnsi="Arial Narrow"/>
                <w:snapToGrid/>
                <w:sz w:val="20"/>
              </w:rPr>
              <w:t>85% of consults for methotrexate administration only, with remainder administered by practice nurse or as part of another consult (Base case = 100%</w:t>
            </w:r>
            <w:r w:rsidR="00EE1C35" w:rsidRPr="00B07E65">
              <w:rPr>
                <w:rFonts w:ascii="Arial Narrow" w:hAnsi="Arial Narrow"/>
                <w:snapToGrid/>
                <w:sz w:val="20"/>
              </w:rPr>
              <w:t xml:space="preserve"> of patients who do not self-inject require a GP consult for each weekly administration</w:t>
            </w:r>
            <w:r w:rsidRPr="00B07E65">
              <w:rPr>
                <w:rFonts w:ascii="Arial Narrow" w:hAnsi="Arial Narrow"/>
                <w:snapToGrid/>
                <w:sz w:val="20"/>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A879BA" w:rsidRPr="00B07E65" w:rsidRDefault="00CB6166" w:rsidP="00540E74">
            <w:pPr>
              <w:keepNext/>
              <w:keepLines/>
              <w:widowControl/>
              <w:jc w:val="right"/>
              <w:rPr>
                <w:rFonts w:ascii="Arial Narrow" w:hAnsi="Arial Narrow" w:cs="Times New Roman"/>
                <w:snapToGrid/>
                <w:sz w:val="20"/>
                <w:vertAlign w:val="superscript"/>
              </w:rPr>
            </w:pPr>
            <w:r w:rsidRPr="00B07E65">
              <w:rPr>
                <w:rFonts w:ascii="Arial Narrow" w:hAnsi="Arial Narrow" w:cs="Times New Roman"/>
                <w:snapToGrid/>
                <w:sz w:val="20"/>
              </w:rPr>
              <w:t>$</w:t>
            </w:r>
            <w:r w:rsidR="00916DCD">
              <w:rPr>
                <w:rFonts w:ascii="Arial Narrow" w:hAnsi="Arial Narrow" w:cs="Times New Roman"/>
                <w:noProof/>
                <w:snapToGrid/>
                <w:color w:val="000000"/>
                <w:sz w:val="20"/>
                <w:highlight w:val="black"/>
              </w:rPr>
              <w:t>''''''''''''''''</w:t>
            </w:r>
            <w:r w:rsidRPr="00B07E65">
              <w:rPr>
                <w:rFonts w:ascii="Arial Narrow" w:hAnsi="Arial Narrow" w:cs="Times New Roman"/>
                <w:snapToGrid/>
                <w:sz w:val="20"/>
              </w:rPr>
              <w:t xml:space="preserve"> </w:t>
            </w:r>
            <w:r w:rsidRPr="00B07E65">
              <w:rPr>
                <w:rFonts w:ascii="Arial Narrow" w:hAnsi="Arial Narrow" w:cs="Times New Roman"/>
                <w:snapToGrid/>
                <w:sz w:val="20"/>
                <w:vertAlign w:val="superscript"/>
              </w:rPr>
              <w:t>b</w:t>
            </w:r>
          </w:p>
        </w:tc>
      </w:tr>
    </w:tbl>
    <w:p w:rsidR="00A879BA" w:rsidRPr="00B07E65" w:rsidRDefault="00A879BA" w:rsidP="006C299C">
      <w:pPr>
        <w:keepNext/>
        <w:keepLines/>
        <w:snapToGrid w:val="0"/>
        <w:ind w:left="709"/>
        <w:rPr>
          <w:rFonts w:ascii="Arial Narrow" w:hAnsi="Arial Narrow"/>
          <w:snapToGrid/>
          <w:sz w:val="18"/>
        </w:rPr>
      </w:pPr>
      <w:r w:rsidRPr="00B07E65">
        <w:rPr>
          <w:rFonts w:ascii="Arial Narrow" w:hAnsi="Arial Narrow"/>
          <w:snapToGrid/>
          <w:sz w:val="18"/>
        </w:rPr>
        <w:t>Source: Section D spreadsheet</w:t>
      </w:r>
      <w:r w:rsidR="00F003D0" w:rsidRPr="00B07E65">
        <w:rPr>
          <w:rFonts w:ascii="Arial Narrow" w:hAnsi="Arial Narrow"/>
          <w:snapToGrid/>
          <w:sz w:val="18"/>
        </w:rPr>
        <w:t>; and</w:t>
      </w:r>
      <w:r w:rsidRPr="00B07E65">
        <w:rPr>
          <w:rFonts w:ascii="Arial Narrow" w:hAnsi="Arial Narrow"/>
          <w:snapToGrid/>
          <w:sz w:val="18"/>
        </w:rPr>
        <w:t xml:space="preserve"> calculated during the evaluation</w:t>
      </w:r>
    </w:p>
    <w:p w:rsidR="00A879BA" w:rsidRPr="00B07E65" w:rsidRDefault="00A879BA" w:rsidP="006C299C">
      <w:pPr>
        <w:keepNext/>
        <w:keepLines/>
        <w:snapToGrid w:val="0"/>
        <w:ind w:left="709"/>
        <w:rPr>
          <w:rFonts w:ascii="Arial Narrow" w:hAnsi="Arial Narrow"/>
          <w:snapToGrid/>
          <w:sz w:val="18"/>
        </w:rPr>
      </w:pPr>
      <w:r w:rsidRPr="00B07E65">
        <w:rPr>
          <w:rFonts w:ascii="Arial Narrow" w:hAnsi="Arial Narrow"/>
          <w:snapToGrid/>
          <w:sz w:val="18"/>
        </w:rPr>
        <w:t xml:space="preserve">DPMQ = dispensed price </w:t>
      </w:r>
      <w:r w:rsidR="006B3087" w:rsidRPr="00B07E65">
        <w:rPr>
          <w:rFonts w:ascii="Arial Narrow" w:hAnsi="Arial Narrow"/>
          <w:snapToGrid/>
          <w:sz w:val="18"/>
        </w:rPr>
        <w:t xml:space="preserve">for </w:t>
      </w:r>
      <w:r w:rsidRPr="00B07E65">
        <w:rPr>
          <w:rFonts w:ascii="Arial Narrow" w:hAnsi="Arial Narrow"/>
          <w:snapToGrid/>
          <w:sz w:val="18"/>
        </w:rPr>
        <w:t>ma</w:t>
      </w:r>
      <w:r w:rsidR="006B3087" w:rsidRPr="00B07E65">
        <w:rPr>
          <w:rFonts w:ascii="Arial Narrow" w:hAnsi="Arial Narrow"/>
          <w:snapToGrid/>
          <w:sz w:val="18"/>
        </w:rPr>
        <w:t>ximum quantity; MBS = Medicare B</w:t>
      </w:r>
      <w:r w:rsidRPr="00B07E65">
        <w:rPr>
          <w:rFonts w:ascii="Arial Narrow" w:hAnsi="Arial Narrow"/>
          <w:snapToGrid/>
          <w:sz w:val="18"/>
        </w:rPr>
        <w:t xml:space="preserve">enefits </w:t>
      </w:r>
      <w:r w:rsidR="006B3087" w:rsidRPr="00B07E65">
        <w:rPr>
          <w:rFonts w:ascii="Arial Narrow" w:hAnsi="Arial Narrow"/>
          <w:snapToGrid/>
          <w:sz w:val="18"/>
        </w:rPr>
        <w:t>S</w:t>
      </w:r>
      <w:r w:rsidRPr="00B07E65">
        <w:rPr>
          <w:rFonts w:ascii="Arial Narrow" w:hAnsi="Arial Narrow"/>
          <w:snapToGrid/>
          <w:sz w:val="18"/>
        </w:rPr>
        <w:t>chedule; PFS = pre</w:t>
      </w:r>
      <w:r w:rsidRPr="00B07E65">
        <w:rPr>
          <w:rFonts w:ascii="Arial Narrow" w:hAnsi="Arial Narrow"/>
          <w:snapToGrid/>
          <w:sz w:val="18"/>
        </w:rPr>
        <w:noBreakHyphen/>
        <w:t>filled syringe;</w:t>
      </w:r>
      <w:r w:rsidR="006B3087" w:rsidRPr="00B07E65">
        <w:rPr>
          <w:rFonts w:ascii="Arial Narrow" w:hAnsi="Arial Narrow"/>
          <w:snapToGrid/>
          <w:sz w:val="18"/>
        </w:rPr>
        <w:t xml:space="preserve"> SC = subcutaneous</w:t>
      </w:r>
      <w:r w:rsidRPr="00B07E65">
        <w:rPr>
          <w:rFonts w:ascii="Arial Narrow" w:hAnsi="Arial Narrow"/>
          <w:snapToGrid/>
          <w:sz w:val="18"/>
        </w:rPr>
        <w:t xml:space="preserve"> </w:t>
      </w:r>
    </w:p>
    <w:p w:rsidR="00A879BA" w:rsidRPr="00B07E65" w:rsidRDefault="00A879BA" w:rsidP="006C299C">
      <w:pPr>
        <w:keepNext/>
        <w:keepLines/>
        <w:snapToGrid w:val="0"/>
        <w:ind w:left="709"/>
        <w:rPr>
          <w:rFonts w:ascii="Arial Narrow" w:hAnsi="Arial Narrow"/>
          <w:snapToGrid/>
          <w:sz w:val="18"/>
        </w:rPr>
      </w:pPr>
      <w:proofErr w:type="gramStart"/>
      <w:r w:rsidRPr="00B07E65">
        <w:rPr>
          <w:rFonts w:ascii="Arial Narrow" w:hAnsi="Arial Narrow"/>
          <w:snapToGrid/>
          <w:sz w:val="18"/>
          <w:vertAlign w:val="superscript"/>
        </w:rPr>
        <w:t>a</w:t>
      </w:r>
      <w:proofErr w:type="gramEnd"/>
      <w:r w:rsidRPr="00B07E65">
        <w:rPr>
          <w:rFonts w:ascii="Arial Narrow" w:hAnsi="Arial Narrow"/>
          <w:snapToGrid/>
          <w:sz w:val="18"/>
          <w:vertAlign w:val="superscript"/>
        </w:rPr>
        <w:t xml:space="preserve"> </w:t>
      </w:r>
      <w:r w:rsidRPr="00B07E65">
        <w:rPr>
          <w:rFonts w:ascii="Arial Narrow" w:hAnsi="Arial Narrow"/>
          <w:snapToGrid/>
          <w:sz w:val="18"/>
        </w:rPr>
        <w:t>Pricing mark</w:t>
      </w:r>
      <w:r w:rsidRPr="00B07E65">
        <w:rPr>
          <w:rFonts w:ascii="Arial Narrow" w:hAnsi="Arial Narrow"/>
          <w:snapToGrid/>
          <w:sz w:val="18"/>
        </w:rPr>
        <w:noBreakHyphen/>
        <w:t>ups recalculated during the evaluation</w:t>
      </w:r>
      <w:r w:rsidR="006C4C20" w:rsidRPr="00B07E65">
        <w:rPr>
          <w:rFonts w:ascii="Arial Narrow" w:hAnsi="Arial Narrow"/>
          <w:snapToGrid/>
          <w:sz w:val="18"/>
        </w:rPr>
        <w:t>.</w:t>
      </w:r>
    </w:p>
    <w:p w:rsidR="00EE1C35" w:rsidRPr="00B07E65" w:rsidRDefault="00EE1C35" w:rsidP="006C299C">
      <w:pPr>
        <w:keepNext/>
        <w:keepLines/>
        <w:snapToGrid w:val="0"/>
        <w:ind w:left="709"/>
        <w:rPr>
          <w:rFonts w:ascii="Arial Narrow" w:hAnsi="Arial Narrow"/>
          <w:snapToGrid/>
          <w:sz w:val="18"/>
        </w:rPr>
      </w:pPr>
      <w:proofErr w:type="gramStart"/>
      <w:r w:rsidRPr="00B07E65">
        <w:rPr>
          <w:rFonts w:ascii="Arial Narrow" w:hAnsi="Arial Narrow"/>
          <w:snapToGrid/>
          <w:sz w:val="18"/>
          <w:vertAlign w:val="superscript"/>
        </w:rPr>
        <w:t>b</w:t>
      </w:r>
      <w:proofErr w:type="gramEnd"/>
      <w:r w:rsidRPr="00B07E65">
        <w:rPr>
          <w:rFonts w:ascii="Arial Narrow" w:hAnsi="Arial Narrow"/>
          <w:snapToGrid/>
          <w:sz w:val="18"/>
        </w:rPr>
        <w:t xml:space="preserve"> </w:t>
      </w:r>
      <w:r w:rsidR="00D1263F" w:rsidRPr="00B07E65">
        <w:rPr>
          <w:rFonts w:ascii="Arial Narrow" w:hAnsi="Arial Narrow"/>
          <w:snapToGrid/>
          <w:sz w:val="18"/>
        </w:rPr>
        <w:t xml:space="preserve">In total, 77% of IM methotrexate vials would </w:t>
      </w:r>
      <w:r w:rsidR="004F2F6D" w:rsidRPr="00B07E65">
        <w:rPr>
          <w:rFonts w:ascii="Arial Narrow" w:hAnsi="Arial Narrow"/>
          <w:snapToGrid/>
          <w:sz w:val="18"/>
        </w:rPr>
        <w:t>be associated with</w:t>
      </w:r>
      <w:r w:rsidR="00D1263F" w:rsidRPr="00B07E65">
        <w:rPr>
          <w:rFonts w:ascii="Arial Narrow" w:hAnsi="Arial Narrow"/>
          <w:snapToGrid/>
          <w:sz w:val="18"/>
        </w:rPr>
        <w:t xml:space="preserve"> a GP visit (90% * 85%) and 1</w:t>
      </w:r>
      <w:r w:rsidR="00540E74" w:rsidRPr="00B07E65">
        <w:rPr>
          <w:rFonts w:ascii="Arial Narrow" w:hAnsi="Arial Narrow"/>
          <w:snapToGrid/>
          <w:sz w:val="18"/>
        </w:rPr>
        <w:t>2</w:t>
      </w:r>
      <w:r w:rsidR="00D1263F" w:rsidRPr="00B07E65">
        <w:rPr>
          <w:rFonts w:ascii="Arial Narrow" w:hAnsi="Arial Narrow"/>
          <w:snapToGrid/>
          <w:sz w:val="18"/>
        </w:rPr>
        <w:t xml:space="preserve">% of SC methotrexate vials </w:t>
      </w:r>
      <w:r w:rsidR="004F2F6D" w:rsidRPr="00B07E65">
        <w:rPr>
          <w:rFonts w:ascii="Arial Narrow" w:hAnsi="Arial Narrow"/>
          <w:snapToGrid/>
          <w:sz w:val="18"/>
        </w:rPr>
        <w:t xml:space="preserve">would be associated with a GP visit </w:t>
      </w:r>
      <w:r w:rsidR="00D1263F" w:rsidRPr="00B07E65">
        <w:rPr>
          <w:rFonts w:ascii="Arial Narrow" w:hAnsi="Arial Narrow"/>
          <w:snapToGrid/>
          <w:sz w:val="18"/>
        </w:rPr>
        <w:t>(1</w:t>
      </w:r>
      <w:r w:rsidR="00540E74" w:rsidRPr="00B07E65">
        <w:rPr>
          <w:rFonts w:ascii="Arial Narrow" w:hAnsi="Arial Narrow"/>
          <w:snapToGrid/>
          <w:sz w:val="18"/>
        </w:rPr>
        <w:t>4.</w:t>
      </w:r>
      <w:r w:rsidR="00D1263F" w:rsidRPr="00B07E65">
        <w:rPr>
          <w:rFonts w:ascii="Arial Narrow" w:hAnsi="Arial Narrow"/>
          <w:snapToGrid/>
          <w:sz w:val="18"/>
        </w:rPr>
        <w:t>5% * 85%)</w:t>
      </w:r>
    </w:p>
    <w:p w:rsidR="00A879BA" w:rsidRPr="00B07E65" w:rsidRDefault="00A879BA" w:rsidP="00A879BA">
      <w:pPr>
        <w:rPr>
          <w:szCs w:val="22"/>
        </w:rPr>
      </w:pPr>
    </w:p>
    <w:p w:rsidR="00A879BA" w:rsidRPr="00B07E65" w:rsidRDefault="00A879BA" w:rsidP="00271C16">
      <w:pPr>
        <w:pStyle w:val="ListParagraph"/>
        <w:widowControl/>
        <w:numPr>
          <w:ilvl w:val="1"/>
          <w:numId w:val="1"/>
        </w:numPr>
        <w:rPr>
          <w:szCs w:val="22"/>
        </w:rPr>
      </w:pPr>
      <w:r w:rsidRPr="00B07E65">
        <w:rPr>
          <w:szCs w:val="22"/>
        </w:rPr>
        <w:t xml:space="preserve">The cost-minimisation analysis was most sensitive to </w:t>
      </w:r>
      <w:r w:rsidR="00923130" w:rsidRPr="00B07E65">
        <w:rPr>
          <w:szCs w:val="22"/>
        </w:rPr>
        <w:t xml:space="preserve">the </w:t>
      </w:r>
      <w:r w:rsidR="00923130" w:rsidRPr="00B07E65">
        <w:t>proportion of patients self</w:t>
      </w:r>
      <w:r w:rsidR="00923130" w:rsidRPr="00B07E65">
        <w:noBreakHyphen/>
        <w:t>administering methotrexate and the proportion of GP consults that were solely for the purpose of methotrexate</w:t>
      </w:r>
      <w:r w:rsidR="00294E79" w:rsidRPr="00B07E65">
        <w:t xml:space="preserve"> administration</w:t>
      </w:r>
      <w:r w:rsidR="00923130" w:rsidRPr="00B07E65">
        <w:t>.</w:t>
      </w:r>
      <w:r w:rsidR="003D20FA" w:rsidRPr="00B07E65">
        <w:t xml:space="preserve"> The revised price in the Pre-PBAC response</w:t>
      </w:r>
      <w:r w:rsidR="002678FC" w:rsidRPr="00B07E65">
        <w:t xml:space="preserve"> was intended to account for the sensitivity analysis in the table above where 85</w:t>
      </w:r>
      <w:r w:rsidR="003D20FA" w:rsidRPr="00B07E65">
        <w:t xml:space="preserve">% of </w:t>
      </w:r>
      <w:r w:rsidR="00D11DAE" w:rsidRPr="00B07E65">
        <w:t xml:space="preserve">GP </w:t>
      </w:r>
      <w:r w:rsidR="003D20FA" w:rsidRPr="00B07E65">
        <w:t>consults are for methotrexate administration only.</w:t>
      </w:r>
    </w:p>
    <w:p w:rsidR="00C25D9C" w:rsidRPr="00B07E65" w:rsidRDefault="00C25D9C" w:rsidP="00C25D9C">
      <w:pPr>
        <w:widowControl/>
        <w:rPr>
          <w:szCs w:val="22"/>
        </w:rPr>
      </w:pPr>
    </w:p>
    <w:p w:rsidR="00C25D9C" w:rsidRPr="00B07E65" w:rsidRDefault="00C25D9C" w:rsidP="00C36582">
      <w:pPr>
        <w:pStyle w:val="Heading2"/>
        <w:widowControl/>
        <w:rPr>
          <w:i/>
          <w:szCs w:val="22"/>
        </w:rPr>
      </w:pPr>
      <w:bookmarkStart w:id="14" w:name="_Toc472340131"/>
      <w:r w:rsidRPr="00B07E65">
        <w:rPr>
          <w:i/>
        </w:rPr>
        <w:t>Drug cost/patient</w:t>
      </w:r>
      <w:r w:rsidR="009C0F83" w:rsidRPr="00B07E65">
        <w:rPr>
          <w:i/>
        </w:rPr>
        <w:t>/</w:t>
      </w:r>
      <w:r w:rsidRPr="00B07E65">
        <w:rPr>
          <w:i/>
        </w:rPr>
        <w:t xml:space="preserve">year: </w:t>
      </w:r>
      <w:r w:rsidR="00D23E31" w:rsidRPr="00B07E65">
        <w:rPr>
          <w:i/>
        </w:rPr>
        <w:t>$</w:t>
      </w:r>
      <w:bookmarkEnd w:id="14"/>
      <w:r w:rsidR="00916DCD">
        <w:rPr>
          <w:i/>
          <w:noProof/>
          <w:color w:val="000000"/>
          <w:highlight w:val="black"/>
        </w:rPr>
        <w:t>''''''''''''''''</w:t>
      </w:r>
      <w:r w:rsidR="004446C1" w:rsidRPr="00B07E65">
        <w:rPr>
          <w:i/>
        </w:rPr>
        <w:t>. Revised in Pre-PBAC Response to $</w:t>
      </w:r>
      <w:r w:rsidR="00916DCD">
        <w:rPr>
          <w:i/>
          <w:noProof/>
          <w:color w:val="000000"/>
          <w:highlight w:val="black"/>
        </w:rPr>
        <w:t>''''''''''''''''</w:t>
      </w:r>
      <w:r w:rsidR="00A43409" w:rsidRPr="00B07E65">
        <w:rPr>
          <w:i/>
        </w:rPr>
        <w:t>.</w:t>
      </w:r>
    </w:p>
    <w:p w:rsidR="00C25D9C" w:rsidRPr="00B07E65" w:rsidRDefault="00C25D9C" w:rsidP="00C36582">
      <w:pPr>
        <w:widowControl/>
        <w:rPr>
          <w:szCs w:val="22"/>
        </w:rPr>
      </w:pPr>
    </w:p>
    <w:p w:rsidR="00021E73" w:rsidRPr="00B07E65" w:rsidRDefault="00B7776B" w:rsidP="00271C16">
      <w:pPr>
        <w:pStyle w:val="ListParagraph"/>
        <w:widowControl/>
        <w:numPr>
          <w:ilvl w:val="1"/>
          <w:numId w:val="3"/>
        </w:numPr>
        <w:rPr>
          <w:szCs w:val="22"/>
        </w:rPr>
      </w:pPr>
      <w:r w:rsidRPr="00B07E65">
        <w:rPr>
          <w:szCs w:val="22"/>
        </w:rPr>
        <w:t xml:space="preserve">The </w:t>
      </w:r>
      <w:r w:rsidR="0036076D" w:rsidRPr="00B07E65">
        <w:rPr>
          <w:szCs w:val="22"/>
        </w:rPr>
        <w:t xml:space="preserve">proposed </w:t>
      </w:r>
      <w:r w:rsidR="00660612" w:rsidRPr="00B07E65">
        <w:rPr>
          <w:szCs w:val="22"/>
        </w:rPr>
        <w:t xml:space="preserve">cost </w:t>
      </w:r>
      <w:r w:rsidR="0036076D" w:rsidRPr="00B07E65">
        <w:rPr>
          <w:szCs w:val="22"/>
        </w:rPr>
        <w:t xml:space="preserve">was </w:t>
      </w:r>
      <w:r w:rsidR="00D23E31" w:rsidRPr="00B07E65">
        <w:rPr>
          <w:szCs w:val="22"/>
        </w:rPr>
        <w:t>$</w:t>
      </w:r>
      <w:r w:rsidR="00916DCD">
        <w:rPr>
          <w:noProof/>
          <w:color w:val="000000"/>
          <w:szCs w:val="22"/>
          <w:highlight w:val="black"/>
        </w:rPr>
        <w:t>'''''''''''''''''''''''</w:t>
      </w:r>
      <w:r w:rsidR="00D23E31" w:rsidRPr="00B07E65">
        <w:rPr>
          <w:szCs w:val="22"/>
        </w:rPr>
        <w:t xml:space="preserve"> </w:t>
      </w:r>
      <w:r w:rsidR="0036076D" w:rsidRPr="00B07E65">
        <w:rPr>
          <w:szCs w:val="22"/>
        </w:rPr>
        <w:t xml:space="preserve">per patient per year, </w:t>
      </w:r>
      <w:r w:rsidR="00E77FDA" w:rsidRPr="00B07E65">
        <w:rPr>
          <w:szCs w:val="22"/>
        </w:rPr>
        <w:t xml:space="preserve">compared with </w:t>
      </w:r>
      <w:r w:rsidR="00D23E31" w:rsidRPr="00B07E65">
        <w:rPr>
          <w:szCs w:val="22"/>
        </w:rPr>
        <w:t>$</w:t>
      </w:r>
      <w:r w:rsidR="00916DCD">
        <w:rPr>
          <w:noProof/>
          <w:color w:val="000000"/>
          <w:szCs w:val="22"/>
          <w:highlight w:val="black"/>
        </w:rPr>
        <w:t>''''''''''''''''''</w:t>
      </w:r>
      <w:r w:rsidR="00D23E31" w:rsidRPr="00B07E65">
        <w:rPr>
          <w:szCs w:val="22"/>
        </w:rPr>
        <w:t xml:space="preserve"> </w:t>
      </w:r>
      <w:r w:rsidR="00E77FDA" w:rsidRPr="00B07E65">
        <w:rPr>
          <w:szCs w:val="22"/>
        </w:rPr>
        <w:t xml:space="preserve">for 50 mg in </w:t>
      </w:r>
      <w:r w:rsidR="0036076D" w:rsidRPr="00B07E65">
        <w:rPr>
          <w:szCs w:val="22"/>
        </w:rPr>
        <w:t>2 mL methotrexate glass vials. The cost of the proposed drug was based on DPMQ of $</w:t>
      </w:r>
      <w:r w:rsidR="00916DCD">
        <w:rPr>
          <w:noProof/>
          <w:color w:val="000000"/>
          <w:szCs w:val="22"/>
          <w:highlight w:val="black"/>
        </w:rPr>
        <w:t>'''''''''''''''</w:t>
      </w:r>
      <w:r w:rsidR="0036076D" w:rsidRPr="00B07E65">
        <w:rPr>
          <w:szCs w:val="22"/>
        </w:rPr>
        <w:t xml:space="preserve"> (for four doses) and </w:t>
      </w:r>
      <w:r w:rsidR="00916DCD">
        <w:rPr>
          <w:noProof/>
          <w:color w:val="000000"/>
          <w:szCs w:val="22"/>
          <w:highlight w:val="black"/>
        </w:rPr>
        <w:t>''''''''''''</w:t>
      </w:r>
      <w:r w:rsidR="0036076D" w:rsidRPr="00B07E65">
        <w:rPr>
          <w:szCs w:val="22"/>
        </w:rPr>
        <w:t xml:space="preserve"> prescriptions per year (95% compliance).</w:t>
      </w:r>
      <w:r w:rsidR="004446C1" w:rsidRPr="00B07E65">
        <w:rPr>
          <w:szCs w:val="22"/>
        </w:rPr>
        <w:t xml:space="preserve"> The revised cost was $</w:t>
      </w:r>
      <w:r w:rsidR="00916DCD">
        <w:rPr>
          <w:noProof/>
          <w:color w:val="000000"/>
          <w:szCs w:val="22"/>
          <w:highlight w:val="black"/>
        </w:rPr>
        <w:t>'''''''''''''''''''</w:t>
      </w:r>
      <w:r w:rsidR="004446C1" w:rsidRPr="00B07E65">
        <w:rPr>
          <w:szCs w:val="22"/>
        </w:rPr>
        <w:t xml:space="preserve"> (based on a DPMQ of $</w:t>
      </w:r>
      <w:r w:rsidR="00916DCD">
        <w:rPr>
          <w:noProof/>
          <w:color w:val="000000"/>
          <w:szCs w:val="22"/>
          <w:highlight w:val="black"/>
        </w:rPr>
        <w:t>'''''''''''''''</w:t>
      </w:r>
      <w:r w:rsidR="004446C1" w:rsidRPr="00B07E65">
        <w:rPr>
          <w:szCs w:val="22"/>
        </w:rPr>
        <w:t xml:space="preserve"> and 12.4 prescriptions).</w:t>
      </w:r>
      <w:r w:rsidR="0036076D" w:rsidRPr="00B07E65">
        <w:rPr>
          <w:szCs w:val="22"/>
        </w:rPr>
        <w:t xml:space="preserve"> The cost of the methotrexate glass vials was based on a DPMQ of $</w:t>
      </w:r>
      <w:r w:rsidR="00916DCD">
        <w:rPr>
          <w:noProof/>
          <w:color w:val="000000"/>
          <w:szCs w:val="22"/>
          <w:highlight w:val="black"/>
        </w:rPr>
        <w:t>''''''''''''''</w:t>
      </w:r>
      <w:r w:rsidR="0036076D" w:rsidRPr="00B07E65">
        <w:rPr>
          <w:szCs w:val="22"/>
        </w:rPr>
        <w:t xml:space="preserve"> (for five vials) and </w:t>
      </w:r>
      <w:r w:rsidR="00916DCD">
        <w:rPr>
          <w:noProof/>
          <w:color w:val="000000"/>
          <w:szCs w:val="22"/>
          <w:highlight w:val="black"/>
        </w:rPr>
        <w:t>'''''''</w:t>
      </w:r>
      <w:r w:rsidR="0036076D" w:rsidRPr="00B07E65">
        <w:rPr>
          <w:szCs w:val="22"/>
        </w:rPr>
        <w:t xml:space="preserve"> prescriptions per year (95% compliance).</w:t>
      </w:r>
    </w:p>
    <w:p w:rsidR="00315CB8" w:rsidRPr="00B07E65" w:rsidRDefault="00315CB8" w:rsidP="00677297"/>
    <w:p w:rsidR="00B60939" w:rsidRPr="00B07E65" w:rsidRDefault="00B60939" w:rsidP="00497F10">
      <w:pPr>
        <w:pStyle w:val="Heading2"/>
        <w:rPr>
          <w:i/>
        </w:rPr>
      </w:pPr>
      <w:bookmarkStart w:id="15" w:name="_Toc472340133"/>
      <w:r w:rsidRPr="00B07E65">
        <w:rPr>
          <w:i/>
        </w:rPr>
        <w:t>Estimated PBS usage &amp; financial implications</w:t>
      </w:r>
      <w:bookmarkEnd w:id="15"/>
    </w:p>
    <w:p w:rsidR="00B60939" w:rsidRPr="00B07E65" w:rsidRDefault="00B60939" w:rsidP="00497F10"/>
    <w:p w:rsidR="0009574F" w:rsidRPr="00B07E65" w:rsidRDefault="00C25D9C" w:rsidP="00271C16">
      <w:pPr>
        <w:pStyle w:val="ListParagraph"/>
        <w:widowControl/>
        <w:numPr>
          <w:ilvl w:val="1"/>
          <w:numId w:val="1"/>
        </w:numPr>
        <w:rPr>
          <w:szCs w:val="22"/>
        </w:rPr>
      </w:pPr>
      <w:r w:rsidRPr="00B07E65">
        <w:t xml:space="preserve">This </w:t>
      </w:r>
      <w:r w:rsidR="008743F1" w:rsidRPr="00B07E65">
        <w:t>re</w:t>
      </w:r>
      <w:r w:rsidRPr="00B07E65">
        <w:t>submission</w:t>
      </w:r>
      <w:r w:rsidR="00D90ABF" w:rsidRPr="00B07E65">
        <w:t xml:space="preserve"> </w:t>
      </w:r>
      <w:r w:rsidR="00217800" w:rsidRPr="00B07E65">
        <w:t>was not</w:t>
      </w:r>
      <w:r w:rsidRPr="00B07E65">
        <w:t xml:space="preserve"> considered by DUSC</w:t>
      </w:r>
      <w:r w:rsidR="00E13C92" w:rsidRPr="00B07E65">
        <w:t xml:space="preserve">. </w:t>
      </w:r>
      <w:r w:rsidR="008743F1" w:rsidRPr="00B07E65">
        <w:t xml:space="preserve">The resubmission presented </w:t>
      </w:r>
      <w:r w:rsidR="004951BF" w:rsidRPr="00B07E65">
        <w:t>revised</w:t>
      </w:r>
      <w:r w:rsidR="008743F1" w:rsidRPr="00B07E65">
        <w:t xml:space="preserve"> estimates of use and financial implications. An epidemiological approach was used to derive the estimates. </w:t>
      </w:r>
      <w:r w:rsidR="004951BF" w:rsidRPr="00B07E65">
        <w:t xml:space="preserve">This approach and </w:t>
      </w:r>
      <w:r w:rsidR="008B42DF" w:rsidRPr="00B07E65">
        <w:t xml:space="preserve">the </w:t>
      </w:r>
      <w:r w:rsidR="004951BF" w:rsidRPr="00B07E65">
        <w:t>estimated utilisation differed substantially from the previous submission</w:t>
      </w:r>
      <w:r w:rsidR="008F5FE9" w:rsidRPr="00B07E65">
        <w:t xml:space="preserve">, which was </w:t>
      </w:r>
      <w:r w:rsidR="00B64AA1" w:rsidRPr="00B07E65">
        <w:t xml:space="preserve">predominantly </w:t>
      </w:r>
      <w:r w:rsidR="008F5FE9" w:rsidRPr="00B07E65">
        <w:t>based on a market-share approach</w:t>
      </w:r>
      <w:r w:rsidR="004951BF" w:rsidRPr="00B07E65">
        <w:t xml:space="preserve">. </w:t>
      </w:r>
    </w:p>
    <w:p w:rsidR="00E13C92" w:rsidRPr="00B07E65" w:rsidRDefault="00E13C92" w:rsidP="00E13C92">
      <w:pPr>
        <w:pStyle w:val="ListParagraph"/>
        <w:rPr>
          <w:szCs w:val="22"/>
        </w:rPr>
      </w:pPr>
    </w:p>
    <w:p w:rsidR="00C25D9C" w:rsidRPr="00B07E65" w:rsidRDefault="006376A1" w:rsidP="00271C16">
      <w:pPr>
        <w:pStyle w:val="ListParagraph"/>
        <w:widowControl/>
        <w:numPr>
          <w:ilvl w:val="1"/>
          <w:numId w:val="1"/>
        </w:numPr>
        <w:rPr>
          <w:szCs w:val="22"/>
        </w:rPr>
      </w:pPr>
      <w:r w:rsidRPr="00B07E65">
        <w:t xml:space="preserve">Table </w:t>
      </w:r>
      <w:r w:rsidR="00D270E0" w:rsidRPr="00B07E65">
        <w:t>9</w:t>
      </w:r>
      <w:r w:rsidRPr="00B07E65">
        <w:t xml:space="preserve"> summarises the estimate</w:t>
      </w:r>
      <w:r w:rsidR="007204D7" w:rsidRPr="00B07E65">
        <w:t>d</w:t>
      </w:r>
      <w:r w:rsidRPr="00B07E65">
        <w:t xml:space="preserve"> utilisation and financial </w:t>
      </w:r>
      <w:r w:rsidR="005E17D6" w:rsidRPr="00B07E65">
        <w:t>implications</w:t>
      </w:r>
      <w:r w:rsidRPr="00B07E65">
        <w:t xml:space="preserve"> associated with PBS listing of SC methotrexate. </w:t>
      </w:r>
      <w:r w:rsidR="007204D7" w:rsidRPr="00B07E65">
        <w:t xml:space="preserve">The previous submission (March 2016) estimates are included for comparison. </w:t>
      </w:r>
    </w:p>
    <w:p w:rsidR="006376A1" w:rsidRPr="00B07E65" w:rsidRDefault="006376A1" w:rsidP="006376A1">
      <w:pPr>
        <w:pStyle w:val="ListParagraph"/>
        <w:widowControl/>
        <w:rPr>
          <w:szCs w:val="22"/>
        </w:rPr>
      </w:pPr>
    </w:p>
    <w:p w:rsidR="0004231D" w:rsidRPr="00B07E65" w:rsidRDefault="0004231D" w:rsidP="00710756">
      <w:pPr>
        <w:keepNext/>
        <w:keepLines/>
        <w:ind w:firstLine="709"/>
        <w:rPr>
          <w:rStyle w:val="CommentReference"/>
        </w:rPr>
      </w:pPr>
      <w:r w:rsidRPr="00B07E65">
        <w:rPr>
          <w:rStyle w:val="CommentReference"/>
        </w:rPr>
        <w:t xml:space="preserve">Table </w:t>
      </w:r>
      <w:r w:rsidR="00D270E0" w:rsidRPr="00B07E65">
        <w:rPr>
          <w:rStyle w:val="CommentReference"/>
        </w:rPr>
        <w:t>9</w:t>
      </w:r>
      <w:r w:rsidRPr="00B07E65">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992"/>
        <w:gridCol w:w="993"/>
        <w:gridCol w:w="991"/>
        <w:gridCol w:w="991"/>
        <w:gridCol w:w="976"/>
      </w:tblGrid>
      <w:tr w:rsidR="00710756" w:rsidRPr="00B07E65" w:rsidTr="00710756">
        <w:trPr>
          <w:tblHeader/>
        </w:trPr>
        <w:tc>
          <w:tcPr>
            <w:tcW w:w="2038" w:type="pct"/>
            <w:shd w:val="clear" w:color="auto" w:fill="auto"/>
            <w:vAlign w:val="center"/>
          </w:tcPr>
          <w:p w:rsidR="0004231D" w:rsidRPr="00B07E65" w:rsidRDefault="0004231D" w:rsidP="00710756">
            <w:pPr>
              <w:keepNext/>
              <w:keepLines/>
              <w:tabs>
                <w:tab w:val="left" w:pos="142"/>
              </w:tabs>
              <w:ind w:right="93"/>
              <w:jc w:val="left"/>
              <w:rPr>
                <w:rFonts w:ascii="Arial Narrow" w:hAnsi="Arial Narrow"/>
                <w:b/>
                <w:sz w:val="20"/>
              </w:rPr>
            </w:pPr>
          </w:p>
        </w:tc>
        <w:tc>
          <w:tcPr>
            <w:tcW w:w="594" w:type="pct"/>
            <w:shd w:val="clear" w:color="auto" w:fill="auto"/>
            <w:vAlign w:val="center"/>
          </w:tcPr>
          <w:p w:rsidR="0004231D" w:rsidRPr="00B07E65" w:rsidRDefault="0004231D" w:rsidP="00710756">
            <w:pPr>
              <w:keepNext/>
              <w:keepLines/>
              <w:ind w:right="93"/>
              <w:jc w:val="center"/>
              <w:rPr>
                <w:rFonts w:ascii="Arial Narrow" w:hAnsi="Arial Narrow"/>
                <w:b/>
                <w:sz w:val="20"/>
              </w:rPr>
            </w:pPr>
            <w:r w:rsidRPr="00B07E65">
              <w:rPr>
                <w:rFonts w:ascii="Arial Narrow" w:hAnsi="Arial Narrow"/>
                <w:b/>
                <w:sz w:val="20"/>
              </w:rPr>
              <w:t>Year 1</w:t>
            </w:r>
          </w:p>
        </w:tc>
        <w:tc>
          <w:tcPr>
            <w:tcW w:w="595" w:type="pct"/>
            <w:shd w:val="clear" w:color="auto" w:fill="auto"/>
            <w:vAlign w:val="center"/>
          </w:tcPr>
          <w:p w:rsidR="0004231D" w:rsidRPr="00B07E65" w:rsidRDefault="0004231D" w:rsidP="00710756">
            <w:pPr>
              <w:keepNext/>
              <w:keepLines/>
              <w:ind w:right="93"/>
              <w:jc w:val="center"/>
              <w:rPr>
                <w:rFonts w:ascii="Arial Narrow" w:hAnsi="Arial Narrow"/>
                <w:b/>
                <w:sz w:val="20"/>
              </w:rPr>
            </w:pPr>
            <w:r w:rsidRPr="00B07E65">
              <w:rPr>
                <w:rFonts w:ascii="Arial Narrow" w:hAnsi="Arial Narrow"/>
                <w:b/>
                <w:sz w:val="20"/>
              </w:rPr>
              <w:t>Year 2</w:t>
            </w:r>
          </w:p>
        </w:tc>
        <w:tc>
          <w:tcPr>
            <w:tcW w:w="594" w:type="pct"/>
            <w:shd w:val="clear" w:color="auto" w:fill="auto"/>
            <w:vAlign w:val="center"/>
          </w:tcPr>
          <w:p w:rsidR="0004231D" w:rsidRPr="00B07E65" w:rsidRDefault="0004231D" w:rsidP="00710756">
            <w:pPr>
              <w:keepNext/>
              <w:keepLines/>
              <w:ind w:right="93"/>
              <w:jc w:val="center"/>
              <w:rPr>
                <w:rFonts w:ascii="Arial Narrow" w:hAnsi="Arial Narrow"/>
                <w:b/>
                <w:sz w:val="20"/>
              </w:rPr>
            </w:pPr>
            <w:r w:rsidRPr="00B07E65">
              <w:rPr>
                <w:rFonts w:ascii="Arial Narrow" w:hAnsi="Arial Narrow"/>
                <w:b/>
                <w:sz w:val="20"/>
              </w:rPr>
              <w:t>Year 3</w:t>
            </w:r>
          </w:p>
        </w:tc>
        <w:tc>
          <w:tcPr>
            <w:tcW w:w="594" w:type="pct"/>
            <w:shd w:val="clear" w:color="auto" w:fill="auto"/>
            <w:vAlign w:val="center"/>
          </w:tcPr>
          <w:p w:rsidR="0004231D" w:rsidRPr="00B07E65" w:rsidRDefault="0004231D" w:rsidP="00710756">
            <w:pPr>
              <w:keepNext/>
              <w:keepLines/>
              <w:ind w:right="93"/>
              <w:jc w:val="center"/>
              <w:rPr>
                <w:rFonts w:ascii="Arial Narrow" w:hAnsi="Arial Narrow"/>
                <w:b/>
                <w:sz w:val="20"/>
              </w:rPr>
            </w:pPr>
            <w:r w:rsidRPr="00B07E65">
              <w:rPr>
                <w:rFonts w:ascii="Arial Narrow" w:hAnsi="Arial Narrow"/>
                <w:b/>
                <w:sz w:val="20"/>
              </w:rPr>
              <w:t>Year 4</w:t>
            </w:r>
          </w:p>
        </w:tc>
        <w:tc>
          <w:tcPr>
            <w:tcW w:w="585" w:type="pct"/>
            <w:shd w:val="clear" w:color="auto" w:fill="auto"/>
            <w:vAlign w:val="center"/>
          </w:tcPr>
          <w:p w:rsidR="0004231D" w:rsidRPr="00B07E65" w:rsidRDefault="0004231D" w:rsidP="00710756">
            <w:pPr>
              <w:keepNext/>
              <w:keepLines/>
              <w:ind w:right="93"/>
              <w:jc w:val="center"/>
              <w:rPr>
                <w:rFonts w:ascii="Arial Narrow" w:hAnsi="Arial Narrow"/>
                <w:b/>
                <w:sz w:val="20"/>
              </w:rPr>
            </w:pPr>
            <w:r w:rsidRPr="00B07E65">
              <w:rPr>
                <w:rFonts w:ascii="Arial Narrow" w:hAnsi="Arial Narrow"/>
                <w:b/>
                <w:sz w:val="20"/>
              </w:rPr>
              <w:t>Year 5</w:t>
            </w:r>
          </w:p>
        </w:tc>
      </w:tr>
      <w:tr w:rsidR="0004231D" w:rsidRPr="00B07E65" w:rsidTr="00710756">
        <w:tc>
          <w:tcPr>
            <w:tcW w:w="5000" w:type="pct"/>
            <w:gridSpan w:val="6"/>
            <w:shd w:val="clear" w:color="auto" w:fill="auto"/>
            <w:vAlign w:val="center"/>
          </w:tcPr>
          <w:p w:rsidR="0004231D" w:rsidRPr="00B07E65" w:rsidRDefault="0004231D" w:rsidP="00710756">
            <w:pPr>
              <w:keepNext/>
              <w:keepLines/>
              <w:ind w:right="93"/>
              <w:jc w:val="left"/>
              <w:rPr>
                <w:rFonts w:ascii="Arial Narrow" w:hAnsi="Arial Narrow"/>
                <w:b/>
                <w:bCs/>
                <w:color w:val="000000"/>
                <w:sz w:val="20"/>
              </w:rPr>
            </w:pPr>
            <w:r w:rsidRPr="00B07E65">
              <w:rPr>
                <w:rFonts w:ascii="Arial Narrow" w:hAnsi="Arial Narrow"/>
                <w:b/>
                <w:bCs/>
                <w:color w:val="000000"/>
                <w:sz w:val="20"/>
              </w:rPr>
              <w:t>Estimated extent of use</w:t>
            </w:r>
          </w:p>
        </w:tc>
      </w:tr>
      <w:tr w:rsidR="00710756" w:rsidRPr="00B07E65" w:rsidTr="00710756">
        <w:tc>
          <w:tcPr>
            <w:tcW w:w="2038" w:type="pct"/>
            <w:shd w:val="clear" w:color="auto" w:fill="auto"/>
            <w:vAlign w:val="center"/>
          </w:tcPr>
          <w:p w:rsidR="005E1DC1" w:rsidRPr="00B07E65" w:rsidRDefault="005E1DC1" w:rsidP="00710756">
            <w:pPr>
              <w:keepNext/>
              <w:keepLines/>
              <w:tabs>
                <w:tab w:val="left" w:pos="142"/>
              </w:tabs>
              <w:ind w:right="93"/>
              <w:jc w:val="left"/>
              <w:rPr>
                <w:rFonts w:ascii="Arial Narrow" w:hAnsi="Arial Narrow"/>
                <w:sz w:val="20"/>
              </w:rPr>
            </w:pPr>
            <w:r w:rsidRPr="00B07E65">
              <w:rPr>
                <w:rFonts w:ascii="Arial Narrow" w:hAnsi="Arial Narrow"/>
                <w:sz w:val="20"/>
              </w:rPr>
              <w:t>Eligible population</w:t>
            </w:r>
          </w:p>
        </w:tc>
        <w:tc>
          <w:tcPr>
            <w:tcW w:w="594" w:type="pct"/>
            <w:shd w:val="clear" w:color="auto" w:fill="auto"/>
          </w:tcPr>
          <w:p w:rsidR="005E1DC1" w:rsidRPr="00916DCD" w:rsidRDefault="00916DCD" w:rsidP="00710756">
            <w:pPr>
              <w:pStyle w:val="Tabletext"/>
              <w:keepNext/>
              <w:keepLines/>
              <w:jc w:val="center"/>
              <w:rPr>
                <w:b/>
                <w:bCs/>
                <w:color w:val="000000"/>
                <w:highlight w:val="black"/>
              </w:rPr>
            </w:pPr>
            <w:r>
              <w:rPr>
                <w:noProof/>
                <w:color w:val="000000"/>
                <w:highlight w:val="black"/>
              </w:rPr>
              <w:t>'''''''''''''</w:t>
            </w:r>
          </w:p>
        </w:tc>
        <w:tc>
          <w:tcPr>
            <w:tcW w:w="595" w:type="pct"/>
            <w:shd w:val="clear" w:color="auto" w:fill="auto"/>
          </w:tcPr>
          <w:p w:rsidR="005E1DC1" w:rsidRPr="00916DCD" w:rsidRDefault="00916DCD" w:rsidP="00710756">
            <w:pPr>
              <w:pStyle w:val="Tabletext"/>
              <w:keepNext/>
              <w:keepLines/>
              <w:jc w:val="center"/>
              <w:rPr>
                <w:b/>
                <w:bCs/>
                <w:color w:val="000000"/>
                <w:highlight w:val="black"/>
              </w:rPr>
            </w:pPr>
            <w:r>
              <w:rPr>
                <w:noProof/>
                <w:color w:val="000000"/>
                <w:highlight w:val="black"/>
              </w:rPr>
              <w:t>''''''''''''''</w:t>
            </w:r>
          </w:p>
        </w:tc>
        <w:tc>
          <w:tcPr>
            <w:tcW w:w="594" w:type="pct"/>
            <w:shd w:val="clear" w:color="auto" w:fill="auto"/>
          </w:tcPr>
          <w:p w:rsidR="005E1DC1" w:rsidRPr="00916DCD" w:rsidRDefault="00916DCD" w:rsidP="00710756">
            <w:pPr>
              <w:pStyle w:val="Tabletext"/>
              <w:keepNext/>
              <w:keepLines/>
              <w:jc w:val="center"/>
              <w:rPr>
                <w:b/>
                <w:bCs/>
                <w:color w:val="000000"/>
                <w:highlight w:val="black"/>
              </w:rPr>
            </w:pPr>
            <w:r>
              <w:rPr>
                <w:noProof/>
                <w:color w:val="000000"/>
                <w:highlight w:val="black"/>
              </w:rPr>
              <w:t>'''''''''''''</w:t>
            </w:r>
          </w:p>
        </w:tc>
        <w:tc>
          <w:tcPr>
            <w:tcW w:w="594" w:type="pct"/>
            <w:shd w:val="clear" w:color="auto" w:fill="auto"/>
          </w:tcPr>
          <w:p w:rsidR="005E1DC1" w:rsidRPr="00916DCD" w:rsidRDefault="00916DCD" w:rsidP="00710756">
            <w:pPr>
              <w:pStyle w:val="Tabletext"/>
              <w:keepNext/>
              <w:keepLines/>
              <w:jc w:val="center"/>
              <w:rPr>
                <w:b/>
                <w:bCs/>
                <w:color w:val="000000"/>
                <w:highlight w:val="black"/>
              </w:rPr>
            </w:pPr>
            <w:r>
              <w:rPr>
                <w:noProof/>
                <w:color w:val="000000"/>
                <w:highlight w:val="black"/>
              </w:rPr>
              <w:t>''''''''''''</w:t>
            </w:r>
          </w:p>
        </w:tc>
        <w:tc>
          <w:tcPr>
            <w:tcW w:w="585" w:type="pct"/>
            <w:shd w:val="clear" w:color="auto" w:fill="auto"/>
          </w:tcPr>
          <w:p w:rsidR="005E1DC1" w:rsidRPr="00916DCD" w:rsidRDefault="00916DCD" w:rsidP="00710756">
            <w:pPr>
              <w:pStyle w:val="Tabletext"/>
              <w:keepNext/>
              <w:keepLines/>
              <w:jc w:val="center"/>
              <w:rPr>
                <w:b/>
                <w:bCs/>
                <w:color w:val="000000"/>
                <w:highlight w:val="black"/>
              </w:rPr>
            </w:pPr>
            <w:r>
              <w:rPr>
                <w:noProof/>
                <w:color w:val="000000"/>
                <w:highlight w:val="black"/>
              </w:rPr>
              <w:t>'''''''''''''</w:t>
            </w:r>
          </w:p>
        </w:tc>
      </w:tr>
      <w:tr w:rsidR="00710756" w:rsidRPr="00B07E65" w:rsidTr="00710756">
        <w:tc>
          <w:tcPr>
            <w:tcW w:w="2038" w:type="pct"/>
            <w:shd w:val="clear" w:color="auto" w:fill="auto"/>
            <w:vAlign w:val="center"/>
          </w:tcPr>
          <w:p w:rsidR="00836020" w:rsidRPr="00B07E65" w:rsidRDefault="00836020" w:rsidP="00710756">
            <w:pPr>
              <w:keepNext/>
              <w:keepLines/>
              <w:tabs>
                <w:tab w:val="left" w:pos="142"/>
              </w:tabs>
              <w:ind w:right="93"/>
              <w:jc w:val="left"/>
              <w:rPr>
                <w:rFonts w:ascii="Arial Narrow" w:hAnsi="Arial Narrow"/>
                <w:sz w:val="20"/>
              </w:rPr>
            </w:pPr>
            <w:r w:rsidRPr="00B07E65">
              <w:rPr>
                <w:rFonts w:ascii="Arial Narrow" w:hAnsi="Arial Narrow"/>
                <w:sz w:val="20"/>
              </w:rPr>
              <w:t>Treated patients</w:t>
            </w:r>
          </w:p>
        </w:tc>
        <w:tc>
          <w:tcPr>
            <w:tcW w:w="594" w:type="pct"/>
            <w:shd w:val="clear" w:color="auto" w:fill="auto"/>
            <w:vAlign w:val="center"/>
          </w:tcPr>
          <w:p w:rsidR="00836020" w:rsidRPr="00916DCD" w:rsidRDefault="00916DCD" w:rsidP="00710756">
            <w:pPr>
              <w:pStyle w:val="Tabletext"/>
              <w:keepNext/>
              <w:keepLines/>
              <w:jc w:val="center"/>
              <w:rPr>
                <w:highlight w:val="black"/>
              </w:rPr>
            </w:pPr>
            <w:r>
              <w:rPr>
                <w:noProof/>
                <w:color w:val="000000"/>
                <w:highlight w:val="black"/>
              </w:rPr>
              <w:t>'''''''''''''''</w:t>
            </w:r>
          </w:p>
        </w:tc>
        <w:tc>
          <w:tcPr>
            <w:tcW w:w="595" w:type="pct"/>
            <w:shd w:val="clear" w:color="auto" w:fill="auto"/>
            <w:vAlign w:val="center"/>
          </w:tcPr>
          <w:p w:rsidR="00836020" w:rsidRPr="00916DCD" w:rsidRDefault="00916DCD" w:rsidP="00710756">
            <w:pPr>
              <w:pStyle w:val="Tabletext"/>
              <w:keepNext/>
              <w:keepLines/>
              <w:jc w:val="center"/>
              <w:rPr>
                <w:highlight w:val="black"/>
              </w:rPr>
            </w:pPr>
            <w:r>
              <w:rPr>
                <w:noProof/>
                <w:color w:val="000000"/>
                <w:highlight w:val="black"/>
              </w:rPr>
              <w:t>''''''''''''''</w:t>
            </w:r>
          </w:p>
        </w:tc>
        <w:tc>
          <w:tcPr>
            <w:tcW w:w="594" w:type="pct"/>
            <w:shd w:val="clear" w:color="auto" w:fill="auto"/>
            <w:vAlign w:val="center"/>
          </w:tcPr>
          <w:p w:rsidR="00836020" w:rsidRPr="00916DCD" w:rsidRDefault="00916DCD" w:rsidP="00710756">
            <w:pPr>
              <w:pStyle w:val="Tabletext"/>
              <w:keepNext/>
              <w:keepLines/>
              <w:jc w:val="center"/>
              <w:rPr>
                <w:highlight w:val="black"/>
              </w:rPr>
            </w:pPr>
            <w:r>
              <w:rPr>
                <w:noProof/>
                <w:color w:val="000000"/>
                <w:highlight w:val="black"/>
              </w:rPr>
              <w:t>'''''''''''''</w:t>
            </w:r>
          </w:p>
        </w:tc>
        <w:tc>
          <w:tcPr>
            <w:tcW w:w="594" w:type="pct"/>
            <w:shd w:val="clear" w:color="auto" w:fill="auto"/>
            <w:vAlign w:val="center"/>
          </w:tcPr>
          <w:p w:rsidR="00836020" w:rsidRPr="00916DCD" w:rsidRDefault="00916DCD" w:rsidP="00710756">
            <w:pPr>
              <w:pStyle w:val="Tabletext"/>
              <w:keepNext/>
              <w:keepLines/>
              <w:jc w:val="center"/>
              <w:rPr>
                <w:highlight w:val="black"/>
              </w:rPr>
            </w:pPr>
            <w:r>
              <w:rPr>
                <w:noProof/>
                <w:color w:val="000000"/>
                <w:highlight w:val="black"/>
              </w:rPr>
              <w:t>''''''''''''''</w:t>
            </w:r>
          </w:p>
        </w:tc>
        <w:tc>
          <w:tcPr>
            <w:tcW w:w="585" w:type="pct"/>
            <w:shd w:val="clear" w:color="auto" w:fill="auto"/>
            <w:vAlign w:val="center"/>
          </w:tcPr>
          <w:p w:rsidR="00836020" w:rsidRPr="00916DCD" w:rsidRDefault="00916DCD" w:rsidP="00710756">
            <w:pPr>
              <w:pStyle w:val="Tabletext"/>
              <w:keepNext/>
              <w:keepLines/>
              <w:jc w:val="center"/>
              <w:rPr>
                <w:highlight w:val="black"/>
              </w:rPr>
            </w:pPr>
            <w:r>
              <w:rPr>
                <w:noProof/>
                <w:color w:val="000000"/>
                <w:highlight w:val="black"/>
              </w:rPr>
              <w:t>''''''''''''</w:t>
            </w:r>
          </w:p>
        </w:tc>
      </w:tr>
      <w:tr w:rsidR="00710756" w:rsidRPr="00B07E65" w:rsidTr="00710756">
        <w:tc>
          <w:tcPr>
            <w:tcW w:w="2038" w:type="pct"/>
            <w:shd w:val="clear" w:color="auto" w:fill="auto"/>
            <w:vAlign w:val="center"/>
          </w:tcPr>
          <w:p w:rsidR="00836020" w:rsidRPr="00B07E65" w:rsidRDefault="00836020" w:rsidP="00710756">
            <w:pPr>
              <w:keepNext/>
              <w:keepLines/>
              <w:tabs>
                <w:tab w:val="left" w:pos="142"/>
              </w:tabs>
              <w:ind w:right="93"/>
              <w:jc w:val="left"/>
              <w:rPr>
                <w:rFonts w:ascii="Arial Narrow" w:hAnsi="Arial Narrow"/>
                <w:sz w:val="20"/>
              </w:rPr>
            </w:pPr>
            <w:r w:rsidRPr="00B07E65">
              <w:rPr>
                <w:rFonts w:ascii="Arial Narrow" w:hAnsi="Arial Narrow"/>
                <w:sz w:val="20"/>
              </w:rPr>
              <w:t>Prescriptions</w:t>
            </w:r>
          </w:p>
        </w:tc>
        <w:tc>
          <w:tcPr>
            <w:tcW w:w="594" w:type="pct"/>
            <w:shd w:val="clear" w:color="auto" w:fill="auto"/>
          </w:tcPr>
          <w:p w:rsidR="00836020" w:rsidRPr="00916DCD" w:rsidRDefault="00916DCD" w:rsidP="00710756">
            <w:pPr>
              <w:pStyle w:val="Tabletext"/>
              <w:keepNext/>
              <w:keepLines/>
              <w:jc w:val="center"/>
              <w:rPr>
                <w:highlight w:val="black"/>
              </w:rPr>
            </w:pPr>
            <w:r>
              <w:rPr>
                <w:noProof/>
                <w:color w:val="000000"/>
                <w:highlight w:val="black"/>
              </w:rPr>
              <w:t>'''''''''''''''</w:t>
            </w:r>
          </w:p>
        </w:tc>
        <w:tc>
          <w:tcPr>
            <w:tcW w:w="595" w:type="pct"/>
            <w:shd w:val="clear" w:color="auto" w:fill="auto"/>
          </w:tcPr>
          <w:p w:rsidR="00836020" w:rsidRPr="00916DCD" w:rsidRDefault="00916DCD" w:rsidP="00710756">
            <w:pPr>
              <w:pStyle w:val="Tabletext"/>
              <w:keepNext/>
              <w:keepLines/>
              <w:jc w:val="center"/>
              <w:rPr>
                <w:highlight w:val="black"/>
              </w:rPr>
            </w:pPr>
            <w:r>
              <w:rPr>
                <w:noProof/>
                <w:color w:val="000000"/>
                <w:highlight w:val="black"/>
              </w:rPr>
              <w:t>''''''''''''''''</w:t>
            </w:r>
          </w:p>
        </w:tc>
        <w:tc>
          <w:tcPr>
            <w:tcW w:w="594" w:type="pct"/>
            <w:shd w:val="clear" w:color="auto" w:fill="auto"/>
          </w:tcPr>
          <w:p w:rsidR="00836020" w:rsidRPr="00916DCD" w:rsidRDefault="00916DCD" w:rsidP="00710756">
            <w:pPr>
              <w:pStyle w:val="Tabletext"/>
              <w:keepNext/>
              <w:keepLines/>
              <w:jc w:val="center"/>
              <w:rPr>
                <w:highlight w:val="black"/>
              </w:rPr>
            </w:pPr>
            <w:r>
              <w:rPr>
                <w:noProof/>
                <w:color w:val="000000"/>
                <w:highlight w:val="black"/>
              </w:rPr>
              <w:t>'''''''''''''''''</w:t>
            </w:r>
          </w:p>
        </w:tc>
        <w:tc>
          <w:tcPr>
            <w:tcW w:w="594" w:type="pct"/>
            <w:shd w:val="clear" w:color="auto" w:fill="auto"/>
          </w:tcPr>
          <w:p w:rsidR="00836020" w:rsidRPr="00916DCD" w:rsidRDefault="00916DCD" w:rsidP="00710756">
            <w:pPr>
              <w:pStyle w:val="Tabletext"/>
              <w:keepNext/>
              <w:keepLines/>
              <w:jc w:val="center"/>
              <w:rPr>
                <w:highlight w:val="black"/>
              </w:rPr>
            </w:pPr>
            <w:r>
              <w:rPr>
                <w:noProof/>
                <w:color w:val="000000"/>
                <w:highlight w:val="black"/>
              </w:rPr>
              <w:t>'''''''''''''''''</w:t>
            </w:r>
          </w:p>
        </w:tc>
        <w:tc>
          <w:tcPr>
            <w:tcW w:w="585" w:type="pct"/>
            <w:shd w:val="clear" w:color="auto" w:fill="auto"/>
          </w:tcPr>
          <w:p w:rsidR="00836020" w:rsidRPr="00916DCD" w:rsidRDefault="00916DCD" w:rsidP="00710756">
            <w:pPr>
              <w:pStyle w:val="Tabletext"/>
              <w:keepNext/>
              <w:keepLines/>
              <w:jc w:val="center"/>
              <w:rPr>
                <w:highlight w:val="black"/>
              </w:rPr>
            </w:pPr>
            <w:r>
              <w:rPr>
                <w:noProof/>
                <w:color w:val="000000"/>
                <w:highlight w:val="black"/>
              </w:rPr>
              <w:t>'''''''''''''''</w:t>
            </w:r>
          </w:p>
        </w:tc>
      </w:tr>
      <w:tr w:rsidR="00710756" w:rsidRPr="00B07E65" w:rsidTr="00710756">
        <w:tc>
          <w:tcPr>
            <w:tcW w:w="2038" w:type="pct"/>
            <w:shd w:val="clear" w:color="auto" w:fill="auto"/>
            <w:vAlign w:val="center"/>
          </w:tcPr>
          <w:p w:rsidR="00836020" w:rsidRPr="00B07E65" w:rsidRDefault="00836020" w:rsidP="00710756">
            <w:pPr>
              <w:keepNext/>
              <w:keepLines/>
              <w:tabs>
                <w:tab w:val="left" w:pos="142"/>
              </w:tabs>
              <w:ind w:right="93"/>
              <w:jc w:val="left"/>
              <w:rPr>
                <w:rFonts w:ascii="Arial Narrow" w:hAnsi="Arial Narrow"/>
                <w:sz w:val="20"/>
                <w:vertAlign w:val="superscript"/>
              </w:rPr>
            </w:pPr>
            <w:r w:rsidRPr="00B07E65">
              <w:rPr>
                <w:rFonts w:ascii="Arial Narrow" w:hAnsi="Arial Narrow"/>
                <w:sz w:val="20"/>
              </w:rPr>
              <w:t>Prescriptions - March 2016</w:t>
            </w:r>
            <w:r w:rsidR="0093351B" w:rsidRPr="00B07E65">
              <w:rPr>
                <w:rFonts w:ascii="Arial Narrow" w:hAnsi="Arial Narrow"/>
                <w:sz w:val="20"/>
              </w:rPr>
              <w:t xml:space="preserve"> </w:t>
            </w:r>
            <w:r w:rsidR="0093351B" w:rsidRPr="00B07E65">
              <w:rPr>
                <w:rFonts w:ascii="Arial Narrow" w:hAnsi="Arial Narrow"/>
                <w:sz w:val="20"/>
                <w:vertAlign w:val="superscript"/>
              </w:rPr>
              <w:t>a</w:t>
            </w:r>
          </w:p>
        </w:tc>
        <w:tc>
          <w:tcPr>
            <w:tcW w:w="594" w:type="pct"/>
            <w:shd w:val="clear" w:color="auto" w:fill="auto"/>
            <w:vAlign w:val="center"/>
          </w:tcPr>
          <w:p w:rsidR="00836020" w:rsidRPr="00916DCD" w:rsidRDefault="00916DCD" w:rsidP="0071075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vAlign w:val="center"/>
          </w:tcPr>
          <w:p w:rsidR="00836020" w:rsidRPr="00916DCD" w:rsidRDefault="00916DCD" w:rsidP="0071075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vAlign w:val="center"/>
          </w:tcPr>
          <w:p w:rsidR="00836020" w:rsidRPr="00916DCD" w:rsidRDefault="00916DCD" w:rsidP="0071075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vAlign w:val="center"/>
          </w:tcPr>
          <w:p w:rsidR="00836020" w:rsidRPr="00916DCD" w:rsidRDefault="00916DCD" w:rsidP="0071075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585" w:type="pct"/>
            <w:shd w:val="clear" w:color="auto" w:fill="auto"/>
            <w:vAlign w:val="center"/>
          </w:tcPr>
          <w:p w:rsidR="00836020" w:rsidRPr="00916DCD" w:rsidRDefault="00916DCD" w:rsidP="00710756">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710756" w:rsidRPr="00B07E65" w:rsidTr="00710756">
        <w:tc>
          <w:tcPr>
            <w:tcW w:w="5000" w:type="pct"/>
            <w:gridSpan w:val="6"/>
            <w:shd w:val="clear" w:color="auto" w:fill="auto"/>
            <w:vAlign w:val="center"/>
          </w:tcPr>
          <w:p w:rsidR="00710756" w:rsidRPr="00B07E65" w:rsidRDefault="00710756" w:rsidP="00710756">
            <w:pPr>
              <w:keepNext/>
              <w:keepLines/>
              <w:jc w:val="left"/>
              <w:rPr>
                <w:rFonts w:ascii="Arial Narrow" w:hAnsi="Arial Narrow"/>
                <w:b/>
                <w:sz w:val="20"/>
              </w:rPr>
            </w:pPr>
            <w:r w:rsidRPr="00B07E65">
              <w:rPr>
                <w:rFonts w:ascii="Arial Narrow" w:hAnsi="Arial Narrow"/>
                <w:b/>
                <w:sz w:val="20"/>
              </w:rPr>
              <w:t>Cost to PBS/RPBS</w:t>
            </w:r>
          </w:p>
        </w:tc>
      </w:tr>
      <w:tr w:rsidR="00710756" w:rsidRPr="00B07E65" w:rsidTr="00710756">
        <w:tc>
          <w:tcPr>
            <w:tcW w:w="2038" w:type="pct"/>
            <w:shd w:val="clear" w:color="auto" w:fill="auto"/>
            <w:vAlign w:val="center"/>
          </w:tcPr>
          <w:p w:rsidR="00215067" w:rsidRPr="00B07E65" w:rsidRDefault="00710756" w:rsidP="001A1D7A">
            <w:pPr>
              <w:keepNext/>
              <w:keepLines/>
              <w:tabs>
                <w:tab w:val="left" w:pos="142"/>
              </w:tabs>
              <w:ind w:right="93"/>
              <w:jc w:val="left"/>
              <w:rPr>
                <w:rFonts w:ascii="Arial Narrow" w:hAnsi="Arial Narrow"/>
                <w:sz w:val="20"/>
                <w:vertAlign w:val="superscript"/>
              </w:rPr>
            </w:pPr>
            <w:r w:rsidRPr="00B07E65">
              <w:rPr>
                <w:rFonts w:ascii="Arial Narrow" w:hAnsi="Arial Narrow"/>
                <w:sz w:val="20"/>
              </w:rPr>
              <w:t>Cost to PBS/RPBS</w:t>
            </w:r>
            <w:r w:rsidR="001A1D7A" w:rsidRPr="00B07E65">
              <w:rPr>
                <w:rFonts w:ascii="Arial Narrow" w:hAnsi="Arial Narrow"/>
                <w:sz w:val="20"/>
              </w:rPr>
              <w:t xml:space="preserve"> for</w:t>
            </w:r>
            <w:r w:rsidR="00547BCA" w:rsidRPr="00B07E65">
              <w:rPr>
                <w:rFonts w:ascii="Arial Narrow" w:hAnsi="Arial Narrow"/>
                <w:sz w:val="20"/>
              </w:rPr>
              <w:t xml:space="preserve"> </w:t>
            </w:r>
            <w:r w:rsidRPr="00B07E65">
              <w:rPr>
                <w:rFonts w:ascii="Arial Narrow" w:hAnsi="Arial Narrow"/>
                <w:sz w:val="20"/>
              </w:rPr>
              <w:t>SC MTX (</w:t>
            </w:r>
            <w:r w:rsidR="001A1D7A" w:rsidRPr="00B07E65">
              <w:rPr>
                <w:rFonts w:ascii="Arial Narrow" w:hAnsi="Arial Narrow"/>
                <w:sz w:val="20"/>
              </w:rPr>
              <w:t>no</w:t>
            </w:r>
            <w:r w:rsidR="00DC3BD7" w:rsidRPr="00B07E65">
              <w:rPr>
                <w:rFonts w:ascii="Arial Narrow" w:hAnsi="Arial Narrow"/>
                <w:sz w:val="20"/>
              </w:rPr>
              <w:t xml:space="preserve"> </w:t>
            </w:r>
            <w:r w:rsidRPr="00B07E65">
              <w:rPr>
                <w:rFonts w:ascii="Arial Narrow" w:hAnsi="Arial Narrow"/>
                <w:sz w:val="20"/>
              </w:rPr>
              <w:t>offsets)</w:t>
            </w:r>
            <w:r w:rsidRPr="00B07E65">
              <w:rPr>
                <w:rFonts w:ascii="Arial Narrow" w:hAnsi="Arial Narrow"/>
                <w:sz w:val="20"/>
                <w:vertAlign w:val="superscript"/>
              </w:rPr>
              <w:t>b</w:t>
            </w:r>
          </w:p>
        </w:tc>
        <w:tc>
          <w:tcPr>
            <w:tcW w:w="594" w:type="pct"/>
            <w:shd w:val="clear" w:color="auto" w:fill="auto"/>
          </w:tcPr>
          <w:p w:rsidR="00215067" w:rsidRPr="00B07E65" w:rsidRDefault="00215067" w:rsidP="00710756">
            <w:pPr>
              <w:pStyle w:val="Tabletext"/>
              <w:keepNext/>
              <w:keepLines/>
              <w:jc w:val="right"/>
            </w:pPr>
            <w:r w:rsidRPr="00B07E65">
              <w:t>$</w:t>
            </w:r>
            <w:r w:rsidR="00916DCD">
              <w:rPr>
                <w:noProof/>
                <w:color w:val="000000"/>
                <w:highlight w:val="black"/>
              </w:rPr>
              <w:t>'''''''''''''''''''''''''</w:t>
            </w:r>
          </w:p>
        </w:tc>
        <w:tc>
          <w:tcPr>
            <w:tcW w:w="595" w:type="pct"/>
            <w:shd w:val="clear" w:color="auto" w:fill="auto"/>
          </w:tcPr>
          <w:p w:rsidR="00215067" w:rsidRPr="00B07E65" w:rsidRDefault="00215067"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215067" w:rsidRPr="00B07E65" w:rsidRDefault="00215067"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215067" w:rsidRPr="00B07E65" w:rsidRDefault="00215067" w:rsidP="00710756">
            <w:pPr>
              <w:pStyle w:val="Tabletext"/>
              <w:keepNext/>
              <w:keepLines/>
              <w:jc w:val="right"/>
            </w:pPr>
            <w:r w:rsidRPr="00B07E65">
              <w:t>$</w:t>
            </w:r>
            <w:r w:rsidR="00916DCD">
              <w:rPr>
                <w:noProof/>
                <w:color w:val="000000"/>
                <w:highlight w:val="black"/>
              </w:rPr>
              <w:t>''''''''''''''''''''''''</w:t>
            </w:r>
          </w:p>
        </w:tc>
        <w:tc>
          <w:tcPr>
            <w:tcW w:w="585" w:type="pct"/>
            <w:shd w:val="clear" w:color="auto" w:fill="auto"/>
          </w:tcPr>
          <w:p w:rsidR="00215067" w:rsidRPr="00B07E65" w:rsidRDefault="00215067" w:rsidP="00710756">
            <w:pPr>
              <w:pStyle w:val="Tabletext"/>
              <w:keepNext/>
              <w:keepLines/>
              <w:jc w:val="right"/>
            </w:pPr>
            <w:r w:rsidRPr="00B07E65">
              <w:t>$</w:t>
            </w:r>
            <w:r w:rsidR="00916DCD">
              <w:rPr>
                <w:noProof/>
                <w:color w:val="000000"/>
                <w:highlight w:val="black"/>
              </w:rPr>
              <w:t>'''''''''''''''''''''''''</w:t>
            </w:r>
          </w:p>
        </w:tc>
      </w:tr>
      <w:tr w:rsidR="00710756" w:rsidRPr="00B07E65" w:rsidTr="00710756">
        <w:tc>
          <w:tcPr>
            <w:tcW w:w="2038" w:type="pct"/>
            <w:shd w:val="clear" w:color="auto" w:fill="auto"/>
            <w:vAlign w:val="center"/>
          </w:tcPr>
          <w:p w:rsidR="00540E74" w:rsidRPr="00B07E65" w:rsidRDefault="00540E74" w:rsidP="00710756">
            <w:pPr>
              <w:pStyle w:val="Tabletext"/>
              <w:keepNext/>
              <w:keepLines/>
            </w:pPr>
            <w:r w:rsidRPr="00B07E65">
              <w:t>Reduced cost of MTX glass vials</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5"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85"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r>
      <w:tr w:rsidR="00710756" w:rsidRPr="00B07E65" w:rsidTr="00710756">
        <w:tc>
          <w:tcPr>
            <w:tcW w:w="2038" w:type="pct"/>
            <w:shd w:val="clear" w:color="auto" w:fill="auto"/>
            <w:vAlign w:val="center"/>
          </w:tcPr>
          <w:p w:rsidR="00540E74" w:rsidRPr="00B07E65" w:rsidRDefault="00540E74" w:rsidP="004108B7">
            <w:pPr>
              <w:pStyle w:val="Tabletext"/>
              <w:keepNext/>
              <w:keepLines/>
            </w:pPr>
            <w:r w:rsidRPr="00B07E65">
              <w:t>Reduced cost of oral MTX</w:t>
            </w:r>
            <w:r w:rsidR="004108B7" w:rsidRPr="00B07E65">
              <w:t xml:space="preserve"> (as proxy for other DMARDs)</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5"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94"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c>
          <w:tcPr>
            <w:tcW w:w="585" w:type="pct"/>
            <w:shd w:val="clear" w:color="auto" w:fill="auto"/>
          </w:tcPr>
          <w:p w:rsidR="00540E74" w:rsidRPr="00B07E65" w:rsidRDefault="00540E74" w:rsidP="00710756">
            <w:pPr>
              <w:pStyle w:val="Tabletext"/>
              <w:keepNext/>
              <w:keepLines/>
              <w:jc w:val="right"/>
            </w:pPr>
            <w:r w:rsidRPr="00B07E65">
              <w:t>-$</w:t>
            </w:r>
            <w:r w:rsidR="00916DCD">
              <w:rPr>
                <w:noProof/>
                <w:color w:val="000000"/>
                <w:highlight w:val="black"/>
              </w:rPr>
              <w:t>''''''''''''''''''</w:t>
            </w:r>
          </w:p>
        </w:tc>
      </w:tr>
      <w:tr w:rsidR="00540E74" w:rsidRPr="00B07E65" w:rsidTr="00710756">
        <w:tc>
          <w:tcPr>
            <w:tcW w:w="5000" w:type="pct"/>
            <w:gridSpan w:val="6"/>
            <w:shd w:val="clear" w:color="auto" w:fill="auto"/>
            <w:vAlign w:val="center"/>
          </w:tcPr>
          <w:p w:rsidR="00540E74" w:rsidRPr="00B07E65" w:rsidRDefault="00540E74" w:rsidP="00710756">
            <w:pPr>
              <w:keepNext/>
              <w:keepLines/>
              <w:ind w:right="93"/>
              <w:jc w:val="left"/>
              <w:rPr>
                <w:rFonts w:ascii="Arial Narrow" w:hAnsi="Arial Narrow"/>
                <w:b/>
                <w:sz w:val="20"/>
              </w:rPr>
            </w:pPr>
            <w:r w:rsidRPr="00B07E65">
              <w:rPr>
                <w:rFonts w:ascii="Arial Narrow" w:hAnsi="Arial Narrow"/>
                <w:b/>
                <w:sz w:val="20"/>
              </w:rPr>
              <w:t>Estimated total net cost</w:t>
            </w:r>
            <w:r w:rsidRPr="00B07E65">
              <w:rPr>
                <w:rFonts w:ascii="Arial Narrow" w:hAnsi="Arial Narrow"/>
                <w:b/>
                <w:bCs/>
                <w:color w:val="000000"/>
                <w:sz w:val="20"/>
              </w:rPr>
              <w:t xml:space="preserve"> to PBS/RPBS</w:t>
            </w:r>
          </w:p>
        </w:tc>
      </w:tr>
      <w:tr w:rsidR="00710756" w:rsidRPr="00B07E65" w:rsidTr="00710756">
        <w:tc>
          <w:tcPr>
            <w:tcW w:w="2038" w:type="pct"/>
            <w:shd w:val="clear" w:color="auto" w:fill="auto"/>
            <w:vAlign w:val="center"/>
          </w:tcPr>
          <w:p w:rsidR="00540E74" w:rsidRPr="00B07E65" w:rsidRDefault="00540E74" w:rsidP="00710756">
            <w:pPr>
              <w:keepNext/>
              <w:keepLines/>
              <w:tabs>
                <w:tab w:val="left" w:pos="142"/>
              </w:tabs>
              <w:ind w:right="93"/>
              <w:jc w:val="left"/>
              <w:rPr>
                <w:rFonts w:ascii="Arial Narrow" w:hAnsi="Arial Narrow"/>
                <w:b/>
                <w:sz w:val="20"/>
                <w:vertAlign w:val="superscript"/>
              </w:rPr>
            </w:pPr>
            <w:r w:rsidRPr="00B07E65">
              <w:rPr>
                <w:rFonts w:ascii="Arial Narrow" w:hAnsi="Arial Narrow"/>
                <w:b/>
                <w:bCs/>
                <w:sz w:val="20"/>
              </w:rPr>
              <w:t xml:space="preserve">Net cost to </w:t>
            </w:r>
            <w:r w:rsidRPr="00B07E65">
              <w:rPr>
                <w:rFonts w:ascii="Arial Narrow" w:hAnsi="Arial Narrow"/>
                <w:b/>
                <w:bCs/>
                <w:color w:val="000000"/>
                <w:sz w:val="20"/>
              </w:rPr>
              <w:t>PBS/RPBS</w:t>
            </w:r>
            <w:r w:rsidRPr="00B07E65">
              <w:rPr>
                <w:rFonts w:ascii="Arial Narrow" w:hAnsi="Arial Narrow"/>
                <w:b/>
                <w:bCs/>
                <w:sz w:val="20"/>
              </w:rPr>
              <w:t xml:space="preserve"> </w:t>
            </w:r>
            <w:r w:rsidRPr="00B07E65">
              <w:rPr>
                <w:rFonts w:ascii="Arial Narrow" w:hAnsi="Arial Narrow"/>
                <w:b/>
                <w:bCs/>
                <w:sz w:val="20"/>
                <w:vertAlign w:val="superscript"/>
              </w:rPr>
              <w:t>b</w:t>
            </w:r>
          </w:p>
        </w:tc>
        <w:tc>
          <w:tcPr>
            <w:tcW w:w="594" w:type="pct"/>
            <w:shd w:val="clear" w:color="auto" w:fill="auto"/>
          </w:tcPr>
          <w:p w:rsidR="00540E74" w:rsidRPr="00B07E65" w:rsidRDefault="00540E74" w:rsidP="00710756">
            <w:pPr>
              <w:pStyle w:val="Tabletext"/>
              <w:keepNext/>
              <w:keepLines/>
              <w:jc w:val="right"/>
              <w:rPr>
                <w:b/>
              </w:rPr>
            </w:pPr>
            <w:r w:rsidRPr="00B07E65">
              <w:rPr>
                <w:b/>
              </w:rPr>
              <w:t>$</w:t>
            </w:r>
            <w:r w:rsidR="00916DCD">
              <w:rPr>
                <w:b/>
                <w:noProof/>
                <w:color w:val="000000"/>
                <w:highlight w:val="black"/>
              </w:rPr>
              <w:t>''''''''''''''''''</w:t>
            </w:r>
          </w:p>
        </w:tc>
        <w:tc>
          <w:tcPr>
            <w:tcW w:w="595" w:type="pct"/>
            <w:shd w:val="clear" w:color="auto" w:fill="auto"/>
          </w:tcPr>
          <w:p w:rsidR="00540E74" w:rsidRPr="00B07E65" w:rsidRDefault="00540E74" w:rsidP="00710756">
            <w:pPr>
              <w:pStyle w:val="Tabletext"/>
              <w:keepNext/>
              <w:keepLines/>
              <w:jc w:val="right"/>
              <w:rPr>
                <w:b/>
              </w:rPr>
            </w:pPr>
            <w:r w:rsidRPr="00B07E65">
              <w:rPr>
                <w:b/>
              </w:rPr>
              <w:t>$</w:t>
            </w:r>
            <w:r w:rsidR="00916DCD">
              <w:rPr>
                <w:b/>
                <w:noProof/>
                <w:color w:val="000000"/>
                <w:highlight w:val="black"/>
              </w:rPr>
              <w:t>''''''''''''''''''</w:t>
            </w:r>
          </w:p>
        </w:tc>
        <w:tc>
          <w:tcPr>
            <w:tcW w:w="594" w:type="pct"/>
            <w:shd w:val="clear" w:color="auto" w:fill="auto"/>
          </w:tcPr>
          <w:p w:rsidR="00540E74" w:rsidRPr="00B07E65" w:rsidRDefault="00540E74" w:rsidP="00710756">
            <w:pPr>
              <w:pStyle w:val="Tabletext"/>
              <w:keepNext/>
              <w:keepLines/>
              <w:jc w:val="right"/>
              <w:rPr>
                <w:b/>
              </w:rPr>
            </w:pPr>
            <w:r w:rsidRPr="00B07E65">
              <w:rPr>
                <w:b/>
              </w:rPr>
              <w:t>$</w:t>
            </w:r>
            <w:r w:rsidR="00916DCD">
              <w:rPr>
                <w:b/>
                <w:noProof/>
                <w:color w:val="000000"/>
                <w:highlight w:val="black"/>
              </w:rPr>
              <w:t>'''''''''''''''''''</w:t>
            </w:r>
          </w:p>
        </w:tc>
        <w:tc>
          <w:tcPr>
            <w:tcW w:w="594" w:type="pct"/>
            <w:shd w:val="clear" w:color="auto" w:fill="auto"/>
          </w:tcPr>
          <w:p w:rsidR="00540E74" w:rsidRPr="00B07E65" w:rsidRDefault="00540E74" w:rsidP="00710756">
            <w:pPr>
              <w:pStyle w:val="Tabletext"/>
              <w:keepNext/>
              <w:keepLines/>
              <w:jc w:val="right"/>
              <w:rPr>
                <w:b/>
              </w:rPr>
            </w:pPr>
            <w:r w:rsidRPr="00B07E65">
              <w:rPr>
                <w:b/>
              </w:rPr>
              <w:t>$</w:t>
            </w:r>
            <w:r w:rsidR="00916DCD">
              <w:rPr>
                <w:b/>
                <w:noProof/>
                <w:color w:val="000000"/>
                <w:highlight w:val="black"/>
              </w:rPr>
              <w:t>'''''''''''''''''''''</w:t>
            </w:r>
          </w:p>
        </w:tc>
        <w:tc>
          <w:tcPr>
            <w:tcW w:w="585" w:type="pct"/>
            <w:shd w:val="clear" w:color="auto" w:fill="auto"/>
          </w:tcPr>
          <w:p w:rsidR="00540E74" w:rsidRPr="00B07E65" w:rsidRDefault="00540E74" w:rsidP="00710756">
            <w:pPr>
              <w:pStyle w:val="Tabletext"/>
              <w:keepNext/>
              <w:keepLines/>
              <w:jc w:val="right"/>
              <w:rPr>
                <w:b/>
              </w:rPr>
            </w:pPr>
            <w:r w:rsidRPr="00B07E65">
              <w:rPr>
                <w:b/>
              </w:rPr>
              <w:t>$</w:t>
            </w:r>
            <w:r w:rsidR="00916DCD">
              <w:rPr>
                <w:b/>
                <w:noProof/>
                <w:color w:val="000000"/>
                <w:highlight w:val="black"/>
              </w:rPr>
              <w:t>'''''''''''''''''''''</w:t>
            </w:r>
          </w:p>
        </w:tc>
      </w:tr>
      <w:tr w:rsidR="00710756" w:rsidRPr="00B07E65" w:rsidTr="00710756">
        <w:tc>
          <w:tcPr>
            <w:tcW w:w="2038" w:type="pct"/>
            <w:shd w:val="clear" w:color="auto" w:fill="auto"/>
            <w:vAlign w:val="center"/>
          </w:tcPr>
          <w:p w:rsidR="00215067" w:rsidRPr="00B07E65" w:rsidRDefault="00215067" w:rsidP="00710756">
            <w:pPr>
              <w:keepNext/>
              <w:keepLines/>
              <w:tabs>
                <w:tab w:val="left" w:pos="142"/>
              </w:tabs>
              <w:ind w:right="93"/>
              <w:jc w:val="left"/>
              <w:rPr>
                <w:rFonts w:ascii="Arial Narrow" w:hAnsi="Arial Narrow"/>
                <w:b/>
                <w:bCs/>
                <w:sz w:val="20"/>
                <w:vertAlign w:val="superscript"/>
              </w:rPr>
            </w:pPr>
            <w:r w:rsidRPr="00B07E65">
              <w:rPr>
                <w:rFonts w:ascii="Arial Narrow" w:hAnsi="Arial Narrow"/>
                <w:b/>
                <w:bCs/>
                <w:sz w:val="20"/>
              </w:rPr>
              <w:t>Net cost to PBS/RPBS excluding oral MTX cost offsets</w:t>
            </w:r>
            <w:r w:rsidR="00710756" w:rsidRPr="00B07E65">
              <w:rPr>
                <w:rFonts w:ascii="Arial Narrow" w:hAnsi="Arial Narrow"/>
                <w:b/>
                <w:bCs/>
                <w:sz w:val="20"/>
              </w:rPr>
              <w:t xml:space="preserve"> </w:t>
            </w:r>
          </w:p>
        </w:tc>
        <w:tc>
          <w:tcPr>
            <w:tcW w:w="594" w:type="pct"/>
            <w:shd w:val="clear" w:color="auto" w:fill="auto"/>
            <w:vAlign w:val="center"/>
          </w:tcPr>
          <w:p w:rsidR="00215067" w:rsidRPr="00B07E65" w:rsidRDefault="00215067" w:rsidP="00710756">
            <w:pPr>
              <w:pStyle w:val="Tabletext"/>
              <w:keepNext/>
              <w:keepLines/>
              <w:jc w:val="right"/>
              <w:rPr>
                <w:b/>
              </w:rPr>
            </w:pPr>
            <w:r w:rsidRPr="00B07E65">
              <w:t>$</w:t>
            </w:r>
            <w:r w:rsidR="00916DCD">
              <w:rPr>
                <w:noProof/>
                <w:color w:val="000000"/>
                <w:highlight w:val="black"/>
              </w:rPr>
              <w:t>'''''''''''''''''''''''</w:t>
            </w:r>
          </w:p>
        </w:tc>
        <w:tc>
          <w:tcPr>
            <w:tcW w:w="595" w:type="pct"/>
            <w:shd w:val="clear" w:color="auto" w:fill="auto"/>
            <w:vAlign w:val="center"/>
          </w:tcPr>
          <w:p w:rsidR="00215067" w:rsidRPr="00B07E65" w:rsidRDefault="00215067" w:rsidP="00710756">
            <w:pPr>
              <w:pStyle w:val="Tabletext"/>
              <w:keepNext/>
              <w:keepLines/>
              <w:jc w:val="right"/>
              <w:rPr>
                <w:b/>
              </w:rPr>
            </w:pPr>
            <w:r w:rsidRPr="00B07E65">
              <w:t>$</w:t>
            </w:r>
            <w:r w:rsidR="00916DCD">
              <w:rPr>
                <w:noProof/>
                <w:color w:val="000000"/>
                <w:highlight w:val="black"/>
              </w:rPr>
              <w:t>'''''''''''''''''''''''''</w:t>
            </w:r>
          </w:p>
        </w:tc>
        <w:tc>
          <w:tcPr>
            <w:tcW w:w="594" w:type="pct"/>
            <w:shd w:val="clear" w:color="auto" w:fill="auto"/>
            <w:vAlign w:val="center"/>
          </w:tcPr>
          <w:p w:rsidR="00215067" w:rsidRPr="00B07E65" w:rsidRDefault="00215067" w:rsidP="00710756">
            <w:pPr>
              <w:pStyle w:val="Tabletext"/>
              <w:keepNext/>
              <w:keepLines/>
              <w:jc w:val="right"/>
              <w:rPr>
                <w:b/>
              </w:rPr>
            </w:pPr>
            <w:r w:rsidRPr="00B07E65">
              <w:t>$</w:t>
            </w:r>
            <w:r w:rsidR="00916DCD">
              <w:rPr>
                <w:noProof/>
                <w:color w:val="000000"/>
                <w:highlight w:val="black"/>
              </w:rPr>
              <w:t>'''''''''''''''''''''''</w:t>
            </w:r>
          </w:p>
        </w:tc>
        <w:tc>
          <w:tcPr>
            <w:tcW w:w="594" w:type="pct"/>
            <w:shd w:val="clear" w:color="auto" w:fill="auto"/>
            <w:vAlign w:val="center"/>
          </w:tcPr>
          <w:p w:rsidR="00215067" w:rsidRPr="00B07E65" w:rsidRDefault="00215067" w:rsidP="00710756">
            <w:pPr>
              <w:pStyle w:val="Tabletext"/>
              <w:keepNext/>
              <w:keepLines/>
              <w:jc w:val="right"/>
              <w:rPr>
                <w:b/>
              </w:rPr>
            </w:pPr>
            <w:r w:rsidRPr="00B07E65">
              <w:t>$</w:t>
            </w:r>
            <w:r w:rsidR="00916DCD">
              <w:rPr>
                <w:noProof/>
                <w:color w:val="000000"/>
                <w:highlight w:val="black"/>
              </w:rPr>
              <w:t>'''''''''''''''''''''''''</w:t>
            </w:r>
          </w:p>
        </w:tc>
        <w:tc>
          <w:tcPr>
            <w:tcW w:w="585" w:type="pct"/>
            <w:shd w:val="clear" w:color="auto" w:fill="auto"/>
            <w:vAlign w:val="center"/>
          </w:tcPr>
          <w:p w:rsidR="00215067" w:rsidRPr="00B07E65" w:rsidRDefault="00215067" w:rsidP="00710756">
            <w:pPr>
              <w:pStyle w:val="Tabletext"/>
              <w:keepNext/>
              <w:keepLines/>
              <w:jc w:val="right"/>
              <w:rPr>
                <w:b/>
              </w:rPr>
            </w:pPr>
            <w:r w:rsidRPr="00B07E65">
              <w:t>$</w:t>
            </w:r>
            <w:r w:rsidR="00916DCD">
              <w:rPr>
                <w:noProof/>
                <w:color w:val="000000"/>
                <w:highlight w:val="black"/>
              </w:rPr>
              <w:t>''''''''''''''''''''''</w:t>
            </w:r>
          </w:p>
        </w:tc>
      </w:tr>
      <w:tr w:rsidR="00710756" w:rsidRPr="00B07E65" w:rsidTr="00710756">
        <w:tc>
          <w:tcPr>
            <w:tcW w:w="2038" w:type="pct"/>
            <w:shd w:val="clear" w:color="auto" w:fill="auto"/>
            <w:vAlign w:val="center"/>
          </w:tcPr>
          <w:p w:rsidR="00215067" w:rsidRPr="00B07E65" w:rsidRDefault="00215067" w:rsidP="00710756">
            <w:pPr>
              <w:keepNext/>
              <w:keepLines/>
              <w:tabs>
                <w:tab w:val="left" w:pos="142"/>
              </w:tabs>
              <w:ind w:right="93"/>
              <w:jc w:val="left"/>
              <w:rPr>
                <w:rFonts w:ascii="Arial Narrow" w:hAnsi="Arial Narrow"/>
                <w:sz w:val="20"/>
              </w:rPr>
            </w:pPr>
            <w:r w:rsidRPr="00B07E65">
              <w:rPr>
                <w:rFonts w:ascii="Arial Narrow" w:hAnsi="Arial Narrow"/>
                <w:bCs/>
                <w:sz w:val="20"/>
              </w:rPr>
              <w:t xml:space="preserve">Net cost to </w:t>
            </w:r>
            <w:r w:rsidRPr="00B07E65">
              <w:rPr>
                <w:rFonts w:ascii="Arial Narrow" w:hAnsi="Arial Narrow"/>
                <w:bCs/>
                <w:color w:val="000000"/>
                <w:sz w:val="20"/>
              </w:rPr>
              <w:t>PBS/RPBS</w:t>
            </w:r>
            <w:r w:rsidRPr="00B07E65">
              <w:rPr>
                <w:rFonts w:ascii="Arial Narrow" w:hAnsi="Arial Narrow"/>
                <w:bCs/>
                <w:sz w:val="20"/>
              </w:rPr>
              <w:t xml:space="preserve"> - </w:t>
            </w:r>
            <w:r w:rsidRPr="00B07E65">
              <w:rPr>
                <w:rFonts w:ascii="Arial Narrow" w:hAnsi="Arial Narrow"/>
                <w:sz w:val="20"/>
              </w:rPr>
              <w:t>March 2016</w:t>
            </w:r>
          </w:p>
        </w:tc>
        <w:tc>
          <w:tcPr>
            <w:tcW w:w="594" w:type="pct"/>
            <w:shd w:val="clear" w:color="auto" w:fill="auto"/>
          </w:tcPr>
          <w:p w:rsidR="00215067" w:rsidRPr="00B07E65" w:rsidRDefault="00215067" w:rsidP="00710756">
            <w:pPr>
              <w:pStyle w:val="TableRight"/>
              <w:keepNext/>
              <w:keepLines/>
              <w:rPr>
                <w:rFonts w:ascii="Arial Narrow" w:hAnsi="Arial Narrow"/>
              </w:rPr>
            </w:pPr>
            <w:r w:rsidRPr="00B07E65">
              <w:rPr>
                <w:rFonts w:ascii="Arial Narrow" w:hAnsi="Arial Narrow"/>
              </w:rPr>
              <w:t>$</w:t>
            </w:r>
            <w:r w:rsidR="00916DCD">
              <w:rPr>
                <w:rFonts w:ascii="Arial Narrow" w:hAnsi="Arial Narrow"/>
                <w:noProof/>
                <w:color w:val="000000"/>
                <w:highlight w:val="black"/>
              </w:rPr>
              <w:t>''''''''''''''''''''</w:t>
            </w:r>
          </w:p>
        </w:tc>
        <w:tc>
          <w:tcPr>
            <w:tcW w:w="595" w:type="pct"/>
            <w:shd w:val="clear" w:color="auto" w:fill="auto"/>
          </w:tcPr>
          <w:p w:rsidR="00215067" w:rsidRPr="00B07E65" w:rsidRDefault="00215067" w:rsidP="00710756">
            <w:pPr>
              <w:pStyle w:val="TableRight"/>
              <w:keepNext/>
              <w:keepLines/>
              <w:rPr>
                <w:rFonts w:ascii="Arial Narrow" w:hAnsi="Arial Narrow"/>
              </w:rPr>
            </w:pPr>
            <w:r w:rsidRPr="00B07E65">
              <w:rPr>
                <w:rFonts w:ascii="Arial Narrow" w:hAnsi="Arial Narrow"/>
              </w:rPr>
              <w:t>$</w:t>
            </w:r>
            <w:r w:rsidR="00916DCD">
              <w:rPr>
                <w:rFonts w:ascii="Arial Narrow" w:hAnsi="Arial Narrow"/>
                <w:noProof/>
                <w:color w:val="000000"/>
                <w:highlight w:val="black"/>
              </w:rPr>
              <w:t>'''''''''''''''''''</w:t>
            </w:r>
          </w:p>
        </w:tc>
        <w:tc>
          <w:tcPr>
            <w:tcW w:w="594" w:type="pct"/>
            <w:shd w:val="clear" w:color="auto" w:fill="auto"/>
          </w:tcPr>
          <w:p w:rsidR="00215067" w:rsidRPr="00B07E65" w:rsidRDefault="00215067" w:rsidP="00710756">
            <w:pPr>
              <w:pStyle w:val="TableRight"/>
              <w:keepNext/>
              <w:keepLines/>
              <w:rPr>
                <w:rFonts w:ascii="Arial Narrow" w:hAnsi="Arial Narrow"/>
              </w:rPr>
            </w:pPr>
            <w:r w:rsidRPr="00B07E65">
              <w:rPr>
                <w:rFonts w:ascii="Arial Narrow" w:hAnsi="Arial Narrow"/>
              </w:rPr>
              <w:t>$</w:t>
            </w:r>
            <w:r w:rsidR="00916DCD">
              <w:rPr>
                <w:rFonts w:ascii="Arial Narrow" w:hAnsi="Arial Narrow"/>
                <w:noProof/>
                <w:color w:val="000000"/>
                <w:highlight w:val="black"/>
              </w:rPr>
              <w:t>'''''''''''''''''''''</w:t>
            </w:r>
          </w:p>
        </w:tc>
        <w:tc>
          <w:tcPr>
            <w:tcW w:w="594" w:type="pct"/>
            <w:shd w:val="clear" w:color="auto" w:fill="auto"/>
          </w:tcPr>
          <w:p w:rsidR="00215067" w:rsidRPr="00B07E65" w:rsidRDefault="00215067" w:rsidP="00710756">
            <w:pPr>
              <w:pStyle w:val="TableRight"/>
              <w:keepNext/>
              <w:keepLines/>
              <w:rPr>
                <w:rFonts w:ascii="Arial Narrow" w:hAnsi="Arial Narrow"/>
              </w:rPr>
            </w:pPr>
            <w:r w:rsidRPr="00B07E65">
              <w:rPr>
                <w:rFonts w:ascii="Arial Narrow" w:hAnsi="Arial Narrow"/>
              </w:rPr>
              <w:t>$</w:t>
            </w:r>
            <w:r w:rsidR="00916DCD">
              <w:rPr>
                <w:rFonts w:ascii="Arial Narrow" w:hAnsi="Arial Narrow"/>
                <w:noProof/>
                <w:color w:val="000000"/>
                <w:highlight w:val="black"/>
              </w:rPr>
              <w:t>'''''''''''''''''''</w:t>
            </w:r>
          </w:p>
        </w:tc>
        <w:tc>
          <w:tcPr>
            <w:tcW w:w="585" w:type="pct"/>
            <w:shd w:val="clear" w:color="auto" w:fill="auto"/>
          </w:tcPr>
          <w:p w:rsidR="00215067" w:rsidRPr="00B07E65" w:rsidRDefault="00215067" w:rsidP="00710756">
            <w:pPr>
              <w:pStyle w:val="TableRight"/>
              <w:keepNext/>
              <w:keepLines/>
              <w:rPr>
                <w:rFonts w:ascii="Arial Narrow" w:hAnsi="Arial Narrow"/>
              </w:rPr>
            </w:pPr>
            <w:r w:rsidRPr="00B07E65">
              <w:rPr>
                <w:rFonts w:ascii="Arial Narrow" w:hAnsi="Arial Narrow"/>
              </w:rPr>
              <w:t>$</w:t>
            </w:r>
            <w:r w:rsidR="00916DCD">
              <w:rPr>
                <w:rFonts w:ascii="Arial Narrow" w:hAnsi="Arial Narrow"/>
                <w:noProof/>
                <w:color w:val="000000"/>
                <w:highlight w:val="black"/>
              </w:rPr>
              <w:t>''''''''''''''''''</w:t>
            </w:r>
          </w:p>
        </w:tc>
      </w:tr>
    </w:tbl>
    <w:p w:rsidR="0004231D" w:rsidRPr="00B07E65" w:rsidRDefault="0004231D" w:rsidP="00710756">
      <w:pPr>
        <w:pStyle w:val="TableFooter"/>
        <w:keepNext/>
        <w:keepLines/>
        <w:ind w:left="709"/>
      </w:pPr>
      <w:r w:rsidRPr="00B07E65">
        <w:t xml:space="preserve">Source: </w:t>
      </w:r>
      <w:r w:rsidR="00DF52E9" w:rsidRPr="00B07E65">
        <w:t xml:space="preserve">Table 16, p18 of PBAC </w:t>
      </w:r>
      <w:r w:rsidR="00DB56B3">
        <w:t>PSD</w:t>
      </w:r>
      <w:r w:rsidR="00DF52E9" w:rsidRPr="00B07E65">
        <w:t xml:space="preserve">, March 2016; </w:t>
      </w:r>
      <w:r w:rsidR="001D6158" w:rsidRPr="00B07E65">
        <w:t>compiled</w:t>
      </w:r>
      <w:r w:rsidRPr="00B07E65">
        <w:t xml:space="preserve"> during the evaluation</w:t>
      </w:r>
      <w:r w:rsidR="00ED7FA2" w:rsidRPr="00B07E65">
        <w:t xml:space="preserve">; and </w:t>
      </w:r>
      <w:r w:rsidR="00587429" w:rsidRPr="00B07E65">
        <w:t xml:space="preserve">corrected </w:t>
      </w:r>
      <w:r w:rsidR="003273C8" w:rsidRPr="00B07E65">
        <w:t xml:space="preserve">during the evaluation </w:t>
      </w:r>
    </w:p>
    <w:p w:rsidR="006E2A30" w:rsidRPr="00B07E65" w:rsidRDefault="006E2A30" w:rsidP="00710756">
      <w:pPr>
        <w:pStyle w:val="TableFooter"/>
        <w:keepNext/>
        <w:keepLines/>
        <w:ind w:left="709"/>
      </w:pPr>
      <w:r w:rsidRPr="00B07E65">
        <w:t xml:space="preserve">DPMQ = dispensed price maximum quantity; PBS= Pharmaceutical Benefits Scheme; RPBS= Repatriation </w:t>
      </w:r>
      <w:r w:rsidR="006B3087" w:rsidRPr="00B07E65">
        <w:t>Pharmaceutical Benefits Scheme</w:t>
      </w:r>
      <w:r w:rsidRPr="00B07E65">
        <w:t>;</w:t>
      </w:r>
      <w:r w:rsidR="006B3087" w:rsidRPr="00B07E65">
        <w:t xml:space="preserve"> </w:t>
      </w:r>
      <w:r w:rsidRPr="00B07E65">
        <w:t>SC= subcutaneous</w:t>
      </w:r>
    </w:p>
    <w:p w:rsidR="00967B33" w:rsidRPr="00B07E65" w:rsidRDefault="00967B33" w:rsidP="00710756">
      <w:pPr>
        <w:pStyle w:val="TableFooter"/>
        <w:keepNext/>
        <w:keepLines/>
        <w:ind w:firstLine="709"/>
      </w:pPr>
      <w:proofErr w:type="gramStart"/>
      <w:r w:rsidRPr="00B07E65">
        <w:rPr>
          <w:vertAlign w:val="superscript"/>
        </w:rPr>
        <w:t>a</w:t>
      </w:r>
      <w:proofErr w:type="gramEnd"/>
      <w:r w:rsidRPr="00B07E65">
        <w:rPr>
          <w:vertAlign w:val="superscript"/>
        </w:rPr>
        <w:t xml:space="preserve"> </w:t>
      </w:r>
      <w:r w:rsidRPr="00B07E65">
        <w:t xml:space="preserve">The previous submission did not estimate the number of patients likely to utilise SC methotrexate. </w:t>
      </w:r>
    </w:p>
    <w:p w:rsidR="004E4575" w:rsidRPr="00B07E65" w:rsidRDefault="004E4575" w:rsidP="00710756">
      <w:pPr>
        <w:pStyle w:val="TableFooter"/>
        <w:keepNext/>
        <w:keepLines/>
        <w:ind w:firstLine="709"/>
      </w:pPr>
      <w:proofErr w:type="gramStart"/>
      <w:r w:rsidRPr="00B07E65">
        <w:rPr>
          <w:vertAlign w:val="superscript"/>
        </w:rPr>
        <w:t>b</w:t>
      </w:r>
      <w:proofErr w:type="gramEnd"/>
      <w:r w:rsidRPr="00B07E65">
        <w:t xml:space="preserve"> Recalculated during </w:t>
      </w:r>
      <w:r w:rsidR="003273C8" w:rsidRPr="00B07E65">
        <w:t xml:space="preserve">the evaluation using the </w:t>
      </w:r>
      <w:r w:rsidR="00536D5F" w:rsidRPr="00B07E65">
        <w:t xml:space="preserve">corrected </w:t>
      </w:r>
      <w:r w:rsidR="003273C8" w:rsidRPr="00B07E65">
        <w:t>DPMQ of $</w:t>
      </w:r>
      <w:r w:rsidR="00916DCD">
        <w:rPr>
          <w:noProof/>
          <w:color w:val="000000"/>
          <w:highlight w:val="black"/>
        </w:rPr>
        <w:t>'''''''''''''''</w:t>
      </w:r>
      <w:r w:rsidR="006C4C20" w:rsidRPr="00B07E65">
        <w:t>.</w:t>
      </w:r>
    </w:p>
    <w:p w:rsidR="00C25D9C" w:rsidRPr="00B07E65" w:rsidRDefault="00C25D9C" w:rsidP="00710756">
      <w:pPr>
        <w:keepNext/>
        <w:keepLines/>
        <w:widowControl/>
        <w:rPr>
          <w:szCs w:val="22"/>
        </w:rPr>
      </w:pPr>
    </w:p>
    <w:p w:rsidR="009B7AB1" w:rsidRPr="00B07E65" w:rsidRDefault="009B7AB1" w:rsidP="00271C16">
      <w:pPr>
        <w:pStyle w:val="ListParagraph"/>
        <w:widowControl/>
        <w:numPr>
          <w:ilvl w:val="1"/>
          <w:numId w:val="1"/>
        </w:numPr>
        <w:rPr>
          <w:szCs w:val="22"/>
        </w:rPr>
      </w:pPr>
      <w:r w:rsidRPr="00B07E65">
        <w:rPr>
          <w:szCs w:val="22"/>
        </w:rPr>
        <w:t xml:space="preserve">The </w:t>
      </w:r>
      <w:r w:rsidR="00DC7604" w:rsidRPr="00B07E65">
        <w:rPr>
          <w:szCs w:val="22"/>
        </w:rPr>
        <w:t>resubmission estimated tha</w:t>
      </w:r>
      <w:r w:rsidR="00F925F5" w:rsidRPr="00B07E65">
        <w:rPr>
          <w:szCs w:val="22"/>
        </w:rPr>
        <w:t>t the cost to the PBS/RPBS would be $</w:t>
      </w:r>
      <w:r w:rsidR="001F43EA">
        <w:rPr>
          <w:szCs w:val="22"/>
        </w:rPr>
        <w:t>10 - 20</w:t>
      </w:r>
      <w:r w:rsidR="00F925F5" w:rsidRPr="00B07E65">
        <w:rPr>
          <w:szCs w:val="22"/>
        </w:rPr>
        <w:t xml:space="preserve"> million in the first five years of listing. This was compared with </w:t>
      </w:r>
      <w:r w:rsidR="001F43EA">
        <w:rPr>
          <w:szCs w:val="22"/>
        </w:rPr>
        <w:t xml:space="preserve">less than </w:t>
      </w:r>
      <w:r w:rsidR="00F925F5" w:rsidRPr="00B07E65">
        <w:rPr>
          <w:szCs w:val="22"/>
        </w:rPr>
        <w:t>$</w:t>
      </w:r>
      <w:r w:rsidR="001F43EA">
        <w:rPr>
          <w:szCs w:val="22"/>
        </w:rPr>
        <w:t>10</w:t>
      </w:r>
      <w:r w:rsidR="00F925F5" w:rsidRPr="00B07E65">
        <w:rPr>
          <w:szCs w:val="22"/>
        </w:rPr>
        <w:t xml:space="preserve"> million in the previous submission. </w:t>
      </w:r>
      <w:r w:rsidR="00E54633">
        <w:rPr>
          <w:szCs w:val="22"/>
        </w:rPr>
        <w:t>The resubmission estimated that at year 5, the number of treated patients would be less than 10,000 per year.</w:t>
      </w:r>
    </w:p>
    <w:p w:rsidR="00A84840" w:rsidRPr="00B07E65" w:rsidRDefault="00A84840" w:rsidP="008D7CBA"/>
    <w:p w:rsidR="00C25D9C" w:rsidRPr="00B07E65" w:rsidRDefault="00967B33" w:rsidP="00271C16">
      <w:pPr>
        <w:pStyle w:val="ListParagraph"/>
        <w:widowControl/>
        <w:numPr>
          <w:ilvl w:val="1"/>
          <w:numId w:val="1"/>
        </w:numPr>
        <w:rPr>
          <w:szCs w:val="22"/>
        </w:rPr>
      </w:pPr>
      <w:r w:rsidRPr="00B07E65">
        <w:t xml:space="preserve">The </w:t>
      </w:r>
      <w:r w:rsidR="009D281A" w:rsidRPr="00B07E65">
        <w:t xml:space="preserve">evaluation considered that the </w:t>
      </w:r>
      <w:r w:rsidR="00F925F5" w:rsidRPr="00B07E65">
        <w:t xml:space="preserve">cost to the PBS/RPBS could be higher or lower than presented in the </w:t>
      </w:r>
      <w:r w:rsidRPr="00B07E65">
        <w:t>resubmission</w:t>
      </w:r>
      <w:r w:rsidR="00F925F5" w:rsidRPr="00B07E65">
        <w:t xml:space="preserve"> because: </w:t>
      </w:r>
    </w:p>
    <w:p w:rsidR="00F925F5" w:rsidRPr="00B07E65" w:rsidRDefault="002C58D8" w:rsidP="00271C16">
      <w:pPr>
        <w:pStyle w:val="ListParagraph"/>
        <w:numPr>
          <w:ilvl w:val="0"/>
          <w:numId w:val="12"/>
        </w:numPr>
        <w:ind w:left="1077" w:hanging="357"/>
        <w:rPr>
          <w:szCs w:val="22"/>
        </w:rPr>
      </w:pPr>
      <w:proofErr w:type="gramStart"/>
      <w:r w:rsidRPr="00B07E65">
        <w:rPr>
          <w:szCs w:val="22"/>
        </w:rPr>
        <w:t>t</w:t>
      </w:r>
      <w:r w:rsidR="00D270E0" w:rsidRPr="00B07E65">
        <w:rPr>
          <w:szCs w:val="22"/>
        </w:rPr>
        <w:t>he</w:t>
      </w:r>
      <w:proofErr w:type="gramEnd"/>
      <w:r w:rsidR="00235C05" w:rsidRPr="00B07E65">
        <w:rPr>
          <w:szCs w:val="22"/>
        </w:rPr>
        <w:t xml:space="preserve"> number of patients with moderate-to-severe rheumatoid arthritis (or severe psoriasis) on methotrexate was underestimated</w:t>
      </w:r>
      <w:r w:rsidR="00244490" w:rsidRPr="00B07E65">
        <w:rPr>
          <w:szCs w:val="22"/>
        </w:rPr>
        <w:t xml:space="preserve"> (75%)</w:t>
      </w:r>
      <w:r w:rsidR="00235C05" w:rsidRPr="00B07E65">
        <w:rPr>
          <w:szCs w:val="22"/>
        </w:rPr>
        <w:t xml:space="preserve">. This was because </w:t>
      </w:r>
      <w:r w:rsidR="00F925F5" w:rsidRPr="00B07E65">
        <w:rPr>
          <w:szCs w:val="22"/>
        </w:rPr>
        <w:t xml:space="preserve">patients with moderate-to-severe rheumatoid arthritis </w:t>
      </w:r>
      <w:r w:rsidR="00235C05" w:rsidRPr="00B07E65">
        <w:rPr>
          <w:szCs w:val="22"/>
        </w:rPr>
        <w:t xml:space="preserve">(or severe psoriasis) </w:t>
      </w:r>
      <w:r w:rsidR="00D77444" w:rsidRPr="00B07E65">
        <w:rPr>
          <w:szCs w:val="22"/>
        </w:rPr>
        <w:t>were</w:t>
      </w:r>
      <w:r w:rsidR="00F925F5" w:rsidRPr="00B07E65">
        <w:rPr>
          <w:szCs w:val="22"/>
        </w:rPr>
        <w:t xml:space="preserve"> </w:t>
      </w:r>
      <w:r w:rsidR="00D77444" w:rsidRPr="00B07E65">
        <w:rPr>
          <w:szCs w:val="22"/>
        </w:rPr>
        <w:t xml:space="preserve">assumed to have the same rate of use of methotrexate as all patients with rheumatoid arthritis (or psoriasis), regardless of disease severity </w:t>
      </w:r>
      <w:r w:rsidR="00F925F5" w:rsidRPr="00B07E65">
        <w:rPr>
          <w:szCs w:val="22"/>
        </w:rPr>
        <w:t>(</w:t>
      </w:r>
      <w:r w:rsidR="007C0531" w:rsidRPr="00B07E65">
        <w:rPr>
          <w:szCs w:val="22"/>
        </w:rPr>
        <w:t xml:space="preserve">likely </w:t>
      </w:r>
      <w:r w:rsidR="00F925F5" w:rsidRPr="00B07E65">
        <w:rPr>
          <w:szCs w:val="22"/>
        </w:rPr>
        <w:t xml:space="preserve">underestimated the eligible population); </w:t>
      </w:r>
    </w:p>
    <w:p w:rsidR="00F925F5" w:rsidRPr="00B07E65" w:rsidRDefault="002C58D8" w:rsidP="00271C16">
      <w:pPr>
        <w:pStyle w:val="ListParagraph"/>
        <w:numPr>
          <w:ilvl w:val="0"/>
          <w:numId w:val="12"/>
        </w:numPr>
        <w:ind w:left="1077" w:hanging="357"/>
        <w:rPr>
          <w:szCs w:val="22"/>
        </w:rPr>
      </w:pPr>
      <w:r w:rsidRPr="00B07E65">
        <w:rPr>
          <w:szCs w:val="22"/>
        </w:rPr>
        <w:t>t</w:t>
      </w:r>
      <w:r w:rsidR="00F925F5" w:rsidRPr="00B07E65">
        <w:rPr>
          <w:szCs w:val="22"/>
        </w:rPr>
        <w:t>he proportion of patients</w:t>
      </w:r>
      <w:r w:rsidR="003B0A1B" w:rsidRPr="00B07E65">
        <w:rPr>
          <w:szCs w:val="22"/>
        </w:rPr>
        <w:t xml:space="preserve"> with rheumatoid arthritis</w:t>
      </w:r>
      <w:r w:rsidR="00F925F5" w:rsidRPr="00B07E65">
        <w:rPr>
          <w:szCs w:val="22"/>
        </w:rPr>
        <w:t xml:space="preserve"> </w:t>
      </w:r>
      <w:r w:rsidR="003B0A1B" w:rsidRPr="00B07E65">
        <w:rPr>
          <w:szCs w:val="22"/>
        </w:rPr>
        <w:t xml:space="preserve">who are </w:t>
      </w:r>
      <w:r w:rsidR="00F925F5" w:rsidRPr="00B07E65">
        <w:rPr>
          <w:szCs w:val="22"/>
        </w:rPr>
        <w:t xml:space="preserve">unsuitable for oral methotrexate </w:t>
      </w:r>
      <w:r w:rsidR="00B91668" w:rsidRPr="00B07E65">
        <w:rPr>
          <w:szCs w:val="22"/>
        </w:rPr>
        <w:t xml:space="preserve">(22.5%) </w:t>
      </w:r>
      <w:r w:rsidR="00F925F5" w:rsidRPr="00B07E65">
        <w:rPr>
          <w:szCs w:val="22"/>
        </w:rPr>
        <w:t xml:space="preserve">was overestimated </w:t>
      </w:r>
      <w:r w:rsidR="00937379" w:rsidRPr="00B07E65">
        <w:rPr>
          <w:szCs w:val="22"/>
        </w:rPr>
        <w:t xml:space="preserve">because it </w:t>
      </w:r>
      <w:r w:rsidR="00937379" w:rsidRPr="00B07E65">
        <w:rPr>
          <w:szCs w:val="24"/>
        </w:rPr>
        <w:t xml:space="preserve">was based on </w:t>
      </w:r>
      <w:r w:rsidR="00587429" w:rsidRPr="00B07E65">
        <w:rPr>
          <w:szCs w:val="24"/>
        </w:rPr>
        <w:t>a</w:t>
      </w:r>
      <w:r w:rsidR="00937379" w:rsidRPr="00B07E65">
        <w:rPr>
          <w:szCs w:val="24"/>
        </w:rPr>
        <w:t xml:space="preserve"> </w:t>
      </w:r>
      <w:r w:rsidR="005B3F2A" w:rsidRPr="00B07E65">
        <w:rPr>
          <w:szCs w:val="24"/>
        </w:rPr>
        <w:t xml:space="preserve">study that used a </w:t>
      </w:r>
      <w:r w:rsidR="00937379" w:rsidRPr="00B07E65">
        <w:rPr>
          <w:szCs w:val="24"/>
        </w:rPr>
        <w:t xml:space="preserve">treatment strategy </w:t>
      </w:r>
      <w:r w:rsidR="005B3F2A" w:rsidRPr="00B07E65">
        <w:rPr>
          <w:szCs w:val="24"/>
        </w:rPr>
        <w:t xml:space="preserve">that was </w:t>
      </w:r>
      <w:r w:rsidR="00937379" w:rsidRPr="00B07E65">
        <w:rPr>
          <w:szCs w:val="24"/>
        </w:rPr>
        <w:t xml:space="preserve">not applicable to Australian clinical practice </w:t>
      </w:r>
      <w:r w:rsidR="00F925F5" w:rsidRPr="00B07E65">
        <w:rPr>
          <w:szCs w:val="22"/>
        </w:rPr>
        <w:t>(</w:t>
      </w:r>
      <w:r w:rsidR="007C0531" w:rsidRPr="00B07E65">
        <w:rPr>
          <w:szCs w:val="22"/>
        </w:rPr>
        <w:t xml:space="preserve">likely </w:t>
      </w:r>
      <w:r w:rsidR="00F925F5" w:rsidRPr="00B07E65">
        <w:rPr>
          <w:szCs w:val="22"/>
        </w:rPr>
        <w:t>overestimated the eligible population)</w:t>
      </w:r>
      <w:r w:rsidR="00B91668" w:rsidRPr="00B07E65">
        <w:rPr>
          <w:szCs w:val="22"/>
        </w:rPr>
        <w:t>. This differed substantially from the previous submission which estimated 5% of rheumatoid arthritis patients were unsuitable for oral methotrexate</w:t>
      </w:r>
      <w:r w:rsidR="00F925F5" w:rsidRPr="00B07E65">
        <w:rPr>
          <w:szCs w:val="22"/>
        </w:rPr>
        <w:t xml:space="preserve">; </w:t>
      </w:r>
    </w:p>
    <w:p w:rsidR="005E494C" w:rsidRPr="00B07E65" w:rsidRDefault="003B0A1B" w:rsidP="00271C16">
      <w:pPr>
        <w:pStyle w:val="ListParagraph"/>
        <w:numPr>
          <w:ilvl w:val="0"/>
          <w:numId w:val="12"/>
        </w:numPr>
        <w:ind w:left="1077" w:hanging="357"/>
        <w:rPr>
          <w:szCs w:val="22"/>
        </w:rPr>
      </w:pPr>
      <w:r w:rsidRPr="00B07E65">
        <w:rPr>
          <w:szCs w:val="22"/>
        </w:rPr>
        <w:t>the proportion of patients with psoriasis who are unsuitable for oral methotrexate (5%) was poorly justified</w:t>
      </w:r>
      <w:r w:rsidR="00832764">
        <w:rPr>
          <w:szCs w:val="22"/>
        </w:rPr>
        <w:t>;</w:t>
      </w:r>
    </w:p>
    <w:p w:rsidR="003B0A1B" w:rsidRPr="00B07E65" w:rsidRDefault="002C58D8" w:rsidP="00271C16">
      <w:pPr>
        <w:pStyle w:val="ListParagraph"/>
        <w:numPr>
          <w:ilvl w:val="0"/>
          <w:numId w:val="12"/>
        </w:numPr>
        <w:ind w:left="1077" w:hanging="357"/>
        <w:rPr>
          <w:szCs w:val="22"/>
        </w:rPr>
      </w:pPr>
      <w:proofErr w:type="gramStart"/>
      <w:r w:rsidRPr="00B07E65">
        <w:rPr>
          <w:szCs w:val="22"/>
        </w:rPr>
        <w:t>u</w:t>
      </w:r>
      <w:r w:rsidR="00D270E0" w:rsidRPr="00B07E65">
        <w:rPr>
          <w:szCs w:val="22"/>
        </w:rPr>
        <w:t>ptake</w:t>
      </w:r>
      <w:proofErr w:type="gramEnd"/>
      <w:r w:rsidR="00937379" w:rsidRPr="00B07E65">
        <w:rPr>
          <w:szCs w:val="22"/>
        </w:rPr>
        <w:t xml:space="preserve"> from oral methotrexate was used as a proxy for uptake from other DMARDs. </w:t>
      </w:r>
      <w:r w:rsidR="00937379" w:rsidRPr="00B07E65">
        <w:t>It m</w:t>
      </w:r>
      <w:r w:rsidR="003B0A1B" w:rsidRPr="00B07E65">
        <w:t>ay</w:t>
      </w:r>
      <w:r w:rsidR="00937379" w:rsidRPr="00B07E65">
        <w:t xml:space="preserve"> be reasonable to assume that SC methotrexate might grow the market for parenteral methotrexate and there may be substitution from other DMARDs. However, the</w:t>
      </w:r>
      <w:r w:rsidR="003B0A1B" w:rsidRPr="00B07E65">
        <w:rPr>
          <w:szCs w:val="22"/>
        </w:rPr>
        <w:t xml:space="preserve"> </w:t>
      </w:r>
      <w:r w:rsidR="003254C7" w:rsidRPr="00B07E65">
        <w:rPr>
          <w:szCs w:val="22"/>
        </w:rPr>
        <w:t>inclusion of cost</w:t>
      </w:r>
      <w:r w:rsidR="0009058C" w:rsidRPr="00B07E65">
        <w:rPr>
          <w:szCs w:val="22"/>
        </w:rPr>
        <w:t xml:space="preserve"> </w:t>
      </w:r>
      <w:r w:rsidR="003254C7" w:rsidRPr="00B07E65">
        <w:rPr>
          <w:szCs w:val="22"/>
        </w:rPr>
        <w:t>offsets for substitution of oral methotrexate</w:t>
      </w:r>
      <w:r w:rsidR="003B0A1B" w:rsidRPr="00B07E65">
        <w:rPr>
          <w:szCs w:val="22"/>
        </w:rPr>
        <w:t xml:space="preserve"> was not appropriate</w:t>
      </w:r>
      <w:r w:rsidR="003254C7" w:rsidRPr="00B07E65">
        <w:rPr>
          <w:szCs w:val="22"/>
        </w:rPr>
        <w:t xml:space="preserve"> </w:t>
      </w:r>
      <w:r w:rsidR="003B0A1B" w:rsidRPr="00B07E65">
        <w:rPr>
          <w:szCs w:val="22"/>
        </w:rPr>
        <w:t>because</w:t>
      </w:r>
      <w:r w:rsidR="004E62EA" w:rsidRPr="00B07E65">
        <w:rPr>
          <w:szCs w:val="22"/>
        </w:rPr>
        <w:t xml:space="preserve"> other DMARDs are more costly </w:t>
      </w:r>
      <w:r w:rsidR="003B0A1B" w:rsidRPr="00B07E65">
        <w:rPr>
          <w:szCs w:val="22"/>
        </w:rPr>
        <w:t>than methotrexate (</w:t>
      </w:r>
      <w:r w:rsidR="004E62EA" w:rsidRPr="00B07E65">
        <w:rPr>
          <w:szCs w:val="22"/>
        </w:rPr>
        <w:t xml:space="preserve">underestimated </w:t>
      </w:r>
      <w:r w:rsidR="003254C7" w:rsidRPr="00B07E65">
        <w:rPr>
          <w:szCs w:val="22"/>
        </w:rPr>
        <w:t>cost offsets</w:t>
      </w:r>
      <w:r w:rsidR="003B0A1B" w:rsidRPr="00B07E65">
        <w:rPr>
          <w:szCs w:val="22"/>
        </w:rPr>
        <w:t xml:space="preserve">); </w:t>
      </w:r>
      <w:r w:rsidR="005F5E96" w:rsidRPr="00B07E65">
        <w:rPr>
          <w:szCs w:val="22"/>
        </w:rPr>
        <w:t>and</w:t>
      </w:r>
    </w:p>
    <w:p w:rsidR="00F925F5" w:rsidRPr="00B07E65" w:rsidRDefault="007E0D00" w:rsidP="00271C16">
      <w:pPr>
        <w:pStyle w:val="ListParagraph"/>
        <w:numPr>
          <w:ilvl w:val="0"/>
          <w:numId w:val="12"/>
        </w:numPr>
        <w:ind w:left="1077" w:hanging="357"/>
        <w:rPr>
          <w:szCs w:val="22"/>
        </w:rPr>
      </w:pPr>
      <w:proofErr w:type="gramStart"/>
      <w:r w:rsidRPr="00B07E65">
        <w:rPr>
          <w:szCs w:val="22"/>
        </w:rPr>
        <w:t>t</w:t>
      </w:r>
      <w:r w:rsidR="00F925F5" w:rsidRPr="00B07E65">
        <w:rPr>
          <w:szCs w:val="22"/>
        </w:rPr>
        <w:t>he</w:t>
      </w:r>
      <w:proofErr w:type="gramEnd"/>
      <w:r w:rsidR="00F925F5" w:rsidRPr="00B07E65">
        <w:rPr>
          <w:szCs w:val="22"/>
        </w:rPr>
        <w:t xml:space="preserve"> uptake rates were poorly justified (unknown impact)</w:t>
      </w:r>
      <w:r w:rsidR="005F5E96" w:rsidRPr="00B07E65">
        <w:rPr>
          <w:szCs w:val="22"/>
        </w:rPr>
        <w:t>.</w:t>
      </w:r>
    </w:p>
    <w:p w:rsidR="00A84840" w:rsidRPr="00B07E65" w:rsidRDefault="00A84840" w:rsidP="008A2939">
      <w:pPr>
        <w:widowControl/>
        <w:rPr>
          <w:szCs w:val="22"/>
        </w:rPr>
      </w:pPr>
    </w:p>
    <w:p w:rsidR="00A84840" w:rsidRPr="00B07E65" w:rsidRDefault="000F09D4" w:rsidP="00271C16">
      <w:pPr>
        <w:pStyle w:val="ListParagraph"/>
        <w:widowControl/>
        <w:numPr>
          <w:ilvl w:val="1"/>
          <w:numId w:val="1"/>
        </w:numPr>
      </w:pPr>
      <w:r w:rsidRPr="00B07E65">
        <w:t>T</w:t>
      </w:r>
      <w:r w:rsidR="00A84840" w:rsidRPr="00B07E65">
        <w:t>he resubmission assumed that uptake of SC methotrexate would be from two sources:</w:t>
      </w:r>
    </w:p>
    <w:p w:rsidR="00A84840" w:rsidRPr="00B07E65" w:rsidRDefault="00A84840" w:rsidP="00271C16">
      <w:pPr>
        <w:pStyle w:val="ListParagraph"/>
        <w:widowControl/>
        <w:numPr>
          <w:ilvl w:val="0"/>
          <w:numId w:val="13"/>
        </w:numPr>
      </w:pPr>
      <w:proofErr w:type="gramStart"/>
      <w:r w:rsidRPr="00B07E65">
        <w:t>methotrexate</w:t>
      </w:r>
      <w:proofErr w:type="gramEnd"/>
      <w:r w:rsidRPr="00B07E65">
        <w:t xml:space="preserve"> vials, with 95% substitution assumed. </w:t>
      </w:r>
    </w:p>
    <w:p w:rsidR="00A84840" w:rsidRPr="00B07E65" w:rsidRDefault="00A84840" w:rsidP="00271C16">
      <w:pPr>
        <w:pStyle w:val="ListParagraph"/>
        <w:widowControl/>
        <w:numPr>
          <w:ilvl w:val="0"/>
          <w:numId w:val="13"/>
        </w:numPr>
      </w:pPr>
      <w:proofErr w:type="gramStart"/>
      <w:r w:rsidRPr="00B07E65">
        <w:t>oral</w:t>
      </w:r>
      <w:proofErr w:type="gramEnd"/>
      <w:r w:rsidRPr="00B07E65">
        <w:t xml:space="preserve"> methotrexate (as a proxy for other DMARDs and delayed use of bDMARDs). The resubmission base case stated that uptake was likely to be more gradual, with 10% uptake in Year 1 increasing linearly to 50% in Year 5. No basis was provided for this uptake rate. </w:t>
      </w:r>
    </w:p>
    <w:p w:rsidR="00F56494" w:rsidRPr="00B07E65" w:rsidRDefault="00F56494" w:rsidP="00F56494">
      <w:pPr>
        <w:pStyle w:val="ListParagraph"/>
        <w:rPr>
          <w:szCs w:val="22"/>
        </w:rPr>
      </w:pPr>
    </w:p>
    <w:p w:rsidR="00F56494" w:rsidRPr="00B07E65" w:rsidRDefault="00F56494" w:rsidP="00271C16">
      <w:pPr>
        <w:pStyle w:val="ListParagraph"/>
        <w:widowControl/>
        <w:numPr>
          <w:ilvl w:val="1"/>
          <w:numId w:val="1"/>
        </w:numPr>
        <w:rPr>
          <w:szCs w:val="22"/>
        </w:rPr>
      </w:pPr>
      <w:r w:rsidRPr="00B07E65">
        <w:rPr>
          <w:szCs w:val="22"/>
        </w:rPr>
        <w:t xml:space="preserve">The Pre-PBAC </w:t>
      </w:r>
      <w:r w:rsidR="00CD4B36" w:rsidRPr="00B07E65">
        <w:rPr>
          <w:szCs w:val="22"/>
        </w:rPr>
        <w:t>Response presented</w:t>
      </w:r>
      <w:r w:rsidRPr="00B07E65">
        <w:rPr>
          <w:szCs w:val="22"/>
        </w:rPr>
        <w:t xml:space="preserve"> revised financial estimates and additional sensitivity analysis, shown in the table below. The PBAC noted that the sensitivity analysis that removed the cost offsets for substitution of oral methotrexate had incorrectly included co-payments for oral methotrexate (revised below).</w:t>
      </w:r>
    </w:p>
    <w:p w:rsidR="001A1253" w:rsidRPr="00B07E65" w:rsidRDefault="001A1253" w:rsidP="00F56494">
      <w:pPr>
        <w:pStyle w:val="ListParagraph"/>
        <w:rPr>
          <w:rFonts w:ascii="Arial Narrow" w:hAnsi="Arial Narrow"/>
          <w:b/>
          <w:szCs w:val="22"/>
        </w:rPr>
      </w:pPr>
    </w:p>
    <w:p w:rsidR="00F56494" w:rsidRPr="00B07E65" w:rsidRDefault="00F56494" w:rsidP="00151F4C">
      <w:pPr>
        <w:pStyle w:val="ListParagraph"/>
        <w:keepNext/>
        <w:keepLines/>
        <w:rPr>
          <w:rFonts w:ascii="Arial Narrow" w:hAnsi="Arial Narrow"/>
          <w:b/>
          <w:szCs w:val="22"/>
        </w:rPr>
      </w:pPr>
      <w:r w:rsidRPr="00B07E65">
        <w:rPr>
          <w:rFonts w:ascii="Arial Narrow" w:hAnsi="Arial Narrow"/>
          <w:b/>
          <w:szCs w:val="22"/>
        </w:rPr>
        <w:t>Table 10: Pre-PBAC Response revised financial implications and sensitivity analyses</w:t>
      </w:r>
    </w:p>
    <w:tbl>
      <w:tblPr>
        <w:tblStyle w:val="TableGrid"/>
        <w:tblW w:w="8320" w:type="dxa"/>
        <w:tblInd w:w="736" w:type="dxa"/>
        <w:tblLayout w:type="fixed"/>
        <w:tblLook w:val="04A0" w:firstRow="1" w:lastRow="0" w:firstColumn="1" w:lastColumn="0" w:noHBand="0" w:noVBand="1"/>
        <w:tblCaption w:val="Table 10: Pre-PBAC Response revised financial implications and sensitivity analyses"/>
      </w:tblPr>
      <w:tblGrid>
        <w:gridCol w:w="2341"/>
        <w:gridCol w:w="1275"/>
        <w:gridCol w:w="1276"/>
        <w:gridCol w:w="1134"/>
        <w:gridCol w:w="1134"/>
        <w:gridCol w:w="1160"/>
      </w:tblGrid>
      <w:tr w:rsidR="00F56494" w:rsidRPr="00B07E65" w:rsidTr="00D061A0">
        <w:trPr>
          <w:tblHeader/>
        </w:trPr>
        <w:tc>
          <w:tcPr>
            <w:tcW w:w="2341" w:type="dxa"/>
            <w:noWrap/>
            <w:hideMark/>
          </w:tcPr>
          <w:p w:rsidR="00F56494" w:rsidRPr="00B07E65" w:rsidRDefault="00F56494" w:rsidP="00151F4C">
            <w:pPr>
              <w:pStyle w:val="Table"/>
              <w:keepNext/>
              <w:keepLines/>
              <w:jc w:val="left"/>
              <w:rPr>
                <w:rFonts w:ascii="Arial Narrow" w:hAnsi="Arial Narrow" w:cstheme="minorHAnsi"/>
                <w:b/>
                <w:sz w:val="22"/>
                <w:szCs w:val="22"/>
              </w:rPr>
            </w:pPr>
            <w:r w:rsidRPr="00B07E65">
              <w:rPr>
                <w:rFonts w:ascii="Arial Narrow" w:hAnsi="Arial Narrow" w:cstheme="minorHAnsi"/>
                <w:b/>
                <w:sz w:val="22"/>
                <w:szCs w:val="22"/>
              </w:rPr>
              <w:t xml:space="preserve">Net cost to Government for listing of Trexject </w:t>
            </w:r>
          </w:p>
        </w:tc>
        <w:tc>
          <w:tcPr>
            <w:tcW w:w="1275" w:type="dxa"/>
            <w:noWrap/>
            <w:hideMark/>
          </w:tcPr>
          <w:p w:rsidR="00F56494" w:rsidRPr="00B07E65" w:rsidRDefault="00F56494" w:rsidP="00151F4C">
            <w:pPr>
              <w:pStyle w:val="Table"/>
              <w:keepNext/>
              <w:keepLines/>
              <w:jc w:val="center"/>
              <w:rPr>
                <w:rFonts w:ascii="Arial Narrow" w:hAnsi="Arial Narrow" w:cstheme="minorHAnsi"/>
                <w:b/>
                <w:sz w:val="22"/>
                <w:szCs w:val="22"/>
              </w:rPr>
            </w:pPr>
            <w:r w:rsidRPr="00B07E65">
              <w:rPr>
                <w:rFonts w:ascii="Arial Narrow" w:hAnsi="Arial Narrow" w:cstheme="minorHAnsi"/>
                <w:b/>
                <w:sz w:val="22"/>
                <w:szCs w:val="22"/>
              </w:rPr>
              <w:t>Year 1</w:t>
            </w:r>
          </w:p>
        </w:tc>
        <w:tc>
          <w:tcPr>
            <w:tcW w:w="1276" w:type="dxa"/>
            <w:noWrap/>
            <w:hideMark/>
          </w:tcPr>
          <w:p w:rsidR="00F56494" w:rsidRPr="00B07E65" w:rsidRDefault="00F56494" w:rsidP="00151F4C">
            <w:pPr>
              <w:pStyle w:val="Table"/>
              <w:keepNext/>
              <w:keepLines/>
              <w:jc w:val="center"/>
              <w:rPr>
                <w:rFonts w:ascii="Arial Narrow" w:hAnsi="Arial Narrow" w:cstheme="minorHAnsi"/>
                <w:b/>
                <w:sz w:val="22"/>
                <w:szCs w:val="22"/>
              </w:rPr>
            </w:pPr>
            <w:r w:rsidRPr="00B07E65">
              <w:rPr>
                <w:rFonts w:ascii="Arial Narrow" w:hAnsi="Arial Narrow" w:cstheme="minorHAnsi"/>
                <w:b/>
                <w:sz w:val="22"/>
                <w:szCs w:val="22"/>
              </w:rPr>
              <w:t>Year 2</w:t>
            </w:r>
          </w:p>
        </w:tc>
        <w:tc>
          <w:tcPr>
            <w:tcW w:w="1134" w:type="dxa"/>
            <w:noWrap/>
            <w:hideMark/>
          </w:tcPr>
          <w:p w:rsidR="00F56494" w:rsidRPr="00B07E65" w:rsidRDefault="00F56494" w:rsidP="00151F4C">
            <w:pPr>
              <w:pStyle w:val="Table"/>
              <w:keepNext/>
              <w:keepLines/>
              <w:jc w:val="center"/>
              <w:rPr>
                <w:rFonts w:ascii="Arial Narrow" w:hAnsi="Arial Narrow" w:cstheme="minorHAnsi"/>
                <w:b/>
                <w:sz w:val="22"/>
                <w:szCs w:val="22"/>
              </w:rPr>
            </w:pPr>
            <w:r w:rsidRPr="00B07E65">
              <w:rPr>
                <w:rFonts w:ascii="Arial Narrow" w:hAnsi="Arial Narrow" w:cstheme="minorHAnsi"/>
                <w:b/>
                <w:sz w:val="22"/>
                <w:szCs w:val="22"/>
              </w:rPr>
              <w:t>Year 3</w:t>
            </w:r>
          </w:p>
        </w:tc>
        <w:tc>
          <w:tcPr>
            <w:tcW w:w="1134" w:type="dxa"/>
            <w:noWrap/>
            <w:hideMark/>
          </w:tcPr>
          <w:p w:rsidR="00F56494" w:rsidRPr="00B07E65" w:rsidRDefault="00F56494" w:rsidP="00151F4C">
            <w:pPr>
              <w:pStyle w:val="Table"/>
              <w:keepNext/>
              <w:keepLines/>
              <w:jc w:val="center"/>
              <w:rPr>
                <w:rFonts w:ascii="Arial Narrow" w:hAnsi="Arial Narrow" w:cstheme="minorHAnsi"/>
                <w:b/>
                <w:sz w:val="22"/>
                <w:szCs w:val="22"/>
              </w:rPr>
            </w:pPr>
            <w:r w:rsidRPr="00B07E65">
              <w:rPr>
                <w:rFonts w:ascii="Arial Narrow" w:hAnsi="Arial Narrow" w:cstheme="minorHAnsi"/>
                <w:b/>
                <w:sz w:val="22"/>
                <w:szCs w:val="22"/>
              </w:rPr>
              <w:t>Year 4</w:t>
            </w:r>
          </w:p>
        </w:tc>
        <w:tc>
          <w:tcPr>
            <w:tcW w:w="1160" w:type="dxa"/>
            <w:noWrap/>
            <w:hideMark/>
          </w:tcPr>
          <w:p w:rsidR="00F56494" w:rsidRPr="00B07E65" w:rsidRDefault="00F56494" w:rsidP="00151F4C">
            <w:pPr>
              <w:pStyle w:val="Table"/>
              <w:keepNext/>
              <w:keepLines/>
              <w:jc w:val="center"/>
              <w:rPr>
                <w:rFonts w:ascii="Arial Narrow" w:hAnsi="Arial Narrow" w:cstheme="minorHAnsi"/>
                <w:b/>
                <w:sz w:val="22"/>
                <w:szCs w:val="22"/>
              </w:rPr>
            </w:pPr>
            <w:r w:rsidRPr="00B07E65">
              <w:rPr>
                <w:rFonts w:ascii="Arial Narrow" w:hAnsi="Arial Narrow" w:cstheme="minorHAnsi"/>
                <w:b/>
                <w:sz w:val="22"/>
                <w:szCs w:val="22"/>
              </w:rPr>
              <w:t>Year 5</w:t>
            </w:r>
          </w:p>
        </w:tc>
      </w:tr>
      <w:tr w:rsidR="00F56494" w:rsidRPr="00B07E65" w:rsidTr="00151F4C">
        <w:tc>
          <w:tcPr>
            <w:tcW w:w="2341" w:type="dxa"/>
            <w:noWrap/>
            <w:hideMark/>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Base case (DPMQ $</w:t>
            </w:r>
            <w:r w:rsidR="00916DCD">
              <w:rPr>
                <w:rFonts w:ascii="Arial Narrow" w:hAnsi="Arial Narrow" w:cstheme="minorHAnsi"/>
                <w:noProof/>
                <w:color w:val="000000"/>
                <w:sz w:val="22"/>
                <w:szCs w:val="22"/>
                <w:highlight w:val="black"/>
              </w:rPr>
              <w:t>'''''''''''''''</w:t>
            </w:r>
            <w:r w:rsidRPr="00B07E65">
              <w:rPr>
                <w:rFonts w:ascii="Arial Narrow" w:hAnsi="Arial Narrow" w:cstheme="minorHAnsi"/>
                <w:sz w:val="22"/>
                <w:szCs w:val="22"/>
              </w:rPr>
              <w:t>)</w:t>
            </w:r>
          </w:p>
        </w:tc>
        <w:tc>
          <w:tcPr>
            <w:tcW w:w="1275" w:type="dxa"/>
            <w:noWrap/>
            <w:hideMark/>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hideMark/>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hideMark/>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hideMark/>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hideMark/>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8320" w:type="dxa"/>
            <w:gridSpan w:val="6"/>
            <w:noWrap/>
          </w:tcPr>
          <w:p w:rsidR="00F56494" w:rsidRPr="00B07E65" w:rsidRDefault="00F56494" w:rsidP="00151F4C">
            <w:pPr>
              <w:pStyle w:val="Table"/>
              <w:keepNext/>
              <w:keepLines/>
              <w:jc w:val="left"/>
              <w:rPr>
                <w:rFonts w:ascii="Arial Narrow" w:hAnsi="Arial Narrow" w:cstheme="minorHAnsi"/>
                <w:b/>
                <w:sz w:val="22"/>
                <w:szCs w:val="22"/>
              </w:rPr>
            </w:pPr>
            <w:r w:rsidRPr="00B07E65">
              <w:rPr>
                <w:rFonts w:ascii="Arial Narrow" w:hAnsi="Arial Narrow" w:cstheme="minorHAnsi"/>
                <w:b/>
                <w:sz w:val="22"/>
                <w:szCs w:val="22"/>
              </w:rPr>
              <w:t>Sensitivity analyses</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1. Higher methotrexate use (79%, Nash 2013)</w:t>
            </w:r>
          </w:p>
        </w:tc>
        <w:tc>
          <w:tcPr>
            <w:tcW w:w="1275"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2.Lower unsuitable for oral methotrexate (16%, Braun 2008)</w:t>
            </w:r>
          </w:p>
        </w:tc>
        <w:tc>
          <w:tcPr>
            <w:tcW w:w="1275"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3.Lower uptake from eligible pool not using vials (10-30% over 5 years)</w:t>
            </w:r>
          </w:p>
        </w:tc>
        <w:tc>
          <w:tcPr>
            <w:tcW w:w="1275"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4.Removal of cost offsets for substitution</w:t>
            </w:r>
          </w:p>
        </w:tc>
        <w:tc>
          <w:tcPr>
            <w:tcW w:w="1275"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sz w:val="22"/>
                <w:szCs w:val="22"/>
              </w:rPr>
            </w:pPr>
            <w:r w:rsidRPr="00B07E65">
              <w:rPr>
                <w:rFonts w:ascii="Arial Narrow" w:hAnsi="Arial Narrow" w:cstheme="minorHAnsi"/>
                <w:sz w:val="22"/>
                <w:szCs w:val="22"/>
              </w:rPr>
              <w:t>1 and 2 and 3 and 4</w:t>
            </w:r>
          </w:p>
        </w:tc>
        <w:tc>
          <w:tcPr>
            <w:tcW w:w="1275"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sz w:val="22"/>
                <w:szCs w:val="22"/>
              </w:rPr>
            </w:pPr>
            <w:r w:rsidRPr="00B07E65">
              <w:rPr>
                <w:rFonts w:ascii="Arial Narrow" w:hAnsi="Arial Narrow" w:cstheme="minorHAnsi"/>
                <w:sz w:val="22"/>
                <w:szCs w:val="22"/>
              </w:rPr>
              <w:t>$</w:t>
            </w:r>
            <w:r w:rsidR="00916DCD">
              <w:rPr>
                <w:rFonts w:ascii="Arial Narrow" w:hAnsi="Arial Narrow" w:cstheme="minorHAnsi"/>
                <w:noProof/>
                <w:color w:val="000000"/>
                <w:sz w:val="22"/>
                <w:szCs w:val="22"/>
                <w:highlight w:val="black"/>
              </w:rPr>
              <w:t>''''''''''''''''''''''</w:t>
            </w:r>
          </w:p>
        </w:tc>
      </w:tr>
      <w:tr w:rsidR="00F56494" w:rsidRPr="00B07E65" w:rsidTr="00151F4C">
        <w:tc>
          <w:tcPr>
            <w:tcW w:w="8320" w:type="dxa"/>
            <w:gridSpan w:val="6"/>
            <w:noWrap/>
          </w:tcPr>
          <w:p w:rsidR="00F56494" w:rsidRPr="00B07E65" w:rsidRDefault="00F56494" w:rsidP="00151F4C">
            <w:pPr>
              <w:pStyle w:val="Table"/>
              <w:keepNext/>
              <w:keepLines/>
              <w:rPr>
                <w:rFonts w:ascii="Arial Narrow" w:hAnsi="Arial Narrow"/>
                <w:i/>
                <w:sz w:val="22"/>
              </w:rPr>
            </w:pPr>
            <w:r w:rsidRPr="00B07E65">
              <w:rPr>
                <w:rFonts w:ascii="Arial Narrow" w:hAnsi="Arial Narrow" w:cstheme="minorHAnsi"/>
                <w:b/>
                <w:i/>
                <w:sz w:val="22"/>
                <w:szCs w:val="22"/>
                <w:u w:val="single"/>
              </w:rPr>
              <w:t>Revised – without co-payments for oral methotrexate</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i/>
                <w:sz w:val="22"/>
                <w:szCs w:val="22"/>
              </w:rPr>
            </w:pPr>
            <w:r w:rsidRPr="00B07E65">
              <w:rPr>
                <w:rFonts w:ascii="Arial Narrow" w:hAnsi="Arial Narrow" w:cstheme="minorHAnsi"/>
                <w:i/>
                <w:sz w:val="22"/>
                <w:szCs w:val="22"/>
              </w:rPr>
              <w:t xml:space="preserve">4.Removal of cost offsets for substitution </w:t>
            </w:r>
          </w:p>
        </w:tc>
        <w:tc>
          <w:tcPr>
            <w:tcW w:w="1275"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r>
      <w:tr w:rsidR="00F56494" w:rsidRPr="00B07E65" w:rsidTr="00151F4C">
        <w:tc>
          <w:tcPr>
            <w:tcW w:w="2341" w:type="dxa"/>
            <w:noWrap/>
          </w:tcPr>
          <w:p w:rsidR="00F56494" w:rsidRPr="00B07E65" w:rsidRDefault="00F56494" w:rsidP="00151F4C">
            <w:pPr>
              <w:pStyle w:val="Table"/>
              <w:keepNext/>
              <w:keepLines/>
              <w:jc w:val="left"/>
              <w:rPr>
                <w:rFonts w:ascii="Arial Narrow" w:hAnsi="Arial Narrow" w:cstheme="minorHAnsi"/>
                <w:i/>
                <w:sz w:val="22"/>
                <w:szCs w:val="22"/>
              </w:rPr>
            </w:pPr>
            <w:r w:rsidRPr="00B07E65">
              <w:rPr>
                <w:rFonts w:ascii="Arial Narrow" w:hAnsi="Arial Narrow" w:cstheme="minorHAnsi"/>
                <w:i/>
                <w:sz w:val="22"/>
                <w:szCs w:val="22"/>
              </w:rPr>
              <w:t xml:space="preserve">1 and 2 and 3 and 4 </w:t>
            </w:r>
          </w:p>
        </w:tc>
        <w:tc>
          <w:tcPr>
            <w:tcW w:w="1275"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276"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34"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c>
          <w:tcPr>
            <w:tcW w:w="1160" w:type="dxa"/>
            <w:noWrap/>
          </w:tcPr>
          <w:p w:rsidR="00F56494" w:rsidRPr="00B07E65" w:rsidRDefault="00F56494" w:rsidP="00151F4C">
            <w:pPr>
              <w:pStyle w:val="Table"/>
              <w:keepNext/>
              <w:keepLines/>
              <w:jc w:val="center"/>
              <w:rPr>
                <w:rFonts w:ascii="Arial Narrow" w:hAnsi="Arial Narrow" w:cstheme="minorHAnsi"/>
                <w:i/>
                <w:sz w:val="22"/>
                <w:szCs w:val="22"/>
              </w:rPr>
            </w:pPr>
            <w:r w:rsidRPr="00B07E65">
              <w:rPr>
                <w:rFonts w:ascii="Arial Narrow" w:hAnsi="Arial Narrow"/>
                <w:i/>
                <w:sz w:val="22"/>
              </w:rPr>
              <w:t>$</w:t>
            </w:r>
            <w:r w:rsidR="00916DCD">
              <w:rPr>
                <w:rFonts w:ascii="Arial Narrow" w:hAnsi="Arial Narrow"/>
                <w:i/>
                <w:noProof/>
                <w:color w:val="000000"/>
                <w:sz w:val="22"/>
                <w:highlight w:val="black"/>
              </w:rPr>
              <w:t>'''''''''''''''''''''''</w:t>
            </w:r>
          </w:p>
        </w:tc>
      </w:tr>
    </w:tbl>
    <w:p w:rsidR="00F56494" w:rsidRDefault="00F56494" w:rsidP="00151F4C">
      <w:pPr>
        <w:keepNext/>
        <w:keepLines/>
        <w:widowControl/>
        <w:rPr>
          <w:rFonts w:ascii="Arial Narrow" w:hAnsi="Arial Narrow"/>
          <w:sz w:val="18"/>
          <w:szCs w:val="18"/>
        </w:rPr>
      </w:pPr>
      <w:r w:rsidRPr="00B07E65">
        <w:rPr>
          <w:szCs w:val="22"/>
        </w:rPr>
        <w:tab/>
      </w:r>
      <w:r w:rsidRPr="00B07E65">
        <w:rPr>
          <w:rFonts w:ascii="Arial Narrow" w:hAnsi="Arial Narrow"/>
          <w:sz w:val="18"/>
          <w:szCs w:val="18"/>
        </w:rPr>
        <w:t xml:space="preserve">Source: Pre-PBAC Response </w:t>
      </w:r>
    </w:p>
    <w:p w:rsidR="00E54633" w:rsidRDefault="00E54633" w:rsidP="00151F4C">
      <w:pPr>
        <w:keepNext/>
        <w:keepLines/>
        <w:widowControl/>
        <w:rPr>
          <w:rFonts w:ascii="Arial Narrow" w:hAnsi="Arial Narrow"/>
          <w:sz w:val="18"/>
          <w:szCs w:val="18"/>
        </w:rPr>
      </w:pPr>
    </w:p>
    <w:p w:rsidR="00E54633" w:rsidRPr="00B07E65" w:rsidRDefault="00E54633" w:rsidP="00E54633">
      <w:pPr>
        <w:keepNext/>
        <w:keepLines/>
        <w:widowControl/>
        <w:ind w:left="720"/>
        <w:rPr>
          <w:rFonts w:ascii="Arial Narrow" w:hAnsi="Arial Narrow"/>
          <w:sz w:val="18"/>
          <w:szCs w:val="18"/>
        </w:rPr>
      </w:pPr>
      <w:r w:rsidRPr="00E54633">
        <w:rPr>
          <w:szCs w:val="22"/>
        </w:rPr>
        <w:t>The redacted table shows that, for each of the sensitivity analyses, the net cost to Government for listing of Trexject is less than $10 million per year in each of the first five years.</w:t>
      </w:r>
    </w:p>
    <w:p w:rsidR="00A84840" w:rsidRPr="00B07E65" w:rsidRDefault="00A84840" w:rsidP="00A84840">
      <w:pPr>
        <w:pStyle w:val="ListParagraph"/>
        <w:widowControl/>
        <w:rPr>
          <w:highlight w:val="yellow"/>
        </w:rPr>
      </w:pPr>
    </w:p>
    <w:p w:rsidR="008A2939" w:rsidRPr="00B07E65" w:rsidRDefault="005374C0" w:rsidP="00271C16">
      <w:pPr>
        <w:pStyle w:val="ListParagraph"/>
        <w:widowControl/>
        <w:numPr>
          <w:ilvl w:val="1"/>
          <w:numId w:val="1"/>
        </w:numPr>
        <w:rPr>
          <w:szCs w:val="22"/>
        </w:rPr>
      </w:pPr>
      <w:r w:rsidRPr="00B07E65">
        <w:rPr>
          <w:szCs w:val="22"/>
        </w:rPr>
        <w:t xml:space="preserve">The PSCR stated that “the Evaluator erroneously refers to patients with moderate to severe RA [rheumatoid arthritis] [COM.46], where in fact both the TGA indication and the proposed PBS listing limit the eligible patient pool to patients with severe disease.” </w:t>
      </w:r>
      <w:r w:rsidR="00A70D78" w:rsidRPr="00B07E65">
        <w:rPr>
          <w:szCs w:val="22"/>
        </w:rPr>
        <w:t>The Pre-PBAC Response stated that the ESC advice had reiterated “erroneous references to patients moderate to severe RA”, where the TGA indication and proposed PBS listing are limited to patients with severe disease.</w:t>
      </w:r>
    </w:p>
    <w:p w:rsidR="005374C0" w:rsidRPr="00B07E65" w:rsidRDefault="00A70D78" w:rsidP="005374C0">
      <w:pPr>
        <w:pStyle w:val="ListParagraph"/>
        <w:rPr>
          <w:szCs w:val="22"/>
        </w:rPr>
      </w:pPr>
      <w:r w:rsidRPr="00B07E65">
        <w:rPr>
          <w:szCs w:val="22"/>
        </w:rPr>
        <w:t xml:space="preserve"> </w:t>
      </w:r>
    </w:p>
    <w:p w:rsidR="00576972" w:rsidRPr="00B07E65" w:rsidRDefault="005374C0" w:rsidP="00271C16">
      <w:pPr>
        <w:pStyle w:val="ListParagraph"/>
        <w:widowControl/>
        <w:numPr>
          <w:ilvl w:val="1"/>
          <w:numId w:val="1"/>
        </w:numPr>
        <w:rPr>
          <w:szCs w:val="22"/>
        </w:rPr>
      </w:pPr>
      <w:r w:rsidRPr="00B07E65">
        <w:rPr>
          <w:szCs w:val="22"/>
        </w:rPr>
        <w:t>In the financial estimates, the disease severity was based on the proportion of patients in the OPAL database with moderate or severe disease activity, 22.2% and 6.8% respectively</w:t>
      </w:r>
      <w:r w:rsidR="005E50E3" w:rsidRPr="00B07E65">
        <w:rPr>
          <w:szCs w:val="22"/>
        </w:rPr>
        <w:t xml:space="preserve"> (p</w:t>
      </w:r>
      <w:r w:rsidRPr="00B07E65">
        <w:rPr>
          <w:szCs w:val="22"/>
        </w:rPr>
        <w:t>2 of Littlejohn et al, 2015). That is, the resubmission used the combined total of patients with moderate or severe disease activity (29%) to derive the eligible patient population. This was then multiplied by the proportion of patients taking methotrexate and those under specialist care</w:t>
      </w:r>
      <w:r w:rsidR="00A51BD1" w:rsidRPr="00B07E65">
        <w:rPr>
          <w:szCs w:val="22"/>
        </w:rPr>
        <w:t>.</w:t>
      </w:r>
      <w:r w:rsidR="00A70D78" w:rsidRPr="00B07E65">
        <w:rPr>
          <w:szCs w:val="22"/>
        </w:rPr>
        <w:t xml:space="preserve"> The Pre-PBAC </w:t>
      </w:r>
      <w:r w:rsidR="00CD4B36" w:rsidRPr="00B07E65">
        <w:rPr>
          <w:szCs w:val="22"/>
        </w:rPr>
        <w:t>response confirmed</w:t>
      </w:r>
      <w:r w:rsidR="00A70D78" w:rsidRPr="00B07E65">
        <w:rPr>
          <w:szCs w:val="22"/>
        </w:rPr>
        <w:t xml:space="preserve"> that the resubmission had applied the proportion of patients with moderate to severe disease activity on DAS-28 in the OPAL database as an approximation of patients who could be described as having severe disease. </w:t>
      </w:r>
    </w:p>
    <w:p w:rsidR="00A51BD1" w:rsidRPr="00B07E65" w:rsidRDefault="00A51BD1" w:rsidP="00A51BD1">
      <w:pPr>
        <w:widowControl/>
        <w:rPr>
          <w:szCs w:val="22"/>
        </w:rPr>
      </w:pPr>
    </w:p>
    <w:p w:rsidR="00576972" w:rsidRPr="00B07E65" w:rsidRDefault="00576972" w:rsidP="00497F10">
      <w:pPr>
        <w:pStyle w:val="Heading2"/>
        <w:rPr>
          <w:i/>
        </w:rPr>
      </w:pPr>
      <w:bookmarkStart w:id="16" w:name="_Toc472340134"/>
      <w:r w:rsidRPr="00B07E65">
        <w:rPr>
          <w:i/>
        </w:rPr>
        <w:t>Quality Use of Medicines</w:t>
      </w:r>
      <w:bookmarkEnd w:id="16"/>
    </w:p>
    <w:p w:rsidR="00576972" w:rsidRPr="00B07E65" w:rsidRDefault="00576972" w:rsidP="00576972">
      <w:pPr>
        <w:widowControl/>
        <w:rPr>
          <w:szCs w:val="22"/>
        </w:rPr>
      </w:pPr>
    </w:p>
    <w:p w:rsidR="00CD72DA" w:rsidRPr="00B07E65" w:rsidRDefault="00111C1D" w:rsidP="00271C16">
      <w:pPr>
        <w:pStyle w:val="ListParagraph"/>
        <w:widowControl/>
        <w:numPr>
          <w:ilvl w:val="1"/>
          <w:numId w:val="1"/>
        </w:numPr>
        <w:rPr>
          <w:szCs w:val="22"/>
        </w:rPr>
      </w:pPr>
      <w:r w:rsidRPr="00B07E65">
        <w:t xml:space="preserve">The resubmission claimed that the availability of SC methotrexate </w:t>
      </w:r>
      <w:r w:rsidR="001E2342" w:rsidRPr="00B07E65">
        <w:rPr>
          <w:szCs w:val="22"/>
        </w:rPr>
        <w:t>as a</w:t>
      </w:r>
      <w:r w:rsidR="001E2342" w:rsidRPr="00B07E65">
        <w:t xml:space="preserve"> </w:t>
      </w:r>
      <w:r w:rsidR="00B64AA1" w:rsidRPr="00B07E65">
        <w:t>pre-filled</w:t>
      </w:r>
      <w:r w:rsidRPr="00B07E65">
        <w:t xml:space="preserve"> syringe</w:t>
      </w:r>
      <w:r w:rsidR="001E2342" w:rsidRPr="00B07E65">
        <w:t xml:space="preserve"> formulation</w:t>
      </w:r>
      <w:r w:rsidRPr="00B07E65">
        <w:t xml:space="preserve"> w</w:t>
      </w:r>
      <w:r w:rsidR="00CD72DA" w:rsidRPr="00B07E65">
        <w:t>ould</w:t>
      </w:r>
      <w:r w:rsidRPr="00B07E65">
        <w:t xml:space="preserve"> reduce dosing errors </w:t>
      </w:r>
      <w:r w:rsidR="00BE196D" w:rsidRPr="00B07E65">
        <w:t xml:space="preserve">that may occur when </w:t>
      </w:r>
      <w:r w:rsidRPr="00B07E65">
        <w:t>draw</w:t>
      </w:r>
      <w:r w:rsidR="00BE196D" w:rsidRPr="00B07E65">
        <w:t xml:space="preserve">ing up the correct dose from a 50 mg in </w:t>
      </w:r>
      <w:r w:rsidRPr="00B07E65">
        <w:t xml:space="preserve">2 mL </w:t>
      </w:r>
      <w:r w:rsidR="00BE196D" w:rsidRPr="00B07E65">
        <w:t xml:space="preserve">glass </w:t>
      </w:r>
      <w:r w:rsidRPr="00B07E65">
        <w:t xml:space="preserve">vial and </w:t>
      </w:r>
      <w:r w:rsidR="00BE196D" w:rsidRPr="00B07E65">
        <w:t xml:space="preserve">may also </w:t>
      </w:r>
      <w:r w:rsidRPr="00B07E65">
        <w:t xml:space="preserve">reduce healthcare practitioners’ exposure to methotrexate. </w:t>
      </w:r>
    </w:p>
    <w:p w:rsidR="00CD72DA" w:rsidRPr="00B07E65" w:rsidRDefault="00CD72DA" w:rsidP="00CD72DA">
      <w:pPr>
        <w:pStyle w:val="ListParagraph"/>
        <w:widowControl/>
        <w:rPr>
          <w:szCs w:val="22"/>
        </w:rPr>
      </w:pPr>
    </w:p>
    <w:p w:rsidR="00861A02" w:rsidRPr="00B07E65" w:rsidRDefault="00111C1D" w:rsidP="00271C16">
      <w:pPr>
        <w:pStyle w:val="ListParagraph"/>
        <w:widowControl/>
        <w:numPr>
          <w:ilvl w:val="1"/>
          <w:numId w:val="1"/>
        </w:numPr>
        <w:tabs>
          <w:tab w:val="left" w:pos="142"/>
        </w:tabs>
        <w:rPr>
          <w:szCs w:val="22"/>
        </w:rPr>
      </w:pPr>
      <w:r w:rsidRPr="00B07E65">
        <w:t xml:space="preserve">Further, the </w:t>
      </w:r>
      <w:r w:rsidR="00CD72DA" w:rsidRPr="00B07E65">
        <w:t xml:space="preserve">resubmission stated the sponsor would provide education materials for patients and clinicians that would include </w:t>
      </w:r>
      <w:r w:rsidRPr="00B07E65">
        <w:t>dummy syringes to assist in training patients to self</w:t>
      </w:r>
      <w:r w:rsidRPr="00B07E65">
        <w:noBreakHyphen/>
      </w:r>
      <w:r w:rsidR="002B2577" w:rsidRPr="00B07E65">
        <w:t>inject</w:t>
      </w:r>
      <w:r w:rsidR="00CD72DA" w:rsidRPr="00B07E65">
        <w:t xml:space="preserve">. </w:t>
      </w:r>
      <w:r w:rsidR="002B2577" w:rsidRPr="00B07E65">
        <w:t xml:space="preserve">There may be scope </w:t>
      </w:r>
      <w:r w:rsidR="0045158A" w:rsidRPr="00B07E65">
        <w:t xml:space="preserve">to provide home sharps containers </w:t>
      </w:r>
      <w:r w:rsidR="002B2577" w:rsidRPr="00B07E65">
        <w:t>within the proposed education materials to ensure access for all patients self-injecting.</w:t>
      </w:r>
    </w:p>
    <w:p w:rsidR="00576972" w:rsidRPr="00B07E65" w:rsidRDefault="00576972" w:rsidP="00861A02">
      <w:pPr>
        <w:pStyle w:val="ListParagraph"/>
        <w:widowControl/>
        <w:rPr>
          <w:szCs w:val="22"/>
        </w:rPr>
      </w:pPr>
    </w:p>
    <w:p w:rsidR="00576972" w:rsidRPr="00B07E65" w:rsidRDefault="00576972" w:rsidP="00497F10">
      <w:pPr>
        <w:pStyle w:val="Heading2"/>
        <w:rPr>
          <w:i/>
          <w:szCs w:val="22"/>
        </w:rPr>
      </w:pPr>
      <w:bookmarkStart w:id="17" w:name="_Toc472340135"/>
      <w:r w:rsidRPr="00B07E65">
        <w:rPr>
          <w:i/>
        </w:rPr>
        <w:t>Financial Management – Risk Sharing Arrangements</w:t>
      </w:r>
      <w:bookmarkEnd w:id="17"/>
    </w:p>
    <w:p w:rsidR="00C25D9C" w:rsidRPr="00B07E65" w:rsidRDefault="00C25D9C" w:rsidP="00576972">
      <w:pPr>
        <w:widowControl/>
        <w:rPr>
          <w:szCs w:val="22"/>
        </w:rPr>
      </w:pPr>
    </w:p>
    <w:p w:rsidR="00DA5F42" w:rsidRPr="00B07E65" w:rsidRDefault="00DA5F42" w:rsidP="00271C16">
      <w:pPr>
        <w:pStyle w:val="ListParagraph"/>
        <w:widowControl/>
        <w:numPr>
          <w:ilvl w:val="1"/>
          <w:numId w:val="1"/>
        </w:numPr>
        <w:rPr>
          <w:szCs w:val="22"/>
        </w:rPr>
      </w:pPr>
      <w:r w:rsidRPr="00B07E65">
        <w:t>In its consideration of the previous submission, the PBAC noted that substantial leakage outside the requested indications was likely, and considered that a Risk Share Arrangement based on projected usage in rheumatoid arthritis and psoriasis, would be needed to mitigate the costs to government.</w:t>
      </w:r>
    </w:p>
    <w:p w:rsidR="00DA5F42" w:rsidRPr="00B07E65" w:rsidRDefault="00DA5F42" w:rsidP="00DA5F42">
      <w:pPr>
        <w:pStyle w:val="ListParagraph"/>
        <w:widowControl/>
        <w:rPr>
          <w:szCs w:val="22"/>
        </w:rPr>
      </w:pPr>
    </w:p>
    <w:p w:rsidR="00CD75AB" w:rsidRPr="00B07E65" w:rsidRDefault="00DA5F42" w:rsidP="00271C16">
      <w:pPr>
        <w:pStyle w:val="ListParagraph"/>
        <w:widowControl/>
        <w:numPr>
          <w:ilvl w:val="1"/>
          <w:numId w:val="1"/>
        </w:numPr>
        <w:rPr>
          <w:szCs w:val="22"/>
        </w:rPr>
      </w:pPr>
      <w:r w:rsidRPr="00B07E65">
        <w:t xml:space="preserve">The resubmission stated </w:t>
      </w:r>
      <w:r w:rsidR="00BE196D" w:rsidRPr="00B07E65">
        <w:t xml:space="preserve">that </w:t>
      </w:r>
      <w:r w:rsidRPr="00B07E65">
        <w:t xml:space="preserve">the sponsor would consider a </w:t>
      </w:r>
      <w:r w:rsidR="00BE196D" w:rsidRPr="00B07E65">
        <w:t xml:space="preserve">Risk Sharing Arrangement </w:t>
      </w:r>
      <w:r w:rsidRPr="00B07E65">
        <w:t>to mitigate the risk of use outside the TGA-registered indicatio</w:t>
      </w:r>
      <w:r w:rsidR="000155CC" w:rsidRPr="00B07E65">
        <w:t>ns</w:t>
      </w:r>
      <w:r w:rsidR="00CD75AB" w:rsidRPr="00B07E65">
        <w:t xml:space="preserve"> of rheumatoid arthritis and psoriasis</w:t>
      </w:r>
      <w:r w:rsidR="000155CC" w:rsidRPr="00B07E65">
        <w:t xml:space="preserve">. </w:t>
      </w:r>
    </w:p>
    <w:p w:rsidR="00DD3FE7" w:rsidRPr="00B07E65" w:rsidRDefault="00DD3FE7" w:rsidP="00DD3FE7">
      <w:pPr>
        <w:pStyle w:val="ListParagraph"/>
        <w:rPr>
          <w:szCs w:val="22"/>
        </w:rPr>
      </w:pPr>
    </w:p>
    <w:p w:rsidR="00967B33" w:rsidRPr="00B07E65" w:rsidRDefault="00967B33" w:rsidP="00271C16">
      <w:pPr>
        <w:pStyle w:val="ListParagraph"/>
        <w:widowControl/>
        <w:numPr>
          <w:ilvl w:val="1"/>
          <w:numId w:val="1"/>
        </w:numPr>
        <w:rPr>
          <w:szCs w:val="22"/>
        </w:rPr>
      </w:pPr>
      <w:r w:rsidRPr="00B07E65">
        <w:t>The resubmission claimed that the Authority Required (Streamlined) listing may reduce the risk of leakage</w:t>
      </w:r>
      <w:r w:rsidR="00DA5F42" w:rsidRPr="00B07E65">
        <w:t xml:space="preserve">. </w:t>
      </w:r>
      <w:r w:rsidR="009F51CA" w:rsidRPr="00B07E65">
        <w:t xml:space="preserve">An Authority Required (Streamlined) listing may not prevent use outside the restrictions. </w:t>
      </w:r>
      <w:r w:rsidR="00DA5F42" w:rsidRPr="00B07E65">
        <w:t xml:space="preserve">Clinicians may </w:t>
      </w:r>
      <w:r w:rsidR="002B2577" w:rsidRPr="00B07E65">
        <w:t xml:space="preserve">still </w:t>
      </w:r>
      <w:r w:rsidR="00DA5F42" w:rsidRPr="00B07E65">
        <w:t xml:space="preserve">use SC methotrexate in conditions such as juvenile idiopathic arthritis and psoriatic arthritis where similar doses </w:t>
      </w:r>
      <w:r w:rsidR="001E2342" w:rsidRPr="00B07E65">
        <w:t xml:space="preserve">of </w:t>
      </w:r>
      <w:r w:rsidR="00DA5F42" w:rsidRPr="00B07E65">
        <w:t xml:space="preserve">methotrexate </w:t>
      </w:r>
      <w:r w:rsidR="005E17D6" w:rsidRPr="00B07E65">
        <w:t>would be</w:t>
      </w:r>
      <w:r w:rsidR="00DA5F42" w:rsidRPr="00B07E65">
        <w:t xml:space="preserve"> used. </w:t>
      </w:r>
    </w:p>
    <w:p w:rsidR="00D266AF" w:rsidRPr="00B07E65" w:rsidRDefault="00D266AF">
      <w:pPr>
        <w:widowControl/>
        <w:jc w:val="left"/>
        <w:rPr>
          <w:bCs/>
          <w:i/>
          <w:szCs w:val="22"/>
        </w:rPr>
      </w:pPr>
      <w:bookmarkStart w:id="18" w:name="_Toc392857616"/>
      <w:bookmarkEnd w:id="18"/>
    </w:p>
    <w:p w:rsidR="00D266AF" w:rsidRPr="00B07E65" w:rsidRDefault="00D266AF" w:rsidP="00D266AF">
      <w:pPr>
        <w:ind w:firstLine="720"/>
        <w:rPr>
          <w:bCs/>
          <w:szCs w:val="22"/>
        </w:rPr>
      </w:pPr>
      <w:r w:rsidRPr="00B07E65">
        <w:rPr>
          <w:bCs/>
          <w:i/>
          <w:szCs w:val="22"/>
        </w:rPr>
        <w:t>For more detail on PBAC’s view, see section 7 “PBAC outcome”</w:t>
      </w:r>
    </w:p>
    <w:p w:rsidR="00EC2372" w:rsidRPr="00B07E65" w:rsidRDefault="00EC2372">
      <w:pPr>
        <w:widowControl/>
        <w:jc w:val="left"/>
        <w:rPr>
          <w:bCs/>
          <w:i/>
          <w:szCs w:val="22"/>
        </w:rPr>
      </w:pPr>
    </w:p>
    <w:p w:rsidR="00EC2372" w:rsidRPr="00B07E65" w:rsidRDefault="00EC2372" w:rsidP="00EC2372">
      <w:pPr>
        <w:rPr>
          <w:rStyle w:val="IntenseReference"/>
          <w:b w:val="0"/>
          <w:bCs w:val="0"/>
          <w:i/>
          <w:smallCaps w:val="0"/>
        </w:rPr>
      </w:pPr>
    </w:p>
    <w:p w:rsidR="00EC2372" w:rsidRPr="00B07E65" w:rsidRDefault="00EC2372" w:rsidP="003159C4">
      <w:pPr>
        <w:pStyle w:val="PBACheading1"/>
        <w:rPr>
          <w:b/>
        </w:rPr>
      </w:pPr>
      <w:r w:rsidRPr="00B07E65">
        <w:rPr>
          <w:b/>
        </w:rPr>
        <w:t>PBAC Outcome</w:t>
      </w:r>
    </w:p>
    <w:p w:rsidR="00EC2372" w:rsidRPr="00B07E65" w:rsidRDefault="00EC2372" w:rsidP="00EC2372">
      <w:pPr>
        <w:rPr>
          <w:b/>
          <w:bCs/>
        </w:rPr>
      </w:pPr>
    </w:p>
    <w:p w:rsidR="00F30573" w:rsidRPr="00B07E65" w:rsidRDefault="009A5551" w:rsidP="00271C16">
      <w:pPr>
        <w:numPr>
          <w:ilvl w:val="1"/>
          <w:numId w:val="1"/>
        </w:numPr>
        <w:rPr>
          <w:bCs/>
        </w:rPr>
      </w:pPr>
      <w:r w:rsidRPr="00B07E65">
        <w:rPr>
          <w:bCs/>
        </w:rPr>
        <w:t xml:space="preserve">The PBAC recommended the </w:t>
      </w:r>
      <w:r w:rsidR="00F30573" w:rsidRPr="00B07E65">
        <w:rPr>
          <w:bCs/>
        </w:rPr>
        <w:t xml:space="preserve">General Schedule </w:t>
      </w:r>
      <w:r w:rsidRPr="00B07E65">
        <w:rPr>
          <w:bCs/>
        </w:rPr>
        <w:t>Authority Required (Streamlined) listing of methotrexate pre-filled syringe (with embedded needle) for subcutaneous administration for the treatment of rheumatoid arthritis or psoriasis when methotrexate oral tablets are unsuitable</w:t>
      </w:r>
      <w:r w:rsidR="008A2939" w:rsidRPr="00B07E65">
        <w:rPr>
          <w:bCs/>
        </w:rPr>
        <w:t>, on a cost-minimisation basis with methotrexate 50 mg vial, taking into account the offsets associated with reduced administration costs.</w:t>
      </w:r>
      <w:r w:rsidR="00097CD5" w:rsidRPr="00B07E65">
        <w:rPr>
          <w:bCs/>
        </w:rPr>
        <w:t xml:space="preserve"> </w:t>
      </w:r>
    </w:p>
    <w:p w:rsidR="009A5551" w:rsidRPr="00B07E65" w:rsidRDefault="009A5551" w:rsidP="00F30573">
      <w:pPr>
        <w:ind w:left="720"/>
        <w:rPr>
          <w:bCs/>
        </w:rPr>
      </w:pPr>
    </w:p>
    <w:p w:rsidR="00F30573" w:rsidRPr="00B07E65" w:rsidRDefault="00F30573" w:rsidP="00AB33E4">
      <w:pPr>
        <w:widowControl/>
        <w:numPr>
          <w:ilvl w:val="1"/>
          <w:numId w:val="1"/>
        </w:numPr>
        <w:rPr>
          <w:bCs/>
        </w:rPr>
      </w:pPr>
      <w:r w:rsidRPr="00B07E65">
        <w:rPr>
          <w:bCs/>
        </w:rPr>
        <w:t xml:space="preserve">The PBAC noted that the equi-effective doses were unchanged from the previous submission which stated that one methotrexate pre-filled syringe (7.5 mg, 10 mg, 15 mg, 20 mg, </w:t>
      </w:r>
      <w:proofErr w:type="gramStart"/>
      <w:r w:rsidRPr="00B07E65">
        <w:rPr>
          <w:bCs/>
        </w:rPr>
        <w:t>25</w:t>
      </w:r>
      <w:proofErr w:type="gramEnd"/>
      <w:r w:rsidRPr="00B07E65">
        <w:rPr>
          <w:bCs/>
        </w:rPr>
        <w:t xml:space="preserve"> mg dose strengths) was equivalent to one methotrexate 50 mg vial for injection. The PBAC reaffirmed that this was appropriate. </w:t>
      </w:r>
    </w:p>
    <w:p w:rsidR="009A5551" w:rsidRPr="00B07E65" w:rsidRDefault="009A5551" w:rsidP="009A5551">
      <w:pPr>
        <w:ind w:left="720"/>
        <w:rPr>
          <w:bCs/>
        </w:rPr>
      </w:pPr>
    </w:p>
    <w:p w:rsidR="006C473F" w:rsidRPr="00B07E65" w:rsidRDefault="008A2939" w:rsidP="00271C16">
      <w:pPr>
        <w:numPr>
          <w:ilvl w:val="1"/>
          <w:numId w:val="1"/>
        </w:numPr>
        <w:rPr>
          <w:bCs/>
        </w:rPr>
      </w:pPr>
      <w:r w:rsidRPr="00B07E65">
        <w:rPr>
          <w:bCs/>
        </w:rPr>
        <w:t>T</w:t>
      </w:r>
      <w:r w:rsidR="0033797E" w:rsidRPr="00B07E65">
        <w:rPr>
          <w:bCs/>
        </w:rPr>
        <w:t>he PBAC reaffirmed that th</w:t>
      </w:r>
      <w:r w:rsidR="00DA3146" w:rsidRPr="00B07E65">
        <w:rPr>
          <w:bCs/>
        </w:rPr>
        <w:t xml:space="preserve">ere was a clinical need for this </w:t>
      </w:r>
      <w:r w:rsidRPr="00B07E65">
        <w:rPr>
          <w:bCs/>
        </w:rPr>
        <w:t>presentation of methotrexate</w:t>
      </w:r>
      <w:r w:rsidR="0033797E" w:rsidRPr="00B07E65">
        <w:rPr>
          <w:bCs/>
        </w:rPr>
        <w:t>.</w:t>
      </w:r>
    </w:p>
    <w:p w:rsidR="00697B24" w:rsidRPr="00B07E65" w:rsidRDefault="00697B24" w:rsidP="00697B24">
      <w:pPr>
        <w:pStyle w:val="ListParagraph"/>
        <w:rPr>
          <w:bCs/>
        </w:rPr>
      </w:pPr>
    </w:p>
    <w:p w:rsidR="006C473F" w:rsidRDefault="00697B24" w:rsidP="00817F7B">
      <w:pPr>
        <w:numPr>
          <w:ilvl w:val="1"/>
          <w:numId w:val="1"/>
        </w:numPr>
        <w:rPr>
          <w:bCs/>
        </w:rPr>
      </w:pPr>
      <w:r w:rsidRPr="00B07E65">
        <w:rPr>
          <w:bCs/>
        </w:rPr>
        <w:t>The PBAC considered that PBS indications of “severe</w:t>
      </w:r>
      <w:r w:rsidR="00817F7B">
        <w:rPr>
          <w:bCs/>
        </w:rPr>
        <w:t xml:space="preserve"> active</w:t>
      </w:r>
      <w:r w:rsidRPr="00B07E65">
        <w:rPr>
          <w:bCs/>
        </w:rPr>
        <w:t xml:space="preserve"> rheumatoid arthritis” and “severe psoriasis” would be sufficient to identify the appropriate patient population.</w:t>
      </w:r>
      <w:r w:rsidR="00817F7B">
        <w:rPr>
          <w:bCs/>
        </w:rPr>
        <w:t xml:space="preserve">  </w:t>
      </w:r>
      <w:r w:rsidR="00401CEC">
        <w:rPr>
          <w:bCs/>
        </w:rPr>
        <w:t>The PBAC noted that the proposed RA listing required that p</w:t>
      </w:r>
      <w:r w:rsidR="00210274">
        <w:rPr>
          <w:bCs/>
        </w:rPr>
        <w:t xml:space="preserve">atients </w:t>
      </w:r>
      <w:r w:rsidR="00401CEC">
        <w:rPr>
          <w:bCs/>
        </w:rPr>
        <w:t xml:space="preserve">have failed, or be intolerant to NSAIDs or one or more disease modifying drugs prior to commencing therapy with methotrexate SC. The PBAC considered that this was not aligned with current clinical practice and did not recommend inclusion of this criterion in the listing. For the psoriasis listing, the PBAC advised that the clinical criteria should specify that “the condition must not have adequately responded to topical treatment”. </w:t>
      </w:r>
      <w:r w:rsidR="004E2AB9">
        <w:rPr>
          <w:bCs/>
        </w:rPr>
        <w:t>In addition</w:t>
      </w:r>
      <w:r w:rsidR="00401CEC">
        <w:rPr>
          <w:bCs/>
        </w:rPr>
        <w:t xml:space="preserve">, the PBAC was of the view that an age requirement was unnecessary for either listing, as the prescribing clinician would be responsible for ensuring that methotrexate SC was only prescribed for suitable patients. </w:t>
      </w:r>
    </w:p>
    <w:p w:rsidR="00817F7B" w:rsidRPr="00B07E65" w:rsidRDefault="00817F7B" w:rsidP="00817F7B">
      <w:pPr>
        <w:ind w:left="720"/>
        <w:rPr>
          <w:bCs/>
        </w:rPr>
      </w:pPr>
    </w:p>
    <w:p w:rsidR="00C461C1" w:rsidRPr="00B07E65" w:rsidRDefault="00EA2C58" w:rsidP="00271C16">
      <w:pPr>
        <w:numPr>
          <w:ilvl w:val="1"/>
          <w:numId w:val="1"/>
        </w:numPr>
        <w:rPr>
          <w:bCs/>
        </w:rPr>
      </w:pPr>
      <w:r w:rsidRPr="00B07E65">
        <w:rPr>
          <w:bCs/>
        </w:rPr>
        <w:t xml:space="preserve">The Committee reaffirmed its view from the March 2016 meeting that the claim of non-inferior comparative </w:t>
      </w:r>
      <w:r w:rsidR="00271C16" w:rsidRPr="00B07E65">
        <w:rPr>
          <w:bCs/>
        </w:rPr>
        <w:t>effectiveness was reasonable.</w:t>
      </w:r>
    </w:p>
    <w:p w:rsidR="00B22FBD" w:rsidRPr="00B07E65" w:rsidRDefault="00B22FBD" w:rsidP="00B22FBD">
      <w:pPr>
        <w:pStyle w:val="ListParagraph"/>
        <w:rPr>
          <w:bCs/>
        </w:rPr>
      </w:pPr>
    </w:p>
    <w:p w:rsidR="00DB066C" w:rsidRPr="00B07E65" w:rsidRDefault="00271C16" w:rsidP="00271C16">
      <w:pPr>
        <w:numPr>
          <w:ilvl w:val="1"/>
          <w:numId w:val="1"/>
        </w:numPr>
        <w:rPr>
          <w:bCs/>
        </w:rPr>
      </w:pPr>
      <w:r w:rsidRPr="00B07E65">
        <w:rPr>
          <w:bCs/>
        </w:rPr>
        <w:t>T</w:t>
      </w:r>
      <w:r w:rsidR="00BC096D" w:rsidRPr="00B07E65">
        <w:rPr>
          <w:bCs/>
        </w:rPr>
        <w:t xml:space="preserve">he PBAC was satisfied that the </w:t>
      </w:r>
      <w:r w:rsidR="008B4FC2" w:rsidRPr="00B07E65">
        <w:rPr>
          <w:bCs/>
        </w:rPr>
        <w:t>comparison</w:t>
      </w:r>
      <w:r w:rsidR="006C473F" w:rsidRPr="00B07E65">
        <w:rPr>
          <w:bCs/>
        </w:rPr>
        <w:t xml:space="preserve"> showed broadly similar rates of adverse events between SC versus IM methotrexate. </w:t>
      </w:r>
      <w:r w:rsidR="00227E47" w:rsidRPr="00B07E65">
        <w:rPr>
          <w:bCs/>
        </w:rPr>
        <w:t>In terms of the safety of SC methotrexate in the community setting, the PBAC was satisfied that the resubmission had presented sufficient data to support its use in this setting, and details regarding its proposed Quality Use of Medicines activities. Thus, t</w:t>
      </w:r>
      <w:r w:rsidR="0093505F" w:rsidRPr="00B07E65">
        <w:rPr>
          <w:bCs/>
        </w:rPr>
        <w:t xml:space="preserve">he PBAC </w:t>
      </w:r>
      <w:r w:rsidR="00C461C1" w:rsidRPr="00B07E65">
        <w:rPr>
          <w:bCs/>
        </w:rPr>
        <w:t xml:space="preserve">considered that </w:t>
      </w:r>
      <w:r w:rsidR="0093505F" w:rsidRPr="00B07E65">
        <w:rPr>
          <w:bCs/>
        </w:rPr>
        <w:t xml:space="preserve">the claim of non-inferior comparative safety was </w:t>
      </w:r>
      <w:r w:rsidR="00227E47" w:rsidRPr="00B07E65">
        <w:rPr>
          <w:bCs/>
        </w:rPr>
        <w:t>reasonable.</w:t>
      </w:r>
    </w:p>
    <w:p w:rsidR="00A3402E" w:rsidRPr="00B07E65" w:rsidRDefault="00A3402E" w:rsidP="00A3402E">
      <w:pPr>
        <w:pStyle w:val="ListParagraph"/>
        <w:rPr>
          <w:bCs/>
        </w:rPr>
      </w:pPr>
    </w:p>
    <w:p w:rsidR="00D66864" w:rsidRPr="0038019A" w:rsidRDefault="00D66864" w:rsidP="0038019A">
      <w:pPr>
        <w:pStyle w:val="ListParagraph"/>
        <w:numPr>
          <w:ilvl w:val="1"/>
          <w:numId w:val="1"/>
        </w:numPr>
        <w:rPr>
          <w:bCs/>
        </w:rPr>
      </w:pPr>
      <w:r w:rsidRPr="0038019A">
        <w:rPr>
          <w:bCs/>
        </w:rPr>
        <w:t xml:space="preserve">In terms of the economic evaluation, the PBAC recalled its uncertainty around key inputs into the original cost-minimisation analysis. </w:t>
      </w:r>
      <w:r w:rsidR="00131DEE" w:rsidRPr="0038019A">
        <w:rPr>
          <w:bCs/>
        </w:rPr>
        <w:t>In this resubmission, the PBAC noted that the proportion of patients who would self-inject SC methotrexate was updated from 96.3% to 85.5%, bas</w:t>
      </w:r>
      <w:r w:rsidR="008D65F9" w:rsidRPr="0038019A">
        <w:rPr>
          <w:bCs/>
        </w:rPr>
        <w:t>ed on a clinician survey (n=48), which was considered a more reasonable estimate.</w:t>
      </w:r>
      <w:r w:rsidR="00131DEE" w:rsidRPr="0038019A">
        <w:rPr>
          <w:bCs/>
        </w:rPr>
        <w:t xml:space="preserve"> However, the resubmission did not revise its assumption that 100% of patients not self-injecting methotrexate would require a Level B GP consult (MBS Item 23, less than 20 minutes) once weekly for administration, which the PBAC continued to view as an overestimate of the administration costs of methotrexate glass vials. </w:t>
      </w:r>
      <w:r w:rsidR="005B5BC4" w:rsidRPr="0038019A">
        <w:rPr>
          <w:bCs/>
        </w:rPr>
        <w:t>The Pre-PBAC Response acknowledged the ESC’s advice that the cost offsets for administration of glass vials were therefore overestimated, and proposed a new DP</w:t>
      </w:r>
      <w:r w:rsidR="00AA5694">
        <w:rPr>
          <w:bCs/>
        </w:rPr>
        <w:t>M</w:t>
      </w:r>
      <w:r w:rsidR="005B5BC4" w:rsidRPr="0038019A">
        <w:rPr>
          <w:bCs/>
        </w:rPr>
        <w:t>Q of $</w:t>
      </w:r>
      <w:r w:rsidR="00916DCD">
        <w:rPr>
          <w:bCs/>
          <w:noProof/>
          <w:color w:val="000000"/>
          <w:highlight w:val="black"/>
        </w:rPr>
        <w:t>''''''''''''''''''</w:t>
      </w:r>
      <w:r w:rsidR="005B5BC4" w:rsidRPr="0038019A">
        <w:rPr>
          <w:bCs/>
        </w:rPr>
        <w:t xml:space="preserve"> for four syringes (or $</w:t>
      </w:r>
      <w:r w:rsidR="00916DCD">
        <w:rPr>
          <w:bCs/>
          <w:noProof/>
          <w:color w:val="000000"/>
          <w:highlight w:val="black"/>
        </w:rPr>
        <w:t>'''''''''''''</w:t>
      </w:r>
      <w:r w:rsidR="005B5BC4" w:rsidRPr="0038019A">
        <w:rPr>
          <w:bCs/>
        </w:rPr>
        <w:t xml:space="preserve"> per syringe), based on an assumption that 85% of GP consults would be for methotrexate administration only. The PBAC </w:t>
      </w:r>
      <w:r w:rsidR="002968EE" w:rsidRPr="0038019A">
        <w:rPr>
          <w:bCs/>
        </w:rPr>
        <w:t xml:space="preserve">noted </w:t>
      </w:r>
      <w:r w:rsidR="0038019A" w:rsidRPr="0038019A">
        <w:rPr>
          <w:bCs/>
        </w:rPr>
        <w:t xml:space="preserve">that there are likely </w:t>
      </w:r>
      <w:r w:rsidR="00C473CC">
        <w:rPr>
          <w:bCs/>
        </w:rPr>
        <w:t xml:space="preserve">benefits of a </w:t>
      </w:r>
      <w:r w:rsidR="0038019A" w:rsidRPr="0038019A">
        <w:rPr>
          <w:bCs/>
        </w:rPr>
        <w:t xml:space="preserve">subcutaneous form of methotrexate, and requested that the Department negotiate </w:t>
      </w:r>
      <w:r w:rsidR="0038019A">
        <w:rPr>
          <w:bCs/>
        </w:rPr>
        <w:t xml:space="preserve">with the sponsor in relation to </w:t>
      </w:r>
      <w:r w:rsidR="0038019A" w:rsidRPr="0038019A">
        <w:rPr>
          <w:bCs/>
        </w:rPr>
        <w:t xml:space="preserve">the offsets associated with reduced administration costs. </w:t>
      </w:r>
    </w:p>
    <w:p w:rsidR="00D66864" w:rsidRPr="00B07E65" w:rsidRDefault="00D66864" w:rsidP="00D66864">
      <w:pPr>
        <w:pStyle w:val="ListParagraph"/>
        <w:rPr>
          <w:bCs/>
        </w:rPr>
      </w:pPr>
    </w:p>
    <w:p w:rsidR="00A3402E" w:rsidRPr="00817F7B" w:rsidRDefault="007161AC" w:rsidP="00A3402E">
      <w:pPr>
        <w:numPr>
          <w:ilvl w:val="1"/>
          <w:numId w:val="1"/>
        </w:numPr>
        <w:rPr>
          <w:bCs/>
        </w:rPr>
      </w:pPr>
      <w:r w:rsidRPr="00817F7B">
        <w:rPr>
          <w:bCs/>
        </w:rPr>
        <w:t xml:space="preserve">The PBAC noted the concerns </w:t>
      </w:r>
      <w:proofErr w:type="gramStart"/>
      <w:r w:rsidRPr="00817F7B">
        <w:rPr>
          <w:bCs/>
        </w:rPr>
        <w:t>raised</w:t>
      </w:r>
      <w:proofErr w:type="gramEnd"/>
      <w:r w:rsidRPr="00817F7B">
        <w:rPr>
          <w:bCs/>
        </w:rPr>
        <w:t xml:space="preserve"> during the evaluation and ESC meeting about the uncertainty of the estimated utilisation and financial impact of listing SC methotrexate (see paragraph 6.39).</w:t>
      </w:r>
      <w:r w:rsidR="002E46DD" w:rsidRPr="00817F7B">
        <w:rPr>
          <w:bCs/>
        </w:rPr>
        <w:t xml:space="preserve"> The PBAC also noted the revised financial implications presented in the Pre-PBAC Response. Overall, the </w:t>
      </w:r>
      <w:r w:rsidR="009002CF" w:rsidRPr="00817F7B">
        <w:rPr>
          <w:bCs/>
        </w:rPr>
        <w:t>PBAC viewed that the</w:t>
      </w:r>
      <w:r w:rsidR="002E46DD" w:rsidRPr="00817F7B">
        <w:rPr>
          <w:bCs/>
        </w:rPr>
        <w:t xml:space="preserve"> financial estimates presented in the submission were likely an overestimate of the cost to the PBS. In particular, the PBAC noted that the uptake estimates for SC methotrexate were underpinned by an assumption that some patients being prescribed oral methotrexate would then switch to SC methotrexate. The PBAC noted that this assumption was not supported by evidence, and it was not considered plausible.</w:t>
      </w:r>
    </w:p>
    <w:p w:rsidR="00876A65" w:rsidRDefault="00876A65" w:rsidP="00876A65">
      <w:pPr>
        <w:pStyle w:val="ListParagraph"/>
        <w:rPr>
          <w:bCs/>
        </w:rPr>
      </w:pPr>
    </w:p>
    <w:p w:rsidR="00DB066C" w:rsidRPr="00B07E65" w:rsidRDefault="009658DB" w:rsidP="00271C16">
      <w:pPr>
        <w:numPr>
          <w:ilvl w:val="1"/>
          <w:numId w:val="1"/>
        </w:numPr>
        <w:rPr>
          <w:bCs/>
        </w:rPr>
      </w:pPr>
      <w:r w:rsidRPr="00B07E65">
        <w:rPr>
          <w:bCs/>
        </w:rPr>
        <w:t>Finally, t</w:t>
      </w:r>
      <w:r w:rsidR="00DF318C" w:rsidRPr="00B07E65">
        <w:rPr>
          <w:bCs/>
        </w:rPr>
        <w:t>he PBAC</w:t>
      </w:r>
      <w:r w:rsidRPr="00B07E65">
        <w:rPr>
          <w:bCs/>
        </w:rPr>
        <w:t xml:space="preserve"> noted that the resubmission requested that SC methotrexate pre-filled syringes be determined as </w:t>
      </w:r>
      <w:r w:rsidR="00DF059B" w:rsidRPr="00B07E65">
        <w:rPr>
          <w:bCs/>
        </w:rPr>
        <w:t>a pharmaceutical item</w:t>
      </w:r>
      <w:r w:rsidRPr="00B07E65">
        <w:rPr>
          <w:bCs/>
        </w:rPr>
        <w:t xml:space="preserve"> exempt from statutory price reductions in accordance with Section 84AH of the </w:t>
      </w:r>
      <w:r w:rsidRPr="00B07E65">
        <w:rPr>
          <w:bCs/>
          <w:i/>
        </w:rPr>
        <w:t>National Health Act 1953</w:t>
      </w:r>
      <w:r w:rsidR="00E3472B" w:rsidRPr="00B07E65">
        <w:rPr>
          <w:bCs/>
          <w:i/>
        </w:rPr>
        <w:t xml:space="preserve"> (</w:t>
      </w:r>
      <w:r w:rsidR="00E3472B" w:rsidRPr="00B07E65">
        <w:rPr>
          <w:bCs/>
        </w:rPr>
        <w:t>the</w:t>
      </w:r>
      <w:r w:rsidR="00E3472B" w:rsidRPr="00B07E65">
        <w:rPr>
          <w:bCs/>
          <w:i/>
        </w:rPr>
        <w:t xml:space="preserve"> Act)</w:t>
      </w:r>
      <w:r w:rsidRPr="00B07E65">
        <w:rPr>
          <w:bCs/>
        </w:rPr>
        <w:t xml:space="preserve">. </w:t>
      </w:r>
      <w:r w:rsidR="00DF318C" w:rsidRPr="00B07E65">
        <w:rPr>
          <w:bCs/>
        </w:rPr>
        <w:t xml:space="preserve"> The PBAC noted that SC methotrexate is suitable therapy for patients with rheumatoid arthritis and psoriasis</w:t>
      </w:r>
      <w:r w:rsidR="00E3472B" w:rsidRPr="00B07E65">
        <w:rPr>
          <w:bCs/>
        </w:rPr>
        <w:t xml:space="preserve"> (</w:t>
      </w:r>
      <w:r w:rsidR="00DF059B" w:rsidRPr="00B07E65">
        <w:rPr>
          <w:bCs/>
        </w:rPr>
        <w:t xml:space="preserve">in accordance with the </w:t>
      </w:r>
      <w:r w:rsidR="00E3472B" w:rsidRPr="00B07E65">
        <w:rPr>
          <w:bCs/>
        </w:rPr>
        <w:t>circumstance specified under 101(4AB – a) of the</w:t>
      </w:r>
      <w:r w:rsidR="00E3472B" w:rsidRPr="00B07E65">
        <w:rPr>
          <w:bCs/>
          <w:i/>
        </w:rPr>
        <w:t xml:space="preserve"> Act</w:t>
      </w:r>
      <w:r w:rsidR="00DF318C" w:rsidRPr="00B07E65">
        <w:rPr>
          <w:bCs/>
        </w:rPr>
        <w:t>.</w:t>
      </w:r>
      <w:r w:rsidR="00DF059B" w:rsidRPr="00B07E65">
        <w:rPr>
          <w:bCs/>
        </w:rPr>
        <w:t>)</w:t>
      </w:r>
      <w:r w:rsidR="00C54008" w:rsidRPr="00B07E65">
        <w:rPr>
          <w:bCs/>
        </w:rPr>
        <w:t xml:space="preserve"> However, the PBAC considered that </w:t>
      </w:r>
      <w:r w:rsidR="00D5185A" w:rsidRPr="00B07E65">
        <w:rPr>
          <w:bCs/>
        </w:rPr>
        <w:t xml:space="preserve">patients who are unsuitable for the oral tablet form of methotrexate </w:t>
      </w:r>
      <w:r w:rsidR="00C54008" w:rsidRPr="00B07E65">
        <w:rPr>
          <w:bCs/>
        </w:rPr>
        <w:t>do</w:t>
      </w:r>
      <w:r w:rsidR="00D5185A" w:rsidRPr="00B07E65">
        <w:rPr>
          <w:bCs/>
        </w:rPr>
        <w:t xml:space="preserve"> not represent an alternative, demographically based subgroup of patie</w:t>
      </w:r>
      <w:r w:rsidR="00C54008" w:rsidRPr="00B07E65">
        <w:rPr>
          <w:bCs/>
        </w:rPr>
        <w:t xml:space="preserve">nts as set out in </w:t>
      </w:r>
      <w:r w:rsidR="00E3472B" w:rsidRPr="00B07E65">
        <w:rPr>
          <w:bCs/>
        </w:rPr>
        <w:t>s</w:t>
      </w:r>
      <w:r w:rsidR="00C54008" w:rsidRPr="00B07E65">
        <w:rPr>
          <w:bCs/>
        </w:rPr>
        <w:t>ubsection 101 (4AB – b) of the</w:t>
      </w:r>
      <w:r w:rsidR="00C54008" w:rsidRPr="00B07E65">
        <w:rPr>
          <w:bCs/>
          <w:i/>
        </w:rPr>
        <w:t xml:space="preserve"> Act</w:t>
      </w:r>
      <w:r w:rsidR="00C54008" w:rsidRPr="00B07E65">
        <w:rPr>
          <w:bCs/>
        </w:rPr>
        <w:t>.</w:t>
      </w:r>
      <w:r w:rsidR="00E3472B" w:rsidRPr="00B07E65">
        <w:rPr>
          <w:bCs/>
        </w:rPr>
        <w:t xml:space="preserve"> Moreover, a</w:t>
      </w:r>
      <w:r w:rsidR="00D43E76" w:rsidRPr="00B07E65">
        <w:rPr>
          <w:bCs/>
        </w:rPr>
        <w:t>s the identified subgroup can use methotrexate 50 mg in 2 mL glass vials, t</w:t>
      </w:r>
      <w:r w:rsidR="00C54008" w:rsidRPr="00B07E65">
        <w:rPr>
          <w:bCs/>
        </w:rPr>
        <w:t xml:space="preserve">he PBAC also considered that the </w:t>
      </w:r>
      <w:r w:rsidR="00DF059B" w:rsidRPr="00B07E65">
        <w:rPr>
          <w:bCs/>
        </w:rPr>
        <w:t>re</w:t>
      </w:r>
      <w:r w:rsidR="00C54008" w:rsidRPr="00B07E65">
        <w:rPr>
          <w:bCs/>
        </w:rPr>
        <w:t xml:space="preserve">submission did </w:t>
      </w:r>
      <w:r w:rsidR="00E3472B" w:rsidRPr="00B07E65">
        <w:rPr>
          <w:bCs/>
        </w:rPr>
        <w:t>n</w:t>
      </w:r>
      <w:r w:rsidR="00C54008" w:rsidRPr="00B07E65">
        <w:rPr>
          <w:bCs/>
        </w:rPr>
        <w:t xml:space="preserve">ot provide </w:t>
      </w:r>
      <w:r w:rsidR="00D43E76" w:rsidRPr="00B07E65">
        <w:rPr>
          <w:bCs/>
        </w:rPr>
        <w:t xml:space="preserve">justification </w:t>
      </w:r>
      <w:r w:rsidR="00E3472B" w:rsidRPr="00B07E65">
        <w:rPr>
          <w:bCs/>
        </w:rPr>
        <w:t>that</w:t>
      </w:r>
      <w:r w:rsidR="00DF059B" w:rsidRPr="00B07E65">
        <w:rPr>
          <w:bCs/>
        </w:rPr>
        <w:t xml:space="preserve"> the</w:t>
      </w:r>
      <w:r w:rsidR="00C54008" w:rsidRPr="00B07E65">
        <w:rPr>
          <w:bCs/>
        </w:rPr>
        <w:t xml:space="preserve"> </w:t>
      </w:r>
      <w:r w:rsidR="00E3472B" w:rsidRPr="00B07E65">
        <w:rPr>
          <w:bCs/>
        </w:rPr>
        <w:t>circumstance</w:t>
      </w:r>
      <w:r w:rsidR="00C54008" w:rsidRPr="00B07E65">
        <w:rPr>
          <w:bCs/>
        </w:rPr>
        <w:t xml:space="preserve"> </w:t>
      </w:r>
      <w:r w:rsidR="00E3472B" w:rsidRPr="00B07E65">
        <w:rPr>
          <w:bCs/>
        </w:rPr>
        <w:t>specified under</w:t>
      </w:r>
      <w:r w:rsidR="00C54008" w:rsidRPr="00B07E65">
        <w:rPr>
          <w:bCs/>
        </w:rPr>
        <w:t xml:space="preserve"> 101(4AB –c) of the </w:t>
      </w:r>
      <w:r w:rsidR="00C54008" w:rsidRPr="00B07E65">
        <w:rPr>
          <w:bCs/>
          <w:i/>
        </w:rPr>
        <w:t>Act</w:t>
      </w:r>
      <w:r w:rsidR="00E3472B" w:rsidRPr="00B07E65">
        <w:rPr>
          <w:bCs/>
        </w:rPr>
        <w:t xml:space="preserve"> exists in relation to SC methotrexate</w:t>
      </w:r>
      <w:r w:rsidR="00C54008" w:rsidRPr="00B07E65">
        <w:rPr>
          <w:bCs/>
        </w:rPr>
        <w:t>.</w:t>
      </w:r>
      <w:r w:rsidR="0015662E" w:rsidRPr="00B07E65">
        <w:rPr>
          <w:bCs/>
        </w:rPr>
        <w:t xml:space="preserve"> </w:t>
      </w:r>
      <w:r w:rsidR="00C54008" w:rsidRPr="00B07E65">
        <w:rPr>
          <w:bCs/>
        </w:rPr>
        <w:t>There</w:t>
      </w:r>
      <w:r w:rsidR="000E68C1" w:rsidRPr="00B07E65">
        <w:rPr>
          <w:bCs/>
        </w:rPr>
        <w:t xml:space="preserve">fore, the PBAC </w:t>
      </w:r>
      <w:r w:rsidR="00E3472B" w:rsidRPr="00B07E65">
        <w:rPr>
          <w:bCs/>
        </w:rPr>
        <w:t xml:space="preserve">had no reason to advise the Minister under section 101(4AB) of the </w:t>
      </w:r>
      <w:r w:rsidR="00E3472B" w:rsidRPr="00B07E65">
        <w:rPr>
          <w:bCs/>
          <w:i/>
        </w:rPr>
        <w:t xml:space="preserve">Act </w:t>
      </w:r>
      <w:r w:rsidR="00E3472B" w:rsidRPr="00B07E65">
        <w:rPr>
          <w:bCs/>
        </w:rPr>
        <w:t>that the relevant circumstances exist for SC methotrexate to be determined as an item exempt from statutory price reductions.</w:t>
      </w:r>
    </w:p>
    <w:p w:rsidR="008B74E5" w:rsidRPr="00B07E65" w:rsidRDefault="008B74E5" w:rsidP="008B74E5">
      <w:pPr>
        <w:pStyle w:val="ListParagraph"/>
        <w:rPr>
          <w:bCs/>
        </w:rPr>
      </w:pPr>
    </w:p>
    <w:p w:rsidR="008B74E5" w:rsidRPr="00B07E65" w:rsidRDefault="008B74E5" w:rsidP="00271C16">
      <w:pPr>
        <w:numPr>
          <w:ilvl w:val="1"/>
          <w:numId w:val="1"/>
        </w:numPr>
        <w:rPr>
          <w:bCs/>
        </w:rPr>
      </w:pPr>
      <w:r w:rsidRPr="00B07E65">
        <w:rPr>
          <w:bCs/>
        </w:rPr>
        <w:t xml:space="preserve">The PBAC advised that SC </w:t>
      </w:r>
      <w:r w:rsidR="00697B24" w:rsidRPr="00B07E65">
        <w:rPr>
          <w:bCs/>
        </w:rPr>
        <w:t>methotrexate</w:t>
      </w:r>
      <w:r w:rsidRPr="00B07E65">
        <w:rPr>
          <w:bCs/>
        </w:rPr>
        <w:t xml:space="preserve"> is </w:t>
      </w:r>
      <w:r w:rsidR="00B2475B" w:rsidRPr="00B07E65">
        <w:rPr>
          <w:bCs/>
        </w:rPr>
        <w:t xml:space="preserve">not </w:t>
      </w:r>
      <w:r w:rsidRPr="00B07E65">
        <w:rPr>
          <w:bCs/>
        </w:rPr>
        <w:t>suitable for prescribing by nurse practitioners</w:t>
      </w:r>
      <w:r w:rsidR="00270301" w:rsidRPr="00B07E65">
        <w:rPr>
          <w:bCs/>
        </w:rPr>
        <w:t xml:space="preserve"> under the PBS</w:t>
      </w:r>
      <w:r w:rsidR="00B630DB" w:rsidRPr="00B07E65">
        <w:rPr>
          <w:bCs/>
        </w:rPr>
        <w:t>.</w:t>
      </w:r>
    </w:p>
    <w:p w:rsidR="00270301" w:rsidRPr="00B07E65" w:rsidRDefault="00270301" w:rsidP="00270301">
      <w:pPr>
        <w:pStyle w:val="ListParagraph"/>
        <w:rPr>
          <w:bCs/>
        </w:rPr>
      </w:pPr>
    </w:p>
    <w:p w:rsidR="00270301" w:rsidRPr="00B07E65" w:rsidRDefault="00270301" w:rsidP="00271C16">
      <w:pPr>
        <w:numPr>
          <w:ilvl w:val="1"/>
          <w:numId w:val="1"/>
        </w:numPr>
        <w:rPr>
          <w:bCs/>
        </w:rPr>
      </w:pPr>
      <w:r w:rsidRPr="00B07E65">
        <w:rPr>
          <w:bCs/>
        </w:rPr>
        <w:t xml:space="preserve">The PBAC advised that SC methotrexate pre-filled syringes should not be exempt from the Early Supply Rule. </w:t>
      </w:r>
    </w:p>
    <w:p w:rsidR="008B74E5" w:rsidRPr="00B07E65" w:rsidRDefault="008B74E5" w:rsidP="008B74E5">
      <w:pPr>
        <w:pStyle w:val="ListParagraph"/>
        <w:rPr>
          <w:bCs/>
          <w:highlight w:val="yellow"/>
        </w:rPr>
      </w:pPr>
    </w:p>
    <w:p w:rsidR="008B74E5" w:rsidRPr="00B07E65" w:rsidRDefault="008B74E5" w:rsidP="00271C16">
      <w:pPr>
        <w:numPr>
          <w:ilvl w:val="1"/>
          <w:numId w:val="1"/>
        </w:numPr>
        <w:rPr>
          <w:bCs/>
        </w:rPr>
      </w:pPr>
      <w:r w:rsidRPr="00B07E65">
        <w:rPr>
          <w:bCs/>
        </w:rPr>
        <w:t>The PBAC noted that this submission was not eligible for Independent Review as it received a positive recommendation.</w:t>
      </w:r>
    </w:p>
    <w:p w:rsidR="008B74E5" w:rsidRPr="00B07E65" w:rsidRDefault="008B74E5" w:rsidP="008B74E5">
      <w:pPr>
        <w:ind w:left="720"/>
        <w:rPr>
          <w:bCs/>
          <w:highlight w:val="yellow"/>
        </w:rPr>
      </w:pPr>
    </w:p>
    <w:p w:rsidR="000E68C1" w:rsidRPr="00B07E65" w:rsidRDefault="000E68C1" w:rsidP="000E68C1">
      <w:pPr>
        <w:rPr>
          <w:b/>
          <w:bCs/>
        </w:rPr>
      </w:pPr>
      <w:r w:rsidRPr="00B07E65">
        <w:rPr>
          <w:b/>
          <w:bCs/>
        </w:rPr>
        <w:t>Outcome:</w:t>
      </w:r>
    </w:p>
    <w:p w:rsidR="000E68C1" w:rsidRPr="00B07E65" w:rsidRDefault="000E68C1" w:rsidP="000E68C1">
      <w:pPr>
        <w:rPr>
          <w:bCs/>
        </w:rPr>
      </w:pPr>
      <w:r w:rsidRPr="00B07E65">
        <w:rPr>
          <w:bCs/>
        </w:rPr>
        <w:t>Recommended</w:t>
      </w:r>
    </w:p>
    <w:p w:rsidR="00EC2372" w:rsidRPr="00B07E65" w:rsidRDefault="00EC2372" w:rsidP="00EC2372">
      <w:pPr>
        <w:rPr>
          <w:bCs/>
          <w:highlight w:val="yellow"/>
        </w:rPr>
      </w:pPr>
    </w:p>
    <w:p w:rsidR="00AB33E4" w:rsidRDefault="00AB33E4">
      <w:pPr>
        <w:widowControl/>
        <w:jc w:val="left"/>
        <w:rPr>
          <w:bCs/>
          <w:highlight w:val="yellow"/>
        </w:rPr>
      </w:pPr>
      <w:r>
        <w:rPr>
          <w:bCs/>
          <w:highlight w:val="yellow"/>
        </w:rPr>
        <w:br w:type="page"/>
      </w:r>
    </w:p>
    <w:p w:rsidR="00FA6C00" w:rsidRPr="00B07E65" w:rsidRDefault="00FA6C00" w:rsidP="00EC2372">
      <w:pPr>
        <w:rPr>
          <w:bCs/>
          <w:highlight w:val="yellow"/>
        </w:rPr>
      </w:pPr>
    </w:p>
    <w:p w:rsidR="00EC2372" w:rsidRPr="00B07E65" w:rsidRDefault="00EC2372" w:rsidP="00F72DAB">
      <w:pPr>
        <w:pStyle w:val="PBACheading1"/>
        <w:rPr>
          <w:b/>
        </w:rPr>
      </w:pPr>
      <w:r w:rsidRPr="00B07E65">
        <w:rPr>
          <w:b/>
        </w:rPr>
        <w:t>Recommended listing</w:t>
      </w:r>
    </w:p>
    <w:p w:rsidR="00EC2372" w:rsidRPr="00B07E65" w:rsidRDefault="00EC2372" w:rsidP="00EC2372">
      <w:pPr>
        <w:rPr>
          <w:b/>
          <w:bCs/>
          <w:i/>
          <w:highlight w:val="yellow"/>
        </w:rPr>
      </w:pPr>
    </w:p>
    <w:p w:rsidR="00EC2372" w:rsidRPr="00B07E65" w:rsidRDefault="00EC2372" w:rsidP="00EC2372">
      <w:pPr>
        <w:ind w:firstLine="720"/>
        <w:rPr>
          <w:bCs/>
        </w:rPr>
      </w:pPr>
      <w:r w:rsidRPr="00B07E65">
        <w:rPr>
          <w:bCs/>
        </w:rPr>
        <w:t>Add new item:</w:t>
      </w:r>
    </w:p>
    <w:p w:rsidR="003016B8" w:rsidRPr="00B07E65" w:rsidRDefault="003016B8" w:rsidP="003016B8">
      <w:pPr>
        <w:widowControl/>
        <w:rPr>
          <w:szCs w:val="22"/>
        </w:rPr>
      </w:pPr>
    </w:p>
    <w:tbl>
      <w:tblPr>
        <w:tblW w:w="8505" w:type="dxa"/>
        <w:tblInd w:w="817" w:type="dxa"/>
        <w:tblLayout w:type="fixed"/>
        <w:tblLook w:val="0000" w:firstRow="0" w:lastRow="0" w:firstColumn="0" w:lastColumn="0" w:noHBand="0" w:noVBand="0"/>
      </w:tblPr>
      <w:tblGrid>
        <w:gridCol w:w="2126"/>
        <w:gridCol w:w="1560"/>
        <w:gridCol w:w="567"/>
        <w:gridCol w:w="1134"/>
        <w:gridCol w:w="850"/>
        <w:gridCol w:w="1985"/>
        <w:gridCol w:w="283"/>
      </w:tblGrid>
      <w:tr w:rsidR="003016B8" w:rsidRPr="00B07E65" w:rsidTr="00144270">
        <w:trPr>
          <w:gridAfter w:val="1"/>
          <w:wAfter w:w="283" w:type="dxa"/>
          <w:cantSplit/>
          <w:trHeight w:val="471"/>
        </w:trPr>
        <w:tc>
          <w:tcPr>
            <w:tcW w:w="3686" w:type="dxa"/>
            <w:gridSpan w:val="2"/>
            <w:tcBorders>
              <w:bottom w:val="single" w:sz="4" w:space="0" w:color="auto"/>
            </w:tcBorders>
          </w:tcPr>
          <w:p w:rsidR="003016B8" w:rsidRPr="00B07E65" w:rsidRDefault="003016B8" w:rsidP="00A70D78">
            <w:pPr>
              <w:keepNext/>
              <w:ind w:left="-108"/>
              <w:rPr>
                <w:rFonts w:ascii="Arial Narrow" w:hAnsi="Arial Narrow"/>
                <w:b/>
                <w:sz w:val="20"/>
              </w:rPr>
            </w:pPr>
            <w:r w:rsidRPr="00B07E65">
              <w:rPr>
                <w:rFonts w:ascii="Arial Narrow" w:hAnsi="Arial Narrow"/>
                <w:b/>
                <w:sz w:val="20"/>
              </w:rPr>
              <w:t>Name, Restriction,</w:t>
            </w:r>
          </w:p>
          <w:p w:rsidR="003016B8" w:rsidRPr="00B07E65" w:rsidRDefault="003016B8" w:rsidP="00A70D78">
            <w:pPr>
              <w:keepNext/>
              <w:ind w:left="-108"/>
              <w:rPr>
                <w:rFonts w:ascii="Arial Narrow" w:hAnsi="Arial Narrow"/>
                <w:b/>
                <w:sz w:val="20"/>
              </w:rPr>
            </w:pPr>
            <w:r w:rsidRPr="00B07E65">
              <w:rPr>
                <w:rFonts w:ascii="Arial Narrow" w:hAnsi="Arial Narrow"/>
                <w:b/>
                <w:sz w:val="20"/>
              </w:rPr>
              <w:t>Manner of administration and form</w:t>
            </w:r>
          </w:p>
        </w:tc>
        <w:tc>
          <w:tcPr>
            <w:tcW w:w="567" w:type="dxa"/>
            <w:tcBorders>
              <w:bottom w:val="single" w:sz="4" w:space="0" w:color="auto"/>
            </w:tcBorders>
          </w:tcPr>
          <w:p w:rsidR="003016B8" w:rsidRPr="00B07E65" w:rsidRDefault="003016B8" w:rsidP="00A70D78">
            <w:pPr>
              <w:keepNext/>
              <w:ind w:left="-108"/>
              <w:jc w:val="center"/>
              <w:rPr>
                <w:rFonts w:ascii="Arial Narrow" w:hAnsi="Arial Narrow"/>
                <w:b/>
                <w:sz w:val="20"/>
              </w:rPr>
            </w:pPr>
            <w:r w:rsidRPr="00B07E65">
              <w:rPr>
                <w:rFonts w:ascii="Arial Narrow" w:hAnsi="Arial Narrow"/>
                <w:b/>
                <w:sz w:val="20"/>
              </w:rPr>
              <w:t>Max.</w:t>
            </w:r>
          </w:p>
          <w:p w:rsidR="003016B8" w:rsidRPr="00B07E65" w:rsidRDefault="003016B8" w:rsidP="00A70D78">
            <w:pPr>
              <w:keepNext/>
              <w:ind w:left="-108"/>
              <w:jc w:val="center"/>
              <w:rPr>
                <w:rFonts w:ascii="Arial Narrow" w:hAnsi="Arial Narrow"/>
                <w:b/>
                <w:sz w:val="20"/>
              </w:rPr>
            </w:pPr>
            <w:r w:rsidRPr="00B07E65">
              <w:rPr>
                <w:rFonts w:ascii="Arial Narrow" w:hAnsi="Arial Narrow"/>
                <w:b/>
                <w:sz w:val="20"/>
              </w:rPr>
              <w:t>Qty</w:t>
            </w:r>
          </w:p>
        </w:tc>
        <w:tc>
          <w:tcPr>
            <w:tcW w:w="1134" w:type="dxa"/>
            <w:tcBorders>
              <w:bottom w:val="single" w:sz="4" w:space="0" w:color="auto"/>
            </w:tcBorders>
          </w:tcPr>
          <w:p w:rsidR="003016B8" w:rsidRPr="00B07E65" w:rsidRDefault="003016B8" w:rsidP="00A70D78">
            <w:pPr>
              <w:keepNext/>
              <w:ind w:left="-108"/>
              <w:jc w:val="center"/>
              <w:rPr>
                <w:rFonts w:ascii="Arial Narrow" w:hAnsi="Arial Narrow"/>
                <w:b/>
                <w:sz w:val="20"/>
              </w:rPr>
            </w:pPr>
            <w:r w:rsidRPr="00B07E65">
              <w:rPr>
                <w:rFonts w:ascii="Arial Narrow" w:hAnsi="Arial Narrow"/>
                <w:b/>
                <w:sz w:val="20"/>
              </w:rPr>
              <w:t>№.of</w:t>
            </w:r>
          </w:p>
          <w:p w:rsidR="003016B8" w:rsidRPr="00B07E65" w:rsidRDefault="003016B8" w:rsidP="00A70D78">
            <w:pPr>
              <w:keepNext/>
              <w:ind w:left="-108"/>
              <w:jc w:val="center"/>
              <w:rPr>
                <w:rFonts w:ascii="Arial Narrow" w:hAnsi="Arial Narrow"/>
                <w:b/>
                <w:sz w:val="20"/>
              </w:rPr>
            </w:pPr>
            <w:r w:rsidRPr="00B07E65">
              <w:rPr>
                <w:rFonts w:ascii="Arial Narrow" w:hAnsi="Arial Narrow"/>
                <w:b/>
                <w:sz w:val="20"/>
              </w:rPr>
              <w:t>Rpts</w:t>
            </w:r>
          </w:p>
        </w:tc>
        <w:tc>
          <w:tcPr>
            <w:tcW w:w="2835" w:type="dxa"/>
            <w:gridSpan w:val="2"/>
            <w:tcBorders>
              <w:bottom w:val="single" w:sz="4" w:space="0" w:color="auto"/>
            </w:tcBorders>
          </w:tcPr>
          <w:p w:rsidR="003016B8" w:rsidRPr="00B07E65" w:rsidRDefault="003016B8" w:rsidP="00A70D78">
            <w:pPr>
              <w:keepNext/>
              <w:rPr>
                <w:rFonts w:ascii="Arial Narrow" w:hAnsi="Arial Narrow"/>
                <w:b/>
                <w:sz w:val="20"/>
              </w:rPr>
            </w:pPr>
            <w:r w:rsidRPr="00B07E65">
              <w:rPr>
                <w:rFonts w:ascii="Arial Narrow" w:hAnsi="Arial Narrow"/>
                <w:b/>
                <w:sz w:val="20"/>
              </w:rPr>
              <w:t>Proprietary Name and Manufacturer</w:t>
            </w:r>
          </w:p>
        </w:tc>
      </w:tr>
      <w:tr w:rsidR="003016B8" w:rsidRPr="00B07E65" w:rsidTr="00144270">
        <w:tblPrEx>
          <w:tblCellMar>
            <w:left w:w="28" w:type="dxa"/>
            <w:right w:w="28" w:type="dxa"/>
          </w:tblCellMar>
        </w:tblPrEx>
        <w:trPr>
          <w:gridAfter w:val="1"/>
          <w:wAfter w:w="283" w:type="dxa"/>
          <w:cantSplit/>
          <w:trHeight w:val="545"/>
        </w:trPr>
        <w:tc>
          <w:tcPr>
            <w:tcW w:w="3686" w:type="dxa"/>
            <w:gridSpan w:val="2"/>
            <w:tcBorders>
              <w:top w:val="single" w:sz="4" w:space="0" w:color="auto"/>
            </w:tcBorders>
          </w:tcPr>
          <w:p w:rsidR="003016B8" w:rsidRPr="00B07E65" w:rsidRDefault="003016B8" w:rsidP="00A70D78">
            <w:pPr>
              <w:keepNext/>
              <w:rPr>
                <w:rFonts w:ascii="Arial Narrow" w:hAnsi="Arial Narrow"/>
                <w:sz w:val="20"/>
                <w:szCs w:val="22"/>
              </w:rPr>
            </w:pPr>
            <w:r w:rsidRPr="00B07E65">
              <w:rPr>
                <w:rFonts w:ascii="Arial Narrow" w:hAnsi="Arial Narrow"/>
                <w:smallCaps/>
                <w:sz w:val="20"/>
                <w:szCs w:val="22"/>
              </w:rPr>
              <w:t>Methotrexate</w:t>
            </w:r>
          </w:p>
          <w:p w:rsidR="003016B8" w:rsidRPr="00B07E65" w:rsidRDefault="003016B8" w:rsidP="00A70D78">
            <w:pPr>
              <w:keepNext/>
              <w:rPr>
                <w:rFonts w:ascii="Arial Narrow" w:hAnsi="Arial Narrow"/>
                <w:sz w:val="20"/>
                <w:szCs w:val="22"/>
              </w:rPr>
            </w:pPr>
            <w:r w:rsidRPr="00B07E65">
              <w:rPr>
                <w:rFonts w:ascii="Arial Narrow" w:hAnsi="Arial Narrow"/>
                <w:sz w:val="20"/>
                <w:szCs w:val="22"/>
              </w:rPr>
              <w:t xml:space="preserve">7.5 mg/0.15 mL injection, 1 x 0.15 mL syringe </w:t>
            </w:r>
          </w:p>
        </w:tc>
        <w:tc>
          <w:tcPr>
            <w:tcW w:w="567" w:type="dxa"/>
            <w:tcBorders>
              <w:top w:val="single" w:sz="4" w:space="0" w:color="auto"/>
            </w:tcBorders>
            <w:vAlign w:val="center"/>
          </w:tcPr>
          <w:p w:rsidR="003016B8" w:rsidRPr="00B07E65" w:rsidRDefault="003016B8" w:rsidP="00A70D78">
            <w:pPr>
              <w:keepNext/>
              <w:jc w:val="center"/>
              <w:rPr>
                <w:rFonts w:ascii="Arial Narrow" w:hAnsi="Arial Narrow"/>
                <w:sz w:val="20"/>
                <w:szCs w:val="22"/>
              </w:rPr>
            </w:pPr>
          </w:p>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4</w:t>
            </w:r>
          </w:p>
        </w:tc>
        <w:tc>
          <w:tcPr>
            <w:tcW w:w="1134" w:type="dxa"/>
            <w:tcBorders>
              <w:top w:val="single" w:sz="4" w:space="0" w:color="auto"/>
            </w:tcBorders>
            <w:vAlign w:val="center"/>
          </w:tcPr>
          <w:p w:rsidR="003016B8" w:rsidRPr="00B07E65" w:rsidRDefault="003016B8" w:rsidP="00A70D78">
            <w:pPr>
              <w:keepNext/>
              <w:jc w:val="center"/>
              <w:rPr>
                <w:rFonts w:ascii="Arial Narrow" w:hAnsi="Arial Narrow"/>
                <w:sz w:val="20"/>
                <w:szCs w:val="22"/>
              </w:rPr>
            </w:pPr>
          </w:p>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5</w:t>
            </w:r>
          </w:p>
        </w:tc>
        <w:tc>
          <w:tcPr>
            <w:tcW w:w="850" w:type="dxa"/>
            <w:tcBorders>
              <w:top w:val="single" w:sz="4" w:space="0" w:color="auto"/>
            </w:tcBorders>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Trexject®</w:t>
            </w:r>
          </w:p>
        </w:tc>
        <w:tc>
          <w:tcPr>
            <w:tcW w:w="1985" w:type="dxa"/>
            <w:tcBorders>
              <w:top w:val="single" w:sz="4" w:space="0" w:color="auto"/>
            </w:tcBorders>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Link Medical Products</w:t>
            </w:r>
          </w:p>
        </w:tc>
      </w:tr>
      <w:tr w:rsidR="003016B8" w:rsidRPr="00B07E65" w:rsidTr="00144270">
        <w:tblPrEx>
          <w:tblCellMar>
            <w:left w:w="28" w:type="dxa"/>
            <w:right w:w="28" w:type="dxa"/>
          </w:tblCellMar>
        </w:tblPrEx>
        <w:trPr>
          <w:gridAfter w:val="1"/>
          <w:wAfter w:w="283" w:type="dxa"/>
          <w:cantSplit/>
          <w:trHeight w:val="283"/>
        </w:trPr>
        <w:tc>
          <w:tcPr>
            <w:tcW w:w="3686" w:type="dxa"/>
            <w:gridSpan w:val="2"/>
          </w:tcPr>
          <w:p w:rsidR="003016B8" w:rsidRPr="00B07E65" w:rsidRDefault="003016B8" w:rsidP="00A70D78">
            <w:pPr>
              <w:rPr>
                <w:rFonts w:ascii="Arial Narrow" w:hAnsi="Arial Narrow"/>
                <w:sz w:val="20"/>
                <w:szCs w:val="22"/>
              </w:rPr>
            </w:pPr>
            <w:r w:rsidRPr="00B07E65">
              <w:rPr>
                <w:rFonts w:ascii="Arial Narrow" w:hAnsi="Arial Narrow"/>
                <w:sz w:val="20"/>
                <w:szCs w:val="22"/>
              </w:rPr>
              <w:t xml:space="preserve">10 mg/0.2 mL injection, 1 x 0.2 mL syringe </w:t>
            </w:r>
          </w:p>
        </w:tc>
        <w:tc>
          <w:tcPr>
            <w:tcW w:w="567"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4</w:t>
            </w:r>
          </w:p>
        </w:tc>
        <w:tc>
          <w:tcPr>
            <w:tcW w:w="1134"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5</w:t>
            </w:r>
          </w:p>
        </w:tc>
        <w:tc>
          <w:tcPr>
            <w:tcW w:w="850" w:type="dxa"/>
          </w:tcPr>
          <w:p w:rsidR="003016B8" w:rsidRPr="00B07E65" w:rsidRDefault="003016B8" w:rsidP="00A70D78">
            <w:pPr>
              <w:keepNext/>
              <w:jc w:val="center"/>
              <w:rPr>
                <w:rFonts w:ascii="Arial Narrow" w:hAnsi="Arial Narrow"/>
                <w:sz w:val="20"/>
                <w:szCs w:val="22"/>
              </w:rPr>
            </w:pPr>
          </w:p>
        </w:tc>
        <w:tc>
          <w:tcPr>
            <w:tcW w:w="1985" w:type="dxa"/>
          </w:tcPr>
          <w:p w:rsidR="003016B8" w:rsidRPr="00B07E65" w:rsidRDefault="003016B8" w:rsidP="00A70D78">
            <w:pPr>
              <w:keepNext/>
              <w:jc w:val="center"/>
              <w:rPr>
                <w:rFonts w:ascii="Arial Narrow" w:hAnsi="Arial Narrow"/>
                <w:sz w:val="20"/>
                <w:szCs w:val="22"/>
              </w:rPr>
            </w:pPr>
          </w:p>
        </w:tc>
      </w:tr>
      <w:tr w:rsidR="003016B8" w:rsidRPr="00B07E65" w:rsidTr="00144270">
        <w:tblPrEx>
          <w:tblCellMar>
            <w:left w:w="28" w:type="dxa"/>
            <w:right w:w="28" w:type="dxa"/>
          </w:tblCellMar>
        </w:tblPrEx>
        <w:trPr>
          <w:gridAfter w:val="1"/>
          <w:wAfter w:w="283" w:type="dxa"/>
          <w:cantSplit/>
          <w:trHeight w:val="283"/>
        </w:trPr>
        <w:tc>
          <w:tcPr>
            <w:tcW w:w="3686" w:type="dxa"/>
            <w:gridSpan w:val="2"/>
          </w:tcPr>
          <w:p w:rsidR="003016B8" w:rsidRPr="00B07E65" w:rsidRDefault="003016B8" w:rsidP="00A70D78">
            <w:pPr>
              <w:rPr>
                <w:rFonts w:ascii="Arial Narrow" w:hAnsi="Arial Narrow"/>
                <w:sz w:val="20"/>
                <w:szCs w:val="22"/>
              </w:rPr>
            </w:pPr>
            <w:r w:rsidRPr="00B07E65">
              <w:rPr>
                <w:rFonts w:ascii="Arial Narrow" w:hAnsi="Arial Narrow"/>
                <w:sz w:val="20"/>
                <w:szCs w:val="22"/>
              </w:rPr>
              <w:t xml:space="preserve">15 mg/0.3 mL injection, 1 x 0.3 mL syringe </w:t>
            </w:r>
          </w:p>
        </w:tc>
        <w:tc>
          <w:tcPr>
            <w:tcW w:w="567"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4</w:t>
            </w:r>
          </w:p>
        </w:tc>
        <w:tc>
          <w:tcPr>
            <w:tcW w:w="1134"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5</w:t>
            </w:r>
          </w:p>
        </w:tc>
        <w:tc>
          <w:tcPr>
            <w:tcW w:w="850" w:type="dxa"/>
          </w:tcPr>
          <w:p w:rsidR="003016B8" w:rsidRPr="00B07E65" w:rsidRDefault="003016B8" w:rsidP="00A70D78">
            <w:pPr>
              <w:keepNext/>
              <w:jc w:val="center"/>
              <w:rPr>
                <w:rFonts w:ascii="Arial Narrow" w:hAnsi="Arial Narrow"/>
                <w:sz w:val="20"/>
                <w:szCs w:val="22"/>
              </w:rPr>
            </w:pPr>
          </w:p>
        </w:tc>
        <w:tc>
          <w:tcPr>
            <w:tcW w:w="1985" w:type="dxa"/>
          </w:tcPr>
          <w:p w:rsidR="003016B8" w:rsidRPr="00B07E65" w:rsidRDefault="003016B8" w:rsidP="00A70D78">
            <w:pPr>
              <w:keepNext/>
              <w:jc w:val="center"/>
              <w:rPr>
                <w:rFonts w:ascii="Arial Narrow" w:hAnsi="Arial Narrow"/>
                <w:sz w:val="20"/>
                <w:szCs w:val="22"/>
              </w:rPr>
            </w:pPr>
          </w:p>
        </w:tc>
      </w:tr>
      <w:tr w:rsidR="003016B8" w:rsidRPr="00B07E65" w:rsidTr="00144270">
        <w:tblPrEx>
          <w:tblCellMar>
            <w:left w:w="28" w:type="dxa"/>
            <w:right w:w="28" w:type="dxa"/>
          </w:tblCellMar>
        </w:tblPrEx>
        <w:trPr>
          <w:gridAfter w:val="1"/>
          <w:wAfter w:w="283" w:type="dxa"/>
          <w:cantSplit/>
          <w:trHeight w:val="283"/>
        </w:trPr>
        <w:tc>
          <w:tcPr>
            <w:tcW w:w="3686" w:type="dxa"/>
            <w:gridSpan w:val="2"/>
          </w:tcPr>
          <w:p w:rsidR="003016B8" w:rsidRPr="00B07E65" w:rsidRDefault="003016B8" w:rsidP="00A70D78">
            <w:pPr>
              <w:rPr>
                <w:rFonts w:ascii="Arial Narrow" w:hAnsi="Arial Narrow"/>
                <w:sz w:val="20"/>
                <w:szCs w:val="22"/>
              </w:rPr>
            </w:pPr>
            <w:r w:rsidRPr="00B07E65">
              <w:rPr>
                <w:rFonts w:ascii="Arial Narrow" w:hAnsi="Arial Narrow"/>
                <w:sz w:val="20"/>
                <w:szCs w:val="22"/>
              </w:rPr>
              <w:t xml:space="preserve">20 mg/0.4 mL injection, 1 x 0.4 mL syringe </w:t>
            </w:r>
          </w:p>
        </w:tc>
        <w:tc>
          <w:tcPr>
            <w:tcW w:w="567"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4</w:t>
            </w:r>
          </w:p>
        </w:tc>
        <w:tc>
          <w:tcPr>
            <w:tcW w:w="1134"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5</w:t>
            </w:r>
          </w:p>
        </w:tc>
        <w:tc>
          <w:tcPr>
            <w:tcW w:w="850" w:type="dxa"/>
          </w:tcPr>
          <w:p w:rsidR="003016B8" w:rsidRPr="00B07E65" w:rsidRDefault="003016B8" w:rsidP="00A70D78">
            <w:pPr>
              <w:keepNext/>
              <w:jc w:val="center"/>
              <w:rPr>
                <w:rFonts w:ascii="Arial Narrow" w:hAnsi="Arial Narrow"/>
                <w:sz w:val="20"/>
                <w:szCs w:val="22"/>
              </w:rPr>
            </w:pPr>
          </w:p>
        </w:tc>
        <w:tc>
          <w:tcPr>
            <w:tcW w:w="1985" w:type="dxa"/>
          </w:tcPr>
          <w:p w:rsidR="003016B8" w:rsidRPr="00B07E65" w:rsidRDefault="003016B8" w:rsidP="00A70D78">
            <w:pPr>
              <w:keepNext/>
              <w:jc w:val="center"/>
              <w:rPr>
                <w:rFonts w:ascii="Arial Narrow" w:hAnsi="Arial Narrow"/>
                <w:sz w:val="20"/>
                <w:szCs w:val="22"/>
              </w:rPr>
            </w:pPr>
          </w:p>
        </w:tc>
      </w:tr>
      <w:tr w:rsidR="003016B8" w:rsidRPr="00B07E65" w:rsidTr="00144270">
        <w:tblPrEx>
          <w:tblCellMar>
            <w:left w:w="28" w:type="dxa"/>
            <w:right w:w="28" w:type="dxa"/>
          </w:tblCellMar>
        </w:tblPrEx>
        <w:trPr>
          <w:gridAfter w:val="1"/>
          <w:wAfter w:w="283" w:type="dxa"/>
          <w:cantSplit/>
          <w:trHeight w:val="283"/>
        </w:trPr>
        <w:tc>
          <w:tcPr>
            <w:tcW w:w="3686" w:type="dxa"/>
            <w:gridSpan w:val="2"/>
          </w:tcPr>
          <w:p w:rsidR="003016B8" w:rsidRPr="00B07E65" w:rsidRDefault="003016B8" w:rsidP="00A70D78">
            <w:pPr>
              <w:rPr>
                <w:rFonts w:ascii="Arial Narrow" w:hAnsi="Arial Narrow"/>
                <w:sz w:val="20"/>
                <w:szCs w:val="22"/>
              </w:rPr>
            </w:pPr>
            <w:r w:rsidRPr="00B07E65">
              <w:rPr>
                <w:rFonts w:ascii="Arial Narrow" w:hAnsi="Arial Narrow"/>
                <w:sz w:val="20"/>
                <w:szCs w:val="22"/>
              </w:rPr>
              <w:t xml:space="preserve">25 mg/0.5 mL injection, 1 x 0.5 mL syringe </w:t>
            </w:r>
          </w:p>
        </w:tc>
        <w:tc>
          <w:tcPr>
            <w:tcW w:w="567"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4</w:t>
            </w:r>
          </w:p>
        </w:tc>
        <w:tc>
          <w:tcPr>
            <w:tcW w:w="1134" w:type="dxa"/>
            <w:vAlign w:val="center"/>
          </w:tcPr>
          <w:p w:rsidR="003016B8" w:rsidRPr="00B07E65" w:rsidRDefault="003016B8" w:rsidP="00A70D78">
            <w:pPr>
              <w:keepNext/>
              <w:jc w:val="center"/>
              <w:rPr>
                <w:rFonts w:ascii="Arial Narrow" w:hAnsi="Arial Narrow"/>
                <w:sz w:val="20"/>
                <w:szCs w:val="22"/>
              </w:rPr>
            </w:pPr>
            <w:r w:rsidRPr="00B07E65">
              <w:rPr>
                <w:rFonts w:ascii="Arial Narrow" w:hAnsi="Arial Narrow"/>
                <w:sz w:val="20"/>
                <w:szCs w:val="22"/>
              </w:rPr>
              <w:t>5</w:t>
            </w:r>
          </w:p>
        </w:tc>
        <w:tc>
          <w:tcPr>
            <w:tcW w:w="850" w:type="dxa"/>
          </w:tcPr>
          <w:p w:rsidR="003016B8" w:rsidRPr="00B07E65" w:rsidRDefault="003016B8" w:rsidP="00A70D78">
            <w:pPr>
              <w:keepNext/>
              <w:jc w:val="center"/>
              <w:rPr>
                <w:rFonts w:ascii="Arial Narrow" w:hAnsi="Arial Narrow"/>
                <w:sz w:val="20"/>
                <w:szCs w:val="22"/>
              </w:rPr>
            </w:pPr>
          </w:p>
        </w:tc>
        <w:tc>
          <w:tcPr>
            <w:tcW w:w="1985" w:type="dxa"/>
          </w:tcPr>
          <w:p w:rsidR="003016B8" w:rsidRPr="00B07E65" w:rsidRDefault="003016B8" w:rsidP="00A70D78">
            <w:pPr>
              <w:keepNext/>
              <w:jc w:val="center"/>
              <w:rPr>
                <w:rFonts w:ascii="Arial Narrow" w:hAnsi="Arial Narrow"/>
                <w:sz w:val="20"/>
                <w:szCs w:val="22"/>
              </w:rPr>
            </w:pPr>
          </w:p>
        </w:tc>
      </w:tr>
      <w:tr w:rsidR="003016B8" w:rsidRPr="00B07E65" w:rsidTr="00144270">
        <w:trPr>
          <w:cantSplit/>
          <w:trHeight w:val="454"/>
        </w:trPr>
        <w:tc>
          <w:tcPr>
            <w:tcW w:w="8505" w:type="dxa"/>
            <w:gridSpan w:val="7"/>
            <w:tcBorders>
              <w:bottom w:val="single" w:sz="4" w:space="0" w:color="auto"/>
            </w:tcBorders>
          </w:tcPr>
          <w:p w:rsidR="003016B8" w:rsidRPr="00B07E65" w:rsidRDefault="003016B8" w:rsidP="00A70D78">
            <w:pPr>
              <w:rPr>
                <w:rFonts w:ascii="Arial Narrow" w:hAnsi="Arial Narrow"/>
                <w:i/>
                <w:sz w:val="20"/>
              </w:rPr>
            </w:pP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t>GENERAL – General Schedule (Code GE)</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Prescriber type:</w:t>
            </w:r>
          </w:p>
          <w:p w:rsidR="003016B8" w:rsidRPr="00B07E65" w:rsidRDefault="003016B8" w:rsidP="00A70D78">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Check1"/>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Dental  </w:t>
            </w: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Medical Practitioners  </w:t>
            </w: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Nurse practitioners  </w:t>
            </w: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Optometrists</w:t>
            </w:r>
          </w:p>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Midwives</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12C20">
            <w:pPr>
              <w:rPr>
                <w:rFonts w:ascii="Arial Narrow" w:hAnsi="Arial Narrow"/>
                <w:sz w:val="20"/>
              </w:rPr>
            </w:pPr>
            <w:r w:rsidRPr="00B07E65">
              <w:rPr>
                <w:rFonts w:ascii="Arial Narrow" w:hAnsi="Arial Narrow"/>
                <w:sz w:val="20"/>
              </w:rPr>
              <w:t>Severe</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t xml:space="preserve">Rheumatoid arthritis </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PBS Indication:</w:t>
            </w:r>
          </w:p>
          <w:p w:rsidR="003016B8" w:rsidRPr="00B07E65" w:rsidRDefault="003016B8" w:rsidP="00A70D78">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12C20">
            <w:pPr>
              <w:rPr>
                <w:rFonts w:ascii="Arial Narrow" w:hAnsi="Arial Narrow"/>
                <w:sz w:val="20"/>
              </w:rPr>
            </w:pPr>
            <w:r w:rsidRPr="00B07E65">
              <w:rPr>
                <w:rFonts w:ascii="Arial Narrow" w:hAnsi="Arial Narrow"/>
                <w:sz w:val="20"/>
              </w:rPr>
              <w:t xml:space="preserve">Severe </w:t>
            </w:r>
            <w:r w:rsidR="00704B34" w:rsidRPr="00B07E65">
              <w:rPr>
                <w:rFonts w:ascii="Arial Narrow" w:hAnsi="Arial Narrow"/>
                <w:sz w:val="20"/>
              </w:rPr>
              <w:t xml:space="preserve">active </w:t>
            </w:r>
            <w:r w:rsidRPr="00B07E65">
              <w:rPr>
                <w:rFonts w:ascii="Arial Narrow" w:hAnsi="Arial Narrow"/>
                <w:sz w:val="20"/>
              </w:rPr>
              <w:t>rheumatoid arthritis</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C271A3">
            <w:pPr>
              <w:rPr>
                <w:rFonts w:ascii="Arial Narrow" w:hAnsi="Arial Narrow"/>
                <w:i/>
                <w:sz w:val="20"/>
              </w:rPr>
            </w:pPr>
            <w:r w:rsidRPr="00B07E6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Check5"/>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Streamlined</w:t>
            </w:r>
          </w:p>
        </w:tc>
      </w:tr>
      <w:tr w:rsidR="003016B8" w:rsidRPr="00B07E65" w:rsidTr="00A70D78">
        <w:trPr>
          <w:cantSplit/>
          <w:trHeight w:val="360"/>
        </w:trPr>
        <w:tc>
          <w:tcPr>
            <w:tcW w:w="2126" w:type="dxa"/>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Clinical criteria:</w:t>
            </w:r>
          </w:p>
          <w:p w:rsidR="003016B8" w:rsidRPr="00B07E65" w:rsidRDefault="003016B8" w:rsidP="00A70D78">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i/>
                <w:sz w:val="20"/>
              </w:rPr>
            </w:pPr>
            <w:r w:rsidRPr="00B07E65">
              <w:rPr>
                <w:rFonts w:ascii="Arial Narrow" w:hAnsi="Arial Narrow"/>
                <w:sz w:val="20"/>
              </w:rPr>
              <w:t>Patient must be unsuitable for administration of an oral form of methotrexate for this condition.</w:t>
            </w:r>
          </w:p>
        </w:tc>
      </w:tr>
    </w:tbl>
    <w:p w:rsidR="003016B8" w:rsidRPr="00B07E65" w:rsidRDefault="003016B8" w:rsidP="003016B8">
      <w:pPr>
        <w:rPr>
          <w:szCs w:val="22"/>
        </w:rPr>
      </w:pPr>
    </w:p>
    <w:tbl>
      <w:tblPr>
        <w:tblW w:w="4601" w:type="pct"/>
        <w:tblInd w:w="817" w:type="dxa"/>
        <w:tblLook w:val="0000" w:firstRow="0" w:lastRow="0" w:firstColumn="0" w:lastColumn="0" w:noHBand="0" w:noVBand="0"/>
      </w:tblPr>
      <w:tblGrid>
        <w:gridCol w:w="2126"/>
        <w:gridCol w:w="6378"/>
      </w:tblGrid>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Category / Program</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t>GENERAL – General Schedule (Code GE)</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Prescriber type:</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Check1"/>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Dental  </w:t>
            </w: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Medical Practitioners  </w:t>
            </w:r>
            <w:r w:rsidRPr="00B07E65">
              <w:rPr>
                <w:rFonts w:ascii="Arial Narrow" w:hAnsi="Arial Narrow"/>
                <w:sz w:val="20"/>
              </w:rPr>
              <w:fldChar w:fldCharType="begin">
                <w:ffData>
                  <w:name w:val="Check3"/>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 xml:space="preserve">Nurse practitioners  </w:t>
            </w:r>
            <w:r w:rsidRPr="00B07E65">
              <w:rPr>
                <w:rFonts w:ascii="Arial Narrow" w:hAnsi="Arial Narrow"/>
                <w:sz w:val="20"/>
              </w:rPr>
              <w:fldChar w:fldCharType="begin">
                <w:ffData>
                  <w:name w:val=""/>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Optometrists</w:t>
            </w:r>
          </w:p>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Check5"/>
                  <w:enabled/>
                  <w:calcOnExit w:val="0"/>
                  <w:checkBox>
                    <w:sizeAuto/>
                    <w:default w:val="0"/>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Midwives</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Severity:</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12C20">
            <w:pPr>
              <w:rPr>
                <w:rFonts w:ascii="Arial Narrow" w:hAnsi="Arial Narrow"/>
                <w:sz w:val="20"/>
              </w:rPr>
            </w:pPr>
            <w:r w:rsidRPr="00B07E65">
              <w:rPr>
                <w:rFonts w:ascii="Arial Narrow" w:hAnsi="Arial Narrow"/>
                <w:sz w:val="20"/>
              </w:rPr>
              <w:t>Severe</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Condition:</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t xml:space="preserve">Psoriasis </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PBS Indication:</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12C20">
            <w:pPr>
              <w:rPr>
                <w:rFonts w:ascii="Arial Narrow" w:hAnsi="Arial Narrow"/>
                <w:sz w:val="20"/>
              </w:rPr>
            </w:pPr>
            <w:r w:rsidRPr="00B07E65">
              <w:rPr>
                <w:rFonts w:ascii="Arial Narrow" w:hAnsi="Arial Narrow"/>
                <w:sz w:val="20"/>
              </w:rPr>
              <w:t>Severe psoriasis</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210274">
            <w:pPr>
              <w:rPr>
                <w:rFonts w:ascii="Arial Narrow" w:hAnsi="Arial Narrow"/>
                <w:sz w:val="20"/>
              </w:rPr>
            </w:pPr>
            <w:r w:rsidRPr="00B07E65">
              <w:rPr>
                <w:rFonts w:ascii="Arial Narrow" w:hAnsi="Arial Narrow"/>
                <w:b/>
                <w:sz w:val="20"/>
              </w:rPr>
              <w:t>Restriction Level / Method:</w:t>
            </w:r>
            <w:r w:rsidR="00210274">
              <w:rPr>
                <w:rFonts w:ascii="Arial Narrow" w:hAnsi="Arial Narrow"/>
                <w:b/>
                <w:sz w:val="20"/>
              </w:rPr>
              <w:t xml:space="preserve"> </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fldChar w:fldCharType="begin">
                <w:ffData>
                  <w:name w:val=""/>
                  <w:enabled/>
                  <w:calcOnExit w:val="0"/>
                  <w:checkBox>
                    <w:sizeAuto/>
                    <w:default w:val="1"/>
                  </w:checkBox>
                </w:ffData>
              </w:fldChar>
            </w:r>
            <w:r w:rsidRPr="00B07E65">
              <w:rPr>
                <w:rFonts w:ascii="Arial Narrow" w:hAnsi="Arial Narrow"/>
                <w:sz w:val="20"/>
              </w:rPr>
              <w:instrText xml:space="preserve"> FORMCHECKBOX </w:instrText>
            </w:r>
            <w:r w:rsidR="004A13BF">
              <w:rPr>
                <w:rFonts w:ascii="Arial Narrow" w:hAnsi="Arial Narrow"/>
                <w:sz w:val="20"/>
              </w:rPr>
            </w:r>
            <w:r w:rsidR="004A13BF">
              <w:rPr>
                <w:rFonts w:ascii="Arial Narrow" w:hAnsi="Arial Narrow"/>
                <w:sz w:val="20"/>
              </w:rPr>
              <w:fldChar w:fldCharType="separate"/>
            </w:r>
            <w:r w:rsidRPr="00B07E65">
              <w:rPr>
                <w:rFonts w:ascii="Arial Narrow" w:hAnsi="Arial Narrow"/>
                <w:sz w:val="20"/>
              </w:rPr>
              <w:fldChar w:fldCharType="end"/>
            </w:r>
            <w:r w:rsidRPr="00B07E65">
              <w:rPr>
                <w:rFonts w:ascii="Arial Narrow" w:hAnsi="Arial Narrow"/>
                <w:sz w:val="20"/>
              </w:rPr>
              <w:t>Streamlined</w:t>
            </w:r>
          </w:p>
        </w:tc>
      </w:tr>
      <w:tr w:rsidR="003016B8" w:rsidRPr="00B07E65" w:rsidTr="00A70D78">
        <w:trPr>
          <w:cantSplit/>
          <w:trHeight w:val="360"/>
        </w:trPr>
        <w:tc>
          <w:tcPr>
            <w:tcW w:w="12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b/>
                <w:sz w:val="20"/>
              </w:rPr>
            </w:pPr>
            <w:r w:rsidRPr="00B07E65">
              <w:rPr>
                <w:rFonts w:ascii="Arial Narrow" w:hAnsi="Arial Narrow"/>
                <w:b/>
                <w:sz w:val="20"/>
              </w:rPr>
              <w:t>Clinical criteria:</w:t>
            </w:r>
          </w:p>
        </w:tc>
        <w:tc>
          <w:tcPr>
            <w:tcW w:w="3750" w:type="pct"/>
            <w:tcBorders>
              <w:top w:val="single" w:sz="4" w:space="0" w:color="auto"/>
              <w:left w:val="single" w:sz="4" w:space="0" w:color="auto"/>
              <w:bottom w:val="single" w:sz="4" w:space="0" w:color="auto"/>
              <w:right w:val="single" w:sz="4" w:space="0" w:color="auto"/>
            </w:tcBorders>
          </w:tcPr>
          <w:p w:rsidR="003016B8" w:rsidRPr="00B07E65" w:rsidRDefault="003016B8" w:rsidP="00A70D78">
            <w:pPr>
              <w:rPr>
                <w:rFonts w:ascii="Arial Narrow" w:hAnsi="Arial Narrow"/>
                <w:sz w:val="20"/>
              </w:rPr>
            </w:pPr>
            <w:r w:rsidRPr="00B07E65">
              <w:rPr>
                <w:rFonts w:ascii="Arial Narrow" w:hAnsi="Arial Narrow"/>
                <w:sz w:val="20"/>
              </w:rPr>
              <w:t xml:space="preserve">The condition must not </w:t>
            </w:r>
            <w:r w:rsidR="00EA7EBC" w:rsidRPr="00B07E65">
              <w:rPr>
                <w:rFonts w:ascii="Arial Narrow" w:hAnsi="Arial Narrow"/>
                <w:sz w:val="20"/>
              </w:rPr>
              <w:t xml:space="preserve">have </w:t>
            </w:r>
            <w:r w:rsidRPr="00B07E65">
              <w:rPr>
                <w:rFonts w:ascii="Arial Narrow" w:hAnsi="Arial Narrow"/>
                <w:sz w:val="20"/>
              </w:rPr>
              <w:t>adequately respon</w:t>
            </w:r>
            <w:r w:rsidR="00EA7EBC" w:rsidRPr="00B07E65">
              <w:rPr>
                <w:rFonts w:ascii="Arial Narrow" w:hAnsi="Arial Narrow"/>
                <w:sz w:val="20"/>
              </w:rPr>
              <w:t>ded</w:t>
            </w:r>
            <w:r w:rsidRPr="00B07E65">
              <w:rPr>
                <w:rFonts w:ascii="Arial Narrow" w:hAnsi="Arial Narrow"/>
                <w:sz w:val="20"/>
              </w:rPr>
              <w:t xml:space="preserve"> to </w:t>
            </w:r>
            <w:r w:rsidR="00EA7EBC" w:rsidRPr="00B07E65">
              <w:rPr>
                <w:rFonts w:ascii="Arial Narrow" w:hAnsi="Arial Narrow"/>
                <w:sz w:val="20"/>
              </w:rPr>
              <w:t xml:space="preserve">topical </w:t>
            </w:r>
            <w:r w:rsidRPr="00B07E65">
              <w:rPr>
                <w:rFonts w:ascii="Arial Narrow" w:hAnsi="Arial Narrow"/>
                <w:sz w:val="20"/>
              </w:rPr>
              <w:t>treatment,</w:t>
            </w:r>
          </w:p>
          <w:p w:rsidR="003016B8" w:rsidRPr="00B07E65" w:rsidRDefault="003016B8" w:rsidP="00A70D78">
            <w:pPr>
              <w:rPr>
                <w:rFonts w:ascii="Arial Narrow" w:hAnsi="Arial Narrow"/>
                <w:sz w:val="20"/>
              </w:rPr>
            </w:pPr>
          </w:p>
          <w:p w:rsidR="003016B8" w:rsidRPr="00B07E65" w:rsidRDefault="003016B8" w:rsidP="00A70D78">
            <w:pPr>
              <w:rPr>
                <w:rFonts w:ascii="Arial Narrow" w:hAnsi="Arial Narrow"/>
                <w:sz w:val="20"/>
              </w:rPr>
            </w:pPr>
            <w:r w:rsidRPr="00B07E65">
              <w:rPr>
                <w:rFonts w:ascii="Arial Narrow" w:hAnsi="Arial Narrow"/>
                <w:sz w:val="20"/>
              </w:rPr>
              <w:t>AND</w:t>
            </w:r>
          </w:p>
          <w:p w:rsidR="003016B8" w:rsidRPr="00B07E65" w:rsidRDefault="003016B8" w:rsidP="00A70D78">
            <w:pPr>
              <w:rPr>
                <w:rFonts w:ascii="Arial Narrow" w:hAnsi="Arial Narrow"/>
                <w:sz w:val="20"/>
              </w:rPr>
            </w:pPr>
          </w:p>
          <w:p w:rsidR="003016B8" w:rsidRPr="00B07E65" w:rsidRDefault="00210274" w:rsidP="00A70D78">
            <w:pPr>
              <w:rPr>
                <w:rFonts w:ascii="Arial Narrow" w:hAnsi="Arial Narrow"/>
                <w:sz w:val="20"/>
              </w:rPr>
            </w:pPr>
            <w:r>
              <w:rPr>
                <w:rFonts w:ascii="Arial Narrow" w:hAnsi="Arial Narrow"/>
                <w:sz w:val="20"/>
              </w:rPr>
              <w:t>P</w:t>
            </w:r>
            <w:r w:rsidR="003016B8" w:rsidRPr="00B07E65">
              <w:rPr>
                <w:rFonts w:ascii="Arial Narrow" w:hAnsi="Arial Narrow"/>
                <w:sz w:val="20"/>
              </w:rPr>
              <w:t xml:space="preserve">atient must be unsuitable for administration of an oral form of methotrexate for this condition. </w:t>
            </w:r>
          </w:p>
        </w:tc>
      </w:tr>
    </w:tbl>
    <w:p w:rsidR="003016B8" w:rsidRPr="00B07E65" w:rsidRDefault="003016B8" w:rsidP="00EC2372">
      <w:pPr>
        <w:rPr>
          <w:bCs/>
        </w:rPr>
      </w:pPr>
    </w:p>
    <w:p w:rsidR="008D30B5" w:rsidRPr="004D77B6" w:rsidRDefault="008D30B5" w:rsidP="004D77B6">
      <w:pPr>
        <w:pStyle w:val="PBACheading1"/>
        <w:rPr>
          <w:b/>
        </w:rPr>
      </w:pPr>
      <w:r w:rsidRPr="004D77B6">
        <w:rPr>
          <w:b/>
        </w:rPr>
        <w:t>Context for Decision</w:t>
      </w:r>
    </w:p>
    <w:p w:rsidR="008D30B5" w:rsidRDefault="008D30B5" w:rsidP="008D30B5">
      <w:pPr>
        <w:ind w:left="709"/>
      </w:pPr>
    </w:p>
    <w:p w:rsidR="008D30B5" w:rsidRDefault="008D30B5" w:rsidP="008D30B5">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D30B5" w:rsidRDefault="008D30B5" w:rsidP="003B5935"/>
    <w:p w:rsidR="008D30B5" w:rsidRPr="004D77B6" w:rsidRDefault="008D30B5" w:rsidP="004D77B6">
      <w:pPr>
        <w:pStyle w:val="PBACheading1"/>
        <w:rPr>
          <w:b/>
        </w:rPr>
      </w:pPr>
      <w:r w:rsidRPr="004D77B6">
        <w:rPr>
          <w:b/>
        </w:rPr>
        <w:t>Sponsor’s Comment</w:t>
      </w:r>
    </w:p>
    <w:p w:rsidR="008D30B5" w:rsidRDefault="008D30B5" w:rsidP="008D30B5">
      <w:pPr>
        <w:ind w:left="709"/>
        <w:rPr>
          <w:bCs/>
          <w:highlight w:val="yellow"/>
          <w:lang w:val="en-GB"/>
        </w:rPr>
      </w:pPr>
    </w:p>
    <w:p w:rsidR="00E341ED" w:rsidRPr="00E341ED" w:rsidRDefault="00E341ED" w:rsidP="00E341ED">
      <w:pPr>
        <w:ind w:left="709"/>
        <w:rPr>
          <w:bCs/>
        </w:rPr>
      </w:pPr>
      <w:r w:rsidRPr="00E341ED">
        <w:rPr>
          <w:bCs/>
        </w:rPr>
        <w:t>Link welcomes the recommendation by the PBAC for PBS listing of Trexject for patients with rheumatoid arthritis or psoriasis.  Disappointingly, although the PBAC recommended the listing of Trexject (7.1 above) “on a cost-minimisation basis with methotrexate 50 mg vial, taking into account the offsets associated with reduced administration costs”, the Department of Health has advised Link that it does not accept the cost offsets associated with reduced administration costs, and will not progress the listing of Trexject at the requested price.  Link continues to work with the Department on this issue, noting that it is not commercially viable for Link to import and supply Trexject to the Australian market unless the listed price is aligned with the recommendation of the PBAC.</w:t>
      </w:r>
    </w:p>
    <w:p w:rsidR="00EC2372" w:rsidRPr="00B07E65" w:rsidRDefault="00EC2372" w:rsidP="00AA3291">
      <w:pPr>
        <w:rPr>
          <w:rStyle w:val="IntenseReference"/>
          <w:b w:val="0"/>
          <w:bCs w:val="0"/>
          <w:smallCaps w:val="0"/>
        </w:rPr>
      </w:pPr>
    </w:p>
    <w:sectPr w:rsidR="00EC2372" w:rsidRPr="00B07E65" w:rsidSect="00E527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CD" w:rsidRDefault="00916DCD" w:rsidP="00124A51">
      <w:r>
        <w:separator/>
      </w:r>
    </w:p>
  </w:endnote>
  <w:endnote w:type="continuationSeparator" w:id="0">
    <w:p w:rsidR="00916DCD" w:rsidRDefault="00916DC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CD" w:rsidRDefault="00916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62" w:rsidRDefault="00522C62" w:rsidP="00E52732">
    <w:pPr>
      <w:ind w:right="360"/>
      <w:jc w:val="center"/>
      <w:rPr>
        <w:b/>
        <w:sz w:val="20"/>
      </w:rPr>
    </w:pPr>
  </w:p>
  <w:p w:rsidR="00522C62" w:rsidRPr="00E52732" w:rsidRDefault="00522C62" w:rsidP="00EE06A4">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4A13BF">
      <w:rPr>
        <w:noProof/>
        <w:sz w:val="20"/>
      </w:rPr>
      <w:t>12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CD" w:rsidRDefault="0091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CD" w:rsidRDefault="00916DCD" w:rsidP="00124A51">
      <w:r>
        <w:separator/>
      </w:r>
    </w:p>
  </w:footnote>
  <w:footnote w:type="continuationSeparator" w:id="0">
    <w:p w:rsidR="00916DCD" w:rsidRDefault="00916DC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CD" w:rsidRDefault="00916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62" w:rsidRPr="00DF217D" w:rsidRDefault="00522C62" w:rsidP="004D77B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522C62" w:rsidRDefault="00522C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CD" w:rsidRDefault="00916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D96"/>
    <w:multiLevelType w:val="hybridMultilevel"/>
    <w:tmpl w:val="A208A7BC"/>
    <w:lvl w:ilvl="0" w:tplc="04090001">
      <w:start w:val="1"/>
      <w:numFmt w:val="bullet"/>
      <w:lvlText w:val=""/>
      <w:lvlJc w:val="left"/>
      <w:pPr>
        <w:ind w:left="4690" w:hanging="360"/>
      </w:pPr>
      <w:rPr>
        <w:rFonts w:ascii="Symbol" w:hAnsi="Symbol" w:hint="default"/>
      </w:rPr>
    </w:lvl>
    <w:lvl w:ilvl="1" w:tplc="04090003" w:tentative="1">
      <w:start w:val="1"/>
      <w:numFmt w:val="bullet"/>
      <w:lvlText w:val="o"/>
      <w:lvlJc w:val="left"/>
      <w:pPr>
        <w:ind w:left="5410" w:hanging="360"/>
      </w:pPr>
      <w:rPr>
        <w:rFonts w:ascii="Courier New" w:hAnsi="Courier New" w:cs="Courier New" w:hint="default"/>
      </w:rPr>
    </w:lvl>
    <w:lvl w:ilvl="2" w:tplc="04090005" w:tentative="1">
      <w:start w:val="1"/>
      <w:numFmt w:val="bullet"/>
      <w:lvlText w:val=""/>
      <w:lvlJc w:val="left"/>
      <w:pPr>
        <w:ind w:left="6130" w:hanging="360"/>
      </w:pPr>
      <w:rPr>
        <w:rFonts w:ascii="Wingdings" w:hAnsi="Wingdings" w:hint="default"/>
      </w:rPr>
    </w:lvl>
    <w:lvl w:ilvl="3" w:tplc="04090001" w:tentative="1">
      <w:start w:val="1"/>
      <w:numFmt w:val="bullet"/>
      <w:lvlText w:val=""/>
      <w:lvlJc w:val="left"/>
      <w:pPr>
        <w:ind w:left="6850" w:hanging="360"/>
      </w:pPr>
      <w:rPr>
        <w:rFonts w:ascii="Symbol" w:hAnsi="Symbol" w:hint="default"/>
      </w:rPr>
    </w:lvl>
    <w:lvl w:ilvl="4" w:tplc="04090003" w:tentative="1">
      <w:start w:val="1"/>
      <w:numFmt w:val="bullet"/>
      <w:lvlText w:val="o"/>
      <w:lvlJc w:val="left"/>
      <w:pPr>
        <w:ind w:left="7570" w:hanging="360"/>
      </w:pPr>
      <w:rPr>
        <w:rFonts w:ascii="Courier New" w:hAnsi="Courier New" w:cs="Courier New" w:hint="default"/>
      </w:rPr>
    </w:lvl>
    <w:lvl w:ilvl="5" w:tplc="04090005" w:tentative="1">
      <w:start w:val="1"/>
      <w:numFmt w:val="bullet"/>
      <w:lvlText w:val=""/>
      <w:lvlJc w:val="left"/>
      <w:pPr>
        <w:ind w:left="8290" w:hanging="360"/>
      </w:pPr>
      <w:rPr>
        <w:rFonts w:ascii="Wingdings" w:hAnsi="Wingdings" w:hint="default"/>
      </w:rPr>
    </w:lvl>
    <w:lvl w:ilvl="6" w:tplc="04090001" w:tentative="1">
      <w:start w:val="1"/>
      <w:numFmt w:val="bullet"/>
      <w:lvlText w:val=""/>
      <w:lvlJc w:val="left"/>
      <w:pPr>
        <w:ind w:left="9010" w:hanging="360"/>
      </w:pPr>
      <w:rPr>
        <w:rFonts w:ascii="Symbol" w:hAnsi="Symbol" w:hint="default"/>
      </w:rPr>
    </w:lvl>
    <w:lvl w:ilvl="7" w:tplc="04090003" w:tentative="1">
      <w:start w:val="1"/>
      <w:numFmt w:val="bullet"/>
      <w:lvlText w:val="o"/>
      <w:lvlJc w:val="left"/>
      <w:pPr>
        <w:ind w:left="9730" w:hanging="360"/>
      </w:pPr>
      <w:rPr>
        <w:rFonts w:ascii="Courier New" w:hAnsi="Courier New" w:cs="Courier New" w:hint="default"/>
      </w:rPr>
    </w:lvl>
    <w:lvl w:ilvl="8" w:tplc="04090005" w:tentative="1">
      <w:start w:val="1"/>
      <w:numFmt w:val="bullet"/>
      <w:lvlText w:val=""/>
      <w:lvlJc w:val="left"/>
      <w:pPr>
        <w:ind w:left="10450" w:hanging="360"/>
      </w:pPr>
      <w:rPr>
        <w:rFonts w:ascii="Wingdings" w:hAnsi="Wingdings" w:hint="default"/>
      </w:rPr>
    </w:lvl>
  </w:abstractNum>
  <w:abstractNum w:abstractNumId="1">
    <w:nsid w:val="28661798"/>
    <w:multiLevelType w:val="hybridMultilevel"/>
    <w:tmpl w:val="CDB06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FAC2517"/>
    <w:multiLevelType w:val="hybridMultilevel"/>
    <w:tmpl w:val="F5D8E6FA"/>
    <w:lvl w:ilvl="0" w:tplc="0258397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1A1081"/>
    <w:multiLevelType w:val="hybridMultilevel"/>
    <w:tmpl w:val="BB5C5F24"/>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FCA726D"/>
    <w:multiLevelType w:val="hybridMultilevel"/>
    <w:tmpl w:val="015EC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12C7483"/>
    <w:multiLevelType w:val="hybridMultilevel"/>
    <w:tmpl w:val="7346A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D40570F"/>
    <w:multiLevelType w:val="multilevel"/>
    <w:tmpl w:val="4914FF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0A1694"/>
    <w:multiLevelType w:val="hybridMultilevel"/>
    <w:tmpl w:val="8D6A88A2"/>
    <w:lvl w:ilvl="0" w:tplc="3E907004">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5112BEA"/>
    <w:multiLevelType w:val="hybridMultilevel"/>
    <w:tmpl w:val="F74CC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AF46512"/>
    <w:multiLevelType w:val="hybridMultilevel"/>
    <w:tmpl w:val="5B820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784D033C"/>
    <w:multiLevelType w:val="multilevel"/>
    <w:tmpl w:val="6B5C13A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strike w:val="0"/>
        <w:color w:val="auto"/>
      </w:rPr>
    </w:lvl>
    <w:lvl w:ilvl="2">
      <w:start w:val="1"/>
      <w:numFmt w:val="bullet"/>
      <w:lvlText w:val=""/>
      <w:lvlJc w:val="left"/>
      <w:pPr>
        <w:ind w:left="720" w:hanging="720"/>
      </w:pPr>
      <w:rPr>
        <w:rFonts w:ascii="Symbol" w:hAnsi="Symbol" w:hint="default"/>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11"/>
  </w:num>
  <w:num w:numId="4">
    <w:abstractNumId w:val="2"/>
  </w:num>
  <w:num w:numId="5">
    <w:abstractNumId w:val="3"/>
  </w:num>
  <w:num w:numId="6">
    <w:abstractNumId w:val="7"/>
  </w:num>
  <w:num w:numId="7">
    <w:abstractNumId w:val="5"/>
  </w:num>
  <w:num w:numId="8">
    <w:abstractNumId w:val="6"/>
  </w:num>
  <w:num w:numId="9">
    <w:abstractNumId w:val="1"/>
  </w:num>
  <w:num w:numId="10">
    <w:abstractNumId w:val="9"/>
  </w:num>
  <w:num w:numId="11">
    <w:abstractNumId w:val="8"/>
  </w:num>
  <w:num w:numId="12">
    <w:abstractNumId w:val="0"/>
  </w:num>
  <w:num w:numId="13">
    <w:abstractNumId w:val="10"/>
  </w:num>
  <w:num w:numId="14">
    <w:abstractNumId w:val="11"/>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12"/>
    <w:rsid w:val="00000790"/>
    <w:rsid w:val="000008A0"/>
    <w:rsid w:val="0000110B"/>
    <w:rsid w:val="0000138A"/>
    <w:rsid w:val="00003ACE"/>
    <w:rsid w:val="00006E1B"/>
    <w:rsid w:val="00007D0E"/>
    <w:rsid w:val="00007DA7"/>
    <w:rsid w:val="000102DD"/>
    <w:rsid w:val="0001031A"/>
    <w:rsid w:val="0001134B"/>
    <w:rsid w:val="00011719"/>
    <w:rsid w:val="00011CC7"/>
    <w:rsid w:val="00012F94"/>
    <w:rsid w:val="00013247"/>
    <w:rsid w:val="000144A2"/>
    <w:rsid w:val="000155CC"/>
    <w:rsid w:val="00015886"/>
    <w:rsid w:val="000162EF"/>
    <w:rsid w:val="000200A3"/>
    <w:rsid w:val="00021C86"/>
    <w:rsid w:val="00021E73"/>
    <w:rsid w:val="0002225F"/>
    <w:rsid w:val="00022F9F"/>
    <w:rsid w:val="00023198"/>
    <w:rsid w:val="00023763"/>
    <w:rsid w:val="00026F61"/>
    <w:rsid w:val="00027656"/>
    <w:rsid w:val="00031124"/>
    <w:rsid w:val="0003604F"/>
    <w:rsid w:val="00040895"/>
    <w:rsid w:val="0004231D"/>
    <w:rsid w:val="00043C37"/>
    <w:rsid w:val="000461FC"/>
    <w:rsid w:val="00050491"/>
    <w:rsid w:val="00050BCE"/>
    <w:rsid w:val="00051D47"/>
    <w:rsid w:val="0005243C"/>
    <w:rsid w:val="000527B5"/>
    <w:rsid w:val="000546D7"/>
    <w:rsid w:val="00054DA7"/>
    <w:rsid w:val="00054F2B"/>
    <w:rsid w:val="00055221"/>
    <w:rsid w:val="00060992"/>
    <w:rsid w:val="00063026"/>
    <w:rsid w:val="0006327D"/>
    <w:rsid w:val="00064A09"/>
    <w:rsid w:val="00066B5E"/>
    <w:rsid w:val="00071248"/>
    <w:rsid w:val="00071822"/>
    <w:rsid w:val="000720B9"/>
    <w:rsid w:val="00072678"/>
    <w:rsid w:val="000739D5"/>
    <w:rsid w:val="00075871"/>
    <w:rsid w:val="000767BF"/>
    <w:rsid w:val="00080D49"/>
    <w:rsid w:val="000812CA"/>
    <w:rsid w:val="00081501"/>
    <w:rsid w:val="0008190F"/>
    <w:rsid w:val="00081ACB"/>
    <w:rsid w:val="00082115"/>
    <w:rsid w:val="00083A21"/>
    <w:rsid w:val="00084CB7"/>
    <w:rsid w:val="0009018F"/>
    <w:rsid w:val="0009058C"/>
    <w:rsid w:val="00090C7E"/>
    <w:rsid w:val="0009574F"/>
    <w:rsid w:val="00095941"/>
    <w:rsid w:val="00096F3A"/>
    <w:rsid w:val="00097C38"/>
    <w:rsid w:val="00097CD5"/>
    <w:rsid w:val="000A4215"/>
    <w:rsid w:val="000A56C2"/>
    <w:rsid w:val="000A5761"/>
    <w:rsid w:val="000A7125"/>
    <w:rsid w:val="000A7BF0"/>
    <w:rsid w:val="000B0C44"/>
    <w:rsid w:val="000B0F70"/>
    <w:rsid w:val="000B20E7"/>
    <w:rsid w:val="000B232A"/>
    <w:rsid w:val="000B4338"/>
    <w:rsid w:val="000B5560"/>
    <w:rsid w:val="000B5C03"/>
    <w:rsid w:val="000B5DE1"/>
    <w:rsid w:val="000B784E"/>
    <w:rsid w:val="000C23CE"/>
    <w:rsid w:val="000D1BFC"/>
    <w:rsid w:val="000D2B79"/>
    <w:rsid w:val="000D2E33"/>
    <w:rsid w:val="000D3C38"/>
    <w:rsid w:val="000D409B"/>
    <w:rsid w:val="000D4A7F"/>
    <w:rsid w:val="000D576C"/>
    <w:rsid w:val="000D68AF"/>
    <w:rsid w:val="000E251A"/>
    <w:rsid w:val="000E3501"/>
    <w:rsid w:val="000E3528"/>
    <w:rsid w:val="000E5405"/>
    <w:rsid w:val="000E68C1"/>
    <w:rsid w:val="000F09D4"/>
    <w:rsid w:val="000F136E"/>
    <w:rsid w:val="000F2382"/>
    <w:rsid w:val="000F4C41"/>
    <w:rsid w:val="000F4E27"/>
    <w:rsid w:val="0010029D"/>
    <w:rsid w:val="00100592"/>
    <w:rsid w:val="00100F8A"/>
    <w:rsid w:val="00101DFC"/>
    <w:rsid w:val="001032AC"/>
    <w:rsid w:val="001040E6"/>
    <w:rsid w:val="00105084"/>
    <w:rsid w:val="001058B6"/>
    <w:rsid w:val="0011032E"/>
    <w:rsid w:val="00110529"/>
    <w:rsid w:val="00111073"/>
    <w:rsid w:val="00111C1D"/>
    <w:rsid w:val="00112635"/>
    <w:rsid w:val="00115FF3"/>
    <w:rsid w:val="00117B89"/>
    <w:rsid w:val="00117CA0"/>
    <w:rsid w:val="00121359"/>
    <w:rsid w:val="00121799"/>
    <w:rsid w:val="001217CD"/>
    <w:rsid w:val="001222FC"/>
    <w:rsid w:val="00122F09"/>
    <w:rsid w:val="00124A51"/>
    <w:rsid w:val="001265D1"/>
    <w:rsid w:val="00126621"/>
    <w:rsid w:val="00126FE0"/>
    <w:rsid w:val="001301E9"/>
    <w:rsid w:val="00131DEE"/>
    <w:rsid w:val="0013304D"/>
    <w:rsid w:val="00133527"/>
    <w:rsid w:val="00135500"/>
    <w:rsid w:val="0013580C"/>
    <w:rsid w:val="00137645"/>
    <w:rsid w:val="00137665"/>
    <w:rsid w:val="00137F61"/>
    <w:rsid w:val="0014015A"/>
    <w:rsid w:val="00140E99"/>
    <w:rsid w:val="00141220"/>
    <w:rsid w:val="0014170C"/>
    <w:rsid w:val="00142AA1"/>
    <w:rsid w:val="00144270"/>
    <w:rsid w:val="001456B0"/>
    <w:rsid w:val="001478F9"/>
    <w:rsid w:val="00150141"/>
    <w:rsid w:val="00151F4C"/>
    <w:rsid w:val="00152A42"/>
    <w:rsid w:val="00152F61"/>
    <w:rsid w:val="001549C1"/>
    <w:rsid w:val="00154F3C"/>
    <w:rsid w:val="0015662E"/>
    <w:rsid w:val="00157130"/>
    <w:rsid w:val="00162913"/>
    <w:rsid w:val="00162A9B"/>
    <w:rsid w:val="00162B26"/>
    <w:rsid w:val="00162C11"/>
    <w:rsid w:val="00163687"/>
    <w:rsid w:val="00163EFF"/>
    <w:rsid w:val="00165A4E"/>
    <w:rsid w:val="001661FB"/>
    <w:rsid w:val="001729B6"/>
    <w:rsid w:val="00176C0B"/>
    <w:rsid w:val="001776D8"/>
    <w:rsid w:val="00180506"/>
    <w:rsid w:val="00180543"/>
    <w:rsid w:val="00181364"/>
    <w:rsid w:val="00181791"/>
    <w:rsid w:val="0018320A"/>
    <w:rsid w:val="001836CC"/>
    <w:rsid w:val="001840C4"/>
    <w:rsid w:val="001843E4"/>
    <w:rsid w:val="0018742F"/>
    <w:rsid w:val="00187C51"/>
    <w:rsid w:val="00191D24"/>
    <w:rsid w:val="001926DD"/>
    <w:rsid w:val="001944EF"/>
    <w:rsid w:val="00194A2A"/>
    <w:rsid w:val="00195222"/>
    <w:rsid w:val="00196943"/>
    <w:rsid w:val="00196CEF"/>
    <w:rsid w:val="001971A6"/>
    <w:rsid w:val="001972FC"/>
    <w:rsid w:val="001975D8"/>
    <w:rsid w:val="00197C5C"/>
    <w:rsid w:val="001A03C2"/>
    <w:rsid w:val="001A1253"/>
    <w:rsid w:val="001A15E6"/>
    <w:rsid w:val="001A1D7A"/>
    <w:rsid w:val="001A3E19"/>
    <w:rsid w:val="001B2D68"/>
    <w:rsid w:val="001B3443"/>
    <w:rsid w:val="001B3858"/>
    <w:rsid w:val="001B438B"/>
    <w:rsid w:val="001B4EE5"/>
    <w:rsid w:val="001B5553"/>
    <w:rsid w:val="001B6188"/>
    <w:rsid w:val="001B6AB2"/>
    <w:rsid w:val="001B7B32"/>
    <w:rsid w:val="001C00B6"/>
    <w:rsid w:val="001C02F0"/>
    <w:rsid w:val="001C1030"/>
    <w:rsid w:val="001C1037"/>
    <w:rsid w:val="001C5111"/>
    <w:rsid w:val="001C5C5B"/>
    <w:rsid w:val="001C6E66"/>
    <w:rsid w:val="001D058A"/>
    <w:rsid w:val="001D112E"/>
    <w:rsid w:val="001D428B"/>
    <w:rsid w:val="001D434F"/>
    <w:rsid w:val="001D6062"/>
    <w:rsid w:val="001D6158"/>
    <w:rsid w:val="001D6DBC"/>
    <w:rsid w:val="001D7326"/>
    <w:rsid w:val="001E0B3D"/>
    <w:rsid w:val="001E1652"/>
    <w:rsid w:val="001E2342"/>
    <w:rsid w:val="001E238E"/>
    <w:rsid w:val="001E4417"/>
    <w:rsid w:val="001E52EB"/>
    <w:rsid w:val="001E71EE"/>
    <w:rsid w:val="001E7207"/>
    <w:rsid w:val="001E740C"/>
    <w:rsid w:val="001F04C9"/>
    <w:rsid w:val="001F1235"/>
    <w:rsid w:val="001F1CB3"/>
    <w:rsid w:val="001F275B"/>
    <w:rsid w:val="001F3418"/>
    <w:rsid w:val="001F3BC0"/>
    <w:rsid w:val="001F43EA"/>
    <w:rsid w:val="001F4993"/>
    <w:rsid w:val="001F59A9"/>
    <w:rsid w:val="001F62F4"/>
    <w:rsid w:val="001F7361"/>
    <w:rsid w:val="002025FE"/>
    <w:rsid w:val="0020308F"/>
    <w:rsid w:val="002031D0"/>
    <w:rsid w:val="00210274"/>
    <w:rsid w:val="002105C1"/>
    <w:rsid w:val="00211302"/>
    <w:rsid w:val="00214094"/>
    <w:rsid w:val="00214735"/>
    <w:rsid w:val="00215067"/>
    <w:rsid w:val="00216727"/>
    <w:rsid w:val="0021672E"/>
    <w:rsid w:val="00217800"/>
    <w:rsid w:val="00220FD2"/>
    <w:rsid w:val="00223B49"/>
    <w:rsid w:val="0022413D"/>
    <w:rsid w:val="002242E5"/>
    <w:rsid w:val="00224DD4"/>
    <w:rsid w:val="002272C7"/>
    <w:rsid w:val="00227E47"/>
    <w:rsid w:val="002309CC"/>
    <w:rsid w:val="00232165"/>
    <w:rsid w:val="00235C05"/>
    <w:rsid w:val="00242A1F"/>
    <w:rsid w:val="00242C40"/>
    <w:rsid w:val="00243231"/>
    <w:rsid w:val="00244044"/>
    <w:rsid w:val="00244490"/>
    <w:rsid w:val="002458E4"/>
    <w:rsid w:val="002479A3"/>
    <w:rsid w:val="00251B37"/>
    <w:rsid w:val="00254DDE"/>
    <w:rsid w:val="00255163"/>
    <w:rsid w:val="0025534B"/>
    <w:rsid w:val="00255BB7"/>
    <w:rsid w:val="002570C5"/>
    <w:rsid w:val="002606BF"/>
    <w:rsid w:val="00261139"/>
    <w:rsid w:val="00262A87"/>
    <w:rsid w:val="00264147"/>
    <w:rsid w:val="00264F62"/>
    <w:rsid w:val="0026509A"/>
    <w:rsid w:val="002678FC"/>
    <w:rsid w:val="00270301"/>
    <w:rsid w:val="00270599"/>
    <w:rsid w:val="0027064A"/>
    <w:rsid w:val="00271C16"/>
    <w:rsid w:val="00272168"/>
    <w:rsid w:val="00273463"/>
    <w:rsid w:val="002750D8"/>
    <w:rsid w:val="00275C5A"/>
    <w:rsid w:val="0027749E"/>
    <w:rsid w:val="00277B67"/>
    <w:rsid w:val="00280296"/>
    <w:rsid w:val="00281887"/>
    <w:rsid w:val="002839FA"/>
    <w:rsid w:val="00284298"/>
    <w:rsid w:val="00284425"/>
    <w:rsid w:val="0028457B"/>
    <w:rsid w:val="00285538"/>
    <w:rsid w:val="00285B5E"/>
    <w:rsid w:val="00290290"/>
    <w:rsid w:val="00290E56"/>
    <w:rsid w:val="002921CD"/>
    <w:rsid w:val="00294656"/>
    <w:rsid w:val="00294E79"/>
    <w:rsid w:val="0029552D"/>
    <w:rsid w:val="00295603"/>
    <w:rsid w:val="00295E1B"/>
    <w:rsid w:val="002968EE"/>
    <w:rsid w:val="00297A20"/>
    <w:rsid w:val="00297B85"/>
    <w:rsid w:val="002A0BF8"/>
    <w:rsid w:val="002A14AB"/>
    <w:rsid w:val="002A19E2"/>
    <w:rsid w:val="002A492A"/>
    <w:rsid w:val="002A57E4"/>
    <w:rsid w:val="002A63D1"/>
    <w:rsid w:val="002A66A3"/>
    <w:rsid w:val="002B1C1F"/>
    <w:rsid w:val="002B1C85"/>
    <w:rsid w:val="002B2577"/>
    <w:rsid w:val="002B359B"/>
    <w:rsid w:val="002B432F"/>
    <w:rsid w:val="002B5BE8"/>
    <w:rsid w:val="002B6CCE"/>
    <w:rsid w:val="002C0BB6"/>
    <w:rsid w:val="002C2153"/>
    <w:rsid w:val="002C27C1"/>
    <w:rsid w:val="002C5634"/>
    <w:rsid w:val="002C58D8"/>
    <w:rsid w:val="002C61E4"/>
    <w:rsid w:val="002D033B"/>
    <w:rsid w:val="002D262B"/>
    <w:rsid w:val="002D3CD7"/>
    <w:rsid w:val="002D6C19"/>
    <w:rsid w:val="002D6CAC"/>
    <w:rsid w:val="002D6CCF"/>
    <w:rsid w:val="002E18C6"/>
    <w:rsid w:val="002E1925"/>
    <w:rsid w:val="002E23ED"/>
    <w:rsid w:val="002E2D07"/>
    <w:rsid w:val="002E3641"/>
    <w:rsid w:val="002E46DD"/>
    <w:rsid w:val="002E4E0B"/>
    <w:rsid w:val="002E5817"/>
    <w:rsid w:val="002E6FA1"/>
    <w:rsid w:val="002E7552"/>
    <w:rsid w:val="002F0CC1"/>
    <w:rsid w:val="002F1FBC"/>
    <w:rsid w:val="002F1FD2"/>
    <w:rsid w:val="002F2D90"/>
    <w:rsid w:val="002F3AE2"/>
    <w:rsid w:val="002F47FF"/>
    <w:rsid w:val="002F5C38"/>
    <w:rsid w:val="00301017"/>
    <w:rsid w:val="003016B8"/>
    <w:rsid w:val="00302820"/>
    <w:rsid w:val="00302E48"/>
    <w:rsid w:val="00304FCE"/>
    <w:rsid w:val="00305885"/>
    <w:rsid w:val="00305FD1"/>
    <w:rsid w:val="0030786C"/>
    <w:rsid w:val="0031031A"/>
    <w:rsid w:val="0031283F"/>
    <w:rsid w:val="00313440"/>
    <w:rsid w:val="00315498"/>
    <w:rsid w:val="003159C4"/>
    <w:rsid w:val="00315CB8"/>
    <w:rsid w:val="00315EC1"/>
    <w:rsid w:val="003168FC"/>
    <w:rsid w:val="0031694B"/>
    <w:rsid w:val="00320190"/>
    <w:rsid w:val="003218FA"/>
    <w:rsid w:val="00322784"/>
    <w:rsid w:val="0032364C"/>
    <w:rsid w:val="003247A8"/>
    <w:rsid w:val="003254C7"/>
    <w:rsid w:val="0032717F"/>
    <w:rsid w:val="003273C8"/>
    <w:rsid w:val="003325A4"/>
    <w:rsid w:val="00333CA7"/>
    <w:rsid w:val="00334645"/>
    <w:rsid w:val="003366C9"/>
    <w:rsid w:val="0033797E"/>
    <w:rsid w:val="0034018D"/>
    <w:rsid w:val="003408D4"/>
    <w:rsid w:val="00342ECA"/>
    <w:rsid w:val="00343520"/>
    <w:rsid w:val="003435D8"/>
    <w:rsid w:val="003446BF"/>
    <w:rsid w:val="00344786"/>
    <w:rsid w:val="00345F0B"/>
    <w:rsid w:val="00347C5E"/>
    <w:rsid w:val="00352567"/>
    <w:rsid w:val="003541F0"/>
    <w:rsid w:val="0035579F"/>
    <w:rsid w:val="0035620E"/>
    <w:rsid w:val="003579F1"/>
    <w:rsid w:val="00357A65"/>
    <w:rsid w:val="0036076D"/>
    <w:rsid w:val="00360F5F"/>
    <w:rsid w:val="00361725"/>
    <w:rsid w:val="0036209B"/>
    <w:rsid w:val="003623F5"/>
    <w:rsid w:val="00367349"/>
    <w:rsid w:val="003714B2"/>
    <w:rsid w:val="003728D6"/>
    <w:rsid w:val="00374083"/>
    <w:rsid w:val="0037489A"/>
    <w:rsid w:val="00374DCC"/>
    <w:rsid w:val="00375412"/>
    <w:rsid w:val="00375827"/>
    <w:rsid w:val="0038019A"/>
    <w:rsid w:val="00382ACA"/>
    <w:rsid w:val="0038365C"/>
    <w:rsid w:val="00385200"/>
    <w:rsid w:val="0038653A"/>
    <w:rsid w:val="00386928"/>
    <w:rsid w:val="00393F75"/>
    <w:rsid w:val="00393FAE"/>
    <w:rsid w:val="003945CD"/>
    <w:rsid w:val="00394CFF"/>
    <w:rsid w:val="00396FD0"/>
    <w:rsid w:val="0039706F"/>
    <w:rsid w:val="0039712D"/>
    <w:rsid w:val="00397440"/>
    <w:rsid w:val="003A0A3B"/>
    <w:rsid w:val="003A1A7A"/>
    <w:rsid w:val="003A2C74"/>
    <w:rsid w:val="003A4A0C"/>
    <w:rsid w:val="003A50D0"/>
    <w:rsid w:val="003B0A1B"/>
    <w:rsid w:val="003B0B30"/>
    <w:rsid w:val="003B0CC4"/>
    <w:rsid w:val="003B1D45"/>
    <w:rsid w:val="003B2C54"/>
    <w:rsid w:val="003B4FF0"/>
    <w:rsid w:val="003B5935"/>
    <w:rsid w:val="003B6126"/>
    <w:rsid w:val="003B616F"/>
    <w:rsid w:val="003B6E2E"/>
    <w:rsid w:val="003B7DCB"/>
    <w:rsid w:val="003C0B6A"/>
    <w:rsid w:val="003C1062"/>
    <w:rsid w:val="003C1732"/>
    <w:rsid w:val="003C38F0"/>
    <w:rsid w:val="003C5444"/>
    <w:rsid w:val="003C571A"/>
    <w:rsid w:val="003C5CB5"/>
    <w:rsid w:val="003C7ABF"/>
    <w:rsid w:val="003D1828"/>
    <w:rsid w:val="003D20FA"/>
    <w:rsid w:val="003D2422"/>
    <w:rsid w:val="003D27DE"/>
    <w:rsid w:val="003D34D8"/>
    <w:rsid w:val="003D4150"/>
    <w:rsid w:val="003D66EC"/>
    <w:rsid w:val="003D6B17"/>
    <w:rsid w:val="003D6C14"/>
    <w:rsid w:val="003E0FE2"/>
    <w:rsid w:val="003E232C"/>
    <w:rsid w:val="003E412C"/>
    <w:rsid w:val="003E4277"/>
    <w:rsid w:val="003E548F"/>
    <w:rsid w:val="003E57EB"/>
    <w:rsid w:val="003F253B"/>
    <w:rsid w:val="003F2B3B"/>
    <w:rsid w:val="003F2E95"/>
    <w:rsid w:val="003F4156"/>
    <w:rsid w:val="003F6965"/>
    <w:rsid w:val="00401CEC"/>
    <w:rsid w:val="0040439A"/>
    <w:rsid w:val="00404575"/>
    <w:rsid w:val="00405F7F"/>
    <w:rsid w:val="0040724F"/>
    <w:rsid w:val="004102AF"/>
    <w:rsid w:val="004108B7"/>
    <w:rsid w:val="00410EC7"/>
    <w:rsid w:val="004114BE"/>
    <w:rsid w:val="00411527"/>
    <w:rsid w:val="00412A09"/>
    <w:rsid w:val="00412A12"/>
    <w:rsid w:val="00413DAD"/>
    <w:rsid w:val="0041424B"/>
    <w:rsid w:val="00414476"/>
    <w:rsid w:val="004206D0"/>
    <w:rsid w:val="004209D9"/>
    <w:rsid w:val="00420B9F"/>
    <w:rsid w:val="00420C21"/>
    <w:rsid w:val="00421768"/>
    <w:rsid w:val="0042211F"/>
    <w:rsid w:val="0042234B"/>
    <w:rsid w:val="00422E7A"/>
    <w:rsid w:val="00423371"/>
    <w:rsid w:val="004233C5"/>
    <w:rsid w:val="00423559"/>
    <w:rsid w:val="00424282"/>
    <w:rsid w:val="00425798"/>
    <w:rsid w:val="00425CB2"/>
    <w:rsid w:val="00425CDF"/>
    <w:rsid w:val="00427499"/>
    <w:rsid w:val="004309F6"/>
    <w:rsid w:val="0043169B"/>
    <w:rsid w:val="00431801"/>
    <w:rsid w:val="00431805"/>
    <w:rsid w:val="004319F8"/>
    <w:rsid w:val="00431EBF"/>
    <w:rsid w:val="00432BA5"/>
    <w:rsid w:val="00433068"/>
    <w:rsid w:val="00433A6F"/>
    <w:rsid w:val="00433E14"/>
    <w:rsid w:val="00433E6F"/>
    <w:rsid w:val="00436698"/>
    <w:rsid w:val="00437E83"/>
    <w:rsid w:val="00437EC7"/>
    <w:rsid w:val="00441E9D"/>
    <w:rsid w:val="0044369F"/>
    <w:rsid w:val="00443C91"/>
    <w:rsid w:val="004443A7"/>
    <w:rsid w:val="00444536"/>
    <w:rsid w:val="004446C1"/>
    <w:rsid w:val="004464EB"/>
    <w:rsid w:val="004479AE"/>
    <w:rsid w:val="0045158A"/>
    <w:rsid w:val="00453569"/>
    <w:rsid w:val="00453ABA"/>
    <w:rsid w:val="00455241"/>
    <w:rsid w:val="00455D45"/>
    <w:rsid w:val="00456342"/>
    <w:rsid w:val="00457571"/>
    <w:rsid w:val="00460A23"/>
    <w:rsid w:val="00460BEF"/>
    <w:rsid w:val="0046340F"/>
    <w:rsid w:val="00464595"/>
    <w:rsid w:val="0047177D"/>
    <w:rsid w:val="00472359"/>
    <w:rsid w:val="0047258B"/>
    <w:rsid w:val="00473EC3"/>
    <w:rsid w:val="0047456A"/>
    <w:rsid w:val="00474DAB"/>
    <w:rsid w:val="00476795"/>
    <w:rsid w:val="0047753E"/>
    <w:rsid w:val="00480A2A"/>
    <w:rsid w:val="00484F9F"/>
    <w:rsid w:val="004867E2"/>
    <w:rsid w:val="00486B6F"/>
    <w:rsid w:val="00487294"/>
    <w:rsid w:val="00487445"/>
    <w:rsid w:val="00490D3A"/>
    <w:rsid w:val="00491B3A"/>
    <w:rsid w:val="00492225"/>
    <w:rsid w:val="0049368C"/>
    <w:rsid w:val="00494144"/>
    <w:rsid w:val="004951BF"/>
    <w:rsid w:val="00495D5D"/>
    <w:rsid w:val="00497F10"/>
    <w:rsid w:val="00497FFB"/>
    <w:rsid w:val="004A0DA1"/>
    <w:rsid w:val="004A0F43"/>
    <w:rsid w:val="004A13BF"/>
    <w:rsid w:val="004A1EF6"/>
    <w:rsid w:val="004A2DE8"/>
    <w:rsid w:val="004A30FE"/>
    <w:rsid w:val="004A4B3A"/>
    <w:rsid w:val="004A5774"/>
    <w:rsid w:val="004A6597"/>
    <w:rsid w:val="004A7338"/>
    <w:rsid w:val="004B2F18"/>
    <w:rsid w:val="004B3DDB"/>
    <w:rsid w:val="004B44FD"/>
    <w:rsid w:val="004B550E"/>
    <w:rsid w:val="004B5BFB"/>
    <w:rsid w:val="004B5CFC"/>
    <w:rsid w:val="004C0BD4"/>
    <w:rsid w:val="004C3055"/>
    <w:rsid w:val="004C43E9"/>
    <w:rsid w:val="004C4AED"/>
    <w:rsid w:val="004C5AB1"/>
    <w:rsid w:val="004C5BEE"/>
    <w:rsid w:val="004D3655"/>
    <w:rsid w:val="004D4664"/>
    <w:rsid w:val="004D5C4D"/>
    <w:rsid w:val="004D6574"/>
    <w:rsid w:val="004D68E1"/>
    <w:rsid w:val="004D6CEF"/>
    <w:rsid w:val="004D77B6"/>
    <w:rsid w:val="004D7E86"/>
    <w:rsid w:val="004E02DE"/>
    <w:rsid w:val="004E0EB8"/>
    <w:rsid w:val="004E14B5"/>
    <w:rsid w:val="004E2AB9"/>
    <w:rsid w:val="004E2ADC"/>
    <w:rsid w:val="004E4575"/>
    <w:rsid w:val="004E4754"/>
    <w:rsid w:val="004E4CAA"/>
    <w:rsid w:val="004E511C"/>
    <w:rsid w:val="004E5A1A"/>
    <w:rsid w:val="004E62EA"/>
    <w:rsid w:val="004E7155"/>
    <w:rsid w:val="004E716C"/>
    <w:rsid w:val="004F077F"/>
    <w:rsid w:val="004F0DB3"/>
    <w:rsid w:val="004F1D02"/>
    <w:rsid w:val="004F2028"/>
    <w:rsid w:val="004F2679"/>
    <w:rsid w:val="004F270A"/>
    <w:rsid w:val="004F2F6D"/>
    <w:rsid w:val="004F4193"/>
    <w:rsid w:val="004F693F"/>
    <w:rsid w:val="004F757A"/>
    <w:rsid w:val="004F77A2"/>
    <w:rsid w:val="0050280C"/>
    <w:rsid w:val="00504316"/>
    <w:rsid w:val="00506E16"/>
    <w:rsid w:val="00507A36"/>
    <w:rsid w:val="00507BC9"/>
    <w:rsid w:val="00510C6C"/>
    <w:rsid w:val="0051124A"/>
    <w:rsid w:val="00511DCE"/>
    <w:rsid w:val="00512B8C"/>
    <w:rsid w:val="005137B2"/>
    <w:rsid w:val="005152B5"/>
    <w:rsid w:val="00515803"/>
    <w:rsid w:val="00515E60"/>
    <w:rsid w:val="00520968"/>
    <w:rsid w:val="005209D4"/>
    <w:rsid w:val="00521319"/>
    <w:rsid w:val="00521683"/>
    <w:rsid w:val="00522C62"/>
    <w:rsid w:val="005234D8"/>
    <w:rsid w:val="00523C28"/>
    <w:rsid w:val="00525F67"/>
    <w:rsid w:val="00526701"/>
    <w:rsid w:val="00527994"/>
    <w:rsid w:val="00527D8C"/>
    <w:rsid w:val="0053361D"/>
    <w:rsid w:val="00535ADD"/>
    <w:rsid w:val="0053615C"/>
    <w:rsid w:val="00536D5F"/>
    <w:rsid w:val="005374C0"/>
    <w:rsid w:val="00540E74"/>
    <w:rsid w:val="00541FD5"/>
    <w:rsid w:val="00542CC1"/>
    <w:rsid w:val="00547BCA"/>
    <w:rsid w:val="0055063D"/>
    <w:rsid w:val="00554697"/>
    <w:rsid w:val="00555083"/>
    <w:rsid w:val="00555109"/>
    <w:rsid w:val="00555715"/>
    <w:rsid w:val="00557028"/>
    <w:rsid w:val="0056276A"/>
    <w:rsid w:val="00562FA8"/>
    <w:rsid w:val="00563887"/>
    <w:rsid w:val="00563D43"/>
    <w:rsid w:val="0056575F"/>
    <w:rsid w:val="00565A92"/>
    <w:rsid w:val="0056696F"/>
    <w:rsid w:val="00567CE1"/>
    <w:rsid w:val="00567F93"/>
    <w:rsid w:val="00572B17"/>
    <w:rsid w:val="00573195"/>
    <w:rsid w:val="00575E07"/>
    <w:rsid w:val="00576972"/>
    <w:rsid w:val="00577717"/>
    <w:rsid w:val="005801E9"/>
    <w:rsid w:val="00581E1A"/>
    <w:rsid w:val="00582C4B"/>
    <w:rsid w:val="00583699"/>
    <w:rsid w:val="005857F6"/>
    <w:rsid w:val="00586586"/>
    <w:rsid w:val="005866A6"/>
    <w:rsid w:val="00587429"/>
    <w:rsid w:val="005956E5"/>
    <w:rsid w:val="005A492B"/>
    <w:rsid w:val="005A6187"/>
    <w:rsid w:val="005B3F2A"/>
    <w:rsid w:val="005B4293"/>
    <w:rsid w:val="005B47EC"/>
    <w:rsid w:val="005B5857"/>
    <w:rsid w:val="005B5BC4"/>
    <w:rsid w:val="005C1B83"/>
    <w:rsid w:val="005C26C9"/>
    <w:rsid w:val="005C2715"/>
    <w:rsid w:val="005C346B"/>
    <w:rsid w:val="005C3CC9"/>
    <w:rsid w:val="005C47F1"/>
    <w:rsid w:val="005C5465"/>
    <w:rsid w:val="005C577F"/>
    <w:rsid w:val="005C636C"/>
    <w:rsid w:val="005D18AD"/>
    <w:rsid w:val="005D1B1E"/>
    <w:rsid w:val="005D50A4"/>
    <w:rsid w:val="005D7E3E"/>
    <w:rsid w:val="005E072F"/>
    <w:rsid w:val="005E09F7"/>
    <w:rsid w:val="005E17D6"/>
    <w:rsid w:val="005E1DC1"/>
    <w:rsid w:val="005E255F"/>
    <w:rsid w:val="005E4424"/>
    <w:rsid w:val="005E494C"/>
    <w:rsid w:val="005E50E3"/>
    <w:rsid w:val="005E5E60"/>
    <w:rsid w:val="005E686F"/>
    <w:rsid w:val="005E7B04"/>
    <w:rsid w:val="005F08C9"/>
    <w:rsid w:val="005F1244"/>
    <w:rsid w:val="005F1257"/>
    <w:rsid w:val="005F26D8"/>
    <w:rsid w:val="005F2706"/>
    <w:rsid w:val="005F2788"/>
    <w:rsid w:val="005F5E96"/>
    <w:rsid w:val="005F6301"/>
    <w:rsid w:val="005F66FB"/>
    <w:rsid w:val="005F6A8F"/>
    <w:rsid w:val="005F6F93"/>
    <w:rsid w:val="005F71DE"/>
    <w:rsid w:val="005F71FB"/>
    <w:rsid w:val="005F74DE"/>
    <w:rsid w:val="005F75C0"/>
    <w:rsid w:val="00602414"/>
    <w:rsid w:val="006041FB"/>
    <w:rsid w:val="006068B1"/>
    <w:rsid w:val="00607669"/>
    <w:rsid w:val="00610438"/>
    <w:rsid w:val="00610D7D"/>
    <w:rsid w:val="00611D96"/>
    <w:rsid w:val="00612F97"/>
    <w:rsid w:val="00614118"/>
    <w:rsid w:val="006145A3"/>
    <w:rsid w:val="006163CD"/>
    <w:rsid w:val="00616802"/>
    <w:rsid w:val="00617E12"/>
    <w:rsid w:val="00621477"/>
    <w:rsid w:val="00623949"/>
    <w:rsid w:val="00624A1B"/>
    <w:rsid w:val="00625A53"/>
    <w:rsid w:val="006260C1"/>
    <w:rsid w:val="006265C1"/>
    <w:rsid w:val="00626B5B"/>
    <w:rsid w:val="0062782D"/>
    <w:rsid w:val="00631654"/>
    <w:rsid w:val="00631D6B"/>
    <w:rsid w:val="00633019"/>
    <w:rsid w:val="0063479F"/>
    <w:rsid w:val="006363CF"/>
    <w:rsid w:val="006363E6"/>
    <w:rsid w:val="006364A1"/>
    <w:rsid w:val="00636D86"/>
    <w:rsid w:val="006376A1"/>
    <w:rsid w:val="00637BFD"/>
    <w:rsid w:val="0064158F"/>
    <w:rsid w:val="00647037"/>
    <w:rsid w:val="006471CC"/>
    <w:rsid w:val="0065079F"/>
    <w:rsid w:val="00651E49"/>
    <w:rsid w:val="00652022"/>
    <w:rsid w:val="00652675"/>
    <w:rsid w:val="00654AEC"/>
    <w:rsid w:val="006560C8"/>
    <w:rsid w:val="00656B62"/>
    <w:rsid w:val="006604EE"/>
    <w:rsid w:val="00660612"/>
    <w:rsid w:val="00663165"/>
    <w:rsid w:val="00664994"/>
    <w:rsid w:val="00665FBA"/>
    <w:rsid w:val="006677D9"/>
    <w:rsid w:val="00667A3B"/>
    <w:rsid w:val="00667C4A"/>
    <w:rsid w:val="00674E42"/>
    <w:rsid w:val="00675187"/>
    <w:rsid w:val="00676258"/>
    <w:rsid w:val="006766A0"/>
    <w:rsid w:val="00677297"/>
    <w:rsid w:val="00677A76"/>
    <w:rsid w:val="006813F1"/>
    <w:rsid w:val="00681CD3"/>
    <w:rsid w:val="00682112"/>
    <w:rsid w:val="00683E70"/>
    <w:rsid w:val="00683F49"/>
    <w:rsid w:val="00684406"/>
    <w:rsid w:val="00684E35"/>
    <w:rsid w:val="006857A7"/>
    <w:rsid w:val="0068689D"/>
    <w:rsid w:val="00686C3F"/>
    <w:rsid w:val="00686FFF"/>
    <w:rsid w:val="0068782C"/>
    <w:rsid w:val="0069038D"/>
    <w:rsid w:val="00690B28"/>
    <w:rsid w:val="00694F44"/>
    <w:rsid w:val="006953ED"/>
    <w:rsid w:val="00695551"/>
    <w:rsid w:val="00697B24"/>
    <w:rsid w:val="006A232F"/>
    <w:rsid w:val="006A5183"/>
    <w:rsid w:val="006A610E"/>
    <w:rsid w:val="006A6963"/>
    <w:rsid w:val="006B0A68"/>
    <w:rsid w:val="006B0FB9"/>
    <w:rsid w:val="006B2BC1"/>
    <w:rsid w:val="006B3087"/>
    <w:rsid w:val="006B3856"/>
    <w:rsid w:val="006B395E"/>
    <w:rsid w:val="006B3FB8"/>
    <w:rsid w:val="006B6CAF"/>
    <w:rsid w:val="006C1A06"/>
    <w:rsid w:val="006C299C"/>
    <w:rsid w:val="006C2A8E"/>
    <w:rsid w:val="006C3792"/>
    <w:rsid w:val="006C473F"/>
    <w:rsid w:val="006C4C20"/>
    <w:rsid w:val="006C52D7"/>
    <w:rsid w:val="006C5918"/>
    <w:rsid w:val="006C6DF6"/>
    <w:rsid w:val="006C7ECE"/>
    <w:rsid w:val="006D3C7D"/>
    <w:rsid w:val="006D5B39"/>
    <w:rsid w:val="006D6082"/>
    <w:rsid w:val="006D67AD"/>
    <w:rsid w:val="006E0EC7"/>
    <w:rsid w:val="006E2A30"/>
    <w:rsid w:val="006E2B03"/>
    <w:rsid w:val="006E3222"/>
    <w:rsid w:val="006E4C0C"/>
    <w:rsid w:val="006E4FA5"/>
    <w:rsid w:val="006E5721"/>
    <w:rsid w:val="006E68AC"/>
    <w:rsid w:val="006F12BA"/>
    <w:rsid w:val="006F1563"/>
    <w:rsid w:val="006F18EE"/>
    <w:rsid w:val="006F1D6E"/>
    <w:rsid w:val="006F2F81"/>
    <w:rsid w:val="006F338F"/>
    <w:rsid w:val="006F359C"/>
    <w:rsid w:val="006F63A5"/>
    <w:rsid w:val="006F7888"/>
    <w:rsid w:val="00700F5D"/>
    <w:rsid w:val="00701267"/>
    <w:rsid w:val="0070276E"/>
    <w:rsid w:val="00704B34"/>
    <w:rsid w:val="0070795E"/>
    <w:rsid w:val="00707CF9"/>
    <w:rsid w:val="00707FAC"/>
    <w:rsid w:val="00710133"/>
    <w:rsid w:val="00710756"/>
    <w:rsid w:val="00711A36"/>
    <w:rsid w:val="00711BA1"/>
    <w:rsid w:val="0071209E"/>
    <w:rsid w:val="007136D9"/>
    <w:rsid w:val="00713950"/>
    <w:rsid w:val="00715455"/>
    <w:rsid w:val="007159C1"/>
    <w:rsid w:val="007161AC"/>
    <w:rsid w:val="0071684D"/>
    <w:rsid w:val="00716C84"/>
    <w:rsid w:val="007172AD"/>
    <w:rsid w:val="007204D7"/>
    <w:rsid w:val="007206E5"/>
    <w:rsid w:val="0072231D"/>
    <w:rsid w:val="00724DA5"/>
    <w:rsid w:val="00724F07"/>
    <w:rsid w:val="007262B7"/>
    <w:rsid w:val="007265FB"/>
    <w:rsid w:val="00727D35"/>
    <w:rsid w:val="00727E06"/>
    <w:rsid w:val="007337D7"/>
    <w:rsid w:val="00733907"/>
    <w:rsid w:val="00734B2E"/>
    <w:rsid w:val="0073518D"/>
    <w:rsid w:val="00735328"/>
    <w:rsid w:val="0073685B"/>
    <w:rsid w:val="007420FF"/>
    <w:rsid w:val="00743080"/>
    <w:rsid w:val="00745DF8"/>
    <w:rsid w:val="00746110"/>
    <w:rsid w:val="00746E86"/>
    <w:rsid w:val="007474AD"/>
    <w:rsid w:val="00747D5B"/>
    <w:rsid w:val="007503D8"/>
    <w:rsid w:val="00753547"/>
    <w:rsid w:val="00754457"/>
    <w:rsid w:val="00754BFB"/>
    <w:rsid w:val="00754EBA"/>
    <w:rsid w:val="0076097C"/>
    <w:rsid w:val="00760F27"/>
    <w:rsid w:val="00761E49"/>
    <w:rsid w:val="007624FB"/>
    <w:rsid w:val="00765387"/>
    <w:rsid w:val="00770C4F"/>
    <w:rsid w:val="007718CE"/>
    <w:rsid w:val="00773849"/>
    <w:rsid w:val="00773BE8"/>
    <w:rsid w:val="00777AF5"/>
    <w:rsid w:val="00777EA6"/>
    <w:rsid w:val="0078367F"/>
    <w:rsid w:val="007844E3"/>
    <w:rsid w:val="00786670"/>
    <w:rsid w:val="00786E54"/>
    <w:rsid w:val="00790DB5"/>
    <w:rsid w:val="00793555"/>
    <w:rsid w:val="0079641E"/>
    <w:rsid w:val="007969BA"/>
    <w:rsid w:val="007972A9"/>
    <w:rsid w:val="007A2942"/>
    <w:rsid w:val="007A30D5"/>
    <w:rsid w:val="007A5A8C"/>
    <w:rsid w:val="007A5B50"/>
    <w:rsid w:val="007A61A4"/>
    <w:rsid w:val="007A7988"/>
    <w:rsid w:val="007A7ADB"/>
    <w:rsid w:val="007B0F54"/>
    <w:rsid w:val="007B12C9"/>
    <w:rsid w:val="007B251D"/>
    <w:rsid w:val="007B379A"/>
    <w:rsid w:val="007B3A3D"/>
    <w:rsid w:val="007B4563"/>
    <w:rsid w:val="007B5F25"/>
    <w:rsid w:val="007B6DB1"/>
    <w:rsid w:val="007B704C"/>
    <w:rsid w:val="007B77D1"/>
    <w:rsid w:val="007C0531"/>
    <w:rsid w:val="007C1273"/>
    <w:rsid w:val="007C1DC0"/>
    <w:rsid w:val="007C281C"/>
    <w:rsid w:val="007C55B1"/>
    <w:rsid w:val="007C71F3"/>
    <w:rsid w:val="007C7CFB"/>
    <w:rsid w:val="007D004D"/>
    <w:rsid w:val="007D0B38"/>
    <w:rsid w:val="007D21C8"/>
    <w:rsid w:val="007D4212"/>
    <w:rsid w:val="007D48FC"/>
    <w:rsid w:val="007D5672"/>
    <w:rsid w:val="007D5936"/>
    <w:rsid w:val="007D616A"/>
    <w:rsid w:val="007D6797"/>
    <w:rsid w:val="007D6929"/>
    <w:rsid w:val="007E0CFE"/>
    <w:rsid w:val="007E0D00"/>
    <w:rsid w:val="007E138F"/>
    <w:rsid w:val="007E19F6"/>
    <w:rsid w:val="007E2E3B"/>
    <w:rsid w:val="007E578B"/>
    <w:rsid w:val="007E57A6"/>
    <w:rsid w:val="007E58BB"/>
    <w:rsid w:val="007E5B21"/>
    <w:rsid w:val="007E5E7D"/>
    <w:rsid w:val="007F1017"/>
    <w:rsid w:val="007F1517"/>
    <w:rsid w:val="007F4A3F"/>
    <w:rsid w:val="007F54D8"/>
    <w:rsid w:val="007F5744"/>
    <w:rsid w:val="007F5A7D"/>
    <w:rsid w:val="008004B5"/>
    <w:rsid w:val="0080162E"/>
    <w:rsid w:val="00804BC4"/>
    <w:rsid w:val="00805142"/>
    <w:rsid w:val="00805213"/>
    <w:rsid w:val="00805C35"/>
    <w:rsid w:val="008064B2"/>
    <w:rsid w:val="00807A8B"/>
    <w:rsid w:val="0081099C"/>
    <w:rsid w:val="00811631"/>
    <w:rsid w:val="00811722"/>
    <w:rsid w:val="00812149"/>
    <w:rsid w:val="00813580"/>
    <w:rsid w:val="00815D2E"/>
    <w:rsid w:val="008166EF"/>
    <w:rsid w:val="00817F7B"/>
    <w:rsid w:val="0082079A"/>
    <w:rsid w:val="00820E20"/>
    <w:rsid w:val="008211A8"/>
    <w:rsid w:val="00825011"/>
    <w:rsid w:val="008264EB"/>
    <w:rsid w:val="008312AD"/>
    <w:rsid w:val="008316EC"/>
    <w:rsid w:val="008317FE"/>
    <w:rsid w:val="00832764"/>
    <w:rsid w:val="00832F6A"/>
    <w:rsid w:val="008334C5"/>
    <w:rsid w:val="008335CC"/>
    <w:rsid w:val="008340CC"/>
    <w:rsid w:val="00834166"/>
    <w:rsid w:val="00836020"/>
    <w:rsid w:val="00836095"/>
    <w:rsid w:val="008360D5"/>
    <w:rsid w:val="00836A89"/>
    <w:rsid w:val="00837B89"/>
    <w:rsid w:val="00837E80"/>
    <w:rsid w:val="00840CA2"/>
    <w:rsid w:val="008416A3"/>
    <w:rsid w:val="008449FE"/>
    <w:rsid w:val="0084577A"/>
    <w:rsid w:val="00846A14"/>
    <w:rsid w:val="00847786"/>
    <w:rsid w:val="00850DAA"/>
    <w:rsid w:val="00852496"/>
    <w:rsid w:val="0085343F"/>
    <w:rsid w:val="0085496A"/>
    <w:rsid w:val="00855F02"/>
    <w:rsid w:val="008561DB"/>
    <w:rsid w:val="00856E9A"/>
    <w:rsid w:val="00857D5C"/>
    <w:rsid w:val="00857E64"/>
    <w:rsid w:val="00857EA9"/>
    <w:rsid w:val="00861A02"/>
    <w:rsid w:val="008626AD"/>
    <w:rsid w:val="00863B6A"/>
    <w:rsid w:val="00865A5C"/>
    <w:rsid w:val="00870321"/>
    <w:rsid w:val="00873367"/>
    <w:rsid w:val="008743F1"/>
    <w:rsid w:val="00876A65"/>
    <w:rsid w:val="00876B98"/>
    <w:rsid w:val="008773C6"/>
    <w:rsid w:val="00877EA8"/>
    <w:rsid w:val="00881C99"/>
    <w:rsid w:val="00882874"/>
    <w:rsid w:val="00882D0E"/>
    <w:rsid w:val="00883787"/>
    <w:rsid w:val="0088408C"/>
    <w:rsid w:val="0088438D"/>
    <w:rsid w:val="0088470D"/>
    <w:rsid w:val="0088546C"/>
    <w:rsid w:val="00887164"/>
    <w:rsid w:val="008906DF"/>
    <w:rsid w:val="00890DC8"/>
    <w:rsid w:val="00892E16"/>
    <w:rsid w:val="008932C0"/>
    <w:rsid w:val="00894AB8"/>
    <w:rsid w:val="00894D4C"/>
    <w:rsid w:val="00894EC4"/>
    <w:rsid w:val="008963A5"/>
    <w:rsid w:val="00896A67"/>
    <w:rsid w:val="008A0EF8"/>
    <w:rsid w:val="008A2939"/>
    <w:rsid w:val="008A2C8B"/>
    <w:rsid w:val="008A3C3E"/>
    <w:rsid w:val="008A40BA"/>
    <w:rsid w:val="008A4940"/>
    <w:rsid w:val="008A4AB4"/>
    <w:rsid w:val="008A4CBF"/>
    <w:rsid w:val="008A5B71"/>
    <w:rsid w:val="008A66A3"/>
    <w:rsid w:val="008A79DE"/>
    <w:rsid w:val="008B17F6"/>
    <w:rsid w:val="008B2B8E"/>
    <w:rsid w:val="008B3EF0"/>
    <w:rsid w:val="008B42DF"/>
    <w:rsid w:val="008B4FA7"/>
    <w:rsid w:val="008B4FC2"/>
    <w:rsid w:val="008B74E5"/>
    <w:rsid w:val="008B7D7E"/>
    <w:rsid w:val="008B7D7F"/>
    <w:rsid w:val="008C0BB0"/>
    <w:rsid w:val="008C1112"/>
    <w:rsid w:val="008C173E"/>
    <w:rsid w:val="008C2B8B"/>
    <w:rsid w:val="008C4B5A"/>
    <w:rsid w:val="008C6163"/>
    <w:rsid w:val="008C6A57"/>
    <w:rsid w:val="008C7ECB"/>
    <w:rsid w:val="008D30B5"/>
    <w:rsid w:val="008D45C3"/>
    <w:rsid w:val="008D497C"/>
    <w:rsid w:val="008D4B06"/>
    <w:rsid w:val="008D4DF0"/>
    <w:rsid w:val="008D50A1"/>
    <w:rsid w:val="008D63C4"/>
    <w:rsid w:val="008D65F9"/>
    <w:rsid w:val="008D6D8F"/>
    <w:rsid w:val="008D6DE8"/>
    <w:rsid w:val="008D7CBA"/>
    <w:rsid w:val="008E0E0B"/>
    <w:rsid w:val="008E1B9E"/>
    <w:rsid w:val="008E3198"/>
    <w:rsid w:val="008E5499"/>
    <w:rsid w:val="008E5D96"/>
    <w:rsid w:val="008E66EF"/>
    <w:rsid w:val="008F07B2"/>
    <w:rsid w:val="008F4137"/>
    <w:rsid w:val="008F48EB"/>
    <w:rsid w:val="008F4D49"/>
    <w:rsid w:val="008F4F0B"/>
    <w:rsid w:val="008F5AB7"/>
    <w:rsid w:val="008F5FE9"/>
    <w:rsid w:val="008F7BC5"/>
    <w:rsid w:val="009002CF"/>
    <w:rsid w:val="009008EC"/>
    <w:rsid w:val="00900E55"/>
    <w:rsid w:val="0090173F"/>
    <w:rsid w:val="0090213F"/>
    <w:rsid w:val="00902248"/>
    <w:rsid w:val="0090329B"/>
    <w:rsid w:val="009035B4"/>
    <w:rsid w:val="00904691"/>
    <w:rsid w:val="00905F72"/>
    <w:rsid w:val="009062A5"/>
    <w:rsid w:val="009062CB"/>
    <w:rsid w:val="00906E37"/>
    <w:rsid w:val="009109E8"/>
    <w:rsid w:val="00911272"/>
    <w:rsid w:val="00911DC9"/>
    <w:rsid w:val="009129CE"/>
    <w:rsid w:val="0091689F"/>
    <w:rsid w:val="00916C40"/>
    <w:rsid w:val="00916DCD"/>
    <w:rsid w:val="00921DC3"/>
    <w:rsid w:val="00922291"/>
    <w:rsid w:val="00922E43"/>
    <w:rsid w:val="00923130"/>
    <w:rsid w:val="009308FA"/>
    <w:rsid w:val="00930990"/>
    <w:rsid w:val="0093351B"/>
    <w:rsid w:val="0093505F"/>
    <w:rsid w:val="00937379"/>
    <w:rsid w:val="00937A5E"/>
    <w:rsid w:val="0094019F"/>
    <w:rsid w:val="00944AAB"/>
    <w:rsid w:val="00945F79"/>
    <w:rsid w:val="009470E4"/>
    <w:rsid w:val="009501FD"/>
    <w:rsid w:val="00950C43"/>
    <w:rsid w:val="009515FD"/>
    <w:rsid w:val="00951E22"/>
    <w:rsid w:val="00953CA1"/>
    <w:rsid w:val="0095419E"/>
    <w:rsid w:val="009543DD"/>
    <w:rsid w:val="00954A5D"/>
    <w:rsid w:val="0095608C"/>
    <w:rsid w:val="0095634D"/>
    <w:rsid w:val="00956FF7"/>
    <w:rsid w:val="00961AF9"/>
    <w:rsid w:val="00962335"/>
    <w:rsid w:val="0096281F"/>
    <w:rsid w:val="00962CB9"/>
    <w:rsid w:val="00964312"/>
    <w:rsid w:val="00964F16"/>
    <w:rsid w:val="009658DB"/>
    <w:rsid w:val="00967474"/>
    <w:rsid w:val="00967826"/>
    <w:rsid w:val="00967B33"/>
    <w:rsid w:val="009701BC"/>
    <w:rsid w:val="00970E99"/>
    <w:rsid w:val="00973D12"/>
    <w:rsid w:val="0098002F"/>
    <w:rsid w:val="00980342"/>
    <w:rsid w:val="0098362B"/>
    <w:rsid w:val="00983E57"/>
    <w:rsid w:val="009848FD"/>
    <w:rsid w:val="00984F57"/>
    <w:rsid w:val="00987A01"/>
    <w:rsid w:val="00990262"/>
    <w:rsid w:val="009919C2"/>
    <w:rsid w:val="00991BEF"/>
    <w:rsid w:val="00993117"/>
    <w:rsid w:val="00993E4C"/>
    <w:rsid w:val="009956FD"/>
    <w:rsid w:val="00995C97"/>
    <w:rsid w:val="00996B1A"/>
    <w:rsid w:val="00997680"/>
    <w:rsid w:val="009A0D6C"/>
    <w:rsid w:val="009A1E41"/>
    <w:rsid w:val="009A3954"/>
    <w:rsid w:val="009A4CC0"/>
    <w:rsid w:val="009A5551"/>
    <w:rsid w:val="009A642C"/>
    <w:rsid w:val="009B090F"/>
    <w:rsid w:val="009B3E26"/>
    <w:rsid w:val="009B7AB1"/>
    <w:rsid w:val="009B7BC1"/>
    <w:rsid w:val="009C07FD"/>
    <w:rsid w:val="009C0F83"/>
    <w:rsid w:val="009C1A48"/>
    <w:rsid w:val="009C2D60"/>
    <w:rsid w:val="009C31F6"/>
    <w:rsid w:val="009C5273"/>
    <w:rsid w:val="009C7366"/>
    <w:rsid w:val="009D281A"/>
    <w:rsid w:val="009D2D13"/>
    <w:rsid w:val="009D2F0D"/>
    <w:rsid w:val="009D38F4"/>
    <w:rsid w:val="009D436D"/>
    <w:rsid w:val="009D43C8"/>
    <w:rsid w:val="009D4720"/>
    <w:rsid w:val="009D52B0"/>
    <w:rsid w:val="009D5B91"/>
    <w:rsid w:val="009E1700"/>
    <w:rsid w:val="009E1BD5"/>
    <w:rsid w:val="009E2193"/>
    <w:rsid w:val="009E2C82"/>
    <w:rsid w:val="009E4BA4"/>
    <w:rsid w:val="009E4C07"/>
    <w:rsid w:val="009E6A9C"/>
    <w:rsid w:val="009E74A8"/>
    <w:rsid w:val="009F09C5"/>
    <w:rsid w:val="009F1B96"/>
    <w:rsid w:val="009F2A96"/>
    <w:rsid w:val="009F39E8"/>
    <w:rsid w:val="009F51CA"/>
    <w:rsid w:val="00A0154C"/>
    <w:rsid w:val="00A03D43"/>
    <w:rsid w:val="00A04380"/>
    <w:rsid w:val="00A05812"/>
    <w:rsid w:val="00A067D1"/>
    <w:rsid w:val="00A07574"/>
    <w:rsid w:val="00A07CF2"/>
    <w:rsid w:val="00A07D1B"/>
    <w:rsid w:val="00A10575"/>
    <w:rsid w:val="00A10FBA"/>
    <w:rsid w:val="00A113BD"/>
    <w:rsid w:val="00A12A58"/>
    <w:rsid w:val="00A12C20"/>
    <w:rsid w:val="00A12F3C"/>
    <w:rsid w:val="00A13948"/>
    <w:rsid w:val="00A13C99"/>
    <w:rsid w:val="00A14595"/>
    <w:rsid w:val="00A1590D"/>
    <w:rsid w:val="00A162AA"/>
    <w:rsid w:val="00A178A9"/>
    <w:rsid w:val="00A17EB2"/>
    <w:rsid w:val="00A20070"/>
    <w:rsid w:val="00A221FC"/>
    <w:rsid w:val="00A22711"/>
    <w:rsid w:val="00A2335E"/>
    <w:rsid w:val="00A27AEC"/>
    <w:rsid w:val="00A32653"/>
    <w:rsid w:val="00A33F83"/>
    <w:rsid w:val="00A3402E"/>
    <w:rsid w:val="00A35D16"/>
    <w:rsid w:val="00A36A92"/>
    <w:rsid w:val="00A42D39"/>
    <w:rsid w:val="00A43409"/>
    <w:rsid w:val="00A43882"/>
    <w:rsid w:val="00A43C28"/>
    <w:rsid w:val="00A43C59"/>
    <w:rsid w:val="00A45609"/>
    <w:rsid w:val="00A4624C"/>
    <w:rsid w:val="00A4625E"/>
    <w:rsid w:val="00A50ECD"/>
    <w:rsid w:val="00A51069"/>
    <w:rsid w:val="00A51BD1"/>
    <w:rsid w:val="00A52379"/>
    <w:rsid w:val="00A52729"/>
    <w:rsid w:val="00A53444"/>
    <w:rsid w:val="00A53675"/>
    <w:rsid w:val="00A5537A"/>
    <w:rsid w:val="00A56B6A"/>
    <w:rsid w:val="00A578DC"/>
    <w:rsid w:val="00A600E7"/>
    <w:rsid w:val="00A602DD"/>
    <w:rsid w:val="00A6077B"/>
    <w:rsid w:val="00A60990"/>
    <w:rsid w:val="00A61625"/>
    <w:rsid w:val="00A61D60"/>
    <w:rsid w:val="00A62430"/>
    <w:rsid w:val="00A638CC"/>
    <w:rsid w:val="00A65AE9"/>
    <w:rsid w:val="00A6725B"/>
    <w:rsid w:val="00A70398"/>
    <w:rsid w:val="00A7092B"/>
    <w:rsid w:val="00A70D78"/>
    <w:rsid w:val="00A72379"/>
    <w:rsid w:val="00A72477"/>
    <w:rsid w:val="00A7260B"/>
    <w:rsid w:val="00A737A4"/>
    <w:rsid w:val="00A7392A"/>
    <w:rsid w:val="00A7780A"/>
    <w:rsid w:val="00A77BC9"/>
    <w:rsid w:val="00A815F5"/>
    <w:rsid w:val="00A8175D"/>
    <w:rsid w:val="00A84840"/>
    <w:rsid w:val="00A84FBE"/>
    <w:rsid w:val="00A86E8B"/>
    <w:rsid w:val="00A878EF"/>
    <w:rsid w:val="00A879BA"/>
    <w:rsid w:val="00A90542"/>
    <w:rsid w:val="00A9149A"/>
    <w:rsid w:val="00A91B25"/>
    <w:rsid w:val="00A91C30"/>
    <w:rsid w:val="00A93072"/>
    <w:rsid w:val="00A93285"/>
    <w:rsid w:val="00A93BAF"/>
    <w:rsid w:val="00A94EB8"/>
    <w:rsid w:val="00A96DB0"/>
    <w:rsid w:val="00A97A64"/>
    <w:rsid w:val="00A97CF0"/>
    <w:rsid w:val="00AA0A07"/>
    <w:rsid w:val="00AA311D"/>
    <w:rsid w:val="00AA3291"/>
    <w:rsid w:val="00AA458B"/>
    <w:rsid w:val="00AA5694"/>
    <w:rsid w:val="00AA7011"/>
    <w:rsid w:val="00AB042A"/>
    <w:rsid w:val="00AB11CF"/>
    <w:rsid w:val="00AB33E4"/>
    <w:rsid w:val="00AB3404"/>
    <w:rsid w:val="00AB3430"/>
    <w:rsid w:val="00AB41FF"/>
    <w:rsid w:val="00AB7CFA"/>
    <w:rsid w:val="00AC0030"/>
    <w:rsid w:val="00AC14A0"/>
    <w:rsid w:val="00AC405D"/>
    <w:rsid w:val="00AC66BB"/>
    <w:rsid w:val="00AC7F40"/>
    <w:rsid w:val="00AD02B3"/>
    <w:rsid w:val="00AD1AFC"/>
    <w:rsid w:val="00AD2805"/>
    <w:rsid w:val="00AD50B0"/>
    <w:rsid w:val="00AD54F0"/>
    <w:rsid w:val="00AD6119"/>
    <w:rsid w:val="00AD6BD3"/>
    <w:rsid w:val="00AD7371"/>
    <w:rsid w:val="00AE15D3"/>
    <w:rsid w:val="00AE17A2"/>
    <w:rsid w:val="00AE17F0"/>
    <w:rsid w:val="00AE1D27"/>
    <w:rsid w:val="00AE3715"/>
    <w:rsid w:val="00AE451C"/>
    <w:rsid w:val="00AE49D3"/>
    <w:rsid w:val="00AE5D0F"/>
    <w:rsid w:val="00AF0588"/>
    <w:rsid w:val="00AF0C0C"/>
    <w:rsid w:val="00AF2CD3"/>
    <w:rsid w:val="00AF2E43"/>
    <w:rsid w:val="00AF2F07"/>
    <w:rsid w:val="00AF610D"/>
    <w:rsid w:val="00AF6823"/>
    <w:rsid w:val="00B017A1"/>
    <w:rsid w:val="00B0210F"/>
    <w:rsid w:val="00B02AA2"/>
    <w:rsid w:val="00B04DAA"/>
    <w:rsid w:val="00B06865"/>
    <w:rsid w:val="00B0740B"/>
    <w:rsid w:val="00B07E65"/>
    <w:rsid w:val="00B11A85"/>
    <w:rsid w:val="00B12C2B"/>
    <w:rsid w:val="00B15817"/>
    <w:rsid w:val="00B161F8"/>
    <w:rsid w:val="00B16FB0"/>
    <w:rsid w:val="00B2074B"/>
    <w:rsid w:val="00B22262"/>
    <w:rsid w:val="00B22FBD"/>
    <w:rsid w:val="00B2475B"/>
    <w:rsid w:val="00B26E1D"/>
    <w:rsid w:val="00B27576"/>
    <w:rsid w:val="00B30DBE"/>
    <w:rsid w:val="00B342F2"/>
    <w:rsid w:val="00B37F65"/>
    <w:rsid w:val="00B40548"/>
    <w:rsid w:val="00B4284D"/>
    <w:rsid w:val="00B42851"/>
    <w:rsid w:val="00B43179"/>
    <w:rsid w:val="00B4328E"/>
    <w:rsid w:val="00B45234"/>
    <w:rsid w:val="00B4585C"/>
    <w:rsid w:val="00B4737C"/>
    <w:rsid w:val="00B506F2"/>
    <w:rsid w:val="00B507EE"/>
    <w:rsid w:val="00B52F53"/>
    <w:rsid w:val="00B53A58"/>
    <w:rsid w:val="00B53C59"/>
    <w:rsid w:val="00B54469"/>
    <w:rsid w:val="00B54B5B"/>
    <w:rsid w:val="00B54B5D"/>
    <w:rsid w:val="00B55618"/>
    <w:rsid w:val="00B5562E"/>
    <w:rsid w:val="00B56742"/>
    <w:rsid w:val="00B57000"/>
    <w:rsid w:val="00B576B2"/>
    <w:rsid w:val="00B608CF"/>
    <w:rsid w:val="00B60939"/>
    <w:rsid w:val="00B60AFD"/>
    <w:rsid w:val="00B62715"/>
    <w:rsid w:val="00B630DB"/>
    <w:rsid w:val="00B64AA1"/>
    <w:rsid w:val="00B64DC1"/>
    <w:rsid w:val="00B65304"/>
    <w:rsid w:val="00B659B4"/>
    <w:rsid w:val="00B66984"/>
    <w:rsid w:val="00B67B8F"/>
    <w:rsid w:val="00B733AD"/>
    <w:rsid w:val="00B746B8"/>
    <w:rsid w:val="00B767E0"/>
    <w:rsid w:val="00B7776B"/>
    <w:rsid w:val="00B77A3A"/>
    <w:rsid w:val="00B818A4"/>
    <w:rsid w:val="00B82A44"/>
    <w:rsid w:val="00B83A6D"/>
    <w:rsid w:val="00B843FE"/>
    <w:rsid w:val="00B85C58"/>
    <w:rsid w:val="00B85D25"/>
    <w:rsid w:val="00B8649C"/>
    <w:rsid w:val="00B91668"/>
    <w:rsid w:val="00B92D0B"/>
    <w:rsid w:val="00B93B8D"/>
    <w:rsid w:val="00B947AA"/>
    <w:rsid w:val="00B94945"/>
    <w:rsid w:val="00B95634"/>
    <w:rsid w:val="00B96070"/>
    <w:rsid w:val="00B97CF8"/>
    <w:rsid w:val="00BA1934"/>
    <w:rsid w:val="00BA20F1"/>
    <w:rsid w:val="00BA28AA"/>
    <w:rsid w:val="00BA4ADA"/>
    <w:rsid w:val="00BA4C9E"/>
    <w:rsid w:val="00BA5456"/>
    <w:rsid w:val="00BA58D1"/>
    <w:rsid w:val="00BA6188"/>
    <w:rsid w:val="00BB08EF"/>
    <w:rsid w:val="00BB0CE0"/>
    <w:rsid w:val="00BB5881"/>
    <w:rsid w:val="00BB75CC"/>
    <w:rsid w:val="00BB7879"/>
    <w:rsid w:val="00BC0390"/>
    <w:rsid w:val="00BC096D"/>
    <w:rsid w:val="00BC2412"/>
    <w:rsid w:val="00BC2613"/>
    <w:rsid w:val="00BC4D9B"/>
    <w:rsid w:val="00BC5C75"/>
    <w:rsid w:val="00BC6398"/>
    <w:rsid w:val="00BC6564"/>
    <w:rsid w:val="00BC7DC4"/>
    <w:rsid w:val="00BD03A2"/>
    <w:rsid w:val="00BD1981"/>
    <w:rsid w:val="00BD304B"/>
    <w:rsid w:val="00BD3D21"/>
    <w:rsid w:val="00BD464F"/>
    <w:rsid w:val="00BD6C7D"/>
    <w:rsid w:val="00BE196D"/>
    <w:rsid w:val="00BE1E10"/>
    <w:rsid w:val="00BE2180"/>
    <w:rsid w:val="00BE4275"/>
    <w:rsid w:val="00BE58F0"/>
    <w:rsid w:val="00BE74C5"/>
    <w:rsid w:val="00BF23ED"/>
    <w:rsid w:val="00BF2433"/>
    <w:rsid w:val="00BF2C67"/>
    <w:rsid w:val="00BF61C9"/>
    <w:rsid w:val="00BF7473"/>
    <w:rsid w:val="00C00B03"/>
    <w:rsid w:val="00C01481"/>
    <w:rsid w:val="00C05616"/>
    <w:rsid w:val="00C06D22"/>
    <w:rsid w:val="00C07C93"/>
    <w:rsid w:val="00C07DBC"/>
    <w:rsid w:val="00C14222"/>
    <w:rsid w:val="00C15FCF"/>
    <w:rsid w:val="00C17763"/>
    <w:rsid w:val="00C20730"/>
    <w:rsid w:val="00C21664"/>
    <w:rsid w:val="00C217B3"/>
    <w:rsid w:val="00C217CB"/>
    <w:rsid w:val="00C21CC9"/>
    <w:rsid w:val="00C25271"/>
    <w:rsid w:val="00C25418"/>
    <w:rsid w:val="00C25D9C"/>
    <w:rsid w:val="00C26864"/>
    <w:rsid w:val="00C271A3"/>
    <w:rsid w:val="00C30108"/>
    <w:rsid w:val="00C30996"/>
    <w:rsid w:val="00C31649"/>
    <w:rsid w:val="00C34971"/>
    <w:rsid w:val="00C362C4"/>
    <w:rsid w:val="00C36582"/>
    <w:rsid w:val="00C378A4"/>
    <w:rsid w:val="00C40377"/>
    <w:rsid w:val="00C40385"/>
    <w:rsid w:val="00C419AE"/>
    <w:rsid w:val="00C41C4E"/>
    <w:rsid w:val="00C41ECD"/>
    <w:rsid w:val="00C4273C"/>
    <w:rsid w:val="00C43226"/>
    <w:rsid w:val="00C4328A"/>
    <w:rsid w:val="00C43A01"/>
    <w:rsid w:val="00C43EF0"/>
    <w:rsid w:val="00C43F73"/>
    <w:rsid w:val="00C443A2"/>
    <w:rsid w:val="00C45686"/>
    <w:rsid w:val="00C461C1"/>
    <w:rsid w:val="00C46C4D"/>
    <w:rsid w:val="00C473CC"/>
    <w:rsid w:val="00C5134B"/>
    <w:rsid w:val="00C52B8E"/>
    <w:rsid w:val="00C53BFC"/>
    <w:rsid w:val="00C54008"/>
    <w:rsid w:val="00C606B6"/>
    <w:rsid w:val="00C60E9C"/>
    <w:rsid w:val="00C62F46"/>
    <w:rsid w:val="00C643F0"/>
    <w:rsid w:val="00C65576"/>
    <w:rsid w:val="00C65F68"/>
    <w:rsid w:val="00C66165"/>
    <w:rsid w:val="00C679DB"/>
    <w:rsid w:val="00C67F31"/>
    <w:rsid w:val="00C73B23"/>
    <w:rsid w:val="00C746C7"/>
    <w:rsid w:val="00C75C67"/>
    <w:rsid w:val="00C774FD"/>
    <w:rsid w:val="00C80ECE"/>
    <w:rsid w:val="00C8213F"/>
    <w:rsid w:val="00C83471"/>
    <w:rsid w:val="00C83577"/>
    <w:rsid w:val="00C84BE6"/>
    <w:rsid w:val="00C8797A"/>
    <w:rsid w:val="00C91C41"/>
    <w:rsid w:val="00C9207D"/>
    <w:rsid w:val="00C9309A"/>
    <w:rsid w:val="00C9382B"/>
    <w:rsid w:val="00C938CF"/>
    <w:rsid w:val="00C94981"/>
    <w:rsid w:val="00C94C55"/>
    <w:rsid w:val="00C96500"/>
    <w:rsid w:val="00C976F4"/>
    <w:rsid w:val="00CA03CF"/>
    <w:rsid w:val="00CA0DB2"/>
    <w:rsid w:val="00CA15DF"/>
    <w:rsid w:val="00CA2EDE"/>
    <w:rsid w:val="00CA3444"/>
    <w:rsid w:val="00CA375A"/>
    <w:rsid w:val="00CA5245"/>
    <w:rsid w:val="00CA6F53"/>
    <w:rsid w:val="00CA7079"/>
    <w:rsid w:val="00CA7B09"/>
    <w:rsid w:val="00CA7F26"/>
    <w:rsid w:val="00CB05A7"/>
    <w:rsid w:val="00CB2ACF"/>
    <w:rsid w:val="00CB46F2"/>
    <w:rsid w:val="00CB54FC"/>
    <w:rsid w:val="00CB59AE"/>
    <w:rsid w:val="00CB5B1A"/>
    <w:rsid w:val="00CB6166"/>
    <w:rsid w:val="00CB7484"/>
    <w:rsid w:val="00CB7D4C"/>
    <w:rsid w:val="00CC0D19"/>
    <w:rsid w:val="00CC19F9"/>
    <w:rsid w:val="00CC238E"/>
    <w:rsid w:val="00CC2432"/>
    <w:rsid w:val="00CC3B73"/>
    <w:rsid w:val="00CC5A6A"/>
    <w:rsid w:val="00CC6807"/>
    <w:rsid w:val="00CD29F0"/>
    <w:rsid w:val="00CD4B36"/>
    <w:rsid w:val="00CD6ADC"/>
    <w:rsid w:val="00CD727E"/>
    <w:rsid w:val="00CD72DA"/>
    <w:rsid w:val="00CD75AB"/>
    <w:rsid w:val="00CE0039"/>
    <w:rsid w:val="00CE0E6E"/>
    <w:rsid w:val="00CE3EF9"/>
    <w:rsid w:val="00CE4100"/>
    <w:rsid w:val="00CE616A"/>
    <w:rsid w:val="00CE6274"/>
    <w:rsid w:val="00CF3396"/>
    <w:rsid w:val="00CF456B"/>
    <w:rsid w:val="00CF4C3E"/>
    <w:rsid w:val="00CF5A22"/>
    <w:rsid w:val="00CF7528"/>
    <w:rsid w:val="00D005C6"/>
    <w:rsid w:val="00D02337"/>
    <w:rsid w:val="00D0262E"/>
    <w:rsid w:val="00D04C42"/>
    <w:rsid w:val="00D04F06"/>
    <w:rsid w:val="00D06025"/>
    <w:rsid w:val="00D061A0"/>
    <w:rsid w:val="00D069B8"/>
    <w:rsid w:val="00D06FD4"/>
    <w:rsid w:val="00D07729"/>
    <w:rsid w:val="00D10A3A"/>
    <w:rsid w:val="00D10F9B"/>
    <w:rsid w:val="00D110BD"/>
    <w:rsid w:val="00D113DF"/>
    <w:rsid w:val="00D11CF9"/>
    <w:rsid w:val="00D11DAE"/>
    <w:rsid w:val="00D122F1"/>
    <w:rsid w:val="00D1263F"/>
    <w:rsid w:val="00D12AF5"/>
    <w:rsid w:val="00D13E35"/>
    <w:rsid w:val="00D169A5"/>
    <w:rsid w:val="00D1760D"/>
    <w:rsid w:val="00D17D6C"/>
    <w:rsid w:val="00D2154C"/>
    <w:rsid w:val="00D23E31"/>
    <w:rsid w:val="00D2418C"/>
    <w:rsid w:val="00D244DD"/>
    <w:rsid w:val="00D24612"/>
    <w:rsid w:val="00D24E42"/>
    <w:rsid w:val="00D252C4"/>
    <w:rsid w:val="00D25386"/>
    <w:rsid w:val="00D266AF"/>
    <w:rsid w:val="00D270E0"/>
    <w:rsid w:val="00D272A9"/>
    <w:rsid w:val="00D272BE"/>
    <w:rsid w:val="00D27F8E"/>
    <w:rsid w:val="00D318E3"/>
    <w:rsid w:val="00D3335C"/>
    <w:rsid w:val="00D342BD"/>
    <w:rsid w:val="00D416C6"/>
    <w:rsid w:val="00D427EE"/>
    <w:rsid w:val="00D42BEE"/>
    <w:rsid w:val="00D430E2"/>
    <w:rsid w:val="00D43D3C"/>
    <w:rsid w:val="00D43E76"/>
    <w:rsid w:val="00D43F32"/>
    <w:rsid w:val="00D44F62"/>
    <w:rsid w:val="00D46C57"/>
    <w:rsid w:val="00D472E2"/>
    <w:rsid w:val="00D47FA3"/>
    <w:rsid w:val="00D502CB"/>
    <w:rsid w:val="00D5185A"/>
    <w:rsid w:val="00D52137"/>
    <w:rsid w:val="00D52F8C"/>
    <w:rsid w:val="00D57CD0"/>
    <w:rsid w:val="00D63D50"/>
    <w:rsid w:val="00D64E78"/>
    <w:rsid w:val="00D65DA8"/>
    <w:rsid w:val="00D66864"/>
    <w:rsid w:val="00D67616"/>
    <w:rsid w:val="00D67A55"/>
    <w:rsid w:val="00D7083C"/>
    <w:rsid w:val="00D7166F"/>
    <w:rsid w:val="00D73BEB"/>
    <w:rsid w:val="00D75D3D"/>
    <w:rsid w:val="00D76A44"/>
    <w:rsid w:val="00D76BF3"/>
    <w:rsid w:val="00D77444"/>
    <w:rsid w:val="00D7753B"/>
    <w:rsid w:val="00D80E68"/>
    <w:rsid w:val="00D82062"/>
    <w:rsid w:val="00D8361E"/>
    <w:rsid w:val="00D8549B"/>
    <w:rsid w:val="00D909E9"/>
    <w:rsid w:val="00D90ABF"/>
    <w:rsid w:val="00D93753"/>
    <w:rsid w:val="00D94F76"/>
    <w:rsid w:val="00D9676F"/>
    <w:rsid w:val="00D973C1"/>
    <w:rsid w:val="00DA0841"/>
    <w:rsid w:val="00DA0E33"/>
    <w:rsid w:val="00DA3146"/>
    <w:rsid w:val="00DA46CB"/>
    <w:rsid w:val="00DA5F42"/>
    <w:rsid w:val="00DA6769"/>
    <w:rsid w:val="00DA7493"/>
    <w:rsid w:val="00DA77A5"/>
    <w:rsid w:val="00DA7C13"/>
    <w:rsid w:val="00DB066C"/>
    <w:rsid w:val="00DB1E35"/>
    <w:rsid w:val="00DB3170"/>
    <w:rsid w:val="00DB431B"/>
    <w:rsid w:val="00DB56B3"/>
    <w:rsid w:val="00DC3BD7"/>
    <w:rsid w:val="00DC43AD"/>
    <w:rsid w:val="00DC4EA6"/>
    <w:rsid w:val="00DC5501"/>
    <w:rsid w:val="00DC6CE1"/>
    <w:rsid w:val="00DC7604"/>
    <w:rsid w:val="00DD2072"/>
    <w:rsid w:val="00DD3F28"/>
    <w:rsid w:val="00DD3FE7"/>
    <w:rsid w:val="00DD4537"/>
    <w:rsid w:val="00DD4E15"/>
    <w:rsid w:val="00DD785C"/>
    <w:rsid w:val="00DE3AD8"/>
    <w:rsid w:val="00DE44E2"/>
    <w:rsid w:val="00DE4D07"/>
    <w:rsid w:val="00DE4FCB"/>
    <w:rsid w:val="00DE7705"/>
    <w:rsid w:val="00DF0090"/>
    <w:rsid w:val="00DF059B"/>
    <w:rsid w:val="00DF147B"/>
    <w:rsid w:val="00DF1DEF"/>
    <w:rsid w:val="00DF2ADD"/>
    <w:rsid w:val="00DF318C"/>
    <w:rsid w:val="00DF3A6A"/>
    <w:rsid w:val="00DF499A"/>
    <w:rsid w:val="00DF4F39"/>
    <w:rsid w:val="00DF52E9"/>
    <w:rsid w:val="00DF5431"/>
    <w:rsid w:val="00E0194B"/>
    <w:rsid w:val="00E0297F"/>
    <w:rsid w:val="00E038B9"/>
    <w:rsid w:val="00E0601C"/>
    <w:rsid w:val="00E0731D"/>
    <w:rsid w:val="00E10149"/>
    <w:rsid w:val="00E10215"/>
    <w:rsid w:val="00E11E9A"/>
    <w:rsid w:val="00E1232F"/>
    <w:rsid w:val="00E13C92"/>
    <w:rsid w:val="00E141FC"/>
    <w:rsid w:val="00E16372"/>
    <w:rsid w:val="00E167B1"/>
    <w:rsid w:val="00E16C84"/>
    <w:rsid w:val="00E172B0"/>
    <w:rsid w:val="00E178B7"/>
    <w:rsid w:val="00E20ED6"/>
    <w:rsid w:val="00E21358"/>
    <w:rsid w:val="00E21D54"/>
    <w:rsid w:val="00E2249B"/>
    <w:rsid w:val="00E22BF9"/>
    <w:rsid w:val="00E2608D"/>
    <w:rsid w:val="00E2771E"/>
    <w:rsid w:val="00E32892"/>
    <w:rsid w:val="00E32A51"/>
    <w:rsid w:val="00E341ED"/>
    <w:rsid w:val="00E3472B"/>
    <w:rsid w:val="00E348E6"/>
    <w:rsid w:val="00E37569"/>
    <w:rsid w:val="00E37B2B"/>
    <w:rsid w:val="00E41200"/>
    <w:rsid w:val="00E416E6"/>
    <w:rsid w:val="00E41E30"/>
    <w:rsid w:val="00E42F51"/>
    <w:rsid w:val="00E43F5C"/>
    <w:rsid w:val="00E456B5"/>
    <w:rsid w:val="00E469F4"/>
    <w:rsid w:val="00E47266"/>
    <w:rsid w:val="00E47B2C"/>
    <w:rsid w:val="00E503BD"/>
    <w:rsid w:val="00E506FE"/>
    <w:rsid w:val="00E52096"/>
    <w:rsid w:val="00E52732"/>
    <w:rsid w:val="00E53780"/>
    <w:rsid w:val="00E544D4"/>
    <w:rsid w:val="00E54633"/>
    <w:rsid w:val="00E55424"/>
    <w:rsid w:val="00E5571F"/>
    <w:rsid w:val="00E60527"/>
    <w:rsid w:val="00E60B87"/>
    <w:rsid w:val="00E6131C"/>
    <w:rsid w:val="00E65E79"/>
    <w:rsid w:val="00E67416"/>
    <w:rsid w:val="00E718B6"/>
    <w:rsid w:val="00E73581"/>
    <w:rsid w:val="00E74A87"/>
    <w:rsid w:val="00E77BE3"/>
    <w:rsid w:val="00E77FDA"/>
    <w:rsid w:val="00E828A4"/>
    <w:rsid w:val="00E83207"/>
    <w:rsid w:val="00E83BDF"/>
    <w:rsid w:val="00E8492D"/>
    <w:rsid w:val="00E9189E"/>
    <w:rsid w:val="00E9628E"/>
    <w:rsid w:val="00EA1D60"/>
    <w:rsid w:val="00EA2A00"/>
    <w:rsid w:val="00EA2A36"/>
    <w:rsid w:val="00EA2C58"/>
    <w:rsid w:val="00EA2DC1"/>
    <w:rsid w:val="00EA34A7"/>
    <w:rsid w:val="00EA3864"/>
    <w:rsid w:val="00EA586A"/>
    <w:rsid w:val="00EA5F70"/>
    <w:rsid w:val="00EA635F"/>
    <w:rsid w:val="00EA740B"/>
    <w:rsid w:val="00EA7EBC"/>
    <w:rsid w:val="00EB1275"/>
    <w:rsid w:val="00EB3BC8"/>
    <w:rsid w:val="00EB3FBB"/>
    <w:rsid w:val="00EB4208"/>
    <w:rsid w:val="00EB525E"/>
    <w:rsid w:val="00EB559F"/>
    <w:rsid w:val="00EB723B"/>
    <w:rsid w:val="00EC00C9"/>
    <w:rsid w:val="00EC19CE"/>
    <w:rsid w:val="00EC1D69"/>
    <w:rsid w:val="00EC2372"/>
    <w:rsid w:val="00EC2EC1"/>
    <w:rsid w:val="00EC3C6D"/>
    <w:rsid w:val="00EC3FCF"/>
    <w:rsid w:val="00EC517C"/>
    <w:rsid w:val="00EC6F2A"/>
    <w:rsid w:val="00EC7546"/>
    <w:rsid w:val="00EC7AA0"/>
    <w:rsid w:val="00EC7E8D"/>
    <w:rsid w:val="00ED164A"/>
    <w:rsid w:val="00ED1D6B"/>
    <w:rsid w:val="00ED23F2"/>
    <w:rsid w:val="00ED2FC6"/>
    <w:rsid w:val="00ED3F59"/>
    <w:rsid w:val="00ED7FA2"/>
    <w:rsid w:val="00EE06A4"/>
    <w:rsid w:val="00EE07D3"/>
    <w:rsid w:val="00EE1C35"/>
    <w:rsid w:val="00EE406D"/>
    <w:rsid w:val="00EE434B"/>
    <w:rsid w:val="00EE47AD"/>
    <w:rsid w:val="00EE4846"/>
    <w:rsid w:val="00EE6ABC"/>
    <w:rsid w:val="00EE76D5"/>
    <w:rsid w:val="00EF03A6"/>
    <w:rsid w:val="00EF0975"/>
    <w:rsid w:val="00EF0F54"/>
    <w:rsid w:val="00EF2424"/>
    <w:rsid w:val="00EF2726"/>
    <w:rsid w:val="00EF31E6"/>
    <w:rsid w:val="00EF4ACD"/>
    <w:rsid w:val="00EF68F6"/>
    <w:rsid w:val="00EF700D"/>
    <w:rsid w:val="00F003D0"/>
    <w:rsid w:val="00F00CD2"/>
    <w:rsid w:val="00F01CE8"/>
    <w:rsid w:val="00F0227F"/>
    <w:rsid w:val="00F058C9"/>
    <w:rsid w:val="00F067A2"/>
    <w:rsid w:val="00F10F92"/>
    <w:rsid w:val="00F12755"/>
    <w:rsid w:val="00F16194"/>
    <w:rsid w:val="00F2029A"/>
    <w:rsid w:val="00F20EBB"/>
    <w:rsid w:val="00F23585"/>
    <w:rsid w:val="00F23659"/>
    <w:rsid w:val="00F24837"/>
    <w:rsid w:val="00F248D2"/>
    <w:rsid w:val="00F2575F"/>
    <w:rsid w:val="00F273C5"/>
    <w:rsid w:val="00F27A7E"/>
    <w:rsid w:val="00F27C53"/>
    <w:rsid w:val="00F30573"/>
    <w:rsid w:val="00F32301"/>
    <w:rsid w:val="00F338FF"/>
    <w:rsid w:val="00F33DE9"/>
    <w:rsid w:val="00F3619A"/>
    <w:rsid w:val="00F363D9"/>
    <w:rsid w:val="00F3760B"/>
    <w:rsid w:val="00F37867"/>
    <w:rsid w:val="00F3793F"/>
    <w:rsid w:val="00F41942"/>
    <w:rsid w:val="00F42C00"/>
    <w:rsid w:val="00F43795"/>
    <w:rsid w:val="00F46091"/>
    <w:rsid w:val="00F46CB6"/>
    <w:rsid w:val="00F51A05"/>
    <w:rsid w:val="00F5257D"/>
    <w:rsid w:val="00F54B14"/>
    <w:rsid w:val="00F55E73"/>
    <w:rsid w:val="00F5633C"/>
    <w:rsid w:val="00F56494"/>
    <w:rsid w:val="00F57268"/>
    <w:rsid w:val="00F61F4E"/>
    <w:rsid w:val="00F6532E"/>
    <w:rsid w:val="00F656CA"/>
    <w:rsid w:val="00F72DAB"/>
    <w:rsid w:val="00F73977"/>
    <w:rsid w:val="00F73BAE"/>
    <w:rsid w:val="00F77E13"/>
    <w:rsid w:val="00F80536"/>
    <w:rsid w:val="00F80E5D"/>
    <w:rsid w:val="00F8184C"/>
    <w:rsid w:val="00F819A6"/>
    <w:rsid w:val="00F829FA"/>
    <w:rsid w:val="00F82ED8"/>
    <w:rsid w:val="00F83EF5"/>
    <w:rsid w:val="00F84322"/>
    <w:rsid w:val="00F851CE"/>
    <w:rsid w:val="00F856E0"/>
    <w:rsid w:val="00F90378"/>
    <w:rsid w:val="00F90A75"/>
    <w:rsid w:val="00F925F5"/>
    <w:rsid w:val="00F93372"/>
    <w:rsid w:val="00F9371A"/>
    <w:rsid w:val="00F93DB0"/>
    <w:rsid w:val="00F96050"/>
    <w:rsid w:val="00F9709D"/>
    <w:rsid w:val="00F97200"/>
    <w:rsid w:val="00F97A78"/>
    <w:rsid w:val="00F97E66"/>
    <w:rsid w:val="00FA150A"/>
    <w:rsid w:val="00FA2A87"/>
    <w:rsid w:val="00FA3BA6"/>
    <w:rsid w:val="00FA6C00"/>
    <w:rsid w:val="00FB0DE0"/>
    <w:rsid w:val="00FB20FE"/>
    <w:rsid w:val="00FB2FCB"/>
    <w:rsid w:val="00FB410D"/>
    <w:rsid w:val="00FC01B6"/>
    <w:rsid w:val="00FC03F3"/>
    <w:rsid w:val="00FC0B40"/>
    <w:rsid w:val="00FC0D70"/>
    <w:rsid w:val="00FC1074"/>
    <w:rsid w:val="00FC1271"/>
    <w:rsid w:val="00FC1884"/>
    <w:rsid w:val="00FC49BC"/>
    <w:rsid w:val="00FC5F55"/>
    <w:rsid w:val="00FC639D"/>
    <w:rsid w:val="00FD0866"/>
    <w:rsid w:val="00FD1C21"/>
    <w:rsid w:val="00FD2100"/>
    <w:rsid w:val="00FD446D"/>
    <w:rsid w:val="00FD6E79"/>
    <w:rsid w:val="00FE0806"/>
    <w:rsid w:val="00FE15A6"/>
    <w:rsid w:val="00FE4BE3"/>
    <w:rsid w:val="00FE63C4"/>
    <w:rsid w:val="00FE683D"/>
    <w:rsid w:val="00FE70B2"/>
    <w:rsid w:val="00FE74F0"/>
    <w:rsid w:val="00FE7CFB"/>
    <w:rsid w:val="00FF3DCF"/>
    <w:rsid w:val="00FF3F81"/>
    <w:rsid w:val="00FF4D87"/>
    <w:rsid w:val="00FF5AA3"/>
    <w:rsid w:val="00FF66E0"/>
    <w:rsid w:val="00FF6B67"/>
    <w:rsid w:val="00FF757F"/>
    <w:rsid w:val="00FF7E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575"/>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D270E0"/>
    <w:pPr>
      <w:tabs>
        <w:tab w:val="left" w:pos="880"/>
        <w:tab w:val="right" w:leader="dot" w:pos="9016"/>
      </w:tabs>
      <w:spacing w:before="120"/>
      <w:ind w:left="220"/>
      <w:jc w:val="left"/>
    </w:pPr>
    <w:rPr>
      <w:iCs/>
      <w:noProof/>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677297"/>
    <w:pPr>
      <w:numPr>
        <w:numId w:val="1"/>
      </w:numPr>
      <w:outlineLvl w:val="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180543"/>
    <w:rPr>
      <w:rFonts w:ascii="Arial" w:hAnsi="Arial" w:cs="Arial"/>
      <w:snapToGrid w:val="0"/>
      <w:sz w:val="22"/>
      <w:lang w:eastAsia="en-US"/>
    </w:rPr>
  </w:style>
  <w:style w:type="paragraph" w:styleId="DocumentMap">
    <w:name w:val="Document Map"/>
    <w:basedOn w:val="Normal"/>
    <w:link w:val="DocumentMapChar"/>
    <w:semiHidden/>
    <w:unhideWhenUsed/>
    <w:rsid w:val="00EB1275"/>
    <w:rPr>
      <w:rFonts w:ascii="Tahoma" w:hAnsi="Tahoma" w:cs="Tahoma"/>
      <w:sz w:val="16"/>
      <w:szCs w:val="16"/>
    </w:rPr>
  </w:style>
  <w:style w:type="character" w:customStyle="1" w:styleId="DocumentMapChar">
    <w:name w:val="Document Map Char"/>
    <w:basedOn w:val="DefaultParagraphFont"/>
    <w:link w:val="DocumentMap"/>
    <w:semiHidden/>
    <w:rsid w:val="00EB1275"/>
    <w:rPr>
      <w:rFonts w:ascii="Tahoma" w:hAnsi="Tahoma" w:cs="Tahoma"/>
      <w:snapToGrid w:val="0"/>
      <w:sz w:val="16"/>
      <w:szCs w:val="16"/>
      <w:lang w:eastAsia="en-US"/>
    </w:rPr>
  </w:style>
  <w:style w:type="character" w:customStyle="1" w:styleId="Heading1Char">
    <w:name w:val="Heading 1 Char"/>
    <w:basedOn w:val="DefaultParagraphFont"/>
    <w:link w:val="Heading1"/>
    <w:rsid w:val="008C173E"/>
    <w:rPr>
      <w:rFonts w:ascii="Arial Bold" w:hAnsi="Arial Bold" w:cs="Arial"/>
      <w:b/>
      <w:caps/>
      <w:snapToGrid w:val="0"/>
      <w:sz w:val="22"/>
      <w:lang w:eastAsia="en-US"/>
    </w:rPr>
  </w:style>
  <w:style w:type="table" w:customStyle="1" w:styleId="Summarybox1">
    <w:name w:val="Summary box1"/>
    <w:basedOn w:val="TableNormal"/>
    <w:uiPriority w:val="59"/>
    <w:rsid w:val="00D270E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ld">
    <w:name w:val="Small Bold"/>
    <w:basedOn w:val="DefaultParagraphFont"/>
    <w:uiPriority w:val="4"/>
    <w:qFormat/>
    <w:rsid w:val="00D270E0"/>
    <w:rPr>
      <w:rFonts w:ascii="Candara" w:hAnsi="Candara"/>
      <w:b/>
      <w:sz w:val="20"/>
      <w:lang w:val="en-AU"/>
    </w:rPr>
  </w:style>
  <w:style w:type="paragraph" w:customStyle="1" w:styleId="TableRight">
    <w:name w:val="Table Right"/>
    <w:basedOn w:val="Normal"/>
    <w:next w:val="Normal"/>
    <w:qFormat/>
    <w:rsid w:val="00DF52E9"/>
    <w:pPr>
      <w:widowControl/>
      <w:jc w:val="right"/>
    </w:pPr>
    <w:rPr>
      <w:rFonts w:ascii="Candara" w:eastAsiaTheme="majorEastAsia" w:hAnsi="Candara" w:cstheme="majorBidi"/>
      <w:snapToGrid/>
      <w:sz w:val="20"/>
      <w:szCs w:val="22"/>
      <w:lang w:bidi="en-US"/>
    </w:rPr>
  </w:style>
  <w:style w:type="character" w:customStyle="1" w:styleId="apple-converted-space">
    <w:name w:val="apple-converted-space"/>
    <w:basedOn w:val="DefaultParagraphFont"/>
    <w:rsid w:val="00425798"/>
  </w:style>
  <w:style w:type="paragraph" w:styleId="FootnoteText">
    <w:name w:val="footnote text"/>
    <w:basedOn w:val="Normal"/>
    <w:link w:val="FootnoteTextChar"/>
    <w:semiHidden/>
    <w:unhideWhenUsed/>
    <w:rsid w:val="00FE63C4"/>
    <w:rPr>
      <w:sz w:val="20"/>
    </w:rPr>
  </w:style>
  <w:style w:type="character" w:customStyle="1" w:styleId="FootnoteTextChar">
    <w:name w:val="Footnote Text Char"/>
    <w:basedOn w:val="DefaultParagraphFont"/>
    <w:link w:val="FootnoteText"/>
    <w:semiHidden/>
    <w:rsid w:val="00FE63C4"/>
    <w:rPr>
      <w:rFonts w:ascii="Arial" w:hAnsi="Arial" w:cs="Arial"/>
      <w:snapToGrid w:val="0"/>
      <w:lang w:eastAsia="en-US"/>
    </w:rPr>
  </w:style>
  <w:style w:type="character" w:styleId="FootnoteReference">
    <w:name w:val="footnote reference"/>
    <w:basedOn w:val="DefaultParagraphFont"/>
    <w:semiHidden/>
    <w:unhideWhenUsed/>
    <w:rsid w:val="00FE63C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63D50"/>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Normal"/>
    <w:link w:val="SubtitleChar"/>
    <w:uiPriority w:val="11"/>
    <w:qFormat/>
    <w:rsid w:val="005374C0"/>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5374C0"/>
    <w:rPr>
      <w:b/>
      <w:sz w:val="24"/>
    </w:rPr>
  </w:style>
  <w:style w:type="paragraph" w:customStyle="1" w:styleId="PBACHeading10">
    <w:name w:val="PBAC Heading 1"/>
    <w:basedOn w:val="ListParagraph"/>
    <w:qFormat/>
    <w:rsid w:val="00D266AF"/>
    <w:pPr>
      <w:widowControl/>
      <w:spacing w:before="240" w:after="120"/>
      <w:ind w:hanging="720"/>
    </w:pPr>
    <w:rPr>
      <w:rFonts w:ascii="Times New Roman" w:hAnsi="Times New Roman" w:cs="Times New Roman"/>
      <w:b/>
      <w:snapToGrid/>
      <w:sz w:val="24"/>
      <w:szCs w:val="22"/>
    </w:rPr>
  </w:style>
  <w:style w:type="character" w:styleId="IntenseReference">
    <w:name w:val="Intense Reference"/>
    <w:basedOn w:val="DefaultParagraphFont"/>
    <w:uiPriority w:val="32"/>
    <w:rsid w:val="00EC2372"/>
    <w:rPr>
      <w:b/>
      <w:bCs/>
      <w:smallCaps/>
      <w:color w:val="C0504D" w:themeColor="accent2"/>
      <w:spacing w:val="5"/>
      <w:u w:val="single"/>
    </w:rPr>
  </w:style>
  <w:style w:type="paragraph" w:customStyle="1" w:styleId="Table">
    <w:name w:val="Table"/>
    <w:basedOn w:val="Normal"/>
    <w:link w:val="TableChar"/>
    <w:qFormat/>
    <w:rsid w:val="00A70D78"/>
    <w:rPr>
      <w:rFonts w:eastAsiaTheme="majorEastAsia" w:cstheme="majorBidi"/>
      <w:sz w:val="20"/>
      <w:lang w:bidi="en-US"/>
    </w:rPr>
  </w:style>
  <w:style w:type="character" w:customStyle="1" w:styleId="TableChar">
    <w:name w:val="Table Char"/>
    <w:basedOn w:val="DefaultParagraphFont"/>
    <w:link w:val="Table"/>
    <w:locked/>
    <w:rsid w:val="00A70D78"/>
    <w:rPr>
      <w:rFonts w:ascii="Arial" w:eastAsiaTheme="majorEastAsia" w:hAnsi="Arial" w:cstheme="majorBidi"/>
      <w:snapToGrid w:val="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4575"/>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D270E0"/>
    <w:pPr>
      <w:tabs>
        <w:tab w:val="left" w:pos="880"/>
        <w:tab w:val="right" w:leader="dot" w:pos="9016"/>
      </w:tabs>
      <w:spacing w:before="120"/>
      <w:ind w:left="220"/>
      <w:jc w:val="left"/>
    </w:pPr>
    <w:rPr>
      <w:iCs/>
      <w:noProof/>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677297"/>
    <w:pPr>
      <w:numPr>
        <w:numId w:val="1"/>
      </w:numPr>
      <w:outlineLvl w:val="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180543"/>
    <w:rPr>
      <w:rFonts w:ascii="Arial" w:hAnsi="Arial" w:cs="Arial"/>
      <w:snapToGrid w:val="0"/>
      <w:sz w:val="22"/>
      <w:lang w:eastAsia="en-US"/>
    </w:rPr>
  </w:style>
  <w:style w:type="paragraph" w:styleId="DocumentMap">
    <w:name w:val="Document Map"/>
    <w:basedOn w:val="Normal"/>
    <w:link w:val="DocumentMapChar"/>
    <w:semiHidden/>
    <w:unhideWhenUsed/>
    <w:rsid w:val="00EB1275"/>
    <w:rPr>
      <w:rFonts w:ascii="Tahoma" w:hAnsi="Tahoma" w:cs="Tahoma"/>
      <w:sz w:val="16"/>
      <w:szCs w:val="16"/>
    </w:rPr>
  </w:style>
  <w:style w:type="character" w:customStyle="1" w:styleId="DocumentMapChar">
    <w:name w:val="Document Map Char"/>
    <w:basedOn w:val="DefaultParagraphFont"/>
    <w:link w:val="DocumentMap"/>
    <w:semiHidden/>
    <w:rsid w:val="00EB1275"/>
    <w:rPr>
      <w:rFonts w:ascii="Tahoma" w:hAnsi="Tahoma" w:cs="Tahoma"/>
      <w:snapToGrid w:val="0"/>
      <w:sz w:val="16"/>
      <w:szCs w:val="16"/>
      <w:lang w:eastAsia="en-US"/>
    </w:rPr>
  </w:style>
  <w:style w:type="character" w:customStyle="1" w:styleId="Heading1Char">
    <w:name w:val="Heading 1 Char"/>
    <w:basedOn w:val="DefaultParagraphFont"/>
    <w:link w:val="Heading1"/>
    <w:rsid w:val="008C173E"/>
    <w:rPr>
      <w:rFonts w:ascii="Arial Bold" w:hAnsi="Arial Bold" w:cs="Arial"/>
      <w:b/>
      <w:caps/>
      <w:snapToGrid w:val="0"/>
      <w:sz w:val="22"/>
      <w:lang w:eastAsia="en-US"/>
    </w:rPr>
  </w:style>
  <w:style w:type="table" w:customStyle="1" w:styleId="Summarybox1">
    <w:name w:val="Summary box1"/>
    <w:basedOn w:val="TableNormal"/>
    <w:uiPriority w:val="59"/>
    <w:rsid w:val="00D270E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ld">
    <w:name w:val="Small Bold"/>
    <w:basedOn w:val="DefaultParagraphFont"/>
    <w:uiPriority w:val="4"/>
    <w:qFormat/>
    <w:rsid w:val="00D270E0"/>
    <w:rPr>
      <w:rFonts w:ascii="Candara" w:hAnsi="Candara"/>
      <w:b/>
      <w:sz w:val="20"/>
      <w:lang w:val="en-AU"/>
    </w:rPr>
  </w:style>
  <w:style w:type="paragraph" w:customStyle="1" w:styleId="TableRight">
    <w:name w:val="Table Right"/>
    <w:basedOn w:val="Normal"/>
    <w:next w:val="Normal"/>
    <w:qFormat/>
    <w:rsid w:val="00DF52E9"/>
    <w:pPr>
      <w:widowControl/>
      <w:jc w:val="right"/>
    </w:pPr>
    <w:rPr>
      <w:rFonts w:ascii="Candara" w:eastAsiaTheme="majorEastAsia" w:hAnsi="Candara" w:cstheme="majorBidi"/>
      <w:snapToGrid/>
      <w:sz w:val="20"/>
      <w:szCs w:val="22"/>
      <w:lang w:bidi="en-US"/>
    </w:rPr>
  </w:style>
  <w:style w:type="character" w:customStyle="1" w:styleId="apple-converted-space">
    <w:name w:val="apple-converted-space"/>
    <w:basedOn w:val="DefaultParagraphFont"/>
    <w:rsid w:val="00425798"/>
  </w:style>
  <w:style w:type="paragraph" w:styleId="FootnoteText">
    <w:name w:val="footnote text"/>
    <w:basedOn w:val="Normal"/>
    <w:link w:val="FootnoteTextChar"/>
    <w:semiHidden/>
    <w:unhideWhenUsed/>
    <w:rsid w:val="00FE63C4"/>
    <w:rPr>
      <w:sz w:val="20"/>
    </w:rPr>
  </w:style>
  <w:style w:type="character" w:customStyle="1" w:styleId="FootnoteTextChar">
    <w:name w:val="Footnote Text Char"/>
    <w:basedOn w:val="DefaultParagraphFont"/>
    <w:link w:val="FootnoteText"/>
    <w:semiHidden/>
    <w:rsid w:val="00FE63C4"/>
    <w:rPr>
      <w:rFonts w:ascii="Arial" w:hAnsi="Arial" w:cs="Arial"/>
      <w:snapToGrid w:val="0"/>
      <w:lang w:eastAsia="en-US"/>
    </w:rPr>
  </w:style>
  <w:style w:type="character" w:styleId="FootnoteReference">
    <w:name w:val="footnote reference"/>
    <w:basedOn w:val="DefaultParagraphFont"/>
    <w:semiHidden/>
    <w:unhideWhenUsed/>
    <w:rsid w:val="00FE63C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63D50"/>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Normal"/>
    <w:link w:val="SubtitleChar"/>
    <w:uiPriority w:val="11"/>
    <w:qFormat/>
    <w:rsid w:val="005374C0"/>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5374C0"/>
    <w:rPr>
      <w:b/>
      <w:sz w:val="24"/>
    </w:rPr>
  </w:style>
  <w:style w:type="paragraph" w:customStyle="1" w:styleId="PBACHeading10">
    <w:name w:val="PBAC Heading 1"/>
    <w:basedOn w:val="ListParagraph"/>
    <w:qFormat/>
    <w:rsid w:val="00D266AF"/>
    <w:pPr>
      <w:widowControl/>
      <w:spacing w:before="240" w:after="120"/>
      <w:ind w:hanging="720"/>
    </w:pPr>
    <w:rPr>
      <w:rFonts w:ascii="Times New Roman" w:hAnsi="Times New Roman" w:cs="Times New Roman"/>
      <w:b/>
      <w:snapToGrid/>
      <w:sz w:val="24"/>
      <w:szCs w:val="22"/>
    </w:rPr>
  </w:style>
  <w:style w:type="character" w:styleId="IntenseReference">
    <w:name w:val="Intense Reference"/>
    <w:basedOn w:val="DefaultParagraphFont"/>
    <w:uiPriority w:val="32"/>
    <w:rsid w:val="00EC2372"/>
    <w:rPr>
      <w:b/>
      <w:bCs/>
      <w:smallCaps/>
      <w:color w:val="C0504D" w:themeColor="accent2"/>
      <w:spacing w:val="5"/>
      <w:u w:val="single"/>
    </w:rPr>
  </w:style>
  <w:style w:type="paragraph" w:customStyle="1" w:styleId="Table">
    <w:name w:val="Table"/>
    <w:basedOn w:val="Normal"/>
    <w:link w:val="TableChar"/>
    <w:qFormat/>
    <w:rsid w:val="00A70D78"/>
    <w:rPr>
      <w:rFonts w:eastAsiaTheme="majorEastAsia" w:cstheme="majorBidi"/>
      <w:sz w:val="20"/>
      <w:lang w:bidi="en-US"/>
    </w:rPr>
  </w:style>
  <w:style w:type="character" w:customStyle="1" w:styleId="TableChar">
    <w:name w:val="Table Char"/>
    <w:basedOn w:val="DefaultParagraphFont"/>
    <w:link w:val="Table"/>
    <w:locked/>
    <w:rsid w:val="00A70D78"/>
    <w:rPr>
      <w:rFonts w:ascii="Arial" w:eastAsiaTheme="majorEastAsia" w:hAnsi="Arial" w:cstheme="majorBidi"/>
      <w:snapToGrid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4403">
      <w:bodyDiv w:val="1"/>
      <w:marLeft w:val="0"/>
      <w:marRight w:val="0"/>
      <w:marTop w:val="0"/>
      <w:marBottom w:val="0"/>
      <w:divBdr>
        <w:top w:val="none" w:sz="0" w:space="0" w:color="auto"/>
        <w:left w:val="none" w:sz="0" w:space="0" w:color="auto"/>
        <w:bottom w:val="none" w:sz="0" w:space="0" w:color="auto"/>
        <w:right w:val="none" w:sz="0" w:space="0" w:color="auto"/>
      </w:divBdr>
    </w:div>
    <w:div w:id="862477047">
      <w:bodyDiv w:val="1"/>
      <w:marLeft w:val="0"/>
      <w:marRight w:val="0"/>
      <w:marTop w:val="0"/>
      <w:marBottom w:val="0"/>
      <w:divBdr>
        <w:top w:val="none" w:sz="0" w:space="0" w:color="auto"/>
        <w:left w:val="none" w:sz="0" w:space="0" w:color="auto"/>
        <w:bottom w:val="none" w:sz="0" w:space="0" w:color="auto"/>
        <w:right w:val="none" w:sz="0" w:space="0" w:color="auto"/>
      </w:divBdr>
    </w:div>
    <w:div w:id="1063409993">
      <w:bodyDiv w:val="1"/>
      <w:marLeft w:val="0"/>
      <w:marRight w:val="0"/>
      <w:marTop w:val="0"/>
      <w:marBottom w:val="0"/>
      <w:divBdr>
        <w:top w:val="none" w:sz="0" w:space="0" w:color="auto"/>
        <w:left w:val="none" w:sz="0" w:space="0" w:color="auto"/>
        <w:bottom w:val="none" w:sz="0" w:space="0" w:color="auto"/>
        <w:right w:val="none" w:sz="0" w:space="0" w:color="auto"/>
      </w:divBdr>
    </w:div>
    <w:div w:id="1096708692">
      <w:bodyDiv w:val="1"/>
      <w:marLeft w:val="0"/>
      <w:marRight w:val="0"/>
      <w:marTop w:val="0"/>
      <w:marBottom w:val="0"/>
      <w:divBdr>
        <w:top w:val="none" w:sz="0" w:space="0" w:color="auto"/>
        <w:left w:val="none" w:sz="0" w:space="0" w:color="auto"/>
        <w:bottom w:val="none" w:sz="0" w:space="0" w:color="auto"/>
        <w:right w:val="none" w:sz="0" w:space="0" w:color="auto"/>
      </w:divBdr>
    </w:div>
    <w:div w:id="1456438456">
      <w:bodyDiv w:val="1"/>
      <w:marLeft w:val="0"/>
      <w:marRight w:val="0"/>
      <w:marTop w:val="0"/>
      <w:marBottom w:val="0"/>
      <w:divBdr>
        <w:top w:val="none" w:sz="0" w:space="0" w:color="auto"/>
        <w:left w:val="none" w:sz="0" w:space="0" w:color="auto"/>
        <w:bottom w:val="none" w:sz="0" w:space="0" w:color="auto"/>
        <w:right w:val="none" w:sz="0" w:space="0" w:color="auto"/>
      </w:divBdr>
    </w:div>
    <w:div w:id="1483931944">
      <w:bodyDiv w:val="1"/>
      <w:marLeft w:val="0"/>
      <w:marRight w:val="0"/>
      <w:marTop w:val="0"/>
      <w:marBottom w:val="0"/>
      <w:divBdr>
        <w:top w:val="none" w:sz="0" w:space="0" w:color="auto"/>
        <w:left w:val="none" w:sz="0" w:space="0" w:color="auto"/>
        <w:bottom w:val="none" w:sz="0" w:space="0" w:color="auto"/>
        <w:right w:val="none" w:sz="0" w:space="0" w:color="auto"/>
      </w:divBdr>
    </w:div>
    <w:div w:id="1606419646">
      <w:bodyDiv w:val="1"/>
      <w:marLeft w:val="0"/>
      <w:marRight w:val="0"/>
      <w:marTop w:val="0"/>
      <w:marBottom w:val="0"/>
      <w:divBdr>
        <w:top w:val="none" w:sz="0" w:space="0" w:color="auto"/>
        <w:left w:val="none" w:sz="0" w:space="0" w:color="auto"/>
        <w:bottom w:val="none" w:sz="0" w:space="0" w:color="auto"/>
        <w:right w:val="none" w:sz="0" w:space="0" w:color="auto"/>
      </w:divBdr>
    </w:div>
    <w:div w:id="1981574613">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DF5B-7F69-4ED7-AC42-5345D9E9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8897</Words>
  <Characters>52904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2017-06-19T07:20:00Z</dcterms:created>
  <dcterms:modified xsi:type="dcterms:W3CDTF">2017-06-19T07:22:00Z</dcterms:modified>
</cp:coreProperties>
</file>