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Default="009F0AA7" w:rsidP="006D674A">
      <w:pPr>
        <w:pStyle w:val="Heading1"/>
        <w:jc w:val="left"/>
        <w:rPr>
          <w:sz w:val="28"/>
        </w:rPr>
      </w:pPr>
      <w:bookmarkStart w:id="0" w:name="_Toc471741258"/>
      <w:bookmarkStart w:id="1" w:name="_GoBack"/>
      <w:bookmarkEnd w:id="1"/>
      <w:r>
        <w:rPr>
          <w:sz w:val="28"/>
        </w:rPr>
        <w:t>5.04</w:t>
      </w:r>
      <w:r w:rsidR="00B60939" w:rsidRPr="00207D00">
        <w:rPr>
          <w:sz w:val="28"/>
        </w:rPr>
        <w:tab/>
      </w:r>
      <w:r w:rsidR="00303854">
        <w:rPr>
          <w:sz w:val="28"/>
        </w:rPr>
        <w:t>Migalastat</w:t>
      </w:r>
      <w:r w:rsidR="00B60939" w:rsidRPr="00207D00">
        <w:rPr>
          <w:sz w:val="28"/>
        </w:rPr>
        <w:t xml:space="preserve">, </w:t>
      </w:r>
      <w:r w:rsidR="0013439F">
        <w:rPr>
          <w:sz w:val="28"/>
        </w:rPr>
        <w:br/>
      </w:r>
      <w:r w:rsidR="00436E8B">
        <w:rPr>
          <w:sz w:val="28"/>
        </w:rPr>
        <w:t>C</w:t>
      </w:r>
      <w:r w:rsidR="00303854">
        <w:rPr>
          <w:caps w:val="0"/>
          <w:sz w:val="28"/>
        </w:rPr>
        <w:t>apsules</w:t>
      </w:r>
      <w:r w:rsidR="00B60939" w:rsidRPr="00207D00">
        <w:rPr>
          <w:sz w:val="28"/>
        </w:rPr>
        <w:t xml:space="preserve"> </w:t>
      </w:r>
      <w:r w:rsidR="00303854">
        <w:rPr>
          <w:caps w:val="0"/>
          <w:sz w:val="28"/>
        </w:rPr>
        <w:t>150 mg</w:t>
      </w:r>
      <w:r w:rsidR="00B60939" w:rsidRPr="00207D00">
        <w:rPr>
          <w:sz w:val="28"/>
        </w:rPr>
        <w:t>,</w:t>
      </w:r>
      <w:r w:rsidR="0013439F">
        <w:rPr>
          <w:sz w:val="28"/>
        </w:rPr>
        <w:t xml:space="preserve"> </w:t>
      </w:r>
      <w:r w:rsidR="0013439F">
        <w:rPr>
          <w:sz w:val="28"/>
        </w:rPr>
        <w:br/>
      </w:r>
      <w:r w:rsidR="00303854">
        <w:rPr>
          <w:caps w:val="0"/>
          <w:sz w:val="28"/>
        </w:rPr>
        <w:t>Galafold</w:t>
      </w:r>
      <w:r w:rsidR="00B60939" w:rsidRPr="00207D00">
        <w:rPr>
          <w:sz w:val="28"/>
          <w:vertAlign w:val="superscript"/>
        </w:rPr>
        <w:t>®</w:t>
      </w:r>
      <w:r w:rsidR="00B60939" w:rsidRPr="00207D00">
        <w:rPr>
          <w:sz w:val="28"/>
        </w:rPr>
        <w:t xml:space="preserve">, </w:t>
      </w:r>
      <w:r w:rsidR="00303854" w:rsidRPr="00303854">
        <w:rPr>
          <w:caps w:val="0"/>
          <w:sz w:val="28"/>
        </w:rPr>
        <w:t>A</w:t>
      </w:r>
      <w:r w:rsidR="00563335">
        <w:rPr>
          <w:caps w:val="0"/>
          <w:sz w:val="28"/>
        </w:rPr>
        <w:t>micus T</w:t>
      </w:r>
      <w:r w:rsidR="00303854">
        <w:rPr>
          <w:caps w:val="0"/>
          <w:sz w:val="28"/>
        </w:rPr>
        <w:t>herapeutics</w:t>
      </w:r>
      <w:r w:rsidR="00B60939" w:rsidRPr="00207D00">
        <w:rPr>
          <w:sz w:val="28"/>
        </w:rPr>
        <w:t>.</w:t>
      </w:r>
      <w:bookmarkEnd w:id="0"/>
    </w:p>
    <w:p w:rsidR="008D3136" w:rsidRDefault="008D3136" w:rsidP="008D3136"/>
    <w:p w:rsidR="0013439F" w:rsidRDefault="0013439F" w:rsidP="008D3136"/>
    <w:p w:rsidR="008D3136" w:rsidRPr="00407F2D" w:rsidRDefault="008D3136" w:rsidP="0013439F">
      <w:pPr>
        <w:pStyle w:val="PBACHeading1"/>
        <w:ind w:left="709" w:hanging="709"/>
        <w:outlineLvl w:val="0"/>
      </w:pPr>
      <w:bookmarkStart w:id="2" w:name="_Toc469328254"/>
      <w:bookmarkStart w:id="3" w:name="_Toc471741260"/>
      <w:r w:rsidRPr="00407F2D">
        <w:t>Purpose of Application</w:t>
      </w:r>
      <w:bookmarkEnd w:id="2"/>
      <w:bookmarkEnd w:id="3"/>
    </w:p>
    <w:p w:rsidR="008D3136" w:rsidRPr="00882085" w:rsidRDefault="008D3136" w:rsidP="008D3136">
      <w:pPr>
        <w:rPr>
          <w:szCs w:val="22"/>
        </w:rPr>
      </w:pPr>
    </w:p>
    <w:p w:rsidR="0013439F" w:rsidRPr="00C42A66" w:rsidRDefault="008D3136" w:rsidP="008D3136">
      <w:pPr>
        <w:pStyle w:val="ListParagraph"/>
        <w:widowControl/>
        <w:numPr>
          <w:ilvl w:val="1"/>
          <w:numId w:val="2"/>
        </w:numPr>
        <w:rPr>
          <w:szCs w:val="22"/>
        </w:rPr>
      </w:pPr>
      <w:r>
        <w:t>The submission requested a Section 100</w:t>
      </w:r>
      <w:r w:rsidRPr="004B3DDB">
        <w:t xml:space="preserve"> </w:t>
      </w:r>
      <w:r>
        <w:t xml:space="preserve">(Highly Specialised Drugs Program) </w:t>
      </w:r>
      <w:r w:rsidRPr="004B3DDB">
        <w:t>Authori</w:t>
      </w:r>
      <w:r>
        <w:t>ty Required</w:t>
      </w:r>
      <w:r w:rsidRPr="004B3DDB">
        <w:t xml:space="preserve"> listing</w:t>
      </w:r>
      <w:r>
        <w:t xml:space="preserve"> </w:t>
      </w:r>
      <w:r w:rsidRPr="004B3DDB">
        <w:t xml:space="preserve">for </w:t>
      </w:r>
      <w:r>
        <w:t xml:space="preserve">the </w:t>
      </w:r>
      <w:r w:rsidRPr="004B3DDB">
        <w:t xml:space="preserve">treatment of </w:t>
      </w:r>
      <w:r>
        <w:t xml:space="preserve">Fabry disease in patients aged 16 and over who have an amenable mutation. </w:t>
      </w:r>
      <w:r w:rsidRPr="0073204F">
        <w:t xml:space="preserve">Other drugs subsidised for treatment of Fabry disease are not listed on the PBS and are listed on the </w:t>
      </w:r>
      <w:r w:rsidR="00250225" w:rsidRPr="0073204F">
        <w:rPr>
          <w:iCs/>
        </w:rPr>
        <w:t>Life Saving Drugs Program (LSDP)</w:t>
      </w:r>
      <w:r w:rsidRPr="0073204F">
        <w:t xml:space="preserve">. </w:t>
      </w:r>
    </w:p>
    <w:p w:rsidR="00C42A66" w:rsidRPr="00C42A66" w:rsidRDefault="00C42A66" w:rsidP="00C42A66">
      <w:pPr>
        <w:pStyle w:val="ListParagraph"/>
        <w:widowControl/>
        <w:rPr>
          <w:szCs w:val="22"/>
        </w:rPr>
      </w:pPr>
    </w:p>
    <w:p w:rsidR="008D3136" w:rsidRPr="00407F2D" w:rsidRDefault="008D3136" w:rsidP="0013439F">
      <w:pPr>
        <w:pStyle w:val="PBACHeading1"/>
        <w:ind w:left="709" w:hanging="709"/>
        <w:outlineLvl w:val="0"/>
      </w:pPr>
      <w:bookmarkStart w:id="4" w:name="_Toc469328255"/>
      <w:bookmarkStart w:id="5" w:name="_Toc471741261"/>
      <w:r w:rsidRPr="00407F2D">
        <w:t>Requested listing</w:t>
      </w:r>
      <w:bookmarkEnd w:id="4"/>
      <w:bookmarkEnd w:id="5"/>
    </w:p>
    <w:p w:rsidR="008D3136" w:rsidRPr="007C609A" w:rsidRDefault="008D3136" w:rsidP="008D3136"/>
    <w:tbl>
      <w:tblPr>
        <w:tblW w:w="4604" w:type="pct"/>
        <w:tblInd w:w="737" w:type="dxa"/>
        <w:tblCellMar>
          <w:left w:w="28" w:type="dxa"/>
          <w:right w:w="28" w:type="dxa"/>
        </w:tblCellMar>
        <w:tblLook w:val="0000" w:firstRow="0" w:lastRow="0" w:firstColumn="0" w:lastColumn="0" w:noHBand="0" w:noVBand="0"/>
      </w:tblPr>
      <w:tblGrid>
        <w:gridCol w:w="3067"/>
        <w:gridCol w:w="660"/>
        <w:gridCol w:w="803"/>
        <w:gridCol w:w="1561"/>
        <w:gridCol w:w="994"/>
        <w:gridCol w:w="1278"/>
      </w:tblGrid>
      <w:tr w:rsidR="008D3136" w:rsidRPr="00436E8B" w:rsidTr="001E64BC">
        <w:trPr>
          <w:cantSplit/>
          <w:trHeight w:val="463"/>
        </w:trPr>
        <w:tc>
          <w:tcPr>
            <w:tcW w:w="1834" w:type="pct"/>
            <w:tcBorders>
              <w:bottom w:val="single" w:sz="4" w:space="0" w:color="auto"/>
            </w:tcBorders>
            <w:vAlign w:val="center"/>
          </w:tcPr>
          <w:p w:rsidR="008D3136" w:rsidRPr="00436E8B" w:rsidRDefault="008D3136" w:rsidP="001E64BC">
            <w:pPr>
              <w:keepNext/>
              <w:jc w:val="left"/>
              <w:rPr>
                <w:rFonts w:ascii="Arial Narrow" w:hAnsi="Arial Narrow"/>
                <w:szCs w:val="22"/>
              </w:rPr>
            </w:pPr>
            <w:r w:rsidRPr="00436E8B">
              <w:rPr>
                <w:rFonts w:ascii="Arial Narrow" w:hAnsi="Arial Narrow"/>
                <w:szCs w:val="22"/>
              </w:rPr>
              <w:t>Name, Restriction,</w:t>
            </w:r>
          </w:p>
          <w:p w:rsidR="008D3136" w:rsidRPr="00436E8B" w:rsidRDefault="008D3136" w:rsidP="001E64BC">
            <w:pPr>
              <w:keepNext/>
              <w:jc w:val="left"/>
              <w:rPr>
                <w:rFonts w:ascii="Arial Narrow" w:hAnsi="Arial Narrow"/>
                <w:szCs w:val="22"/>
              </w:rPr>
            </w:pPr>
            <w:r w:rsidRPr="00436E8B">
              <w:rPr>
                <w:rFonts w:ascii="Arial Narrow" w:hAnsi="Arial Narrow"/>
                <w:szCs w:val="22"/>
              </w:rPr>
              <w:t>Manner of administration and form</w:t>
            </w:r>
          </w:p>
        </w:tc>
        <w:tc>
          <w:tcPr>
            <w:tcW w:w="395" w:type="pct"/>
            <w:tcBorders>
              <w:bottom w:val="single" w:sz="4" w:space="0" w:color="auto"/>
            </w:tcBorders>
            <w:vAlign w:val="center"/>
          </w:tcPr>
          <w:p w:rsidR="008D3136" w:rsidRPr="00436E8B" w:rsidRDefault="008D3136" w:rsidP="001E64BC">
            <w:pPr>
              <w:keepNext/>
              <w:jc w:val="center"/>
              <w:rPr>
                <w:rFonts w:ascii="Arial Narrow" w:hAnsi="Arial Narrow"/>
                <w:szCs w:val="22"/>
              </w:rPr>
            </w:pPr>
            <w:r w:rsidRPr="00436E8B">
              <w:rPr>
                <w:rFonts w:ascii="Arial Narrow" w:hAnsi="Arial Narrow"/>
                <w:szCs w:val="22"/>
              </w:rPr>
              <w:t>Max.</w:t>
            </w:r>
          </w:p>
          <w:p w:rsidR="008D3136" w:rsidRPr="00436E8B" w:rsidRDefault="008D3136" w:rsidP="001E64BC">
            <w:pPr>
              <w:keepNext/>
              <w:jc w:val="center"/>
              <w:rPr>
                <w:rFonts w:ascii="Arial Narrow" w:hAnsi="Arial Narrow"/>
                <w:szCs w:val="22"/>
              </w:rPr>
            </w:pPr>
            <w:r w:rsidRPr="00436E8B">
              <w:rPr>
                <w:rFonts w:ascii="Arial Narrow" w:hAnsi="Arial Narrow"/>
                <w:szCs w:val="22"/>
              </w:rPr>
              <w:t>Qty</w:t>
            </w:r>
          </w:p>
        </w:tc>
        <w:tc>
          <w:tcPr>
            <w:tcW w:w="480" w:type="pct"/>
            <w:tcBorders>
              <w:bottom w:val="single" w:sz="4" w:space="0" w:color="auto"/>
            </w:tcBorders>
            <w:vAlign w:val="center"/>
          </w:tcPr>
          <w:p w:rsidR="008D3136" w:rsidRPr="00436E8B" w:rsidRDefault="008D3136" w:rsidP="001E64BC">
            <w:pPr>
              <w:keepNext/>
              <w:jc w:val="center"/>
              <w:rPr>
                <w:rFonts w:ascii="Arial Narrow" w:hAnsi="Arial Narrow"/>
                <w:szCs w:val="22"/>
              </w:rPr>
            </w:pPr>
            <w:r w:rsidRPr="00436E8B">
              <w:rPr>
                <w:rFonts w:ascii="Arial Narrow" w:hAnsi="Arial Narrow"/>
                <w:szCs w:val="22"/>
              </w:rPr>
              <w:t>№.of</w:t>
            </w:r>
          </w:p>
          <w:p w:rsidR="008D3136" w:rsidRPr="00436E8B" w:rsidRDefault="008D3136" w:rsidP="001E64BC">
            <w:pPr>
              <w:keepNext/>
              <w:jc w:val="center"/>
              <w:rPr>
                <w:rFonts w:ascii="Arial Narrow" w:hAnsi="Arial Narrow"/>
                <w:szCs w:val="22"/>
              </w:rPr>
            </w:pPr>
            <w:r w:rsidRPr="00436E8B">
              <w:rPr>
                <w:rFonts w:ascii="Arial Narrow" w:hAnsi="Arial Narrow"/>
                <w:szCs w:val="22"/>
              </w:rPr>
              <w:t>Rpts</w:t>
            </w:r>
          </w:p>
        </w:tc>
        <w:tc>
          <w:tcPr>
            <w:tcW w:w="933" w:type="pct"/>
            <w:tcBorders>
              <w:bottom w:val="single" w:sz="4" w:space="0" w:color="auto"/>
            </w:tcBorders>
            <w:vAlign w:val="center"/>
          </w:tcPr>
          <w:p w:rsidR="008D3136" w:rsidRPr="00436E8B" w:rsidRDefault="008D3136" w:rsidP="001E64BC">
            <w:pPr>
              <w:keepNext/>
              <w:jc w:val="center"/>
              <w:rPr>
                <w:rFonts w:ascii="Arial Narrow" w:hAnsi="Arial Narrow"/>
                <w:szCs w:val="22"/>
              </w:rPr>
            </w:pPr>
            <w:r w:rsidRPr="00436E8B">
              <w:rPr>
                <w:rFonts w:ascii="Arial Narrow" w:hAnsi="Arial Narrow"/>
                <w:szCs w:val="22"/>
              </w:rPr>
              <w:t>Dispensed Price for Max. Qty</w:t>
            </w:r>
          </w:p>
        </w:tc>
        <w:tc>
          <w:tcPr>
            <w:tcW w:w="1357" w:type="pct"/>
            <w:gridSpan w:val="2"/>
            <w:tcBorders>
              <w:bottom w:val="single" w:sz="4" w:space="0" w:color="auto"/>
            </w:tcBorders>
            <w:vAlign w:val="center"/>
          </w:tcPr>
          <w:p w:rsidR="008D3136" w:rsidRPr="00436E8B" w:rsidRDefault="008D3136" w:rsidP="001E64BC">
            <w:pPr>
              <w:keepNext/>
              <w:jc w:val="center"/>
              <w:rPr>
                <w:rFonts w:ascii="Arial Narrow" w:hAnsi="Arial Narrow"/>
                <w:szCs w:val="22"/>
                <w:lang w:val="fr-FR"/>
              </w:rPr>
            </w:pPr>
            <w:r w:rsidRPr="00436E8B">
              <w:rPr>
                <w:rFonts w:ascii="Arial Narrow" w:hAnsi="Arial Narrow"/>
                <w:szCs w:val="22"/>
              </w:rPr>
              <w:t>Proprietary Name and Manufacturer</w:t>
            </w:r>
          </w:p>
        </w:tc>
      </w:tr>
      <w:tr w:rsidR="008D3136" w:rsidRPr="00436E8B" w:rsidTr="001E64BC">
        <w:trPr>
          <w:cantSplit/>
          <w:trHeight w:val="567"/>
        </w:trPr>
        <w:tc>
          <w:tcPr>
            <w:tcW w:w="1834" w:type="pct"/>
            <w:vAlign w:val="center"/>
          </w:tcPr>
          <w:p w:rsidR="008D3136" w:rsidRPr="00436E8B" w:rsidRDefault="008D3136" w:rsidP="001E64BC">
            <w:pPr>
              <w:keepNext/>
              <w:jc w:val="left"/>
              <w:rPr>
                <w:rFonts w:ascii="Arial Narrow" w:hAnsi="Arial Narrow"/>
                <w:szCs w:val="22"/>
              </w:rPr>
            </w:pPr>
            <w:r w:rsidRPr="00436E8B">
              <w:rPr>
                <w:rFonts w:ascii="Arial Narrow" w:hAnsi="Arial Narrow"/>
                <w:smallCaps/>
                <w:szCs w:val="22"/>
              </w:rPr>
              <w:t>Migalastat</w:t>
            </w:r>
            <w:r w:rsidRPr="00436E8B">
              <w:rPr>
                <w:rFonts w:ascii="Arial Narrow" w:hAnsi="Arial Narrow"/>
                <w:smallCaps/>
                <w:szCs w:val="22"/>
              </w:rPr>
              <w:br/>
              <w:t xml:space="preserve"> capsules 150 mg</w:t>
            </w:r>
          </w:p>
        </w:tc>
        <w:tc>
          <w:tcPr>
            <w:tcW w:w="395" w:type="pct"/>
            <w:vAlign w:val="center"/>
          </w:tcPr>
          <w:p w:rsidR="008D3136" w:rsidRPr="00436E8B" w:rsidRDefault="008D3136" w:rsidP="001E64BC">
            <w:pPr>
              <w:keepNext/>
              <w:jc w:val="center"/>
              <w:rPr>
                <w:rFonts w:ascii="Arial Narrow" w:hAnsi="Arial Narrow"/>
                <w:szCs w:val="22"/>
              </w:rPr>
            </w:pPr>
          </w:p>
          <w:p w:rsidR="008D3136" w:rsidRPr="00436E8B" w:rsidRDefault="008D3136" w:rsidP="001E64BC">
            <w:pPr>
              <w:keepNext/>
              <w:jc w:val="center"/>
              <w:rPr>
                <w:rFonts w:ascii="Arial Narrow" w:hAnsi="Arial Narrow"/>
                <w:szCs w:val="22"/>
              </w:rPr>
            </w:pPr>
            <w:r w:rsidRPr="00436E8B">
              <w:rPr>
                <w:rFonts w:ascii="Arial Narrow" w:hAnsi="Arial Narrow"/>
                <w:szCs w:val="22"/>
              </w:rPr>
              <w:t>14</w:t>
            </w:r>
          </w:p>
        </w:tc>
        <w:tc>
          <w:tcPr>
            <w:tcW w:w="480" w:type="pct"/>
            <w:vAlign w:val="center"/>
          </w:tcPr>
          <w:p w:rsidR="008D3136" w:rsidRPr="00436E8B" w:rsidRDefault="008D3136" w:rsidP="001E64BC">
            <w:pPr>
              <w:keepNext/>
              <w:jc w:val="center"/>
              <w:rPr>
                <w:rFonts w:ascii="Arial Narrow" w:hAnsi="Arial Narrow"/>
                <w:szCs w:val="22"/>
              </w:rPr>
            </w:pPr>
          </w:p>
          <w:p w:rsidR="008D3136" w:rsidRPr="00436E8B" w:rsidRDefault="008D3136" w:rsidP="001E64BC">
            <w:pPr>
              <w:keepNext/>
              <w:jc w:val="center"/>
              <w:rPr>
                <w:rFonts w:ascii="Arial Narrow" w:hAnsi="Arial Narrow"/>
                <w:szCs w:val="22"/>
              </w:rPr>
            </w:pPr>
            <w:r w:rsidRPr="00436E8B">
              <w:rPr>
                <w:rFonts w:ascii="Arial Narrow" w:hAnsi="Arial Narrow"/>
                <w:szCs w:val="22"/>
              </w:rPr>
              <w:t>3</w:t>
            </w:r>
          </w:p>
        </w:tc>
        <w:tc>
          <w:tcPr>
            <w:tcW w:w="933" w:type="pct"/>
            <w:vAlign w:val="center"/>
          </w:tcPr>
          <w:p w:rsidR="008D3136" w:rsidRPr="00436E8B" w:rsidRDefault="008D3136" w:rsidP="001E64BC">
            <w:pPr>
              <w:keepNext/>
              <w:jc w:val="center"/>
              <w:rPr>
                <w:rFonts w:ascii="Arial Narrow" w:hAnsi="Arial Narrow"/>
                <w:szCs w:val="22"/>
              </w:rPr>
            </w:pPr>
            <w:r w:rsidRPr="00436E8B">
              <w:rPr>
                <w:rFonts w:ascii="Arial Narrow" w:hAnsi="Arial Narrow"/>
                <w:szCs w:val="22"/>
              </w:rPr>
              <w:br/>
              <w:t>$</w:t>
            </w:r>
            <w:r w:rsidR="000D3DF5">
              <w:rPr>
                <w:rFonts w:ascii="Arial Narrow" w:hAnsi="Arial Narrow"/>
                <w:noProof/>
                <w:color w:val="000000"/>
                <w:szCs w:val="22"/>
                <w:highlight w:val="black"/>
              </w:rPr>
              <w:t>'''''''''''''''''''''''</w:t>
            </w:r>
          </w:p>
        </w:tc>
        <w:tc>
          <w:tcPr>
            <w:tcW w:w="594" w:type="pct"/>
            <w:vAlign w:val="center"/>
          </w:tcPr>
          <w:p w:rsidR="008D3136" w:rsidRPr="00436E8B" w:rsidRDefault="008D3136" w:rsidP="001E64BC">
            <w:pPr>
              <w:jc w:val="center"/>
              <w:rPr>
                <w:rFonts w:ascii="Arial Narrow" w:hAnsi="Arial Narrow"/>
                <w:szCs w:val="22"/>
              </w:rPr>
            </w:pPr>
            <w:r w:rsidRPr="00436E8B">
              <w:rPr>
                <w:rFonts w:ascii="Arial Narrow" w:hAnsi="Arial Narrow"/>
                <w:szCs w:val="22"/>
              </w:rPr>
              <w:br/>
              <w:t>Galafold</w:t>
            </w:r>
            <w:r w:rsidRPr="00436E8B">
              <w:rPr>
                <w:rFonts w:ascii="Arial Narrow" w:hAnsi="Arial Narrow"/>
                <w:szCs w:val="22"/>
                <w:vertAlign w:val="superscript"/>
              </w:rPr>
              <w:t>®</w:t>
            </w:r>
          </w:p>
        </w:tc>
        <w:tc>
          <w:tcPr>
            <w:tcW w:w="763" w:type="pct"/>
            <w:vAlign w:val="center"/>
          </w:tcPr>
          <w:p w:rsidR="008D3136" w:rsidRPr="00436E8B" w:rsidRDefault="008D3136" w:rsidP="001E64BC">
            <w:pPr>
              <w:jc w:val="center"/>
              <w:rPr>
                <w:rFonts w:ascii="Arial Narrow" w:hAnsi="Arial Narrow"/>
                <w:szCs w:val="22"/>
              </w:rPr>
            </w:pPr>
            <w:r w:rsidRPr="00436E8B">
              <w:rPr>
                <w:rFonts w:ascii="Arial Narrow" w:hAnsi="Arial Narrow"/>
                <w:szCs w:val="22"/>
              </w:rPr>
              <w:t>Amicus Therapeutics</w:t>
            </w:r>
          </w:p>
        </w:tc>
      </w:tr>
      <w:tr w:rsidR="008D3136" w:rsidRPr="00436E8B" w:rsidTr="001E64BC">
        <w:trPr>
          <w:cantSplit/>
          <w:trHeight w:val="354"/>
        </w:trPr>
        <w:tc>
          <w:tcPr>
            <w:tcW w:w="5000" w:type="pct"/>
            <w:gridSpan w:val="6"/>
            <w:vAlign w:val="center"/>
          </w:tcPr>
          <w:p w:rsidR="008D3136" w:rsidRPr="00436E8B" w:rsidRDefault="008D3136" w:rsidP="001E64BC">
            <w:pPr>
              <w:jc w:val="left"/>
              <w:rPr>
                <w:rFonts w:ascii="Arial Narrow" w:hAnsi="Arial Narrow"/>
                <w:szCs w:val="22"/>
              </w:rPr>
            </w:pPr>
            <w:r w:rsidRPr="00436E8B">
              <w:rPr>
                <w:rFonts w:ascii="Arial Narrow" w:hAnsi="Arial Narrow"/>
                <w:b/>
                <w:szCs w:val="22"/>
                <w:u w:val="single"/>
              </w:rPr>
              <w:t>Section 100 (Highly Specialised Drugs Program) Authority required</w:t>
            </w:r>
            <w:r w:rsidRPr="00436E8B">
              <w:rPr>
                <w:rFonts w:ascii="Arial Narrow" w:hAnsi="Arial Narrow"/>
                <w:szCs w:val="22"/>
                <w:u w:val="single"/>
              </w:rPr>
              <w:t xml:space="preserve"> </w:t>
            </w:r>
          </w:p>
          <w:p w:rsidR="008D3136" w:rsidRPr="00436E8B" w:rsidRDefault="008D3136" w:rsidP="001E64BC">
            <w:pPr>
              <w:jc w:val="left"/>
              <w:rPr>
                <w:rFonts w:ascii="Arial Narrow" w:hAnsi="Arial Narrow"/>
                <w:szCs w:val="22"/>
              </w:rPr>
            </w:pPr>
            <w:r w:rsidRPr="00436E8B">
              <w:rPr>
                <w:rFonts w:ascii="Arial Narrow" w:hAnsi="Arial Narrow"/>
                <w:szCs w:val="22"/>
              </w:rPr>
              <w:t>Long-term treatment patients with a confirmed diagnosis of Fabry disease (α-galactosidase A deficiency) and who have an amenable mutation (see Galafold Amenability Table)</w:t>
            </w:r>
          </w:p>
        </w:tc>
      </w:tr>
    </w:tbl>
    <w:p w:rsidR="008D3136" w:rsidRPr="00882085" w:rsidRDefault="008D3136" w:rsidP="008D3136"/>
    <w:p w:rsidR="008D3136" w:rsidRPr="00E14B57" w:rsidRDefault="008D3136" w:rsidP="00B63C23">
      <w:pPr>
        <w:pStyle w:val="ListParagraph"/>
        <w:widowControl/>
        <w:numPr>
          <w:ilvl w:val="1"/>
          <w:numId w:val="2"/>
        </w:numPr>
      </w:pPr>
      <w:r w:rsidRPr="00E14B57">
        <w:t xml:space="preserve">The basis for listing is cost-minimisation against </w:t>
      </w:r>
      <w:r w:rsidR="00205CA4" w:rsidRPr="00E14B57">
        <w:t xml:space="preserve">the </w:t>
      </w:r>
      <w:r w:rsidRPr="00E14B57">
        <w:t>enzyme replacement therapies (ERT)</w:t>
      </w:r>
      <w:r w:rsidR="002F7E43">
        <w:t>,</w:t>
      </w:r>
      <w:r w:rsidRPr="00E14B57">
        <w:t xml:space="preserve"> agalsidase alfa and agalsidase beta. </w:t>
      </w:r>
    </w:p>
    <w:p w:rsidR="008D3136" w:rsidRPr="00E14B57" w:rsidRDefault="008D3136" w:rsidP="008D3136">
      <w:pPr>
        <w:pStyle w:val="ListParagraph"/>
        <w:widowControl/>
      </w:pPr>
    </w:p>
    <w:p w:rsidR="008D3136" w:rsidRPr="00E14B57" w:rsidRDefault="008D3136" w:rsidP="00B63C23">
      <w:pPr>
        <w:pStyle w:val="ListParagraph"/>
        <w:widowControl/>
        <w:numPr>
          <w:ilvl w:val="1"/>
          <w:numId w:val="2"/>
        </w:numPr>
      </w:pPr>
      <w:r w:rsidRPr="00E14B57">
        <w:t xml:space="preserve">The proposed listing for migalastat </w:t>
      </w:r>
      <w:r w:rsidR="008005F6" w:rsidRPr="00E14B57">
        <w:t xml:space="preserve">was based on the current </w:t>
      </w:r>
      <w:r w:rsidR="006A3847" w:rsidRPr="00E14B57">
        <w:t>eligibility requ</w:t>
      </w:r>
      <w:r w:rsidR="00B07735" w:rsidRPr="00E14B57">
        <w:t>i</w:t>
      </w:r>
      <w:r w:rsidR="006A3847" w:rsidRPr="00E14B57">
        <w:t xml:space="preserve">rements of the LSDP and </w:t>
      </w:r>
      <w:r w:rsidRPr="00E14B57">
        <w:t xml:space="preserve">is restricted to patients aged 16 years and older </w:t>
      </w:r>
      <w:r w:rsidR="00E54518" w:rsidRPr="00E14B57">
        <w:t xml:space="preserve">who </w:t>
      </w:r>
      <w:r w:rsidRPr="00E14B57">
        <w:t>have an amenable GLA mutation according to an online panel (Galafold Amenability Table).</w:t>
      </w:r>
      <w:r w:rsidR="00F27AAD" w:rsidRPr="00F27AAD">
        <w:rPr>
          <w:bCs/>
        </w:rPr>
        <w:t xml:space="preserve"> </w:t>
      </w:r>
      <w:r w:rsidR="00BA2238">
        <w:rPr>
          <w:bCs/>
        </w:rPr>
        <w:t xml:space="preserve">Sequencing of the GLA gene is </w:t>
      </w:r>
      <w:r w:rsidR="001A29D0">
        <w:rPr>
          <w:bCs/>
        </w:rPr>
        <w:t xml:space="preserve">routinely used </w:t>
      </w:r>
      <w:r w:rsidR="00BA2238">
        <w:rPr>
          <w:bCs/>
        </w:rPr>
        <w:t xml:space="preserve">to </w:t>
      </w:r>
      <w:r w:rsidR="001A29D0">
        <w:rPr>
          <w:bCs/>
        </w:rPr>
        <w:t>confirm</w:t>
      </w:r>
      <w:r w:rsidR="00BA2238">
        <w:rPr>
          <w:bCs/>
        </w:rPr>
        <w:t xml:space="preserve"> a genetic diagnosis of Fabry disease</w:t>
      </w:r>
      <w:r w:rsidR="00530744">
        <w:rPr>
          <w:bCs/>
        </w:rPr>
        <w:t xml:space="preserve">. There are </w:t>
      </w:r>
      <w:r w:rsidR="00BA2238">
        <w:rPr>
          <w:bCs/>
        </w:rPr>
        <w:t xml:space="preserve">hundreds of </w:t>
      </w:r>
      <w:r w:rsidR="00530744">
        <w:rPr>
          <w:bCs/>
        </w:rPr>
        <w:t xml:space="preserve">GLA </w:t>
      </w:r>
      <w:r w:rsidR="00BA2238">
        <w:rPr>
          <w:bCs/>
        </w:rPr>
        <w:t xml:space="preserve">mutations, </w:t>
      </w:r>
      <w:r w:rsidR="001A29D0">
        <w:rPr>
          <w:bCs/>
        </w:rPr>
        <w:t xml:space="preserve">but only 40% to 50% </w:t>
      </w:r>
      <w:r w:rsidR="00BA2238">
        <w:rPr>
          <w:bCs/>
        </w:rPr>
        <w:t xml:space="preserve">of </w:t>
      </w:r>
      <w:r w:rsidR="001A29D0">
        <w:rPr>
          <w:bCs/>
        </w:rPr>
        <w:t>these</w:t>
      </w:r>
      <w:r w:rsidR="00BA2238">
        <w:rPr>
          <w:bCs/>
        </w:rPr>
        <w:t xml:space="preserve"> result in expression which is </w:t>
      </w:r>
      <w:r w:rsidR="00530744">
        <w:rPr>
          <w:bCs/>
        </w:rPr>
        <w:t>affected by (</w:t>
      </w:r>
      <w:r w:rsidR="001A29D0">
        <w:rPr>
          <w:bCs/>
        </w:rPr>
        <w:t xml:space="preserve">i.e. </w:t>
      </w:r>
      <w:r w:rsidR="00530744">
        <w:rPr>
          <w:bCs/>
        </w:rPr>
        <w:t xml:space="preserve">amenable to) </w:t>
      </w:r>
      <w:r w:rsidR="00BA2238">
        <w:rPr>
          <w:bCs/>
        </w:rPr>
        <w:t xml:space="preserve">migalastat. </w:t>
      </w:r>
      <w:r w:rsidR="00F27AAD" w:rsidRPr="00E14B57">
        <w:rPr>
          <w:bCs/>
        </w:rPr>
        <w:t>The ESC noted that the patients in the clinical trials were 16 years and older, but patients may be diagnosed and treated earlier, so there is a risk of leakage to children with the proposed restriction.</w:t>
      </w:r>
      <w:r w:rsidRPr="00E14B57">
        <w:t xml:space="preserve"> </w:t>
      </w:r>
    </w:p>
    <w:p w:rsidR="008D3136" w:rsidRPr="00E14B57" w:rsidRDefault="008D3136" w:rsidP="008D3136">
      <w:pPr>
        <w:pStyle w:val="ListParagraph"/>
        <w:rPr>
          <w:bCs/>
        </w:rPr>
      </w:pPr>
    </w:p>
    <w:p w:rsidR="008D3136" w:rsidRDefault="00F27AAD" w:rsidP="00B63C23">
      <w:pPr>
        <w:pStyle w:val="ListParagraph"/>
        <w:widowControl/>
        <w:numPr>
          <w:ilvl w:val="1"/>
          <w:numId w:val="2"/>
        </w:numPr>
      </w:pPr>
      <w:r w:rsidRPr="00E14B57">
        <w:rPr>
          <w:bCs/>
        </w:rPr>
        <w:t xml:space="preserve">For patients </w:t>
      </w:r>
      <w:r w:rsidRPr="00E14B57">
        <w:t xml:space="preserve">harbouring mutations for which amenability cannot be judged using the online panel, </w:t>
      </w:r>
      <w:r w:rsidRPr="00E14B57">
        <w:rPr>
          <w:bCs/>
        </w:rPr>
        <w:t>access to migalastat is dependent on being diagnosed with an amenable GLA mutation using the GLP-HEK assay</w:t>
      </w:r>
      <w:r>
        <w:rPr>
          <w:bCs/>
        </w:rPr>
        <w:t xml:space="preserve"> (</w:t>
      </w:r>
      <w:r>
        <w:rPr>
          <w:lang w:eastAsia="en-AU"/>
        </w:rPr>
        <w:t>Galafold Amenability Assay)</w:t>
      </w:r>
      <w:r w:rsidRPr="00E14B57">
        <w:rPr>
          <w:bCs/>
        </w:rPr>
        <w:t>.</w:t>
      </w:r>
      <w:r>
        <w:rPr>
          <w:bCs/>
        </w:rPr>
        <w:t xml:space="preserve"> </w:t>
      </w:r>
      <w:r w:rsidR="008D3136" w:rsidRPr="00E14B57">
        <w:rPr>
          <w:bCs/>
        </w:rPr>
        <w:t xml:space="preserve">The GLP-HEK Assay is not listed on the MBS, and is a new test specific to migalastat that was developed alongside the migalastat trials. </w:t>
      </w:r>
      <w:r w:rsidR="00C85C5B" w:rsidRPr="00E14B57">
        <w:rPr>
          <w:bCs/>
        </w:rPr>
        <w:t xml:space="preserve">The ESC agreed that </w:t>
      </w:r>
      <w:r w:rsidR="00C85C5B" w:rsidRPr="00E14B57">
        <w:t xml:space="preserve">the PBAC </w:t>
      </w:r>
      <w:r w:rsidR="0073204F" w:rsidRPr="00E14B57">
        <w:t>sh</w:t>
      </w:r>
      <w:r w:rsidR="00C85C5B" w:rsidRPr="00E14B57">
        <w:t>ould c</w:t>
      </w:r>
      <w:r w:rsidR="008D3136" w:rsidRPr="00E14B57">
        <w:t>onsider</w:t>
      </w:r>
      <w:r w:rsidR="00B07735" w:rsidRPr="00E14B57">
        <w:t xml:space="preserve"> </w:t>
      </w:r>
      <w:r w:rsidR="008D3136" w:rsidRPr="00E14B57">
        <w:t>whether this drug-test combination fulfils the requirements for an application under the process for co-dependent technologies.</w:t>
      </w:r>
      <w:r w:rsidR="00440745" w:rsidRPr="00E14B57">
        <w:t xml:space="preserve"> </w:t>
      </w:r>
      <w:r w:rsidR="00EE7224" w:rsidRPr="00E14B57">
        <w:t xml:space="preserve">The FACETS and ATTRACT trials were based on a small sample size, and </w:t>
      </w:r>
      <w:r w:rsidR="00991F2A" w:rsidRPr="00E14B57">
        <w:t>25</w:t>
      </w:r>
      <w:r w:rsidR="00205285" w:rsidRPr="00E14B57">
        <w:t xml:space="preserve">% and </w:t>
      </w:r>
      <w:r w:rsidR="00991F2A" w:rsidRPr="00E14B57">
        <w:t>7</w:t>
      </w:r>
      <w:r w:rsidR="00205285" w:rsidRPr="00E14B57">
        <w:t xml:space="preserve">% </w:t>
      </w:r>
      <w:r w:rsidR="00EE7224" w:rsidRPr="00E14B57">
        <w:t>of the patients did not have an amenable mutation</w:t>
      </w:r>
      <w:r w:rsidR="00205285" w:rsidRPr="00E14B57">
        <w:t xml:space="preserve"> in each of the trials respectively</w:t>
      </w:r>
      <w:r w:rsidR="00EE7224" w:rsidRPr="00E14B57">
        <w:t xml:space="preserve">. The consequences of treating </w:t>
      </w:r>
      <w:r w:rsidR="00902C39" w:rsidRPr="00E14B57">
        <w:t xml:space="preserve">false-positive </w:t>
      </w:r>
      <w:r w:rsidR="00EE7224" w:rsidRPr="00E14B57">
        <w:t>patients with migalastat (</w:t>
      </w:r>
      <w:r w:rsidR="0096496D">
        <w:t xml:space="preserve">i.e. patients </w:t>
      </w:r>
      <w:r w:rsidR="00EE7224" w:rsidRPr="00E14B57">
        <w:t>either missing out on potential benefits</w:t>
      </w:r>
      <w:r w:rsidR="00B36008">
        <w:t>,</w:t>
      </w:r>
      <w:r w:rsidR="00EE7224" w:rsidRPr="00E14B57">
        <w:t xml:space="preserve"> if ERT would have been more </w:t>
      </w:r>
      <w:r w:rsidR="002F7E43" w:rsidRPr="00E14B57">
        <w:t>effective</w:t>
      </w:r>
      <w:r w:rsidR="0096496D">
        <w:t>,</w:t>
      </w:r>
      <w:r w:rsidR="00EE7224" w:rsidRPr="00E14B57">
        <w:t xml:space="preserve"> or experiencing harms) is </w:t>
      </w:r>
      <w:r w:rsidR="00B07735" w:rsidRPr="00E14B57">
        <w:t>unclear. The</w:t>
      </w:r>
      <w:r w:rsidR="00F40851" w:rsidRPr="00E14B57">
        <w:t xml:space="preserve"> PSCR  argued that ‘In the unlikely event that a non-amenable patient is treated with migalastat, it is likely that they would be identified through lack of response to therapy and would subsequently be switched to ERT. It should also be noted that patients with mutations that provide uncertain </w:t>
      </w:r>
      <w:r w:rsidR="00F40851" w:rsidRPr="00E14B57">
        <w:lastRenderedPageBreak/>
        <w:t xml:space="preserve">results would almost certainly be treated cautiously and would be unlikely to switch to migalastat.’ </w:t>
      </w:r>
      <w:r w:rsidR="00A3226F" w:rsidRPr="00E14B57">
        <w:t xml:space="preserve">The ESC noted that </w:t>
      </w:r>
      <w:r w:rsidR="006A3847" w:rsidRPr="00E14B57">
        <w:t>treatment of</w:t>
      </w:r>
      <w:r w:rsidR="00A3226F" w:rsidRPr="00E14B57">
        <w:t xml:space="preserve"> non-amenable patient</w:t>
      </w:r>
      <w:r w:rsidR="006A3847" w:rsidRPr="00E14B57">
        <w:t xml:space="preserve"> with migalastat</w:t>
      </w:r>
      <w:r w:rsidR="00A3226F" w:rsidRPr="00E14B57">
        <w:t xml:space="preserve"> delays access to effective treatments and would result in a</w:t>
      </w:r>
      <w:r w:rsidR="00AB7E4F" w:rsidRPr="00E14B57">
        <w:t>n</w:t>
      </w:r>
      <w:r w:rsidR="00A3226F" w:rsidRPr="00E14B57">
        <w:t xml:space="preserve"> increased cost to Government. </w:t>
      </w:r>
    </w:p>
    <w:p w:rsidR="00E14B57" w:rsidRDefault="00E14B57" w:rsidP="00E14B57">
      <w:pPr>
        <w:pStyle w:val="ListParagraph"/>
        <w:widowControl/>
      </w:pPr>
    </w:p>
    <w:p w:rsidR="00E14B57" w:rsidRPr="00E14B57" w:rsidRDefault="00E14B57" w:rsidP="00E14B57">
      <w:pPr>
        <w:ind w:firstLine="720"/>
        <w:rPr>
          <w:bCs/>
          <w:szCs w:val="22"/>
        </w:rPr>
      </w:pPr>
      <w:r w:rsidRPr="003233A4">
        <w:rPr>
          <w:bCs/>
          <w:i/>
          <w:szCs w:val="22"/>
        </w:rPr>
        <w:t>For more detail on PBAC’s view, see section 7 “PBAC outcome”</w:t>
      </w:r>
      <w:r w:rsidR="003233A4" w:rsidRPr="003233A4">
        <w:rPr>
          <w:bCs/>
          <w:i/>
          <w:szCs w:val="22"/>
        </w:rPr>
        <w:t>.</w:t>
      </w:r>
    </w:p>
    <w:p w:rsidR="008D3136" w:rsidRDefault="008D3136" w:rsidP="008D3136"/>
    <w:p w:rsidR="0013439F" w:rsidRPr="00E14B57" w:rsidRDefault="0013439F" w:rsidP="008D3136"/>
    <w:p w:rsidR="008D3136" w:rsidRDefault="008D3136" w:rsidP="0013439F">
      <w:pPr>
        <w:pStyle w:val="PBACHeading1"/>
        <w:ind w:left="709" w:hanging="709"/>
        <w:outlineLvl w:val="0"/>
      </w:pPr>
      <w:bookmarkStart w:id="6" w:name="_Toc469328256"/>
      <w:bookmarkStart w:id="7" w:name="_Toc471741262"/>
      <w:r w:rsidRPr="00407F2D">
        <w:t>Background</w:t>
      </w:r>
      <w:bookmarkEnd w:id="6"/>
      <w:bookmarkEnd w:id="7"/>
    </w:p>
    <w:p w:rsidR="008D3136" w:rsidRPr="00537AFB" w:rsidRDefault="008D3136" w:rsidP="008D3136"/>
    <w:p w:rsidR="008D3136" w:rsidRPr="00C42A66" w:rsidRDefault="001E54F5" w:rsidP="008D3136">
      <w:pPr>
        <w:pStyle w:val="ListParagraph"/>
        <w:widowControl/>
        <w:numPr>
          <w:ilvl w:val="1"/>
          <w:numId w:val="2"/>
        </w:numPr>
      </w:pPr>
      <w:r w:rsidRPr="003233A4">
        <w:rPr>
          <w:b/>
          <w:szCs w:val="22"/>
        </w:rPr>
        <w:t xml:space="preserve">TGA status at time of </w:t>
      </w:r>
      <w:r w:rsidR="00B36008" w:rsidRPr="003233A4">
        <w:rPr>
          <w:b/>
          <w:szCs w:val="22"/>
        </w:rPr>
        <w:t>PBAC consideration</w:t>
      </w:r>
      <w:r w:rsidRPr="003233A4">
        <w:rPr>
          <w:szCs w:val="22"/>
        </w:rPr>
        <w:t xml:space="preserve">: </w:t>
      </w:r>
      <w:r w:rsidR="008D3136" w:rsidRPr="003233A4">
        <w:rPr>
          <w:szCs w:val="22"/>
        </w:rPr>
        <w:t>The submission for migalastat hydrochloride capsules 150 mg (equivalent to migalastat 123 mg per capsule) was made under the Therapeutic Goods Administration (TGA)-PBAC Parallel Process. The TGA Delegate’s request for ACPM advice is expected in May</w:t>
      </w:r>
      <w:r w:rsidR="00B36008" w:rsidRPr="003233A4">
        <w:rPr>
          <w:szCs w:val="22"/>
        </w:rPr>
        <w:t> </w:t>
      </w:r>
      <w:r w:rsidR="008D3136" w:rsidRPr="003233A4">
        <w:rPr>
          <w:szCs w:val="22"/>
        </w:rPr>
        <w:t>2017, and it is proposed that this will be reviewed at the ACPM meeting on 2</w:t>
      </w:r>
      <w:r w:rsidR="00B36008" w:rsidRPr="003233A4">
        <w:rPr>
          <w:szCs w:val="22"/>
        </w:rPr>
        <w:t> </w:t>
      </w:r>
      <w:r w:rsidR="00C42A66">
        <w:rPr>
          <w:szCs w:val="22"/>
        </w:rPr>
        <w:t>June 2017.</w:t>
      </w:r>
    </w:p>
    <w:p w:rsidR="00C42A66" w:rsidRPr="00C42A66" w:rsidRDefault="00C42A66" w:rsidP="00C42A66">
      <w:pPr>
        <w:pStyle w:val="ListParagraph"/>
        <w:widowControl/>
      </w:pPr>
    </w:p>
    <w:p w:rsidR="008D3136" w:rsidRDefault="008D3136" w:rsidP="00B63C23">
      <w:pPr>
        <w:pStyle w:val="ListParagraph"/>
        <w:widowControl/>
        <w:numPr>
          <w:ilvl w:val="1"/>
          <w:numId w:val="2"/>
        </w:numPr>
      </w:pPr>
      <w:r w:rsidRPr="006E0216">
        <w:t xml:space="preserve">Migalastat has not been considered by the PBAC previously. </w:t>
      </w:r>
    </w:p>
    <w:p w:rsidR="00E14B57" w:rsidRDefault="00E14B57" w:rsidP="00E14B57">
      <w:pPr>
        <w:pStyle w:val="ListParagraph"/>
      </w:pPr>
    </w:p>
    <w:p w:rsidR="00E14B57" w:rsidRPr="00E14B57" w:rsidRDefault="00E14B57" w:rsidP="00E14B57">
      <w:pPr>
        <w:ind w:firstLine="720"/>
        <w:rPr>
          <w:bCs/>
          <w:szCs w:val="22"/>
        </w:rPr>
      </w:pPr>
      <w:r w:rsidRPr="00A66FA4">
        <w:rPr>
          <w:bCs/>
          <w:i/>
          <w:szCs w:val="22"/>
        </w:rPr>
        <w:t>For more detail on PBAC’s view, see section 7 “PBAC outcome”</w:t>
      </w:r>
      <w:r w:rsidR="002F7E43">
        <w:rPr>
          <w:bCs/>
          <w:i/>
          <w:szCs w:val="22"/>
        </w:rPr>
        <w:t>.</w:t>
      </w:r>
    </w:p>
    <w:p w:rsidR="008D3136" w:rsidRDefault="008D3136" w:rsidP="008D3136"/>
    <w:p w:rsidR="0013439F" w:rsidRPr="00882085" w:rsidRDefault="0013439F" w:rsidP="008D3136"/>
    <w:p w:rsidR="008D3136" w:rsidRPr="00407F2D" w:rsidRDefault="008D3136" w:rsidP="0013439F">
      <w:pPr>
        <w:pStyle w:val="PBACHeading1"/>
        <w:ind w:left="709" w:hanging="709"/>
        <w:outlineLvl w:val="0"/>
      </w:pPr>
      <w:bookmarkStart w:id="8" w:name="_Toc469328257"/>
      <w:bookmarkStart w:id="9" w:name="_Toc471741263"/>
      <w:r w:rsidRPr="00407F2D">
        <w:t>Clinical place for the proposed therapy</w:t>
      </w:r>
      <w:bookmarkEnd w:id="8"/>
      <w:bookmarkEnd w:id="9"/>
    </w:p>
    <w:p w:rsidR="008D3136" w:rsidRPr="002C2775" w:rsidRDefault="008D3136" w:rsidP="008D3136">
      <w:pPr>
        <w:widowControl/>
        <w:rPr>
          <w:szCs w:val="22"/>
        </w:rPr>
      </w:pPr>
    </w:p>
    <w:p w:rsidR="008D3136" w:rsidRPr="00E14B57" w:rsidRDefault="008D3136" w:rsidP="00B63C23">
      <w:pPr>
        <w:pStyle w:val="ListParagraph"/>
        <w:widowControl/>
        <w:numPr>
          <w:ilvl w:val="1"/>
          <w:numId w:val="2"/>
        </w:numPr>
        <w:rPr>
          <w:szCs w:val="22"/>
        </w:rPr>
      </w:pPr>
      <w:r w:rsidRPr="00E14B57">
        <w:t>The submission proposed migalastat as an alternative to ERT, agalsidase alfa and agalsidase beta for the treatment of Fabry disease in patients aged 16 and over with a</w:t>
      </w:r>
      <w:r w:rsidR="00E609F3" w:rsidRPr="00E14B57">
        <w:t xml:space="preserve"> migalastat </w:t>
      </w:r>
      <w:r w:rsidRPr="00E14B57">
        <w:t xml:space="preserve">amenable mutation. </w:t>
      </w:r>
    </w:p>
    <w:p w:rsidR="008D3136" w:rsidRPr="00E14B57" w:rsidRDefault="008D3136" w:rsidP="008D3136">
      <w:pPr>
        <w:pStyle w:val="ListParagraph"/>
      </w:pPr>
    </w:p>
    <w:p w:rsidR="008D3136" w:rsidRPr="00E14B57" w:rsidRDefault="008D3136" w:rsidP="00B63C23">
      <w:pPr>
        <w:pStyle w:val="ListParagraph"/>
        <w:widowControl/>
        <w:numPr>
          <w:ilvl w:val="1"/>
          <w:numId w:val="2"/>
        </w:numPr>
        <w:rPr>
          <w:szCs w:val="22"/>
        </w:rPr>
      </w:pPr>
      <w:r w:rsidRPr="00E14B57">
        <w:t xml:space="preserve">The submission requested listing in the first-line (treatment naïve patients) and second-line (treatment experienced or switch patients) settings. </w:t>
      </w:r>
    </w:p>
    <w:p w:rsidR="006C2986" w:rsidRPr="00E14B57" w:rsidRDefault="006C2986" w:rsidP="006C2986">
      <w:pPr>
        <w:widowControl/>
        <w:rPr>
          <w:szCs w:val="22"/>
        </w:rPr>
      </w:pPr>
    </w:p>
    <w:p w:rsidR="006C2986" w:rsidRPr="00E14B57" w:rsidRDefault="006C2986" w:rsidP="00B63C23">
      <w:pPr>
        <w:pStyle w:val="ListParagraph"/>
        <w:widowControl/>
        <w:numPr>
          <w:ilvl w:val="1"/>
          <w:numId w:val="2"/>
        </w:numPr>
        <w:rPr>
          <w:szCs w:val="22"/>
        </w:rPr>
      </w:pPr>
      <w:r w:rsidRPr="00E14B57">
        <w:rPr>
          <w:szCs w:val="22"/>
        </w:rPr>
        <w:t>Fabry disease is a rare, X-linked genetic disorder caused by a deficiency in the enzyme alpha-galactosidase A (α-Gal A). Deficiency of α-Gal A results in accumulation in the body of globotriaosylceramide (GB3 or GL-3) and other related glycosphingolipids. This can cause long-term complications in organs throughout the body including the kidneys, heart and brain.</w:t>
      </w:r>
    </w:p>
    <w:p w:rsidR="008D3136" w:rsidRPr="00E14B57" w:rsidRDefault="008D3136" w:rsidP="008D3136">
      <w:pPr>
        <w:pStyle w:val="ListParagraph"/>
      </w:pPr>
    </w:p>
    <w:p w:rsidR="007D3FCC" w:rsidRDefault="008D3136" w:rsidP="00B63C23">
      <w:pPr>
        <w:pStyle w:val="ListParagraph"/>
        <w:widowControl/>
        <w:numPr>
          <w:ilvl w:val="1"/>
          <w:numId w:val="2"/>
        </w:numPr>
        <w:rPr>
          <w:szCs w:val="22"/>
        </w:rPr>
      </w:pPr>
      <w:r w:rsidRPr="00E14B57">
        <w:t xml:space="preserve">Treatment for Fabry disease in Australia </w:t>
      </w:r>
      <w:r w:rsidR="0006650A" w:rsidRPr="00E14B57">
        <w:t>is</w:t>
      </w:r>
      <w:r w:rsidR="006C2986" w:rsidRPr="00E14B57">
        <w:t xml:space="preserve"> currently focused on correcting enzyme deficiencies through</w:t>
      </w:r>
      <w:r w:rsidRPr="00E14B57">
        <w:t xml:space="preserve"> ERT. </w:t>
      </w:r>
      <w:r w:rsidRPr="00E14B57">
        <w:rPr>
          <w:szCs w:val="22"/>
        </w:rPr>
        <w:t xml:space="preserve">Migalastat </w:t>
      </w:r>
      <w:r w:rsidR="006C2986" w:rsidRPr="00E14B57">
        <w:rPr>
          <w:szCs w:val="22"/>
        </w:rPr>
        <w:t>acts directly on α-Gal A to reduce GB3/GL-3 accumulation</w:t>
      </w:r>
      <w:r w:rsidR="002937BC" w:rsidRPr="00E14B57">
        <w:rPr>
          <w:szCs w:val="22"/>
        </w:rPr>
        <w:t xml:space="preserve"> as a “pharmacologic chaperone”</w:t>
      </w:r>
      <w:r w:rsidR="006C2986" w:rsidRPr="00E14B57">
        <w:rPr>
          <w:szCs w:val="22"/>
        </w:rPr>
        <w:t xml:space="preserve">, and </w:t>
      </w:r>
      <w:r w:rsidRPr="00E14B57">
        <w:rPr>
          <w:szCs w:val="22"/>
        </w:rPr>
        <w:t>is administered to patients orally once every other day</w:t>
      </w:r>
      <w:r w:rsidR="006C2986" w:rsidRPr="00E14B57">
        <w:rPr>
          <w:szCs w:val="22"/>
        </w:rPr>
        <w:t>.</w:t>
      </w:r>
      <w:r w:rsidRPr="00E14B57">
        <w:rPr>
          <w:szCs w:val="22"/>
        </w:rPr>
        <w:t xml:space="preserve"> ERT is administered via IV infusion once every fortnight. ERT can be used in patients younger than 16 years of age, and does not depend on amenability</w:t>
      </w:r>
      <w:r w:rsidR="00205285" w:rsidRPr="00E14B57">
        <w:rPr>
          <w:szCs w:val="22"/>
        </w:rPr>
        <w:t xml:space="preserve"> to a specific treatment</w:t>
      </w:r>
      <w:r w:rsidRPr="00E14B57">
        <w:rPr>
          <w:szCs w:val="22"/>
        </w:rPr>
        <w:t xml:space="preserve">. </w:t>
      </w:r>
    </w:p>
    <w:p w:rsidR="00E14B57" w:rsidRPr="00E14B57" w:rsidRDefault="00E14B57" w:rsidP="00E14B57">
      <w:pPr>
        <w:pStyle w:val="ListParagraph"/>
        <w:rPr>
          <w:szCs w:val="22"/>
        </w:rPr>
      </w:pPr>
    </w:p>
    <w:p w:rsidR="00E14B57" w:rsidRPr="00E14B57" w:rsidRDefault="00E14B57" w:rsidP="00E14B57">
      <w:pPr>
        <w:ind w:firstLine="720"/>
        <w:rPr>
          <w:bCs/>
          <w:szCs w:val="22"/>
        </w:rPr>
      </w:pPr>
      <w:r w:rsidRPr="00A66FA4">
        <w:rPr>
          <w:bCs/>
          <w:i/>
          <w:szCs w:val="22"/>
        </w:rPr>
        <w:t>For more detail on PBAC’s view, see section 7 “PBAC outcome”</w:t>
      </w:r>
    </w:p>
    <w:p w:rsidR="00A20171" w:rsidRDefault="00A20171">
      <w:pPr>
        <w:widowControl/>
        <w:jc w:val="left"/>
        <w:rPr>
          <w:szCs w:val="22"/>
        </w:rPr>
      </w:pPr>
    </w:p>
    <w:p w:rsidR="008D3136" w:rsidRPr="00882085" w:rsidRDefault="008D3136" w:rsidP="008D3136">
      <w:pPr>
        <w:pStyle w:val="Header"/>
        <w:rPr>
          <w:szCs w:val="22"/>
        </w:rPr>
      </w:pPr>
    </w:p>
    <w:p w:rsidR="008D3136" w:rsidRPr="0013439F" w:rsidRDefault="008D3136" w:rsidP="0013439F">
      <w:pPr>
        <w:pStyle w:val="PBACHeading1"/>
        <w:ind w:left="709" w:hanging="709"/>
        <w:outlineLvl w:val="0"/>
      </w:pPr>
      <w:r w:rsidRPr="00407F2D">
        <w:t>Comparator</w:t>
      </w:r>
    </w:p>
    <w:p w:rsidR="008D3136" w:rsidRPr="00882085" w:rsidRDefault="008D3136" w:rsidP="008D3136"/>
    <w:p w:rsidR="008D3136" w:rsidRPr="00E14B57" w:rsidRDefault="008D3136" w:rsidP="00B63C23">
      <w:pPr>
        <w:pStyle w:val="ListParagraph"/>
        <w:widowControl/>
        <w:numPr>
          <w:ilvl w:val="1"/>
          <w:numId w:val="2"/>
        </w:numPr>
        <w:rPr>
          <w:szCs w:val="22"/>
        </w:rPr>
      </w:pPr>
      <w:r w:rsidRPr="00E14B57">
        <w:t>The submission nominated ERTs, agalsidase alfa and aga</w:t>
      </w:r>
      <w:r w:rsidR="00B07735" w:rsidRPr="00E14B57">
        <w:t>l</w:t>
      </w:r>
      <w:r w:rsidRPr="00E14B57">
        <w:t xml:space="preserve">sidase beta as the main comparators. </w:t>
      </w:r>
      <w:r w:rsidR="00902C39" w:rsidRPr="00E14B57">
        <w:t>The ESC considered that this is</w:t>
      </w:r>
      <w:r w:rsidRPr="00E14B57">
        <w:t xml:space="preserve"> reasonable as ERTs (agalsidase alfa and agalsidase beta) are the treatments most likely to be replaced by migalastat.</w:t>
      </w:r>
    </w:p>
    <w:p w:rsidR="00E14B57" w:rsidRDefault="00E14B57" w:rsidP="00E14B57">
      <w:pPr>
        <w:pStyle w:val="ListParagraph"/>
        <w:widowControl/>
      </w:pPr>
    </w:p>
    <w:p w:rsidR="00E14B57" w:rsidRPr="003233A4" w:rsidRDefault="00E14B57" w:rsidP="00E14B57">
      <w:pPr>
        <w:ind w:firstLine="720"/>
        <w:rPr>
          <w:bCs/>
          <w:szCs w:val="22"/>
        </w:rPr>
      </w:pPr>
      <w:r w:rsidRPr="00A66FA4">
        <w:rPr>
          <w:bCs/>
          <w:i/>
          <w:szCs w:val="22"/>
        </w:rPr>
        <w:t xml:space="preserve">For </w:t>
      </w:r>
      <w:r w:rsidRPr="003233A4">
        <w:rPr>
          <w:bCs/>
          <w:i/>
          <w:szCs w:val="22"/>
        </w:rPr>
        <w:t>more detail on PBAC’s view, see section 7 “PBAC outcome”</w:t>
      </w:r>
    </w:p>
    <w:p w:rsidR="008D3136" w:rsidRPr="003233A4" w:rsidRDefault="008D3136" w:rsidP="008D3136">
      <w:pPr>
        <w:rPr>
          <w:szCs w:val="22"/>
        </w:rPr>
      </w:pPr>
    </w:p>
    <w:p w:rsidR="008D3136" w:rsidRPr="003233A4" w:rsidRDefault="008D3136" w:rsidP="0013439F">
      <w:pPr>
        <w:pStyle w:val="PBACHeading1"/>
        <w:ind w:left="709" w:hanging="709"/>
        <w:outlineLvl w:val="0"/>
      </w:pPr>
      <w:bookmarkStart w:id="10" w:name="_Toc469328258"/>
      <w:bookmarkStart w:id="11" w:name="_Toc471741264"/>
      <w:r w:rsidRPr="003233A4">
        <w:t>Consideration of the evidence</w:t>
      </w:r>
      <w:bookmarkEnd w:id="10"/>
      <w:bookmarkEnd w:id="11"/>
    </w:p>
    <w:p w:rsidR="00E14B57" w:rsidRPr="003233A4" w:rsidRDefault="00E14B57" w:rsidP="00E14B57">
      <w:pPr>
        <w:pStyle w:val="PBACHeading1"/>
        <w:numPr>
          <w:ilvl w:val="0"/>
          <w:numId w:val="0"/>
        </w:numPr>
      </w:pPr>
    </w:p>
    <w:p w:rsidR="00E14B57" w:rsidRPr="002F7E43" w:rsidRDefault="00E14B57" w:rsidP="00E14B57">
      <w:pPr>
        <w:rPr>
          <w:b/>
          <w:bCs/>
          <w:i/>
          <w:szCs w:val="22"/>
        </w:rPr>
      </w:pPr>
      <w:r w:rsidRPr="003233A4">
        <w:rPr>
          <w:b/>
          <w:bCs/>
          <w:i/>
          <w:szCs w:val="22"/>
        </w:rPr>
        <w:t>Sponsor hearing</w:t>
      </w:r>
    </w:p>
    <w:p w:rsidR="00E14B57" w:rsidRPr="003233A4" w:rsidRDefault="00E14B57" w:rsidP="00E14B57">
      <w:pPr>
        <w:rPr>
          <w:bCs/>
          <w:szCs w:val="22"/>
        </w:rPr>
      </w:pPr>
    </w:p>
    <w:p w:rsidR="00E14B57" w:rsidRPr="003233A4" w:rsidRDefault="00E14B57" w:rsidP="00B63C23">
      <w:pPr>
        <w:widowControl/>
        <w:numPr>
          <w:ilvl w:val="1"/>
          <w:numId w:val="2"/>
        </w:numPr>
        <w:jc w:val="left"/>
        <w:rPr>
          <w:bCs/>
          <w:szCs w:val="22"/>
        </w:rPr>
      </w:pPr>
      <w:r w:rsidRPr="003233A4">
        <w:rPr>
          <w:bCs/>
          <w:szCs w:val="22"/>
        </w:rPr>
        <w:t>There was no hearing for this item.</w:t>
      </w:r>
    </w:p>
    <w:p w:rsidR="00E14B57" w:rsidRPr="003233A4" w:rsidRDefault="00E14B57" w:rsidP="00E14B57">
      <w:pPr>
        <w:rPr>
          <w:bCs/>
          <w:szCs w:val="22"/>
        </w:rPr>
      </w:pPr>
    </w:p>
    <w:p w:rsidR="00E14B57" w:rsidRPr="003233A4" w:rsidRDefault="00E14B57" w:rsidP="00E14B57">
      <w:pPr>
        <w:rPr>
          <w:b/>
          <w:bCs/>
          <w:i/>
          <w:szCs w:val="22"/>
        </w:rPr>
      </w:pPr>
      <w:r w:rsidRPr="003233A4">
        <w:rPr>
          <w:b/>
          <w:bCs/>
          <w:i/>
          <w:szCs w:val="22"/>
        </w:rPr>
        <w:t>Consumer comments</w:t>
      </w:r>
    </w:p>
    <w:p w:rsidR="00E14B57" w:rsidRPr="003233A4" w:rsidRDefault="00E14B57" w:rsidP="00E14B57">
      <w:pPr>
        <w:rPr>
          <w:bCs/>
          <w:szCs w:val="22"/>
        </w:rPr>
      </w:pPr>
    </w:p>
    <w:p w:rsidR="00E14B57" w:rsidRPr="003233A4" w:rsidRDefault="00E14B57" w:rsidP="00B63C23">
      <w:pPr>
        <w:widowControl/>
        <w:numPr>
          <w:ilvl w:val="1"/>
          <w:numId w:val="2"/>
        </w:numPr>
        <w:jc w:val="left"/>
        <w:rPr>
          <w:bCs/>
          <w:szCs w:val="22"/>
        </w:rPr>
      </w:pPr>
      <w:r w:rsidRPr="003233A4">
        <w:rPr>
          <w:bCs/>
          <w:szCs w:val="22"/>
        </w:rPr>
        <w:t>The PBAC noted that no consumer comments were received for this item.</w:t>
      </w:r>
    </w:p>
    <w:p w:rsidR="008D3136" w:rsidRPr="00882085" w:rsidRDefault="008D3136" w:rsidP="008D3136"/>
    <w:p w:rsidR="008D3136" w:rsidRPr="00E14B57" w:rsidRDefault="008D3136" w:rsidP="008D3136">
      <w:pPr>
        <w:pStyle w:val="Non-numberedheading2italics"/>
      </w:pPr>
      <w:bookmarkStart w:id="12" w:name="_Toc468203314"/>
      <w:bookmarkStart w:id="13" w:name="_Toc469328259"/>
      <w:bookmarkStart w:id="14" w:name="_Toc471741265"/>
      <w:r w:rsidRPr="00E14B57">
        <w:t>Clinical trials</w:t>
      </w:r>
      <w:bookmarkEnd w:id="12"/>
      <w:bookmarkEnd w:id="13"/>
      <w:bookmarkEnd w:id="14"/>
    </w:p>
    <w:p w:rsidR="008D3136" w:rsidRPr="00882085" w:rsidRDefault="008D3136" w:rsidP="008D3136">
      <w:pPr>
        <w:rPr>
          <w:szCs w:val="22"/>
        </w:rPr>
      </w:pPr>
    </w:p>
    <w:p w:rsidR="008D3136" w:rsidRPr="00E14B57" w:rsidRDefault="008D3136" w:rsidP="00B63C23">
      <w:pPr>
        <w:pStyle w:val="ListParagraph"/>
        <w:widowControl/>
        <w:numPr>
          <w:ilvl w:val="1"/>
          <w:numId w:val="2"/>
        </w:numPr>
        <w:rPr>
          <w:szCs w:val="22"/>
        </w:rPr>
      </w:pPr>
      <w:r w:rsidRPr="00E14B57">
        <w:t xml:space="preserve">The submission is based on one head-to-head trial (ATTRACT) comparing migalastat to ERT (ITT, n=60; mITT amenable, n=52) in treatment-experienced patients, and one head-to-head trial (FACETS) comparing migalastat to placebo (ITT, n=67; mITT amenable, n=50) in treatment-naïve patients. A qualitative indirect comparison of migalastat and ERT using placebo as the common comparator in treatment-naïve </w:t>
      </w:r>
      <w:r w:rsidR="0006650A" w:rsidRPr="00E14B57">
        <w:t xml:space="preserve">patients </w:t>
      </w:r>
      <w:r w:rsidRPr="00E14B57">
        <w:t xml:space="preserve">was also presented as supportive evidence. </w:t>
      </w:r>
    </w:p>
    <w:p w:rsidR="008D3136" w:rsidRPr="00E14B57" w:rsidRDefault="008D3136" w:rsidP="008D3136">
      <w:pPr>
        <w:widowControl/>
        <w:rPr>
          <w:szCs w:val="22"/>
        </w:rPr>
      </w:pPr>
    </w:p>
    <w:p w:rsidR="00C42A66" w:rsidRPr="00C42A66" w:rsidRDefault="008D3136" w:rsidP="00C42A66">
      <w:pPr>
        <w:pStyle w:val="ListParagraph"/>
        <w:widowControl/>
        <w:numPr>
          <w:ilvl w:val="1"/>
          <w:numId w:val="2"/>
        </w:numPr>
        <w:rPr>
          <w:rFonts w:ascii="Arial Narrow" w:hAnsi="Arial Narrow"/>
          <w:b/>
          <w:sz w:val="20"/>
          <w:szCs w:val="16"/>
        </w:rPr>
      </w:pPr>
      <w:r w:rsidRPr="00E14B57">
        <w:rPr>
          <w:szCs w:val="22"/>
        </w:rPr>
        <w:t>Details of the pivotal trials presented in the submission are provided in the table below</w:t>
      </w:r>
    </w:p>
    <w:p w:rsidR="00C42A66" w:rsidRDefault="00C42A66" w:rsidP="00C42A66">
      <w:pPr>
        <w:pStyle w:val="ListParagraph"/>
        <w:rPr>
          <w:rStyle w:val="CommentReference"/>
        </w:rPr>
      </w:pPr>
    </w:p>
    <w:p w:rsidR="008D3136" w:rsidRDefault="008D3136" w:rsidP="00C42A66">
      <w:pPr>
        <w:pStyle w:val="ListParagraph"/>
        <w:widowControl/>
        <w:rPr>
          <w:rStyle w:val="CommentReference"/>
        </w:rPr>
      </w:pPr>
      <w:r w:rsidRPr="000812CA">
        <w:rPr>
          <w:rStyle w:val="CommentReference"/>
        </w:rPr>
        <w:t xml:space="preserve">Table </w:t>
      </w:r>
      <w:r>
        <w:rPr>
          <w:rStyle w:val="CommentReference"/>
        </w:rPr>
        <w:t>1</w:t>
      </w:r>
      <w:r w:rsidRPr="000812CA">
        <w:rPr>
          <w:rStyle w:val="CommentReference"/>
        </w:rPr>
        <w:t>: Trials and associated reports presented in the submission</w:t>
      </w:r>
    </w:p>
    <w:tbl>
      <w:tblPr>
        <w:tblW w:w="4591" w:type="pct"/>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 Trials and associated reports presented in the submission"/>
      </w:tblPr>
      <w:tblGrid>
        <w:gridCol w:w="1129"/>
        <w:gridCol w:w="4822"/>
        <w:gridCol w:w="2388"/>
      </w:tblGrid>
      <w:tr w:rsidR="008D3136" w:rsidRPr="004E2ADC" w:rsidTr="001E64BC">
        <w:trPr>
          <w:tblHeader/>
        </w:trPr>
        <w:tc>
          <w:tcPr>
            <w:tcW w:w="677" w:type="pct"/>
          </w:tcPr>
          <w:p w:rsidR="008D3136" w:rsidRPr="004E2ADC" w:rsidRDefault="008D3136" w:rsidP="001E64BC">
            <w:pPr>
              <w:jc w:val="left"/>
              <w:rPr>
                <w:rFonts w:ascii="Arial Narrow" w:hAnsi="Arial Narrow"/>
                <w:b/>
                <w:sz w:val="20"/>
              </w:rPr>
            </w:pPr>
            <w:r w:rsidRPr="004E2ADC">
              <w:rPr>
                <w:rFonts w:ascii="Arial Narrow" w:hAnsi="Arial Narrow"/>
                <w:b/>
                <w:sz w:val="20"/>
              </w:rPr>
              <w:t>Trial ID</w:t>
            </w:r>
          </w:p>
        </w:tc>
        <w:tc>
          <w:tcPr>
            <w:tcW w:w="2891" w:type="pct"/>
          </w:tcPr>
          <w:p w:rsidR="008D3136" w:rsidRPr="004E2ADC" w:rsidRDefault="008D3136" w:rsidP="001E64BC">
            <w:pPr>
              <w:jc w:val="center"/>
              <w:rPr>
                <w:rFonts w:ascii="Arial Narrow" w:hAnsi="Arial Narrow"/>
                <w:b/>
                <w:sz w:val="20"/>
              </w:rPr>
            </w:pPr>
            <w:r w:rsidRPr="004E2ADC">
              <w:rPr>
                <w:rFonts w:ascii="Arial Narrow" w:hAnsi="Arial Narrow"/>
                <w:b/>
                <w:sz w:val="20"/>
              </w:rPr>
              <w:t>Protocol title/ Publication title</w:t>
            </w:r>
          </w:p>
        </w:tc>
        <w:tc>
          <w:tcPr>
            <w:tcW w:w="1432" w:type="pct"/>
          </w:tcPr>
          <w:p w:rsidR="008D3136" w:rsidRPr="004E2ADC" w:rsidRDefault="008D3136" w:rsidP="001E64BC">
            <w:pPr>
              <w:jc w:val="center"/>
              <w:rPr>
                <w:rFonts w:ascii="Arial Narrow" w:hAnsi="Arial Narrow"/>
                <w:b/>
                <w:sz w:val="20"/>
              </w:rPr>
            </w:pPr>
            <w:r w:rsidRPr="004E2ADC">
              <w:rPr>
                <w:rFonts w:ascii="Arial Narrow" w:hAnsi="Arial Narrow"/>
                <w:b/>
                <w:sz w:val="20"/>
              </w:rPr>
              <w:t>Publication citation</w:t>
            </w:r>
          </w:p>
        </w:tc>
      </w:tr>
      <w:tr w:rsidR="008D3136" w:rsidRPr="004E2ADC" w:rsidTr="001E64BC">
        <w:tc>
          <w:tcPr>
            <w:tcW w:w="5000" w:type="pct"/>
            <w:gridSpan w:val="3"/>
          </w:tcPr>
          <w:p w:rsidR="008D3136" w:rsidRPr="004E2ADC" w:rsidRDefault="008D3136" w:rsidP="001E64BC">
            <w:pPr>
              <w:jc w:val="left"/>
              <w:rPr>
                <w:rFonts w:ascii="Arial Narrow" w:hAnsi="Arial Narrow"/>
                <w:b/>
                <w:sz w:val="20"/>
              </w:rPr>
            </w:pPr>
            <w:r>
              <w:rPr>
                <w:rFonts w:ascii="Arial Narrow" w:hAnsi="Arial Narrow"/>
                <w:b/>
                <w:sz w:val="20"/>
              </w:rPr>
              <w:t>Migalastat vs ERT</w:t>
            </w:r>
          </w:p>
        </w:tc>
      </w:tr>
      <w:tr w:rsidR="008D3136" w:rsidRPr="004E2ADC" w:rsidTr="001E64BC">
        <w:tc>
          <w:tcPr>
            <w:tcW w:w="677" w:type="pct"/>
            <w:tcBorders>
              <w:bottom w:val="nil"/>
            </w:tcBorders>
          </w:tcPr>
          <w:p w:rsidR="008D3136" w:rsidRPr="004E2ADC" w:rsidRDefault="008D3136" w:rsidP="001E64BC">
            <w:pPr>
              <w:jc w:val="left"/>
              <w:rPr>
                <w:rFonts w:ascii="Arial Narrow" w:hAnsi="Arial Narrow"/>
                <w:sz w:val="20"/>
              </w:rPr>
            </w:pPr>
            <w:r>
              <w:rPr>
                <w:rFonts w:ascii="Arial Narrow" w:hAnsi="Arial Narrow"/>
                <w:sz w:val="20"/>
              </w:rPr>
              <w:t>ATTRACT</w:t>
            </w:r>
          </w:p>
        </w:tc>
        <w:tc>
          <w:tcPr>
            <w:tcW w:w="2891" w:type="pct"/>
          </w:tcPr>
          <w:p w:rsidR="008D3136" w:rsidRPr="00FF5B11" w:rsidRDefault="008D3136" w:rsidP="001E64BC">
            <w:pPr>
              <w:jc w:val="left"/>
              <w:rPr>
                <w:rFonts w:ascii="Arial Narrow" w:hAnsi="Arial Narrow"/>
                <w:sz w:val="20"/>
              </w:rPr>
            </w:pPr>
            <w:r>
              <w:rPr>
                <w:rFonts w:ascii="Arial Narrow" w:hAnsi="Arial Narrow"/>
                <w:sz w:val="20"/>
              </w:rPr>
              <w:t xml:space="preserve">Amicus Therapeutics. </w:t>
            </w:r>
            <w:r w:rsidRPr="00FF5B11">
              <w:rPr>
                <w:rFonts w:ascii="Arial Narrow" w:hAnsi="Arial Narrow"/>
                <w:sz w:val="20"/>
              </w:rPr>
              <w:t xml:space="preserve">A Randomized, Open-Label Study to Compare the Efficacy and Safety of AT1001 and Enzyme Replacement Therapy (ERT) in Patients with Fabry Disease and AT1001-Responsive GLA Mutations, Who Were Previously Treated with ERT </w:t>
            </w:r>
          </w:p>
        </w:tc>
        <w:tc>
          <w:tcPr>
            <w:tcW w:w="1432" w:type="pct"/>
          </w:tcPr>
          <w:p w:rsidR="008D3136" w:rsidRPr="00780C44" w:rsidRDefault="008D3136" w:rsidP="001E64BC">
            <w:pPr>
              <w:jc w:val="left"/>
              <w:rPr>
                <w:rFonts w:ascii="Arial Narrow" w:hAnsi="Arial Narrow"/>
                <w:sz w:val="20"/>
              </w:rPr>
            </w:pPr>
            <w:r>
              <w:rPr>
                <w:rFonts w:ascii="Arial Narrow" w:hAnsi="Arial Narrow"/>
                <w:sz w:val="20"/>
              </w:rPr>
              <w:t>Interim clinical study report. 18-month, 09 March 2015</w:t>
            </w:r>
          </w:p>
        </w:tc>
      </w:tr>
      <w:tr w:rsidR="008D3136" w:rsidRPr="004E2ADC" w:rsidTr="001E64BC">
        <w:tc>
          <w:tcPr>
            <w:tcW w:w="677" w:type="pct"/>
            <w:tcBorders>
              <w:top w:val="nil"/>
              <w:bottom w:val="nil"/>
            </w:tcBorders>
          </w:tcPr>
          <w:p w:rsidR="008D3136" w:rsidRPr="004E2ADC" w:rsidRDefault="008D3136" w:rsidP="001E64BC">
            <w:pPr>
              <w:jc w:val="left"/>
              <w:rPr>
                <w:rFonts w:ascii="Arial Narrow" w:hAnsi="Arial Narrow"/>
                <w:sz w:val="20"/>
              </w:rPr>
            </w:pPr>
          </w:p>
        </w:tc>
        <w:tc>
          <w:tcPr>
            <w:tcW w:w="2891" w:type="pct"/>
          </w:tcPr>
          <w:p w:rsidR="008D3136" w:rsidRPr="00FF5B11" w:rsidRDefault="008D3136" w:rsidP="001E64BC">
            <w:pPr>
              <w:jc w:val="left"/>
              <w:rPr>
                <w:rFonts w:ascii="Arial Narrow" w:hAnsi="Arial Narrow"/>
                <w:sz w:val="20"/>
              </w:rPr>
            </w:pPr>
            <w:r>
              <w:rPr>
                <w:rFonts w:ascii="Arial Narrow" w:hAnsi="Arial Narrow"/>
                <w:sz w:val="20"/>
              </w:rPr>
              <w:t xml:space="preserve">Amicus Therapeutics. </w:t>
            </w:r>
            <w:r w:rsidRPr="00FF5B11">
              <w:rPr>
                <w:rFonts w:ascii="Arial Narrow" w:hAnsi="Arial Narrow"/>
                <w:sz w:val="20"/>
              </w:rPr>
              <w:t xml:space="preserve">A Randomized, Open-Label Study to Compare the Efficacy and Safety of AT1001 and Enzyme Replacement Therapy (ERT) in Patients with Fabry Disease and AT1001-Responsive GLA Mutations, Who Were Previously Treated with ERT </w:t>
            </w:r>
          </w:p>
        </w:tc>
        <w:tc>
          <w:tcPr>
            <w:tcW w:w="1432" w:type="pct"/>
          </w:tcPr>
          <w:p w:rsidR="008D3136" w:rsidRPr="00313B2F" w:rsidRDefault="008D3136" w:rsidP="001E64BC">
            <w:pPr>
              <w:jc w:val="left"/>
            </w:pPr>
            <w:r>
              <w:rPr>
                <w:rFonts w:ascii="Arial Narrow" w:hAnsi="Arial Narrow"/>
                <w:sz w:val="20"/>
              </w:rPr>
              <w:t>Clinical study report. 30-month, 31 March 2016</w:t>
            </w:r>
          </w:p>
        </w:tc>
      </w:tr>
      <w:tr w:rsidR="008D3136" w:rsidRPr="004E2ADC" w:rsidTr="001E64BC">
        <w:tc>
          <w:tcPr>
            <w:tcW w:w="677" w:type="pct"/>
            <w:tcBorders>
              <w:top w:val="nil"/>
              <w:bottom w:val="nil"/>
            </w:tcBorders>
          </w:tcPr>
          <w:p w:rsidR="008D3136" w:rsidRPr="004E2ADC" w:rsidRDefault="008D3136" w:rsidP="001E64BC">
            <w:pPr>
              <w:jc w:val="left"/>
              <w:rPr>
                <w:rFonts w:ascii="Arial Narrow" w:hAnsi="Arial Narrow"/>
                <w:sz w:val="20"/>
              </w:rPr>
            </w:pPr>
          </w:p>
        </w:tc>
        <w:tc>
          <w:tcPr>
            <w:tcW w:w="2891" w:type="pct"/>
          </w:tcPr>
          <w:p w:rsidR="008D3136" w:rsidRPr="00B86027" w:rsidRDefault="008D3136" w:rsidP="001E64BC">
            <w:pPr>
              <w:jc w:val="left"/>
              <w:rPr>
                <w:rFonts w:ascii="Arial Narrow" w:hAnsi="Arial Narrow"/>
                <w:sz w:val="20"/>
                <w:highlight w:val="green"/>
              </w:rPr>
            </w:pPr>
            <w:r w:rsidRPr="00F8133E">
              <w:rPr>
                <w:rFonts w:ascii="Arial Narrow" w:hAnsi="Arial Narrow"/>
                <w:sz w:val="20"/>
              </w:rPr>
              <w:t xml:space="preserve">Hughes D et al. Oral Pharmacological Chaperone Migalastat compared with enzyme replacement therapy in Fabry disease:18 month results from the randomised Phase 3 ATTRACT study. </w:t>
            </w:r>
          </w:p>
        </w:tc>
        <w:tc>
          <w:tcPr>
            <w:tcW w:w="1432" w:type="pct"/>
          </w:tcPr>
          <w:p w:rsidR="008D3136" w:rsidRPr="00635041" w:rsidRDefault="008D3136" w:rsidP="007506A6">
            <w:pPr>
              <w:jc w:val="left"/>
              <w:rPr>
                <w:rFonts w:ascii="Arial Narrow" w:hAnsi="Arial Narrow"/>
                <w:b/>
                <w:i/>
                <w:sz w:val="20"/>
              </w:rPr>
            </w:pPr>
            <w:r w:rsidRPr="00635041">
              <w:rPr>
                <w:rFonts w:ascii="Arial Narrow" w:hAnsi="Arial Narrow"/>
                <w:i/>
                <w:sz w:val="20"/>
              </w:rPr>
              <w:t>J Med Genet</w:t>
            </w:r>
            <w:r w:rsidRPr="00635041">
              <w:rPr>
                <w:rFonts w:ascii="Arial Narrow" w:hAnsi="Arial Narrow"/>
                <w:sz w:val="20"/>
              </w:rPr>
              <w:t xml:space="preserve">. </w:t>
            </w:r>
            <w:r w:rsidR="007506A6">
              <w:rPr>
                <w:rFonts w:ascii="Arial Narrow" w:hAnsi="Arial Narrow"/>
                <w:sz w:val="20"/>
              </w:rPr>
              <w:t xml:space="preserve"> 2016 </w:t>
            </w:r>
            <w:r w:rsidR="00250225" w:rsidRPr="00250225">
              <w:rPr>
                <w:rFonts w:ascii="Arial Narrow" w:hAnsi="Arial Narrow"/>
                <w:sz w:val="20"/>
              </w:rPr>
              <w:t>(</w:t>
            </w:r>
            <w:r w:rsidR="00250225" w:rsidRPr="00250225">
              <w:rPr>
                <w:rStyle w:val="slug-doi2"/>
                <w:rFonts w:ascii="Arial Narrow" w:hAnsi="Arial Narrow"/>
                <w:color w:val="333300"/>
                <w:sz w:val="20"/>
                <w:lang w:val="en"/>
              </w:rPr>
              <w:t>doi:10.1136/jmedgenet-2016-104178)</w:t>
            </w:r>
            <w:r w:rsidRPr="00635041">
              <w:rPr>
                <w:rFonts w:ascii="Arial Narrow" w:hAnsi="Arial Narrow"/>
                <w:sz w:val="20"/>
              </w:rPr>
              <w:br/>
            </w:r>
          </w:p>
        </w:tc>
      </w:tr>
      <w:tr w:rsidR="008D3136" w:rsidRPr="004E2ADC" w:rsidTr="001E64BC">
        <w:tc>
          <w:tcPr>
            <w:tcW w:w="677" w:type="pct"/>
            <w:tcBorders>
              <w:top w:val="nil"/>
              <w:bottom w:val="nil"/>
            </w:tcBorders>
          </w:tcPr>
          <w:p w:rsidR="008D3136" w:rsidRPr="004E2ADC" w:rsidRDefault="008D3136" w:rsidP="001E64BC">
            <w:pPr>
              <w:jc w:val="left"/>
              <w:rPr>
                <w:rFonts w:ascii="Arial Narrow" w:hAnsi="Arial Narrow"/>
                <w:sz w:val="20"/>
              </w:rPr>
            </w:pPr>
          </w:p>
        </w:tc>
        <w:tc>
          <w:tcPr>
            <w:tcW w:w="2891" w:type="pct"/>
          </w:tcPr>
          <w:p w:rsidR="008D3136" w:rsidRPr="00F8133E" w:rsidRDefault="008D3136" w:rsidP="001E64BC">
            <w:pPr>
              <w:jc w:val="left"/>
              <w:rPr>
                <w:rFonts w:ascii="Arial Narrow" w:hAnsi="Arial Narrow"/>
                <w:sz w:val="20"/>
              </w:rPr>
            </w:pPr>
          </w:p>
        </w:tc>
        <w:tc>
          <w:tcPr>
            <w:tcW w:w="1432" w:type="pct"/>
          </w:tcPr>
          <w:p w:rsidR="008D3136" w:rsidRPr="00635041" w:rsidRDefault="008D3136" w:rsidP="00F87227">
            <w:pPr>
              <w:jc w:val="left"/>
              <w:rPr>
                <w:rFonts w:ascii="Arial Narrow" w:hAnsi="Arial Narrow"/>
                <w:sz w:val="20"/>
              </w:rPr>
            </w:pPr>
          </w:p>
        </w:tc>
      </w:tr>
      <w:tr w:rsidR="008D3136" w:rsidRPr="004E2ADC" w:rsidTr="001E64BC">
        <w:tc>
          <w:tcPr>
            <w:tcW w:w="677" w:type="pct"/>
            <w:tcBorders>
              <w:top w:val="nil"/>
              <w:bottom w:val="nil"/>
            </w:tcBorders>
          </w:tcPr>
          <w:p w:rsidR="008D3136" w:rsidRPr="004E2ADC" w:rsidRDefault="008D3136" w:rsidP="001E64BC">
            <w:pPr>
              <w:jc w:val="left"/>
              <w:rPr>
                <w:rFonts w:ascii="Arial Narrow" w:hAnsi="Arial Narrow"/>
                <w:sz w:val="20"/>
              </w:rPr>
            </w:pPr>
          </w:p>
        </w:tc>
        <w:tc>
          <w:tcPr>
            <w:tcW w:w="2891" w:type="pct"/>
          </w:tcPr>
          <w:p w:rsidR="008D3136" w:rsidRPr="00B86027" w:rsidRDefault="008D3136" w:rsidP="001E64BC">
            <w:pPr>
              <w:jc w:val="left"/>
              <w:rPr>
                <w:rFonts w:ascii="Arial Narrow" w:hAnsi="Arial Narrow"/>
                <w:sz w:val="20"/>
                <w:highlight w:val="green"/>
              </w:rPr>
            </w:pPr>
            <w:r w:rsidRPr="007D0AED">
              <w:rPr>
                <w:rFonts w:ascii="Arial Narrow" w:hAnsi="Arial Narrow"/>
                <w:sz w:val="20"/>
              </w:rPr>
              <w:t>Hughes D, et al. Long-term efficacy and safety of migalastat compared to enzyme replacement therapy in Fabry disease: Phase 3 study results. 2015</w:t>
            </w:r>
          </w:p>
        </w:tc>
        <w:tc>
          <w:tcPr>
            <w:tcW w:w="1432" w:type="pct"/>
          </w:tcPr>
          <w:p w:rsidR="008D3136" w:rsidRPr="00721198" w:rsidRDefault="008D3136" w:rsidP="001E64BC">
            <w:pPr>
              <w:jc w:val="left"/>
              <w:rPr>
                <w:rFonts w:ascii="Arial Narrow" w:hAnsi="Arial Narrow"/>
                <w:sz w:val="20"/>
              </w:rPr>
            </w:pPr>
            <w:r w:rsidRPr="00721198">
              <w:rPr>
                <w:rFonts w:ascii="Arial Narrow" w:hAnsi="Arial Narrow"/>
                <w:i/>
                <w:sz w:val="20"/>
              </w:rPr>
              <w:t xml:space="preserve">Molecular Genetics and Metabolism </w:t>
            </w:r>
            <w:r w:rsidRPr="00721198">
              <w:rPr>
                <w:rFonts w:ascii="Arial Narrow" w:hAnsi="Arial Narrow"/>
                <w:sz w:val="20"/>
              </w:rPr>
              <w:t>2015,</w:t>
            </w:r>
            <w:r w:rsidRPr="00721198">
              <w:rPr>
                <w:rFonts w:ascii="Arial Narrow" w:hAnsi="Arial Narrow"/>
                <w:i/>
                <w:sz w:val="20"/>
              </w:rPr>
              <w:t xml:space="preserve"> </w:t>
            </w:r>
            <w:r w:rsidRPr="00721198">
              <w:rPr>
                <w:rFonts w:ascii="Arial Narrow" w:hAnsi="Arial Narrow"/>
                <w:sz w:val="20"/>
              </w:rPr>
              <w:t xml:space="preserve">114 (2): S57. </w:t>
            </w:r>
            <w:r w:rsidRPr="00721198">
              <w:rPr>
                <w:rFonts w:ascii="Arial Narrow" w:hAnsi="Arial Narrow"/>
                <w:i/>
                <w:sz w:val="20"/>
              </w:rPr>
              <w:t>[Abstract only]</w:t>
            </w:r>
          </w:p>
        </w:tc>
      </w:tr>
      <w:tr w:rsidR="008D3136" w:rsidRPr="004E2ADC" w:rsidTr="001E64BC">
        <w:tc>
          <w:tcPr>
            <w:tcW w:w="5000" w:type="pct"/>
            <w:gridSpan w:val="3"/>
          </w:tcPr>
          <w:p w:rsidR="008D3136" w:rsidRPr="004E2ADC" w:rsidRDefault="008D3136" w:rsidP="001E64BC">
            <w:pPr>
              <w:jc w:val="left"/>
              <w:rPr>
                <w:rFonts w:ascii="Arial Narrow" w:hAnsi="Arial Narrow"/>
                <w:b/>
                <w:sz w:val="20"/>
              </w:rPr>
            </w:pPr>
            <w:r>
              <w:rPr>
                <w:rFonts w:ascii="Arial Narrow" w:hAnsi="Arial Narrow"/>
                <w:b/>
                <w:sz w:val="20"/>
              </w:rPr>
              <w:t>Migalastat vs placebo</w:t>
            </w:r>
          </w:p>
        </w:tc>
      </w:tr>
      <w:tr w:rsidR="008D3136" w:rsidRPr="004E2ADC" w:rsidTr="001E64BC">
        <w:tc>
          <w:tcPr>
            <w:tcW w:w="677" w:type="pct"/>
            <w:tcBorders>
              <w:bottom w:val="nil"/>
            </w:tcBorders>
          </w:tcPr>
          <w:p w:rsidR="008D3136" w:rsidRPr="004E2ADC" w:rsidRDefault="008D3136" w:rsidP="001E64BC">
            <w:pPr>
              <w:jc w:val="left"/>
              <w:rPr>
                <w:rFonts w:ascii="Arial Narrow" w:hAnsi="Arial Narrow"/>
                <w:sz w:val="20"/>
              </w:rPr>
            </w:pPr>
            <w:r>
              <w:rPr>
                <w:rFonts w:ascii="Arial Narrow" w:hAnsi="Arial Narrow"/>
                <w:sz w:val="20"/>
              </w:rPr>
              <w:t>FACETS</w:t>
            </w:r>
          </w:p>
        </w:tc>
        <w:tc>
          <w:tcPr>
            <w:tcW w:w="2891" w:type="pct"/>
          </w:tcPr>
          <w:p w:rsidR="008D3136" w:rsidRPr="00B86027" w:rsidRDefault="008D3136" w:rsidP="001E64BC">
            <w:pPr>
              <w:jc w:val="left"/>
              <w:rPr>
                <w:rFonts w:ascii="Arial Narrow" w:hAnsi="Arial Narrow"/>
                <w:sz w:val="20"/>
              </w:rPr>
            </w:pPr>
            <w:r>
              <w:rPr>
                <w:rFonts w:ascii="Arial Narrow" w:hAnsi="Arial Narrow"/>
                <w:sz w:val="20"/>
              </w:rPr>
              <w:t xml:space="preserve">Amicus Therapeutics. </w:t>
            </w:r>
            <w:r w:rsidRPr="00B86027">
              <w:rPr>
                <w:rFonts w:ascii="Arial Narrow" w:hAnsi="Arial Narrow"/>
                <w:sz w:val="20"/>
              </w:rPr>
              <w:t>A Double-Blind, Randomized, Placebo-Controlled Study to Evaluate the Efficacy, Safety, and Pharmacodynamics of AT1001 in Patients with Fabry Disease and AT1001-Responsive GLA Mutations</w:t>
            </w:r>
          </w:p>
        </w:tc>
        <w:tc>
          <w:tcPr>
            <w:tcW w:w="1432" w:type="pct"/>
          </w:tcPr>
          <w:p w:rsidR="008D3136" w:rsidRPr="004E2ADC" w:rsidRDefault="008D3136" w:rsidP="001E64BC">
            <w:pPr>
              <w:jc w:val="left"/>
              <w:rPr>
                <w:rFonts w:ascii="Arial Narrow" w:hAnsi="Arial Narrow"/>
                <w:b/>
                <w:sz w:val="20"/>
              </w:rPr>
            </w:pPr>
            <w:r>
              <w:rPr>
                <w:rFonts w:ascii="Arial Narrow" w:hAnsi="Arial Narrow"/>
                <w:sz w:val="20"/>
              </w:rPr>
              <w:t>Clinical study report. 18-month, 14 January 2015</w:t>
            </w:r>
          </w:p>
        </w:tc>
      </w:tr>
      <w:tr w:rsidR="008D3136" w:rsidRPr="004E2ADC" w:rsidTr="001E64BC">
        <w:tc>
          <w:tcPr>
            <w:tcW w:w="677" w:type="pct"/>
            <w:tcBorders>
              <w:top w:val="nil"/>
              <w:bottom w:val="nil"/>
            </w:tcBorders>
          </w:tcPr>
          <w:p w:rsidR="008D3136" w:rsidRPr="004E2ADC" w:rsidRDefault="008D3136" w:rsidP="001E64BC">
            <w:pPr>
              <w:jc w:val="left"/>
              <w:rPr>
                <w:rFonts w:ascii="Arial Narrow" w:hAnsi="Arial Narrow"/>
                <w:sz w:val="20"/>
              </w:rPr>
            </w:pPr>
          </w:p>
        </w:tc>
        <w:tc>
          <w:tcPr>
            <w:tcW w:w="2891" w:type="pct"/>
          </w:tcPr>
          <w:p w:rsidR="008D3136" w:rsidRPr="00B86027" w:rsidRDefault="008D3136" w:rsidP="001E64BC">
            <w:pPr>
              <w:jc w:val="left"/>
              <w:rPr>
                <w:rFonts w:ascii="Arial Narrow" w:hAnsi="Arial Narrow"/>
                <w:sz w:val="20"/>
              </w:rPr>
            </w:pPr>
            <w:r w:rsidRPr="00B86027">
              <w:rPr>
                <w:rFonts w:ascii="Arial Narrow" w:hAnsi="Arial Narrow"/>
                <w:sz w:val="20"/>
              </w:rPr>
              <w:t xml:space="preserve">Germain, D. P., Hughes, D. A., Nicholls, K., Bichet, D. G., Giugliani, R., Wilcox, W. R.,... &amp; Bratkovic, D. (2016). Treatment of Fabry’s disease with the pharmacologic chaperone migalastat. </w:t>
            </w:r>
          </w:p>
        </w:tc>
        <w:tc>
          <w:tcPr>
            <w:tcW w:w="1432" w:type="pct"/>
          </w:tcPr>
          <w:p w:rsidR="008D3136" w:rsidRPr="00BC1662" w:rsidRDefault="008D3136" w:rsidP="00644811">
            <w:pPr>
              <w:jc w:val="left"/>
              <w:rPr>
                <w:rFonts w:ascii="Arial Narrow" w:hAnsi="Arial Narrow"/>
                <w:sz w:val="20"/>
              </w:rPr>
            </w:pPr>
            <w:r w:rsidRPr="004C5877">
              <w:rPr>
                <w:rFonts w:ascii="Arial Narrow" w:hAnsi="Arial Narrow"/>
                <w:i/>
                <w:sz w:val="20"/>
              </w:rPr>
              <w:t xml:space="preserve">New England Journal of Medicine, </w:t>
            </w:r>
            <w:r w:rsidRPr="004C5877">
              <w:rPr>
                <w:rFonts w:ascii="Arial Narrow" w:hAnsi="Arial Narrow"/>
                <w:sz w:val="20"/>
              </w:rPr>
              <w:t>2016,</w:t>
            </w:r>
            <w:r>
              <w:rPr>
                <w:rFonts w:ascii="Arial Narrow" w:hAnsi="Arial Narrow"/>
                <w:i/>
                <w:sz w:val="20"/>
              </w:rPr>
              <w:t xml:space="preserve"> </w:t>
            </w:r>
            <w:r w:rsidRPr="00B86027">
              <w:rPr>
                <w:rFonts w:ascii="Arial Narrow" w:hAnsi="Arial Narrow"/>
                <w:sz w:val="20"/>
              </w:rPr>
              <w:t>375(6), 545-555</w:t>
            </w:r>
            <w:r>
              <w:rPr>
                <w:rFonts w:ascii="Arial Narrow" w:hAnsi="Arial Narrow"/>
                <w:sz w:val="20"/>
              </w:rPr>
              <w:t xml:space="preserve"> </w:t>
            </w:r>
          </w:p>
        </w:tc>
      </w:tr>
      <w:tr w:rsidR="008D3136" w:rsidRPr="004E2ADC" w:rsidTr="001E64BC">
        <w:tc>
          <w:tcPr>
            <w:tcW w:w="677" w:type="pct"/>
            <w:tcBorders>
              <w:top w:val="nil"/>
              <w:bottom w:val="nil"/>
            </w:tcBorders>
          </w:tcPr>
          <w:p w:rsidR="008D3136" w:rsidRPr="004E2ADC" w:rsidRDefault="008D3136" w:rsidP="001E64BC">
            <w:pPr>
              <w:jc w:val="left"/>
              <w:rPr>
                <w:rFonts w:ascii="Arial Narrow" w:hAnsi="Arial Narrow"/>
                <w:sz w:val="20"/>
              </w:rPr>
            </w:pPr>
          </w:p>
        </w:tc>
        <w:tc>
          <w:tcPr>
            <w:tcW w:w="2891" w:type="pct"/>
          </w:tcPr>
          <w:p w:rsidR="008D3136" w:rsidRPr="004E2ADC" w:rsidRDefault="008D3136" w:rsidP="001E64BC">
            <w:pPr>
              <w:jc w:val="left"/>
              <w:rPr>
                <w:rFonts w:ascii="Arial Narrow" w:hAnsi="Arial Narrow"/>
                <w:sz w:val="20"/>
              </w:rPr>
            </w:pPr>
            <w:r w:rsidRPr="00B86027">
              <w:rPr>
                <w:rFonts w:ascii="Arial Narrow" w:hAnsi="Arial Narrow"/>
                <w:sz w:val="20"/>
              </w:rPr>
              <w:t xml:space="preserve">Nicholls K, et al. Phase 3 study of migalastat HCl for Fabry disease: Stage 1 results. </w:t>
            </w:r>
          </w:p>
        </w:tc>
        <w:tc>
          <w:tcPr>
            <w:tcW w:w="1432" w:type="pct"/>
          </w:tcPr>
          <w:p w:rsidR="008D3136" w:rsidRPr="004E2ADC" w:rsidRDefault="008D3136" w:rsidP="001E64BC">
            <w:pPr>
              <w:jc w:val="left"/>
              <w:rPr>
                <w:rFonts w:ascii="Arial Narrow" w:hAnsi="Arial Narrow"/>
                <w:sz w:val="20"/>
              </w:rPr>
            </w:pPr>
            <w:r w:rsidRPr="004C5877">
              <w:rPr>
                <w:rFonts w:ascii="Arial Narrow" w:hAnsi="Arial Narrow"/>
                <w:i/>
                <w:sz w:val="20"/>
              </w:rPr>
              <w:t>Molecular Genetics and Metabolism,</w:t>
            </w:r>
            <w:r>
              <w:rPr>
                <w:rFonts w:ascii="Arial Narrow" w:hAnsi="Arial Narrow"/>
                <w:sz w:val="20"/>
              </w:rPr>
              <w:t xml:space="preserve"> 2013, 108(2), S70. </w:t>
            </w:r>
            <w:r w:rsidRPr="00721198">
              <w:rPr>
                <w:rFonts w:ascii="Arial Narrow" w:hAnsi="Arial Narrow"/>
                <w:sz w:val="20"/>
              </w:rPr>
              <w:t>[</w:t>
            </w:r>
            <w:r w:rsidRPr="00721198">
              <w:rPr>
                <w:rFonts w:ascii="Arial Narrow" w:hAnsi="Arial Narrow"/>
                <w:i/>
                <w:sz w:val="20"/>
              </w:rPr>
              <w:t>Abstract only]</w:t>
            </w:r>
          </w:p>
        </w:tc>
      </w:tr>
      <w:tr w:rsidR="008D3136" w:rsidRPr="004E2ADC" w:rsidTr="001E64BC">
        <w:tc>
          <w:tcPr>
            <w:tcW w:w="677" w:type="pct"/>
            <w:tcBorders>
              <w:top w:val="nil"/>
              <w:bottom w:val="nil"/>
            </w:tcBorders>
          </w:tcPr>
          <w:p w:rsidR="008D3136" w:rsidRPr="004E2ADC" w:rsidRDefault="008D3136" w:rsidP="001E64BC">
            <w:pPr>
              <w:jc w:val="left"/>
              <w:rPr>
                <w:rFonts w:ascii="Arial Narrow" w:hAnsi="Arial Narrow"/>
                <w:sz w:val="20"/>
              </w:rPr>
            </w:pPr>
          </w:p>
        </w:tc>
        <w:tc>
          <w:tcPr>
            <w:tcW w:w="2891" w:type="pct"/>
          </w:tcPr>
          <w:p w:rsidR="008D3136" w:rsidRPr="004E2ADC" w:rsidRDefault="008D3136" w:rsidP="001E64BC">
            <w:pPr>
              <w:jc w:val="left"/>
              <w:rPr>
                <w:rFonts w:ascii="Arial Narrow" w:hAnsi="Arial Narrow"/>
                <w:sz w:val="20"/>
              </w:rPr>
            </w:pPr>
            <w:r w:rsidRPr="00B86027">
              <w:rPr>
                <w:rFonts w:ascii="Arial Narrow" w:hAnsi="Arial Narrow"/>
                <w:sz w:val="20"/>
              </w:rPr>
              <w:t xml:space="preserve">Germain, DP, et al. Treatment with Migalastat results in reduced levels of disease substrate and stable renal function in a Phase 3 study of Fabry disease. </w:t>
            </w:r>
          </w:p>
        </w:tc>
        <w:tc>
          <w:tcPr>
            <w:tcW w:w="1432" w:type="pct"/>
          </w:tcPr>
          <w:p w:rsidR="008D3136" w:rsidRPr="004E2ADC" w:rsidRDefault="008D3136" w:rsidP="001E64BC">
            <w:pPr>
              <w:jc w:val="left"/>
              <w:rPr>
                <w:rFonts w:ascii="Arial Narrow" w:hAnsi="Arial Narrow"/>
                <w:sz w:val="20"/>
              </w:rPr>
            </w:pPr>
            <w:r w:rsidRPr="004C5877">
              <w:rPr>
                <w:rFonts w:ascii="Arial Narrow" w:hAnsi="Arial Narrow"/>
                <w:i/>
                <w:sz w:val="20"/>
              </w:rPr>
              <w:t xml:space="preserve">Journal of Inherited Metabolic Disease, </w:t>
            </w:r>
            <w:r>
              <w:rPr>
                <w:rFonts w:ascii="Arial Narrow" w:hAnsi="Arial Narrow"/>
                <w:sz w:val="20"/>
              </w:rPr>
              <w:t>2014,</w:t>
            </w:r>
            <w:r w:rsidRPr="00B86027">
              <w:rPr>
                <w:rFonts w:ascii="Arial Narrow" w:hAnsi="Arial Narrow"/>
                <w:sz w:val="20"/>
              </w:rPr>
              <w:t xml:space="preserve"> 37(1), S43. </w:t>
            </w:r>
            <w:r w:rsidRPr="00721198">
              <w:rPr>
                <w:rFonts w:ascii="Arial Narrow" w:hAnsi="Arial Narrow"/>
                <w:sz w:val="20"/>
              </w:rPr>
              <w:t>[</w:t>
            </w:r>
            <w:r w:rsidRPr="00721198">
              <w:rPr>
                <w:rFonts w:ascii="Arial Narrow" w:hAnsi="Arial Narrow"/>
                <w:i/>
                <w:sz w:val="20"/>
              </w:rPr>
              <w:t>Abstract only]</w:t>
            </w:r>
          </w:p>
        </w:tc>
      </w:tr>
      <w:tr w:rsidR="008D3136" w:rsidRPr="004E2ADC" w:rsidTr="001E64BC">
        <w:tc>
          <w:tcPr>
            <w:tcW w:w="677" w:type="pct"/>
            <w:tcBorders>
              <w:top w:val="nil"/>
              <w:bottom w:val="nil"/>
            </w:tcBorders>
          </w:tcPr>
          <w:p w:rsidR="008D3136" w:rsidRPr="004E2ADC" w:rsidRDefault="008D3136" w:rsidP="001E64BC">
            <w:pPr>
              <w:jc w:val="left"/>
              <w:rPr>
                <w:rFonts w:ascii="Arial Narrow" w:hAnsi="Arial Narrow"/>
                <w:sz w:val="20"/>
              </w:rPr>
            </w:pPr>
          </w:p>
        </w:tc>
        <w:tc>
          <w:tcPr>
            <w:tcW w:w="2891" w:type="pct"/>
          </w:tcPr>
          <w:p w:rsidR="008D3136" w:rsidRPr="004E2ADC" w:rsidRDefault="008D3136" w:rsidP="001E64BC">
            <w:pPr>
              <w:jc w:val="left"/>
              <w:rPr>
                <w:rFonts w:ascii="Arial Narrow" w:hAnsi="Arial Narrow"/>
                <w:sz w:val="20"/>
              </w:rPr>
            </w:pPr>
            <w:r w:rsidRPr="00B86027">
              <w:rPr>
                <w:rFonts w:ascii="Arial Narrow" w:hAnsi="Arial Narrow"/>
                <w:sz w:val="20"/>
              </w:rPr>
              <w:t xml:space="preserve">Barlow C, et al. Phase 3 FACETS study of migalastat HCl for Fabry disease: Post hoc GLA mutation-based identification of subjects likely to show a drug effect. </w:t>
            </w:r>
          </w:p>
        </w:tc>
        <w:tc>
          <w:tcPr>
            <w:tcW w:w="1432" w:type="pct"/>
          </w:tcPr>
          <w:p w:rsidR="008D3136" w:rsidRPr="004E2ADC" w:rsidRDefault="008D3136" w:rsidP="001E64BC">
            <w:pPr>
              <w:jc w:val="left"/>
              <w:rPr>
                <w:rFonts w:ascii="Arial Narrow" w:hAnsi="Arial Narrow"/>
                <w:sz w:val="20"/>
              </w:rPr>
            </w:pPr>
            <w:r w:rsidRPr="004C5877">
              <w:rPr>
                <w:rFonts w:ascii="Arial Narrow" w:hAnsi="Arial Narrow"/>
                <w:i/>
                <w:sz w:val="20"/>
              </w:rPr>
              <w:t>Molecular Genetics and Metabolism,</w:t>
            </w:r>
            <w:r>
              <w:rPr>
                <w:rFonts w:ascii="Arial Narrow" w:hAnsi="Arial Narrow"/>
                <w:sz w:val="20"/>
              </w:rPr>
              <w:t xml:space="preserve"> </w:t>
            </w:r>
            <w:r w:rsidRPr="00B86027">
              <w:rPr>
                <w:rFonts w:ascii="Arial Narrow" w:hAnsi="Arial Narrow"/>
                <w:sz w:val="20"/>
              </w:rPr>
              <w:t>2014</w:t>
            </w:r>
            <w:r>
              <w:rPr>
                <w:rFonts w:ascii="Arial Narrow" w:hAnsi="Arial Narrow"/>
                <w:sz w:val="20"/>
              </w:rPr>
              <w:t>,</w:t>
            </w:r>
            <w:r w:rsidRPr="00B86027">
              <w:rPr>
                <w:rFonts w:ascii="Arial Narrow" w:hAnsi="Arial Narrow"/>
                <w:sz w:val="20"/>
              </w:rPr>
              <w:t xml:space="preserve"> 111(2), S24. </w:t>
            </w:r>
            <w:r w:rsidRPr="00721198">
              <w:rPr>
                <w:rFonts w:ascii="Arial Narrow" w:hAnsi="Arial Narrow"/>
                <w:sz w:val="20"/>
              </w:rPr>
              <w:t>[</w:t>
            </w:r>
            <w:r w:rsidRPr="00721198">
              <w:rPr>
                <w:rFonts w:ascii="Arial Narrow" w:hAnsi="Arial Narrow"/>
                <w:i/>
                <w:sz w:val="20"/>
              </w:rPr>
              <w:t>Abstract only]</w:t>
            </w:r>
          </w:p>
        </w:tc>
      </w:tr>
      <w:tr w:rsidR="008D3136" w:rsidRPr="004E2ADC" w:rsidTr="001E64BC">
        <w:tc>
          <w:tcPr>
            <w:tcW w:w="677" w:type="pct"/>
            <w:tcBorders>
              <w:top w:val="nil"/>
              <w:bottom w:val="nil"/>
            </w:tcBorders>
          </w:tcPr>
          <w:p w:rsidR="008D3136" w:rsidRPr="004E2ADC" w:rsidRDefault="008D3136" w:rsidP="001E64BC">
            <w:pPr>
              <w:jc w:val="left"/>
              <w:rPr>
                <w:rFonts w:ascii="Arial Narrow" w:hAnsi="Arial Narrow"/>
                <w:sz w:val="20"/>
              </w:rPr>
            </w:pPr>
          </w:p>
        </w:tc>
        <w:tc>
          <w:tcPr>
            <w:tcW w:w="2891" w:type="pct"/>
          </w:tcPr>
          <w:p w:rsidR="008D3136" w:rsidRPr="004E2ADC" w:rsidRDefault="008D3136" w:rsidP="001E64BC">
            <w:pPr>
              <w:jc w:val="left"/>
              <w:rPr>
                <w:rFonts w:ascii="Arial Narrow" w:hAnsi="Arial Narrow"/>
                <w:sz w:val="20"/>
              </w:rPr>
            </w:pPr>
            <w:r w:rsidRPr="00B86027">
              <w:rPr>
                <w:rFonts w:ascii="Arial Narrow" w:hAnsi="Arial Narrow"/>
                <w:sz w:val="20"/>
              </w:rPr>
              <w:t xml:space="preserve">Barlow, C. Clinical results using a GLP-validated pharmacogenetic test identifies subjects responsive to migalastat HCl in the FACETS study. </w:t>
            </w:r>
          </w:p>
        </w:tc>
        <w:tc>
          <w:tcPr>
            <w:tcW w:w="1432" w:type="pct"/>
          </w:tcPr>
          <w:p w:rsidR="008D3136" w:rsidRPr="004E2ADC" w:rsidRDefault="008D3136" w:rsidP="001E64BC">
            <w:pPr>
              <w:jc w:val="left"/>
              <w:rPr>
                <w:rFonts w:ascii="Arial Narrow" w:hAnsi="Arial Narrow"/>
                <w:sz w:val="20"/>
              </w:rPr>
            </w:pPr>
            <w:r w:rsidRPr="00C2668D">
              <w:rPr>
                <w:rFonts w:ascii="Arial Narrow" w:hAnsi="Arial Narrow"/>
                <w:i/>
                <w:sz w:val="20"/>
              </w:rPr>
              <w:t xml:space="preserve">Molecular Genetics and Metabolism, </w:t>
            </w:r>
            <w:r w:rsidRPr="00B86027">
              <w:rPr>
                <w:rFonts w:ascii="Arial Narrow" w:hAnsi="Arial Narrow"/>
                <w:sz w:val="20"/>
              </w:rPr>
              <w:t>2014</w:t>
            </w:r>
            <w:r>
              <w:rPr>
                <w:rFonts w:ascii="Arial Narrow" w:hAnsi="Arial Narrow"/>
                <w:sz w:val="20"/>
              </w:rPr>
              <w:t>,</w:t>
            </w:r>
            <w:r w:rsidRPr="00B86027">
              <w:rPr>
                <w:rFonts w:ascii="Arial Narrow" w:hAnsi="Arial Narrow"/>
                <w:sz w:val="20"/>
              </w:rPr>
              <w:t xml:space="preserve"> 111(2), S23. </w:t>
            </w:r>
            <w:r w:rsidRPr="00721198">
              <w:rPr>
                <w:rFonts w:ascii="Arial Narrow" w:hAnsi="Arial Narrow"/>
                <w:sz w:val="20"/>
              </w:rPr>
              <w:t>[</w:t>
            </w:r>
            <w:r w:rsidRPr="00721198">
              <w:rPr>
                <w:rFonts w:ascii="Arial Narrow" w:hAnsi="Arial Narrow"/>
                <w:i/>
                <w:sz w:val="20"/>
              </w:rPr>
              <w:t>Abstract only]</w:t>
            </w:r>
          </w:p>
        </w:tc>
      </w:tr>
      <w:tr w:rsidR="008D3136" w:rsidRPr="004E2ADC" w:rsidTr="001E64BC">
        <w:tc>
          <w:tcPr>
            <w:tcW w:w="677" w:type="pct"/>
            <w:tcBorders>
              <w:top w:val="nil"/>
              <w:bottom w:val="nil"/>
            </w:tcBorders>
          </w:tcPr>
          <w:p w:rsidR="008D3136" w:rsidRPr="004E2ADC" w:rsidRDefault="008D3136" w:rsidP="001E64BC">
            <w:pPr>
              <w:jc w:val="left"/>
              <w:rPr>
                <w:rFonts w:ascii="Arial Narrow" w:hAnsi="Arial Narrow"/>
                <w:sz w:val="20"/>
              </w:rPr>
            </w:pPr>
          </w:p>
        </w:tc>
        <w:tc>
          <w:tcPr>
            <w:tcW w:w="2891" w:type="pct"/>
          </w:tcPr>
          <w:p w:rsidR="008D3136" w:rsidRPr="004E2ADC" w:rsidRDefault="008D3136" w:rsidP="001E64BC">
            <w:pPr>
              <w:jc w:val="left"/>
              <w:rPr>
                <w:rFonts w:ascii="Arial Narrow" w:hAnsi="Arial Narrow"/>
                <w:sz w:val="20"/>
              </w:rPr>
            </w:pPr>
            <w:r w:rsidRPr="00B86027">
              <w:rPr>
                <w:rFonts w:ascii="Arial Narrow" w:hAnsi="Arial Narrow"/>
                <w:sz w:val="20"/>
              </w:rPr>
              <w:t xml:space="preserve">Germain, DP, et al. Subjects treated with migalastat continue to demonstrate stable renal function and reduced left ventricular mass index over 3 years in a long-term extension study of Fabry disease. </w:t>
            </w:r>
          </w:p>
        </w:tc>
        <w:tc>
          <w:tcPr>
            <w:tcW w:w="1432" w:type="pct"/>
          </w:tcPr>
          <w:p w:rsidR="008D3136" w:rsidRPr="004E2ADC" w:rsidRDefault="008D3136" w:rsidP="001E64BC">
            <w:pPr>
              <w:jc w:val="left"/>
              <w:rPr>
                <w:rFonts w:ascii="Arial Narrow" w:hAnsi="Arial Narrow"/>
                <w:sz w:val="20"/>
              </w:rPr>
            </w:pPr>
            <w:r w:rsidRPr="00A861E3">
              <w:rPr>
                <w:rFonts w:ascii="Arial Narrow" w:hAnsi="Arial Narrow"/>
                <w:i/>
                <w:sz w:val="20"/>
              </w:rPr>
              <w:t>Journal of Inherited Metabolic Disease,</w:t>
            </w:r>
            <w:r>
              <w:rPr>
                <w:rFonts w:ascii="Arial Narrow" w:hAnsi="Arial Narrow"/>
                <w:sz w:val="20"/>
              </w:rPr>
              <w:t xml:space="preserve"> 2015,</w:t>
            </w:r>
            <w:r w:rsidRPr="00B86027">
              <w:rPr>
                <w:rFonts w:ascii="Arial Narrow" w:hAnsi="Arial Narrow"/>
                <w:sz w:val="20"/>
              </w:rPr>
              <w:t xml:space="preserve"> 38(1), S56. </w:t>
            </w:r>
            <w:r w:rsidRPr="00721198">
              <w:rPr>
                <w:rFonts w:ascii="Arial Narrow" w:hAnsi="Arial Narrow"/>
                <w:sz w:val="20"/>
              </w:rPr>
              <w:t>[</w:t>
            </w:r>
            <w:r w:rsidRPr="00721198">
              <w:rPr>
                <w:rFonts w:ascii="Arial Narrow" w:hAnsi="Arial Narrow"/>
                <w:i/>
                <w:sz w:val="20"/>
              </w:rPr>
              <w:t>Abstract only]</w:t>
            </w:r>
          </w:p>
        </w:tc>
      </w:tr>
      <w:tr w:rsidR="008D3136" w:rsidRPr="004E2ADC" w:rsidTr="001E64BC">
        <w:tc>
          <w:tcPr>
            <w:tcW w:w="677" w:type="pct"/>
            <w:tcBorders>
              <w:top w:val="nil"/>
              <w:bottom w:val="nil"/>
            </w:tcBorders>
          </w:tcPr>
          <w:p w:rsidR="008D3136" w:rsidRPr="004E2ADC" w:rsidRDefault="008D3136" w:rsidP="001E64BC">
            <w:pPr>
              <w:jc w:val="left"/>
              <w:rPr>
                <w:rFonts w:ascii="Arial Narrow" w:hAnsi="Arial Narrow"/>
                <w:sz w:val="20"/>
              </w:rPr>
            </w:pPr>
          </w:p>
        </w:tc>
        <w:tc>
          <w:tcPr>
            <w:tcW w:w="2891" w:type="pct"/>
          </w:tcPr>
          <w:p w:rsidR="008D3136" w:rsidRPr="004E2ADC" w:rsidRDefault="008D3136" w:rsidP="001E64BC">
            <w:pPr>
              <w:jc w:val="left"/>
              <w:rPr>
                <w:rFonts w:ascii="Arial Narrow" w:hAnsi="Arial Narrow"/>
                <w:sz w:val="20"/>
              </w:rPr>
            </w:pPr>
            <w:r w:rsidRPr="00B86027">
              <w:rPr>
                <w:rFonts w:ascii="Arial Narrow" w:hAnsi="Arial Narrow"/>
                <w:sz w:val="20"/>
              </w:rPr>
              <w:t xml:space="preserve">Schiffman R, et al., Improvement in gastrointestinal symptoms observed in the phase 3 FACETS (AT1001-011) study of migalastat in patients affected with Fabry disease. </w:t>
            </w:r>
          </w:p>
        </w:tc>
        <w:tc>
          <w:tcPr>
            <w:tcW w:w="1432" w:type="pct"/>
          </w:tcPr>
          <w:p w:rsidR="008D3136" w:rsidRPr="004E2ADC" w:rsidRDefault="008D3136" w:rsidP="001E64BC">
            <w:pPr>
              <w:jc w:val="left"/>
              <w:rPr>
                <w:rFonts w:ascii="Arial Narrow" w:hAnsi="Arial Narrow"/>
                <w:sz w:val="20"/>
              </w:rPr>
            </w:pPr>
            <w:r w:rsidRPr="00A861E3">
              <w:rPr>
                <w:rFonts w:ascii="Arial Narrow" w:hAnsi="Arial Narrow"/>
                <w:i/>
                <w:sz w:val="20"/>
              </w:rPr>
              <w:t>Molecular Genetics and Metabolism,</w:t>
            </w:r>
            <w:r>
              <w:rPr>
                <w:rFonts w:ascii="Arial Narrow" w:hAnsi="Arial Narrow"/>
                <w:sz w:val="20"/>
              </w:rPr>
              <w:t xml:space="preserve"> 2015</w:t>
            </w:r>
            <w:r w:rsidRPr="00B86027">
              <w:rPr>
                <w:rFonts w:ascii="Arial Narrow" w:hAnsi="Arial Narrow"/>
                <w:sz w:val="20"/>
              </w:rPr>
              <w:t xml:space="preserve"> 114(2), S103-S104. </w:t>
            </w:r>
            <w:r w:rsidRPr="00721198">
              <w:rPr>
                <w:rFonts w:ascii="Arial Narrow" w:hAnsi="Arial Narrow"/>
                <w:sz w:val="20"/>
              </w:rPr>
              <w:t>[</w:t>
            </w:r>
            <w:r w:rsidRPr="00721198">
              <w:rPr>
                <w:rFonts w:ascii="Arial Narrow" w:hAnsi="Arial Narrow"/>
                <w:i/>
                <w:sz w:val="20"/>
              </w:rPr>
              <w:t>Abstract only]</w:t>
            </w:r>
          </w:p>
        </w:tc>
      </w:tr>
      <w:tr w:rsidR="008D3136" w:rsidRPr="004E2ADC" w:rsidTr="001E64BC">
        <w:tc>
          <w:tcPr>
            <w:tcW w:w="677" w:type="pct"/>
            <w:tcBorders>
              <w:top w:val="nil"/>
              <w:bottom w:val="nil"/>
            </w:tcBorders>
          </w:tcPr>
          <w:p w:rsidR="008D3136" w:rsidRPr="008949A7" w:rsidRDefault="008D3136" w:rsidP="001E64BC">
            <w:pPr>
              <w:jc w:val="left"/>
              <w:rPr>
                <w:rFonts w:ascii="Arial Narrow" w:hAnsi="Arial Narrow"/>
                <w:sz w:val="20"/>
              </w:rPr>
            </w:pPr>
          </w:p>
        </w:tc>
        <w:tc>
          <w:tcPr>
            <w:tcW w:w="2891" w:type="pct"/>
          </w:tcPr>
          <w:p w:rsidR="008D3136" w:rsidRPr="008949A7" w:rsidRDefault="008D3136" w:rsidP="001E64BC">
            <w:pPr>
              <w:jc w:val="left"/>
              <w:rPr>
                <w:rFonts w:ascii="Arial Narrow" w:hAnsi="Arial Narrow"/>
                <w:sz w:val="20"/>
              </w:rPr>
            </w:pPr>
            <w:r w:rsidRPr="008949A7">
              <w:rPr>
                <w:rFonts w:ascii="Arial Narrow" w:hAnsi="Arial Narrow"/>
                <w:sz w:val="20"/>
              </w:rPr>
              <w:t xml:space="preserve">Germain DP., et al. Efficacy of migalastat in a cohort of male patients with the classical form of Fabry disease in a phase 3 study. </w:t>
            </w:r>
          </w:p>
        </w:tc>
        <w:tc>
          <w:tcPr>
            <w:tcW w:w="1432" w:type="pct"/>
          </w:tcPr>
          <w:p w:rsidR="008D3136" w:rsidRPr="00A861E3" w:rsidRDefault="008D3136" w:rsidP="001E64BC">
            <w:pPr>
              <w:jc w:val="left"/>
              <w:rPr>
                <w:rFonts w:ascii="Arial Narrow" w:hAnsi="Arial Narrow"/>
                <w:i/>
                <w:sz w:val="20"/>
              </w:rPr>
            </w:pPr>
            <w:r w:rsidRPr="00B67259">
              <w:rPr>
                <w:rFonts w:ascii="Arial Narrow" w:hAnsi="Arial Narrow"/>
                <w:i/>
                <w:sz w:val="20"/>
              </w:rPr>
              <w:t>Journal of Inherited Metabolic Disease</w:t>
            </w:r>
            <w:r>
              <w:rPr>
                <w:rFonts w:ascii="Arial Narrow" w:hAnsi="Arial Narrow"/>
                <w:i/>
                <w:sz w:val="20"/>
              </w:rPr>
              <w:t xml:space="preserve">, </w:t>
            </w:r>
            <w:r w:rsidRPr="00B67259">
              <w:rPr>
                <w:rFonts w:ascii="Arial Narrow" w:hAnsi="Arial Narrow"/>
                <w:sz w:val="20"/>
              </w:rPr>
              <w:t>2016, 39: S219.</w:t>
            </w:r>
            <w:r>
              <w:rPr>
                <w:rFonts w:ascii="Arial Narrow" w:hAnsi="Arial Narrow"/>
                <w:sz w:val="20"/>
              </w:rPr>
              <w:t xml:space="preserve"> </w:t>
            </w:r>
            <w:r w:rsidRPr="00721198">
              <w:rPr>
                <w:rFonts w:ascii="Arial Narrow" w:hAnsi="Arial Narrow"/>
                <w:sz w:val="20"/>
              </w:rPr>
              <w:t>[</w:t>
            </w:r>
            <w:r w:rsidRPr="00721198">
              <w:rPr>
                <w:rFonts w:ascii="Arial Narrow" w:hAnsi="Arial Narrow"/>
                <w:i/>
                <w:sz w:val="20"/>
              </w:rPr>
              <w:t>Abstract only]</w:t>
            </w:r>
          </w:p>
        </w:tc>
      </w:tr>
      <w:tr w:rsidR="008D3136" w:rsidRPr="004E2ADC" w:rsidTr="001E64BC">
        <w:tc>
          <w:tcPr>
            <w:tcW w:w="677" w:type="pct"/>
            <w:tcBorders>
              <w:top w:val="nil"/>
              <w:bottom w:val="single" w:sz="4" w:space="0" w:color="auto"/>
            </w:tcBorders>
          </w:tcPr>
          <w:p w:rsidR="008D3136" w:rsidRPr="004E2ADC" w:rsidRDefault="008D3136" w:rsidP="001E64BC">
            <w:pPr>
              <w:jc w:val="left"/>
              <w:rPr>
                <w:rFonts w:ascii="Arial Narrow" w:hAnsi="Arial Narrow"/>
                <w:sz w:val="20"/>
              </w:rPr>
            </w:pPr>
          </w:p>
        </w:tc>
        <w:tc>
          <w:tcPr>
            <w:tcW w:w="2891" w:type="pct"/>
            <w:tcBorders>
              <w:bottom w:val="single" w:sz="4" w:space="0" w:color="auto"/>
            </w:tcBorders>
          </w:tcPr>
          <w:p w:rsidR="008D3136" w:rsidRPr="00FA7C65" w:rsidRDefault="008D3136" w:rsidP="001E64BC">
            <w:pPr>
              <w:jc w:val="left"/>
              <w:rPr>
                <w:rFonts w:ascii="Arial Narrow" w:hAnsi="Arial Narrow"/>
                <w:sz w:val="20"/>
                <w:highlight w:val="green"/>
              </w:rPr>
            </w:pPr>
            <w:r w:rsidRPr="00614998">
              <w:rPr>
                <w:rFonts w:ascii="Arial Narrow" w:hAnsi="Arial Narrow"/>
                <w:sz w:val="20"/>
              </w:rPr>
              <w:t>Schiffman R., et al. Migalastat improves gastrointestinal symptoms in patients with Fabry disease: Results from a double-blind, placebo-controlled phase 3 trial (FACETS)</w:t>
            </w:r>
          </w:p>
        </w:tc>
        <w:tc>
          <w:tcPr>
            <w:tcW w:w="1432" w:type="pct"/>
            <w:tcBorders>
              <w:bottom w:val="single" w:sz="4" w:space="0" w:color="auto"/>
            </w:tcBorders>
          </w:tcPr>
          <w:p w:rsidR="008D3136" w:rsidRPr="00A861E3" w:rsidRDefault="008D3136" w:rsidP="001E64BC">
            <w:pPr>
              <w:jc w:val="left"/>
              <w:rPr>
                <w:rFonts w:ascii="Arial Narrow" w:hAnsi="Arial Narrow"/>
                <w:i/>
                <w:sz w:val="20"/>
              </w:rPr>
            </w:pPr>
            <w:r w:rsidRPr="00933738">
              <w:rPr>
                <w:rFonts w:ascii="Arial Narrow" w:hAnsi="Arial Narrow"/>
                <w:i/>
                <w:sz w:val="20"/>
              </w:rPr>
              <w:t>Journal of Inherited Metabolic Disease</w:t>
            </w:r>
            <w:r>
              <w:rPr>
                <w:rFonts w:ascii="Arial Narrow" w:hAnsi="Arial Narrow"/>
                <w:i/>
                <w:sz w:val="20"/>
              </w:rPr>
              <w:t xml:space="preserve">, </w:t>
            </w:r>
            <w:r w:rsidRPr="00933738">
              <w:rPr>
                <w:rFonts w:ascii="Arial Narrow" w:hAnsi="Arial Narrow"/>
                <w:sz w:val="20"/>
              </w:rPr>
              <w:t>2016,</w:t>
            </w:r>
            <w:r w:rsidRPr="00933738">
              <w:rPr>
                <w:rFonts w:ascii="Arial Narrow" w:hAnsi="Arial Narrow"/>
                <w:i/>
                <w:sz w:val="20"/>
              </w:rPr>
              <w:t xml:space="preserve"> 39: S218.</w:t>
            </w:r>
            <w:r w:rsidRPr="00721198">
              <w:rPr>
                <w:rFonts w:ascii="Arial Narrow" w:hAnsi="Arial Narrow"/>
                <w:sz w:val="20"/>
              </w:rPr>
              <w:t xml:space="preserve"> [</w:t>
            </w:r>
            <w:r w:rsidRPr="00721198">
              <w:rPr>
                <w:rFonts w:ascii="Arial Narrow" w:hAnsi="Arial Narrow"/>
                <w:i/>
                <w:sz w:val="20"/>
              </w:rPr>
              <w:t>Abstract only]</w:t>
            </w:r>
          </w:p>
        </w:tc>
      </w:tr>
      <w:tr w:rsidR="008D3136" w:rsidRPr="004E2ADC" w:rsidTr="001E64BC">
        <w:trPr>
          <w:trHeight w:val="63"/>
        </w:trPr>
        <w:tc>
          <w:tcPr>
            <w:tcW w:w="5000" w:type="pct"/>
            <w:gridSpan w:val="3"/>
            <w:tcBorders>
              <w:top w:val="single" w:sz="4" w:space="0" w:color="auto"/>
            </w:tcBorders>
          </w:tcPr>
          <w:p w:rsidR="008D3136" w:rsidRPr="00933738" w:rsidRDefault="008D3136" w:rsidP="001E64BC">
            <w:pPr>
              <w:jc w:val="left"/>
              <w:rPr>
                <w:rFonts w:ascii="Arial Narrow" w:hAnsi="Arial Narrow"/>
                <w:i/>
                <w:sz w:val="20"/>
              </w:rPr>
            </w:pPr>
            <w:r>
              <w:rPr>
                <w:rFonts w:ascii="Arial Narrow" w:hAnsi="Arial Narrow"/>
                <w:b/>
                <w:sz w:val="20"/>
              </w:rPr>
              <w:t>Migalastat RCTs</w:t>
            </w:r>
          </w:p>
        </w:tc>
      </w:tr>
      <w:tr w:rsidR="008D3136" w:rsidRPr="004E2ADC" w:rsidTr="001E64BC">
        <w:tc>
          <w:tcPr>
            <w:tcW w:w="677" w:type="pct"/>
            <w:tcBorders>
              <w:top w:val="nil"/>
              <w:bottom w:val="nil"/>
            </w:tcBorders>
          </w:tcPr>
          <w:p w:rsidR="008D3136" w:rsidRDefault="008D3136" w:rsidP="001E64BC">
            <w:pPr>
              <w:jc w:val="left"/>
              <w:rPr>
                <w:rFonts w:ascii="Arial Narrow" w:hAnsi="Arial Narrow"/>
                <w:sz w:val="20"/>
              </w:rPr>
            </w:pPr>
            <w:r>
              <w:rPr>
                <w:rFonts w:ascii="Arial Narrow" w:hAnsi="Arial Narrow"/>
                <w:sz w:val="20"/>
              </w:rPr>
              <w:t>ATTRACT and FACETS</w:t>
            </w:r>
          </w:p>
        </w:tc>
        <w:tc>
          <w:tcPr>
            <w:tcW w:w="2891" w:type="pct"/>
          </w:tcPr>
          <w:p w:rsidR="008D3136" w:rsidRPr="00721198" w:rsidRDefault="008D3136" w:rsidP="001E64BC">
            <w:pPr>
              <w:jc w:val="left"/>
              <w:rPr>
                <w:rFonts w:ascii="Arial Narrow" w:hAnsi="Arial Narrow"/>
                <w:sz w:val="20"/>
              </w:rPr>
            </w:pPr>
            <w:r w:rsidRPr="00C02192">
              <w:rPr>
                <w:rFonts w:ascii="Arial Narrow" w:hAnsi="Arial Narrow"/>
                <w:sz w:val="20"/>
              </w:rPr>
              <w:t xml:space="preserve">Feldt-Rasmussen U, et al. Efficacy and safety of migalastat, an oral pharmacological chaperone for fabry disease: Results from two randomized phase 3 studies. </w:t>
            </w:r>
          </w:p>
        </w:tc>
        <w:tc>
          <w:tcPr>
            <w:tcW w:w="1432" w:type="pct"/>
          </w:tcPr>
          <w:p w:rsidR="008D3136" w:rsidRPr="00635041" w:rsidRDefault="008D3136" w:rsidP="001E64BC">
            <w:pPr>
              <w:jc w:val="left"/>
              <w:rPr>
                <w:rFonts w:ascii="Arial Narrow" w:hAnsi="Arial Narrow"/>
                <w:sz w:val="20"/>
              </w:rPr>
            </w:pPr>
            <w:r w:rsidRPr="00635041">
              <w:rPr>
                <w:rFonts w:ascii="Arial Narrow" w:hAnsi="Arial Narrow"/>
                <w:i/>
                <w:sz w:val="20"/>
              </w:rPr>
              <w:t>Journal of Inherited Metabolic Disease</w:t>
            </w:r>
            <w:r w:rsidRPr="00635041">
              <w:rPr>
                <w:rFonts w:ascii="Arial Narrow" w:hAnsi="Arial Narrow"/>
                <w:sz w:val="20"/>
              </w:rPr>
              <w:t xml:space="preserve"> 2016, 39: S217. [</w:t>
            </w:r>
            <w:r w:rsidRPr="00635041">
              <w:rPr>
                <w:rFonts w:ascii="Arial Narrow" w:hAnsi="Arial Narrow"/>
                <w:i/>
                <w:sz w:val="20"/>
              </w:rPr>
              <w:t>Abstract only]</w:t>
            </w:r>
          </w:p>
        </w:tc>
      </w:tr>
      <w:tr w:rsidR="008D3136" w:rsidRPr="004E2ADC" w:rsidTr="001E64BC">
        <w:tc>
          <w:tcPr>
            <w:tcW w:w="677" w:type="pct"/>
            <w:tcBorders>
              <w:top w:val="nil"/>
              <w:bottom w:val="nil"/>
            </w:tcBorders>
          </w:tcPr>
          <w:p w:rsidR="008D3136" w:rsidRDefault="008D3136" w:rsidP="001E64BC">
            <w:pPr>
              <w:jc w:val="left"/>
              <w:rPr>
                <w:rFonts w:ascii="Arial Narrow" w:hAnsi="Arial Narrow"/>
                <w:sz w:val="20"/>
              </w:rPr>
            </w:pPr>
          </w:p>
        </w:tc>
        <w:tc>
          <w:tcPr>
            <w:tcW w:w="2891" w:type="pct"/>
          </w:tcPr>
          <w:p w:rsidR="008D3136" w:rsidRPr="00721198" w:rsidRDefault="008D3136" w:rsidP="001E64BC">
            <w:pPr>
              <w:jc w:val="left"/>
              <w:rPr>
                <w:rFonts w:ascii="Arial Narrow" w:hAnsi="Arial Narrow"/>
                <w:sz w:val="20"/>
              </w:rPr>
            </w:pPr>
            <w:r w:rsidRPr="00721198">
              <w:rPr>
                <w:rFonts w:ascii="Arial Narrow" w:hAnsi="Arial Narrow"/>
                <w:sz w:val="20"/>
              </w:rPr>
              <w:t>Johnston FK., et al. Comparison of α-galactosidase A activity in white blood cells of patients (pts) with Fabry disease after 2 weeks of exposure to migalastat, agalsidase beta, or agalsidase alfa.</w:t>
            </w:r>
          </w:p>
        </w:tc>
        <w:tc>
          <w:tcPr>
            <w:tcW w:w="1432" w:type="pct"/>
          </w:tcPr>
          <w:p w:rsidR="008D3136" w:rsidRPr="00635041" w:rsidRDefault="008D3136" w:rsidP="001E64BC">
            <w:pPr>
              <w:jc w:val="left"/>
              <w:rPr>
                <w:rFonts w:ascii="Arial Narrow" w:hAnsi="Arial Narrow"/>
                <w:sz w:val="20"/>
              </w:rPr>
            </w:pPr>
            <w:r w:rsidRPr="00635041">
              <w:rPr>
                <w:rFonts w:ascii="Arial Narrow" w:hAnsi="Arial Narrow"/>
                <w:i/>
                <w:sz w:val="20"/>
              </w:rPr>
              <w:t>Journal of Inherited Metabolic Disease,</w:t>
            </w:r>
            <w:r w:rsidRPr="00635041">
              <w:rPr>
                <w:rFonts w:ascii="Arial Narrow" w:hAnsi="Arial Narrow"/>
                <w:sz w:val="20"/>
              </w:rPr>
              <w:t xml:space="preserve"> 2016 39: S218. [</w:t>
            </w:r>
            <w:r w:rsidRPr="00635041">
              <w:rPr>
                <w:rFonts w:ascii="Arial Narrow" w:hAnsi="Arial Narrow"/>
                <w:i/>
                <w:sz w:val="20"/>
              </w:rPr>
              <w:t>Abstract only]</w:t>
            </w:r>
          </w:p>
        </w:tc>
      </w:tr>
      <w:tr w:rsidR="008D3136" w:rsidRPr="004E2ADC" w:rsidTr="001E64BC">
        <w:tc>
          <w:tcPr>
            <w:tcW w:w="677" w:type="pct"/>
            <w:tcBorders>
              <w:top w:val="nil"/>
              <w:bottom w:val="nil"/>
            </w:tcBorders>
          </w:tcPr>
          <w:p w:rsidR="008D3136" w:rsidRDefault="008D3136" w:rsidP="001E64BC">
            <w:pPr>
              <w:jc w:val="left"/>
              <w:rPr>
                <w:rFonts w:ascii="Arial Narrow" w:hAnsi="Arial Narrow"/>
                <w:sz w:val="20"/>
              </w:rPr>
            </w:pPr>
          </w:p>
        </w:tc>
        <w:tc>
          <w:tcPr>
            <w:tcW w:w="2891" w:type="pct"/>
          </w:tcPr>
          <w:p w:rsidR="008D3136" w:rsidRPr="00721198" w:rsidRDefault="008D3136" w:rsidP="001E64BC">
            <w:pPr>
              <w:jc w:val="left"/>
              <w:rPr>
                <w:rFonts w:ascii="Arial Narrow" w:hAnsi="Arial Narrow"/>
                <w:sz w:val="20"/>
              </w:rPr>
            </w:pPr>
            <w:r w:rsidRPr="00BF26D9">
              <w:rPr>
                <w:rFonts w:ascii="Arial Narrow" w:hAnsi="Arial Narrow"/>
                <w:i/>
                <w:sz w:val="20"/>
              </w:rPr>
              <w:t>Johnson, FK., et al</w:t>
            </w:r>
            <w:r>
              <w:rPr>
                <w:rFonts w:ascii="Arial Narrow" w:hAnsi="Arial Narrow"/>
                <w:i/>
                <w:sz w:val="20"/>
              </w:rPr>
              <w:t>.</w:t>
            </w:r>
            <w:r w:rsidRPr="00BF26D9">
              <w:rPr>
                <w:rFonts w:ascii="Arial Narrow" w:hAnsi="Arial Narrow"/>
                <w:i/>
                <w:sz w:val="20"/>
              </w:rPr>
              <w:t>"Comparison of integrated white blood cell alpha-galactosidase a activity exposure between every-other-day orally administered migalastat and biweekly infusions of agalsidase beta or agalsidase alfa.</w:t>
            </w:r>
          </w:p>
        </w:tc>
        <w:tc>
          <w:tcPr>
            <w:tcW w:w="1432" w:type="pct"/>
          </w:tcPr>
          <w:p w:rsidR="008D3136" w:rsidRPr="00721198" w:rsidRDefault="008D3136" w:rsidP="001E64BC">
            <w:pPr>
              <w:jc w:val="left"/>
              <w:rPr>
                <w:rFonts w:ascii="Arial Narrow" w:hAnsi="Arial Narrow"/>
                <w:sz w:val="20"/>
              </w:rPr>
            </w:pPr>
            <w:r w:rsidRPr="00BF26D9">
              <w:rPr>
                <w:rFonts w:ascii="Arial Narrow" w:hAnsi="Arial Narrow"/>
                <w:i/>
                <w:sz w:val="20"/>
              </w:rPr>
              <w:t>Molecular Genetics and Metabolism,</w:t>
            </w:r>
            <w:r>
              <w:rPr>
                <w:rFonts w:ascii="Arial Narrow" w:hAnsi="Arial Narrow"/>
                <w:sz w:val="20"/>
              </w:rPr>
              <w:t xml:space="preserve"> 2016</w:t>
            </w:r>
            <w:r w:rsidRPr="00BF26D9">
              <w:rPr>
                <w:rFonts w:ascii="Arial Narrow" w:hAnsi="Arial Narrow"/>
                <w:sz w:val="20"/>
              </w:rPr>
              <w:t xml:space="preserve"> 117 (2): S63.</w:t>
            </w:r>
            <w:r>
              <w:rPr>
                <w:rFonts w:ascii="Arial Narrow" w:hAnsi="Arial Narrow"/>
                <w:sz w:val="20"/>
              </w:rPr>
              <w:t xml:space="preserve"> [</w:t>
            </w:r>
            <w:r>
              <w:rPr>
                <w:rFonts w:ascii="Arial Narrow" w:hAnsi="Arial Narrow"/>
                <w:i/>
                <w:sz w:val="20"/>
              </w:rPr>
              <w:t>Abstract only</w:t>
            </w:r>
            <w:r>
              <w:rPr>
                <w:rFonts w:ascii="Arial Narrow" w:hAnsi="Arial Narrow"/>
                <w:sz w:val="20"/>
              </w:rPr>
              <w:t>]</w:t>
            </w:r>
          </w:p>
        </w:tc>
      </w:tr>
      <w:tr w:rsidR="008D3136" w:rsidRPr="004E2ADC" w:rsidTr="001E64BC">
        <w:tc>
          <w:tcPr>
            <w:tcW w:w="677" w:type="pct"/>
            <w:tcBorders>
              <w:top w:val="nil"/>
              <w:bottom w:val="single" w:sz="4" w:space="0" w:color="auto"/>
            </w:tcBorders>
          </w:tcPr>
          <w:p w:rsidR="008D3136" w:rsidRDefault="008D3136" w:rsidP="001E64BC">
            <w:pPr>
              <w:jc w:val="left"/>
              <w:rPr>
                <w:rFonts w:ascii="Arial Narrow" w:hAnsi="Arial Narrow"/>
                <w:sz w:val="20"/>
              </w:rPr>
            </w:pPr>
          </w:p>
        </w:tc>
        <w:tc>
          <w:tcPr>
            <w:tcW w:w="2891" w:type="pct"/>
          </w:tcPr>
          <w:p w:rsidR="008D3136" w:rsidRPr="00721198" w:rsidRDefault="008D3136" w:rsidP="001E64BC">
            <w:pPr>
              <w:jc w:val="left"/>
              <w:rPr>
                <w:rFonts w:ascii="Arial Narrow" w:hAnsi="Arial Narrow"/>
                <w:sz w:val="20"/>
              </w:rPr>
            </w:pPr>
            <w:r w:rsidRPr="00C142D6">
              <w:rPr>
                <w:rFonts w:ascii="Arial Narrow" w:hAnsi="Arial Narrow"/>
                <w:i/>
                <w:sz w:val="20"/>
              </w:rPr>
              <w:t>Hughes, D</w:t>
            </w:r>
            <w:r>
              <w:rPr>
                <w:rFonts w:ascii="Arial Narrow" w:hAnsi="Arial Narrow"/>
                <w:i/>
                <w:sz w:val="20"/>
              </w:rPr>
              <w:t xml:space="preserve"> et al. </w:t>
            </w:r>
            <w:r w:rsidRPr="00C142D6">
              <w:rPr>
                <w:rFonts w:ascii="Arial Narrow" w:hAnsi="Arial Narrow"/>
                <w:i/>
                <w:sz w:val="20"/>
              </w:rPr>
              <w:t>Phenotype of Fabry disease in patients with mutations amenable to migalastat.</w:t>
            </w:r>
          </w:p>
        </w:tc>
        <w:tc>
          <w:tcPr>
            <w:tcW w:w="1432" w:type="pct"/>
          </w:tcPr>
          <w:p w:rsidR="008D3136" w:rsidRPr="00721198" w:rsidRDefault="008D3136" w:rsidP="001E64BC">
            <w:pPr>
              <w:jc w:val="left"/>
              <w:rPr>
                <w:rFonts w:ascii="Arial Narrow" w:hAnsi="Arial Narrow"/>
                <w:sz w:val="20"/>
              </w:rPr>
            </w:pPr>
            <w:r w:rsidRPr="00C142D6">
              <w:rPr>
                <w:rFonts w:ascii="Arial Narrow" w:hAnsi="Arial Narrow"/>
                <w:i/>
                <w:sz w:val="20"/>
              </w:rPr>
              <w:t>Molecular Genetics and Metabolism</w:t>
            </w:r>
            <w:r>
              <w:rPr>
                <w:rFonts w:ascii="Arial Narrow" w:hAnsi="Arial Narrow"/>
                <w:i/>
                <w:sz w:val="20"/>
              </w:rPr>
              <w:t xml:space="preserve">, </w:t>
            </w:r>
            <w:r w:rsidRPr="00C142D6">
              <w:rPr>
                <w:rFonts w:ascii="Arial Narrow" w:hAnsi="Arial Narrow"/>
                <w:sz w:val="20"/>
              </w:rPr>
              <w:t>2016, 117 (2): S58-S59.</w:t>
            </w:r>
            <w:r>
              <w:rPr>
                <w:rFonts w:ascii="Arial Narrow" w:hAnsi="Arial Narrow"/>
                <w:sz w:val="20"/>
              </w:rPr>
              <w:t xml:space="preserve"> [</w:t>
            </w:r>
            <w:r>
              <w:rPr>
                <w:rFonts w:ascii="Arial Narrow" w:hAnsi="Arial Narrow"/>
                <w:i/>
                <w:sz w:val="20"/>
              </w:rPr>
              <w:t>Abstract only</w:t>
            </w:r>
            <w:r>
              <w:rPr>
                <w:rFonts w:ascii="Arial Narrow" w:hAnsi="Arial Narrow"/>
                <w:sz w:val="20"/>
              </w:rPr>
              <w:t>]</w:t>
            </w:r>
          </w:p>
        </w:tc>
      </w:tr>
    </w:tbl>
    <w:p w:rsidR="008D3136" w:rsidRPr="00ED3E73" w:rsidRDefault="008D3136" w:rsidP="008D3136">
      <w:pPr>
        <w:pStyle w:val="TableFooter"/>
        <w:ind w:firstLine="720"/>
        <w:rPr>
          <w:rStyle w:val="CommentReference"/>
          <w:b w:val="0"/>
          <w:sz w:val="18"/>
          <w:szCs w:val="22"/>
        </w:rPr>
      </w:pPr>
      <w:r w:rsidRPr="00794249">
        <w:rPr>
          <w:szCs w:val="22"/>
        </w:rPr>
        <w:t xml:space="preserve">Source: </w:t>
      </w:r>
      <w:r w:rsidRPr="00D13A3E">
        <w:t>Table</w:t>
      </w:r>
      <w:r>
        <w:t xml:space="preserve"> 6 </w:t>
      </w:r>
      <w:r w:rsidRPr="00D13A3E">
        <w:t>pp</w:t>
      </w:r>
      <w:r>
        <w:t xml:space="preserve">24-25 </w:t>
      </w:r>
      <w:r w:rsidRPr="00D13A3E">
        <w:t>of the submission</w:t>
      </w:r>
      <w:r>
        <w:t>.</w:t>
      </w:r>
    </w:p>
    <w:p w:rsidR="00A20171" w:rsidRDefault="00A20171">
      <w:pPr>
        <w:widowControl/>
        <w:jc w:val="left"/>
        <w:rPr>
          <w:szCs w:val="22"/>
        </w:rPr>
      </w:pPr>
      <w:r>
        <w:rPr>
          <w:szCs w:val="22"/>
        </w:rPr>
        <w:br w:type="page"/>
      </w:r>
    </w:p>
    <w:p w:rsidR="008D3136" w:rsidRPr="008F120A" w:rsidRDefault="008D3136" w:rsidP="008D3136">
      <w:pPr>
        <w:widowControl/>
        <w:rPr>
          <w:szCs w:val="22"/>
        </w:rPr>
      </w:pPr>
    </w:p>
    <w:p w:rsidR="008D3136" w:rsidRDefault="008D3136" w:rsidP="008D3136">
      <w:pPr>
        <w:pStyle w:val="ListParagraph"/>
        <w:widowControl/>
        <w:numPr>
          <w:ilvl w:val="1"/>
          <w:numId w:val="2"/>
        </w:numPr>
        <w:rPr>
          <w:szCs w:val="22"/>
        </w:rPr>
      </w:pPr>
      <w:r w:rsidRPr="00B50DB8">
        <w:rPr>
          <w:szCs w:val="22"/>
        </w:rPr>
        <w:t>The key features o</w:t>
      </w:r>
      <w:r>
        <w:rPr>
          <w:szCs w:val="22"/>
        </w:rPr>
        <w:t>f the direct randomised trials</w:t>
      </w:r>
      <w:r w:rsidRPr="00B50DB8">
        <w:rPr>
          <w:szCs w:val="22"/>
        </w:rPr>
        <w:t xml:space="preserve"> are </w:t>
      </w:r>
      <w:r w:rsidR="00C42A66">
        <w:rPr>
          <w:szCs w:val="22"/>
        </w:rPr>
        <w:t>summarised in the table below.</w:t>
      </w:r>
    </w:p>
    <w:p w:rsidR="00C42A66" w:rsidRPr="00C42A66" w:rsidRDefault="00C42A66" w:rsidP="00C42A66">
      <w:pPr>
        <w:pStyle w:val="ListParagraph"/>
        <w:widowControl/>
        <w:rPr>
          <w:szCs w:val="22"/>
        </w:rPr>
      </w:pPr>
    </w:p>
    <w:p w:rsidR="008D3136" w:rsidRPr="00E2771E" w:rsidRDefault="008D3136" w:rsidP="008D3136">
      <w:pPr>
        <w:ind w:firstLine="720"/>
        <w:rPr>
          <w:rStyle w:val="CommentReference"/>
        </w:rPr>
      </w:pPr>
      <w:r w:rsidRPr="001B494B">
        <w:rPr>
          <w:rStyle w:val="CommentReference"/>
        </w:rPr>
        <w:t>Table 2: Key features of the included evidence</w:t>
      </w:r>
    </w:p>
    <w:tbl>
      <w:tblPr>
        <w:tblW w:w="4591" w:type="pct"/>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 Key features of the included evidence"/>
      </w:tblPr>
      <w:tblGrid>
        <w:gridCol w:w="988"/>
        <w:gridCol w:w="1559"/>
        <w:gridCol w:w="1304"/>
        <w:gridCol w:w="889"/>
        <w:gridCol w:w="2121"/>
        <w:gridCol w:w="1478"/>
      </w:tblGrid>
      <w:tr w:rsidR="008D3136" w:rsidRPr="00E2771E" w:rsidTr="001E64BC">
        <w:tc>
          <w:tcPr>
            <w:tcW w:w="592" w:type="pct"/>
            <w:shd w:val="clear" w:color="auto" w:fill="auto"/>
            <w:vAlign w:val="center"/>
          </w:tcPr>
          <w:p w:rsidR="008D3136" w:rsidRPr="00E2771E" w:rsidRDefault="008D3136" w:rsidP="001E64BC">
            <w:pPr>
              <w:jc w:val="left"/>
              <w:rPr>
                <w:rFonts w:ascii="Arial Narrow" w:hAnsi="Arial Narrow"/>
                <w:b/>
                <w:sz w:val="20"/>
                <w:lang w:val="en-US"/>
              </w:rPr>
            </w:pPr>
            <w:r w:rsidRPr="00E2771E">
              <w:rPr>
                <w:rFonts w:ascii="Arial Narrow" w:hAnsi="Arial Narrow"/>
                <w:b/>
                <w:sz w:val="20"/>
                <w:lang w:val="en-US"/>
              </w:rPr>
              <w:t>Trial</w:t>
            </w:r>
          </w:p>
        </w:tc>
        <w:tc>
          <w:tcPr>
            <w:tcW w:w="935" w:type="pct"/>
            <w:shd w:val="clear" w:color="auto" w:fill="auto"/>
            <w:vAlign w:val="center"/>
          </w:tcPr>
          <w:p w:rsidR="008D3136" w:rsidRPr="00E2771E" w:rsidRDefault="008D3136" w:rsidP="001E64BC">
            <w:pPr>
              <w:jc w:val="center"/>
              <w:rPr>
                <w:rFonts w:ascii="Arial Narrow" w:hAnsi="Arial Narrow"/>
                <w:b/>
                <w:sz w:val="20"/>
                <w:lang w:val="en-US"/>
              </w:rPr>
            </w:pPr>
            <w:r w:rsidRPr="00E2771E">
              <w:rPr>
                <w:rFonts w:ascii="Arial Narrow" w:hAnsi="Arial Narrow"/>
                <w:b/>
                <w:sz w:val="20"/>
                <w:lang w:val="en-US"/>
              </w:rPr>
              <w:t>N</w:t>
            </w:r>
            <w:r w:rsidRPr="0094096E">
              <w:rPr>
                <w:rFonts w:ascii="Arial Narrow" w:hAnsi="Arial Narrow"/>
                <w:b/>
                <w:sz w:val="20"/>
                <w:vertAlign w:val="superscript"/>
                <w:lang w:val="en-US"/>
              </w:rPr>
              <w:t>a,b</w:t>
            </w:r>
          </w:p>
        </w:tc>
        <w:tc>
          <w:tcPr>
            <w:tcW w:w="782" w:type="pct"/>
            <w:shd w:val="clear" w:color="auto" w:fill="auto"/>
            <w:vAlign w:val="center"/>
          </w:tcPr>
          <w:p w:rsidR="008D3136" w:rsidRPr="00E2771E" w:rsidRDefault="008D3136" w:rsidP="001E64BC">
            <w:pPr>
              <w:jc w:val="center"/>
              <w:rPr>
                <w:rFonts w:ascii="Arial Narrow" w:hAnsi="Arial Narrow"/>
                <w:b/>
                <w:sz w:val="20"/>
                <w:lang w:val="en-US"/>
              </w:rPr>
            </w:pPr>
            <w:r w:rsidRPr="00E2771E">
              <w:rPr>
                <w:rFonts w:ascii="Arial Narrow" w:hAnsi="Arial Narrow"/>
                <w:b/>
                <w:sz w:val="20"/>
                <w:lang w:val="en-US"/>
              </w:rPr>
              <w:t>Design/ duration</w:t>
            </w:r>
          </w:p>
        </w:tc>
        <w:tc>
          <w:tcPr>
            <w:tcW w:w="533" w:type="pct"/>
            <w:shd w:val="clear" w:color="auto" w:fill="auto"/>
            <w:vAlign w:val="center"/>
          </w:tcPr>
          <w:p w:rsidR="008D3136" w:rsidRPr="00E2771E" w:rsidRDefault="008D3136" w:rsidP="001E64BC">
            <w:pPr>
              <w:jc w:val="center"/>
              <w:rPr>
                <w:rFonts w:ascii="Arial Narrow" w:hAnsi="Arial Narrow"/>
                <w:b/>
                <w:sz w:val="20"/>
                <w:lang w:val="en-US"/>
              </w:rPr>
            </w:pPr>
            <w:r w:rsidRPr="00E2771E">
              <w:rPr>
                <w:rFonts w:ascii="Arial Narrow" w:hAnsi="Arial Narrow"/>
                <w:b/>
                <w:sz w:val="20"/>
                <w:lang w:val="en-US"/>
              </w:rPr>
              <w:t>Risk of bias</w:t>
            </w:r>
          </w:p>
        </w:tc>
        <w:tc>
          <w:tcPr>
            <w:tcW w:w="1272" w:type="pct"/>
            <w:shd w:val="clear" w:color="auto" w:fill="auto"/>
            <w:vAlign w:val="center"/>
          </w:tcPr>
          <w:p w:rsidR="008D3136" w:rsidRPr="00E2771E" w:rsidRDefault="008D3136" w:rsidP="001E64BC">
            <w:pPr>
              <w:jc w:val="center"/>
              <w:rPr>
                <w:rFonts w:ascii="Arial Narrow" w:hAnsi="Arial Narrow"/>
                <w:b/>
                <w:sz w:val="20"/>
                <w:lang w:val="en-US"/>
              </w:rPr>
            </w:pPr>
            <w:r w:rsidRPr="00E2771E">
              <w:rPr>
                <w:rFonts w:ascii="Arial Narrow" w:hAnsi="Arial Narrow"/>
                <w:b/>
                <w:sz w:val="20"/>
                <w:lang w:val="en-US"/>
              </w:rPr>
              <w:t>Patient population</w:t>
            </w:r>
          </w:p>
        </w:tc>
        <w:tc>
          <w:tcPr>
            <w:tcW w:w="886" w:type="pct"/>
            <w:shd w:val="clear" w:color="auto" w:fill="auto"/>
            <w:vAlign w:val="center"/>
          </w:tcPr>
          <w:p w:rsidR="008D3136" w:rsidRPr="00E2771E" w:rsidRDefault="008D3136" w:rsidP="001E64BC">
            <w:pPr>
              <w:jc w:val="center"/>
              <w:rPr>
                <w:rFonts w:ascii="Arial Narrow" w:hAnsi="Arial Narrow"/>
                <w:b/>
                <w:sz w:val="20"/>
                <w:lang w:val="en-US"/>
              </w:rPr>
            </w:pPr>
            <w:r>
              <w:rPr>
                <w:rFonts w:ascii="Arial Narrow" w:hAnsi="Arial Narrow"/>
                <w:b/>
                <w:sz w:val="20"/>
                <w:lang w:val="en-US"/>
              </w:rPr>
              <w:t>Primary outcome</w:t>
            </w:r>
          </w:p>
        </w:tc>
      </w:tr>
      <w:tr w:rsidR="008D3136" w:rsidRPr="00E2771E" w:rsidTr="001E64BC">
        <w:tc>
          <w:tcPr>
            <w:tcW w:w="5000" w:type="pct"/>
            <w:gridSpan w:val="6"/>
            <w:shd w:val="clear" w:color="auto" w:fill="auto"/>
            <w:vAlign w:val="center"/>
          </w:tcPr>
          <w:p w:rsidR="008D3136" w:rsidRPr="00E2771E" w:rsidRDefault="008D3136" w:rsidP="001E64BC">
            <w:pPr>
              <w:jc w:val="left"/>
              <w:rPr>
                <w:rFonts w:ascii="Arial Narrow" w:hAnsi="Arial Narrow"/>
                <w:b/>
                <w:sz w:val="20"/>
                <w:lang w:val="en-US"/>
              </w:rPr>
            </w:pPr>
            <w:r>
              <w:rPr>
                <w:rFonts w:ascii="Arial Narrow" w:hAnsi="Arial Narrow"/>
                <w:b/>
                <w:sz w:val="20"/>
                <w:lang w:val="en-US"/>
              </w:rPr>
              <w:t>Migalastat vs. ERT</w:t>
            </w:r>
          </w:p>
        </w:tc>
      </w:tr>
      <w:tr w:rsidR="008D3136" w:rsidRPr="00E2771E" w:rsidTr="001E64BC">
        <w:tc>
          <w:tcPr>
            <w:tcW w:w="592" w:type="pct"/>
            <w:shd w:val="clear" w:color="auto" w:fill="auto"/>
            <w:vAlign w:val="center"/>
          </w:tcPr>
          <w:p w:rsidR="008D3136" w:rsidRPr="00E2771E" w:rsidRDefault="008D3136" w:rsidP="001E64BC">
            <w:pPr>
              <w:jc w:val="left"/>
              <w:rPr>
                <w:rFonts w:ascii="Arial Narrow" w:hAnsi="Arial Narrow"/>
                <w:sz w:val="20"/>
                <w:lang w:val="en-US"/>
              </w:rPr>
            </w:pPr>
            <w:r>
              <w:rPr>
                <w:rFonts w:ascii="Arial Narrow" w:hAnsi="Arial Narrow"/>
                <w:sz w:val="20"/>
                <w:lang w:val="en-US"/>
              </w:rPr>
              <w:t>ATTRACT</w:t>
            </w:r>
          </w:p>
        </w:tc>
        <w:tc>
          <w:tcPr>
            <w:tcW w:w="935" w:type="pct"/>
            <w:shd w:val="clear" w:color="auto" w:fill="auto"/>
            <w:vAlign w:val="center"/>
          </w:tcPr>
          <w:p w:rsidR="008D3136" w:rsidRPr="008B4D0C" w:rsidRDefault="008D3136" w:rsidP="001E64BC">
            <w:pPr>
              <w:pStyle w:val="ListParagraph"/>
              <w:numPr>
                <w:ilvl w:val="0"/>
                <w:numId w:val="1"/>
              </w:numPr>
              <w:ind w:left="205" w:hanging="162"/>
              <w:jc w:val="left"/>
              <w:rPr>
                <w:rFonts w:ascii="Arial Narrow" w:hAnsi="Arial Narrow"/>
                <w:sz w:val="20"/>
                <w:lang w:val="en-US"/>
              </w:rPr>
            </w:pPr>
            <w:r w:rsidRPr="008B4D0C">
              <w:rPr>
                <w:rFonts w:ascii="Arial Narrow" w:hAnsi="Arial Narrow"/>
                <w:sz w:val="20"/>
                <w:lang w:val="en-US"/>
              </w:rPr>
              <w:t xml:space="preserve">ITT, </w:t>
            </w:r>
            <w:r>
              <w:rPr>
                <w:rFonts w:ascii="Arial Narrow" w:hAnsi="Arial Narrow"/>
                <w:sz w:val="20"/>
                <w:lang w:val="en-US"/>
              </w:rPr>
              <w:t>N = 60</w:t>
            </w:r>
          </w:p>
          <w:p w:rsidR="008D3136" w:rsidRPr="008B4D0C" w:rsidRDefault="008D3136" w:rsidP="001E64BC">
            <w:pPr>
              <w:pStyle w:val="ListParagraph"/>
              <w:numPr>
                <w:ilvl w:val="0"/>
                <w:numId w:val="1"/>
              </w:numPr>
              <w:ind w:left="205" w:hanging="162"/>
              <w:jc w:val="left"/>
              <w:rPr>
                <w:rFonts w:ascii="Arial Narrow" w:hAnsi="Arial Narrow"/>
                <w:sz w:val="20"/>
                <w:lang w:val="en-US"/>
              </w:rPr>
            </w:pPr>
            <w:r w:rsidRPr="008B4D0C">
              <w:rPr>
                <w:rFonts w:ascii="Arial Narrow" w:hAnsi="Arial Narrow"/>
                <w:sz w:val="20"/>
                <w:lang w:val="en-US"/>
              </w:rPr>
              <w:t>mITT amenable</w:t>
            </w:r>
            <w:r>
              <w:rPr>
                <w:rFonts w:ascii="Arial Narrow" w:hAnsi="Arial Narrow"/>
                <w:sz w:val="20"/>
                <w:lang w:val="en-US"/>
              </w:rPr>
              <w:t>, N = </w:t>
            </w:r>
            <w:r w:rsidRPr="008B4D0C">
              <w:rPr>
                <w:rFonts w:ascii="Arial Narrow" w:hAnsi="Arial Narrow"/>
                <w:sz w:val="20"/>
                <w:lang w:val="en-US"/>
              </w:rPr>
              <w:t>52</w:t>
            </w:r>
          </w:p>
        </w:tc>
        <w:tc>
          <w:tcPr>
            <w:tcW w:w="782" w:type="pct"/>
            <w:shd w:val="clear" w:color="auto" w:fill="auto"/>
            <w:vAlign w:val="center"/>
          </w:tcPr>
          <w:p w:rsidR="008D3136" w:rsidRDefault="008D3136" w:rsidP="001E64BC">
            <w:pPr>
              <w:jc w:val="center"/>
              <w:rPr>
                <w:rFonts w:ascii="Arial Narrow" w:hAnsi="Arial Narrow"/>
                <w:sz w:val="20"/>
                <w:lang w:val="en-US"/>
              </w:rPr>
            </w:pPr>
            <w:r>
              <w:rPr>
                <w:rFonts w:ascii="Arial Narrow" w:hAnsi="Arial Narrow"/>
                <w:sz w:val="20"/>
                <w:lang w:val="en-US"/>
              </w:rPr>
              <w:t>R, OL, MC</w:t>
            </w:r>
          </w:p>
          <w:p w:rsidR="008D3136" w:rsidRPr="00E2771E" w:rsidRDefault="008D3136" w:rsidP="001E64BC">
            <w:pPr>
              <w:jc w:val="center"/>
              <w:rPr>
                <w:rFonts w:ascii="Arial Narrow" w:hAnsi="Arial Narrow"/>
                <w:sz w:val="20"/>
                <w:lang w:val="en-US"/>
              </w:rPr>
            </w:pPr>
            <w:r>
              <w:rPr>
                <w:rFonts w:ascii="Arial Narrow" w:hAnsi="Arial Narrow"/>
                <w:sz w:val="20"/>
                <w:lang w:val="en-US"/>
              </w:rPr>
              <w:t>18 mths</w:t>
            </w:r>
          </w:p>
        </w:tc>
        <w:tc>
          <w:tcPr>
            <w:tcW w:w="533" w:type="pct"/>
            <w:shd w:val="clear" w:color="auto" w:fill="auto"/>
            <w:vAlign w:val="center"/>
          </w:tcPr>
          <w:p w:rsidR="008D3136" w:rsidRPr="00E2771E" w:rsidRDefault="008D3136" w:rsidP="001E64BC">
            <w:pPr>
              <w:jc w:val="center"/>
              <w:rPr>
                <w:rFonts w:ascii="Arial Narrow" w:hAnsi="Arial Narrow"/>
                <w:sz w:val="20"/>
                <w:lang w:val="en-US"/>
              </w:rPr>
            </w:pPr>
            <w:r>
              <w:rPr>
                <w:rFonts w:ascii="Arial Narrow" w:hAnsi="Arial Narrow"/>
                <w:sz w:val="20"/>
                <w:lang w:val="en-US"/>
              </w:rPr>
              <w:t>High</w:t>
            </w:r>
          </w:p>
        </w:tc>
        <w:tc>
          <w:tcPr>
            <w:tcW w:w="1272" w:type="pct"/>
            <w:shd w:val="clear" w:color="auto" w:fill="auto"/>
            <w:vAlign w:val="center"/>
          </w:tcPr>
          <w:p w:rsidR="008D3136" w:rsidRDefault="008D3136" w:rsidP="001E64BC">
            <w:pPr>
              <w:jc w:val="center"/>
              <w:rPr>
                <w:rFonts w:ascii="Arial Narrow" w:hAnsi="Arial Narrow"/>
                <w:sz w:val="20"/>
                <w:lang w:val="en-US"/>
              </w:rPr>
            </w:pPr>
            <w:r>
              <w:rPr>
                <w:rFonts w:ascii="Arial Narrow" w:hAnsi="Arial Narrow"/>
                <w:sz w:val="20"/>
                <w:lang w:val="en-US"/>
              </w:rPr>
              <w:t>Treatment-experienced</w:t>
            </w:r>
            <w:r w:rsidR="0006650A">
              <w:rPr>
                <w:rFonts w:ascii="Arial Narrow" w:hAnsi="Arial Narrow"/>
                <w:sz w:val="20"/>
                <w:lang w:val="en-US"/>
              </w:rPr>
              <w:t xml:space="preserve"> </w:t>
            </w:r>
            <w:r>
              <w:rPr>
                <w:rFonts w:ascii="Arial Narrow" w:hAnsi="Arial Narrow"/>
                <w:sz w:val="20"/>
                <w:lang w:val="en-US"/>
              </w:rPr>
              <w:t>patients with Fabry disease and an amenable mutation</w:t>
            </w:r>
          </w:p>
          <w:p w:rsidR="008D3136" w:rsidRPr="00E2771E" w:rsidRDefault="008D3136" w:rsidP="001E64BC">
            <w:pPr>
              <w:jc w:val="center"/>
              <w:rPr>
                <w:rFonts w:ascii="Arial Narrow" w:hAnsi="Arial Narrow"/>
                <w:sz w:val="20"/>
                <w:lang w:val="en-US"/>
              </w:rPr>
            </w:pPr>
            <w:r>
              <w:rPr>
                <w:rFonts w:ascii="Arial Narrow" w:hAnsi="Arial Narrow"/>
                <w:sz w:val="20"/>
                <w:lang w:val="en-US"/>
              </w:rPr>
              <w:t>Age 16-74 years</w:t>
            </w:r>
          </w:p>
        </w:tc>
        <w:tc>
          <w:tcPr>
            <w:tcW w:w="886" w:type="pct"/>
            <w:shd w:val="clear" w:color="auto" w:fill="auto"/>
            <w:vAlign w:val="center"/>
          </w:tcPr>
          <w:p w:rsidR="008D3136" w:rsidRPr="00E2771E" w:rsidRDefault="008D3136" w:rsidP="001E64BC">
            <w:pPr>
              <w:jc w:val="center"/>
              <w:rPr>
                <w:rFonts w:ascii="Arial Narrow" w:hAnsi="Arial Narrow"/>
                <w:sz w:val="20"/>
                <w:lang w:val="en-US"/>
              </w:rPr>
            </w:pPr>
            <w:r>
              <w:rPr>
                <w:rFonts w:ascii="Arial Narrow" w:hAnsi="Arial Narrow"/>
                <w:sz w:val="20"/>
                <w:lang w:val="en-US"/>
              </w:rPr>
              <w:t>Annualised change in eGFR</w:t>
            </w:r>
          </w:p>
        </w:tc>
      </w:tr>
      <w:tr w:rsidR="008D3136" w:rsidRPr="00E2771E" w:rsidTr="001E64BC">
        <w:tc>
          <w:tcPr>
            <w:tcW w:w="5000" w:type="pct"/>
            <w:gridSpan w:val="6"/>
            <w:shd w:val="clear" w:color="auto" w:fill="auto"/>
            <w:vAlign w:val="center"/>
          </w:tcPr>
          <w:p w:rsidR="008D3136" w:rsidRPr="00E2771E" w:rsidRDefault="008D3136" w:rsidP="001E64BC">
            <w:pPr>
              <w:jc w:val="left"/>
              <w:rPr>
                <w:rFonts w:ascii="Arial Narrow" w:hAnsi="Arial Narrow"/>
                <w:sz w:val="20"/>
                <w:lang w:val="en-US"/>
              </w:rPr>
            </w:pPr>
            <w:r>
              <w:rPr>
                <w:rFonts w:ascii="Arial Narrow" w:hAnsi="Arial Narrow"/>
                <w:b/>
                <w:sz w:val="20"/>
                <w:lang w:val="en-US"/>
              </w:rPr>
              <w:t>Migalastat vs. placebo</w:t>
            </w:r>
          </w:p>
        </w:tc>
      </w:tr>
      <w:tr w:rsidR="008D3136" w:rsidRPr="00E2771E" w:rsidTr="001E64BC">
        <w:tc>
          <w:tcPr>
            <w:tcW w:w="592" w:type="pct"/>
            <w:shd w:val="clear" w:color="auto" w:fill="auto"/>
            <w:vAlign w:val="center"/>
          </w:tcPr>
          <w:p w:rsidR="008D3136" w:rsidRPr="00E2771E" w:rsidRDefault="008D3136" w:rsidP="001E64BC">
            <w:pPr>
              <w:jc w:val="left"/>
              <w:rPr>
                <w:rFonts w:ascii="Arial Narrow" w:hAnsi="Arial Narrow"/>
                <w:sz w:val="20"/>
                <w:lang w:val="en-US"/>
              </w:rPr>
            </w:pPr>
            <w:r>
              <w:rPr>
                <w:rFonts w:ascii="Arial Narrow" w:hAnsi="Arial Narrow"/>
                <w:sz w:val="20"/>
                <w:lang w:val="en-US"/>
              </w:rPr>
              <w:t>FACETS</w:t>
            </w:r>
          </w:p>
        </w:tc>
        <w:tc>
          <w:tcPr>
            <w:tcW w:w="935" w:type="pct"/>
            <w:shd w:val="clear" w:color="auto" w:fill="auto"/>
            <w:vAlign w:val="center"/>
          </w:tcPr>
          <w:p w:rsidR="008D3136" w:rsidRDefault="008D3136" w:rsidP="001E64BC">
            <w:pPr>
              <w:pStyle w:val="ListParagraph"/>
              <w:numPr>
                <w:ilvl w:val="0"/>
                <w:numId w:val="1"/>
              </w:numPr>
              <w:ind w:left="205" w:hanging="162"/>
              <w:jc w:val="left"/>
              <w:rPr>
                <w:rFonts w:ascii="Arial Narrow" w:hAnsi="Arial Narrow"/>
                <w:sz w:val="20"/>
                <w:lang w:val="en-US"/>
              </w:rPr>
            </w:pPr>
            <w:r>
              <w:rPr>
                <w:rFonts w:ascii="Arial Narrow" w:hAnsi="Arial Narrow"/>
                <w:sz w:val="20"/>
                <w:lang w:val="en-US"/>
              </w:rPr>
              <w:t>ITT, N = 67</w:t>
            </w:r>
          </w:p>
          <w:p w:rsidR="008D3136" w:rsidRPr="00E2771E" w:rsidRDefault="008D3136" w:rsidP="001E64BC">
            <w:pPr>
              <w:pStyle w:val="ListParagraph"/>
              <w:numPr>
                <w:ilvl w:val="0"/>
                <w:numId w:val="1"/>
              </w:numPr>
              <w:ind w:left="205" w:hanging="162"/>
              <w:jc w:val="left"/>
              <w:rPr>
                <w:rFonts w:ascii="Arial Narrow" w:hAnsi="Arial Narrow"/>
                <w:sz w:val="20"/>
                <w:lang w:val="en-US"/>
              </w:rPr>
            </w:pPr>
            <w:r>
              <w:rPr>
                <w:rFonts w:ascii="Arial Narrow" w:hAnsi="Arial Narrow"/>
                <w:sz w:val="20"/>
                <w:lang w:val="en-US"/>
              </w:rPr>
              <w:t>mITT amenable, N = 50</w:t>
            </w:r>
          </w:p>
        </w:tc>
        <w:tc>
          <w:tcPr>
            <w:tcW w:w="782" w:type="pct"/>
            <w:shd w:val="clear" w:color="auto" w:fill="auto"/>
            <w:vAlign w:val="center"/>
          </w:tcPr>
          <w:p w:rsidR="008D3136" w:rsidRDefault="008D3136" w:rsidP="001E64BC">
            <w:pPr>
              <w:jc w:val="center"/>
              <w:rPr>
                <w:rFonts w:ascii="Arial Narrow" w:hAnsi="Arial Narrow"/>
                <w:sz w:val="20"/>
                <w:lang w:val="en-US"/>
              </w:rPr>
            </w:pPr>
            <w:r>
              <w:rPr>
                <w:rFonts w:ascii="Arial Narrow" w:hAnsi="Arial Narrow"/>
                <w:sz w:val="20"/>
                <w:lang w:val="en-US"/>
              </w:rPr>
              <w:t xml:space="preserve">R, DB, MC </w:t>
            </w:r>
          </w:p>
          <w:p w:rsidR="008D3136" w:rsidRPr="00E2771E" w:rsidRDefault="008D3136" w:rsidP="001E64BC">
            <w:pPr>
              <w:jc w:val="center"/>
              <w:rPr>
                <w:rFonts w:ascii="Arial Narrow" w:hAnsi="Arial Narrow"/>
                <w:sz w:val="20"/>
                <w:lang w:val="en-US"/>
              </w:rPr>
            </w:pPr>
            <w:r>
              <w:rPr>
                <w:rFonts w:ascii="Arial Narrow" w:hAnsi="Arial Narrow"/>
                <w:sz w:val="20"/>
                <w:lang w:val="en-US"/>
              </w:rPr>
              <w:t>6 mths</w:t>
            </w:r>
          </w:p>
        </w:tc>
        <w:tc>
          <w:tcPr>
            <w:tcW w:w="533" w:type="pct"/>
            <w:shd w:val="clear" w:color="auto" w:fill="auto"/>
            <w:vAlign w:val="center"/>
          </w:tcPr>
          <w:p w:rsidR="008D3136" w:rsidRPr="00E2771E" w:rsidRDefault="008D3136" w:rsidP="001E64BC">
            <w:pPr>
              <w:jc w:val="center"/>
              <w:rPr>
                <w:rFonts w:ascii="Arial Narrow" w:hAnsi="Arial Narrow"/>
                <w:sz w:val="20"/>
                <w:lang w:val="en-US"/>
              </w:rPr>
            </w:pPr>
            <w:r>
              <w:rPr>
                <w:rFonts w:ascii="Arial Narrow" w:hAnsi="Arial Narrow"/>
                <w:sz w:val="20"/>
                <w:lang w:val="en-US"/>
              </w:rPr>
              <w:t>High</w:t>
            </w:r>
          </w:p>
        </w:tc>
        <w:tc>
          <w:tcPr>
            <w:tcW w:w="1272" w:type="pct"/>
            <w:shd w:val="clear" w:color="auto" w:fill="auto"/>
            <w:vAlign w:val="center"/>
          </w:tcPr>
          <w:p w:rsidR="008D3136" w:rsidRDefault="008D3136" w:rsidP="001E64BC">
            <w:pPr>
              <w:jc w:val="center"/>
              <w:rPr>
                <w:rFonts w:ascii="Arial Narrow" w:hAnsi="Arial Narrow"/>
                <w:sz w:val="20"/>
                <w:lang w:val="en-US"/>
              </w:rPr>
            </w:pPr>
            <w:r>
              <w:rPr>
                <w:rFonts w:ascii="Arial Narrow" w:hAnsi="Arial Narrow"/>
                <w:sz w:val="20"/>
                <w:lang w:val="en-US"/>
              </w:rPr>
              <w:t>Treatment</w:t>
            </w:r>
            <w:r w:rsidR="0006650A">
              <w:rPr>
                <w:rFonts w:ascii="Arial Narrow" w:hAnsi="Arial Narrow"/>
                <w:sz w:val="20"/>
                <w:lang w:val="en-US"/>
              </w:rPr>
              <w:t>-</w:t>
            </w:r>
            <w:r>
              <w:rPr>
                <w:rFonts w:ascii="Arial Narrow" w:hAnsi="Arial Narrow"/>
                <w:sz w:val="20"/>
                <w:lang w:val="en-US"/>
              </w:rPr>
              <w:t>naïve patients with Fabry disease</w:t>
            </w:r>
          </w:p>
          <w:p w:rsidR="008D3136" w:rsidRPr="00E2771E" w:rsidRDefault="008D3136" w:rsidP="001E64BC">
            <w:pPr>
              <w:jc w:val="center"/>
              <w:rPr>
                <w:rFonts w:ascii="Arial Narrow" w:hAnsi="Arial Narrow"/>
                <w:sz w:val="20"/>
                <w:lang w:val="en-US"/>
              </w:rPr>
            </w:pPr>
            <w:r>
              <w:rPr>
                <w:rFonts w:ascii="Arial Narrow" w:hAnsi="Arial Narrow"/>
                <w:sz w:val="20"/>
                <w:lang w:val="en-US"/>
              </w:rPr>
              <w:t>and an amenable mutation</w:t>
            </w:r>
            <w:r>
              <w:rPr>
                <w:rFonts w:ascii="Arial Narrow" w:hAnsi="Arial Narrow"/>
                <w:sz w:val="20"/>
                <w:lang w:val="en-US"/>
              </w:rPr>
              <w:br/>
              <w:t>Age 16-74 years</w:t>
            </w:r>
          </w:p>
        </w:tc>
        <w:tc>
          <w:tcPr>
            <w:tcW w:w="886" w:type="pct"/>
            <w:shd w:val="clear" w:color="auto" w:fill="auto"/>
            <w:vAlign w:val="center"/>
          </w:tcPr>
          <w:p w:rsidR="008D3136" w:rsidRPr="00E2771E" w:rsidRDefault="008D3136" w:rsidP="0006650A">
            <w:pPr>
              <w:jc w:val="center"/>
              <w:rPr>
                <w:rFonts w:ascii="Arial Narrow" w:hAnsi="Arial Narrow"/>
                <w:sz w:val="20"/>
                <w:lang w:val="en-US"/>
              </w:rPr>
            </w:pPr>
            <w:r>
              <w:rPr>
                <w:rFonts w:ascii="Arial Narrow" w:hAnsi="Arial Narrow"/>
                <w:sz w:val="20"/>
                <w:lang w:val="en-US"/>
              </w:rPr>
              <w:t>Patients (%) with &gt; 50% reduction in kidney interstitial capillaries (IC) GL3 inclusions</w:t>
            </w:r>
          </w:p>
        </w:tc>
      </w:tr>
    </w:tbl>
    <w:p w:rsidR="008D3136" w:rsidRPr="0072416F" w:rsidRDefault="008D3136" w:rsidP="008D3136">
      <w:pPr>
        <w:pStyle w:val="TableFooter"/>
        <w:ind w:firstLine="720"/>
      </w:pPr>
      <w:r w:rsidRPr="0072416F">
        <w:t>DB=double blind; MC=multi-centre; OL=open label; R=randomised.</w:t>
      </w:r>
    </w:p>
    <w:p w:rsidR="008D3136" w:rsidRDefault="008D3136" w:rsidP="008D3136">
      <w:pPr>
        <w:pStyle w:val="TableFooter"/>
        <w:ind w:left="700" w:hanging="14"/>
      </w:pPr>
      <w:r w:rsidRPr="0072416F">
        <w:t>Source: compiled during the evaluation</w:t>
      </w:r>
    </w:p>
    <w:p w:rsidR="008D3136" w:rsidRDefault="008D3136" w:rsidP="008D3136">
      <w:pPr>
        <w:pStyle w:val="TableFooter"/>
        <w:ind w:left="686" w:firstLine="14"/>
      </w:pPr>
      <w:r>
        <w:t xml:space="preserve">a Submission used mITT (amenable) population for primary analysis four patients were considered non-amenable post-hoc. The ITT population in ATTRACT consisted of 60 patients. </w:t>
      </w:r>
    </w:p>
    <w:p w:rsidR="008D3136" w:rsidRPr="0072416F" w:rsidRDefault="008D3136" w:rsidP="008D3136">
      <w:pPr>
        <w:pStyle w:val="TableFooter"/>
        <w:ind w:left="700" w:hanging="14"/>
      </w:pPr>
      <w:r>
        <w:t>b Submission used mITT (amenable) population for primary analysis, 17 patients were considered non-amenable post-hoc. The ITT population consisted of 67 patients.</w:t>
      </w:r>
    </w:p>
    <w:p w:rsidR="008D3136" w:rsidRPr="008B529F" w:rsidRDefault="008D3136" w:rsidP="008D3136"/>
    <w:p w:rsidR="008D3136" w:rsidRPr="00E14B57" w:rsidRDefault="008D3136" w:rsidP="00B63C23">
      <w:pPr>
        <w:pStyle w:val="ListParagraph"/>
        <w:widowControl/>
        <w:numPr>
          <w:ilvl w:val="1"/>
          <w:numId w:val="2"/>
        </w:numPr>
      </w:pPr>
      <w:r w:rsidRPr="00E14B57">
        <w:t>The overall risk of bias in ATTRACT and FACETS was high. Due to the small sample size and variability in the characteristics of the patient population, there is an increased risk of type II errors</w:t>
      </w:r>
      <w:r w:rsidR="006C2986" w:rsidRPr="00E14B57">
        <w:t xml:space="preserve"> (</w:t>
      </w:r>
      <w:r w:rsidR="00205285" w:rsidRPr="00E14B57">
        <w:t xml:space="preserve">such as </w:t>
      </w:r>
      <w:r w:rsidR="006C2986" w:rsidRPr="00E14B57">
        <w:t>would occur if the studies failed to detect an effect for migalastat even where one actually existed)</w:t>
      </w:r>
      <w:r w:rsidRPr="00E14B57">
        <w:t xml:space="preserve">. The following issues were identified with regards to these trials: </w:t>
      </w:r>
    </w:p>
    <w:p w:rsidR="008D3136" w:rsidRPr="00E14B57" w:rsidRDefault="008D3136" w:rsidP="00B63C23">
      <w:pPr>
        <w:pStyle w:val="ListParagraph"/>
        <w:numPr>
          <w:ilvl w:val="0"/>
          <w:numId w:val="3"/>
        </w:numPr>
      </w:pPr>
      <w:r w:rsidRPr="00E14B57">
        <w:t xml:space="preserve">The efficacy results were based on the mITT (amenable) population, which was a post-hoc analysis. The sample size of the analyses conducted for both ATTRACT and FACETS was reduced due to the reclassification of GLA mutations for amenable patients and missing data were not imputed. </w:t>
      </w:r>
      <w:r w:rsidR="003F4A09" w:rsidRPr="00E14B57">
        <w:t xml:space="preserve">The ESC noted that the impact of excluding these patients is unclear. </w:t>
      </w:r>
      <w:r w:rsidRPr="00E14B57">
        <w:t xml:space="preserve">In ATTRACT the use of the GLP-HEK assay changed the GLA mutation classification of 4 of the 60 patients from amenable to non-amenable. In FACETS, 17 of the 67 randomised patients were reclassified from amenable to non-amenable, and the proportion of patients with a GLA amenable mutations were not balanced across the treatment groups (migalastat 67% vs placebo 82%). </w:t>
      </w:r>
      <w:r w:rsidR="00D0160C" w:rsidRPr="00E14B57">
        <w:t>The ESC noted that similar issues were raised in the publication in the New England Journal of Medicine.</w:t>
      </w:r>
    </w:p>
    <w:p w:rsidR="008D3136" w:rsidRPr="00E14B57" w:rsidRDefault="008D3136" w:rsidP="00B63C23">
      <w:pPr>
        <w:pStyle w:val="ListParagraph"/>
        <w:numPr>
          <w:ilvl w:val="0"/>
          <w:numId w:val="3"/>
        </w:numPr>
      </w:pPr>
      <w:r w:rsidRPr="00E14B57">
        <w:t>The variability in the baseline disease characteristics of the patients in the trials is widespread. It is not clear whether the severity criteria of Fabry-related organ burden in ATTRACT and FACETS is consistent with those used to enable patients to access ERT for Fabry disease in Australia. For instance, patients with clinically significant unstable cardiac disease including those with symptomatic arrhythmia were excluded from enrolling in ATTRACT. The extent of benefit patients would derive from treatment with migalastat in Australia is unclear. A higher proportion of patients with a less severe presentation would bias the results in favour of migalastat.</w:t>
      </w:r>
    </w:p>
    <w:p w:rsidR="008D3136" w:rsidRPr="00E14B57" w:rsidRDefault="008D3136" w:rsidP="00B63C23">
      <w:pPr>
        <w:pStyle w:val="ListParagraph"/>
        <w:numPr>
          <w:ilvl w:val="0"/>
          <w:numId w:val="3"/>
        </w:numPr>
      </w:pPr>
      <w:r w:rsidRPr="00E14B57">
        <w:t xml:space="preserve">Efficacy is defined in terms of intermediate outcomes, and collected over a short period of time. The results for ATTRACT and FACETS are for a maximum of 30 months of treatment. </w:t>
      </w:r>
    </w:p>
    <w:p w:rsidR="008D3136" w:rsidRPr="00E14B57" w:rsidRDefault="008D3136" w:rsidP="008D3136">
      <w:pPr>
        <w:pStyle w:val="ListParagraph"/>
        <w:ind w:left="1440"/>
      </w:pPr>
    </w:p>
    <w:p w:rsidR="008D3136" w:rsidRPr="00E14B57" w:rsidRDefault="008D3136" w:rsidP="00B63C23">
      <w:pPr>
        <w:pStyle w:val="ListParagraph"/>
        <w:widowControl/>
        <w:numPr>
          <w:ilvl w:val="1"/>
          <w:numId w:val="2"/>
        </w:numPr>
      </w:pPr>
      <w:r w:rsidRPr="00E14B57">
        <w:t xml:space="preserve">Migalastat was considered to be non-inferior to ERT if the </w:t>
      </w:r>
      <w:r w:rsidR="0073204F" w:rsidRPr="00E14B57">
        <w:t>least squares (</w:t>
      </w:r>
      <w:r w:rsidRPr="00E14B57">
        <w:t>LS</w:t>
      </w:r>
      <w:r w:rsidR="0073204F" w:rsidRPr="00E14B57">
        <w:t>)</w:t>
      </w:r>
      <w:r w:rsidRPr="00E14B57">
        <w:t xml:space="preserve"> mean annualised change in GFR for migalastat was no lower than 2.2 mL/min/1.73m</w:t>
      </w:r>
      <w:r w:rsidRPr="00E14B57">
        <w:rPr>
          <w:vertAlign w:val="superscript"/>
        </w:rPr>
        <w:t>2</w:t>
      </w:r>
      <w:r w:rsidRPr="00E14B57">
        <w:t>/year below the mean annualised rate of change for the ERT group, and the overlap in the 95% confidence intervals were more than 50%. This difference in GFR of 2.2 mL/min/1.73 m</w:t>
      </w:r>
      <w:r w:rsidRPr="00E14B57">
        <w:rPr>
          <w:vertAlign w:val="superscript"/>
        </w:rPr>
        <w:t>2</w:t>
      </w:r>
      <w:r w:rsidRPr="00E14B57">
        <w:t>/year is based on ATTRACT. The trial outcomes presented are biomarker surrogate outcomes, and there is likely to</w:t>
      </w:r>
      <w:r w:rsidR="00AD4EC0" w:rsidRPr="00E14B57">
        <w:t xml:space="preserve"> be</w:t>
      </w:r>
      <w:r w:rsidRPr="00E14B57">
        <w:t xml:space="preserve"> a substantial time lag in detecting improvement after the onset of treatment. </w:t>
      </w:r>
      <w:r w:rsidR="006D2014" w:rsidRPr="00E14B57">
        <w:t xml:space="preserve">The </w:t>
      </w:r>
      <w:r w:rsidR="00C51EB2" w:rsidRPr="00E14B57">
        <w:t xml:space="preserve">longer-term </w:t>
      </w:r>
      <w:r w:rsidR="006D2014" w:rsidRPr="00E14B57">
        <w:t xml:space="preserve">implications of the intermediate outcomes such as the annualised change in GFR </w:t>
      </w:r>
      <w:r w:rsidR="00C51EB2" w:rsidRPr="00E14B57">
        <w:t>for</w:t>
      </w:r>
      <w:r w:rsidR="006D2014" w:rsidRPr="00E14B57">
        <w:t xml:space="preserve"> organ function or survival are unknown.</w:t>
      </w:r>
      <w:r w:rsidR="00CB02C1" w:rsidRPr="00E14B57">
        <w:t xml:space="preserve"> </w:t>
      </w:r>
      <w:r w:rsidR="00DF4C37" w:rsidRPr="00E14B57">
        <w:t>The submission did not address whether intermediate outcomes presented in ATTRACT and FACETS result</w:t>
      </w:r>
      <w:r w:rsidR="00C51EB2" w:rsidRPr="00E14B57">
        <w:t>ed</w:t>
      </w:r>
      <w:r w:rsidR="00DF4C37" w:rsidRPr="00E14B57">
        <w:t xml:space="preserve"> in increased survival and</w:t>
      </w:r>
      <w:r w:rsidR="00C51EB2" w:rsidRPr="00E14B57">
        <w:t>/or</w:t>
      </w:r>
      <w:r w:rsidR="00DF4C37" w:rsidRPr="00E14B57">
        <w:t xml:space="preserve"> improved quality of life</w:t>
      </w:r>
      <w:r w:rsidR="00CB02C1" w:rsidRPr="00E14B57">
        <w:t>.</w:t>
      </w:r>
      <w:r w:rsidR="00CB02C1" w:rsidRPr="00E14B57" w:rsidDel="00CB02C1">
        <w:rPr>
          <w:rStyle w:val="CommentReference"/>
          <w:rFonts w:cs="Times New Roman"/>
        </w:rPr>
        <w:t xml:space="preserve"> </w:t>
      </w:r>
    </w:p>
    <w:p w:rsidR="008D3136" w:rsidRPr="00E14B57" w:rsidRDefault="008D3136" w:rsidP="008D3136">
      <w:pPr>
        <w:pStyle w:val="ListParagraph"/>
        <w:widowControl/>
      </w:pPr>
    </w:p>
    <w:p w:rsidR="008D3136" w:rsidRPr="00E14B57" w:rsidRDefault="008D3136" w:rsidP="00B63C23">
      <w:pPr>
        <w:pStyle w:val="ListParagraph"/>
        <w:widowControl/>
        <w:numPr>
          <w:ilvl w:val="1"/>
          <w:numId w:val="2"/>
        </w:numPr>
      </w:pPr>
      <w:r w:rsidRPr="00E14B57">
        <w:t xml:space="preserve">The submission presented a supportive qualitative indirect comparison of migalastat and ERT using placebo as the common comparator in patients </w:t>
      </w:r>
      <w:r w:rsidR="00BD5F40" w:rsidRPr="00E14B57">
        <w:t xml:space="preserve">who </w:t>
      </w:r>
      <w:r w:rsidRPr="00E14B57">
        <w:t>are treatment naïve. Exchangeability was limited across the migalastat and ERT trials with respect to</w:t>
      </w:r>
      <w:r w:rsidRPr="00E14B57">
        <w:rPr>
          <w:iCs/>
        </w:rPr>
        <w:t xml:space="preserve"> differences in trial eligibility criteria, gender, age, disease severity</w:t>
      </w:r>
      <w:r w:rsidRPr="00E14B57">
        <w:t xml:space="preserve"> and </w:t>
      </w:r>
      <w:r w:rsidRPr="00E14B57">
        <w:rPr>
          <w:iCs/>
        </w:rPr>
        <w:t>time of conduct</w:t>
      </w:r>
      <w:r w:rsidRPr="00E14B57">
        <w:t xml:space="preserve">. </w:t>
      </w:r>
    </w:p>
    <w:p w:rsidR="00902C39" w:rsidRPr="00E14B57" w:rsidRDefault="00902C39" w:rsidP="00902C39">
      <w:pPr>
        <w:pStyle w:val="ListParagraph"/>
      </w:pPr>
    </w:p>
    <w:p w:rsidR="00902C39" w:rsidRPr="00E14B57" w:rsidRDefault="00902C39" w:rsidP="00B63C23">
      <w:pPr>
        <w:pStyle w:val="ListParagraph"/>
        <w:widowControl/>
        <w:numPr>
          <w:ilvl w:val="1"/>
          <w:numId w:val="2"/>
        </w:numPr>
      </w:pPr>
      <w:r w:rsidRPr="00E14B57">
        <w:t>The duration of treatment in the clinical trials was relatively short (30 months), compared to the expected lifelong use of migalastat in clinical practice. The sponsor’s PSCR  stated that the treatment duration in the migala</w:t>
      </w:r>
      <w:r w:rsidR="00B07735" w:rsidRPr="00E14B57">
        <w:t>s</w:t>
      </w:r>
      <w:r w:rsidRPr="00E14B57">
        <w:t>tat trials is no less than the evidence available for other Fabry disease therapies at registration.</w:t>
      </w:r>
      <w:r w:rsidR="00B07735" w:rsidRPr="00E14B57">
        <w:t xml:space="preserve"> </w:t>
      </w:r>
      <w:r w:rsidR="00FA0B9C" w:rsidRPr="00E14B57">
        <w:t>The ESC accepted that the 30 month treatment duration in the trials was reasonable.</w:t>
      </w:r>
    </w:p>
    <w:p w:rsidR="00902C39" w:rsidRPr="00E14B57" w:rsidRDefault="00902C39" w:rsidP="00902C39">
      <w:pPr>
        <w:pStyle w:val="ListParagraph"/>
      </w:pPr>
    </w:p>
    <w:p w:rsidR="00902C39" w:rsidRPr="00E14B57" w:rsidRDefault="000252CD" w:rsidP="00B63C23">
      <w:pPr>
        <w:pStyle w:val="ListParagraph"/>
        <w:widowControl/>
        <w:numPr>
          <w:ilvl w:val="1"/>
          <w:numId w:val="2"/>
        </w:numPr>
      </w:pPr>
      <w:r w:rsidRPr="00E8667E">
        <w:t xml:space="preserve">The evaluation noted that it was unclear </w:t>
      </w:r>
      <w:r w:rsidR="00902C39" w:rsidRPr="00E8667E">
        <w:t>whe</w:t>
      </w:r>
      <w:r w:rsidR="00902C39" w:rsidRPr="00E14B57">
        <w:t xml:space="preserve">ther annualised change in GFR is a patient relevant endpoint and whether the non-inferiority criterion specified in the submission is acceptable. The sponsor’s PSCR stated that GFR is a well-established predictor of cardiovascular disease and all-cause </w:t>
      </w:r>
      <w:r w:rsidR="00B07735" w:rsidRPr="00E14B57">
        <w:t>mortality. The</w:t>
      </w:r>
      <w:r w:rsidR="00902C39" w:rsidRPr="00E14B57">
        <w:t xml:space="preserve"> ESC </w:t>
      </w:r>
      <w:r w:rsidR="00DA40F8" w:rsidRPr="00E14B57">
        <w:t>noted that</w:t>
      </w:r>
      <w:r w:rsidR="00902C39" w:rsidRPr="00E14B57">
        <w:t xml:space="preserve"> that </w:t>
      </w:r>
      <w:r w:rsidR="00793DA3" w:rsidRPr="00E14B57">
        <w:t>GFR is a biomarker surrogate outcome,</w:t>
      </w:r>
      <w:r w:rsidR="00DA40F8" w:rsidRPr="00E14B57">
        <w:t xml:space="preserve"> but considered annualised change in GFR did indicate the treatment effect of migalastat and enzyme replacement therapy</w:t>
      </w:r>
      <w:r w:rsidR="0073204F" w:rsidRPr="00E14B57">
        <w:t>.</w:t>
      </w:r>
    </w:p>
    <w:p w:rsidR="00793DA3" w:rsidRPr="00E14B57" w:rsidRDefault="00793DA3" w:rsidP="00793DA3">
      <w:pPr>
        <w:pStyle w:val="ListParagraph"/>
      </w:pPr>
    </w:p>
    <w:p w:rsidR="00793DA3" w:rsidRPr="00E14B57" w:rsidRDefault="00793DA3" w:rsidP="00B63C23">
      <w:pPr>
        <w:pStyle w:val="ListParagraph"/>
        <w:widowControl/>
        <w:numPr>
          <w:ilvl w:val="1"/>
          <w:numId w:val="2"/>
        </w:numPr>
      </w:pPr>
      <w:r w:rsidRPr="00E14B57">
        <w:t xml:space="preserve">The ESC considered that it is not clear whether the severity of Fabry-related organ burden in the ATTRACT and FACETS trials is consistent with the established criteria for Fabry treatment in </w:t>
      </w:r>
      <w:r w:rsidR="00B07735" w:rsidRPr="00E14B57">
        <w:t>Australia. The</w:t>
      </w:r>
      <w:r w:rsidRPr="00E14B57">
        <w:t xml:space="preserve"> PSCR state</w:t>
      </w:r>
      <w:r w:rsidR="00C54A39" w:rsidRPr="00E14B57">
        <w:t>d</w:t>
      </w:r>
      <w:r w:rsidRPr="00E14B57">
        <w:t xml:space="preserve"> that 88% and 92% of patients had at least two affected organs and associated low residual enzyme activity and elevated levels of plasma lyso-Gb3 in the ATTRACT and FACETS trials, respectively. This suggests that the majority of trial patients had severe Fabry disease and would meet the current eligibility criteria for treatment.</w:t>
      </w:r>
    </w:p>
    <w:p w:rsidR="00AC27B5" w:rsidRDefault="00AC27B5">
      <w:pPr>
        <w:widowControl/>
        <w:jc w:val="left"/>
        <w:rPr>
          <w:b/>
        </w:rPr>
      </w:pPr>
      <w:bookmarkStart w:id="15" w:name="_Toc469328260"/>
      <w:bookmarkStart w:id="16" w:name="_Toc471741266"/>
    </w:p>
    <w:p w:rsidR="008D3136" w:rsidRPr="00E14B57" w:rsidRDefault="008D3136" w:rsidP="008D3136">
      <w:pPr>
        <w:pStyle w:val="Heading2"/>
        <w:rPr>
          <w:i/>
        </w:rPr>
      </w:pPr>
      <w:r w:rsidRPr="00E14B57">
        <w:rPr>
          <w:i/>
        </w:rPr>
        <w:t>Comparative effectiveness</w:t>
      </w:r>
      <w:bookmarkEnd w:id="15"/>
      <w:bookmarkEnd w:id="16"/>
    </w:p>
    <w:p w:rsidR="008D3136" w:rsidRPr="00882085" w:rsidRDefault="008D3136" w:rsidP="008D3136">
      <w:pPr>
        <w:rPr>
          <w:szCs w:val="22"/>
        </w:rPr>
      </w:pPr>
    </w:p>
    <w:p w:rsidR="008D3136" w:rsidRPr="00E14B57" w:rsidRDefault="008D3136" w:rsidP="00B63C23">
      <w:pPr>
        <w:pStyle w:val="ListParagraph"/>
        <w:numPr>
          <w:ilvl w:val="1"/>
          <w:numId w:val="2"/>
        </w:numPr>
      </w:pPr>
      <w:r w:rsidRPr="00E14B57">
        <w:t>A summary of the comparative effectiveness of migalastat versus ERT</w:t>
      </w:r>
      <w:r w:rsidR="00471323" w:rsidRPr="00E14B57">
        <w:t xml:space="preserve"> (</w:t>
      </w:r>
      <w:r w:rsidR="003C5B91" w:rsidRPr="00E14B57">
        <w:t>6</w:t>
      </w:r>
      <w:r w:rsidR="00EA34D3" w:rsidRPr="00E14B57">
        <w:t>6</w:t>
      </w:r>
      <w:r w:rsidR="003C5B91" w:rsidRPr="00E14B57">
        <w:t xml:space="preserve">% of patients were on </w:t>
      </w:r>
      <w:r w:rsidR="00471323" w:rsidRPr="00E14B57">
        <w:t>agalsidase alfa</w:t>
      </w:r>
      <w:r w:rsidR="006D2014" w:rsidRPr="00E14B57">
        <w:t xml:space="preserve"> and</w:t>
      </w:r>
      <w:r w:rsidR="00471323" w:rsidRPr="00E14B57">
        <w:t xml:space="preserve"> </w:t>
      </w:r>
      <w:r w:rsidR="003C5B91" w:rsidRPr="00E14B57">
        <w:t>3</w:t>
      </w:r>
      <w:r w:rsidR="00EA34D3" w:rsidRPr="00E14B57">
        <w:t>4</w:t>
      </w:r>
      <w:r w:rsidR="003C5B91" w:rsidRPr="00E14B57">
        <w:t xml:space="preserve">% </w:t>
      </w:r>
      <w:r w:rsidR="008A37C3" w:rsidRPr="00E14B57">
        <w:t xml:space="preserve">were </w:t>
      </w:r>
      <w:r w:rsidR="003C5B91" w:rsidRPr="00E14B57">
        <w:t xml:space="preserve">on </w:t>
      </w:r>
      <w:r w:rsidR="00471323" w:rsidRPr="00E14B57">
        <w:t>agalsidase beta</w:t>
      </w:r>
      <w:r w:rsidR="00991F2A" w:rsidRPr="00E14B57">
        <w:t>)</w:t>
      </w:r>
      <w:r w:rsidRPr="00E14B57">
        <w:t>, and migalastat versus placebo</w:t>
      </w:r>
      <w:r w:rsidR="0072461D" w:rsidRPr="00E14B57">
        <w:t>,</w:t>
      </w:r>
      <w:r w:rsidRPr="00E14B57">
        <w:t xml:space="preserve"> is presented in Table 3</w:t>
      </w:r>
      <w:r w:rsidR="00163DAA" w:rsidRPr="00E14B57">
        <w:t>,</w:t>
      </w:r>
      <w:r w:rsidRPr="00E14B57">
        <w:t xml:space="preserve"> Table 4</w:t>
      </w:r>
      <w:r w:rsidR="00163DAA" w:rsidRPr="00E14B57">
        <w:t xml:space="preserve"> and Table 5</w:t>
      </w:r>
      <w:r w:rsidRPr="00E14B57">
        <w:t>. There were no statistically significant differences in any of the efficacy measures presented. These results should be interpreted with caution due to the small sample size of the clinical studies and post-hoc nature of the analyses.</w:t>
      </w:r>
    </w:p>
    <w:p w:rsidR="00A20171" w:rsidRDefault="00A20171">
      <w:pPr>
        <w:widowControl/>
        <w:jc w:val="left"/>
      </w:pPr>
      <w:r>
        <w:br w:type="page"/>
      </w:r>
    </w:p>
    <w:p w:rsidR="008849ED" w:rsidRPr="00E14B57" w:rsidRDefault="008849ED" w:rsidP="008849ED">
      <w:pPr>
        <w:pStyle w:val="ListParagraph"/>
      </w:pPr>
    </w:p>
    <w:p w:rsidR="00991F2A" w:rsidRPr="00E14B57" w:rsidRDefault="00B0608C" w:rsidP="00B63C23">
      <w:pPr>
        <w:pStyle w:val="ListParagraph"/>
        <w:numPr>
          <w:ilvl w:val="1"/>
          <w:numId w:val="2"/>
        </w:numPr>
        <w:rPr>
          <w:szCs w:val="22"/>
        </w:rPr>
      </w:pPr>
      <w:r w:rsidRPr="00E14B57">
        <w:t>The non-inferiority and comparability criteria proposed for the annualised rate of change in GFR were based on ATTRACT</w:t>
      </w:r>
      <w:r w:rsidR="00BC396B" w:rsidRPr="00E14B57">
        <w:t xml:space="preserve">, which </w:t>
      </w:r>
      <w:r w:rsidR="00FC23B1" w:rsidRPr="00E14B57">
        <w:t>pre-</w:t>
      </w:r>
      <w:r w:rsidR="00BC396B" w:rsidRPr="00E14B57">
        <w:t xml:space="preserve">specified that </w:t>
      </w:r>
      <w:r w:rsidR="008849ED" w:rsidRPr="00E14B57">
        <w:t xml:space="preserve">the difference between treatments </w:t>
      </w:r>
      <w:r w:rsidR="00FC23B1" w:rsidRPr="00E14B57">
        <w:t>were to be</w:t>
      </w:r>
      <w:r w:rsidR="008849ED" w:rsidRPr="00E14B57">
        <w:t xml:space="preserve"> less than 2.2</w:t>
      </w:r>
      <w:r w:rsidR="00FC23B1" w:rsidRPr="00E14B57">
        <w:t> </w:t>
      </w:r>
      <w:r w:rsidR="008849ED" w:rsidRPr="00E14B57">
        <w:t>mL/min/1.73m</w:t>
      </w:r>
      <w:r w:rsidR="008849ED" w:rsidRPr="00E14B57">
        <w:rPr>
          <w:vertAlign w:val="superscript"/>
        </w:rPr>
        <w:t>2</w:t>
      </w:r>
      <w:r w:rsidR="008849ED" w:rsidRPr="00E14B57">
        <w:t>/year, with more than a 50% overlap in the 95% CIs for both treatment groups</w:t>
      </w:r>
      <w:r w:rsidR="00FC23B1" w:rsidRPr="00E14B57">
        <w:t>.</w:t>
      </w:r>
      <w:r w:rsidR="008849ED" w:rsidRPr="00E14B57">
        <w:t xml:space="preserve"> </w:t>
      </w:r>
      <w:r w:rsidR="008849ED" w:rsidRPr="00E14B57" w:rsidDel="00FC23B1">
        <w:t>On the basis of the results</w:t>
      </w:r>
      <w:r w:rsidR="00FC23B1" w:rsidRPr="00E14B57">
        <w:t xml:space="preserve"> presented in Table 3</w:t>
      </w:r>
      <w:r w:rsidR="008849ED" w:rsidRPr="00E14B57" w:rsidDel="00FC23B1">
        <w:t xml:space="preserve"> the submission claimed that migalastat was non-inferior to ERT </w:t>
      </w:r>
      <w:r w:rsidR="00FC23B1" w:rsidRPr="00E14B57">
        <w:t>in the amenable population over the 18 month treatment period.</w:t>
      </w:r>
      <w:r w:rsidR="0035370D" w:rsidRPr="00E14B57">
        <w:t xml:space="preserve"> </w:t>
      </w:r>
      <w:r w:rsidR="000A21E6">
        <w:t>T</w:t>
      </w:r>
      <w:r w:rsidR="008849ED" w:rsidRPr="00E14B57">
        <w:t>he long-term implications of these results for renal function or survival are unclear.</w:t>
      </w:r>
      <w:r w:rsidR="00DC7A4A" w:rsidRPr="00E14B57">
        <w:t xml:space="preserve"> </w:t>
      </w:r>
    </w:p>
    <w:p w:rsidR="00461055" w:rsidRPr="00461055" w:rsidRDefault="00461055" w:rsidP="00461055">
      <w:pPr>
        <w:rPr>
          <w:szCs w:val="22"/>
        </w:rPr>
      </w:pPr>
    </w:p>
    <w:p w:rsidR="008D3136" w:rsidRDefault="008D3136" w:rsidP="00085604">
      <w:pPr>
        <w:keepNext/>
        <w:widowControl/>
        <w:ind w:left="737" w:hanging="11"/>
        <w:rPr>
          <w:rStyle w:val="CommentReference"/>
        </w:rPr>
      </w:pPr>
      <w:r w:rsidRPr="001F7361">
        <w:rPr>
          <w:rStyle w:val="CommentReference"/>
        </w:rPr>
        <w:t xml:space="preserve">Table </w:t>
      </w:r>
      <w:r>
        <w:rPr>
          <w:rStyle w:val="CommentReference"/>
        </w:rPr>
        <w:t>3: Results of primary</w:t>
      </w:r>
      <w:r w:rsidRPr="001F7361">
        <w:rPr>
          <w:rStyle w:val="CommentReference"/>
        </w:rPr>
        <w:t xml:space="preserve"> ou</w:t>
      </w:r>
      <w:r>
        <w:rPr>
          <w:rStyle w:val="CommentReference"/>
        </w:rPr>
        <w:t>tcome</w:t>
      </w:r>
      <w:r w:rsidRPr="001F7361">
        <w:rPr>
          <w:rStyle w:val="CommentReference"/>
        </w:rPr>
        <w:t xml:space="preserve"> </w:t>
      </w:r>
      <w:r>
        <w:rPr>
          <w:rFonts w:ascii="Arial Narrow" w:hAnsi="Arial Narrow"/>
          <w:b/>
          <w:sz w:val="20"/>
          <w:lang w:val="en-US"/>
        </w:rPr>
        <w:t>in ATTRACT (Treatment experienced, 18 Months)</w:t>
      </w:r>
      <w:r>
        <w:rPr>
          <w:rStyle w:val="CommentReference"/>
        </w:rPr>
        <w:t>:</w:t>
      </w:r>
      <w:r w:rsidRPr="001F7361">
        <w:rPr>
          <w:rStyle w:val="CommentReference"/>
        </w:rPr>
        <w:t xml:space="preserve"> </w:t>
      </w:r>
      <w:r>
        <w:rPr>
          <w:rStyle w:val="CommentReference"/>
        </w:rPr>
        <w:t>a</w:t>
      </w:r>
      <w:r w:rsidRPr="00267C16">
        <w:rPr>
          <w:rStyle w:val="CommentReference"/>
        </w:rPr>
        <w:t>nnualised rate of change in GFR</w:t>
      </w:r>
      <w:r w:rsidRPr="00267C16">
        <w:rPr>
          <w:rStyle w:val="CommentReference"/>
          <w:b w:val="0"/>
        </w:rPr>
        <w:t xml:space="preserve"> </w:t>
      </w:r>
      <w:r w:rsidRPr="00267C16">
        <w:rPr>
          <w:rFonts w:ascii="Arial Narrow" w:hAnsi="Arial Narrow"/>
          <w:b/>
          <w:sz w:val="20"/>
          <w:lang w:val="en-US"/>
        </w:rPr>
        <w:t>(mL/min/1.73m</w:t>
      </w:r>
      <w:r w:rsidRPr="00267C16">
        <w:rPr>
          <w:rFonts w:ascii="Arial Narrow" w:hAnsi="Arial Narrow"/>
          <w:b/>
          <w:sz w:val="20"/>
          <w:vertAlign w:val="superscript"/>
          <w:lang w:val="en-US"/>
        </w:rPr>
        <w:t>2</w:t>
      </w:r>
      <w:r w:rsidRPr="00267C16">
        <w:rPr>
          <w:rFonts w:ascii="Arial Narrow" w:hAnsi="Arial Narrow"/>
          <w:b/>
          <w:sz w:val="20"/>
          <w:lang w:val="en-US"/>
        </w:rPr>
        <w:t>/year)</w:t>
      </w:r>
      <w:r>
        <w:rPr>
          <w:rFonts w:ascii="Arial Narrow" w:hAnsi="Arial Narrow"/>
          <w:b/>
          <w:sz w:val="20"/>
          <w:lang w:val="en-US"/>
        </w:rPr>
        <w:t xml:space="preserve"> </w:t>
      </w:r>
    </w:p>
    <w:tbl>
      <w:tblPr>
        <w:tblW w:w="4584" w:type="pct"/>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Results of primary outcome in ATTRACT (Treatment experienced, 18 Months): annualised rate of change in GFR (mL/min/1.73m2/year) "/>
      </w:tblPr>
      <w:tblGrid>
        <w:gridCol w:w="1750"/>
        <w:gridCol w:w="2191"/>
        <w:gridCol w:w="2195"/>
        <w:gridCol w:w="2190"/>
      </w:tblGrid>
      <w:tr w:rsidR="008D3136" w:rsidRPr="00E2771E" w:rsidTr="001E64BC">
        <w:tc>
          <w:tcPr>
            <w:tcW w:w="1051" w:type="pct"/>
            <w:tcBorders>
              <w:bottom w:val="single" w:sz="4" w:space="0" w:color="auto"/>
            </w:tcBorders>
            <w:shd w:val="clear" w:color="auto" w:fill="auto"/>
            <w:vAlign w:val="center"/>
          </w:tcPr>
          <w:p w:rsidR="008D3136" w:rsidRPr="00E2771E" w:rsidRDefault="008D3136" w:rsidP="001E64BC">
            <w:pPr>
              <w:keepNext/>
              <w:jc w:val="left"/>
              <w:rPr>
                <w:rFonts w:ascii="Arial Narrow" w:hAnsi="Arial Narrow"/>
                <w:b/>
                <w:sz w:val="20"/>
                <w:lang w:val="en-US"/>
              </w:rPr>
            </w:pPr>
          </w:p>
        </w:tc>
        <w:tc>
          <w:tcPr>
            <w:tcW w:w="1316" w:type="pct"/>
            <w:tcBorders>
              <w:bottom w:val="single" w:sz="4" w:space="0" w:color="auto"/>
            </w:tcBorders>
            <w:shd w:val="clear" w:color="auto" w:fill="auto"/>
            <w:vAlign w:val="center"/>
          </w:tcPr>
          <w:p w:rsidR="008D3136" w:rsidRPr="00E2771E" w:rsidRDefault="008D3136" w:rsidP="001E64BC">
            <w:pPr>
              <w:keepNext/>
              <w:jc w:val="center"/>
              <w:rPr>
                <w:rFonts w:ascii="Arial Narrow" w:hAnsi="Arial Narrow"/>
                <w:b/>
                <w:sz w:val="20"/>
                <w:lang w:val="en-US"/>
              </w:rPr>
            </w:pPr>
            <w:r>
              <w:rPr>
                <w:rFonts w:ascii="Arial Narrow" w:hAnsi="Arial Narrow"/>
                <w:b/>
                <w:sz w:val="20"/>
                <w:lang w:val="en-US"/>
              </w:rPr>
              <w:t>Migalastat</w:t>
            </w:r>
          </w:p>
          <w:p w:rsidR="008D3136" w:rsidRPr="00E2771E" w:rsidRDefault="008D3136" w:rsidP="001E64BC">
            <w:pPr>
              <w:keepNext/>
              <w:jc w:val="center"/>
              <w:rPr>
                <w:rFonts w:ascii="Arial Narrow" w:hAnsi="Arial Narrow"/>
                <w:b/>
                <w:sz w:val="20"/>
                <w:lang w:val="en-US"/>
              </w:rPr>
            </w:pPr>
            <w:r>
              <w:rPr>
                <w:rFonts w:ascii="Arial Narrow" w:hAnsi="Arial Narrow"/>
                <w:b/>
                <w:sz w:val="20"/>
                <w:lang w:val="en-US"/>
              </w:rPr>
              <w:t xml:space="preserve">LS </w:t>
            </w:r>
            <w:r w:rsidRPr="00E2771E">
              <w:rPr>
                <w:rFonts w:ascii="Arial Narrow" w:hAnsi="Arial Narrow"/>
                <w:b/>
                <w:sz w:val="20"/>
                <w:lang w:val="en-US"/>
              </w:rPr>
              <w:t>mean</w:t>
            </w:r>
            <w:r>
              <w:rPr>
                <w:rFonts w:ascii="Arial Narrow" w:hAnsi="Arial Narrow"/>
                <w:b/>
                <w:sz w:val="20"/>
                <w:lang w:val="en-US"/>
              </w:rPr>
              <w:t xml:space="preserve"> change</w:t>
            </w:r>
            <w:r w:rsidRPr="00E2771E">
              <w:rPr>
                <w:rFonts w:ascii="Arial Narrow" w:hAnsi="Arial Narrow"/>
                <w:b/>
                <w:sz w:val="20"/>
                <w:lang w:val="en-US"/>
              </w:rPr>
              <w:t xml:space="preserve"> </w:t>
            </w:r>
            <w:r>
              <w:rPr>
                <w:rFonts w:ascii="Arial Narrow" w:hAnsi="Arial Narrow"/>
                <w:b/>
                <w:sz w:val="20"/>
                <w:lang w:val="en-US"/>
              </w:rPr>
              <w:t>(SE)</w:t>
            </w:r>
          </w:p>
        </w:tc>
        <w:tc>
          <w:tcPr>
            <w:tcW w:w="1318" w:type="pct"/>
            <w:tcBorders>
              <w:bottom w:val="single" w:sz="4" w:space="0" w:color="auto"/>
            </w:tcBorders>
            <w:shd w:val="clear" w:color="auto" w:fill="auto"/>
            <w:vAlign w:val="center"/>
          </w:tcPr>
          <w:p w:rsidR="008D3136" w:rsidRPr="00E2771E" w:rsidRDefault="008D3136" w:rsidP="001E64BC">
            <w:pPr>
              <w:keepNext/>
              <w:jc w:val="center"/>
              <w:rPr>
                <w:rFonts w:ascii="Arial Narrow" w:hAnsi="Arial Narrow"/>
                <w:b/>
                <w:sz w:val="20"/>
                <w:lang w:val="en-US"/>
              </w:rPr>
            </w:pPr>
            <w:r>
              <w:rPr>
                <w:rFonts w:ascii="Arial Narrow" w:hAnsi="Arial Narrow"/>
                <w:b/>
                <w:sz w:val="20"/>
                <w:lang w:val="en-US"/>
              </w:rPr>
              <w:t>ERT</w:t>
            </w:r>
          </w:p>
          <w:p w:rsidR="008D3136" w:rsidRPr="00E2771E" w:rsidRDefault="008D3136" w:rsidP="001E64BC">
            <w:pPr>
              <w:keepNext/>
              <w:jc w:val="center"/>
              <w:rPr>
                <w:rFonts w:ascii="Arial Narrow" w:hAnsi="Arial Narrow"/>
                <w:b/>
                <w:sz w:val="20"/>
                <w:lang w:val="en-US"/>
              </w:rPr>
            </w:pPr>
            <w:r>
              <w:rPr>
                <w:rFonts w:ascii="Arial Narrow" w:hAnsi="Arial Narrow"/>
                <w:b/>
                <w:sz w:val="20"/>
                <w:lang w:val="en-US"/>
              </w:rPr>
              <w:t>LS mean change (SE)</w:t>
            </w:r>
          </w:p>
        </w:tc>
        <w:tc>
          <w:tcPr>
            <w:tcW w:w="1315" w:type="pct"/>
            <w:tcBorders>
              <w:bottom w:val="single" w:sz="4" w:space="0" w:color="auto"/>
            </w:tcBorders>
            <w:shd w:val="clear" w:color="auto" w:fill="auto"/>
            <w:vAlign w:val="center"/>
          </w:tcPr>
          <w:p w:rsidR="008D3136" w:rsidRPr="00E2771E" w:rsidRDefault="008D3136" w:rsidP="001E64BC">
            <w:pPr>
              <w:keepNext/>
              <w:jc w:val="center"/>
              <w:rPr>
                <w:rFonts w:ascii="Arial Narrow" w:hAnsi="Arial Narrow"/>
                <w:b/>
                <w:sz w:val="20"/>
                <w:lang w:val="en-US"/>
              </w:rPr>
            </w:pPr>
            <w:r>
              <w:rPr>
                <w:rFonts w:ascii="Arial Narrow" w:hAnsi="Arial Narrow"/>
                <w:b/>
                <w:sz w:val="20"/>
                <w:lang w:val="en-US"/>
              </w:rPr>
              <w:t>Mean difference</w:t>
            </w:r>
          </w:p>
          <w:p w:rsidR="008D3136" w:rsidRPr="00E2771E" w:rsidRDefault="008D3136" w:rsidP="001E64BC">
            <w:pPr>
              <w:keepNext/>
              <w:jc w:val="center"/>
              <w:rPr>
                <w:rFonts w:ascii="Arial Narrow" w:hAnsi="Arial Narrow"/>
                <w:b/>
                <w:sz w:val="20"/>
                <w:lang w:val="en-US"/>
              </w:rPr>
            </w:pPr>
            <w:r w:rsidRPr="00E2771E">
              <w:rPr>
                <w:rFonts w:ascii="Arial Narrow" w:hAnsi="Arial Narrow"/>
                <w:b/>
                <w:sz w:val="20"/>
                <w:lang w:val="en-US"/>
              </w:rPr>
              <w:t>(95% CI)</w:t>
            </w:r>
          </w:p>
        </w:tc>
      </w:tr>
      <w:tr w:rsidR="008D3136" w:rsidRPr="00E2771E" w:rsidTr="001E64BC">
        <w:tc>
          <w:tcPr>
            <w:tcW w:w="1051" w:type="pct"/>
            <w:tcBorders>
              <w:right w:val="nil"/>
            </w:tcBorders>
            <w:shd w:val="clear" w:color="auto" w:fill="auto"/>
            <w:vAlign w:val="center"/>
          </w:tcPr>
          <w:p w:rsidR="008D3136" w:rsidRPr="00EA3F7F" w:rsidRDefault="008D3136" w:rsidP="0043385D">
            <w:pPr>
              <w:keepNext/>
              <w:jc w:val="left"/>
              <w:rPr>
                <w:rFonts w:ascii="Arial Narrow" w:hAnsi="Arial Narrow"/>
                <w:b/>
                <w:sz w:val="20"/>
                <w:lang w:val="en-US"/>
              </w:rPr>
            </w:pPr>
            <w:r w:rsidRPr="00EA3F7F">
              <w:rPr>
                <w:rFonts w:ascii="Arial Narrow" w:hAnsi="Arial Narrow"/>
                <w:b/>
                <w:sz w:val="20"/>
                <w:lang w:val="en-US"/>
              </w:rPr>
              <w:t>eGFR</w:t>
            </w:r>
            <w:r w:rsidRPr="00EA3F7F">
              <w:rPr>
                <w:rFonts w:ascii="Arial Narrow" w:hAnsi="Arial Narrow"/>
                <w:b/>
                <w:sz w:val="20"/>
                <w:vertAlign w:val="subscript"/>
                <w:lang w:val="en-US"/>
              </w:rPr>
              <w:t>CKD-EPI</w:t>
            </w:r>
            <w:r w:rsidR="0043385D" w:rsidRPr="00EA3F7F">
              <w:rPr>
                <w:rFonts w:ascii="Arial Narrow" w:hAnsi="Arial Narrow"/>
                <w:b/>
                <w:sz w:val="20"/>
                <w:vertAlign w:val="superscript"/>
                <w:lang w:val="en-US"/>
              </w:rPr>
              <w:t>a</w:t>
            </w:r>
          </w:p>
        </w:tc>
        <w:tc>
          <w:tcPr>
            <w:tcW w:w="1316" w:type="pct"/>
            <w:tcBorders>
              <w:left w:val="nil"/>
              <w:right w:val="nil"/>
            </w:tcBorders>
            <w:shd w:val="clear" w:color="auto" w:fill="auto"/>
            <w:vAlign w:val="center"/>
          </w:tcPr>
          <w:p w:rsidR="008D3136" w:rsidRPr="00E2771E" w:rsidRDefault="008D3136" w:rsidP="001E64BC">
            <w:pPr>
              <w:keepNext/>
              <w:jc w:val="center"/>
              <w:rPr>
                <w:rFonts w:ascii="Arial Narrow" w:hAnsi="Arial Narrow"/>
                <w:sz w:val="20"/>
                <w:lang w:val="en-US"/>
              </w:rPr>
            </w:pPr>
          </w:p>
        </w:tc>
        <w:tc>
          <w:tcPr>
            <w:tcW w:w="1318" w:type="pct"/>
            <w:tcBorders>
              <w:left w:val="nil"/>
              <w:right w:val="nil"/>
            </w:tcBorders>
            <w:shd w:val="clear" w:color="auto" w:fill="auto"/>
            <w:vAlign w:val="center"/>
          </w:tcPr>
          <w:p w:rsidR="008D3136" w:rsidRPr="00E2771E" w:rsidRDefault="008D3136" w:rsidP="001E64BC">
            <w:pPr>
              <w:keepNext/>
              <w:jc w:val="center"/>
              <w:rPr>
                <w:rFonts w:ascii="Arial Narrow" w:hAnsi="Arial Narrow"/>
                <w:sz w:val="20"/>
                <w:lang w:val="en-US"/>
              </w:rPr>
            </w:pPr>
          </w:p>
        </w:tc>
        <w:tc>
          <w:tcPr>
            <w:tcW w:w="1315" w:type="pct"/>
            <w:tcBorders>
              <w:left w:val="nil"/>
              <w:right w:val="single" w:sz="4" w:space="0" w:color="auto"/>
            </w:tcBorders>
            <w:shd w:val="clear" w:color="auto" w:fill="auto"/>
            <w:vAlign w:val="center"/>
          </w:tcPr>
          <w:p w:rsidR="008D3136" w:rsidRPr="00E2771E" w:rsidRDefault="008D3136" w:rsidP="001E64BC">
            <w:pPr>
              <w:keepNext/>
              <w:jc w:val="center"/>
              <w:rPr>
                <w:rFonts w:ascii="Arial Narrow" w:hAnsi="Arial Narrow"/>
                <w:sz w:val="20"/>
                <w:lang w:val="en-US"/>
              </w:rPr>
            </w:pPr>
          </w:p>
        </w:tc>
      </w:tr>
      <w:tr w:rsidR="008D3136" w:rsidRPr="00E2771E" w:rsidTr="001E64BC">
        <w:tc>
          <w:tcPr>
            <w:tcW w:w="1051" w:type="pct"/>
            <w:shd w:val="clear" w:color="auto" w:fill="auto"/>
            <w:vAlign w:val="center"/>
          </w:tcPr>
          <w:p w:rsidR="008D3136" w:rsidRPr="00E2771E" w:rsidRDefault="008D3136" w:rsidP="001E64BC">
            <w:pPr>
              <w:keepNext/>
              <w:jc w:val="left"/>
              <w:rPr>
                <w:rFonts w:ascii="Arial Narrow" w:hAnsi="Arial Narrow"/>
                <w:sz w:val="20"/>
                <w:lang w:val="en-US"/>
              </w:rPr>
            </w:pPr>
            <w:r>
              <w:rPr>
                <w:rFonts w:ascii="Arial Narrow" w:hAnsi="Arial Narrow"/>
                <w:sz w:val="20"/>
                <w:lang w:val="en-US"/>
              </w:rPr>
              <w:t xml:space="preserve">ITT </w:t>
            </w:r>
          </w:p>
        </w:tc>
        <w:tc>
          <w:tcPr>
            <w:tcW w:w="1316" w:type="pct"/>
            <w:shd w:val="clear" w:color="auto" w:fill="auto"/>
          </w:tcPr>
          <w:p w:rsidR="008D3136" w:rsidRPr="003E6214" w:rsidRDefault="008D3136" w:rsidP="001E64BC">
            <w:pPr>
              <w:keepNext/>
              <w:jc w:val="center"/>
              <w:rPr>
                <w:rFonts w:ascii="Arial Narrow" w:hAnsi="Arial Narrow"/>
                <w:i/>
                <w:sz w:val="20"/>
                <w:lang w:val="en-US"/>
              </w:rPr>
            </w:pPr>
            <w:r w:rsidRPr="003E6214">
              <w:rPr>
                <w:rFonts w:ascii="Arial Narrow" w:hAnsi="Arial Narrow"/>
                <w:i/>
                <w:sz w:val="20"/>
                <w:lang w:val="en-US"/>
              </w:rPr>
              <w:t>-0.23 (1.12)</w:t>
            </w:r>
          </w:p>
        </w:tc>
        <w:tc>
          <w:tcPr>
            <w:tcW w:w="1318" w:type="pct"/>
            <w:shd w:val="clear" w:color="auto" w:fill="auto"/>
          </w:tcPr>
          <w:p w:rsidR="008D3136" w:rsidRPr="003E6214" w:rsidRDefault="008D3136" w:rsidP="001E64BC">
            <w:pPr>
              <w:keepNext/>
              <w:jc w:val="center"/>
              <w:rPr>
                <w:rFonts w:ascii="Arial Narrow" w:hAnsi="Arial Narrow"/>
                <w:i/>
                <w:sz w:val="20"/>
                <w:lang w:val="en-US"/>
              </w:rPr>
            </w:pPr>
            <w:r w:rsidRPr="003E6214">
              <w:rPr>
                <w:rFonts w:ascii="Arial Narrow" w:hAnsi="Arial Narrow"/>
                <w:i/>
                <w:sz w:val="20"/>
                <w:lang w:val="en-US"/>
              </w:rPr>
              <w:t>-2.85 (1.46)</w:t>
            </w:r>
          </w:p>
        </w:tc>
        <w:tc>
          <w:tcPr>
            <w:tcW w:w="1315" w:type="pct"/>
            <w:shd w:val="clear" w:color="auto" w:fill="auto"/>
            <w:vAlign w:val="center"/>
          </w:tcPr>
          <w:p w:rsidR="008D3136" w:rsidRPr="003E6214" w:rsidRDefault="008D3136" w:rsidP="001E64BC">
            <w:pPr>
              <w:keepNext/>
              <w:jc w:val="center"/>
              <w:rPr>
                <w:rFonts w:ascii="Arial Narrow" w:hAnsi="Arial Narrow"/>
                <w:i/>
                <w:sz w:val="20"/>
                <w:lang w:val="en-US"/>
              </w:rPr>
            </w:pPr>
            <w:r w:rsidRPr="003E6214">
              <w:rPr>
                <w:rFonts w:ascii="Arial Narrow" w:hAnsi="Arial Narrow"/>
                <w:i/>
                <w:sz w:val="20"/>
                <w:lang w:val="en-US"/>
              </w:rPr>
              <w:t>2.62 (-0.99, 6.23)</w:t>
            </w:r>
          </w:p>
        </w:tc>
      </w:tr>
      <w:tr w:rsidR="008D3136" w:rsidRPr="00E2771E" w:rsidTr="001E64BC">
        <w:tc>
          <w:tcPr>
            <w:tcW w:w="1051" w:type="pct"/>
            <w:tcBorders>
              <w:bottom w:val="single" w:sz="4" w:space="0" w:color="auto"/>
            </w:tcBorders>
            <w:shd w:val="clear" w:color="auto" w:fill="auto"/>
            <w:vAlign w:val="center"/>
          </w:tcPr>
          <w:p w:rsidR="008D3136" w:rsidRPr="00E2771E" w:rsidRDefault="008D3136" w:rsidP="001E64BC">
            <w:pPr>
              <w:keepNext/>
              <w:jc w:val="left"/>
              <w:rPr>
                <w:rFonts w:ascii="Arial Narrow" w:hAnsi="Arial Narrow"/>
                <w:sz w:val="20"/>
                <w:lang w:val="en-US"/>
              </w:rPr>
            </w:pPr>
            <w:r>
              <w:rPr>
                <w:rFonts w:ascii="Arial Narrow" w:hAnsi="Arial Narrow"/>
                <w:sz w:val="20"/>
                <w:lang w:val="en-US"/>
              </w:rPr>
              <w:t>mITT amenable</w:t>
            </w:r>
            <w:r w:rsidR="00512E32" w:rsidRPr="00512E32">
              <w:rPr>
                <w:rFonts w:ascii="Arial Narrow" w:hAnsi="Arial Narrow"/>
                <w:sz w:val="20"/>
                <w:vertAlign w:val="superscript"/>
                <w:lang w:val="en-US"/>
              </w:rPr>
              <w:t>c</w:t>
            </w:r>
          </w:p>
        </w:tc>
        <w:tc>
          <w:tcPr>
            <w:tcW w:w="1316" w:type="pct"/>
            <w:tcBorders>
              <w:bottom w:val="single" w:sz="4" w:space="0" w:color="auto"/>
            </w:tcBorders>
            <w:shd w:val="clear" w:color="auto" w:fill="auto"/>
            <w:vAlign w:val="center"/>
          </w:tcPr>
          <w:p w:rsidR="008D3136" w:rsidRPr="003E6214" w:rsidRDefault="008D3136" w:rsidP="001E64BC">
            <w:pPr>
              <w:keepNext/>
              <w:jc w:val="center"/>
              <w:rPr>
                <w:rFonts w:ascii="Arial Narrow" w:hAnsi="Arial Narrow"/>
                <w:sz w:val="20"/>
                <w:lang w:val="en-US"/>
              </w:rPr>
            </w:pPr>
            <w:r w:rsidRPr="003E6214">
              <w:rPr>
                <w:rFonts w:ascii="Arial Narrow" w:hAnsi="Arial Narrow"/>
                <w:sz w:val="20"/>
                <w:lang w:val="en-US"/>
              </w:rPr>
              <w:t xml:space="preserve">-0.40 </w:t>
            </w:r>
            <w:r w:rsidRPr="00456FA6">
              <w:rPr>
                <w:rFonts w:ascii="Arial Narrow" w:hAnsi="Arial Narrow"/>
                <w:i/>
                <w:sz w:val="20"/>
                <w:lang w:val="en-US"/>
              </w:rPr>
              <w:t>(0.93)</w:t>
            </w:r>
          </w:p>
        </w:tc>
        <w:tc>
          <w:tcPr>
            <w:tcW w:w="1318" w:type="pct"/>
            <w:tcBorders>
              <w:bottom w:val="single" w:sz="4" w:space="0" w:color="auto"/>
            </w:tcBorders>
            <w:shd w:val="clear" w:color="auto" w:fill="auto"/>
            <w:vAlign w:val="center"/>
          </w:tcPr>
          <w:p w:rsidR="008D3136" w:rsidRPr="003E6214" w:rsidRDefault="008D3136" w:rsidP="001E64BC">
            <w:pPr>
              <w:keepNext/>
              <w:jc w:val="center"/>
              <w:rPr>
                <w:rFonts w:ascii="Arial Narrow" w:hAnsi="Arial Narrow"/>
                <w:sz w:val="20"/>
                <w:lang w:val="en-US"/>
              </w:rPr>
            </w:pPr>
            <w:r w:rsidRPr="003E6214">
              <w:rPr>
                <w:rFonts w:ascii="Arial Narrow" w:hAnsi="Arial Narrow"/>
                <w:sz w:val="20"/>
                <w:lang w:val="en-US"/>
              </w:rPr>
              <w:t xml:space="preserve">-1.03 </w:t>
            </w:r>
            <w:r w:rsidRPr="00456FA6">
              <w:rPr>
                <w:rFonts w:ascii="Arial Narrow" w:hAnsi="Arial Narrow"/>
                <w:i/>
                <w:sz w:val="20"/>
                <w:lang w:val="en-US"/>
              </w:rPr>
              <w:t>(1.29)</w:t>
            </w:r>
          </w:p>
        </w:tc>
        <w:tc>
          <w:tcPr>
            <w:tcW w:w="1315" w:type="pct"/>
            <w:tcBorders>
              <w:bottom w:val="single" w:sz="4" w:space="0" w:color="auto"/>
            </w:tcBorders>
            <w:shd w:val="clear" w:color="auto" w:fill="auto"/>
            <w:vAlign w:val="center"/>
          </w:tcPr>
          <w:p w:rsidR="008D3136" w:rsidRPr="00E2771E" w:rsidRDefault="008D3136" w:rsidP="001E64BC">
            <w:pPr>
              <w:keepNext/>
              <w:jc w:val="center"/>
              <w:rPr>
                <w:rFonts w:ascii="Arial Narrow" w:hAnsi="Arial Narrow"/>
                <w:sz w:val="20"/>
                <w:lang w:val="en-US"/>
              </w:rPr>
            </w:pPr>
            <w:r w:rsidRPr="00267C16">
              <w:rPr>
                <w:rFonts w:ascii="Arial Narrow" w:hAnsi="Arial Narrow"/>
                <w:sz w:val="20"/>
                <w:lang w:val="en-US"/>
              </w:rPr>
              <w:t xml:space="preserve">0.63 </w:t>
            </w:r>
            <w:r w:rsidRPr="003E6214">
              <w:rPr>
                <w:rFonts w:ascii="Arial Narrow" w:hAnsi="Arial Narrow"/>
                <w:i/>
                <w:sz w:val="20"/>
                <w:lang w:val="en-US"/>
              </w:rPr>
              <w:t>(-2.49, 3.75)</w:t>
            </w:r>
          </w:p>
        </w:tc>
      </w:tr>
      <w:tr w:rsidR="008D3136" w:rsidRPr="00E2771E" w:rsidTr="001E64BC">
        <w:tc>
          <w:tcPr>
            <w:tcW w:w="1051" w:type="pct"/>
            <w:tcBorders>
              <w:right w:val="nil"/>
            </w:tcBorders>
            <w:shd w:val="clear" w:color="auto" w:fill="auto"/>
            <w:vAlign w:val="center"/>
          </w:tcPr>
          <w:p w:rsidR="008D3136" w:rsidRPr="00EA3F7F" w:rsidRDefault="008D3136" w:rsidP="001E64BC">
            <w:pPr>
              <w:keepNext/>
              <w:jc w:val="left"/>
              <w:rPr>
                <w:rFonts w:ascii="Arial Narrow" w:hAnsi="Arial Narrow"/>
                <w:b/>
                <w:sz w:val="20"/>
                <w:lang w:val="en-US"/>
              </w:rPr>
            </w:pPr>
            <w:r w:rsidRPr="00EA3F7F">
              <w:rPr>
                <w:rFonts w:ascii="Arial Narrow" w:hAnsi="Arial Narrow"/>
                <w:b/>
                <w:sz w:val="20"/>
                <w:lang w:val="en-US"/>
              </w:rPr>
              <w:t>mGFR</w:t>
            </w:r>
            <w:r w:rsidRPr="00EA3F7F">
              <w:rPr>
                <w:rFonts w:ascii="Arial Narrow" w:hAnsi="Arial Narrow"/>
                <w:b/>
                <w:sz w:val="20"/>
                <w:vertAlign w:val="subscript"/>
                <w:lang w:val="en-US"/>
              </w:rPr>
              <w:t>iohexol</w:t>
            </w:r>
            <w:r w:rsidR="0043385D" w:rsidRPr="00EA3F7F">
              <w:rPr>
                <w:rFonts w:ascii="Arial Narrow" w:hAnsi="Arial Narrow"/>
                <w:b/>
                <w:sz w:val="20"/>
                <w:vertAlign w:val="superscript"/>
                <w:lang w:val="en-US"/>
              </w:rPr>
              <w:t xml:space="preserve"> </w:t>
            </w:r>
            <w:r w:rsidR="006E6AE8" w:rsidRPr="00EA3F7F">
              <w:rPr>
                <w:rFonts w:ascii="Arial Narrow" w:hAnsi="Arial Narrow"/>
                <w:b/>
                <w:sz w:val="20"/>
                <w:vertAlign w:val="superscript"/>
                <w:lang w:val="en-US"/>
              </w:rPr>
              <w:t>b</w:t>
            </w:r>
          </w:p>
        </w:tc>
        <w:tc>
          <w:tcPr>
            <w:tcW w:w="1316" w:type="pct"/>
            <w:tcBorders>
              <w:left w:val="nil"/>
              <w:right w:val="nil"/>
            </w:tcBorders>
            <w:shd w:val="clear" w:color="auto" w:fill="auto"/>
            <w:vAlign w:val="center"/>
          </w:tcPr>
          <w:p w:rsidR="008D3136" w:rsidRPr="00E2771E" w:rsidRDefault="008D3136" w:rsidP="001E64BC">
            <w:pPr>
              <w:keepNext/>
              <w:jc w:val="center"/>
              <w:rPr>
                <w:rFonts w:ascii="Arial Narrow" w:hAnsi="Arial Narrow"/>
                <w:sz w:val="20"/>
                <w:lang w:val="en-US"/>
              </w:rPr>
            </w:pPr>
          </w:p>
        </w:tc>
        <w:tc>
          <w:tcPr>
            <w:tcW w:w="1318" w:type="pct"/>
            <w:tcBorders>
              <w:left w:val="nil"/>
              <w:right w:val="nil"/>
            </w:tcBorders>
            <w:shd w:val="clear" w:color="auto" w:fill="auto"/>
            <w:vAlign w:val="center"/>
          </w:tcPr>
          <w:p w:rsidR="008D3136" w:rsidRPr="00E2771E" w:rsidRDefault="008D3136" w:rsidP="001E64BC">
            <w:pPr>
              <w:keepNext/>
              <w:jc w:val="center"/>
              <w:rPr>
                <w:rFonts w:ascii="Arial Narrow" w:hAnsi="Arial Narrow"/>
                <w:sz w:val="20"/>
                <w:lang w:val="en-US"/>
              </w:rPr>
            </w:pPr>
          </w:p>
        </w:tc>
        <w:tc>
          <w:tcPr>
            <w:tcW w:w="1315" w:type="pct"/>
            <w:tcBorders>
              <w:left w:val="nil"/>
              <w:right w:val="single" w:sz="4" w:space="0" w:color="auto"/>
            </w:tcBorders>
            <w:shd w:val="clear" w:color="auto" w:fill="auto"/>
            <w:vAlign w:val="center"/>
          </w:tcPr>
          <w:p w:rsidR="008D3136" w:rsidRPr="00E2771E" w:rsidRDefault="008D3136" w:rsidP="001E64BC">
            <w:pPr>
              <w:keepNext/>
              <w:jc w:val="center"/>
              <w:rPr>
                <w:rFonts w:ascii="Arial Narrow" w:hAnsi="Arial Narrow"/>
                <w:sz w:val="20"/>
                <w:lang w:val="en-US"/>
              </w:rPr>
            </w:pPr>
          </w:p>
        </w:tc>
      </w:tr>
      <w:tr w:rsidR="008D3136" w:rsidRPr="00E2771E" w:rsidTr="001E64BC">
        <w:tc>
          <w:tcPr>
            <w:tcW w:w="1051" w:type="pct"/>
            <w:shd w:val="clear" w:color="auto" w:fill="auto"/>
            <w:vAlign w:val="center"/>
          </w:tcPr>
          <w:p w:rsidR="008D3136" w:rsidRDefault="008D3136" w:rsidP="001E64BC">
            <w:pPr>
              <w:keepNext/>
              <w:jc w:val="left"/>
              <w:rPr>
                <w:rFonts w:ascii="Arial Narrow" w:hAnsi="Arial Narrow"/>
                <w:sz w:val="20"/>
                <w:lang w:val="en-US"/>
              </w:rPr>
            </w:pPr>
            <w:r>
              <w:rPr>
                <w:rFonts w:ascii="Arial Narrow" w:hAnsi="Arial Narrow"/>
                <w:sz w:val="20"/>
                <w:lang w:val="en-US"/>
              </w:rPr>
              <w:t xml:space="preserve">ITT </w:t>
            </w:r>
          </w:p>
        </w:tc>
        <w:tc>
          <w:tcPr>
            <w:tcW w:w="1316" w:type="pct"/>
            <w:shd w:val="clear" w:color="auto" w:fill="auto"/>
          </w:tcPr>
          <w:p w:rsidR="008D3136" w:rsidRPr="00B058A3" w:rsidRDefault="008D3136" w:rsidP="001E64BC">
            <w:pPr>
              <w:keepNext/>
              <w:jc w:val="center"/>
              <w:rPr>
                <w:rFonts w:ascii="Arial Narrow" w:hAnsi="Arial Narrow"/>
                <w:i/>
                <w:sz w:val="20"/>
                <w:lang w:val="en-US"/>
              </w:rPr>
            </w:pPr>
            <w:r w:rsidRPr="00B058A3">
              <w:rPr>
                <w:rFonts w:ascii="Arial Narrow" w:hAnsi="Arial Narrow"/>
                <w:i/>
                <w:sz w:val="20"/>
                <w:lang w:val="en-US"/>
              </w:rPr>
              <w:t xml:space="preserve">-4.29 (1.52) </w:t>
            </w:r>
          </w:p>
        </w:tc>
        <w:tc>
          <w:tcPr>
            <w:tcW w:w="1318" w:type="pct"/>
            <w:shd w:val="clear" w:color="auto" w:fill="auto"/>
          </w:tcPr>
          <w:p w:rsidR="008D3136" w:rsidRPr="00B058A3" w:rsidRDefault="008D3136" w:rsidP="001E64BC">
            <w:pPr>
              <w:keepNext/>
              <w:jc w:val="center"/>
              <w:rPr>
                <w:rFonts w:ascii="Arial Narrow" w:hAnsi="Arial Narrow"/>
                <w:i/>
                <w:sz w:val="20"/>
                <w:lang w:val="en-US"/>
              </w:rPr>
            </w:pPr>
            <w:r w:rsidRPr="00B058A3">
              <w:rPr>
                <w:rFonts w:ascii="Arial Narrow" w:hAnsi="Arial Narrow"/>
                <w:i/>
                <w:sz w:val="20"/>
                <w:lang w:val="en-US"/>
              </w:rPr>
              <w:t>-2.90 (1.98)</w:t>
            </w:r>
          </w:p>
        </w:tc>
        <w:tc>
          <w:tcPr>
            <w:tcW w:w="1315" w:type="pct"/>
            <w:shd w:val="clear" w:color="auto" w:fill="auto"/>
            <w:vAlign w:val="center"/>
          </w:tcPr>
          <w:p w:rsidR="008D3136" w:rsidRPr="00B058A3" w:rsidRDefault="008D3136" w:rsidP="001E64BC">
            <w:pPr>
              <w:keepNext/>
              <w:jc w:val="center"/>
              <w:rPr>
                <w:rFonts w:ascii="Arial Narrow" w:hAnsi="Arial Narrow"/>
                <w:i/>
                <w:sz w:val="20"/>
                <w:lang w:val="en-US"/>
              </w:rPr>
            </w:pPr>
            <w:r w:rsidRPr="00B058A3">
              <w:rPr>
                <w:rFonts w:ascii="Arial Narrow" w:hAnsi="Arial Narrow"/>
                <w:i/>
                <w:sz w:val="20"/>
                <w:lang w:val="en-US"/>
              </w:rPr>
              <w:t>-1.39 (-6.28, 3.50)</w:t>
            </w:r>
          </w:p>
        </w:tc>
      </w:tr>
      <w:tr w:rsidR="008D3136" w:rsidRPr="00E2771E" w:rsidTr="001E64BC">
        <w:tc>
          <w:tcPr>
            <w:tcW w:w="1051" w:type="pct"/>
            <w:shd w:val="clear" w:color="auto" w:fill="auto"/>
            <w:vAlign w:val="center"/>
          </w:tcPr>
          <w:p w:rsidR="008D3136" w:rsidRPr="00E2771E" w:rsidRDefault="008D3136" w:rsidP="001E64BC">
            <w:pPr>
              <w:keepNext/>
              <w:jc w:val="left"/>
              <w:rPr>
                <w:rFonts w:ascii="Arial Narrow" w:hAnsi="Arial Narrow"/>
                <w:sz w:val="20"/>
                <w:lang w:val="en-US"/>
              </w:rPr>
            </w:pPr>
            <w:r>
              <w:rPr>
                <w:rFonts w:ascii="Arial Narrow" w:hAnsi="Arial Narrow"/>
                <w:sz w:val="20"/>
                <w:lang w:val="en-US"/>
              </w:rPr>
              <w:t>mITT amenable</w:t>
            </w:r>
            <w:r w:rsidR="00512E32" w:rsidRPr="00512E32">
              <w:rPr>
                <w:rFonts w:ascii="Arial Narrow" w:hAnsi="Arial Narrow"/>
                <w:sz w:val="20"/>
                <w:vertAlign w:val="superscript"/>
                <w:lang w:val="en-US"/>
              </w:rPr>
              <w:t>c</w:t>
            </w:r>
          </w:p>
        </w:tc>
        <w:tc>
          <w:tcPr>
            <w:tcW w:w="1316" w:type="pct"/>
            <w:shd w:val="clear" w:color="auto" w:fill="auto"/>
            <w:vAlign w:val="center"/>
          </w:tcPr>
          <w:p w:rsidR="008D3136" w:rsidRPr="00E2771E" w:rsidRDefault="008D3136" w:rsidP="001E64BC">
            <w:pPr>
              <w:keepNext/>
              <w:jc w:val="center"/>
              <w:rPr>
                <w:rFonts w:ascii="Arial Narrow" w:hAnsi="Arial Narrow"/>
                <w:sz w:val="20"/>
                <w:lang w:val="en-US"/>
              </w:rPr>
            </w:pPr>
            <w:r w:rsidRPr="00456FA6">
              <w:rPr>
                <w:rFonts w:ascii="Arial Narrow" w:hAnsi="Arial Narrow"/>
                <w:sz w:val="20"/>
                <w:lang w:val="en-US"/>
              </w:rPr>
              <w:t>−4.35 (1.64)</w:t>
            </w:r>
          </w:p>
        </w:tc>
        <w:tc>
          <w:tcPr>
            <w:tcW w:w="1318" w:type="pct"/>
            <w:shd w:val="clear" w:color="auto" w:fill="auto"/>
            <w:vAlign w:val="center"/>
          </w:tcPr>
          <w:p w:rsidR="008D3136" w:rsidRPr="00E2771E" w:rsidRDefault="008D3136" w:rsidP="001E64BC">
            <w:pPr>
              <w:keepNext/>
              <w:jc w:val="center"/>
              <w:rPr>
                <w:rFonts w:ascii="Arial Narrow" w:hAnsi="Arial Narrow"/>
                <w:sz w:val="20"/>
                <w:lang w:val="en-US"/>
              </w:rPr>
            </w:pPr>
            <w:r w:rsidRPr="00456FA6">
              <w:rPr>
                <w:rFonts w:ascii="Arial Narrow" w:hAnsi="Arial Narrow"/>
                <w:sz w:val="20"/>
                <w:lang w:val="en-US"/>
              </w:rPr>
              <w:t>−3.24 (2.27)</w:t>
            </w:r>
          </w:p>
        </w:tc>
        <w:tc>
          <w:tcPr>
            <w:tcW w:w="1315" w:type="pct"/>
            <w:shd w:val="clear" w:color="auto" w:fill="auto"/>
            <w:vAlign w:val="center"/>
          </w:tcPr>
          <w:p w:rsidR="008D3136" w:rsidRPr="00E2771E" w:rsidRDefault="008D3136" w:rsidP="001E64BC">
            <w:pPr>
              <w:keepNext/>
              <w:jc w:val="center"/>
              <w:rPr>
                <w:rFonts w:ascii="Arial Narrow" w:hAnsi="Arial Narrow"/>
                <w:sz w:val="20"/>
                <w:lang w:val="en-US"/>
              </w:rPr>
            </w:pPr>
            <w:r w:rsidRPr="00613F9A">
              <w:rPr>
                <w:rFonts w:ascii="Arial Narrow" w:hAnsi="Arial Narrow"/>
                <w:sz w:val="20"/>
                <w:lang w:val="en-US"/>
              </w:rPr>
              <w:t>-1.11 (-6.60, 4.38)</w:t>
            </w:r>
          </w:p>
        </w:tc>
      </w:tr>
    </w:tbl>
    <w:p w:rsidR="00F87227" w:rsidRDefault="00F87227" w:rsidP="00BC5E41">
      <w:pPr>
        <w:pStyle w:val="TableFooter"/>
        <w:ind w:left="720"/>
        <w:jc w:val="left"/>
      </w:pPr>
      <w:r>
        <w:t xml:space="preserve">Abbreviations: </w:t>
      </w:r>
      <w:r w:rsidR="00F464AE" w:rsidRPr="00F464AE">
        <w:t>CI, Confidence interval; CKD-EPI, Chronic Kidney Disease Epidemiology Collaboration; ERT, Enzyme replacement therapy; GFR, Glomerular filtration rate; ITT, intention to treat; LS, least square; mITT, modified intention to treat; SE, standard error;</w:t>
      </w:r>
    </w:p>
    <w:p w:rsidR="0043385D" w:rsidRDefault="0043385D" w:rsidP="00BC5E41">
      <w:pPr>
        <w:pStyle w:val="TableFooter"/>
        <w:ind w:left="720"/>
        <w:jc w:val="left"/>
      </w:pPr>
      <w:r>
        <w:t xml:space="preserve">a </w:t>
      </w:r>
      <w:r w:rsidRPr="0023303E">
        <w:t>eGFR</w:t>
      </w:r>
      <w:r w:rsidRPr="00BC5E41">
        <w:rPr>
          <w:vertAlign w:val="subscript"/>
        </w:rPr>
        <w:t>CKD-EPI</w:t>
      </w:r>
      <w:r w:rsidRPr="0023303E">
        <w:t xml:space="preserve">, glomerular filtration rate estimated by the Chronic Kidney Disease Epidemiology Collaboration (CKD-EPI) </w:t>
      </w:r>
      <w:r w:rsidR="00B0608C">
        <w:t>equation</w:t>
      </w:r>
    </w:p>
    <w:p w:rsidR="0043385D" w:rsidRDefault="0043385D" w:rsidP="00BC5E41">
      <w:pPr>
        <w:pStyle w:val="TableFooter"/>
        <w:ind w:left="720"/>
        <w:jc w:val="left"/>
      </w:pPr>
      <w:r>
        <w:t xml:space="preserve">b </w:t>
      </w:r>
      <w:r w:rsidRPr="0023303E">
        <w:t>mGFR</w:t>
      </w:r>
      <w:r w:rsidRPr="00BC5E41">
        <w:rPr>
          <w:vertAlign w:val="subscript"/>
        </w:rPr>
        <w:t>iohexol</w:t>
      </w:r>
      <w:r w:rsidRPr="0023303E">
        <w:t>, glomerular filtration rate measurement by iohexol clearance</w:t>
      </w:r>
    </w:p>
    <w:p w:rsidR="00512E32" w:rsidRDefault="00512E32" w:rsidP="00BC5E41">
      <w:pPr>
        <w:pStyle w:val="TableFooter"/>
        <w:ind w:left="720"/>
        <w:jc w:val="left"/>
      </w:pPr>
      <w:r>
        <w:t xml:space="preserve">c </w:t>
      </w:r>
      <w:r>
        <w:rPr>
          <w:i/>
        </w:rPr>
        <w:t xml:space="preserve">Amenable population is described in the submission as “ITT amenable” includes all randomised subjects with mutations amenable to </w:t>
      </w:r>
      <w:r w:rsidRPr="00BE3B64">
        <w:rPr>
          <w:i/>
        </w:rPr>
        <w:t>GLP HEK assay</w:t>
      </w:r>
      <w:r>
        <w:rPr>
          <w:i/>
        </w:rPr>
        <w:t xml:space="preserve">. In FACETS, </w:t>
      </w:r>
      <w:r w:rsidRPr="003D1C9D">
        <w:rPr>
          <w:i/>
        </w:rPr>
        <w:t>there were 6 subjects in the migalastat-migalastat group and 11 subjects in the placebo-migalastat group with non-amenable mutations</w:t>
      </w:r>
      <w:r>
        <w:rPr>
          <w:i/>
        </w:rPr>
        <w:t xml:space="preserve"> (GLP HEK assay).</w:t>
      </w:r>
    </w:p>
    <w:p w:rsidR="006D2014" w:rsidRDefault="008D3136" w:rsidP="00991F2A">
      <w:pPr>
        <w:pStyle w:val="TableFooter"/>
        <w:ind w:firstLine="720"/>
      </w:pPr>
      <w:r>
        <w:t>Source: Table 22 p52, Table 24 p55, Table 29 p60 of the submission;</w:t>
      </w:r>
      <w:r w:rsidRPr="007F1017">
        <w:t xml:space="preserve"> Table</w:t>
      </w:r>
      <w:r>
        <w:t xml:space="preserve"> B.6.1 of the Commentary. </w:t>
      </w:r>
      <w:bookmarkStart w:id="17" w:name="_Ref467929113"/>
    </w:p>
    <w:p w:rsidR="000153E2" w:rsidRPr="00A41954" w:rsidRDefault="000153E2" w:rsidP="000153E2">
      <w:pPr>
        <w:pStyle w:val="ListParagraph"/>
        <w:widowControl/>
        <w:rPr>
          <w:i/>
        </w:rPr>
      </w:pPr>
    </w:p>
    <w:p w:rsidR="000153E2" w:rsidRPr="00E14B57" w:rsidRDefault="000153E2" w:rsidP="00B63C23">
      <w:pPr>
        <w:pStyle w:val="ListParagraph"/>
        <w:widowControl/>
        <w:numPr>
          <w:ilvl w:val="1"/>
          <w:numId w:val="2"/>
        </w:numPr>
      </w:pPr>
      <w:r w:rsidRPr="00E14B57">
        <w:rPr>
          <w:szCs w:val="22"/>
        </w:rPr>
        <w:t>The</w:t>
      </w:r>
      <w:r w:rsidRPr="00E14B57">
        <w:t xml:space="preserve"> primary outcome in FACETS was the proportion of patients who achieved a</w:t>
      </w:r>
      <w:r w:rsidR="00EE3F3C" w:rsidRPr="00E14B57">
        <w:t xml:space="preserve"> response, defined as</w:t>
      </w:r>
      <w:r w:rsidRPr="00E14B57">
        <w:t xml:space="preserve"> more than </w:t>
      </w:r>
      <w:r w:rsidR="004004D2" w:rsidRPr="00E14B57">
        <w:t xml:space="preserve">a </w:t>
      </w:r>
      <w:r w:rsidRPr="00E14B57">
        <w:t>50% reduction in GL3 inclusions per kidney IC at Month 6. A post</w:t>
      </w:r>
      <w:r w:rsidR="004004D2" w:rsidRPr="00E14B57">
        <w:t>-</w:t>
      </w:r>
      <w:r w:rsidRPr="00E14B57">
        <w:t>hoc analysis of Stage 1 results was performed in the 50/67 patients with amenable mutations</w:t>
      </w:r>
      <w:r w:rsidR="006615B1" w:rsidRPr="00E14B57">
        <w:t>;</w:t>
      </w:r>
      <w:r w:rsidRPr="00E14B57">
        <w:t xml:space="preserve"> 41% of migalastat and 28% of</w:t>
      </w:r>
      <w:r w:rsidR="004004D2" w:rsidRPr="00E14B57">
        <w:t xml:space="preserve"> the</w:t>
      </w:r>
      <w:r w:rsidRPr="00E14B57">
        <w:t xml:space="preserve"> placebo group achieved a response (relative risk: 1.44; 95% CI: 0.72, 2.89, see </w:t>
      </w:r>
      <w:r w:rsidR="00EE3F3C" w:rsidRPr="00E14B57">
        <w:t>T</w:t>
      </w:r>
      <w:r w:rsidRPr="00E14B57">
        <w:t>able</w:t>
      </w:r>
      <w:r w:rsidR="00EE3F3C" w:rsidRPr="00E14B57">
        <w:t xml:space="preserve"> </w:t>
      </w:r>
      <w:r w:rsidR="007D6071" w:rsidRPr="00E14B57">
        <w:t>4</w:t>
      </w:r>
      <w:r w:rsidR="005A5F84" w:rsidRPr="00E14B57">
        <w:t>)</w:t>
      </w:r>
      <w:r w:rsidRPr="00E14B57">
        <w:t>. The primary outcome was not met in the ITT population (p=0.30)</w:t>
      </w:r>
      <w:r w:rsidR="003032EF" w:rsidRPr="00E14B57">
        <w:t xml:space="preserve"> and</w:t>
      </w:r>
      <w:r w:rsidR="001E4A61" w:rsidRPr="00E14B57">
        <w:t xml:space="preserve"> </w:t>
      </w:r>
      <w:r w:rsidR="004004D2" w:rsidRPr="00E14B57">
        <w:t xml:space="preserve">a </w:t>
      </w:r>
      <w:r w:rsidR="003032EF" w:rsidRPr="00E14B57">
        <w:t>r</w:t>
      </w:r>
      <w:r w:rsidR="008849ED" w:rsidRPr="00E14B57">
        <w:t xml:space="preserve">esponder analysis was not </w:t>
      </w:r>
      <w:r w:rsidR="004004D2" w:rsidRPr="00E14B57">
        <w:t>conducted for</w:t>
      </w:r>
      <w:r w:rsidR="008849ED" w:rsidRPr="00E14B57">
        <w:t xml:space="preserve"> </w:t>
      </w:r>
      <w:r w:rsidRPr="00E14B57">
        <w:t>the amenable population. The benefit treatment naïve patients with Fabry disease would receive from migalastat is unclear.</w:t>
      </w:r>
    </w:p>
    <w:p w:rsidR="000153E2" w:rsidRDefault="000153E2" w:rsidP="008D3136"/>
    <w:p w:rsidR="00FA4843" w:rsidRDefault="00FA4843" w:rsidP="00FA4843">
      <w:pPr>
        <w:keepNext/>
        <w:ind w:left="737" w:hanging="11"/>
        <w:rPr>
          <w:rStyle w:val="CommentReference"/>
        </w:rPr>
      </w:pPr>
      <w:r w:rsidRPr="001F7361">
        <w:rPr>
          <w:rStyle w:val="CommentReference"/>
        </w:rPr>
        <w:t xml:space="preserve">Table </w:t>
      </w:r>
      <w:r w:rsidR="00074A0F">
        <w:rPr>
          <w:rStyle w:val="CommentReference"/>
        </w:rPr>
        <w:t>4</w:t>
      </w:r>
      <w:r>
        <w:rPr>
          <w:rStyle w:val="CommentReference"/>
        </w:rPr>
        <w:t>: Results of primary</w:t>
      </w:r>
      <w:r w:rsidRPr="001F7361">
        <w:rPr>
          <w:rStyle w:val="CommentReference"/>
        </w:rPr>
        <w:t xml:space="preserve"> ou</w:t>
      </w:r>
      <w:r>
        <w:rPr>
          <w:rStyle w:val="CommentReference"/>
        </w:rPr>
        <w:t>tcome</w:t>
      </w:r>
      <w:r w:rsidRPr="001F7361">
        <w:rPr>
          <w:rStyle w:val="CommentReference"/>
        </w:rPr>
        <w:t xml:space="preserve"> </w:t>
      </w:r>
      <w:r>
        <w:rPr>
          <w:rFonts w:ascii="Arial Narrow" w:hAnsi="Arial Narrow"/>
          <w:b/>
          <w:sz w:val="20"/>
          <w:lang w:val="en-US"/>
        </w:rPr>
        <w:t>in FACETS (Treatment naïve, 6 Months)</w:t>
      </w:r>
      <w:r>
        <w:rPr>
          <w:rStyle w:val="CommentReference"/>
        </w:rPr>
        <w:t>:</w:t>
      </w:r>
      <w:r w:rsidRPr="001F7361">
        <w:rPr>
          <w:rStyle w:val="CommentReference"/>
        </w:rPr>
        <w:t xml:space="preserve"> </w:t>
      </w:r>
      <w:r w:rsidRPr="00FA4843">
        <w:rPr>
          <w:rStyle w:val="CommentReference"/>
        </w:rPr>
        <w:t>kidney IC GL3 inclusions (ITT population)</w:t>
      </w:r>
    </w:p>
    <w:tbl>
      <w:tblPr>
        <w:tblW w:w="4540" w:type="pct"/>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4: Results of primary outcome in FACETS (Treatment naïve, 6 Months): kidney IC GL3 inclusions (ITT population)"/>
      </w:tblPr>
      <w:tblGrid>
        <w:gridCol w:w="5354"/>
        <w:gridCol w:w="1519"/>
        <w:gridCol w:w="1519"/>
      </w:tblGrid>
      <w:tr w:rsidR="008849ED" w:rsidRPr="00525905" w:rsidTr="008849ED">
        <w:tc>
          <w:tcPr>
            <w:tcW w:w="3190" w:type="pct"/>
            <w:shd w:val="clear" w:color="auto" w:fill="auto"/>
          </w:tcPr>
          <w:p w:rsidR="00445C3F" w:rsidRPr="00525905" w:rsidRDefault="00445C3F" w:rsidP="00A126F9">
            <w:pPr>
              <w:pStyle w:val="TableHeading"/>
            </w:pPr>
          </w:p>
        </w:tc>
        <w:tc>
          <w:tcPr>
            <w:tcW w:w="905" w:type="pct"/>
            <w:shd w:val="clear" w:color="auto" w:fill="auto"/>
          </w:tcPr>
          <w:p w:rsidR="00445C3F" w:rsidRPr="00525905" w:rsidRDefault="00445C3F" w:rsidP="008849ED">
            <w:pPr>
              <w:pStyle w:val="TableHeading"/>
              <w:ind w:left="-59"/>
              <w:jc w:val="center"/>
            </w:pPr>
            <w:r w:rsidRPr="00525905">
              <w:t>Migalastat (N=34)</w:t>
            </w:r>
          </w:p>
        </w:tc>
        <w:tc>
          <w:tcPr>
            <w:tcW w:w="905" w:type="pct"/>
            <w:shd w:val="clear" w:color="auto" w:fill="auto"/>
          </w:tcPr>
          <w:p w:rsidR="00445C3F" w:rsidRPr="00525905" w:rsidRDefault="00445C3F" w:rsidP="008849ED">
            <w:pPr>
              <w:pStyle w:val="TableHeading"/>
              <w:ind w:left="-59"/>
              <w:jc w:val="center"/>
            </w:pPr>
            <w:r w:rsidRPr="00525905">
              <w:t>Placebo (N=33)</w:t>
            </w:r>
          </w:p>
        </w:tc>
      </w:tr>
      <w:tr w:rsidR="008849ED" w:rsidRPr="00AB0797" w:rsidTr="008849ED">
        <w:tc>
          <w:tcPr>
            <w:tcW w:w="3190" w:type="pct"/>
            <w:shd w:val="clear" w:color="auto" w:fill="auto"/>
          </w:tcPr>
          <w:p w:rsidR="00445C3F" w:rsidRPr="00AB0797" w:rsidRDefault="00445C3F" w:rsidP="00A126F9">
            <w:pPr>
              <w:pStyle w:val="TableText0"/>
              <w:keepNext w:val="0"/>
              <w:widowControl w:val="0"/>
              <w:ind w:left="-72" w:right="-90"/>
            </w:pPr>
            <w:r>
              <w:t xml:space="preserve">Responder: </w:t>
            </w:r>
            <w:r w:rsidRPr="00AB0797">
              <w:t xml:space="preserve"> ≥50% reduction in kidney IC GL-3 inclusions</w:t>
            </w:r>
            <w:r>
              <w:t>, n (%)</w:t>
            </w:r>
          </w:p>
        </w:tc>
        <w:tc>
          <w:tcPr>
            <w:tcW w:w="905" w:type="pct"/>
            <w:shd w:val="clear" w:color="auto" w:fill="auto"/>
          </w:tcPr>
          <w:p w:rsidR="00445C3F" w:rsidRPr="00AB0797" w:rsidRDefault="00445C3F" w:rsidP="00A126F9">
            <w:pPr>
              <w:pStyle w:val="TableText0"/>
              <w:keepNext w:val="0"/>
              <w:widowControl w:val="0"/>
              <w:ind w:left="-72" w:right="-90"/>
              <w:jc w:val="center"/>
            </w:pPr>
            <w:r>
              <w:t>13/32</w:t>
            </w:r>
            <w:r w:rsidRPr="00D95F8E">
              <w:rPr>
                <w:vertAlign w:val="superscript"/>
              </w:rPr>
              <w:t>a</w:t>
            </w:r>
            <w:r>
              <w:t xml:space="preserve"> (40.6)</w:t>
            </w:r>
          </w:p>
        </w:tc>
        <w:tc>
          <w:tcPr>
            <w:tcW w:w="905" w:type="pct"/>
            <w:shd w:val="clear" w:color="auto" w:fill="auto"/>
          </w:tcPr>
          <w:p w:rsidR="00445C3F" w:rsidRPr="00AB0797" w:rsidRDefault="00445C3F" w:rsidP="00A126F9">
            <w:pPr>
              <w:pStyle w:val="TableText0"/>
              <w:keepNext w:val="0"/>
              <w:widowControl w:val="0"/>
              <w:ind w:left="-72" w:right="-90"/>
              <w:jc w:val="center"/>
            </w:pPr>
            <w:r>
              <w:t>9/32</w:t>
            </w:r>
            <w:r w:rsidRPr="00D95F8E">
              <w:rPr>
                <w:vertAlign w:val="superscript"/>
              </w:rPr>
              <w:t>b</w:t>
            </w:r>
            <w:r>
              <w:t xml:space="preserve"> (</w:t>
            </w:r>
            <w:r w:rsidRPr="00AB0797">
              <w:t>28</w:t>
            </w:r>
            <w:r>
              <w:t>.1)</w:t>
            </w:r>
          </w:p>
        </w:tc>
      </w:tr>
      <w:tr w:rsidR="00445C3F" w:rsidRPr="00AB0797" w:rsidTr="008849ED">
        <w:tc>
          <w:tcPr>
            <w:tcW w:w="3190" w:type="pct"/>
            <w:shd w:val="clear" w:color="auto" w:fill="auto"/>
          </w:tcPr>
          <w:p w:rsidR="00445C3F" w:rsidRDefault="00445C3F" w:rsidP="00A126F9">
            <w:pPr>
              <w:pStyle w:val="TableText0"/>
              <w:keepNext w:val="0"/>
              <w:widowControl w:val="0"/>
              <w:ind w:left="-72" w:right="-90"/>
            </w:pPr>
            <w:r>
              <w:t xml:space="preserve">Mean difference </w:t>
            </w:r>
            <w:r w:rsidRPr="00525905">
              <w:t xml:space="preserve"> (95% CI)</w:t>
            </w:r>
          </w:p>
        </w:tc>
        <w:tc>
          <w:tcPr>
            <w:tcW w:w="1810" w:type="pct"/>
            <w:gridSpan w:val="2"/>
            <w:shd w:val="clear" w:color="auto" w:fill="auto"/>
          </w:tcPr>
          <w:p w:rsidR="00445C3F" w:rsidRDefault="00445C3F" w:rsidP="00A126F9">
            <w:pPr>
              <w:pStyle w:val="TableText0"/>
              <w:keepNext w:val="0"/>
              <w:widowControl w:val="0"/>
              <w:ind w:left="-72" w:right="-90"/>
              <w:jc w:val="center"/>
            </w:pPr>
            <w:r>
              <w:rPr>
                <w:i/>
              </w:rPr>
              <w:t>12.5 (-13.4, 37.3), p=0.30</w:t>
            </w:r>
          </w:p>
        </w:tc>
      </w:tr>
      <w:tr w:rsidR="00445C3F" w:rsidRPr="00AB0797" w:rsidTr="008849ED">
        <w:tc>
          <w:tcPr>
            <w:tcW w:w="3190" w:type="pct"/>
            <w:shd w:val="clear" w:color="auto" w:fill="auto"/>
          </w:tcPr>
          <w:p w:rsidR="00445C3F" w:rsidRDefault="00445C3F" w:rsidP="00A126F9">
            <w:pPr>
              <w:pStyle w:val="TableText0"/>
              <w:keepNext w:val="0"/>
              <w:widowControl w:val="0"/>
              <w:ind w:left="-72" w:right="-90"/>
            </w:pPr>
            <w:r>
              <w:t>Relative risk</w:t>
            </w:r>
            <w:r w:rsidRPr="00525905">
              <w:t xml:space="preserve"> (95% CI)</w:t>
            </w:r>
          </w:p>
        </w:tc>
        <w:tc>
          <w:tcPr>
            <w:tcW w:w="1810" w:type="pct"/>
            <w:gridSpan w:val="2"/>
            <w:shd w:val="clear" w:color="auto" w:fill="auto"/>
          </w:tcPr>
          <w:p w:rsidR="00445C3F" w:rsidRDefault="00445C3F" w:rsidP="00A126F9">
            <w:pPr>
              <w:pStyle w:val="TableText0"/>
              <w:keepNext w:val="0"/>
              <w:widowControl w:val="0"/>
              <w:ind w:left="-72" w:right="-90"/>
              <w:jc w:val="center"/>
            </w:pPr>
            <w:r>
              <w:t>1.44 (0.72, 2.89); p=NS</w:t>
            </w:r>
            <w:r w:rsidRPr="008849ED">
              <w:rPr>
                <w:vertAlign w:val="superscript"/>
              </w:rPr>
              <w:t>c</w:t>
            </w:r>
          </w:p>
        </w:tc>
      </w:tr>
    </w:tbl>
    <w:p w:rsidR="00FA4843" w:rsidRPr="00397832" w:rsidRDefault="00FA4843" w:rsidP="00FA4843">
      <w:pPr>
        <w:pStyle w:val="TableFooter"/>
        <w:ind w:left="720"/>
        <w:jc w:val="left"/>
      </w:pPr>
      <w:r w:rsidRPr="00397832">
        <w:t xml:space="preserve">Abbreviations: </w:t>
      </w:r>
      <w:r w:rsidR="009E6054">
        <w:t xml:space="preserve">CI, confidence interval; </w:t>
      </w:r>
      <w:r w:rsidRPr="00397832">
        <w:t>GL3, globotriaosylceramide;</w:t>
      </w:r>
      <w:r w:rsidR="009E6054">
        <w:t xml:space="preserve"> </w:t>
      </w:r>
      <w:r w:rsidR="009E6054" w:rsidRPr="00397832">
        <w:t xml:space="preserve">IC, interstitial capillaries; </w:t>
      </w:r>
      <w:r w:rsidR="009E316B">
        <w:t xml:space="preserve">ITT: intention to treat; </w:t>
      </w:r>
      <w:r w:rsidR="009E6054">
        <w:t>RR, relative risk</w:t>
      </w:r>
    </w:p>
    <w:p w:rsidR="00FA4843" w:rsidRPr="00397832" w:rsidRDefault="00FA4843" w:rsidP="00FA4843">
      <w:pPr>
        <w:pStyle w:val="TableFooter"/>
        <w:ind w:left="720"/>
        <w:jc w:val="left"/>
      </w:pPr>
      <w:r w:rsidRPr="00397832">
        <w:t>a 2 females missing from ITT population due to missing biopsy</w:t>
      </w:r>
    </w:p>
    <w:p w:rsidR="00FA4843" w:rsidRDefault="00FA4843" w:rsidP="00FA4843">
      <w:pPr>
        <w:pStyle w:val="TableFooter"/>
        <w:ind w:left="720"/>
        <w:jc w:val="left"/>
      </w:pPr>
      <w:r w:rsidRPr="00397832">
        <w:t>b 1 patient missing from ITT population due to missing biopsy</w:t>
      </w:r>
    </w:p>
    <w:p w:rsidR="00FA4843" w:rsidRPr="00397832" w:rsidRDefault="00FA4843" w:rsidP="00FA4843">
      <w:pPr>
        <w:pStyle w:val="TableFooter"/>
        <w:ind w:left="720"/>
        <w:jc w:val="left"/>
      </w:pPr>
      <w:r w:rsidRPr="00397832">
        <w:t>c Calculated post hoc using RevMan 5.3</w:t>
      </w:r>
    </w:p>
    <w:p w:rsidR="00FA4843" w:rsidRDefault="00FA4843" w:rsidP="00B0608C">
      <w:pPr>
        <w:pStyle w:val="TableFooter"/>
        <w:ind w:left="720"/>
        <w:jc w:val="left"/>
        <w:rPr>
          <w:rStyle w:val="CommentReference"/>
        </w:rPr>
      </w:pPr>
      <w:r w:rsidRPr="00B5104C">
        <w:t xml:space="preserve">Source: </w:t>
      </w:r>
      <w:r>
        <w:t>Table 28</w:t>
      </w:r>
      <w:r w:rsidRPr="00A97A05">
        <w:t xml:space="preserve"> p</w:t>
      </w:r>
      <w:r>
        <w:t xml:space="preserve">60 of the submission: </w:t>
      </w:r>
      <w:r w:rsidRPr="007F1017">
        <w:t>Table</w:t>
      </w:r>
      <w:r>
        <w:t xml:space="preserve"> B.6.</w:t>
      </w:r>
      <w:r w:rsidR="009E316B">
        <w:t>2</w:t>
      </w:r>
      <w:r>
        <w:t xml:space="preserve"> of the Commentary.</w:t>
      </w:r>
    </w:p>
    <w:p w:rsidR="00FA4843" w:rsidRDefault="00FA4843" w:rsidP="008D3136"/>
    <w:p w:rsidR="00B0608C" w:rsidRDefault="00B0608C" w:rsidP="00B0608C">
      <w:pPr>
        <w:pStyle w:val="ListParagraph"/>
        <w:widowControl/>
        <w:numPr>
          <w:ilvl w:val="1"/>
          <w:numId w:val="2"/>
        </w:numPr>
      </w:pPr>
      <w:r w:rsidRPr="00E14B57">
        <w:t xml:space="preserve">The submission claimed that migalastat was superior to ERT in reducing </w:t>
      </w:r>
      <w:r w:rsidR="008E5BF8" w:rsidRPr="005664E2">
        <w:t>left ventricular mass index</w:t>
      </w:r>
      <w:r w:rsidR="008E5BF8" w:rsidRPr="00E14B57">
        <w:t xml:space="preserve"> </w:t>
      </w:r>
      <w:r w:rsidR="008E5BF8">
        <w:t>(</w:t>
      </w:r>
      <w:r w:rsidRPr="00E14B57">
        <w:t>LVMI</w:t>
      </w:r>
      <w:r w:rsidR="008E5BF8">
        <w:t>)</w:t>
      </w:r>
      <w:r w:rsidRPr="00E14B57">
        <w:t xml:space="preserve"> in Fabry patients. The claim of superiority was based on migalastat achieving a greater reduction from baseline in LVMI compared with ERT in the mITT amenable population of ATTRACT. However, the mean difference in LVMI between the migalastat group and ERT group was not </w:t>
      </w:r>
      <w:r w:rsidR="004004D2" w:rsidRPr="00E14B57">
        <w:t xml:space="preserve">statistically </w:t>
      </w:r>
      <w:r w:rsidRPr="00E14B57">
        <w:t>significant (mean difference: -4.60 g/m</w:t>
      </w:r>
      <w:r w:rsidRPr="00E14B57">
        <w:rPr>
          <w:rFonts w:ascii="Arial Italic" w:hAnsi="Arial Italic"/>
          <w:vertAlign w:val="superscript"/>
        </w:rPr>
        <w:t>2</w:t>
      </w:r>
      <w:r w:rsidRPr="00E14B57">
        <w:t>; 95% CI: -4.77, 13.97). The superiority claim thus depended on the within treatment group changes from baseline; for the migalastat group there was a mean change of -6.6 g/m</w:t>
      </w:r>
      <w:r w:rsidRPr="00E14B57">
        <w:rPr>
          <w:rFonts w:ascii="Arial Italic" w:hAnsi="Arial Italic"/>
          <w:vertAlign w:val="superscript"/>
        </w:rPr>
        <w:t>2</w:t>
      </w:r>
      <w:r w:rsidRPr="00E14B57">
        <w:t>; 95% CI: -11.01, -2.15 and for ERT</w:t>
      </w:r>
      <w:r w:rsidR="00FB690E" w:rsidRPr="00E14B57">
        <w:t xml:space="preserve"> -2.0 g/m</w:t>
      </w:r>
      <w:r w:rsidR="00FB690E" w:rsidRPr="00E14B57">
        <w:rPr>
          <w:rFonts w:ascii="Arial Italic" w:hAnsi="Arial Italic"/>
          <w:vertAlign w:val="superscript"/>
        </w:rPr>
        <w:t>2</w:t>
      </w:r>
      <w:r w:rsidR="00FB690E" w:rsidRPr="00E14B57">
        <w:t>, 95%CI: -10.99, 6.96</w:t>
      </w:r>
      <w:r w:rsidRPr="00E14B57">
        <w:t>. A subgroup analysis was also presented for the change in LVMI in patients with left ventricular hypertrophy (LVH) at baseline. The sample size for patients with LVH at baseline was further reduced from the overall sample, and</w:t>
      </w:r>
      <w:r w:rsidR="0096496D">
        <w:t>,</w:t>
      </w:r>
      <w:r w:rsidRPr="00E14B57">
        <w:t xml:space="preserve"> based on the available data, it was unclear if treatment with migalastat resulted in a reduction in LVMI in patients with LVH at baseline compared with those in</w:t>
      </w:r>
      <w:r w:rsidR="00C42A66">
        <w:t xml:space="preserve"> the mITT amenable population</w:t>
      </w:r>
    </w:p>
    <w:p w:rsidR="00C42A66" w:rsidRPr="00E14B57" w:rsidRDefault="00C42A66" w:rsidP="00C42A66">
      <w:pPr>
        <w:pStyle w:val="ListParagraph"/>
        <w:widowControl/>
      </w:pPr>
    </w:p>
    <w:p w:rsidR="00FA4843" w:rsidRPr="00E14B57" w:rsidRDefault="00B0608C" w:rsidP="00B63C23">
      <w:pPr>
        <w:pStyle w:val="ListParagraph"/>
        <w:widowControl/>
        <w:numPr>
          <w:ilvl w:val="1"/>
          <w:numId w:val="2"/>
        </w:numPr>
      </w:pPr>
      <w:r w:rsidRPr="00E14B57">
        <w:t>The same caveats pertaining to study interpretation (i.e. small sample size) apply in the interpretation of change in LVMI. The PBAC has previously considered that the clinical relevance of left ventricular mass as an outcome in Fabry patients was uncertain as these patients tend to suffer poor diastolic function (agalsidase alfa and agalsidase beta, November 2009 PSD p7).</w:t>
      </w:r>
    </w:p>
    <w:bookmarkEnd w:id="17"/>
    <w:p w:rsidR="00E309E3" w:rsidRDefault="00E309E3">
      <w:pPr>
        <w:widowControl/>
        <w:jc w:val="left"/>
        <w:rPr>
          <w:rStyle w:val="CommentReference"/>
        </w:rPr>
      </w:pPr>
    </w:p>
    <w:p w:rsidR="008D3136" w:rsidRPr="00613F9A" w:rsidRDefault="008D3136" w:rsidP="008D3136">
      <w:pPr>
        <w:keepNext/>
        <w:ind w:left="737" w:hanging="11"/>
        <w:rPr>
          <w:rStyle w:val="CommentReference"/>
        </w:rPr>
      </w:pPr>
      <w:r w:rsidRPr="00613F9A">
        <w:rPr>
          <w:rStyle w:val="CommentReference"/>
        </w:rPr>
        <w:t xml:space="preserve">Table </w:t>
      </w:r>
      <w:r w:rsidR="00B0608C">
        <w:rPr>
          <w:rStyle w:val="CommentReference"/>
        </w:rPr>
        <w:t>5</w:t>
      </w:r>
      <w:r w:rsidRPr="00613F9A">
        <w:rPr>
          <w:rStyle w:val="CommentReference"/>
        </w:rPr>
        <w:t xml:space="preserve">:  </w:t>
      </w:r>
      <w:r>
        <w:rPr>
          <w:rStyle w:val="CommentReference"/>
        </w:rPr>
        <w:t xml:space="preserve">Results of secondary outcome in ATTRACT and FACETS: </w:t>
      </w:r>
      <w:r w:rsidRPr="00613F9A">
        <w:rPr>
          <w:rStyle w:val="CommentReference"/>
        </w:rPr>
        <w:t>Change in LVMI from baseline</w:t>
      </w:r>
    </w:p>
    <w:tbl>
      <w:tblPr>
        <w:tblStyle w:val="TableGrid"/>
        <w:tblW w:w="4548" w:type="pct"/>
        <w:tblInd w:w="836" w:type="dxa"/>
        <w:tblLayout w:type="fixed"/>
        <w:tblLook w:val="04A0" w:firstRow="1" w:lastRow="0" w:firstColumn="1" w:lastColumn="0" w:noHBand="0" w:noVBand="1"/>
        <w:tblCaption w:val="Table 5:  Results of secondary outcome in ATTRACT and FACETS: Change in LVMI from baseline"/>
      </w:tblPr>
      <w:tblGrid>
        <w:gridCol w:w="1117"/>
        <w:gridCol w:w="811"/>
        <w:gridCol w:w="828"/>
        <w:gridCol w:w="811"/>
        <w:gridCol w:w="815"/>
        <w:gridCol w:w="810"/>
        <w:gridCol w:w="810"/>
        <w:gridCol w:w="810"/>
        <w:gridCol w:w="810"/>
        <w:gridCol w:w="785"/>
      </w:tblGrid>
      <w:tr w:rsidR="008D3136" w:rsidRPr="00413097" w:rsidTr="00E517BA">
        <w:trPr>
          <w:tblHeader/>
        </w:trPr>
        <w:tc>
          <w:tcPr>
            <w:tcW w:w="664" w:type="pct"/>
            <w:tcBorders>
              <w:bottom w:val="nil"/>
            </w:tcBorders>
          </w:tcPr>
          <w:p w:rsidR="008D3136" w:rsidRDefault="008D3136" w:rsidP="00684FF0">
            <w:pPr>
              <w:pStyle w:val="TableHeading"/>
              <w:spacing w:before="0" w:after="0"/>
            </w:pPr>
            <w:r>
              <w:t>Study ID</w:t>
            </w:r>
          </w:p>
        </w:tc>
        <w:tc>
          <w:tcPr>
            <w:tcW w:w="2422" w:type="pct"/>
            <w:gridSpan w:val="5"/>
            <w:tcBorders>
              <w:bottom w:val="single" w:sz="4" w:space="0" w:color="auto"/>
            </w:tcBorders>
          </w:tcPr>
          <w:p w:rsidR="008D3136" w:rsidRDefault="008D3136" w:rsidP="00684FF0">
            <w:pPr>
              <w:pStyle w:val="TableHeading"/>
              <w:spacing w:before="0" w:after="0"/>
              <w:jc w:val="center"/>
              <w:rPr>
                <w:lang w:eastAsia="en-AU"/>
              </w:rPr>
            </w:pPr>
            <w:r>
              <w:t>ATTRACT [Treatment experienced]</w:t>
            </w:r>
          </w:p>
        </w:tc>
        <w:tc>
          <w:tcPr>
            <w:tcW w:w="1913" w:type="pct"/>
            <w:gridSpan w:val="4"/>
            <w:tcBorders>
              <w:bottom w:val="single" w:sz="4" w:space="0" w:color="auto"/>
            </w:tcBorders>
          </w:tcPr>
          <w:p w:rsidR="008D3136" w:rsidRDefault="008D3136" w:rsidP="00684FF0">
            <w:pPr>
              <w:pStyle w:val="TableHeading"/>
              <w:spacing w:before="0" w:after="0"/>
              <w:jc w:val="center"/>
              <w:rPr>
                <w:lang w:eastAsia="en-AU"/>
              </w:rPr>
            </w:pPr>
            <w:r>
              <w:t>FACETS [Treatment naïve]</w:t>
            </w:r>
          </w:p>
        </w:tc>
      </w:tr>
      <w:tr w:rsidR="008D3136" w:rsidTr="00E517BA">
        <w:trPr>
          <w:trHeight w:val="159"/>
          <w:tblHeader/>
        </w:trPr>
        <w:tc>
          <w:tcPr>
            <w:tcW w:w="664" w:type="pct"/>
            <w:vMerge w:val="restart"/>
            <w:tcBorders>
              <w:top w:val="nil"/>
              <w:bottom w:val="single" w:sz="4" w:space="0" w:color="auto"/>
            </w:tcBorders>
          </w:tcPr>
          <w:p w:rsidR="008D3136" w:rsidRDefault="008D3136" w:rsidP="00684FF0">
            <w:pPr>
              <w:pStyle w:val="TableHeading"/>
              <w:spacing w:before="0" w:after="0"/>
            </w:pPr>
          </w:p>
        </w:tc>
        <w:tc>
          <w:tcPr>
            <w:tcW w:w="1941" w:type="pct"/>
            <w:gridSpan w:val="4"/>
          </w:tcPr>
          <w:p w:rsidR="008D3136" w:rsidRDefault="008D3136" w:rsidP="00684FF0">
            <w:pPr>
              <w:pStyle w:val="TableHeading"/>
              <w:spacing w:before="0" w:after="0"/>
              <w:jc w:val="center"/>
              <w:rPr>
                <w:lang w:eastAsia="en-AU"/>
              </w:rPr>
            </w:pPr>
            <w:r>
              <w:t>18 months</w:t>
            </w:r>
          </w:p>
        </w:tc>
        <w:tc>
          <w:tcPr>
            <w:tcW w:w="482" w:type="pct"/>
          </w:tcPr>
          <w:p w:rsidR="008D3136" w:rsidRDefault="008D3136" w:rsidP="00684FF0">
            <w:pPr>
              <w:pStyle w:val="TableHeading"/>
              <w:spacing w:before="0" w:after="0"/>
              <w:ind w:left="-101" w:right="-74"/>
              <w:jc w:val="center"/>
            </w:pPr>
            <w:r>
              <w:t>30 Month</w:t>
            </w:r>
          </w:p>
        </w:tc>
        <w:tc>
          <w:tcPr>
            <w:tcW w:w="963" w:type="pct"/>
            <w:gridSpan w:val="2"/>
          </w:tcPr>
          <w:p w:rsidR="008D3136" w:rsidRDefault="008D3136" w:rsidP="00684FF0">
            <w:pPr>
              <w:pStyle w:val="TableHeading"/>
              <w:spacing w:before="0" w:after="0"/>
              <w:jc w:val="center"/>
              <w:rPr>
                <w:lang w:eastAsia="en-AU"/>
              </w:rPr>
            </w:pPr>
            <w:r>
              <w:t>6 months</w:t>
            </w:r>
          </w:p>
        </w:tc>
        <w:tc>
          <w:tcPr>
            <w:tcW w:w="950" w:type="pct"/>
            <w:gridSpan w:val="2"/>
          </w:tcPr>
          <w:p w:rsidR="008D3136" w:rsidRDefault="008D3136" w:rsidP="00684FF0">
            <w:pPr>
              <w:pStyle w:val="TableHeading"/>
              <w:spacing w:before="0" w:after="0"/>
              <w:ind w:left="-96" w:right="-73"/>
              <w:jc w:val="center"/>
              <w:rPr>
                <w:lang w:eastAsia="en-AU"/>
              </w:rPr>
            </w:pPr>
            <w:r>
              <w:t>18 months</w:t>
            </w:r>
          </w:p>
        </w:tc>
      </w:tr>
      <w:tr w:rsidR="008D3136" w:rsidTr="00E517BA">
        <w:trPr>
          <w:tblHeader/>
        </w:trPr>
        <w:tc>
          <w:tcPr>
            <w:tcW w:w="664" w:type="pct"/>
            <w:vMerge/>
            <w:tcBorders>
              <w:top w:val="nil"/>
              <w:bottom w:val="single" w:sz="4" w:space="0" w:color="auto"/>
            </w:tcBorders>
          </w:tcPr>
          <w:p w:rsidR="008D3136" w:rsidRDefault="008D3136" w:rsidP="00684FF0">
            <w:pPr>
              <w:pStyle w:val="TableHeading"/>
              <w:spacing w:before="0" w:after="0"/>
              <w:jc w:val="center"/>
            </w:pPr>
          </w:p>
        </w:tc>
        <w:tc>
          <w:tcPr>
            <w:tcW w:w="482" w:type="pct"/>
            <w:tcBorders>
              <w:bottom w:val="single" w:sz="4" w:space="0" w:color="auto"/>
            </w:tcBorders>
          </w:tcPr>
          <w:p w:rsidR="008D3136" w:rsidRPr="00413097" w:rsidRDefault="008D3136" w:rsidP="00684FF0">
            <w:pPr>
              <w:pStyle w:val="TableHeading"/>
              <w:spacing w:before="0" w:after="0"/>
              <w:jc w:val="center"/>
            </w:pPr>
            <w:r>
              <w:t>MIG</w:t>
            </w:r>
            <w:r>
              <w:br/>
              <w:t>N=36</w:t>
            </w:r>
          </w:p>
        </w:tc>
        <w:tc>
          <w:tcPr>
            <w:tcW w:w="492" w:type="pct"/>
            <w:tcBorders>
              <w:bottom w:val="single" w:sz="4" w:space="0" w:color="auto"/>
            </w:tcBorders>
          </w:tcPr>
          <w:p w:rsidR="008D3136" w:rsidRPr="00413097" w:rsidRDefault="008D3136" w:rsidP="00684FF0">
            <w:pPr>
              <w:pStyle w:val="TableHeading"/>
              <w:spacing w:before="0" w:after="0"/>
              <w:jc w:val="center"/>
            </w:pPr>
            <w:r>
              <w:t>ERT</w:t>
            </w:r>
            <w:r>
              <w:br/>
              <w:t>N=24</w:t>
            </w:r>
          </w:p>
        </w:tc>
        <w:tc>
          <w:tcPr>
            <w:tcW w:w="482" w:type="pct"/>
            <w:tcBorders>
              <w:bottom w:val="single" w:sz="4" w:space="0" w:color="auto"/>
            </w:tcBorders>
          </w:tcPr>
          <w:p w:rsidR="008D3136" w:rsidRDefault="008D3136" w:rsidP="00684FF0">
            <w:pPr>
              <w:pStyle w:val="TableHeading"/>
              <w:spacing w:before="0" w:after="0"/>
              <w:jc w:val="center"/>
            </w:pPr>
            <w:r>
              <w:t>MIG</w:t>
            </w:r>
            <w:r>
              <w:br/>
              <w:t>N=36</w:t>
            </w:r>
          </w:p>
        </w:tc>
        <w:tc>
          <w:tcPr>
            <w:tcW w:w="485" w:type="pct"/>
            <w:tcBorders>
              <w:bottom w:val="single" w:sz="4" w:space="0" w:color="auto"/>
            </w:tcBorders>
          </w:tcPr>
          <w:p w:rsidR="008D3136" w:rsidRDefault="008D3136" w:rsidP="00684FF0">
            <w:pPr>
              <w:pStyle w:val="TableHeading"/>
              <w:spacing w:before="0" w:after="0"/>
              <w:jc w:val="center"/>
            </w:pPr>
            <w:r>
              <w:t>ERT</w:t>
            </w:r>
            <w:r>
              <w:br/>
              <w:t>N=24</w:t>
            </w:r>
          </w:p>
        </w:tc>
        <w:tc>
          <w:tcPr>
            <w:tcW w:w="482" w:type="pct"/>
            <w:tcBorders>
              <w:bottom w:val="single" w:sz="4" w:space="0" w:color="auto"/>
            </w:tcBorders>
          </w:tcPr>
          <w:p w:rsidR="008D3136" w:rsidRDefault="008D3136" w:rsidP="00684FF0">
            <w:pPr>
              <w:pStyle w:val="TableHeading"/>
              <w:spacing w:before="0" w:after="0"/>
              <w:ind w:left="-45" w:right="-88"/>
              <w:jc w:val="center"/>
            </w:pPr>
            <w:r>
              <w:t>MIG-MIG</w:t>
            </w:r>
            <w:r>
              <w:br/>
              <w:t>N=31</w:t>
            </w:r>
          </w:p>
        </w:tc>
        <w:tc>
          <w:tcPr>
            <w:tcW w:w="482" w:type="pct"/>
            <w:tcBorders>
              <w:bottom w:val="single" w:sz="4" w:space="0" w:color="auto"/>
            </w:tcBorders>
          </w:tcPr>
          <w:p w:rsidR="008D3136" w:rsidRPr="00413097" w:rsidRDefault="008D3136" w:rsidP="00684FF0">
            <w:pPr>
              <w:pStyle w:val="TableHeading"/>
              <w:spacing w:before="0" w:after="0"/>
              <w:jc w:val="center"/>
            </w:pPr>
            <w:r>
              <w:t>MIG</w:t>
            </w:r>
            <w:r>
              <w:br/>
              <w:t>N=34</w:t>
            </w:r>
          </w:p>
        </w:tc>
        <w:tc>
          <w:tcPr>
            <w:tcW w:w="482" w:type="pct"/>
            <w:tcBorders>
              <w:bottom w:val="single" w:sz="4" w:space="0" w:color="auto"/>
            </w:tcBorders>
          </w:tcPr>
          <w:p w:rsidR="008D3136" w:rsidRPr="00413097" w:rsidRDefault="008D3136" w:rsidP="00684FF0">
            <w:pPr>
              <w:pStyle w:val="TableHeading"/>
              <w:spacing w:before="0" w:after="0"/>
              <w:jc w:val="center"/>
            </w:pPr>
            <w:r>
              <w:t>PBO</w:t>
            </w:r>
            <w:r>
              <w:br/>
              <w:t>N=33</w:t>
            </w:r>
          </w:p>
        </w:tc>
        <w:tc>
          <w:tcPr>
            <w:tcW w:w="950" w:type="pct"/>
            <w:gridSpan w:val="2"/>
            <w:tcBorders>
              <w:bottom w:val="single" w:sz="4" w:space="0" w:color="auto"/>
            </w:tcBorders>
          </w:tcPr>
          <w:p w:rsidR="008D3136" w:rsidRDefault="008D3136" w:rsidP="00684FF0">
            <w:pPr>
              <w:pStyle w:val="TableHeading"/>
              <w:spacing w:before="0" w:after="0"/>
              <w:ind w:left="-96" w:right="-73"/>
              <w:jc w:val="center"/>
              <w:rPr>
                <w:lang w:eastAsia="en-AU"/>
              </w:rPr>
            </w:pPr>
            <w:r>
              <w:t xml:space="preserve">OLE: MIG-MIG PBO-MIG </w:t>
            </w:r>
          </w:p>
        </w:tc>
      </w:tr>
      <w:tr w:rsidR="008D3136" w:rsidRPr="007B34AB" w:rsidTr="00E517BA">
        <w:tc>
          <w:tcPr>
            <w:tcW w:w="664" w:type="pct"/>
            <w:tcBorders>
              <w:top w:val="single" w:sz="4" w:space="0" w:color="auto"/>
              <w:bottom w:val="single" w:sz="4" w:space="0" w:color="auto"/>
              <w:right w:val="single" w:sz="4" w:space="0" w:color="auto"/>
            </w:tcBorders>
            <w:vAlign w:val="center"/>
          </w:tcPr>
          <w:p w:rsidR="008D3136" w:rsidRPr="005840A1" w:rsidRDefault="008D3136" w:rsidP="00684FF0">
            <w:pPr>
              <w:pStyle w:val="TableText0"/>
              <w:keepNext w:val="0"/>
              <w:widowControl w:val="0"/>
              <w:spacing w:before="0" w:after="0"/>
              <w:ind w:right="-74"/>
            </w:pPr>
            <w:r>
              <w:t>Analysis group</w:t>
            </w:r>
          </w:p>
        </w:tc>
        <w:tc>
          <w:tcPr>
            <w:tcW w:w="974" w:type="pct"/>
            <w:gridSpan w:val="2"/>
            <w:tcBorders>
              <w:top w:val="single" w:sz="4" w:space="0" w:color="auto"/>
              <w:left w:val="single" w:sz="4" w:space="0" w:color="auto"/>
              <w:bottom w:val="single" w:sz="4" w:space="0" w:color="auto"/>
              <w:right w:val="single" w:sz="4" w:space="0" w:color="auto"/>
            </w:tcBorders>
            <w:vAlign w:val="center"/>
          </w:tcPr>
          <w:p w:rsidR="008D3136" w:rsidRPr="00B81A44" w:rsidRDefault="008D3136" w:rsidP="00684FF0">
            <w:pPr>
              <w:pStyle w:val="TableText0"/>
              <w:keepNext w:val="0"/>
              <w:widowControl w:val="0"/>
              <w:spacing w:before="0" w:after="0"/>
              <w:ind w:left="-94" w:right="-93"/>
              <w:jc w:val="center"/>
              <w:rPr>
                <w:i/>
                <w:lang w:eastAsia="en-AU"/>
              </w:rPr>
            </w:pPr>
            <w:r>
              <w:t>mITT amenable</w:t>
            </w:r>
          </w:p>
        </w:tc>
        <w:tc>
          <w:tcPr>
            <w:tcW w:w="966" w:type="pct"/>
            <w:gridSpan w:val="2"/>
            <w:tcBorders>
              <w:top w:val="single" w:sz="4" w:space="0" w:color="auto"/>
              <w:left w:val="single" w:sz="4" w:space="0" w:color="auto"/>
              <w:bottom w:val="single" w:sz="4" w:space="0" w:color="auto"/>
              <w:right w:val="single" w:sz="4" w:space="0" w:color="auto"/>
            </w:tcBorders>
            <w:vAlign w:val="center"/>
          </w:tcPr>
          <w:p w:rsidR="008D3136" w:rsidRPr="009D0AAE" w:rsidRDefault="008D3136" w:rsidP="00684FF0">
            <w:pPr>
              <w:pStyle w:val="TableText0"/>
              <w:keepNext w:val="0"/>
              <w:widowControl w:val="0"/>
              <w:spacing w:before="0" w:after="0"/>
              <w:ind w:left="-94" w:right="-93"/>
              <w:jc w:val="center"/>
              <w:rPr>
                <w:i/>
                <w:lang w:eastAsia="en-AU"/>
              </w:rPr>
            </w:pPr>
            <w:r>
              <w:rPr>
                <w:i/>
              </w:rPr>
              <w:t>Subgroup: LVH b/line</w:t>
            </w:r>
          </w:p>
        </w:tc>
        <w:tc>
          <w:tcPr>
            <w:tcW w:w="482" w:type="pct"/>
            <w:tcBorders>
              <w:top w:val="single" w:sz="4" w:space="0" w:color="auto"/>
              <w:left w:val="single" w:sz="4" w:space="0" w:color="auto"/>
              <w:bottom w:val="single" w:sz="4" w:space="0" w:color="auto"/>
              <w:right w:val="single" w:sz="4" w:space="0" w:color="auto"/>
            </w:tcBorders>
            <w:vAlign w:val="center"/>
          </w:tcPr>
          <w:p w:rsidR="008D3136" w:rsidRPr="009D0AAE" w:rsidRDefault="008D3136" w:rsidP="00684FF0">
            <w:pPr>
              <w:pStyle w:val="tabletextleftjustified"/>
              <w:spacing w:before="0" w:after="0"/>
              <w:ind w:left="-94" w:right="-93"/>
              <w:jc w:val="center"/>
              <w:rPr>
                <w:rFonts w:ascii="Arial Narrow" w:hAnsi="Arial Narrow" w:cs="Arial Narrow"/>
                <w:i/>
                <w:lang w:val="en-AU"/>
              </w:rPr>
            </w:pPr>
            <w:r>
              <w:rPr>
                <w:rFonts w:ascii="Arial Narrow" w:hAnsi="Arial Narrow" w:cs="Arial Narrow"/>
                <w:i/>
                <w:lang w:val="en-AU"/>
              </w:rPr>
              <w:t>OLE</w:t>
            </w:r>
          </w:p>
        </w:tc>
        <w:tc>
          <w:tcPr>
            <w:tcW w:w="963" w:type="pct"/>
            <w:gridSpan w:val="2"/>
            <w:tcBorders>
              <w:top w:val="single" w:sz="4" w:space="0" w:color="auto"/>
              <w:left w:val="single" w:sz="4" w:space="0" w:color="auto"/>
              <w:bottom w:val="single" w:sz="4" w:space="0" w:color="auto"/>
              <w:right w:val="single" w:sz="4" w:space="0" w:color="auto"/>
            </w:tcBorders>
            <w:vAlign w:val="center"/>
          </w:tcPr>
          <w:p w:rsidR="008D3136" w:rsidRPr="009D0AAE" w:rsidRDefault="008D3136" w:rsidP="00684FF0">
            <w:pPr>
              <w:pStyle w:val="tabletextleftjustified"/>
              <w:spacing w:before="0" w:after="0"/>
              <w:ind w:left="-94" w:right="-93"/>
              <w:jc w:val="center"/>
              <w:rPr>
                <w:rFonts w:ascii="Arial Narrow" w:hAnsi="Arial Narrow" w:cs="Arial Narrow"/>
                <w:i/>
                <w:lang w:val="en-AU" w:eastAsia="en-AU"/>
              </w:rPr>
            </w:pPr>
            <w:r w:rsidRPr="00BE18FC">
              <w:rPr>
                <w:rFonts w:ascii="Arial Narrow" w:hAnsi="Arial Narrow" w:cs="Arial Narrow"/>
                <w:i/>
                <w:lang w:val="en-AU"/>
              </w:rPr>
              <w:t>mITT amenable</w:t>
            </w:r>
          </w:p>
        </w:tc>
        <w:tc>
          <w:tcPr>
            <w:tcW w:w="482" w:type="pct"/>
            <w:tcBorders>
              <w:top w:val="single" w:sz="4" w:space="0" w:color="auto"/>
              <w:left w:val="single" w:sz="4" w:space="0" w:color="auto"/>
              <w:bottom w:val="single" w:sz="4" w:space="0" w:color="auto"/>
              <w:right w:val="single" w:sz="4" w:space="0" w:color="auto"/>
            </w:tcBorders>
            <w:vAlign w:val="center"/>
          </w:tcPr>
          <w:p w:rsidR="008D3136" w:rsidRPr="007B34AB" w:rsidRDefault="008D3136" w:rsidP="00684FF0">
            <w:pPr>
              <w:pStyle w:val="tabletextleftjustified"/>
              <w:spacing w:before="0" w:after="0"/>
              <w:ind w:left="-94" w:right="-93"/>
              <w:jc w:val="center"/>
              <w:rPr>
                <w:rFonts w:ascii="Arial Narrow" w:hAnsi="Arial Narrow" w:cs="Arial Narrow"/>
                <w:i/>
                <w:lang w:val="en-AU"/>
              </w:rPr>
            </w:pPr>
            <w:r>
              <w:rPr>
                <w:rFonts w:ascii="Arial Narrow" w:hAnsi="Arial Narrow" w:cs="Arial Narrow"/>
                <w:i/>
                <w:lang w:val="en-AU"/>
              </w:rPr>
              <w:t>OLE</w:t>
            </w:r>
          </w:p>
        </w:tc>
        <w:tc>
          <w:tcPr>
            <w:tcW w:w="468" w:type="pct"/>
            <w:tcBorders>
              <w:top w:val="single" w:sz="4" w:space="0" w:color="auto"/>
              <w:left w:val="single" w:sz="4" w:space="0" w:color="auto"/>
              <w:bottom w:val="single" w:sz="4" w:space="0" w:color="auto"/>
              <w:right w:val="single" w:sz="4" w:space="0" w:color="auto"/>
            </w:tcBorders>
          </w:tcPr>
          <w:p w:rsidR="008D3136" w:rsidRDefault="008D3136" w:rsidP="00684FF0">
            <w:pPr>
              <w:pStyle w:val="tabletextleftjustified"/>
              <w:spacing w:before="0" w:after="0"/>
              <w:ind w:left="-94" w:right="-93"/>
              <w:jc w:val="center"/>
              <w:rPr>
                <w:rFonts w:ascii="Arial Narrow" w:hAnsi="Arial Narrow" w:cs="Arial Narrow"/>
                <w:i/>
                <w:lang w:val="en-AU"/>
              </w:rPr>
            </w:pPr>
            <w:r>
              <w:rPr>
                <w:rFonts w:ascii="Arial Narrow" w:hAnsi="Arial Narrow" w:cs="Arial Narrow"/>
                <w:i/>
                <w:lang w:val="en-AU"/>
              </w:rPr>
              <w:t>S</w:t>
            </w:r>
            <w:r w:rsidRPr="00BE7274">
              <w:rPr>
                <w:rFonts w:ascii="Arial Narrow" w:hAnsi="Arial Narrow" w:cs="Arial Narrow"/>
                <w:i/>
                <w:lang w:val="en-AU"/>
              </w:rPr>
              <w:t>ubgroup: LVH b/line</w:t>
            </w:r>
          </w:p>
        </w:tc>
      </w:tr>
      <w:tr w:rsidR="008D3136" w:rsidRPr="007B34AB" w:rsidTr="00084218">
        <w:tc>
          <w:tcPr>
            <w:tcW w:w="664" w:type="pct"/>
            <w:tcBorders>
              <w:top w:val="single" w:sz="4" w:space="0" w:color="auto"/>
              <w:bottom w:val="nil"/>
              <w:right w:val="single" w:sz="4" w:space="0" w:color="auto"/>
            </w:tcBorders>
            <w:vAlign w:val="center"/>
          </w:tcPr>
          <w:p w:rsidR="008D3136" w:rsidRPr="00E517BA" w:rsidRDefault="00E517BA" w:rsidP="00684FF0">
            <w:pPr>
              <w:pStyle w:val="TableText0"/>
              <w:widowControl w:val="0"/>
              <w:spacing w:before="0" w:after="0"/>
              <w:ind w:right="-74"/>
              <w:rPr>
                <w:i/>
              </w:rPr>
            </w:pPr>
            <w:r>
              <w:t>LVMI (g/m</w:t>
            </w:r>
            <w:r w:rsidRPr="00657DD8">
              <w:rPr>
                <w:vertAlign w:val="superscript"/>
              </w:rPr>
              <w:t>2</w:t>
            </w:r>
            <w:r>
              <w:t>)</w:t>
            </w:r>
          </w:p>
        </w:tc>
        <w:tc>
          <w:tcPr>
            <w:tcW w:w="482" w:type="pct"/>
            <w:tcBorders>
              <w:top w:val="single" w:sz="4" w:space="0" w:color="auto"/>
              <w:left w:val="single" w:sz="4" w:space="0" w:color="auto"/>
              <w:bottom w:val="nil"/>
              <w:right w:val="single" w:sz="4" w:space="0" w:color="auto"/>
            </w:tcBorders>
            <w:vAlign w:val="center"/>
          </w:tcPr>
          <w:p w:rsidR="008D3136" w:rsidRDefault="008D3136" w:rsidP="00684FF0">
            <w:pPr>
              <w:pStyle w:val="TableText0"/>
              <w:keepNext w:val="0"/>
              <w:widowControl w:val="0"/>
              <w:spacing w:before="0" w:after="0"/>
              <w:ind w:left="-94" w:right="-93"/>
              <w:jc w:val="center"/>
              <w:rPr>
                <w:i/>
              </w:rPr>
            </w:pPr>
            <w:r w:rsidRPr="00B81A44">
              <w:rPr>
                <w:i/>
              </w:rPr>
              <w:t>n=</w:t>
            </w:r>
            <w:r>
              <w:rPr>
                <w:i/>
              </w:rPr>
              <w:t>34</w:t>
            </w:r>
          </w:p>
        </w:tc>
        <w:tc>
          <w:tcPr>
            <w:tcW w:w="492" w:type="pct"/>
            <w:tcBorders>
              <w:top w:val="single" w:sz="4" w:space="0" w:color="auto"/>
              <w:left w:val="single" w:sz="4" w:space="0" w:color="auto"/>
              <w:bottom w:val="nil"/>
              <w:right w:val="single" w:sz="4" w:space="0" w:color="auto"/>
            </w:tcBorders>
            <w:vAlign w:val="center"/>
          </w:tcPr>
          <w:p w:rsidR="008D3136" w:rsidRDefault="008D3136" w:rsidP="00684FF0">
            <w:pPr>
              <w:pStyle w:val="TableText0"/>
              <w:keepNext w:val="0"/>
              <w:widowControl w:val="0"/>
              <w:spacing w:before="0" w:after="0"/>
              <w:ind w:left="-94" w:right="-93"/>
              <w:jc w:val="center"/>
              <w:rPr>
                <w:i/>
              </w:rPr>
            </w:pPr>
            <w:r w:rsidRPr="00B81A44">
              <w:rPr>
                <w:i/>
              </w:rPr>
              <w:t>n=</w:t>
            </w:r>
            <w:r>
              <w:rPr>
                <w:i/>
              </w:rPr>
              <w:t>13</w:t>
            </w:r>
          </w:p>
        </w:tc>
        <w:tc>
          <w:tcPr>
            <w:tcW w:w="482" w:type="pct"/>
            <w:tcBorders>
              <w:top w:val="single" w:sz="4" w:space="0" w:color="auto"/>
              <w:left w:val="single" w:sz="4" w:space="0" w:color="auto"/>
              <w:bottom w:val="nil"/>
              <w:right w:val="nil"/>
            </w:tcBorders>
            <w:vAlign w:val="center"/>
          </w:tcPr>
          <w:p w:rsidR="008D3136" w:rsidRDefault="008D3136" w:rsidP="00684FF0">
            <w:pPr>
              <w:pStyle w:val="tabletextleftjustified"/>
              <w:spacing w:before="0" w:after="0"/>
              <w:ind w:left="-94" w:right="-93"/>
              <w:jc w:val="center"/>
              <w:rPr>
                <w:rFonts w:ascii="Arial Narrow" w:hAnsi="Arial Narrow" w:cs="Arial Narrow"/>
                <w:i/>
                <w:lang w:val="en-AU"/>
              </w:rPr>
            </w:pPr>
            <w:r>
              <w:rPr>
                <w:rFonts w:ascii="Arial Narrow" w:hAnsi="Arial Narrow" w:cs="Arial Narrow"/>
                <w:i/>
                <w:lang w:val="en-AU"/>
              </w:rPr>
              <w:t>n=13</w:t>
            </w:r>
          </w:p>
        </w:tc>
        <w:tc>
          <w:tcPr>
            <w:tcW w:w="485" w:type="pct"/>
            <w:tcBorders>
              <w:top w:val="single" w:sz="4" w:space="0" w:color="auto"/>
              <w:left w:val="single" w:sz="4" w:space="0" w:color="auto"/>
              <w:bottom w:val="nil"/>
              <w:right w:val="single" w:sz="4" w:space="0" w:color="auto"/>
            </w:tcBorders>
            <w:vAlign w:val="center"/>
          </w:tcPr>
          <w:p w:rsidR="008D3136" w:rsidRDefault="008D3136" w:rsidP="00684FF0">
            <w:pPr>
              <w:pStyle w:val="tabletextleftjustified"/>
              <w:spacing w:before="0" w:after="0"/>
              <w:ind w:left="-94" w:right="-93"/>
              <w:jc w:val="center"/>
              <w:rPr>
                <w:rFonts w:ascii="Arial Narrow" w:hAnsi="Arial Narrow" w:cs="Arial Narrow"/>
                <w:i/>
                <w:lang w:val="en-AU"/>
              </w:rPr>
            </w:pPr>
            <w:r>
              <w:rPr>
                <w:rFonts w:ascii="Arial Narrow" w:hAnsi="Arial Narrow" w:cs="Arial Narrow"/>
                <w:i/>
                <w:lang w:val="en-AU"/>
              </w:rPr>
              <w:t>n=5</w:t>
            </w:r>
          </w:p>
        </w:tc>
        <w:tc>
          <w:tcPr>
            <w:tcW w:w="482" w:type="pct"/>
            <w:tcBorders>
              <w:top w:val="single" w:sz="4" w:space="0" w:color="auto"/>
              <w:left w:val="single" w:sz="4" w:space="0" w:color="auto"/>
              <w:bottom w:val="nil"/>
              <w:right w:val="single" w:sz="4" w:space="0" w:color="auto"/>
            </w:tcBorders>
            <w:vAlign w:val="center"/>
          </w:tcPr>
          <w:p w:rsidR="008D3136" w:rsidRDefault="008D3136" w:rsidP="00684FF0">
            <w:pPr>
              <w:pStyle w:val="tabletextleftjustified"/>
              <w:spacing w:before="0" w:after="0"/>
              <w:ind w:left="-94" w:right="-93"/>
              <w:jc w:val="center"/>
              <w:rPr>
                <w:rFonts w:ascii="Arial Narrow" w:hAnsi="Arial Narrow" w:cs="Arial Narrow"/>
                <w:i/>
                <w:lang w:val="en-AU"/>
              </w:rPr>
            </w:pPr>
            <w:r>
              <w:rPr>
                <w:rFonts w:ascii="Arial Narrow" w:hAnsi="Arial Narrow" w:cs="Arial Narrow"/>
                <w:i/>
                <w:lang w:val="en-AU"/>
              </w:rPr>
              <w:t>n=28</w:t>
            </w:r>
          </w:p>
        </w:tc>
        <w:tc>
          <w:tcPr>
            <w:tcW w:w="482" w:type="pct"/>
            <w:tcBorders>
              <w:top w:val="single" w:sz="4" w:space="0" w:color="auto"/>
              <w:left w:val="single" w:sz="4" w:space="0" w:color="auto"/>
              <w:bottom w:val="nil"/>
              <w:right w:val="single" w:sz="4" w:space="0" w:color="auto"/>
            </w:tcBorders>
            <w:vAlign w:val="center"/>
          </w:tcPr>
          <w:p w:rsidR="008D3136" w:rsidRDefault="008D3136" w:rsidP="00684FF0">
            <w:pPr>
              <w:pStyle w:val="tabletextleftjustified"/>
              <w:spacing w:before="0" w:after="0"/>
              <w:ind w:left="-94" w:right="-93"/>
              <w:jc w:val="center"/>
              <w:rPr>
                <w:rFonts w:ascii="Arial Narrow" w:hAnsi="Arial Narrow" w:cs="Arial Narrow"/>
                <w:i/>
                <w:lang w:val="en-AU"/>
              </w:rPr>
            </w:pPr>
            <w:r w:rsidRPr="009D0AAE">
              <w:rPr>
                <w:rFonts w:ascii="Arial Narrow" w:hAnsi="Arial Narrow" w:cs="Arial Narrow"/>
                <w:i/>
                <w:lang w:val="en-AU"/>
              </w:rPr>
              <w:t>n=</w:t>
            </w:r>
            <w:r>
              <w:rPr>
                <w:rFonts w:ascii="Arial Narrow" w:hAnsi="Arial Narrow" w:cs="Arial Narrow"/>
                <w:i/>
                <w:lang w:val="en-AU"/>
              </w:rPr>
              <w:t>25</w:t>
            </w:r>
          </w:p>
        </w:tc>
        <w:tc>
          <w:tcPr>
            <w:tcW w:w="482" w:type="pct"/>
            <w:tcBorders>
              <w:top w:val="single" w:sz="4" w:space="0" w:color="auto"/>
              <w:left w:val="single" w:sz="4" w:space="0" w:color="auto"/>
              <w:bottom w:val="nil"/>
              <w:right w:val="single" w:sz="4" w:space="0" w:color="auto"/>
            </w:tcBorders>
            <w:vAlign w:val="center"/>
          </w:tcPr>
          <w:p w:rsidR="008D3136" w:rsidRDefault="008D3136" w:rsidP="00684FF0">
            <w:pPr>
              <w:pStyle w:val="tabletextleftjustified"/>
              <w:spacing w:before="0" w:after="0"/>
              <w:ind w:left="-94" w:right="-93"/>
              <w:jc w:val="center"/>
              <w:rPr>
                <w:rFonts w:ascii="Arial Narrow" w:hAnsi="Arial Narrow" w:cs="Arial Narrow"/>
                <w:i/>
                <w:lang w:val="en-AU"/>
              </w:rPr>
            </w:pPr>
            <w:r w:rsidRPr="009D0AAE">
              <w:rPr>
                <w:rFonts w:ascii="Arial Narrow" w:hAnsi="Arial Narrow" w:cs="Arial Narrow"/>
                <w:i/>
                <w:lang w:val="en-AU"/>
              </w:rPr>
              <w:t>n=</w:t>
            </w:r>
            <w:r>
              <w:rPr>
                <w:rFonts w:ascii="Arial Narrow" w:hAnsi="Arial Narrow" w:cs="Arial Narrow"/>
                <w:i/>
                <w:lang w:val="en-AU"/>
              </w:rPr>
              <w:t>16</w:t>
            </w:r>
          </w:p>
        </w:tc>
        <w:tc>
          <w:tcPr>
            <w:tcW w:w="482" w:type="pct"/>
            <w:tcBorders>
              <w:top w:val="single" w:sz="4" w:space="0" w:color="auto"/>
              <w:left w:val="single" w:sz="4" w:space="0" w:color="auto"/>
              <w:bottom w:val="nil"/>
              <w:right w:val="single" w:sz="4" w:space="0" w:color="auto"/>
            </w:tcBorders>
            <w:vAlign w:val="center"/>
          </w:tcPr>
          <w:p w:rsidR="008D3136" w:rsidRPr="00CE071C" w:rsidRDefault="008D3136" w:rsidP="00684FF0">
            <w:pPr>
              <w:pStyle w:val="TableText0"/>
              <w:keepNext w:val="0"/>
              <w:widowControl w:val="0"/>
              <w:spacing w:before="0" w:after="0"/>
              <w:ind w:left="-72" w:right="-90"/>
              <w:jc w:val="center"/>
            </w:pPr>
            <w:r w:rsidRPr="00CE071C">
              <w:t>n=</w:t>
            </w:r>
            <w:r>
              <w:t>27</w:t>
            </w:r>
          </w:p>
        </w:tc>
        <w:tc>
          <w:tcPr>
            <w:tcW w:w="468" w:type="pct"/>
            <w:tcBorders>
              <w:top w:val="single" w:sz="4" w:space="0" w:color="auto"/>
              <w:left w:val="single" w:sz="4" w:space="0" w:color="auto"/>
              <w:bottom w:val="nil"/>
              <w:right w:val="single" w:sz="4" w:space="0" w:color="auto"/>
            </w:tcBorders>
            <w:vAlign w:val="center"/>
          </w:tcPr>
          <w:p w:rsidR="008D3136" w:rsidRPr="00183FDC" w:rsidRDefault="008D3136" w:rsidP="00684FF0">
            <w:pPr>
              <w:pStyle w:val="TableText0"/>
              <w:keepNext w:val="0"/>
              <w:widowControl w:val="0"/>
              <w:spacing w:before="0" w:after="0"/>
              <w:ind w:left="-72" w:right="-90"/>
              <w:jc w:val="center"/>
            </w:pPr>
            <w:r>
              <w:t>n=8</w:t>
            </w:r>
          </w:p>
        </w:tc>
      </w:tr>
      <w:tr w:rsidR="008D3136" w:rsidRPr="007B34AB" w:rsidTr="00084218">
        <w:tc>
          <w:tcPr>
            <w:tcW w:w="664" w:type="pct"/>
            <w:tcBorders>
              <w:top w:val="nil"/>
              <w:bottom w:val="nil"/>
              <w:right w:val="single" w:sz="4" w:space="0" w:color="auto"/>
            </w:tcBorders>
            <w:vAlign w:val="center"/>
          </w:tcPr>
          <w:p w:rsidR="008D3136" w:rsidRPr="00521E5C" w:rsidRDefault="00E517BA" w:rsidP="00684FF0">
            <w:pPr>
              <w:pStyle w:val="TableText0"/>
              <w:widowControl w:val="0"/>
              <w:spacing w:before="0" w:after="0"/>
              <w:ind w:right="-74"/>
              <w:rPr>
                <w:i/>
              </w:rPr>
            </w:pPr>
            <w:r>
              <w:rPr>
                <w:i/>
              </w:rPr>
              <w:t>Mean change (SD)</w:t>
            </w:r>
          </w:p>
        </w:tc>
        <w:tc>
          <w:tcPr>
            <w:tcW w:w="482" w:type="pct"/>
            <w:tcBorders>
              <w:top w:val="nil"/>
              <w:left w:val="single" w:sz="4" w:space="0" w:color="auto"/>
              <w:bottom w:val="nil"/>
              <w:right w:val="single" w:sz="4" w:space="0" w:color="auto"/>
            </w:tcBorders>
            <w:vAlign w:val="center"/>
          </w:tcPr>
          <w:p w:rsidR="008D3136" w:rsidRPr="00B81A44" w:rsidRDefault="008D3136" w:rsidP="00684FF0">
            <w:pPr>
              <w:pStyle w:val="TableText0"/>
              <w:keepNext w:val="0"/>
              <w:widowControl w:val="0"/>
              <w:spacing w:before="0" w:after="0"/>
              <w:ind w:left="-94" w:right="-93"/>
              <w:jc w:val="center"/>
              <w:rPr>
                <w:i/>
              </w:rPr>
            </w:pPr>
            <w:r>
              <w:t xml:space="preserve">-6.6 </w:t>
            </w:r>
            <w:r>
              <w:rPr>
                <w:i/>
              </w:rPr>
              <w:t>(12.08)</w:t>
            </w:r>
          </w:p>
        </w:tc>
        <w:tc>
          <w:tcPr>
            <w:tcW w:w="492" w:type="pct"/>
            <w:tcBorders>
              <w:top w:val="nil"/>
              <w:left w:val="single" w:sz="4" w:space="0" w:color="auto"/>
              <w:bottom w:val="nil"/>
              <w:right w:val="single" w:sz="4" w:space="0" w:color="auto"/>
            </w:tcBorders>
            <w:vAlign w:val="center"/>
          </w:tcPr>
          <w:p w:rsidR="008D3136" w:rsidRPr="00B81A44" w:rsidRDefault="008D3136" w:rsidP="00684FF0">
            <w:pPr>
              <w:pStyle w:val="TableText0"/>
              <w:keepNext w:val="0"/>
              <w:widowControl w:val="0"/>
              <w:spacing w:before="0" w:after="0"/>
              <w:ind w:left="-94" w:right="-93"/>
              <w:jc w:val="center"/>
              <w:rPr>
                <w:i/>
              </w:rPr>
            </w:pPr>
            <w:r w:rsidRPr="004001F8">
              <w:t xml:space="preserve">−2.0 </w:t>
            </w:r>
            <w:r>
              <w:rPr>
                <w:i/>
              </w:rPr>
              <w:t>(14.86)</w:t>
            </w:r>
          </w:p>
        </w:tc>
        <w:tc>
          <w:tcPr>
            <w:tcW w:w="482" w:type="pct"/>
            <w:tcBorders>
              <w:top w:val="nil"/>
              <w:left w:val="single" w:sz="4" w:space="0" w:color="auto"/>
              <w:bottom w:val="nil"/>
              <w:right w:val="nil"/>
            </w:tcBorders>
            <w:vAlign w:val="center"/>
          </w:tcPr>
          <w:p w:rsidR="008D3136" w:rsidRPr="00CB6003" w:rsidRDefault="008D3136" w:rsidP="00684FF0">
            <w:pPr>
              <w:pStyle w:val="TableText0"/>
              <w:keepNext w:val="0"/>
              <w:widowControl w:val="0"/>
              <w:spacing w:before="0" w:after="0"/>
              <w:ind w:left="-72" w:right="-90"/>
              <w:jc w:val="center"/>
              <w:rPr>
                <w:i/>
              </w:rPr>
            </w:pPr>
            <w:r>
              <w:t xml:space="preserve">-8.4 </w:t>
            </w:r>
            <w:r>
              <w:rPr>
                <w:i/>
              </w:rPr>
              <w:t>(10.67)</w:t>
            </w:r>
          </w:p>
        </w:tc>
        <w:tc>
          <w:tcPr>
            <w:tcW w:w="485" w:type="pct"/>
            <w:tcBorders>
              <w:top w:val="nil"/>
              <w:left w:val="single" w:sz="4" w:space="0" w:color="auto"/>
              <w:bottom w:val="nil"/>
              <w:right w:val="single" w:sz="4" w:space="0" w:color="auto"/>
            </w:tcBorders>
            <w:vAlign w:val="center"/>
          </w:tcPr>
          <w:p w:rsidR="008D3136" w:rsidRDefault="008D3136" w:rsidP="00684FF0">
            <w:pPr>
              <w:pStyle w:val="TableText0"/>
              <w:keepNext w:val="0"/>
              <w:widowControl w:val="0"/>
              <w:spacing w:before="0" w:after="0"/>
              <w:ind w:left="-72" w:right="-90"/>
              <w:jc w:val="center"/>
              <w:rPr>
                <w:i/>
              </w:rPr>
            </w:pPr>
            <w:r>
              <w:t xml:space="preserve">4.5 </w:t>
            </w:r>
            <w:r>
              <w:br/>
            </w:r>
            <w:r>
              <w:rPr>
                <w:i/>
              </w:rPr>
              <w:t>(20.45)</w:t>
            </w:r>
          </w:p>
        </w:tc>
        <w:tc>
          <w:tcPr>
            <w:tcW w:w="482" w:type="pct"/>
            <w:tcBorders>
              <w:top w:val="nil"/>
              <w:left w:val="single" w:sz="4" w:space="0" w:color="auto"/>
              <w:bottom w:val="nil"/>
              <w:right w:val="single" w:sz="4" w:space="0" w:color="auto"/>
            </w:tcBorders>
            <w:vAlign w:val="center"/>
          </w:tcPr>
          <w:p w:rsidR="008D3136" w:rsidRDefault="008D3136" w:rsidP="00684FF0">
            <w:pPr>
              <w:pStyle w:val="tabletextleftjustified"/>
              <w:spacing w:before="0" w:after="0"/>
              <w:ind w:left="-94" w:right="-93"/>
              <w:jc w:val="center"/>
              <w:rPr>
                <w:rFonts w:ascii="Arial Narrow" w:hAnsi="Arial Narrow" w:cs="Arial Narrow"/>
                <w:i/>
                <w:lang w:val="en-AU"/>
              </w:rPr>
            </w:pPr>
            <w:r w:rsidRPr="00CB6003">
              <w:rPr>
                <w:rFonts w:ascii="Arial Narrow" w:hAnsi="Arial Narrow" w:cs="Arial Narrow"/>
                <w:i/>
                <w:lang w:val="en-AU"/>
              </w:rPr>
              <w:t xml:space="preserve">-4.58 </w:t>
            </w:r>
            <w:r>
              <w:rPr>
                <w:rFonts w:ascii="Arial Narrow" w:hAnsi="Arial Narrow" w:cs="Arial Narrow"/>
                <w:i/>
                <w:lang w:val="en-AU"/>
              </w:rPr>
              <w:br/>
            </w:r>
            <w:r w:rsidRPr="00CB6003">
              <w:rPr>
                <w:rFonts w:ascii="Arial Narrow" w:hAnsi="Arial Narrow" w:cs="Arial Narrow"/>
                <w:i/>
                <w:lang w:val="en-AU"/>
              </w:rPr>
              <w:t>(13.15)</w:t>
            </w:r>
          </w:p>
        </w:tc>
        <w:tc>
          <w:tcPr>
            <w:tcW w:w="482" w:type="pct"/>
            <w:tcBorders>
              <w:top w:val="nil"/>
              <w:left w:val="single" w:sz="4" w:space="0" w:color="auto"/>
              <w:bottom w:val="nil"/>
              <w:right w:val="single" w:sz="4" w:space="0" w:color="auto"/>
            </w:tcBorders>
            <w:vAlign w:val="center"/>
          </w:tcPr>
          <w:p w:rsidR="008D3136" w:rsidRPr="009D0AAE" w:rsidRDefault="008D3136" w:rsidP="00684FF0">
            <w:pPr>
              <w:pStyle w:val="tabletextleftjustified"/>
              <w:spacing w:before="0" w:after="0"/>
              <w:ind w:left="-94" w:right="-93"/>
              <w:jc w:val="center"/>
              <w:rPr>
                <w:rFonts w:ascii="Arial Narrow" w:hAnsi="Arial Narrow" w:cs="Arial Narrow"/>
                <w:i/>
                <w:lang w:val="en-AU"/>
              </w:rPr>
            </w:pPr>
            <w:r>
              <w:rPr>
                <w:rFonts w:ascii="Arial Narrow" w:hAnsi="Arial Narrow" w:cs="Arial Narrow"/>
                <w:i/>
                <w:lang w:val="en-AU"/>
              </w:rPr>
              <w:t xml:space="preserve">0.79 </w:t>
            </w:r>
            <w:r>
              <w:rPr>
                <w:rFonts w:ascii="Arial Narrow" w:hAnsi="Arial Narrow" w:cs="Arial Narrow"/>
                <w:i/>
                <w:lang w:val="en-AU"/>
              </w:rPr>
              <w:br/>
              <w:t>(8.15)</w:t>
            </w:r>
          </w:p>
        </w:tc>
        <w:tc>
          <w:tcPr>
            <w:tcW w:w="482" w:type="pct"/>
            <w:tcBorders>
              <w:top w:val="nil"/>
              <w:left w:val="single" w:sz="4" w:space="0" w:color="auto"/>
              <w:bottom w:val="nil"/>
              <w:right w:val="single" w:sz="4" w:space="0" w:color="auto"/>
            </w:tcBorders>
            <w:vAlign w:val="center"/>
          </w:tcPr>
          <w:p w:rsidR="008D3136" w:rsidRPr="009D0AAE" w:rsidRDefault="008D3136" w:rsidP="00684FF0">
            <w:pPr>
              <w:pStyle w:val="tabletextleftjustified"/>
              <w:spacing w:before="0" w:after="0"/>
              <w:ind w:left="-94" w:right="-93"/>
              <w:jc w:val="center"/>
              <w:rPr>
                <w:rFonts w:ascii="Arial Narrow" w:hAnsi="Arial Narrow" w:cs="Arial Narrow"/>
                <w:i/>
                <w:lang w:val="en-AU"/>
              </w:rPr>
            </w:pPr>
            <w:r>
              <w:rPr>
                <w:rFonts w:ascii="Arial Narrow" w:hAnsi="Arial Narrow" w:cs="Arial Narrow"/>
                <w:i/>
                <w:lang w:val="en-AU"/>
              </w:rPr>
              <w:t>-1.46 (6.59)</w:t>
            </w:r>
          </w:p>
        </w:tc>
        <w:tc>
          <w:tcPr>
            <w:tcW w:w="482" w:type="pct"/>
            <w:tcBorders>
              <w:top w:val="nil"/>
              <w:left w:val="single" w:sz="4" w:space="0" w:color="auto"/>
              <w:bottom w:val="nil"/>
              <w:right w:val="single" w:sz="4" w:space="0" w:color="auto"/>
            </w:tcBorders>
            <w:vAlign w:val="center"/>
          </w:tcPr>
          <w:p w:rsidR="008D3136" w:rsidRPr="00CE071C" w:rsidRDefault="008D3136" w:rsidP="00684FF0">
            <w:pPr>
              <w:pStyle w:val="tabletextleftjustified"/>
              <w:spacing w:before="0" w:after="0"/>
              <w:ind w:left="-94" w:right="-93"/>
              <w:jc w:val="center"/>
              <w:rPr>
                <w:rFonts w:ascii="Arial Narrow" w:hAnsi="Arial Narrow" w:cs="Arial Narrow"/>
                <w:lang w:val="en-AU"/>
              </w:rPr>
            </w:pPr>
            <w:r w:rsidRPr="00CE071C">
              <w:rPr>
                <w:rFonts w:ascii="Arial Narrow" w:hAnsi="Arial Narrow" w:cs="Arial Narrow"/>
                <w:lang w:val="en-AU"/>
              </w:rPr>
              <w:t xml:space="preserve">−7.7 </w:t>
            </w:r>
            <w:r>
              <w:rPr>
                <w:rFonts w:ascii="Arial Narrow" w:hAnsi="Arial Narrow" w:cs="Arial Narrow"/>
                <w:lang w:val="en-AU"/>
              </w:rPr>
              <w:br/>
            </w:r>
            <w:r w:rsidRPr="00CE071C">
              <w:rPr>
                <w:rFonts w:ascii="Arial Narrow" w:hAnsi="Arial Narrow" w:cs="Arial Narrow"/>
                <w:lang w:val="en-AU"/>
              </w:rPr>
              <w:t xml:space="preserve">(3.7) </w:t>
            </w:r>
          </w:p>
        </w:tc>
        <w:tc>
          <w:tcPr>
            <w:tcW w:w="468" w:type="pct"/>
            <w:tcBorders>
              <w:top w:val="nil"/>
              <w:left w:val="single" w:sz="4" w:space="0" w:color="auto"/>
              <w:bottom w:val="nil"/>
              <w:right w:val="single" w:sz="4" w:space="0" w:color="auto"/>
            </w:tcBorders>
          </w:tcPr>
          <w:p w:rsidR="008D3136" w:rsidRPr="00CE071C" w:rsidRDefault="008D3136" w:rsidP="00684FF0">
            <w:pPr>
              <w:pStyle w:val="tabletextleftjustified"/>
              <w:spacing w:before="0" w:after="0"/>
              <w:ind w:left="-94" w:right="-93"/>
              <w:jc w:val="center"/>
              <w:rPr>
                <w:rFonts w:ascii="Arial Narrow" w:hAnsi="Arial Narrow" w:cs="Arial Narrow"/>
                <w:lang w:val="en-AU"/>
              </w:rPr>
            </w:pPr>
            <w:r>
              <w:rPr>
                <w:rFonts w:ascii="Arial Narrow" w:hAnsi="Arial Narrow" w:cs="Arial Narrow"/>
                <w:lang w:val="en-AU"/>
              </w:rPr>
              <w:t xml:space="preserve">−18.6 </w:t>
            </w:r>
            <w:r>
              <w:rPr>
                <w:rFonts w:ascii="Arial Narrow" w:hAnsi="Arial Narrow" w:cs="Arial Narrow"/>
                <w:lang w:val="en-AU"/>
              </w:rPr>
              <w:br/>
              <w:t>(</w:t>
            </w:r>
            <w:r w:rsidRPr="00183FDC">
              <w:rPr>
                <w:rFonts w:ascii="Arial Narrow" w:hAnsi="Arial Narrow" w:cs="Arial Narrow"/>
                <w:lang w:val="en-AU"/>
              </w:rPr>
              <w:t xml:space="preserve">8.3 </w:t>
            </w:r>
            <w:r>
              <w:rPr>
                <w:rFonts w:ascii="Arial Narrow" w:hAnsi="Arial Narrow" w:cs="Arial Narrow"/>
                <w:lang w:val="en-AU"/>
              </w:rPr>
              <w:t>)</w:t>
            </w:r>
          </w:p>
        </w:tc>
      </w:tr>
      <w:tr w:rsidR="008D3136" w:rsidRPr="007B34AB" w:rsidTr="00E517BA">
        <w:tc>
          <w:tcPr>
            <w:tcW w:w="664" w:type="pct"/>
            <w:tcBorders>
              <w:top w:val="nil"/>
              <w:bottom w:val="single" w:sz="4" w:space="0" w:color="auto"/>
              <w:right w:val="single" w:sz="4" w:space="0" w:color="auto"/>
            </w:tcBorders>
            <w:vAlign w:val="center"/>
          </w:tcPr>
          <w:p w:rsidR="008D3136" w:rsidRPr="00521E5C" w:rsidRDefault="008D3136" w:rsidP="00684FF0">
            <w:pPr>
              <w:pStyle w:val="TableText0"/>
              <w:keepNext w:val="0"/>
              <w:widowControl w:val="0"/>
              <w:spacing w:before="0" w:after="0"/>
              <w:ind w:right="-74"/>
              <w:rPr>
                <w:i/>
              </w:rPr>
            </w:pPr>
            <w:r w:rsidRPr="00521E5C">
              <w:rPr>
                <w:i/>
              </w:rPr>
              <w:t>95% CI</w:t>
            </w:r>
          </w:p>
        </w:tc>
        <w:tc>
          <w:tcPr>
            <w:tcW w:w="482" w:type="pct"/>
            <w:tcBorders>
              <w:top w:val="nil"/>
              <w:left w:val="single" w:sz="4" w:space="0" w:color="auto"/>
              <w:bottom w:val="single" w:sz="4" w:space="0" w:color="auto"/>
              <w:right w:val="single" w:sz="4" w:space="0" w:color="auto"/>
            </w:tcBorders>
            <w:vAlign w:val="center"/>
          </w:tcPr>
          <w:p w:rsidR="008D3136" w:rsidRPr="00B81A44" w:rsidRDefault="008D3136" w:rsidP="00684FF0">
            <w:pPr>
              <w:pStyle w:val="TableText0"/>
              <w:keepNext w:val="0"/>
              <w:widowControl w:val="0"/>
              <w:spacing w:before="0" w:after="0"/>
              <w:ind w:left="-94" w:right="-93"/>
              <w:jc w:val="center"/>
              <w:rPr>
                <w:i/>
              </w:rPr>
            </w:pPr>
            <w:r>
              <w:rPr>
                <w:i/>
              </w:rPr>
              <w:t>-11.01,</w:t>
            </w:r>
            <w:r>
              <w:rPr>
                <w:i/>
              </w:rPr>
              <w:br/>
              <w:t>-2.15</w:t>
            </w:r>
          </w:p>
        </w:tc>
        <w:tc>
          <w:tcPr>
            <w:tcW w:w="492" w:type="pct"/>
            <w:tcBorders>
              <w:top w:val="nil"/>
              <w:left w:val="single" w:sz="4" w:space="0" w:color="auto"/>
              <w:bottom w:val="single" w:sz="4" w:space="0" w:color="auto"/>
              <w:right w:val="single" w:sz="4" w:space="0" w:color="auto"/>
            </w:tcBorders>
            <w:vAlign w:val="center"/>
          </w:tcPr>
          <w:p w:rsidR="008D3136" w:rsidRPr="00B81A44" w:rsidRDefault="008D3136" w:rsidP="00684FF0">
            <w:pPr>
              <w:pStyle w:val="TableText0"/>
              <w:keepNext w:val="0"/>
              <w:widowControl w:val="0"/>
              <w:spacing w:before="0" w:after="0"/>
              <w:ind w:left="-94" w:right="-93"/>
              <w:jc w:val="center"/>
              <w:rPr>
                <w:i/>
              </w:rPr>
            </w:pPr>
            <w:r>
              <w:rPr>
                <w:i/>
              </w:rPr>
              <w:t>-10.99</w:t>
            </w:r>
            <w:r w:rsidRPr="00DB27E8">
              <w:rPr>
                <w:i/>
              </w:rPr>
              <w:t>, 6.96</w:t>
            </w:r>
          </w:p>
        </w:tc>
        <w:tc>
          <w:tcPr>
            <w:tcW w:w="482" w:type="pct"/>
            <w:tcBorders>
              <w:top w:val="nil"/>
              <w:left w:val="single" w:sz="4" w:space="0" w:color="auto"/>
              <w:bottom w:val="single" w:sz="4" w:space="0" w:color="auto"/>
              <w:right w:val="nil"/>
            </w:tcBorders>
            <w:vAlign w:val="center"/>
          </w:tcPr>
          <w:p w:rsidR="008D3136" w:rsidRPr="00CB6003" w:rsidRDefault="008D3136" w:rsidP="00684FF0">
            <w:pPr>
              <w:pStyle w:val="tabletextleftjustified"/>
              <w:spacing w:before="0" w:after="0"/>
              <w:ind w:left="-94" w:right="-93"/>
              <w:jc w:val="center"/>
              <w:rPr>
                <w:rFonts w:ascii="Arial Narrow" w:eastAsia="SimSun" w:hAnsi="Arial Narrow" w:cs="Arial Narrow"/>
                <w:i/>
                <w:lang w:val="en-AU"/>
              </w:rPr>
            </w:pPr>
            <w:r>
              <w:rPr>
                <w:rFonts w:ascii="Arial Narrow" w:eastAsia="SimSun" w:hAnsi="Arial Narrow" w:cs="Arial Narrow"/>
                <w:i/>
                <w:lang w:val="en-AU"/>
              </w:rPr>
              <w:t>-15.69, 2.56</w:t>
            </w:r>
          </w:p>
        </w:tc>
        <w:tc>
          <w:tcPr>
            <w:tcW w:w="485" w:type="pct"/>
            <w:tcBorders>
              <w:top w:val="nil"/>
              <w:left w:val="single" w:sz="4" w:space="0" w:color="auto"/>
              <w:bottom w:val="single" w:sz="4" w:space="0" w:color="auto"/>
              <w:right w:val="single" w:sz="4" w:space="0" w:color="auto"/>
            </w:tcBorders>
            <w:vAlign w:val="center"/>
          </w:tcPr>
          <w:p w:rsidR="008D3136" w:rsidRPr="007C7079" w:rsidRDefault="008D3136" w:rsidP="00684FF0">
            <w:pPr>
              <w:pStyle w:val="tabletextleftjustified"/>
              <w:spacing w:before="0" w:after="0"/>
              <w:ind w:left="-94" w:right="-93"/>
              <w:jc w:val="center"/>
              <w:rPr>
                <w:rFonts w:ascii="Arial Narrow" w:eastAsia="SimSun" w:hAnsi="Arial Narrow" w:cs="Arial Narrow"/>
                <w:i/>
                <w:lang w:val="en-AU"/>
              </w:rPr>
            </w:pPr>
            <w:r>
              <w:rPr>
                <w:rFonts w:ascii="Arial Narrow" w:eastAsia="SimSun" w:hAnsi="Arial Narrow" w:cs="Arial Narrow"/>
                <w:i/>
                <w:lang w:val="en-AU"/>
              </w:rPr>
              <w:t>-10.71, 18.43</w:t>
            </w:r>
          </w:p>
        </w:tc>
        <w:tc>
          <w:tcPr>
            <w:tcW w:w="482" w:type="pct"/>
            <w:tcBorders>
              <w:top w:val="nil"/>
              <w:left w:val="single" w:sz="4" w:space="0" w:color="auto"/>
              <w:bottom w:val="single" w:sz="4" w:space="0" w:color="auto"/>
              <w:right w:val="single" w:sz="4" w:space="0" w:color="auto"/>
            </w:tcBorders>
            <w:vAlign w:val="center"/>
          </w:tcPr>
          <w:p w:rsidR="008D3136" w:rsidRPr="007C7079" w:rsidRDefault="008D3136" w:rsidP="00684FF0">
            <w:pPr>
              <w:pStyle w:val="tabletextleftjustified"/>
              <w:spacing w:before="0" w:after="0"/>
              <w:ind w:left="-94" w:right="-93"/>
              <w:jc w:val="center"/>
              <w:rPr>
                <w:rFonts w:ascii="Arial Narrow" w:eastAsia="SimSun" w:hAnsi="Arial Narrow" w:cs="Arial Narrow"/>
                <w:i/>
                <w:lang w:val="en-AU"/>
              </w:rPr>
            </w:pPr>
            <w:r w:rsidRPr="00CB6003">
              <w:rPr>
                <w:rFonts w:ascii="Arial Narrow" w:eastAsia="SimSun" w:hAnsi="Arial Narrow" w:cs="Arial Narrow"/>
                <w:i/>
                <w:lang w:val="en-AU"/>
              </w:rPr>
              <w:t>-8.87, 1.33</w:t>
            </w:r>
          </w:p>
        </w:tc>
        <w:tc>
          <w:tcPr>
            <w:tcW w:w="482" w:type="pct"/>
            <w:tcBorders>
              <w:top w:val="nil"/>
              <w:left w:val="single" w:sz="4" w:space="0" w:color="auto"/>
              <w:bottom w:val="single" w:sz="4" w:space="0" w:color="auto"/>
              <w:right w:val="single" w:sz="4" w:space="0" w:color="auto"/>
            </w:tcBorders>
            <w:vAlign w:val="center"/>
          </w:tcPr>
          <w:p w:rsidR="008D3136" w:rsidRPr="007C7079" w:rsidRDefault="008D3136" w:rsidP="00684FF0">
            <w:pPr>
              <w:pStyle w:val="tabletextleftjustified"/>
              <w:spacing w:before="0" w:after="0"/>
              <w:ind w:left="-94" w:right="-93"/>
              <w:jc w:val="center"/>
              <w:rPr>
                <w:rFonts w:ascii="Arial Narrow" w:eastAsia="SimSun" w:hAnsi="Arial Narrow" w:cs="Arial Narrow"/>
                <w:i/>
                <w:lang w:val="en-AU"/>
              </w:rPr>
            </w:pPr>
            <w:r w:rsidRPr="007C7079">
              <w:rPr>
                <w:rFonts w:ascii="Arial Narrow" w:eastAsia="SimSun" w:hAnsi="Arial Narrow" w:cs="Arial Narrow"/>
                <w:i/>
                <w:lang w:val="en-AU"/>
              </w:rPr>
              <w:t>NR</w:t>
            </w:r>
          </w:p>
        </w:tc>
        <w:tc>
          <w:tcPr>
            <w:tcW w:w="482" w:type="pct"/>
            <w:tcBorders>
              <w:top w:val="nil"/>
              <w:left w:val="single" w:sz="4" w:space="0" w:color="auto"/>
              <w:bottom w:val="single" w:sz="4" w:space="0" w:color="auto"/>
              <w:right w:val="single" w:sz="4" w:space="0" w:color="auto"/>
            </w:tcBorders>
            <w:vAlign w:val="center"/>
          </w:tcPr>
          <w:p w:rsidR="008D3136" w:rsidRPr="007C7079" w:rsidRDefault="008D3136" w:rsidP="00684FF0">
            <w:pPr>
              <w:pStyle w:val="tabletextleftjustified"/>
              <w:spacing w:before="0" w:after="0"/>
              <w:ind w:left="-94" w:right="-93"/>
              <w:jc w:val="center"/>
              <w:rPr>
                <w:rFonts w:ascii="Arial Narrow" w:eastAsia="SimSun" w:hAnsi="Arial Narrow" w:cs="Arial Narrow"/>
                <w:i/>
                <w:lang w:val="en-AU"/>
              </w:rPr>
            </w:pPr>
            <w:r w:rsidRPr="007C7079">
              <w:rPr>
                <w:rFonts w:ascii="Arial Narrow" w:eastAsia="SimSun" w:hAnsi="Arial Narrow" w:cs="Arial Narrow"/>
                <w:i/>
                <w:lang w:val="en-AU"/>
              </w:rPr>
              <w:t>NR</w:t>
            </w:r>
          </w:p>
        </w:tc>
        <w:tc>
          <w:tcPr>
            <w:tcW w:w="482" w:type="pct"/>
            <w:tcBorders>
              <w:top w:val="nil"/>
              <w:left w:val="single" w:sz="4" w:space="0" w:color="auto"/>
              <w:bottom w:val="single" w:sz="4" w:space="0" w:color="auto"/>
              <w:right w:val="single" w:sz="4" w:space="0" w:color="auto"/>
            </w:tcBorders>
            <w:vAlign w:val="center"/>
          </w:tcPr>
          <w:p w:rsidR="008D3136" w:rsidRPr="00CE071C" w:rsidRDefault="008D3136" w:rsidP="00684FF0">
            <w:pPr>
              <w:pStyle w:val="tabletextleftjustified"/>
              <w:spacing w:before="0" w:after="0"/>
              <w:ind w:left="-94" w:right="-93"/>
              <w:jc w:val="center"/>
              <w:rPr>
                <w:rFonts w:ascii="Arial Narrow" w:hAnsi="Arial Narrow" w:cs="Arial Narrow"/>
                <w:lang w:val="en-AU"/>
              </w:rPr>
            </w:pPr>
            <w:r w:rsidRPr="00CE071C">
              <w:rPr>
                <w:rFonts w:ascii="Arial Narrow" w:hAnsi="Arial Narrow" w:cs="Arial Narrow"/>
                <w:lang w:val="en-AU"/>
              </w:rPr>
              <w:t>−15.4, −0.01</w:t>
            </w:r>
          </w:p>
          <w:p w:rsidR="008D3136" w:rsidRPr="00CE071C" w:rsidRDefault="008D3136" w:rsidP="00684FF0">
            <w:pPr>
              <w:pStyle w:val="tabletextleftjustified"/>
              <w:spacing w:before="0" w:after="0"/>
              <w:ind w:left="-94" w:right="-93"/>
              <w:jc w:val="center"/>
              <w:rPr>
                <w:rFonts w:ascii="Arial Narrow" w:eastAsia="SimSun" w:hAnsi="Arial Narrow" w:cs="Arial Narrow"/>
                <w:lang w:val="en-AU"/>
              </w:rPr>
            </w:pPr>
            <w:r w:rsidRPr="00CE071C">
              <w:rPr>
                <w:rFonts w:ascii="Arial Narrow" w:hAnsi="Arial Narrow" w:cs="Arial Narrow"/>
                <w:lang w:val="en-AU"/>
              </w:rPr>
              <w:t>(p&lt;0.05)</w:t>
            </w:r>
          </w:p>
        </w:tc>
        <w:tc>
          <w:tcPr>
            <w:tcW w:w="468" w:type="pct"/>
            <w:tcBorders>
              <w:top w:val="nil"/>
              <w:left w:val="single" w:sz="4" w:space="0" w:color="auto"/>
              <w:bottom w:val="single" w:sz="4" w:space="0" w:color="auto"/>
              <w:right w:val="single" w:sz="4" w:space="0" w:color="auto"/>
            </w:tcBorders>
          </w:tcPr>
          <w:p w:rsidR="008D3136" w:rsidRPr="00CE071C" w:rsidRDefault="008D3136" w:rsidP="00684FF0">
            <w:pPr>
              <w:pStyle w:val="tabletextleftjustified"/>
              <w:spacing w:before="0" w:after="0"/>
              <w:ind w:left="-94" w:right="-93"/>
              <w:jc w:val="center"/>
              <w:rPr>
                <w:rFonts w:ascii="Arial Narrow" w:hAnsi="Arial Narrow" w:cs="Arial Narrow"/>
                <w:lang w:val="en-AU"/>
              </w:rPr>
            </w:pPr>
            <w:r>
              <w:rPr>
                <w:rFonts w:ascii="Arial Narrow" w:hAnsi="Arial Narrow" w:cs="Arial Narrow"/>
                <w:lang w:val="en-AU"/>
              </w:rPr>
              <w:t>−38.2, 1.0</w:t>
            </w:r>
            <w:r w:rsidRPr="00183FDC">
              <w:rPr>
                <w:rFonts w:ascii="Arial Narrow" w:hAnsi="Arial Narrow" w:cs="Arial Narrow"/>
                <w:lang w:val="en-AU"/>
              </w:rPr>
              <w:t xml:space="preserve"> </w:t>
            </w:r>
            <w:r>
              <w:rPr>
                <w:rFonts w:ascii="Arial Narrow" w:hAnsi="Arial Narrow" w:cs="Arial Narrow"/>
                <w:lang w:val="en-AU"/>
              </w:rPr>
              <w:t>(</w:t>
            </w:r>
            <w:r w:rsidRPr="00183FDC">
              <w:rPr>
                <w:rFonts w:ascii="Arial Narrow" w:hAnsi="Arial Narrow" w:cs="Arial Narrow"/>
                <w:lang w:val="en-AU"/>
              </w:rPr>
              <w:t>p=NS</w:t>
            </w:r>
            <w:r>
              <w:rPr>
                <w:rFonts w:ascii="Arial Narrow" w:hAnsi="Arial Narrow" w:cs="Arial Narrow"/>
                <w:lang w:val="en-AU"/>
              </w:rPr>
              <w:t>)</w:t>
            </w:r>
          </w:p>
        </w:tc>
      </w:tr>
      <w:tr w:rsidR="008D3136" w:rsidRPr="007B34AB" w:rsidTr="00E517BA">
        <w:tc>
          <w:tcPr>
            <w:tcW w:w="664" w:type="pct"/>
            <w:tcBorders>
              <w:top w:val="nil"/>
              <w:bottom w:val="single" w:sz="4" w:space="0" w:color="auto"/>
              <w:right w:val="single" w:sz="4" w:space="0" w:color="auto"/>
            </w:tcBorders>
            <w:vAlign w:val="center"/>
          </w:tcPr>
          <w:p w:rsidR="008D3136" w:rsidRPr="00521E5C" w:rsidRDefault="008D3136" w:rsidP="00684FF0">
            <w:pPr>
              <w:pStyle w:val="TableText0"/>
              <w:keepNext w:val="0"/>
              <w:widowControl w:val="0"/>
              <w:spacing w:before="0" w:after="0"/>
              <w:ind w:right="-74"/>
              <w:rPr>
                <w:i/>
              </w:rPr>
            </w:pPr>
            <w:r>
              <w:t>Mean diff (95% CI)</w:t>
            </w:r>
          </w:p>
        </w:tc>
        <w:tc>
          <w:tcPr>
            <w:tcW w:w="974" w:type="pct"/>
            <w:gridSpan w:val="2"/>
            <w:tcBorders>
              <w:top w:val="nil"/>
              <w:left w:val="single" w:sz="4" w:space="0" w:color="auto"/>
              <w:bottom w:val="single" w:sz="4" w:space="0" w:color="auto"/>
              <w:right w:val="single" w:sz="4" w:space="0" w:color="auto"/>
            </w:tcBorders>
            <w:vAlign w:val="center"/>
          </w:tcPr>
          <w:p w:rsidR="008D3136" w:rsidRDefault="008D3136" w:rsidP="00684FF0">
            <w:pPr>
              <w:pStyle w:val="TableText0"/>
              <w:keepNext w:val="0"/>
              <w:widowControl w:val="0"/>
              <w:spacing w:before="0" w:after="0"/>
              <w:ind w:left="-94" w:right="-93"/>
              <w:jc w:val="center"/>
              <w:rPr>
                <w:i/>
              </w:rPr>
            </w:pPr>
            <w:r w:rsidRPr="00106156">
              <w:rPr>
                <w:i/>
              </w:rPr>
              <w:t xml:space="preserve">-4.60 (-13.97, </w:t>
            </w:r>
            <w:r>
              <w:rPr>
                <w:i/>
              </w:rPr>
              <w:t>4.77</w:t>
            </w:r>
            <w:r w:rsidRPr="00106156">
              <w:rPr>
                <w:i/>
              </w:rPr>
              <w:t>)</w:t>
            </w:r>
          </w:p>
          <w:p w:rsidR="008D3136" w:rsidRDefault="008D3136" w:rsidP="00684FF0">
            <w:pPr>
              <w:pStyle w:val="TableText0"/>
              <w:keepNext w:val="0"/>
              <w:widowControl w:val="0"/>
              <w:spacing w:before="0" w:after="0"/>
              <w:ind w:left="-94" w:right="-93"/>
              <w:jc w:val="center"/>
              <w:rPr>
                <w:i/>
              </w:rPr>
            </w:pPr>
            <w:r w:rsidRPr="00C31B8E">
              <w:t>p=NS</w:t>
            </w:r>
          </w:p>
        </w:tc>
        <w:tc>
          <w:tcPr>
            <w:tcW w:w="966" w:type="pct"/>
            <w:gridSpan w:val="2"/>
            <w:tcBorders>
              <w:top w:val="nil"/>
              <w:left w:val="single" w:sz="4" w:space="0" w:color="auto"/>
              <w:bottom w:val="single" w:sz="4" w:space="0" w:color="auto"/>
              <w:right w:val="single" w:sz="4" w:space="0" w:color="auto"/>
            </w:tcBorders>
            <w:vAlign w:val="center"/>
          </w:tcPr>
          <w:p w:rsidR="008D3136" w:rsidRDefault="008D3136" w:rsidP="00684FF0">
            <w:pPr>
              <w:pStyle w:val="tabletextleftjustified"/>
              <w:spacing w:before="0" w:after="0"/>
              <w:ind w:left="-94" w:right="-93"/>
              <w:jc w:val="center"/>
              <w:rPr>
                <w:rFonts w:ascii="Arial Narrow" w:eastAsia="SimSun" w:hAnsi="Arial Narrow" w:cs="Arial Narrow"/>
                <w:i/>
                <w:lang w:val="en-AU"/>
              </w:rPr>
            </w:pPr>
            <w:r w:rsidRPr="00C20E0C">
              <w:rPr>
                <w:rFonts w:ascii="Arial Narrow" w:eastAsia="SimSun" w:hAnsi="Arial Narrow" w:cs="Arial Narrow"/>
                <w:i/>
                <w:lang w:val="en-AU"/>
              </w:rPr>
              <w:t>-12.90 (-31.99, 6.19)</w:t>
            </w:r>
            <w:r>
              <w:rPr>
                <w:rFonts w:ascii="Arial Narrow" w:eastAsia="SimSun" w:hAnsi="Arial Narrow" w:cs="Arial Narrow"/>
                <w:i/>
                <w:lang w:val="en-AU"/>
              </w:rPr>
              <w:br/>
            </w:r>
            <w:r>
              <w:rPr>
                <w:rFonts w:ascii="Arial Narrow" w:eastAsia="SimSun" w:hAnsi="Arial Narrow" w:cs="Arial Narrow"/>
                <w:lang w:val="en-AU"/>
              </w:rPr>
              <w:t>p=NS</w:t>
            </w:r>
          </w:p>
        </w:tc>
        <w:tc>
          <w:tcPr>
            <w:tcW w:w="482" w:type="pct"/>
            <w:tcBorders>
              <w:top w:val="nil"/>
              <w:left w:val="single" w:sz="4" w:space="0" w:color="auto"/>
              <w:bottom w:val="single" w:sz="4" w:space="0" w:color="auto"/>
              <w:right w:val="single" w:sz="4" w:space="0" w:color="auto"/>
            </w:tcBorders>
            <w:vAlign w:val="center"/>
          </w:tcPr>
          <w:p w:rsidR="008D3136" w:rsidRPr="00CB6003" w:rsidRDefault="008D3136" w:rsidP="00684FF0">
            <w:pPr>
              <w:pStyle w:val="tabletextleftjustified"/>
              <w:spacing w:before="0" w:after="0"/>
              <w:ind w:left="-94" w:right="-93"/>
              <w:jc w:val="center"/>
              <w:rPr>
                <w:rFonts w:ascii="Arial Narrow" w:eastAsia="SimSun" w:hAnsi="Arial Narrow" w:cs="Arial Narrow"/>
                <w:i/>
                <w:lang w:val="en-AU"/>
              </w:rPr>
            </w:pPr>
            <w:r w:rsidRPr="00C20E0C">
              <w:rPr>
                <w:rFonts w:ascii="Arial Narrow" w:eastAsia="SimSun" w:hAnsi="Arial Narrow" w:cs="Arial Narrow"/>
                <w:lang w:val="en-AU"/>
              </w:rPr>
              <w:t>NR</w:t>
            </w:r>
          </w:p>
        </w:tc>
        <w:tc>
          <w:tcPr>
            <w:tcW w:w="963" w:type="pct"/>
            <w:gridSpan w:val="2"/>
            <w:tcBorders>
              <w:top w:val="nil"/>
              <w:left w:val="single" w:sz="4" w:space="0" w:color="auto"/>
              <w:bottom w:val="single" w:sz="4" w:space="0" w:color="auto"/>
              <w:right w:val="single" w:sz="4" w:space="0" w:color="auto"/>
            </w:tcBorders>
            <w:vAlign w:val="center"/>
          </w:tcPr>
          <w:p w:rsidR="008D3136" w:rsidRPr="007C7079" w:rsidRDefault="008D3136" w:rsidP="00684FF0">
            <w:pPr>
              <w:pStyle w:val="tabletextleftjustified"/>
              <w:spacing w:before="0" w:after="0"/>
              <w:ind w:left="-94" w:right="-93"/>
              <w:jc w:val="center"/>
              <w:rPr>
                <w:rFonts w:ascii="Arial Narrow" w:eastAsia="SimSun" w:hAnsi="Arial Narrow" w:cs="Arial Narrow"/>
                <w:i/>
                <w:lang w:val="en-AU"/>
              </w:rPr>
            </w:pPr>
            <w:r w:rsidRPr="00C20E0C">
              <w:rPr>
                <w:rFonts w:ascii="Arial Narrow" w:eastAsia="SimSun" w:hAnsi="Arial Narrow" w:cs="Arial Narrow"/>
                <w:lang w:val="en-AU"/>
              </w:rPr>
              <w:t>NR</w:t>
            </w:r>
          </w:p>
        </w:tc>
        <w:tc>
          <w:tcPr>
            <w:tcW w:w="950" w:type="pct"/>
            <w:gridSpan w:val="2"/>
            <w:tcBorders>
              <w:top w:val="nil"/>
              <w:left w:val="single" w:sz="4" w:space="0" w:color="auto"/>
              <w:bottom w:val="single" w:sz="4" w:space="0" w:color="auto"/>
              <w:right w:val="single" w:sz="4" w:space="0" w:color="auto"/>
            </w:tcBorders>
            <w:vAlign w:val="center"/>
          </w:tcPr>
          <w:p w:rsidR="008D3136" w:rsidRDefault="008D3136" w:rsidP="00684FF0">
            <w:pPr>
              <w:pStyle w:val="tabletextleftjustified"/>
              <w:spacing w:before="0" w:after="0"/>
              <w:ind w:left="-94" w:right="-93"/>
              <w:jc w:val="center"/>
              <w:rPr>
                <w:rFonts w:ascii="Arial Narrow" w:hAnsi="Arial Narrow" w:cs="Arial Narrow"/>
                <w:lang w:val="en-AU"/>
              </w:rPr>
            </w:pPr>
            <w:r>
              <w:rPr>
                <w:rFonts w:ascii="Arial Narrow" w:eastAsia="SimSun" w:hAnsi="Arial Narrow" w:cs="Arial Narrow"/>
                <w:lang w:val="en-AU"/>
              </w:rPr>
              <w:t>NR</w:t>
            </w:r>
          </w:p>
        </w:tc>
      </w:tr>
    </w:tbl>
    <w:p w:rsidR="008D3136" w:rsidRPr="003F5DED" w:rsidRDefault="008D3136" w:rsidP="008D3136">
      <w:pPr>
        <w:pStyle w:val="TableFooter"/>
        <w:ind w:left="756"/>
      </w:pPr>
      <w:r w:rsidRPr="003F5DED">
        <w:t xml:space="preserve">Abbreviations: </w:t>
      </w:r>
      <w:r w:rsidR="00B57A2D" w:rsidRPr="00B57A2D">
        <w:t>CI, confidence interval; ERT, Enzyme replacement therapy; LVH, Left ventricular hypertrophy; LVMI, left ventricular mass index; MIG, migalastat; N, number; NR, not reported; NS, not significant; OLE, open label extension; PBO, placebo; SD, standard deviation</w:t>
      </w:r>
      <w:r w:rsidR="00B57A2D">
        <w:t xml:space="preserve">. </w:t>
      </w:r>
    </w:p>
    <w:p w:rsidR="008D3136" w:rsidRDefault="008D3136" w:rsidP="008D3136">
      <w:pPr>
        <w:pStyle w:val="TableFooter"/>
        <w:ind w:firstLine="720"/>
      </w:pPr>
      <w:r w:rsidRPr="00613F9A">
        <w:t xml:space="preserve">Text in italics was added or corrected as part of the evaluation. </w:t>
      </w:r>
      <w:r w:rsidRPr="00C31B8E">
        <w:t xml:space="preserve">Mean differences were calculated post hoc.  </w:t>
      </w:r>
    </w:p>
    <w:p w:rsidR="008D3136" w:rsidRPr="007D6071" w:rsidRDefault="008D3136" w:rsidP="007D6071">
      <w:pPr>
        <w:pStyle w:val="TableFooter"/>
        <w:ind w:firstLine="720"/>
      </w:pPr>
      <w:r w:rsidRPr="00B5104C">
        <w:t xml:space="preserve">Source: </w:t>
      </w:r>
      <w:r>
        <w:t>Table 24</w:t>
      </w:r>
      <w:r w:rsidRPr="00A97A05">
        <w:t xml:space="preserve"> p</w:t>
      </w:r>
      <w:r>
        <w:t xml:space="preserve">55, Table 30 </w:t>
      </w:r>
      <w:r w:rsidRPr="00A97A05">
        <w:t>p53</w:t>
      </w:r>
      <w:r>
        <w:t xml:space="preserve"> of the submission: </w:t>
      </w:r>
      <w:r>
        <w:rPr>
          <w:i/>
        </w:rPr>
        <w:t xml:space="preserve">Table B.6.2 of the Commentary. </w:t>
      </w:r>
    </w:p>
    <w:p w:rsidR="008D3136" w:rsidRPr="00882085" w:rsidRDefault="008D3136" w:rsidP="008D3136">
      <w:pPr>
        <w:rPr>
          <w:szCs w:val="22"/>
        </w:rPr>
      </w:pPr>
    </w:p>
    <w:p w:rsidR="008D3136" w:rsidRPr="00E14B57" w:rsidRDefault="008D3136" w:rsidP="00E309E3">
      <w:pPr>
        <w:pStyle w:val="Heading2"/>
        <w:keepNext/>
        <w:rPr>
          <w:i/>
        </w:rPr>
      </w:pPr>
      <w:bookmarkStart w:id="18" w:name="_Toc469328261"/>
      <w:bookmarkStart w:id="19" w:name="_Toc471741267"/>
      <w:r w:rsidRPr="00E14B57">
        <w:rPr>
          <w:i/>
        </w:rPr>
        <w:t>Comparative harms</w:t>
      </w:r>
      <w:bookmarkEnd w:id="18"/>
      <w:bookmarkEnd w:id="19"/>
    </w:p>
    <w:p w:rsidR="008D3136" w:rsidRPr="00C93C66" w:rsidRDefault="008D3136" w:rsidP="00E309E3">
      <w:pPr>
        <w:keepNext/>
        <w:widowControl/>
        <w:rPr>
          <w:szCs w:val="22"/>
        </w:rPr>
      </w:pPr>
    </w:p>
    <w:p w:rsidR="008D3136" w:rsidRPr="00C42A66" w:rsidRDefault="008D3136" w:rsidP="008D3136">
      <w:pPr>
        <w:pStyle w:val="ListParagraph"/>
        <w:widowControl/>
        <w:numPr>
          <w:ilvl w:val="1"/>
          <w:numId w:val="2"/>
        </w:numPr>
        <w:rPr>
          <w:szCs w:val="22"/>
        </w:rPr>
      </w:pPr>
      <w:r w:rsidRPr="00C42A66">
        <w:rPr>
          <w:szCs w:val="22"/>
        </w:rPr>
        <w:t xml:space="preserve">The submission presented a summary of safety of all patients that received migalastat. </w:t>
      </w:r>
      <w:r>
        <w:t>A summary of</w:t>
      </w:r>
      <w:r w:rsidRPr="002176B2">
        <w:t xml:space="preserve"> safety outcomes </w:t>
      </w:r>
      <w:r w:rsidR="0072461D">
        <w:t>for</w:t>
      </w:r>
      <w:r w:rsidRPr="002176B2">
        <w:t xml:space="preserve"> </w:t>
      </w:r>
      <w:r>
        <w:t xml:space="preserve">ATTRACT and FACETS is presented in Table </w:t>
      </w:r>
      <w:r w:rsidR="007D6071">
        <w:t>6</w:t>
      </w:r>
      <w:r w:rsidR="00C42A66">
        <w:t>.</w:t>
      </w:r>
    </w:p>
    <w:p w:rsidR="00C42A66" w:rsidRPr="00C42A66" w:rsidRDefault="00C42A66" w:rsidP="00C42A66">
      <w:pPr>
        <w:pStyle w:val="ListParagraph"/>
        <w:widowControl/>
        <w:rPr>
          <w:szCs w:val="22"/>
        </w:rPr>
      </w:pPr>
    </w:p>
    <w:p w:rsidR="008D3136" w:rsidRPr="002176B2" w:rsidRDefault="008D3136" w:rsidP="008D3136">
      <w:pPr>
        <w:keepNext/>
        <w:ind w:left="737" w:hanging="11"/>
        <w:rPr>
          <w:rStyle w:val="CommentReference"/>
        </w:rPr>
      </w:pPr>
      <w:r>
        <w:rPr>
          <w:rStyle w:val="CommentReference"/>
        </w:rPr>
        <w:t xml:space="preserve">Table </w:t>
      </w:r>
      <w:r w:rsidR="007D6071">
        <w:rPr>
          <w:rStyle w:val="CommentReference"/>
        </w:rPr>
        <w:t>6</w:t>
      </w:r>
      <w:r w:rsidRPr="002176B2">
        <w:rPr>
          <w:rStyle w:val="CommentReference"/>
        </w:rPr>
        <w:t>:  Summary of adverse events (AEs) across the direct randomised trials – ATTRACT and FACETS</w:t>
      </w:r>
    </w:p>
    <w:tbl>
      <w:tblPr>
        <w:tblStyle w:val="TableGrid"/>
        <w:tblW w:w="4540" w:type="pct"/>
        <w:tblInd w:w="850" w:type="dxa"/>
        <w:tblLayout w:type="fixed"/>
        <w:tblLook w:val="04A0" w:firstRow="1" w:lastRow="0" w:firstColumn="1" w:lastColumn="0" w:noHBand="0" w:noVBand="1"/>
        <w:tblCaption w:val="Table 6:  Summary of adverse events (AEs) across the direct randomised trials – ATTRACT and FACETS"/>
      </w:tblPr>
      <w:tblGrid>
        <w:gridCol w:w="2525"/>
        <w:gridCol w:w="839"/>
        <w:gridCol w:w="839"/>
        <w:gridCol w:w="839"/>
        <w:gridCol w:w="839"/>
        <w:gridCol w:w="841"/>
        <w:gridCol w:w="839"/>
        <w:gridCol w:w="831"/>
      </w:tblGrid>
      <w:tr w:rsidR="008D3136" w:rsidTr="001E64BC">
        <w:trPr>
          <w:tblHeader/>
        </w:trPr>
        <w:tc>
          <w:tcPr>
            <w:tcW w:w="1504" w:type="pct"/>
            <w:vMerge w:val="restart"/>
          </w:tcPr>
          <w:p w:rsidR="008D3136" w:rsidRDefault="008D3136" w:rsidP="001E64BC">
            <w:pPr>
              <w:pStyle w:val="TableHeading"/>
            </w:pPr>
            <w:r>
              <w:t>Study ID</w:t>
            </w:r>
          </w:p>
        </w:tc>
        <w:tc>
          <w:tcPr>
            <w:tcW w:w="1500" w:type="pct"/>
            <w:gridSpan w:val="3"/>
            <w:tcBorders>
              <w:bottom w:val="single" w:sz="4" w:space="0" w:color="auto"/>
            </w:tcBorders>
          </w:tcPr>
          <w:p w:rsidR="008D3136" w:rsidRDefault="008D3136" w:rsidP="001E64BC">
            <w:pPr>
              <w:pStyle w:val="TableHeading"/>
              <w:jc w:val="center"/>
            </w:pPr>
            <w:r>
              <w:t xml:space="preserve">ATTRACT </w:t>
            </w:r>
            <w:r>
              <w:br/>
              <w:t>[Treatment experienced]</w:t>
            </w:r>
          </w:p>
        </w:tc>
        <w:tc>
          <w:tcPr>
            <w:tcW w:w="1996" w:type="pct"/>
            <w:gridSpan w:val="4"/>
            <w:tcBorders>
              <w:bottom w:val="single" w:sz="4" w:space="0" w:color="auto"/>
            </w:tcBorders>
          </w:tcPr>
          <w:p w:rsidR="008D3136" w:rsidRDefault="008D3136" w:rsidP="001E64BC">
            <w:pPr>
              <w:pStyle w:val="TableHeading"/>
              <w:jc w:val="center"/>
            </w:pPr>
            <w:r>
              <w:t xml:space="preserve">FACETS </w:t>
            </w:r>
            <w:r>
              <w:br/>
              <w:t>[Treatment naïve]</w:t>
            </w:r>
          </w:p>
        </w:tc>
      </w:tr>
      <w:tr w:rsidR="008D3136" w:rsidTr="001E64BC">
        <w:trPr>
          <w:trHeight w:val="159"/>
          <w:tblHeader/>
        </w:trPr>
        <w:tc>
          <w:tcPr>
            <w:tcW w:w="1504" w:type="pct"/>
            <w:vMerge/>
          </w:tcPr>
          <w:p w:rsidR="008D3136" w:rsidRDefault="008D3136" w:rsidP="001E64BC">
            <w:pPr>
              <w:pStyle w:val="TableHeading"/>
            </w:pPr>
          </w:p>
        </w:tc>
        <w:tc>
          <w:tcPr>
            <w:tcW w:w="1000" w:type="pct"/>
            <w:gridSpan w:val="2"/>
          </w:tcPr>
          <w:p w:rsidR="008D3136" w:rsidRDefault="008D3136" w:rsidP="001E64BC">
            <w:pPr>
              <w:pStyle w:val="TableHeading"/>
              <w:jc w:val="center"/>
            </w:pPr>
            <w:r>
              <w:t>18 months</w:t>
            </w:r>
          </w:p>
        </w:tc>
        <w:tc>
          <w:tcPr>
            <w:tcW w:w="500" w:type="pct"/>
          </w:tcPr>
          <w:p w:rsidR="008D3136" w:rsidRDefault="008D3136" w:rsidP="001E64BC">
            <w:pPr>
              <w:pStyle w:val="TableHeading"/>
              <w:jc w:val="center"/>
            </w:pPr>
            <w:r>
              <w:t>30 Month</w:t>
            </w:r>
          </w:p>
        </w:tc>
        <w:tc>
          <w:tcPr>
            <w:tcW w:w="1001" w:type="pct"/>
            <w:gridSpan w:val="2"/>
          </w:tcPr>
          <w:p w:rsidR="008D3136" w:rsidRDefault="008D3136" w:rsidP="001E64BC">
            <w:pPr>
              <w:pStyle w:val="TableHeading"/>
              <w:jc w:val="center"/>
            </w:pPr>
            <w:r>
              <w:t>6 months</w:t>
            </w:r>
          </w:p>
        </w:tc>
        <w:tc>
          <w:tcPr>
            <w:tcW w:w="500" w:type="pct"/>
            <w:tcBorders>
              <w:bottom w:val="nil"/>
            </w:tcBorders>
          </w:tcPr>
          <w:p w:rsidR="008D3136" w:rsidRDefault="008D3136" w:rsidP="001E64BC">
            <w:pPr>
              <w:pStyle w:val="TableHeading"/>
              <w:ind w:left="-96" w:right="-73"/>
              <w:jc w:val="center"/>
            </w:pPr>
            <w:r>
              <w:t>Stage 2</w:t>
            </w:r>
            <w:r w:rsidRPr="00B00024">
              <w:rPr>
                <w:vertAlign w:val="superscript"/>
              </w:rPr>
              <w:t>a</w:t>
            </w:r>
          </w:p>
        </w:tc>
        <w:tc>
          <w:tcPr>
            <w:tcW w:w="495" w:type="pct"/>
            <w:tcBorders>
              <w:bottom w:val="nil"/>
            </w:tcBorders>
          </w:tcPr>
          <w:p w:rsidR="008D3136" w:rsidRDefault="008D3136" w:rsidP="001E64BC">
            <w:pPr>
              <w:pStyle w:val="TableHeading"/>
              <w:ind w:left="-96" w:right="-73"/>
              <w:jc w:val="center"/>
            </w:pPr>
            <w:r>
              <w:t>OLE period</w:t>
            </w:r>
            <w:r w:rsidRPr="00B00024">
              <w:rPr>
                <w:vertAlign w:val="superscript"/>
              </w:rPr>
              <w:t>a</w:t>
            </w:r>
          </w:p>
        </w:tc>
      </w:tr>
      <w:tr w:rsidR="008D3136" w:rsidRPr="00FE3CF0" w:rsidTr="001E64BC">
        <w:trPr>
          <w:tblHeader/>
        </w:trPr>
        <w:tc>
          <w:tcPr>
            <w:tcW w:w="1504" w:type="pct"/>
            <w:vMerge/>
            <w:tcBorders>
              <w:bottom w:val="single" w:sz="4" w:space="0" w:color="auto"/>
            </w:tcBorders>
          </w:tcPr>
          <w:p w:rsidR="008D3136" w:rsidRDefault="008D3136" w:rsidP="001E64BC">
            <w:pPr>
              <w:pStyle w:val="TableHeading"/>
              <w:jc w:val="center"/>
            </w:pPr>
          </w:p>
        </w:tc>
        <w:tc>
          <w:tcPr>
            <w:tcW w:w="500" w:type="pct"/>
            <w:tcBorders>
              <w:bottom w:val="single" w:sz="4" w:space="0" w:color="auto"/>
            </w:tcBorders>
          </w:tcPr>
          <w:p w:rsidR="008D3136" w:rsidRPr="00413097" w:rsidRDefault="008D3136" w:rsidP="001E64BC">
            <w:pPr>
              <w:pStyle w:val="TableHeading"/>
              <w:jc w:val="center"/>
            </w:pPr>
            <w:r>
              <w:t>MIG</w:t>
            </w:r>
            <w:r>
              <w:br/>
            </w:r>
            <w:r>
              <w:br/>
              <w:t>N=36</w:t>
            </w:r>
          </w:p>
        </w:tc>
        <w:tc>
          <w:tcPr>
            <w:tcW w:w="500" w:type="pct"/>
            <w:tcBorders>
              <w:bottom w:val="single" w:sz="4" w:space="0" w:color="auto"/>
            </w:tcBorders>
          </w:tcPr>
          <w:p w:rsidR="008D3136" w:rsidRPr="00413097" w:rsidRDefault="008D3136" w:rsidP="001E64BC">
            <w:pPr>
              <w:pStyle w:val="TableHeading"/>
              <w:jc w:val="center"/>
            </w:pPr>
            <w:r>
              <w:t>ERT</w:t>
            </w:r>
            <w:r>
              <w:br/>
            </w:r>
            <w:r>
              <w:br/>
              <w:t>N=24</w:t>
            </w:r>
          </w:p>
        </w:tc>
        <w:tc>
          <w:tcPr>
            <w:tcW w:w="500" w:type="pct"/>
            <w:tcBorders>
              <w:bottom w:val="single" w:sz="4" w:space="0" w:color="auto"/>
            </w:tcBorders>
          </w:tcPr>
          <w:p w:rsidR="008D3136" w:rsidRDefault="008D3136" w:rsidP="001E64BC">
            <w:pPr>
              <w:pStyle w:val="TableHeading"/>
              <w:ind w:left="-96" w:right="-73"/>
              <w:jc w:val="center"/>
            </w:pPr>
            <w:r>
              <w:t>MIG-MIG</w:t>
            </w:r>
            <w:r>
              <w:br/>
            </w:r>
            <w:r>
              <w:br/>
              <w:t>N=31</w:t>
            </w:r>
          </w:p>
        </w:tc>
        <w:tc>
          <w:tcPr>
            <w:tcW w:w="500" w:type="pct"/>
            <w:tcBorders>
              <w:bottom w:val="single" w:sz="4" w:space="0" w:color="auto"/>
            </w:tcBorders>
          </w:tcPr>
          <w:p w:rsidR="008D3136" w:rsidRPr="00413097" w:rsidRDefault="008D3136" w:rsidP="001E64BC">
            <w:pPr>
              <w:pStyle w:val="TableHeading"/>
              <w:jc w:val="center"/>
            </w:pPr>
            <w:r>
              <w:t>MIG</w:t>
            </w:r>
            <w:r>
              <w:br/>
            </w:r>
            <w:r>
              <w:br/>
              <w:t>N=34</w:t>
            </w:r>
          </w:p>
        </w:tc>
        <w:tc>
          <w:tcPr>
            <w:tcW w:w="501" w:type="pct"/>
            <w:tcBorders>
              <w:bottom w:val="single" w:sz="4" w:space="0" w:color="auto"/>
            </w:tcBorders>
          </w:tcPr>
          <w:p w:rsidR="008D3136" w:rsidRPr="00413097" w:rsidRDefault="008D3136" w:rsidP="001E64BC">
            <w:pPr>
              <w:pStyle w:val="TableHeading"/>
              <w:jc w:val="center"/>
            </w:pPr>
            <w:r>
              <w:t>PBO</w:t>
            </w:r>
            <w:r>
              <w:br/>
            </w:r>
            <w:r>
              <w:br/>
              <w:t>N=33</w:t>
            </w:r>
          </w:p>
        </w:tc>
        <w:tc>
          <w:tcPr>
            <w:tcW w:w="500" w:type="pct"/>
            <w:tcBorders>
              <w:bottom w:val="single" w:sz="4" w:space="0" w:color="auto"/>
            </w:tcBorders>
          </w:tcPr>
          <w:p w:rsidR="008D3136" w:rsidRPr="00FE3CF0" w:rsidRDefault="008D3136" w:rsidP="001E64BC">
            <w:pPr>
              <w:pStyle w:val="TableHeading"/>
              <w:ind w:left="-96" w:right="-73"/>
              <w:jc w:val="center"/>
            </w:pPr>
            <w:r w:rsidRPr="00FE3CF0">
              <w:t>MIG-MIG/ PBO-MIG N=63</w:t>
            </w:r>
          </w:p>
        </w:tc>
        <w:tc>
          <w:tcPr>
            <w:tcW w:w="495" w:type="pct"/>
            <w:tcBorders>
              <w:bottom w:val="single" w:sz="4" w:space="0" w:color="auto"/>
            </w:tcBorders>
          </w:tcPr>
          <w:p w:rsidR="008D3136" w:rsidRPr="00FE3CF0" w:rsidRDefault="008D3136" w:rsidP="001E64BC">
            <w:pPr>
              <w:pStyle w:val="TableHeading"/>
              <w:ind w:left="-96" w:right="-73"/>
              <w:jc w:val="center"/>
            </w:pPr>
            <w:r w:rsidRPr="00FE3CF0">
              <w:t>MIG-MIG/ PBO-MIG N=57</w:t>
            </w:r>
          </w:p>
        </w:tc>
      </w:tr>
      <w:tr w:rsidR="008D3136" w:rsidTr="001E64BC">
        <w:tc>
          <w:tcPr>
            <w:tcW w:w="1504" w:type="pct"/>
            <w:tcBorders>
              <w:top w:val="single" w:sz="4" w:space="0" w:color="auto"/>
              <w:bottom w:val="single" w:sz="4" w:space="0" w:color="auto"/>
              <w:right w:val="nil"/>
            </w:tcBorders>
            <w:vAlign w:val="bottom"/>
          </w:tcPr>
          <w:p w:rsidR="008D3136" w:rsidRPr="000B47F9" w:rsidRDefault="008D3136" w:rsidP="001E64BC">
            <w:pPr>
              <w:pStyle w:val="TableText0"/>
              <w:keepNext w:val="0"/>
              <w:widowControl w:val="0"/>
              <w:spacing w:before="0" w:after="0"/>
              <w:ind w:left="-56" w:right="-74"/>
            </w:pPr>
            <w:r>
              <w:t>Summary of AEs</w:t>
            </w:r>
          </w:p>
        </w:tc>
        <w:tc>
          <w:tcPr>
            <w:tcW w:w="500" w:type="pct"/>
            <w:tcBorders>
              <w:top w:val="single" w:sz="4" w:space="0" w:color="auto"/>
              <w:left w:val="nil"/>
              <w:bottom w:val="single" w:sz="4" w:space="0" w:color="auto"/>
              <w:right w:val="nil"/>
            </w:tcBorders>
            <w:shd w:val="clear" w:color="auto" w:fill="auto"/>
          </w:tcPr>
          <w:p w:rsidR="008D3136" w:rsidRPr="00C2155C" w:rsidRDefault="008D3136" w:rsidP="001E64BC">
            <w:pPr>
              <w:pStyle w:val="tabletextleftjustified"/>
              <w:ind w:left="-94" w:right="-93"/>
              <w:jc w:val="center"/>
              <w:rPr>
                <w:rFonts w:ascii="Arial Narrow" w:hAnsi="Arial Narrow" w:cs="Arial Narrow"/>
                <w:lang w:val="en-AU"/>
              </w:rPr>
            </w:pPr>
          </w:p>
        </w:tc>
        <w:tc>
          <w:tcPr>
            <w:tcW w:w="500" w:type="pct"/>
            <w:tcBorders>
              <w:top w:val="single" w:sz="4" w:space="0" w:color="auto"/>
              <w:left w:val="nil"/>
              <w:bottom w:val="single" w:sz="4" w:space="0" w:color="auto"/>
              <w:right w:val="nil"/>
            </w:tcBorders>
            <w:shd w:val="clear" w:color="auto" w:fill="auto"/>
          </w:tcPr>
          <w:p w:rsidR="008D3136" w:rsidRPr="00C2155C" w:rsidRDefault="008D3136" w:rsidP="001E64BC">
            <w:pPr>
              <w:pStyle w:val="tabletextleftjustified"/>
              <w:ind w:left="-94" w:right="-93"/>
              <w:jc w:val="center"/>
              <w:rPr>
                <w:rFonts w:ascii="Arial Narrow" w:hAnsi="Arial Narrow" w:cs="Arial Narrow"/>
                <w:i/>
                <w:lang w:val="en-AU"/>
              </w:rPr>
            </w:pPr>
          </w:p>
        </w:tc>
        <w:tc>
          <w:tcPr>
            <w:tcW w:w="500" w:type="pct"/>
            <w:tcBorders>
              <w:top w:val="single" w:sz="4" w:space="0" w:color="auto"/>
              <w:left w:val="nil"/>
              <w:bottom w:val="single" w:sz="4" w:space="0" w:color="auto"/>
              <w:right w:val="nil"/>
            </w:tcBorders>
            <w:shd w:val="clear" w:color="auto" w:fill="auto"/>
          </w:tcPr>
          <w:p w:rsidR="008D3136" w:rsidRPr="003254DE" w:rsidRDefault="008D3136" w:rsidP="001E64BC">
            <w:pPr>
              <w:pStyle w:val="tabletextleftjustified"/>
              <w:ind w:left="-94" w:right="-93"/>
              <w:jc w:val="center"/>
              <w:rPr>
                <w:rFonts w:ascii="Arial Narrow" w:eastAsia="SimSun" w:hAnsi="Arial Narrow" w:cs="Arial Narrow"/>
                <w:lang w:val="en-AU"/>
              </w:rPr>
            </w:pPr>
          </w:p>
        </w:tc>
        <w:tc>
          <w:tcPr>
            <w:tcW w:w="500" w:type="pct"/>
            <w:tcBorders>
              <w:top w:val="single" w:sz="4" w:space="0" w:color="auto"/>
              <w:left w:val="nil"/>
              <w:bottom w:val="single" w:sz="4" w:space="0" w:color="auto"/>
              <w:right w:val="nil"/>
            </w:tcBorders>
            <w:shd w:val="clear" w:color="auto" w:fill="auto"/>
          </w:tcPr>
          <w:p w:rsidR="008D3136" w:rsidRPr="00D60A59" w:rsidRDefault="008D3136" w:rsidP="001E64BC">
            <w:pPr>
              <w:pStyle w:val="tabletextleftjustified"/>
              <w:ind w:left="-94" w:right="-93"/>
              <w:jc w:val="center"/>
              <w:rPr>
                <w:rFonts w:ascii="Arial Narrow" w:eastAsia="SimSun" w:hAnsi="Arial Narrow" w:cs="Arial Narrow"/>
                <w:lang w:val="en-AU"/>
              </w:rPr>
            </w:pPr>
          </w:p>
        </w:tc>
        <w:tc>
          <w:tcPr>
            <w:tcW w:w="501" w:type="pct"/>
            <w:tcBorders>
              <w:top w:val="single" w:sz="4" w:space="0" w:color="auto"/>
              <w:left w:val="nil"/>
              <w:bottom w:val="single" w:sz="4" w:space="0" w:color="auto"/>
              <w:right w:val="nil"/>
            </w:tcBorders>
            <w:shd w:val="clear" w:color="auto" w:fill="auto"/>
          </w:tcPr>
          <w:p w:rsidR="008D3136" w:rsidRPr="00D60A59" w:rsidRDefault="008D3136" w:rsidP="001E64BC">
            <w:pPr>
              <w:pStyle w:val="tabletextleftjustified"/>
              <w:ind w:left="-94" w:right="-93"/>
              <w:jc w:val="center"/>
              <w:rPr>
                <w:rFonts w:ascii="Arial Narrow" w:eastAsia="SimSun" w:hAnsi="Arial Narrow" w:cs="Arial Narrow"/>
                <w:lang w:val="en-AU"/>
              </w:rPr>
            </w:pPr>
          </w:p>
        </w:tc>
        <w:tc>
          <w:tcPr>
            <w:tcW w:w="500" w:type="pct"/>
            <w:tcBorders>
              <w:top w:val="single" w:sz="4" w:space="0" w:color="auto"/>
              <w:left w:val="nil"/>
              <w:bottom w:val="single" w:sz="4" w:space="0" w:color="auto"/>
              <w:right w:val="nil"/>
            </w:tcBorders>
          </w:tcPr>
          <w:p w:rsidR="008D3136" w:rsidRPr="007B34AB" w:rsidRDefault="008D3136" w:rsidP="001E64BC">
            <w:pPr>
              <w:pStyle w:val="tabletextleftjustified"/>
              <w:ind w:left="-94" w:right="-93"/>
              <w:jc w:val="center"/>
              <w:rPr>
                <w:rFonts w:ascii="Arial Narrow" w:hAnsi="Arial Narrow" w:cs="Arial Narrow"/>
                <w:i/>
                <w:lang w:val="en-AU"/>
              </w:rPr>
            </w:pPr>
          </w:p>
        </w:tc>
        <w:tc>
          <w:tcPr>
            <w:tcW w:w="495" w:type="pct"/>
            <w:tcBorders>
              <w:top w:val="single" w:sz="4" w:space="0" w:color="auto"/>
              <w:left w:val="nil"/>
              <w:bottom w:val="single" w:sz="4" w:space="0" w:color="auto"/>
              <w:right w:val="single" w:sz="4" w:space="0" w:color="auto"/>
            </w:tcBorders>
          </w:tcPr>
          <w:p w:rsidR="008D3136" w:rsidRDefault="008D3136" w:rsidP="001E64BC">
            <w:pPr>
              <w:pStyle w:val="tabletextleftjustified"/>
              <w:ind w:left="-94" w:right="-93"/>
              <w:jc w:val="center"/>
              <w:rPr>
                <w:rFonts w:ascii="Arial Narrow" w:hAnsi="Arial Narrow" w:cs="Arial Narrow"/>
                <w:i/>
                <w:lang w:val="en-AU"/>
              </w:rPr>
            </w:pPr>
          </w:p>
        </w:tc>
      </w:tr>
      <w:tr w:rsidR="008D3136" w:rsidTr="001E64BC">
        <w:tc>
          <w:tcPr>
            <w:tcW w:w="1504" w:type="pct"/>
            <w:tcBorders>
              <w:top w:val="single" w:sz="4" w:space="0" w:color="auto"/>
              <w:bottom w:val="nil"/>
              <w:right w:val="single" w:sz="4" w:space="0" w:color="auto"/>
            </w:tcBorders>
            <w:vAlign w:val="bottom"/>
          </w:tcPr>
          <w:p w:rsidR="008D3136" w:rsidRPr="000B47F9" w:rsidRDefault="008D3136" w:rsidP="001E64BC">
            <w:pPr>
              <w:pStyle w:val="TableText0"/>
              <w:keepNext w:val="0"/>
              <w:widowControl w:val="0"/>
              <w:spacing w:before="0" w:after="0"/>
              <w:ind w:left="-56" w:right="-74"/>
            </w:pPr>
            <w:r w:rsidRPr="000B47F9">
              <w:t>Safety Population</w:t>
            </w:r>
            <w:r>
              <w:t xml:space="preserve"> subjects, n</w:t>
            </w:r>
          </w:p>
        </w:tc>
        <w:tc>
          <w:tcPr>
            <w:tcW w:w="500" w:type="pct"/>
            <w:tcBorders>
              <w:top w:val="single" w:sz="4" w:space="0" w:color="auto"/>
              <w:left w:val="single" w:sz="4" w:space="0" w:color="auto"/>
              <w:bottom w:val="nil"/>
              <w:right w:val="single" w:sz="4" w:space="0" w:color="auto"/>
            </w:tcBorders>
            <w:shd w:val="clear" w:color="auto" w:fill="auto"/>
          </w:tcPr>
          <w:p w:rsidR="008D3136" w:rsidRPr="00C2155C" w:rsidRDefault="008D3136" w:rsidP="001E64BC">
            <w:pPr>
              <w:pStyle w:val="tabletextleftjustified"/>
              <w:ind w:left="-94" w:right="-93"/>
              <w:jc w:val="center"/>
              <w:rPr>
                <w:rFonts w:ascii="Arial Narrow" w:hAnsi="Arial Narrow" w:cs="Arial Narrow"/>
                <w:lang w:val="en-AU"/>
              </w:rPr>
            </w:pPr>
            <w:r w:rsidRPr="00C2155C">
              <w:rPr>
                <w:rFonts w:ascii="Arial Narrow" w:hAnsi="Arial Narrow" w:cs="Arial Narrow"/>
                <w:lang w:val="en-AU"/>
              </w:rPr>
              <w:t>36</w:t>
            </w:r>
          </w:p>
        </w:tc>
        <w:tc>
          <w:tcPr>
            <w:tcW w:w="500" w:type="pct"/>
            <w:tcBorders>
              <w:top w:val="single" w:sz="4" w:space="0" w:color="auto"/>
              <w:left w:val="single" w:sz="4" w:space="0" w:color="auto"/>
              <w:bottom w:val="nil"/>
              <w:right w:val="single" w:sz="4" w:space="0" w:color="auto"/>
            </w:tcBorders>
            <w:shd w:val="clear" w:color="auto" w:fill="auto"/>
          </w:tcPr>
          <w:p w:rsidR="008D3136" w:rsidRPr="00C2155C" w:rsidRDefault="008D3136" w:rsidP="001E64BC">
            <w:pPr>
              <w:pStyle w:val="tabletextleftjustified"/>
              <w:ind w:left="-94" w:right="-93"/>
              <w:jc w:val="center"/>
              <w:rPr>
                <w:rFonts w:ascii="Arial Narrow" w:hAnsi="Arial Narrow" w:cs="Arial Narrow"/>
                <w:i/>
                <w:lang w:val="en-AU"/>
              </w:rPr>
            </w:pPr>
            <w:r w:rsidRPr="00C2155C">
              <w:rPr>
                <w:rFonts w:ascii="Arial Narrow" w:hAnsi="Arial Narrow" w:cs="Arial Narrow"/>
                <w:i/>
                <w:lang w:val="en-AU"/>
              </w:rPr>
              <w:t>21</w:t>
            </w:r>
          </w:p>
        </w:tc>
        <w:tc>
          <w:tcPr>
            <w:tcW w:w="500" w:type="pct"/>
            <w:tcBorders>
              <w:top w:val="single" w:sz="4" w:space="0" w:color="auto"/>
              <w:left w:val="single" w:sz="4" w:space="0" w:color="auto"/>
              <w:bottom w:val="nil"/>
              <w:right w:val="nil"/>
            </w:tcBorders>
            <w:shd w:val="clear" w:color="auto" w:fill="auto"/>
          </w:tcPr>
          <w:p w:rsidR="008D3136" w:rsidRPr="003254DE" w:rsidRDefault="008D3136" w:rsidP="001E64BC">
            <w:pPr>
              <w:pStyle w:val="tabletextleftjustified"/>
              <w:ind w:left="-94" w:right="-93"/>
              <w:jc w:val="center"/>
              <w:rPr>
                <w:rFonts w:ascii="Arial Narrow" w:eastAsia="SimSun" w:hAnsi="Arial Narrow" w:cs="Arial Narrow"/>
                <w:lang w:val="en-AU"/>
              </w:rPr>
            </w:pPr>
            <w:r w:rsidRPr="003254DE">
              <w:rPr>
                <w:rFonts w:ascii="Arial Narrow" w:eastAsia="SimSun" w:hAnsi="Arial Narrow" w:cs="Arial Narrow"/>
                <w:lang w:val="en-AU"/>
              </w:rPr>
              <w:t>51</w:t>
            </w:r>
          </w:p>
        </w:tc>
        <w:tc>
          <w:tcPr>
            <w:tcW w:w="500" w:type="pct"/>
            <w:tcBorders>
              <w:top w:val="single" w:sz="4" w:space="0" w:color="auto"/>
              <w:left w:val="single" w:sz="4" w:space="0" w:color="auto"/>
              <w:bottom w:val="nil"/>
              <w:right w:val="single" w:sz="4" w:space="0" w:color="auto"/>
            </w:tcBorders>
            <w:shd w:val="clear" w:color="auto" w:fill="auto"/>
          </w:tcPr>
          <w:p w:rsidR="008D3136" w:rsidRPr="00D60A59" w:rsidRDefault="008D3136" w:rsidP="001E64BC">
            <w:pPr>
              <w:pStyle w:val="tabletextleftjustified"/>
              <w:ind w:left="-94" w:right="-93"/>
              <w:jc w:val="center"/>
              <w:rPr>
                <w:rFonts w:ascii="Arial Narrow" w:eastAsia="SimSun" w:hAnsi="Arial Narrow" w:cs="Arial Narrow"/>
                <w:lang w:val="en-AU"/>
              </w:rPr>
            </w:pPr>
            <w:r w:rsidRPr="00D60A59">
              <w:rPr>
                <w:rFonts w:ascii="Arial Narrow" w:eastAsia="SimSun" w:hAnsi="Arial Narrow" w:cs="Arial Narrow"/>
                <w:lang w:val="en-AU"/>
              </w:rPr>
              <w:t>34</w:t>
            </w:r>
          </w:p>
        </w:tc>
        <w:tc>
          <w:tcPr>
            <w:tcW w:w="501" w:type="pct"/>
            <w:tcBorders>
              <w:top w:val="single" w:sz="4" w:space="0" w:color="auto"/>
              <w:left w:val="single" w:sz="4" w:space="0" w:color="auto"/>
              <w:bottom w:val="nil"/>
              <w:right w:val="single" w:sz="4" w:space="0" w:color="auto"/>
            </w:tcBorders>
            <w:shd w:val="clear" w:color="auto" w:fill="auto"/>
          </w:tcPr>
          <w:p w:rsidR="008D3136" w:rsidRPr="00D60A59" w:rsidRDefault="008D3136" w:rsidP="001E64BC">
            <w:pPr>
              <w:pStyle w:val="tabletextleftjustified"/>
              <w:ind w:left="-94" w:right="-93"/>
              <w:jc w:val="center"/>
              <w:rPr>
                <w:rFonts w:ascii="Arial Narrow" w:eastAsia="SimSun" w:hAnsi="Arial Narrow" w:cs="Arial Narrow"/>
                <w:lang w:val="en-AU"/>
              </w:rPr>
            </w:pPr>
            <w:r w:rsidRPr="00D60A59">
              <w:rPr>
                <w:rFonts w:ascii="Arial Narrow" w:eastAsia="SimSun" w:hAnsi="Arial Narrow" w:cs="Arial Narrow"/>
                <w:lang w:val="en-AU"/>
              </w:rPr>
              <w:t>33</w:t>
            </w:r>
          </w:p>
        </w:tc>
        <w:tc>
          <w:tcPr>
            <w:tcW w:w="500" w:type="pct"/>
            <w:tcBorders>
              <w:top w:val="single" w:sz="4" w:space="0" w:color="auto"/>
              <w:left w:val="single" w:sz="4" w:space="0" w:color="auto"/>
              <w:bottom w:val="nil"/>
              <w:right w:val="single" w:sz="4" w:space="0" w:color="auto"/>
            </w:tcBorders>
          </w:tcPr>
          <w:p w:rsidR="008D3136" w:rsidRDefault="008D3136" w:rsidP="001E64BC">
            <w:pPr>
              <w:pStyle w:val="tabletextleftjustified"/>
              <w:ind w:left="-94" w:right="-93"/>
              <w:jc w:val="center"/>
              <w:rPr>
                <w:rFonts w:ascii="Arial Narrow" w:hAnsi="Arial Narrow" w:cs="Arial Narrow"/>
                <w:i/>
                <w:lang w:val="en-AU"/>
              </w:rPr>
            </w:pPr>
            <w:r>
              <w:rPr>
                <w:rFonts w:ascii="Arial Narrow" w:hAnsi="Arial Narrow" w:cs="Arial Narrow"/>
                <w:i/>
                <w:lang w:val="en-AU"/>
              </w:rPr>
              <w:t>63</w:t>
            </w:r>
          </w:p>
        </w:tc>
        <w:tc>
          <w:tcPr>
            <w:tcW w:w="495" w:type="pct"/>
            <w:tcBorders>
              <w:top w:val="single" w:sz="4" w:space="0" w:color="auto"/>
              <w:left w:val="single" w:sz="4" w:space="0" w:color="auto"/>
              <w:bottom w:val="nil"/>
              <w:right w:val="single" w:sz="4" w:space="0" w:color="auto"/>
            </w:tcBorders>
          </w:tcPr>
          <w:p w:rsidR="008D3136" w:rsidRDefault="008D3136" w:rsidP="001E64BC">
            <w:pPr>
              <w:pStyle w:val="tabletextleftjustified"/>
              <w:ind w:left="-94" w:right="-93"/>
              <w:jc w:val="center"/>
              <w:rPr>
                <w:rFonts w:ascii="Arial Narrow" w:hAnsi="Arial Narrow" w:cs="Arial Narrow"/>
                <w:i/>
                <w:lang w:val="en-AU"/>
              </w:rPr>
            </w:pPr>
            <w:r>
              <w:rPr>
                <w:rFonts w:ascii="Arial Narrow" w:hAnsi="Arial Narrow" w:cs="Arial Narrow"/>
                <w:i/>
                <w:lang w:val="en-AU"/>
              </w:rPr>
              <w:t>57</w:t>
            </w:r>
          </w:p>
        </w:tc>
      </w:tr>
      <w:tr w:rsidR="008D3136" w:rsidRPr="00197FCE" w:rsidTr="001E64BC">
        <w:tc>
          <w:tcPr>
            <w:tcW w:w="1504" w:type="pct"/>
            <w:tcBorders>
              <w:top w:val="nil"/>
              <w:bottom w:val="nil"/>
              <w:right w:val="single" w:sz="4" w:space="0" w:color="auto"/>
            </w:tcBorders>
            <w:vAlign w:val="bottom"/>
          </w:tcPr>
          <w:p w:rsidR="008D3136" w:rsidRPr="000B47F9" w:rsidRDefault="008D3136" w:rsidP="001E64BC">
            <w:pPr>
              <w:pStyle w:val="TableText0"/>
              <w:keepNext w:val="0"/>
              <w:widowControl w:val="0"/>
              <w:spacing w:before="0" w:after="0"/>
              <w:ind w:left="-56" w:right="-74"/>
            </w:pPr>
            <w:r w:rsidRPr="000B47F9">
              <w:t>TEAEs</w:t>
            </w:r>
            <w:r>
              <w:t xml:space="preserve"> (number of events)</w:t>
            </w:r>
          </w:p>
        </w:tc>
        <w:tc>
          <w:tcPr>
            <w:tcW w:w="500" w:type="pct"/>
            <w:tcBorders>
              <w:top w:val="nil"/>
              <w:left w:val="single" w:sz="4" w:space="0" w:color="auto"/>
              <w:bottom w:val="nil"/>
              <w:right w:val="single" w:sz="4" w:space="0" w:color="auto"/>
            </w:tcBorders>
            <w:shd w:val="clear" w:color="auto" w:fill="auto"/>
          </w:tcPr>
          <w:p w:rsidR="008D3136" w:rsidRPr="00C2155C" w:rsidRDefault="008D3136" w:rsidP="001E64BC">
            <w:pPr>
              <w:pStyle w:val="tabletextleftjustified"/>
              <w:ind w:left="-94" w:right="-93"/>
              <w:jc w:val="center"/>
              <w:rPr>
                <w:rFonts w:ascii="Arial Narrow" w:hAnsi="Arial Narrow" w:cs="Arial Narrow"/>
                <w:lang w:val="en-AU"/>
              </w:rPr>
            </w:pPr>
            <w:r w:rsidRPr="00C2155C">
              <w:rPr>
                <w:rFonts w:ascii="Arial Narrow" w:hAnsi="Arial Narrow" w:cs="Arial Narrow"/>
                <w:lang w:val="en-AU"/>
              </w:rPr>
              <w:t>308</w:t>
            </w:r>
          </w:p>
        </w:tc>
        <w:tc>
          <w:tcPr>
            <w:tcW w:w="500" w:type="pct"/>
            <w:tcBorders>
              <w:top w:val="nil"/>
              <w:left w:val="single" w:sz="4" w:space="0" w:color="auto"/>
              <w:bottom w:val="nil"/>
              <w:right w:val="single" w:sz="4" w:space="0" w:color="auto"/>
            </w:tcBorders>
            <w:shd w:val="clear" w:color="auto" w:fill="auto"/>
          </w:tcPr>
          <w:p w:rsidR="008D3136" w:rsidRPr="00C2155C" w:rsidRDefault="008D3136" w:rsidP="001E64BC">
            <w:pPr>
              <w:pStyle w:val="tabletextleftjustified"/>
              <w:ind w:left="-94" w:right="-93"/>
              <w:jc w:val="center"/>
              <w:rPr>
                <w:rFonts w:ascii="Arial Narrow" w:hAnsi="Arial Narrow" w:cs="Arial Narrow"/>
                <w:i/>
                <w:lang w:val="en-AU"/>
              </w:rPr>
            </w:pPr>
            <w:r w:rsidRPr="00C2155C">
              <w:rPr>
                <w:rFonts w:ascii="Arial Narrow" w:hAnsi="Arial Narrow" w:cs="Arial Narrow"/>
                <w:i/>
                <w:lang w:val="en-AU"/>
              </w:rPr>
              <w:t>166</w:t>
            </w:r>
          </w:p>
        </w:tc>
        <w:tc>
          <w:tcPr>
            <w:tcW w:w="500" w:type="pct"/>
            <w:tcBorders>
              <w:top w:val="nil"/>
              <w:left w:val="single" w:sz="4" w:space="0" w:color="auto"/>
              <w:bottom w:val="nil"/>
              <w:right w:val="nil"/>
            </w:tcBorders>
            <w:shd w:val="clear" w:color="auto" w:fill="auto"/>
          </w:tcPr>
          <w:p w:rsidR="008D3136" w:rsidRPr="003254DE" w:rsidRDefault="008D3136" w:rsidP="001E64BC">
            <w:pPr>
              <w:pStyle w:val="tabletextleftjustified"/>
              <w:ind w:left="-94" w:right="-93"/>
              <w:jc w:val="center"/>
              <w:rPr>
                <w:rFonts w:ascii="Arial Narrow" w:eastAsia="SimSun" w:hAnsi="Arial Narrow" w:cs="Arial Narrow"/>
                <w:lang w:val="en-AU"/>
              </w:rPr>
            </w:pPr>
            <w:r w:rsidRPr="003254DE">
              <w:rPr>
                <w:rFonts w:ascii="Arial Narrow" w:eastAsia="SimSun" w:hAnsi="Arial Narrow" w:cs="Arial Narrow"/>
                <w:lang w:val="en-AU"/>
              </w:rPr>
              <w:t>598</w:t>
            </w:r>
          </w:p>
        </w:tc>
        <w:tc>
          <w:tcPr>
            <w:tcW w:w="500" w:type="pct"/>
            <w:tcBorders>
              <w:top w:val="nil"/>
              <w:left w:val="single" w:sz="4" w:space="0" w:color="auto"/>
              <w:bottom w:val="nil"/>
              <w:right w:val="single" w:sz="4" w:space="0" w:color="auto"/>
            </w:tcBorders>
            <w:shd w:val="clear" w:color="auto" w:fill="auto"/>
          </w:tcPr>
          <w:p w:rsidR="008D3136" w:rsidRPr="00D60A59" w:rsidRDefault="008D3136" w:rsidP="001E64BC">
            <w:pPr>
              <w:pStyle w:val="tabletextleftjustified"/>
              <w:ind w:left="-94" w:right="-93"/>
              <w:jc w:val="center"/>
              <w:rPr>
                <w:rFonts w:ascii="Arial Narrow" w:eastAsia="SimSun" w:hAnsi="Arial Narrow" w:cs="Arial Narrow"/>
                <w:lang w:val="en-AU"/>
              </w:rPr>
            </w:pPr>
            <w:r w:rsidRPr="00D60A59">
              <w:rPr>
                <w:rFonts w:ascii="Arial Narrow" w:eastAsia="SimSun" w:hAnsi="Arial Narrow" w:cs="Arial Narrow"/>
                <w:lang w:val="en-AU"/>
              </w:rPr>
              <w:t>204</w:t>
            </w:r>
          </w:p>
        </w:tc>
        <w:tc>
          <w:tcPr>
            <w:tcW w:w="501" w:type="pct"/>
            <w:tcBorders>
              <w:top w:val="nil"/>
              <w:left w:val="single" w:sz="4" w:space="0" w:color="auto"/>
              <w:bottom w:val="nil"/>
              <w:right w:val="single" w:sz="4" w:space="0" w:color="auto"/>
            </w:tcBorders>
            <w:shd w:val="clear" w:color="auto" w:fill="auto"/>
          </w:tcPr>
          <w:p w:rsidR="008D3136" w:rsidRPr="00D60A59" w:rsidRDefault="008D3136" w:rsidP="001E64BC">
            <w:pPr>
              <w:pStyle w:val="tabletextleftjustified"/>
              <w:ind w:left="-94" w:right="-93"/>
              <w:jc w:val="center"/>
              <w:rPr>
                <w:rFonts w:ascii="Arial Narrow" w:eastAsia="SimSun" w:hAnsi="Arial Narrow" w:cs="Arial Narrow"/>
                <w:i/>
                <w:lang w:val="en-AU"/>
              </w:rPr>
            </w:pPr>
            <w:r w:rsidRPr="00D60A59">
              <w:rPr>
                <w:rFonts w:ascii="Arial Narrow" w:eastAsia="SimSun" w:hAnsi="Arial Narrow" w:cs="Arial Narrow"/>
                <w:i/>
                <w:lang w:val="en-AU"/>
              </w:rPr>
              <w:t>142</w:t>
            </w:r>
          </w:p>
        </w:tc>
        <w:tc>
          <w:tcPr>
            <w:tcW w:w="500" w:type="pct"/>
            <w:tcBorders>
              <w:top w:val="nil"/>
              <w:left w:val="single" w:sz="4" w:space="0" w:color="auto"/>
              <w:bottom w:val="nil"/>
              <w:right w:val="single" w:sz="4" w:space="0" w:color="auto"/>
            </w:tcBorders>
          </w:tcPr>
          <w:p w:rsidR="008D3136" w:rsidRPr="00197FCE" w:rsidRDefault="008D3136" w:rsidP="001E64BC">
            <w:pPr>
              <w:pStyle w:val="tabletextleftjustified"/>
              <w:ind w:left="-94" w:right="-93"/>
              <w:jc w:val="center"/>
              <w:rPr>
                <w:rFonts w:ascii="Arial Narrow" w:hAnsi="Arial Narrow" w:cs="Arial Narrow"/>
                <w:lang w:val="en-AU"/>
              </w:rPr>
            </w:pPr>
            <w:r>
              <w:rPr>
                <w:rFonts w:ascii="Arial Narrow" w:hAnsi="Arial Narrow" w:cs="Arial Narrow"/>
                <w:lang w:val="en-AU"/>
              </w:rPr>
              <w:t>240</w:t>
            </w:r>
          </w:p>
        </w:tc>
        <w:tc>
          <w:tcPr>
            <w:tcW w:w="495" w:type="pct"/>
            <w:tcBorders>
              <w:top w:val="nil"/>
              <w:left w:val="single" w:sz="4" w:space="0" w:color="auto"/>
              <w:bottom w:val="nil"/>
              <w:right w:val="single" w:sz="4" w:space="0" w:color="auto"/>
            </w:tcBorders>
          </w:tcPr>
          <w:p w:rsidR="008D3136" w:rsidRPr="00197FCE" w:rsidRDefault="008D3136" w:rsidP="001E64BC">
            <w:pPr>
              <w:pStyle w:val="tabletextleftjustified"/>
              <w:ind w:left="-94" w:right="-93"/>
              <w:jc w:val="center"/>
              <w:rPr>
                <w:rFonts w:ascii="Arial Narrow" w:hAnsi="Arial Narrow" w:cs="Arial Narrow"/>
                <w:lang w:val="en-AU"/>
              </w:rPr>
            </w:pPr>
            <w:r w:rsidRPr="00197FCE">
              <w:rPr>
                <w:rFonts w:ascii="Arial Narrow" w:hAnsi="Arial Narrow" w:cs="Arial Narrow"/>
                <w:lang w:val="en-AU"/>
              </w:rPr>
              <w:t>242</w:t>
            </w:r>
          </w:p>
        </w:tc>
      </w:tr>
      <w:tr w:rsidR="008D3136" w:rsidRPr="00A4790E" w:rsidTr="001E64BC">
        <w:tc>
          <w:tcPr>
            <w:tcW w:w="1504" w:type="pct"/>
            <w:tcBorders>
              <w:top w:val="nil"/>
              <w:bottom w:val="nil"/>
              <w:right w:val="single" w:sz="4" w:space="0" w:color="auto"/>
            </w:tcBorders>
            <w:vAlign w:val="bottom"/>
          </w:tcPr>
          <w:p w:rsidR="008D3136" w:rsidRPr="000B47F9" w:rsidRDefault="008D3136" w:rsidP="001E64BC">
            <w:pPr>
              <w:pStyle w:val="TableText0"/>
              <w:keepNext w:val="0"/>
              <w:widowControl w:val="0"/>
              <w:spacing w:before="0" w:after="0"/>
              <w:ind w:left="-56" w:right="-74"/>
            </w:pPr>
            <w:r w:rsidRPr="000B47F9">
              <w:t>TEAEs</w:t>
            </w:r>
            <w:r>
              <w:t>, subjects, n (%)</w:t>
            </w:r>
          </w:p>
        </w:tc>
        <w:tc>
          <w:tcPr>
            <w:tcW w:w="500" w:type="pct"/>
            <w:tcBorders>
              <w:top w:val="nil"/>
              <w:left w:val="single" w:sz="4" w:space="0" w:color="auto"/>
              <w:bottom w:val="nil"/>
              <w:right w:val="single" w:sz="4" w:space="0" w:color="auto"/>
            </w:tcBorders>
            <w:shd w:val="clear" w:color="auto" w:fill="auto"/>
          </w:tcPr>
          <w:p w:rsidR="008D3136" w:rsidRPr="00C2155C" w:rsidRDefault="008D3136" w:rsidP="001E64BC">
            <w:pPr>
              <w:pStyle w:val="tabletextleftjustified"/>
              <w:ind w:left="-94" w:right="-93"/>
              <w:jc w:val="center"/>
              <w:rPr>
                <w:rFonts w:ascii="Arial Narrow" w:hAnsi="Arial Narrow" w:cs="Arial Narrow"/>
                <w:lang w:val="en-AU"/>
              </w:rPr>
            </w:pPr>
            <w:r>
              <w:rPr>
                <w:rFonts w:ascii="Arial Narrow" w:hAnsi="Arial Narrow" w:cs="Arial Narrow"/>
                <w:lang w:val="en-AU"/>
              </w:rPr>
              <w:t>34 (</w:t>
            </w:r>
            <w:r w:rsidRPr="00C2155C">
              <w:rPr>
                <w:rFonts w:ascii="Arial Narrow" w:hAnsi="Arial Narrow" w:cs="Arial Narrow"/>
                <w:lang w:val="en-AU"/>
              </w:rPr>
              <w:t>94)</w:t>
            </w:r>
          </w:p>
        </w:tc>
        <w:tc>
          <w:tcPr>
            <w:tcW w:w="500" w:type="pct"/>
            <w:tcBorders>
              <w:top w:val="nil"/>
              <w:left w:val="single" w:sz="4" w:space="0" w:color="auto"/>
              <w:bottom w:val="nil"/>
              <w:right w:val="single" w:sz="4" w:space="0" w:color="auto"/>
            </w:tcBorders>
            <w:shd w:val="clear" w:color="auto" w:fill="auto"/>
          </w:tcPr>
          <w:p w:rsidR="008D3136" w:rsidRPr="00C2155C" w:rsidRDefault="008D3136" w:rsidP="001E64BC">
            <w:pPr>
              <w:pStyle w:val="tabletextleftjustified"/>
              <w:ind w:left="-94" w:right="-93"/>
              <w:jc w:val="center"/>
              <w:rPr>
                <w:rFonts w:ascii="Arial Narrow" w:hAnsi="Arial Narrow" w:cs="Arial Narrow"/>
                <w:i/>
                <w:lang w:val="en-AU"/>
              </w:rPr>
            </w:pPr>
            <w:r>
              <w:rPr>
                <w:rFonts w:ascii="Arial Narrow" w:hAnsi="Arial Narrow" w:cs="Arial Narrow"/>
                <w:i/>
                <w:lang w:val="en-AU"/>
              </w:rPr>
              <w:t>20 (</w:t>
            </w:r>
            <w:r w:rsidRPr="00C2155C">
              <w:rPr>
                <w:rFonts w:ascii="Arial Narrow" w:hAnsi="Arial Narrow" w:cs="Arial Narrow"/>
                <w:i/>
                <w:lang w:val="en-AU"/>
              </w:rPr>
              <w:t>95)</w:t>
            </w:r>
          </w:p>
        </w:tc>
        <w:tc>
          <w:tcPr>
            <w:tcW w:w="500" w:type="pct"/>
            <w:tcBorders>
              <w:top w:val="nil"/>
              <w:left w:val="single" w:sz="4" w:space="0" w:color="auto"/>
              <w:bottom w:val="nil"/>
              <w:right w:val="nil"/>
            </w:tcBorders>
            <w:shd w:val="clear" w:color="auto" w:fill="auto"/>
          </w:tcPr>
          <w:p w:rsidR="008D3136" w:rsidRPr="00A4790E" w:rsidRDefault="008D3136" w:rsidP="001E64BC">
            <w:pPr>
              <w:pStyle w:val="tabletextleftjustified"/>
              <w:ind w:left="-94" w:right="-93"/>
              <w:jc w:val="center"/>
              <w:rPr>
                <w:rFonts w:ascii="Arial Narrow" w:eastAsia="SimSun" w:hAnsi="Arial Narrow" w:cs="Arial Narrow"/>
                <w:lang w:val="en-AU"/>
              </w:rPr>
            </w:pPr>
            <w:r w:rsidRPr="00A4790E">
              <w:rPr>
                <w:rFonts w:ascii="Arial Narrow" w:eastAsia="SimSun" w:hAnsi="Arial Narrow" w:cs="Arial Narrow"/>
                <w:lang w:val="en-AU"/>
              </w:rPr>
              <w:t>50 (98)</w:t>
            </w:r>
          </w:p>
        </w:tc>
        <w:tc>
          <w:tcPr>
            <w:tcW w:w="500" w:type="pct"/>
            <w:tcBorders>
              <w:top w:val="nil"/>
              <w:left w:val="single" w:sz="4" w:space="0" w:color="auto"/>
              <w:bottom w:val="nil"/>
              <w:right w:val="single" w:sz="4" w:space="0" w:color="auto"/>
            </w:tcBorders>
            <w:shd w:val="clear" w:color="auto" w:fill="auto"/>
          </w:tcPr>
          <w:p w:rsidR="008D3136" w:rsidRPr="00D60A59" w:rsidRDefault="008D3136" w:rsidP="001E64BC">
            <w:pPr>
              <w:pStyle w:val="tabletextleftjustified"/>
              <w:ind w:left="-94" w:right="-93"/>
              <w:jc w:val="center"/>
              <w:rPr>
                <w:rFonts w:ascii="Arial Narrow" w:eastAsia="SimSun" w:hAnsi="Arial Narrow" w:cs="Arial Narrow"/>
                <w:lang w:val="en-AU"/>
              </w:rPr>
            </w:pPr>
            <w:r w:rsidRPr="00D60A59">
              <w:rPr>
                <w:rFonts w:ascii="Arial Narrow" w:eastAsia="SimSun" w:hAnsi="Arial Narrow" w:cs="Arial Narrow"/>
                <w:lang w:val="en-AU"/>
              </w:rPr>
              <w:t>31 (91)</w:t>
            </w:r>
          </w:p>
        </w:tc>
        <w:tc>
          <w:tcPr>
            <w:tcW w:w="501" w:type="pct"/>
            <w:tcBorders>
              <w:top w:val="nil"/>
              <w:left w:val="single" w:sz="4" w:space="0" w:color="auto"/>
              <w:bottom w:val="nil"/>
              <w:right w:val="single" w:sz="4" w:space="0" w:color="auto"/>
            </w:tcBorders>
            <w:shd w:val="clear" w:color="auto" w:fill="auto"/>
          </w:tcPr>
          <w:p w:rsidR="008D3136" w:rsidRPr="00D60A59" w:rsidRDefault="008D3136" w:rsidP="001E64BC">
            <w:pPr>
              <w:pStyle w:val="tabletextleftjustified"/>
              <w:ind w:left="-94" w:right="-93"/>
              <w:jc w:val="center"/>
              <w:rPr>
                <w:rFonts w:ascii="Arial Narrow" w:eastAsia="SimSun" w:hAnsi="Arial Narrow" w:cs="Arial Narrow"/>
                <w:lang w:val="en-AU"/>
              </w:rPr>
            </w:pPr>
            <w:r w:rsidRPr="00D60A59">
              <w:rPr>
                <w:rFonts w:ascii="Arial Narrow" w:eastAsia="SimSun" w:hAnsi="Arial Narrow" w:cs="Arial Narrow"/>
                <w:i/>
                <w:lang w:val="en-AU"/>
              </w:rPr>
              <w:t xml:space="preserve">30 </w:t>
            </w:r>
            <w:r w:rsidRPr="00D60A59">
              <w:rPr>
                <w:rFonts w:ascii="Arial Narrow" w:eastAsia="SimSun" w:hAnsi="Arial Narrow" w:cs="Arial Narrow"/>
                <w:lang w:val="en-AU"/>
              </w:rPr>
              <w:t>(91)</w:t>
            </w:r>
          </w:p>
        </w:tc>
        <w:tc>
          <w:tcPr>
            <w:tcW w:w="500" w:type="pct"/>
            <w:tcBorders>
              <w:top w:val="nil"/>
              <w:left w:val="single" w:sz="4" w:space="0" w:color="auto"/>
              <w:bottom w:val="nil"/>
              <w:right w:val="single" w:sz="4" w:space="0" w:color="auto"/>
            </w:tcBorders>
          </w:tcPr>
          <w:p w:rsidR="008D3136" w:rsidRPr="005732D9" w:rsidRDefault="008D3136" w:rsidP="001E64BC">
            <w:pPr>
              <w:pStyle w:val="tabletextleftjustified"/>
              <w:ind w:left="-94" w:right="-93"/>
              <w:jc w:val="center"/>
              <w:rPr>
                <w:rFonts w:ascii="Arial Narrow" w:hAnsi="Arial Narrow" w:cs="Arial Narrow"/>
                <w:lang w:val="en-AU"/>
              </w:rPr>
            </w:pPr>
            <w:r>
              <w:rPr>
                <w:rFonts w:ascii="Arial Narrow" w:hAnsi="Arial Narrow" w:cs="Arial Narrow"/>
                <w:lang w:val="en-AU"/>
              </w:rPr>
              <w:t>50 (79)</w:t>
            </w:r>
          </w:p>
        </w:tc>
        <w:tc>
          <w:tcPr>
            <w:tcW w:w="495" w:type="pct"/>
            <w:tcBorders>
              <w:top w:val="nil"/>
              <w:left w:val="single" w:sz="4" w:space="0" w:color="auto"/>
              <w:bottom w:val="nil"/>
              <w:right w:val="single" w:sz="4" w:space="0" w:color="auto"/>
            </w:tcBorders>
          </w:tcPr>
          <w:p w:rsidR="008D3136" w:rsidRPr="00A4790E" w:rsidRDefault="008D3136" w:rsidP="001E64BC">
            <w:pPr>
              <w:pStyle w:val="tabletextleftjustified"/>
              <w:ind w:left="-94" w:right="-93"/>
              <w:jc w:val="center"/>
              <w:rPr>
                <w:rFonts w:ascii="Arial Narrow" w:hAnsi="Arial Narrow" w:cs="Arial Narrow"/>
                <w:lang w:val="en-AU"/>
              </w:rPr>
            </w:pPr>
            <w:r w:rsidRPr="00A4790E">
              <w:rPr>
                <w:rFonts w:ascii="Arial Narrow" w:hAnsi="Arial Narrow" w:cs="Arial Narrow"/>
                <w:lang w:val="en-AU"/>
              </w:rPr>
              <w:t>48 (84)</w:t>
            </w:r>
          </w:p>
        </w:tc>
      </w:tr>
      <w:tr w:rsidR="008D3136" w:rsidTr="001E64BC">
        <w:tc>
          <w:tcPr>
            <w:tcW w:w="1504" w:type="pct"/>
            <w:tcBorders>
              <w:top w:val="nil"/>
              <w:bottom w:val="nil"/>
              <w:right w:val="single" w:sz="4" w:space="0" w:color="auto"/>
            </w:tcBorders>
            <w:vAlign w:val="bottom"/>
          </w:tcPr>
          <w:p w:rsidR="008D3136" w:rsidRPr="000B47F9" w:rsidRDefault="008D3136" w:rsidP="001E64BC">
            <w:pPr>
              <w:pStyle w:val="TableText0"/>
              <w:keepNext w:val="0"/>
              <w:widowControl w:val="0"/>
              <w:spacing w:before="0" w:after="0"/>
              <w:ind w:left="-56" w:right="-74"/>
            </w:pPr>
            <w:r w:rsidRPr="000B47F9">
              <w:t>Related TEAEs</w:t>
            </w:r>
            <w:r>
              <w:t>, subjects, n (%)</w:t>
            </w:r>
          </w:p>
        </w:tc>
        <w:tc>
          <w:tcPr>
            <w:tcW w:w="500" w:type="pct"/>
            <w:tcBorders>
              <w:top w:val="nil"/>
              <w:left w:val="single" w:sz="4" w:space="0" w:color="auto"/>
              <w:bottom w:val="nil"/>
              <w:right w:val="single" w:sz="4" w:space="0" w:color="auto"/>
            </w:tcBorders>
            <w:shd w:val="clear" w:color="auto" w:fill="auto"/>
          </w:tcPr>
          <w:p w:rsidR="008D3136" w:rsidRPr="00B24633" w:rsidRDefault="008D3136" w:rsidP="001E64BC">
            <w:pPr>
              <w:pStyle w:val="tabletextleftjustified"/>
              <w:ind w:left="-94" w:right="-93"/>
              <w:jc w:val="center"/>
              <w:rPr>
                <w:rFonts w:ascii="Arial Narrow" w:hAnsi="Arial Narrow" w:cs="Arial Narrow"/>
                <w:i/>
                <w:lang w:val="en-AU"/>
              </w:rPr>
            </w:pPr>
            <w:r>
              <w:rPr>
                <w:rFonts w:ascii="Arial Narrow" w:hAnsi="Arial Narrow" w:cs="Arial Narrow"/>
                <w:i/>
                <w:lang w:val="en-AU"/>
              </w:rPr>
              <w:t>14 (</w:t>
            </w:r>
            <w:r w:rsidRPr="00B24633">
              <w:rPr>
                <w:rFonts w:ascii="Arial Narrow" w:hAnsi="Arial Narrow" w:cs="Arial Narrow"/>
                <w:i/>
                <w:lang w:val="en-AU"/>
              </w:rPr>
              <w:t>39)</w:t>
            </w:r>
          </w:p>
        </w:tc>
        <w:tc>
          <w:tcPr>
            <w:tcW w:w="500" w:type="pct"/>
            <w:tcBorders>
              <w:top w:val="nil"/>
              <w:left w:val="single" w:sz="4" w:space="0" w:color="auto"/>
              <w:bottom w:val="nil"/>
              <w:right w:val="single" w:sz="4" w:space="0" w:color="auto"/>
            </w:tcBorders>
            <w:shd w:val="clear" w:color="auto" w:fill="auto"/>
          </w:tcPr>
          <w:p w:rsidR="008D3136" w:rsidRPr="00B24633" w:rsidRDefault="008D3136" w:rsidP="001E64BC">
            <w:pPr>
              <w:pStyle w:val="tabletextleftjustified"/>
              <w:ind w:left="-94" w:right="-93"/>
              <w:jc w:val="center"/>
              <w:rPr>
                <w:rFonts w:ascii="Arial Narrow" w:hAnsi="Arial Narrow" w:cs="Arial Narrow"/>
                <w:i/>
                <w:lang w:val="en-AU"/>
              </w:rPr>
            </w:pPr>
            <w:r>
              <w:rPr>
                <w:rFonts w:ascii="Arial Narrow" w:hAnsi="Arial Narrow" w:cs="Arial Narrow"/>
                <w:i/>
                <w:lang w:val="en-AU"/>
              </w:rPr>
              <w:t>3 (</w:t>
            </w:r>
            <w:r w:rsidRPr="00B24633">
              <w:rPr>
                <w:rFonts w:ascii="Arial Narrow" w:hAnsi="Arial Narrow" w:cs="Arial Narrow"/>
                <w:i/>
                <w:lang w:val="en-AU"/>
              </w:rPr>
              <w:t>14)</w:t>
            </w:r>
          </w:p>
        </w:tc>
        <w:tc>
          <w:tcPr>
            <w:tcW w:w="500" w:type="pct"/>
            <w:tcBorders>
              <w:top w:val="nil"/>
              <w:left w:val="single" w:sz="4" w:space="0" w:color="auto"/>
              <w:bottom w:val="nil"/>
              <w:right w:val="nil"/>
            </w:tcBorders>
            <w:shd w:val="clear" w:color="auto" w:fill="auto"/>
          </w:tcPr>
          <w:p w:rsidR="008D3136" w:rsidRPr="003254DE" w:rsidRDefault="008D3136" w:rsidP="001E64BC">
            <w:pPr>
              <w:pStyle w:val="tabletextleftjustified"/>
              <w:ind w:left="-94" w:right="-93"/>
              <w:jc w:val="center"/>
              <w:rPr>
                <w:rFonts w:ascii="Arial Narrow" w:eastAsia="SimSun" w:hAnsi="Arial Narrow" w:cs="Arial Narrow"/>
                <w:i/>
                <w:lang w:val="en-AU"/>
              </w:rPr>
            </w:pPr>
            <w:r>
              <w:rPr>
                <w:rFonts w:ascii="Arial Narrow" w:eastAsia="SimSun" w:hAnsi="Arial Narrow" w:cs="Arial Narrow"/>
                <w:i/>
                <w:lang w:val="en-AU"/>
              </w:rPr>
              <w:t>19 (37)</w:t>
            </w:r>
            <w:r>
              <w:rPr>
                <w:rFonts w:ascii="Arial Narrow" w:eastAsia="SimSun" w:hAnsi="Arial Narrow" w:cs="Arial Narrow"/>
                <w:i/>
                <w:vertAlign w:val="superscript"/>
                <w:lang w:val="en-AU"/>
              </w:rPr>
              <w:t>b</w:t>
            </w:r>
          </w:p>
        </w:tc>
        <w:tc>
          <w:tcPr>
            <w:tcW w:w="500" w:type="pct"/>
            <w:tcBorders>
              <w:top w:val="nil"/>
              <w:left w:val="single" w:sz="4" w:space="0" w:color="auto"/>
              <w:bottom w:val="nil"/>
              <w:right w:val="single" w:sz="4" w:space="0" w:color="auto"/>
            </w:tcBorders>
            <w:shd w:val="clear" w:color="auto" w:fill="auto"/>
          </w:tcPr>
          <w:p w:rsidR="008D3136" w:rsidRPr="00D60A59" w:rsidRDefault="008D3136" w:rsidP="001E64BC">
            <w:pPr>
              <w:pStyle w:val="tabletextleftjustified"/>
              <w:ind w:left="-94" w:right="-93"/>
              <w:jc w:val="center"/>
              <w:rPr>
                <w:rFonts w:ascii="Arial Narrow" w:eastAsia="SimSun" w:hAnsi="Arial Narrow" w:cs="Arial Narrow"/>
                <w:i/>
                <w:lang w:val="en-AU"/>
              </w:rPr>
            </w:pPr>
            <w:r w:rsidRPr="00D60A59">
              <w:rPr>
                <w:rFonts w:ascii="Arial Narrow" w:eastAsia="SimSun" w:hAnsi="Arial Narrow" w:cs="Arial Narrow"/>
                <w:i/>
                <w:lang w:val="en-AU"/>
              </w:rPr>
              <w:t>15 (44)</w:t>
            </w:r>
          </w:p>
        </w:tc>
        <w:tc>
          <w:tcPr>
            <w:tcW w:w="501" w:type="pct"/>
            <w:tcBorders>
              <w:top w:val="nil"/>
              <w:left w:val="single" w:sz="4" w:space="0" w:color="auto"/>
              <w:bottom w:val="nil"/>
              <w:right w:val="single" w:sz="4" w:space="0" w:color="auto"/>
            </w:tcBorders>
            <w:shd w:val="clear" w:color="auto" w:fill="auto"/>
          </w:tcPr>
          <w:p w:rsidR="008D3136" w:rsidRPr="00D60A59" w:rsidRDefault="008D3136" w:rsidP="001E64BC">
            <w:pPr>
              <w:pStyle w:val="tabletextleftjustified"/>
              <w:ind w:left="-94" w:right="-93"/>
              <w:jc w:val="center"/>
              <w:rPr>
                <w:rFonts w:ascii="Arial Narrow" w:eastAsia="SimSun" w:hAnsi="Arial Narrow" w:cs="Arial Narrow"/>
                <w:i/>
                <w:lang w:val="en-AU"/>
              </w:rPr>
            </w:pPr>
            <w:r w:rsidRPr="00D60A59">
              <w:rPr>
                <w:rFonts w:ascii="Arial Narrow" w:eastAsia="SimSun" w:hAnsi="Arial Narrow" w:cs="Arial Narrow"/>
                <w:i/>
                <w:lang w:val="en-AU"/>
              </w:rPr>
              <w:t>9 (27)</w:t>
            </w:r>
          </w:p>
        </w:tc>
        <w:tc>
          <w:tcPr>
            <w:tcW w:w="500" w:type="pct"/>
            <w:tcBorders>
              <w:top w:val="nil"/>
              <w:left w:val="single" w:sz="4" w:space="0" w:color="auto"/>
              <w:bottom w:val="nil"/>
              <w:right w:val="single" w:sz="4" w:space="0" w:color="auto"/>
            </w:tcBorders>
          </w:tcPr>
          <w:p w:rsidR="008D3136" w:rsidRPr="00197FCE" w:rsidRDefault="008D3136" w:rsidP="001E64BC">
            <w:pPr>
              <w:pStyle w:val="tabletextleftjustified"/>
              <w:ind w:left="-94" w:right="-93"/>
              <w:jc w:val="center"/>
              <w:rPr>
                <w:rFonts w:ascii="Arial Narrow" w:hAnsi="Arial Narrow" w:cs="Arial Narrow"/>
                <w:i/>
                <w:lang w:val="en-AU"/>
              </w:rPr>
            </w:pPr>
            <w:r>
              <w:rPr>
                <w:rFonts w:ascii="Arial Narrow" w:hAnsi="Arial Narrow" w:cs="Arial Narrow"/>
                <w:i/>
                <w:lang w:val="en-AU"/>
              </w:rPr>
              <w:t>12 (</w:t>
            </w:r>
            <w:r w:rsidRPr="0022716B">
              <w:rPr>
                <w:rFonts w:ascii="Arial Narrow" w:hAnsi="Arial Narrow" w:cs="Arial Narrow"/>
                <w:i/>
                <w:lang w:val="en-AU"/>
              </w:rPr>
              <w:t>19)</w:t>
            </w:r>
          </w:p>
        </w:tc>
        <w:tc>
          <w:tcPr>
            <w:tcW w:w="495" w:type="pct"/>
            <w:tcBorders>
              <w:top w:val="nil"/>
              <w:left w:val="single" w:sz="4" w:space="0" w:color="auto"/>
              <w:bottom w:val="nil"/>
              <w:right w:val="single" w:sz="4" w:space="0" w:color="auto"/>
            </w:tcBorders>
          </w:tcPr>
          <w:p w:rsidR="008D3136" w:rsidRDefault="008D3136" w:rsidP="001E64BC">
            <w:pPr>
              <w:pStyle w:val="tabletextleftjustified"/>
              <w:ind w:left="-94" w:right="-93"/>
              <w:jc w:val="center"/>
              <w:rPr>
                <w:rFonts w:ascii="Arial Narrow" w:hAnsi="Arial Narrow" w:cs="Arial Narrow"/>
                <w:i/>
                <w:lang w:val="en-AU"/>
              </w:rPr>
            </w:pPr>
            <w:r>
              <w:rPr>
                <w:rFonts w:ascii="Arial Narrow" w:hAnsi="Arial Narrow" w:cs="Arial Narrow"/>
                <w:i/>
                <w:lang w:val="en-AU"/>
              </w:rPr>
              <w:t>12 (</w:t>
            </w:r>
            <w:r w:rsidRPr="00197FCE">
              <w:rPr>
                <w:rFonts w:ascii="Arial Narrow" w:hAnsi="Arial Narrow" w:cs="Arial Narrow"/>
                <w:i/>
                <w:lang w:val="en-AU"/>
              </w:rPr>
              <w:t>21)</w:t>
            </w:r>
          </w:p>
        </w:tc>
      </w:tr>
      <w:tr w:rsidR="008D3136" w:rsidRPr="00197FCE" w:rsidTr="001E64BC">
        <w:tc>
          <w:tcPr>
            <w:tcW w:w="1504" w:type="pct"/>
            <w:tcBorders>
              <w:top w:val="nil"/>
              <w:bottom w:val="nil"/>
              <w:right w:val="single" w:sz="4" w:space="0" w:color="auto"/>
            </w:tcBorders>
            <w:vAlign w:val="bottom"/>
          </w:tcPr>
          <w:p w:rsidR="008D3136" w:rsidRPr="000B47F9" w:rsidRDefault="008D3136" w:rsidP="001E64BC">
            <w:pPr>
              <w:pStyle w:val="TableText0"/>
              <w:keepNext w:val="0"/>
              <w:widowControl w:val="0"/>
              <w:spacing w:before="0" w:after="0"/>
              <w:ind w:left="-56" w:right="-74"/>
            </w:pPr>
            <w:r w:rsidRPr="000B47F9">
              <w:t>Severe TEAEs</w:t>
            </w:r>
            <w:r>
              <w:t>, subjects, n (%)</w:t>
            </w:r>
          </w:p>
        </w:tc>
        <w:tc>
          <w:tcPr>
            <w:tcW w:w="500" w:type="pct"/>
            <w:tcBorders>
              <w:top w:val="nil"/>
              <w:left w:val="single" w:sz="4" w:space="0" w:color="auto"/>
              <w:bottom w:val="nil"/>
              <w:right w:val="single" w:sz="4" w:space="0" w:color="auto"/>
            </w:tcBorders>
            <w:shd w:val="clear" w:color="auto" w:fill="auto"/>
          </w:tcPr>
          <w:p w:rsidR="008D3136" w:rsidRPr="00A4790E" w:rsidRDefault="008D3136" w:rsidP="001E64BC">
            <w:pPr>
              <w:pStyle w:val="tabletextleftjustified"/>
              <w:ind w:left="-94" w:right="-93"/>
              <w:jc w:val="center"/>
              <w:rPr>
                <w:rFonts w:ascii="Arial Narrow" w:hAnsi="Arial Narrow" w:cs="Arial Narrow"/>
                <w:i/>
                <w:lang w:val="en-AU"/>
              </w:rPr>
            </w:pPr>
            <w:r w:rsidRPr="00A4790E">
              <w:rPr>
                <w:rFonts w:ascii="Arial Narrow" w:hAnsi="Arial Narrow" w:cs="Arial Narrow"/>
                <w:i/>
                <w:lang w:val="en-AU"/>
              </w:rPr>
              <w:t>3 (8)</w:t>
            </w:r>
          </w:p>
        </w:tc>
        <w:tc>
          <w:tcPr>
            <w:tcW w:w="500" w:type="pct"/>
            <w:tcBorders>
              <w:top w:val="nil"/>
              <w:left w:val="single" w:sz="4" w:space="0" w:color="auto"/>
              <w:bottom w:val="nil"/>
              <w:right w:val="single" w:sz="4" w:space="0" w:color="auto"/>
            </w:tcBorders>
            <w:shd w:val="clear" w:color="auto" w:fill="auto"/>
          </w:tcPr>
          <w:p w:rsidR="008D3136" w:rsidRPr="001650FD" w:rsidRDefault="008D3136" w:rsidP="001E64BC">
            <w:pPr>
              <w:pStyle w:val="tabletextleftjustified"/>
              <w:ind w:left="-94" w:right="-93"/>
              <w:jc w:val="center"/>
              <w:rPr>
                <w:rFonts w:ascii="Arial Narrow" w:hAnsi="Arial Narrow" w:cs="Arial Narrow"/>
                <w:i/>
                <w:lang w:val="en-AU"/>
              </w:rPr>
            </w:pPr>
            <w:r w:rsidRPr="001650FD">
              <w:rPr>
                <w:rFonts w:ascii="Arial Narrow" w:hAnsi="Arial Narrow" w:cs="Arial Narrow"/>
                <w:i/>
                <w:lang w:val="en-AU"/>
              </w:rPr>
              <w:t>2 (10)</w:t>
            </w:r>
          </w:p>
        </w:tc>
        <w:tc>
          <w:tcPr>
            <w:tcW w:w="500" w:type="pct"/>
            <w:tcBorders>
              <w:top w:val="nil"/>
              <w:left w:val="single" w:sz="4" w:space="0" w:color="auto"/>
              <w:bottom w:val="nil"/>
              <w:right w:val="nil"/>
            </w:tcBorders>
            <w:shd w:val="clear" w:color="auto" w:fill="auto"/>
          </w:tcPr>
          <w:p w:rsidR="008D3136" w:rsidRPr="001650FD" w:rsidRDefault="008D3136" w:rsidP="001E64BC">
            <w:pPr>
              <w:pStyle w:val="tabletextleftjustified"/>
              <w:ind w:left="-94" w:right="-93"/>
              <w:jc w:val="center"/>
              <w:rPr>
                <w:rFonts w:ascii="Arial Narrow" w:eastAsia="SimSun" w:hAnsi="Arial Narrow" w:cs="Arial Narrow"/>
                <w:i/>
                <w:lang w:val="en-AU"/>
              </w:rPr>
            </w:pPr>
            <w:r w:rsidRPr="001650FD">
              <w:rPr>
                <w:rFonts w:ascii="Arial Narrow" w:eastAsia="SimSun" w:hAnsi="Arial Narrow" w:cs="Arial Narrow"/>
                <w:i/>
                <w:lang w:val="en-AU"/>
              </w:rPr>
              <w:t>9 (18)</w:t>
            </w:r>
          </w:p>
        </w:tc>
        <w:tc>
          <w:tcPr>
            <w:tcW w:w="500" w:type="pct"/>
            <w:tcBorders>
              <w:top w:val="nil"/>
              <w:left w:val="single" w:sz="4" w:space="0" w:color="auto"/>
              <w:bottom w:val="nil"/>
              <w:right w:val="single" w:sz="4" w:space="0" w:color="auto"/>
            </w:tcBorders>
            <w:shd w:val="clear" w:color="auto" w:fill="auto"/>
          </w:tcPr>
          <w:p w:rsidR="008D3136" w:rsidRPr="00D60A59" w:rsidRDefault="008D3136" w:rsidP="001E64BC">
            <w:pPr>
              <w:pStyle w:val="tabletextleftjustified"/>
              <w:ind w:left="-94" w:right="-93"/>
              <w:jc w:val="center"/>
              <w:rPr>
                <w:rFonts w:ascii="Arial Narrow" w:eastAsia="SimSun" w:hAnsi="Arial Narrow" w:cs="Arial Narrow"/>
                <w:lang w:val="en-AU"/>
              </w:rPr>
            </w:pPr>
            <w:r w:rsidRPr="00D60A59">
              <w:rPr>
                <w:rFonts w:ascii="Arial Narrow" w:eastAsia="SimSun" w:hAnsi="Arial Narrow" w:cs="Arial Narrow"/>
                <w:lang w:val="en-AU"/>
              </w:rPr>
              <w:t xml:space="preserve">3 </w:t>
            </w:r>
            <w:r w:rsidRPr="00D60A59">
              <w:rPr>
                <w:rFonts w:ascii="Arial Narrow" w:eastAsia="SimSun" w:hAnsi="Arial Narrow" w:cs="Arial Narrow"/>
                <w:i/>
                <w:lang w:val="en-AU"/>
              </w:rPr>
              <w:t>(9)</w:t>
            </w:r>
          </w:p>
        </w:tc>
        <w:tc>
          <w:tcPr>
            <w:tcW w:w="501" w:type="pct"/>
            <w:tcBorders>
              <w:top w:val="nil"/>
              <w:left w:val="single" w:sz="4" w:space="0" w:color="auto"/>
              <w:bottom w:val="nil"/>
              <w:right w:val="single" w:sz="4" w:space="0" w:color="auto"/>
            </w:tcBorders>
            <w:shd w:val="clear" w:color="auto" w:fill="auto"/>
          </w:tcPr>
          <w:p w:rsidR="008D3136" w:rsidRPr="00D60A59" w:rsidRDefault="008D3136" w:rsidP="001E64BC">
            <w:pPr>
              <w:pStyle w:val="tabletextleftjustified"/>
              <w:ind w:left="-94" w:right="-93"/>
              <w:jc w:val="center"/>
              <w:rPr>
                <w:rFonts w:ascii="Arial Narrow" w:eastAsia="SimSun" w:hAnsi="Arial Narrow" w:cs="Arial Narrow"/>
                <w:lang w:val="en-AU"/>
              </w:rPr>
            </w:pPr>
            <w:r w:rsidRPr="00D60A59">
              <w:rPr>
                <w:rFonts w:ascii="Arial Narrow" w:eastAsia="SimSun" w:hAnsi="Arial Narrow" w:cs="Arial Narrow"/>
                <w:lang w:val="en-AU"/>
              </w:rPr>
              <w:t>2 (6)</w:t>
            </w:r>
          </w:p>
        </w:tc>
        <w:tc>
          <w:tcPr>
            <w:tcW w:w="500" w:type="pct"/>
            <w:tcBorders>
              <w:top w:val="nil"/>
              <w:left w:val="single" w:sz="4" w:space="0" w:color="auto"/>
              <w:bottom w:val="nil"/>
              <w:right w:val="single" w:sz="4" w:space="0" w:color="auto"/>
            </w:tcBorders>
          </w:tcPr>
          <w:p w:rsidR="008D3136" w:rsidRPr="008B7F03" w:rsidRDefault="008D3136" w:rsidP="001E64BC">
            <w:pPr>
              <w:pStyle w:val="tabletextleftjustified"/>
              <w:ind w:left="-94" w:right="-93"/>
              <w:jc w:val="center"/>
              <w:rPr>
                <w:rFonts w:ascii="Arial Narrow" w:eastAsia="SimSun" w:hAnsi="Arial Narrow" w:cs="Arial Narrow"/>
                <w:i/>
                <w:lang w:val="en-AU"/>
              </w:rPr>
            </w:pPr>
            <w:r w:rsidRPr="005732D9">
              <w:rPr>
                <w:rFonts w:ascii="Arial Narrow" w:eastAsia="SimSun" w:hAnsi="Arial Narrow" w:cs="Arial Narrow"/>
                <w:lang w:val="en-AU"/>
              </w:rPr>
              <w:t>6</w:t>
            </w:r>
            <w:r>
              <w:rPr>
                <w:rFonts w:ascii="Arial Narrow" w:eastAsia="SimSun" w:hAnsi="Arial Narrow" w:cs="Arial Narrow"/>
                <w:i/>
                <w:lang w:val="en-AU"/>
              </w:rPr>
              <w:t xml:space="preserve"> (10)</w:t>
            </w:r>
          </w:p>
        </w:tc>
        <w:tc>
          <w:tcPr>
            <w:tcW w:w="495" w:type="pct"/>
            <w:tcBorders>
              <w:top w:val="nil"/>
              <w:left w:val="single" w:sz="4" w:space="0" w:color="auto"/>
              <w:bottom w:val="nil"/>
              <w:right w:val="single" w:sz="4" w:space="0" w:color="auto"/>
            </w:tcBorders>
          </w:tcPr>
          <w:p w:rsidR="008D3136" w:rsidRPr="00197FCE" w:rsidRDefault="008D3136" w:rsidP="001E64BC">
            <w:pPr>
              <w:pStyle w:val="tabletextleftjustified"/>
              <w:ind w:left="-94" w:right="-93"/>
              <w:jc w:val="center"/>
              <w:rPr>
                <w:rFonts w:ascii="Arial Narrow" w:eastAsia="SimSun" w:hAnsi="Arial Narrow" w:cs="Arial Narrow"/>
                <w:lang w:val="en-AU"/>
              </w:rPr>
            </w:pPr>
            <w:r w:rsidRPr="00197FCE">
              <w:rPr>
                <w:rFonts w:ascii="Arial Narrow" w:eastAsia="SimSun" w:hAnsi="Arial Narrow" w:cs="Arial Narrow"/>
                <w:lang w:val="en-AU"/>
              </w:rPr>
              <w:t xml:space="preserve">7 </w:t>
            </w:r>
            <w:r>
              <w:rPr>
                <w:rFonts w:ascii="Arial Narrow" w:eastAsia="SimSun" w:hAnsi="Arial Narrow" w:cs="Arial Narrow"/>
                <w:i/>
                <w:lang w:val="en-AU"/>
              </w:rPr>
              <w:t>(12)</w:t>
            </w:r>
          </w:p>
        </w:tc>
      </w:tr>
      <w:tr w:rsidR="008D3136" w:rsidTr="001E64BC">
        <w:tc>
          <w:tcPr>
            <w:tcW w:w="1504" w:type="pct"/>
            <w:tcBorders>
              <w:top w:val="nil"/>
              <w:bottom w:val="nil"/>
              <w:right w:val="single" w:sz="4" w:space="0" w:color="auto"/>
            </w:tcBorders>
            <w:vAlign w:val="bottom"/>
          </w:tcPr>
          <w:p w:rsidR="008D3136" w:rsidRPr="000B47F9" w:rsidRDefault="008D3136" w:rsidP="001E64BC">
            <w:pPr>
              <w:pStyle w:val="TableText0"/>
              <w:keepNext w:val="0"/>
              <w:widowControl w:val="0"/>
              <w:spacing w:before="0" w:after="0"/>
              <w:ind w:left="-56" w:right="-74"/>
            </w:pPr>
            <w:r w:rsidRPr="000B47F9">
              <w:t>Treatment-Emergent SAEs</w:t>
            </w:r>
            <w:r>
              <w:t>, subjects, n (%)</w:t>
            </w:r>
          </w:p>
        </w:tc>
        <w:tc>
          <w:tcPr>
            <w:tcW w:w="500" w:type="pct"/>
            <w:tcBorders>
              <w:top w:val="nil"/>
              <w:left w:val="single" w:sz="4" w:space="0" w:color="auto"/>
              <w:bottom w:val="nil"/>
              <w:right w:val="single" w:sz="4" w:space="0" w:color="auto"/>
            </w:tcBorders>
            <w:shd w:val="clear" w:color="auto" w:fill="auto"/>
          </w:tcPr>
          <w:p w:rsidR="008D3136" w:rsidRPr="00C2155C" w:rsidRDefault="008D3136" w:rsidP="001E64BC">
            <w:pPr>
              <w:pStyle w:val="tabletextleftjustified"/>
              <w:ind w:left="-94" w:right="-93"/>
              <w:jc w:val="center"/>
              <w:rPr>
                <w:rFonts w:ascii="Arial Narrow" w:hAnsi="Arial Narrow" w:cs="Arial Narrow"/>
                <w:lang w:val="en-AU"/>
              </w:rPr>
            </w:pPr>
            <w:r>
              <w:rPr>
                <w:rFonts w:ascii="Arial Narrow" w:hAnsi="Arial Narrow" w:cs="Arial Narrow"/>
                <w:lang w:val="en-AU"/>
              </w:rPr>
              <w:t>7 (</w:t>
            </w:r>
            <w:r w:rsidRPr="00C2155C">
              <w:rPr>
                <w:rFonts w:ascii="Arial Narrow" w:hAnsi="Arial Narrow" w:cs="Arial Narrow"/>
                <w:lang w:val="en-AU"/>
              </w:rPr>
              <w:t>19)</w:t>
            </w:r>
          </w:p>
        </w:tc>
        <w:tc>
          <w:tcPr>
            <w:tcW w:w="500" w:type="pct"/>
            <w:tcBorders>
              <w:top w:val="nil"/>
              <w:left w:val="single" w:sz="4" w:space="0" w:color="auto"/>
              <w:bottom w:val="nil"/>
              <w:right w:val="single" w:sz="4" w:space="0" w:color="auto"/>
            </w:tcBorders>
            <w:shd w:val="clear" w:color="auto" w:fill="auto"/>
          </w:tcPr>
          <w:p w:rsidR="008D3136" w:rsidRPr="00C2155C" w:rsidRDefault="008D3136" w:rsidP="001E64BC">
            <w:pPr>
              <w:pStyle w:val="tabletextleftjustified"/>
              <w:ind w:left="-94" w:right="-93"/>
              <w:jc w:val="center"/>
              <w:rPr>
                <w:rFonts w:ascii="Arial Narrow" w:hAnsi="Arial Narrow" w:cs="Arial Narrow"/>
                <w:i/>
                <w:lang w:val="en-AU"/>
              </w:rPr>
            </w:pPr>
            <w:r>
              <w:rPr>
                <w:rFonts w:ascii="Arial Narrow" w:hAnsi="Arial Narrow" w:cs="Arial Narrow"/>
                <w:i/>
                <w:lang w:val="en-AU"/>
              </w:rPr>
              <w:t>7 (</w:t>
            </w:r>
            <w:r w:rsidRPr="00C2155C">
              <w:rPr>
                <w:rFonts w:ascii="Arial Narrow" w:hAnsi="Arial Narrow" w:cs="Arial Narrow"/>
                <w:i/>
                <w:lang w:val="en-AU"/>
              </w:rPr>
              <w:t>33)</w:t>
            </w:r>
          </w:p>
        </w:tc>
        <w:tc>
          <w:tcPr>
            <w:tcW w:w="500" w:type="pct"/>
            <w:tcBorders>
              <w:top w:val="nil"/>
              <w:left w:val="single" w:sz="4" w:space="0" w:color="auto"/>
              <w:bottom w:val="nil"/>
              <w:right w:val="nil"/>
            </w:tcBorders>
            <w:shd w:val="clear" w:color="auto" w:fill="auto"/>
          </w:tcPr>
          <w:p w:rsidR="008D3136" w:rsidRPr="008643FC" w:rsidRDefault="008D3136" w:rsidP="001E64BC">
            <w:pPr>
              <w:pStyle w:val="tabletextleftjustified"/>
              <w:ind w:left="-94" w:right="-93"/>
              <w:jc w:val="center"/>
              <w:rPr>
                <w:rFonts w:ascii="Arial Narrow" w:eastAsia="SimSun" w:hAnsi="Arial Narrow" w:cs="Arial Narrow"/>
                <w:lang w:val="en-AU"/>
              </w:rPr>
            </w:pPr>
            <w:r>
              <w:rPr>
                <w:rFonts w:ascii="Arial Narrow" w:eastAsia="SimSun" w:hAnsi="Arial Narrow" w:cs="Arial Narrow"/>
                <w:i/>
                <w:lang w:val="en-AU"/>
              </w:rPr>
              <w:t>16 (</w:t>
            </w:r>
            <w:r w:rsidRPr="003254DE">
              <w:rPr>
                <w:rFonts w:ascii="Arial Narrow" w:eastAsia="SimSun" w:hAnsi="Arial Narrow" w:cs="Arial Narrow"/>
                <w:i/>
                <w:lang w:val="en-AU"/>
              </w:rPr>
              <w:t>31)</w:t>
            </w:r>
          </w:p>
        </w:tc>
        <w:tc>
          <w:tcPr>
            <w:tcW w:w="500" w:type="pct"/>
            <w:tcBorders>
              <w:top w:val="nil"/>
              <w:left w:val="single" w:sz="4" w:space="0" w:color="auto"/>
              <w:bottom w:val="nil"/>
              <w:right w:val="single" w:sz="4" w:space="0" w:color="auto"/>
            </w:tcBorders>
            <w:shd w:val="clear" w:color="auto" w:fill="auto"/>
          </w:tcPr>
          <w:p w:rsidR="008D3136" w:rsidRPr="00D60A59" w:rsidRDefault="008D3136" w:rsidP="001E64BC">
            <w:pPr>
              <w:pStyle w:val="tabletextleftjustified"/>
              <w:ind w:left="-94" w:right="-93"/>
              <w:jc w:val="center"/>
              <w:rPr>
                <w:rFonts w:ascii="Arial Narrow" w:eastAsia="SimSun" w:hAnsi="Arial Narrow" w:cs="Arial Narrow"/>
                <w:i/>
                <w:lang w:val="en-AU"/>
              </w:rPr>
            </w:pPr>
            <w:r w:rsidRPr="00D60A59">
              <w:rPr>
                <w:rFonts w:ascii="Arial Narrow" w:eastAsia="SimSun" w:hAnsi="Arial Narrow" w:cs="Arial Narrow"/>
                <w:lang w:val="en-AU"/>
              </w:rPr>
              <w:t>2</w:t>
            </w:r>
            <w:r w:rsidRPr="00D60A59">
              <w:rPr>
                <w:rFonts w:ascii="Arial Narrow" w:eastAsia="SimSun" w:hAnsi="Arial Narrow" w:cs="Arial Narrow"/>
                <w:i/>
                <w:lang w:val="en-AU"/>
              </w:rPr>
              <w:t xml:space="preserve"> (6)</w:t>
            </w:r>
          </w:p>
        </w:tc>
        <w:tc>
          <w:tcPr>
            <w:tcW w:w="501" w:type="pct"/>
            <w:tcBorders>
              <w:top w:val="nil"/>
              <w:left w:val="single" w:sz="4" w:space="0" w:color="auto"/>
              <w:bottom w:val="nil"/>
              <w:right w:val="single" w:sz="4" w:space="0" w:color="auto"/>
            </w:tcBorders>
            <w:shd w:val="clear" w:color="auto" w:fill="auto"/>
          </w:tcPr>
          <w:p w:rsidR="008D3136" w:rsidRPr="00D60A59" w:rsidRDefault="008D3136" w:rsidP="001E64BC">
            <w:pPr>
              <w:pStyle w:val="tabletextleftjustified"/>
              <w:ind w:left="-94" w:right="-93"/>
              <w:jc w:val="center"/>
              <w:rPr>
                <w:rFonts w:ascii="Arial Narrow" w:eastAsia="SimSun" w:hAnsi="Arial Narrow" w:cs="Arial Narrow"/>
                <w:lang w:val="en-AU"/>
              </w:rPr>
            </w:pPr>
            <w:r w:rsidRPr="00D60A59">
              <w:rPr>
                <w:rFonts w:ascii="Arial Narrow" w:eastAsia="SimSun" w:hAnsi="Arial Narrow" w:cs="Arial Narrow"/>
                <w:lang w:val="en-AU"/>
              </w:rPr>
              <w:t xml:space="preserve">4 </w:t>
            </w:r>
            <w:r w:rsidRPr="00D60A59">
              <w:rPr>
                <w:rFonts w:ascii="Arial Narrow" w:eastAsia="SimSun" w:hAnsi="Arial Narrow" w:cs="Arial Narrow"/>
                <w:i/>
                <w:lang w:val="en-AU"/>
              </w:rPr>
              <w:t>(12)</w:t>
            </w:r>
          </w:p>
        </w:tc>
        <w:tc>
          <w:tcPr>
            <w:tcW w:w="500" w:type="pct"/>
            <w:tcBorders>
              <w:top w:val="nil"/>
              <w:left w:val="single" w:sz="4" w:space="0" w:color="auto"/>
              <w:bottom w:val="nil"/>
              <w:right w:val="single" w:sz="4" w:space="0" w:color="auto"/>
            </w:tcBorders>
          </w:tcPr>
          <w:p w:rsidR="008D3136" w:rsidRPr="00324751" w:rsidRDefault="008D3136" w:rsidP="001E64BC">
            <w:pPr>
              <w:pStyle w:val="tabletextleftjustified"/>
              <w:ind w:left="-94" w:right="-93"/>
              <w:jc w:val="center"/>
              <w:rPr>
                <w:rFonts w:ascii="Arial Narrow" w:eastAsia="SimSun" w:hAnsi="Arial Narrow" w:cs="Arial Narrow"/>
                <w:i/>
                <w:lang w:val="en-AU"/>
              </w:rPr>
            </w:pPr>
            <w:r w:rsidRPr="00324751">
              <w:rPr>
                <w:rFonts w:ascii="Arial Narrow" w:eastAsia="SimSun" w:hAnsi="Arial Narrow" w:cs="Arial Narrow"/>
                <w:i/>
                <w:lang w:val="en-AU"/>
              </w:rPr>
              <w:t>5 (8)</w:t>
            </w:r>
          </w:p>
        </w:tc>
        <w:tc>
          <w:tcPr>
            <w:tcW w:w="495" w:type="pct"/>
            <w:tcBorders>
              <w:top w:val="nil"/>
              <w:left w:val="single" w:sz="4" w:space="0" w:color="auto"/>
              <w:bottom w:val="nil"/>
              <w:right w:val="single" w:sz="4" w:space="0" w:color="auto"/>
            </w:tcBorders>
          </w:tcPr>
          <w:p w:rsidR="008D3136" w:rsidRDefault="008D3136" w:rsidP="001E64BC">
            <w:pPr>
              <w:pStyle w:val="tabletextleftjustified"/>
              <w:ind w:left="-94" w:right="-93"/>
              <w:jc w:val="center"/>
              <w:rPr>
                <w:rFonts w:ascii="Arial Narrow" w:eastAsia="SimSun" w:hAnsi="Arial Narrow" w:cs="Arial Narrow"/>
                <w:lang w:val="en-AU"/>
              </w:rPr>
            </w:pPr>
            <w:r>
              <w:rPr>
                <w:rFonts w:ascii="Arial Narrow" w:eastAsia="SimSun" w:hAnsi="Arial Narrow" w:cs="Arial Narrow"/>
                <w:lang w:val="en-AU"/>
              </w:rPr>
              <w:t xml:space="preserve">11 </w:t>
            </w:r>
            <w:r>
              <w:rPr>
                <w:rFonts w:ascii="Arial Narrow" w:eastAsia="SimSun" w:hAnsi="Arial Narrow" w:cs="Arial Narrow"/>
                <w:i/>
                <w:lang w:val="en-AU"/>
              </w:rPr>
              <w:t>(19)</w:t>
            </w:r>
          </w:p>
        </w:tc>
      </w:tr>
      <w:tr w:rsidR="008D3136" w:rsidRPr="00080211" w:rsidTr="001E64BC">
        <w:tc>
          <w:tcPr>
            <w:tcW w:w="1504" w:type="pct"/>
            <w:tcBorders>
              <w:top w:val="nil"/>
              <w:bottom w:val="nil"/>
              <w:right w:val="single" w:sz="4" w:space="0" w:color="auto"/>
            </w:tcBorders>
            <w:vAlign w:val="bottom"/>
          </w:tcPr>
          <w:p w:rsidR="008D3136" w:rsidRPr="000B47F9" w:rsidRDefault="008D3136" w:rsidP="001E64BC">
            <w:pPr>
              <w:pStyle w:val="TableText0"/>
              <w:keepNext w:val="0"/>
              <w:widowControl w:val="0"/>
              <w:spacing w:before="0" w:after="0"/>
              <w:ind w:left="-56" w:right="-74"/>
            </w:pPr>
            <w:r w:rsidRPr="000B47F9">
              <w:t>Discontinued du</w:t>
            </w:r>
            <w:r>
              <w:t>e</w:t>
            </w:r>
            <w:r w:rsidRPr="000B47F9">
              <w:t xml:space="preserve"> to TEAEs</w:t>
            </w:r>
            <w:r>
              <w:t>, subjects, n (%)</w:t>
            </w:r>
          </w:p>
        </w:tc>
        <w:tc>
          <w:tcPr>
            <w:tcW w:w="500" w:type="pct"/>
            <w:tcBorders>
              <w:top w:val="nil"/>
              <w:left w:val="single" w:sz="4" w:space="0" w:color="auto"/>
              <w:bottom w:val="nil"/>
              <w:right w:val="single" w:sz="4" w:space="0" w:color="auto"/>
            </w:tcBorders>
            <w:shd w:val="clear" w:color="auto" w:fill="auto"/>
          </w:tcPr>
          <w:p w:rsidR="008D3136" w:rsidRPr="00C2155C" w:rsidRDefault="008D3136" w:rsidP="001E64BC">
            <w:pPr>
              <w:pStyle w:val="tabletextleftjustified"/>
              <w:ind w:left="-94" w:right="-93"/>
              <w:jc w:val="center"/>
              <w:rPr>
                <w:rFonts w:ascii="Arial Narrow" w:hAnsi="Arial Narrow" w:cs="Arial Narrow"/>
                <w:lang w:val="en-AU"/>
              </w:rPr>
            </w:pPr>
            <w:r w:rsidRPr="00C2155C">
              <w:rPr>
                <w:rFonts w:ascii="Arial Narrow" w:hAnsi="Arial Narrow" w:cs="Arial Narrow"/>
                <w:lang w:val="en-AU"/>
              </w:rPr>
              <w:t>0</w:t>
            </w:r>
          </w:p>
        </w:tc>
        <w:tc>
          <w:tcPr>
            <w:tcW w:w="500" w:type="pct"/>
            <w:tcBorders>
              <w:top w:val="nil"/>
              <w:left w:val="single" w:sz="4" w:space="0" w:color="auto"/>
              <w:bottom w:val="nil"/>
              <w:right w:val="single" w:sz="4" w:space="0" w:color="auto"/>
            </w:tcBorders>
            <w:shd w:val="clear" w:color="auto" w:fill="auto"/>
          </w:tcPr>
          <w:p w:rsidR="008D3136" w:rsidRPr="00C2155C" w:rsidRDefault="008D3136" w:rsidP="001E64BC">
            <w:pPr>
              <w:pStyle w:val="tabletextleftjustified"/>
              <w:ind w:left="-94" w:right="-93"/>
              <w:jc w:val="center"/>
              <w:rPr>
                <w:rFonts w:ascii="Arial Narrow" w:hAnsi="Arial Narrow" w:cs="Arial Narrow"/>
                <w:i/>
                <w:lang w:val="en-AU"/>
              </w:rPr>
            </w:pPr>
            <w:r w:rsidRPr="00C2155C">
              <w:rPr>
                <w:rFonts w:ascii="Arial Narrow" w:hAnsi="Arial Narrow" w:cs="Arial Narrow"/>
                <w:i/>
                <w:lang w:val="en-AU"/>
              </w:rPr>
              <w:t>0</w:t>
            </w:r>
          </w:p>
        </w:tc>
        <w:tc>
          <w:tcPr>
            <w:tcW w:w="500" w:type="pct"/>
            <w:tcBorders>
              <w:top w:val="nil"/>
              <w:left w:val="single" w:sz="4" w:space="0" w:color="auto"/>
              <w:bottom w:val="nil"/>
              <w:right w:val="nil"/>
            </w:tcBorders>
            <w:shd w:val="clear" w:color="auto" w:fill="auto"/>
          </w:tcPr>
          <w:p w:rsidR="008D3136" w:rsidRPr="008643FC" w:rsidRDefault="008D3136" w:rsidP="001E64BC">
            <w:pPr>
              <w:pStyle w:val="tabletextleftjustified"/>
              <w:ind w:left="-94" w:right="-93"/>
              <w:jc w:val="center"/>
              <w:rPr>
                <w:rFonts w:ascii="Arial Narrow" w:eastAsia="SimSun" w:hAnsi="Arial Narrow" w:cs="Arial Narrow"/>
                <w:lang w:val="en-AU"/>
              </w:rPr>
            </w:pPr>
            <w:r w:rsidRPr="008643FC">
              <w:rPr>
                <w:rFonts w:ascii="Arial Narrow" w:eastAsia="SimSun" w:hAnsi="Arial Narrow" w:cs="Arial Narrow"/>
                <w:lang w:val="en-AU"/>
              </w:rPr>
              <w:t>0</w:t>
            </w:r>
          </w:p>
        </w:tc>
        <w:tc>
          <w:tcPr>
            <w:tcW w:w="500" w:type="pct"/>
            <w:tcBorders>
              <w:top w:val="nil"/>
              <w:left w:val="single" w:sz="4" w:space="0" w:color="auto"/>
              <w:bottom w:val="nil"/>
              <w:right w:val="single" w:sz="4" w:space="0" w:color="auto"/>
            </w:tcBorders>
            <w:shd w:val="clear" w:color="auto" w:fill="auto"/>
          </w:tcPr>
          <w:p w:rsidR="008D3136" w:rsidRPr="00D60A59" w:rsidRDefault="008D3136" w:rsidP="001E64BC">
            <w:pPr>
              <w:pStyle w:val="tabletextleftjustified"/>
              <w:ind w:left="-94" w:right="-93"/>
              <w:jc w:val="center"/>
              <w:rPr>
                <w:rFonts w:ascii="Arial Narrow" w:eastAsia="SimSun" w:hAnsi="Arial Narrow" w:cs="Arial Narrow"/>
                <w:lang w:val="en-AU"/>
              </w:rPr>
            </w:pPr>
            <w:r w:rsidRPr="00D60A59">
              <w:rPr>
                <w:rFonts w:ascii="Arial Narrow" w:eastAsia="SimSun" w:hAnsi="Arial Narrow" w:cs="Arial Narrow"/>
                <w:lang w:val="en-AU"/>
              </w:rPr>
              <w:t>0</w:t>
            </w:r>
          </w:p>
        </w:tc>
        <w:tc>
          <w:tcPr>
            <w:tcW w:w="501" w:type="pct"/>
            <w:tcBorders>
              <w:top w:val="nil"/>
              <w:left w:val="single" w:sz="4" w:space="0" w:color="auto"/>
              <w:bottom w:val="nil"/>
              <w:right w:val="single" w:sz="4" w:space="0" w:color="auto"/>
            </w:tcBorders>
            <w:shd w:val="clear" w:color="auto" w:fill="auto"/>
          </w:tcPr>
          <w:p w:rsidR="008D3136" w:rsidRPr="00D60A59" w:rsidRDefault="008D3136" w:rsidP="001E64BC">
            <w:pPr>
              <w:pStyle w:val="tabletextleftjustified"/>
              <w:ind w:left="-94" w:right="-93"/>
              <w:jc w:val="center"/>
              <w:rPr>
                <w:rFonts w:ascii="Arial Narrow" w:eastAsia="SimSun" w:hAnsi="Arial Narrow" w:cs="Arial Narrow"/>
                <w:lang w:val="en-AU"/>
              </w:rPr>
            </w:pPr>
            <w:r w:rsidRPr="00D60A59">
              <w:rPr>
                <w:rFonts w:ascii="Arial Narrow" w:eastAsia="SimSun" w:hAnsi="Arial Narrow" w:cs="Arial Narrow"/>
                <w:lang w:val="en-AU"/>
              </w:rPr>
              <w:t>1 (3)</w:t>
            </w:r>
          </w:p>
        </w:tc>
        <w:tc>
          <w:tcPr>
            <w:tcW w:w="500" w:type="pct"/>
            <w:tcBorders>
              <w:top w:val="nil"/>
              <w:left w:val="single" w:sz="4" w:space="0" w:color="auto"/>
              <w:bottom w:val="nil"/>
              <w:right w:val="single" w:sz="4" w:space="0" w:color="auto"/>
            </w:tcBorders>
          </w:tcPr>
          <w:p w:rsidR="008D3136" w:rsidRPr="00080211" w:rsidRDefault="008D3136" w:rsidP="001E64BC">
            <w:pPr>
              <w:pStyle w:val="tabletextleftjustified"/>
              <w:ind w:left="-94" w:right="-93"/>
              <w:jc w:val="center"/>
              <w:rPr>
                <w:rFonts w:ascii="Arial Narrow" w:eastAsia="SimSun" w:hAnsi="Arial Narrow" w:cs="Arial Narrow"/>
                <w:i/>
                <w:lang w:val="en-AU"/>
              </w:rPr>
            </w:pPr>
            <w:r>
              <w:rPr>
                <w:rFonts w:ascii="Arial Narrow" w:eastAsia="SimSun" w:hAnsi="Arial Narrow" w:cs="Arial Narrow"/>
                <w:i/>
                <w:lang w:val="en-AU"/>
              </w:rPr>
              <w:t>1 (2)</w:t>
            </w:r>
          </w:p>
        </w:tc>
        <w:tc>
          <w:tcPr>
            <w:tcW w:w="495" w:type="pct"/>
            <w:tcBorders>
              <w:top w:val="nil"/>
              <w:left w:val="single" w:sz="4" w:space="0" w:color="auto"/>
              <w:bottom w:val="nil"/>
              <w:right w:val="single" w:sz="4" w:space="0" w:color="auto"/>
            </w:tcBorders>
          </w:tcPr>
          <w:p w:rsidR="008D3136" w:rsidRPr="00080211" w:rsidRDefault="008D3136" w:rsidP="001E64BC">
            <w:pPr>
              <w:pStyle w:val="tabletextleftjustified"/>
              <w:ind w:left="-94" w:right="-93"/>
              <w:jc w:val="center"/>
              <w:rPr>
                <w:rFonts w:ascii="Arial Narrow" w:eastAsia="SimSun" w:hAnsi="Arial Narrow" w:cs="Arial Narrow"/>
                <w:i/>
                <w:lang w:val="en-AU"/>
              </w:rPr>
            </w:pPr>
            <w:r w:rsidRPr="00080211">
              <w:rPr>
                <w:rFonts w:ascii="Arial Narrow" w:eastAsia="SimSun" w:hAnsi="Arial Narrow" w:cs="Arial Narrow"/>
                <w:i/>
                <w:lang w:val="en-AU"/>
              </w:rPr>
              <w:t>0</w:t>
            </w:r>
          </w:p>
        </w:tc>
      </w:tr>
      <w:tr w:rsidR="008D3136" w:rsidRPr="00080211" w:rsidTr="001E64BC">
        <w:tc>
          <w:tcPr>
            <w:tcW w:w="1504" w:type="pct"/>
            <w:tcBorders>
              <w:top w:val="nil"/>
              <w:bottom w:val="single" w:sz="4" w:space="0" w:color="auto"/>
              <w:right w:val="single" w:sz="4" w:space="0" w:color="auto"/>
            </w:tcBorders>
            <w:vAlign w:val="bottom"/>
          </w:tcPr>
          <w:p w:rsidR="008D3136" w:rsidRPr="000B47F9" w:rsidRDefault="008D3136" w:rsidP="001E64BC">
            <w:pPr>
              <w:pStyle w:val="TableText0"/>
              <w:keepNext w:val="0"/>
              <w:widowControl w:val="0"/>
              <w:spacing w:before="0" w:after="0"/>
              <w:ind w:left="-56" w:right="-74"/>
            </w:pPr>
            <w:r w:rsidRPr="000B47F9">
              <w:t>AEs Leading to Death</w:t>
            </w:r>
            <w:r>
              <w:t>, subjects, n (%)</w:t>
            </w:r>
          </w:p>
        </w:tc>
        <w:tc>
          <w:tcPr>
            <w:tcW w:w="500" w:type="pct"/>
            <w:tcBorders>
              <w:top w:val="nil"/>
              <w:left w:val="single" w:sz="4" w:space="0" w:color="auto"/>
              <w:bottom w:val="single" w:sz="4" w:space="0" w:color="auto"/>
              <w:right w:val="single" w:sz="4" w:space="0" w:color="auto"/>
            </w:tcBorders>
            <w:shd w:val="clear" w:color="auto" w:fill="auto"/>
          </w:tcPr>
          <w:p w:rsidR="008D3136" w:rsidRPr="00C2155C" w:rsidRDefault="008D3136" w:rsidP="001E64BC">
            <w:pPr>
              <w:pStyle w:val="tabletextleftjustified"/>
              <w:ind w:left="-94" w:right="-93"/>
              <w:jc w:val="center"/>
              <w:rPr>
                <w:rFonts w:ascii="Arial Narrow" w:hAnsi="Arial Narrow" w:cs="Arial Narrow"/>
                <w:lang w:val="en-AU"/>
              </w:rPr>
            </w:pPr>
            <w:r w:rsidRPr="00C2155C">
              <w:rPr>
                <w:rFonts w:ascii="Arial Narrow" w:hAnsi="Arial Narrow" w:cs="Arial Narrow"/>
                <w:lang w:val="en-AU"/>
              </w:rPr>
              <w:t>0</w:t>
            </w:r>
          </w:p>
        </w:tc>
        <w:tc>
          <w:tcPr>
            <w:tcW w:w="500" w:type="pct"/>
            <w:tcBorders>
              <w:top w:val="nil"/>
              <w:left w:val="single" w:sz="4" w:space="0" w:color="auto"/>
              <w:bottom w:val="single" w:sz="4" w:space="0" w:color="auto"/>
              <w:right w:val="single" w:sz="4" w:space="0" w:color="auto"/>
            </w:tcBorders>
            <w:shd w:val="clear" w:color="auto" w:fill="auto"/>
          </w:tcPr>
          <w:p w:rsidR="008D3136" w:rsidRPr="00C2155C" w:rsidRDefault="008D3136" w:rsidP="001E64BC">
            <w:pPr>
              <w:pStyle w:val="tabletextleftjustified"/>
              <w:ind w:left="-94" w:right="-93"/>
              <w:jc w:val="center"/>
              <w:rPr>
                <w:rFonts w:ascii="Arial Narrow" w:hAnsi="Arial Narrow" w:cs="Arial Narrow"/>
                <w:i/>
                <w:lang w:val="en-AU"/>
              </w:rPr>
            </w:pPr>
            <w:r w:rsidRPr="00C2155C">
              <w:rPr>
                <w:rFonts w:ascii="Arial Narrow" w:hAnsi="Arial Narrow" w:cs="Arial Narrow"/>
                <w:i/>
                <w:lang w:val="en-AU"/>
              </w:rPr>
              <w:t>0</w:t>
            </w:r>
          </w:p>
        </w:tc>
        <w:tc>
          <w:tcPr>
            <w:tcW w:w="500" w:type="pct"/>
            <w:tcBorders>
              <w:top w:val="nil"/>
              <w:left w:val="single" w:sz="4" w:space="0" w:color="auto"/>
              <w:bottom w:val="single" w:sz="4" w:space="0" w:color="auto"/>
              <w:right w:val="nil"/>
            </w:tcBorders>
            <w:shd w:val="clear" w:color="auto" w:fill="auto"/>
          </w:tcPr>
          <w:p w:rsidR="008D3136" w:rsidRPr="008643FC" w:rsidRDefault="008D3136" w:rsidP="001E64BC">
            <w:pPr>
              <w:pStyle w:val="tabletextleftjustified"/>
              <w:ind w:left="-94" w:right="-93"/>
              <w:jc w:val="center"/>
              <w:rPr>
                <w:rFonts w:ascii="Arial Narrow" w:eastAsia="SimSun" w:hAnsi="Arial Narrow" w:cs="Arial Narrow"/>
                <w:lang w:val="en-AU"/>
              </w:rPr>
            </w:pPr>
            <w:r w:rsidRPr="008643FC">
              <w:rPr>
                <w:rFonts w:ascii="Arial Narrow" w:eastAsia="SimSun" w:hAnsi="Arial Narrow" w:cs="Arial Narrow"/>
                <w:lang w:val="en-AU"/>
              </w:rPr>
              <w:t>0</w:t>
            </w:r>
          </w:p>
        </w:tc>
        <w:tc>
          <w:tcPr>
            <w:tcW w:w="500" w:type="pct"/>
            <w:tcBorders>
              <w:top w:val="nil"/>
              <w:left w:val="single" w:sz="4" w:space="0" w:color="auto"/>
              <w:bottom w:val="single" w:sz="4" w:space="0" w:color="auto"/>
              <w:right w:val="single" w:sz="4" w:space="0" w:color="auto"/>
            </w:tcBorders>
            <w:shd w:val="clear" w:color="auto" w:fill="auto"/>
          </w:tcPr>
          <w:p w:rsidR="008D3136" w:rsidRPr="00D60A59" w:rsidRDefault="008D3136" w:rsidP="001E64BC">
            <w:pPr>
              <w:pStyle w:val="tabletextleftjustified"/>
              <w:ind w:left="-94" w:right="-93"/>
              <w:jc w:val="center"/>
              <w:rPr>
                <w:rFonts w:ascii="Arial Narrow" w:eastAsia="SimSun" w:hAnsi="Arial Narrow" w:cs="Arial Narrow"/>
                <w:lang w:val="en-AU"/>
              </w:rPr>
            </w:pPr>
            <w:r w:rsidRPr="00D60A59">
              <w:rPr>
                <w:rFonts w:ascii="Arial Narrow" w:eastAsia="SimSun" w:hAnsi="Arial Narrow" w:cs="Arial Narrow"/>
                <w:lang w:val="en-AU"/>
              </w:rPr>
              <w:t>0</w:t>
            </w:r>
          </w:p>
        </w:tc>
        <w:tc>
          <w:tcPr>
            <w:tcW w:w="501" w:type="pct"/>
            <w:tcBorders>
              <w:top w:val="nil"/>
              <w:left w:val="single" w:sz="4" w:space="0" w:color="auto"/>
              <w:bottom w:val="single" w:sz="4" w:space="0" w:color="auto"/>
              <w:right w:val="single" w:sz="4" w:space="0" w:color="auto"/>
            </w:tcBorders>
            <w:shd w:val="clear" w:color="auto" w:fill="auto"/>
          </w:tcPr>
          <w:p w:rsidR="008D3136" w:rsidRPr="00D60A59" w:rsidRDefault="008D3136" w:rsidP="001E64BC">
            <w:pPr>
              <w:pStyle w:val="tabletextleftjustified"/>
              <w:ind w:left="-94" w:right="-93"/>
              <w:jc w:val="center"/>
              <w:rPr>
                <w:rFonts w:ascii="Arial Narrow" w:eastAsia="SimSun" w:hAnsi="Arial Narrow" w:cs="Arial Narrow"/>
                <w:lang w:val="en-AU"/>
              </w:rPr>
            </w:pPr>
            <w:r w:rsidRPr="00D60A59">
              <w:rPr>
                <w:rFonts w:ascii="Arial Narrow" w:eastAsia="SimSun" w:hAnsi="Arial Narrow" w:cs="Arial Narrow"/>
                <w:lang w:val="en-AU"/>
              </w:rPr>
              <w:t>0</w:t>
            </w:r>
          </w:p>
        </w:tc>
        <w:tc>
          <w:tcPr>
            <w:tcW w:w="500" w:type="pct"/>
            <w:tcBorders>
              <w:top w:val="nil"/>
              <w:left w:val="single" w:sz="4" w:space="0" w:color="auto"/>
              <w:bottom w:val="single" w:sz="4" w:space="0" w:color="auto"/>
              <w:right w:val="single" w:sz="4" w:space="0" w:color="auto"/>
            </w:tcBorders>
          </w:tcPr>
          <w:p w:rsidR="008D3136" w:rsidRPr="00080211" w:rsidRDefault="008D3136" w:rsidP="001E64BC">
            <w:pPr>
              <w:pStyle w:val="tabletextleftjustified"/>
              <w:ind w:left="-94" w:right="-93"/>
              <w:jc w:val="center"/>
              <w:rPr>
                <w:rFonts w:ascii="Arial Narrow" w:eastAsia="SimSun" w:hAnsi="Arial Narrow" w:cs="Arial Narrow"/>
                <w:i/>
                <w:lang w:val="en-AU"/>
              </w:rPr>
            </w:pPr>
            <w:r>
              <w:rPr>
                <w:rFonts w:ascii="Arial Narrow" w:eastAsia="SimSun" w:hAnsi="Arial Narrow" w:cs="Arial Narrow"/>
                <w:i/>
                <w:lang w:val="en-AU"/>
              </w:rPr>
              <w:t>0</w:t>
            </w:r>
          </w:p>
        </w:tc>
        <w:tc>
          <w:tcPr>
            <w:tcW w:w="495" w:type="pct"/>
            <w:tcBorders>
              <w:top w:val="nil"/>
              <w:left w:val="single" w:sz="4" w:space="0" w:color="auto"/>
              <w:bottom w:val="single" w:sz="4" w:space="0" w:color="auto"/>
              <w:right w:val="single" w:sz="4" w:space="0" w:color="auto"/>
            </w:tcBorders>
          </w:tcPr>
          <w:p w:rsidR="008D3136" w:rsidRPr="00080211" w:rsidRDefault="008D3136" w:rsidP="001E64BC">
            <w:pPr>
              <w:pStyle w:val="tabletextleftjustified"/>
              <w:ind w:left="-94" w:right="-93"/>
              <w:jc w:val="center"/>
              <w:rPr>
                <w:rFonts w:ascii="Arial Narrow" w:eastAsia="SimSun" w:hAnsi="Arial Narrow" w:cs="Arial Narrow"/>
                <w:i/>
                <w:lang w:val="en-AU"/>
              </w:rPr>
            </w:pPr>
            <w:r w:rsidRPr="00080211">
              <w:rPr>
                <w:rFonts w:ascii="Arial Narrow" w:eastAsia="SimSun" w:hAnsi="Arial Narrow" w:cs="Arial Narrow"/>
                <w:i/>
                <w:lang w:val="en-AU"/>
              </w:rPr>
              <w:t>0</w:t>
            </w:r>
          </w:p>
        </w:tc>
      </w:tr>
    </w:tbl>
    <w:p w:rsidR="008D3136" w:rsidRDefault="008D3136" w:rsidP="008D3136">
      <w:pPr>
        <w:pStyle w:val="TableFooter"/>
        <w:ind w:left="720"/>
      </w:pPr>
      <w:r w:rsidRPr="00F37371">
        <w:t>Abbreviations: AE, adverse event; ERT, Enzyme replacement therapy; MIG, migalastat; OLE, Open label extension; PBO, placebo; SAE, Serious adverse event; TEAE, Treatment-emergent adverse events;</w:t>
      </w:r>
    </w:p>
    <w:p w:rsidR="001957F1" w:rsidRDefault="001957F1" w:rsidP="008D3136">
      <w:pPr>
        <w:pStyle w:val="TableFooter"/>
        <w:ind w:left="720"/>
      </w:pPr>
      <w:r>
        <w:t xml:space="preserve">a </w:t>
      </w:r>
      <w:r w:rsidRPr="00504161">
        <w:rPr>
          <w:i/>
        </w:rPr>
        <w:t>The overall summary of TEAEs is reported by treatment period for FACETS. i.e. the OLE does not include AEs that occurred during Stage 1 or Stage 2 of FACETS. Data is reported as an aggregated total both treatment groups MIG-MIG and PBO-MIG.</w:t>
      </w:r>
    </w:p>
    <w:p w:rsidR="008D3136" w:rsidRPr="000A2FF3" w:rsidRDefault="008D3136" w:rsidP="008D3136">
      <w:pPr>
        <w:pStyle w:val="TableFooter"/>
        <w:ind w:firstLine="720"/>
      </w:pPr>
      <w:r w:rsidRPr="00B5104C">
        <w:t xml:space="preserve">Source: </w:t>
      </w:r>
      <w:r>
        <w:t xml:space="preserve">Table 36 p68, Table 40 p74 of the submission: </w:t>
      </w:r>
      <w:r>
        <w:rPr>
          <w:i/>
        </w:rPr>
        <w:t xml:space="preserve">Table B.6.3 of the Commentary. </w:t>
      </w:r>
    </w:p>
    <w:p w:rsidR="008D3136" w:rsidRDefault="008D3136" w:rsidP="008D3136">
      <w:pPr>
        <w:pStyle w:val="PBACHeading1"/>
        <w:numPr>
          <w:ilvl w:val="0"/>
          <w:numId w:val="0"/>
        </w:numPr>
      </w:pPr>
    </w:p>
    <w:p w:rsidR="008D3136" w:rsidRPr="00E14B57" w:rsidRDefault="008D3136" w:rsidP="00B63C23">
      <w:pPr>
        <w:pStyle w:val="ListParagraph"/>
        <w:widowControl/>
        <w:numPr>
          <w:ilvl w:val="1"/>
          <w:numId w:val="2"/>
        </w:numPr>
        <w:rPr>
          <w:szCs w:val="22"/>
        </w:rPr>
      </w:pPr>
      <w:r w:rsidRPr="00E14B57">
        <w:t xml:space="preserve">The most commonly reported </w:t>
      </w:r>
      <w:r w:rsidR="008E5BF8">
        <w:t>treatment emergent adverse events (</w:t>
      </w:r>
      <w:r w:rsidRPr="00E14B57">
        <w:t>TEAEs</w:t>
      </w:r>
      <w:r w:rsidR="008E5BF8">
        <w:t>)</w:t>
      </w:r>
      <w:r w:rsidRPr="00E14B57">
        <w:t xml:space="preserve"> in ATTRACT after 18 months were nasopharyngitis (both migalastat and ERT 33%) and headache (migalastat 25%; ERT 24%</w:t>
      </w:r>
      <w:r w:rsidR="00EA76DA" w:rsidRPr="00E14B57">
        <w:t>)</w:t>
      </w:r>
      <w:r w:rsidRPr="00E14B57">
        <w:t>. Dizziness (17%), abdominal pain (14%), diarrhoea (14%) and nausea (14%) were more frequently seen in the migalastat group than in the ERT group</w:t>
      </w:r>
      <w:r w:rsidR="00EF5AB9" w:rsidRPr="00E14B57">
        <w:t>.</w:t>
      </w:r>
      <w:r w:rsidRPr="00E14B57">
        <w:t xml:space="preserve"> TEAEs more frequently observed in the ERT group compared to migalastat include</w:t>
      </w:r>
      <w:r w:rsidR="00EA76DA" w:rsidRPr="00E14B57">
        <w:t>d</w:t>
      </w:r>
      <w:r w:rsidRPr="00E14B57">
        <w:t xml:space="preserve">: </w:t>
      </w:r>
      <w:r w:rsidR="00EF5AB9" w:rsidRPr="00E14B57">
        <w:t xml:space="preserve">influenza (19% vs 14%), </w:t>
      </w:r>
      <w:r w:rsidRPr="00E14B57">
        <w:t xml:space="preserve">cough (24% vs 8%), back pain (14% vs 11%), bronchitis (14% vs 6%), vomiting (14% vs 8%) and sinusitis (14% vs 8%). </w:t>
      </w:r>
    </w:p>
    <w:p w:rsidR="008D3136" w:rsidRPr="00E14B57" w:rsidRDefault="008D3136" w:rsidP="008D3136">
      <w:pPr>
        <w:pStyle w:val="ListParagraph"/>
        <w:widowControl/>
        <w:rPr>
          <w:szCs w:val="22"/>
        </w:rPr>
      </w:pPr>
    </w:p>
    <w:p w:rsidR="008D3136" w:rsidRPr="00E14B57" w:rsidRDefault="008D3136" w:rsidP="00B63C23">
      <w:pPr>
        <w:pStyle w:val="ListParagraph"/>
        <w:widowControl/>
        <w:numPr>
          <w:ilvl w:val="1"/>
          <w:numId w:val="2"/>
        </w:numPr>
        <w:rPr>
          <w:szCs w:val="22"/>
        </w:rPr>
      </w:pPr>
      <w:r w:rsidRPr="00E14B57">
        <w:t>In FACETS, the AEs reported with a higher frequency in the migalastat group compared to placebo were headache and nasopharyngitis after 6 months.</w:t>
      </w:r>
    </w:p>
    <w:p w:rsidR="001A753A" w:rsidRPr="00E14B57" w:rsidRDefault="001A753A" w:rsidP="001A753A">
      <w:pPr>
        <w:pStyle w:val="ListParagraph"/>
        <w:rPr>
          <w:szCs w:val="22"/>
        </w:rPr>
      </w:pPr>
    </w:p>
    <w:p w:rsidR="001A753A" w:rsidRPr="00E14B57" w:rsidRDefault="001A753A" w:rsidP="00B63C23">
      <w:pPr>
        <w:pStyle w:val="ListParagraph"/>
        <w:widowControl/>
        <w:numPr>
          <w:ilvl w:val="1"/>
          <w:numId w:val="2"/>
        </w:numPr>
        <w:rPr>
          <w:szCs w:val="22"/>
        </w:rPr>
      </w:pPr>
      <w:r w:rsidRPr="00E14B57">
        <w:rPr>
          <w:szCs w:val="22"/>
        </w:rPr>
        <w:t>The ESC noted that some of the commonly reported TEAEs in the migalastat group (dizziness, abdominal pain, diarrhoea and nausea) are also symptoms of Fabry disease.</w:t>
      </w:r>
    </w:p>
    <w:p w:rsidR="008D3136" w:rsidRDefault="008D3136" w:rsidP="008D3136">
      <w:pPr>
        <w:pStyle w:val="ListParagraph"/>
        <w:ind w:left="0"/>
        <w:rPr>
          <w:szCs w:val="22"/>
        </w:rPr>
      </w:pPr>
    </w:p>
    <w:p w:rsidR="008D3136" w:rsidRPr="00E14B57" w:rsidRDefault="008D3136" w:rsidP="008D3136">
      <w:pPr>
        <w:pStyle w:val="Heading2"/>
        <w:rPr>
          <w:i/>
          <w:szCs w:val="22"/>
        </w:rPr>
      </w:pPr>
      <w:bookmarkStart w:id="20" w:name="_Toc469328262"/>
      <w:bookmarkStart w:id="21" w:name="_Toc471741268"/>
      <w:r w:rsidRPr="00E14B57">
        <w:rPr>
          <w:i/>
        </w:rPr>
        <w:t>Benefits/harms</w:t>
      </w:r>
      <w:bookmarkEnd w:id="20"/>
      <w:bookmarkEnd w:id="21"/>
    </w:p>
    <w:p w:rsidR="008D3136" w:rsidRPr="007F1017" w:rsidRDefault="008D3136" w:rsidP="008D3136">
      <w:pPr>
        <w:pStyle w:val="ListParagraph"/>
        <w:ind w:left="0"/>
        <w:rPr>
          <w:szCs w:val="22"/>
        </w:rPr>
      </w:pPr>
    </w:p>
    <w:p w:rsidR="008D3136" w:rsidRPr="00BA5DAF" w:rsidRDefault="008D3136" w:rsidP="00B63C23">
      <w:pPr>
        <w:pStyle w:val="ListParagraph"/>
        <w:widowControl/>
        <w:numPr>
          <w:ilvl w:val="1"/>
          <w:numId w:val="2"/>
        </w:numPr>
        <w:rPr>
          <w:szCs w:val="22"/>
        </w:rPr>
      </w:pPr>
      <w:r>
        <w:rPr>
          <w:szCs w:val="22"/>
        </w:rPr>
        <w:t xml:space="preserve">A summary of the comparative benefits and harms for migalastat versus ERT are presented in the Table </w:t>
      </w:r>
      <w:r w:rsidR="007D6071">
        <w:rPr>
          <w:szCs w:val="22"/>
        </w:rPr>
        <w:t xml:space="preserve">7 </w:t>
      </w:r>
      <w:r>
        <w:rPr>
          <w:szCs w:val="22"/>
        </w:rPr>
        <w:t xml:space="preserve">below. </w:t>
      </w:r>
    </w:p>
    <w:p w:rsidR="008D3136" w:rsidRDefault="008D3136" w:rsidP="008D3136"/>
    <w:p w:rsidR="00C40FA9" w:rsidRDefault="00C40FA9">
      <w:pPr>
        <w:widowControl/>
        <w:jc w:val="left"/>
        <w:rPr>
          <w:rStyle w:val="CommentReference"/>
        </w:rPr>
      </w:pPr>
      <w:r>
        <w:rPr>
          <w:rStyle w:val="CommentReference"/>
        </w:rPr>
        <w:br w:type="page"/>
      </w:r>
    </w:p>
    <w:p w:rsidR="008D3136" w:rsidRPr="00A578DC" w:rsidRDefault="008D3136" w:rsidP="008D3136">
      <w:pPr>
        <w:ind w:firstLine="720"/>
        <w:rPr>
          <w:rStyle w:val="CommentReference"/>
        </w:rPr>
      </w:pPr>
      <w:r>
        <w:rPr>
          <w:rStyle w:val="CommentReference"/>
        </w:rPr>
        <w:t xml:space="preserve">Table </w:t>
      </w:r>
      <w:r w:rsidR="007D6071">
        <w:rPr>
          <w:rStyle w:val="CommentReference"/>
        </w:rPr>
        <w:t>7</w:t>
      </w:r>
      <w:r w:rsidRPr="00A578DC">
        <w:rPr>
          <w:rStyle w:val="CommentReference"/>
        </w:rPr>
        <w:t xml:space="preserve">: Summary of comparative benefits and harms for </w:t>
      </w:r>
      <w:r>
        <w:rPr>
          <w:rStyle w:val="CommentReference"/>
        </w:rPr>
        <w:t>migalastat and ERT</w:t>
      </w:r>
      <w:r w:rsidRPr="00A578DC">
        <w:rPr>
          <w:rStyle w:val="CommentReference"/>
        </w:rPr>
        <w:t>/PBO</w:t>
      </w:r>
    </w:p>
    <w:tbl>
      <w:tblPr>
        <w:tblStyle w:val="TableGrid"/>
        <w:tblW w:w="4700" w:type="pct"/>
        <w:tblInd w:w="698" w:type="dxa"/>
        <w:tblLayout w:type="fixed"/>
        <w:tblCellMar>
          <w:left w:w="28" w:type="dxa"/>
          <w:right w:w="28" w:type="dxa"/>
        </w:tblCellMar>
        <w:tblLook w:val="04A0" w:firstRow="1" w:lastRow="0" w:firstColumn="1" w:lastColumn="0" w:noHBand="0" w:noVBand="1"/>
        <w:tblCaption w:val="Table 7: Summary of comparative benefits and harms for migalastat and ERT/PBO"/>
      </w:tblPr>
      <w:tblGrid>
        <w:gridCol w:w="1201"/>
        <w:gridCol w:w="59"/>
        <w:gridCol w:w="620"/>
        <w:gridCol w:w="451"/>
        <w:gridCol w:w="15"/>
        <w:gridCol w:w="529"/>
        <w:gridCol w:w="87"/>
        <w:gridCol w:w="51"/>
        <w:gridCol w:w="19"/>
        <w:gridCol w:w="599"/>
        <w:gridCol w:w="256"/>
        <w:gridCol w:w="850"/>
        <w:gridCol w:w="133"/>
        <w:gridCol w:w="867"/>
        <w:gridCol w:w="50"/>
        <w:gridCol w:w="857"/>
        <w:gridCol w:w="599"/>
        <w:gridCol w:w="1294"/>
      </w:tblGrid>
      <w:tr w:rsidR="008D3136" w:rsidRPr="00E2771E" w:rsidTr="002E6A33">
        <w:trPr>
          <w:trHeight w:val="150"/>
          <w:tblHeader/>
        </w:trPr>
        <w:tc>
          <w:tcPr>
            <w:tcW w:w="737" w:type="pct"/>
            <w:gridSpan w:val="2"/>
            <w:vMerge w:val="restart"/>
            <w:shd w:val="clear" w:color="auto" w:fill="auto"/>
            <w:vAlign w:val="center"/>
          </w:tcPr>
          <w:p w:rsidR="008D3136" w:rsidRPr="00E2771E" w:rsidRDefault="008D3136" w:rsidP="001E64BC">
            <w:pPr>
              <w:rPr>
                <w:rFonts w:ascii="Arial Narrow" w:hAnsi="Arial Narrow"/>
                <w:b/>
                <w:color w:val="000000"/>
                <w:sz w:val="20"/>
                <w:szCs w:val="18"/>
              </w:rPr>
            </w:pPr>
            <w:r w:rsidRPr="00E2771E">
              <w:rPr>
                <w:rFonts w:ascii="Arial Narrow" w:hAnsi="Arial Narrow"/>
                <w:b/>
                <w:color w:val="000000"/>
                <w:sz w:val="20"/>
                <w:szCs w:val="18"/>
              </w:rPr>
              <w:t>Trial</w:t>
            </w:r>
          </w:p>
        </w:tc>
        <w:tc>
          <w:tcPr>
            <w:tcW w:w="627" w:type="pct"/>
            <w:gridSpan w:val="2"/>
            <w:vMerge w:val="restart"/>
            <w:vAlign w:val="center"/>
          </w:tcPr>
          <w:p w:rsidR="008D3136" w:rsidRPr="00E2771E" w:rsidRDefault="008D3136" w:rsidP="001E64BC">
            <w:pPr>
              <w:jc w:val="center"/>
              <w:rPr>
                <w:rFonts w:ascii="Arial Narrow" w:hAnsi="Arial Narrow"/>
                <w:b/>
                <w:color w:val="000000"/>
                <w:sz w:val="20"/>
                <w:szCs w:val="18"/>
              </w:rPr>
            </w:pPr>
            <w:r>
              <w:rPr>
                <w:rFonts w:ascii="Arial Narrow" w:hAnsi="Arial Narrow"/>
                <w:b/>
                <w:color w:val="000000"/>
                <w:sz w:val="20"/>
                <w:szCs w:val="18"/>
              </w:rPr>
              <w:t>Migalastat</w:t>
            </w:r>
          </w:p>
        </w:tc>
        <w:tc>
          <w:tcPr>
            <w:tcW w:w="370" w:type="pct"/>
            <w:gridSpan w:val="3"/>
            <w:vMerge w:val="restart"/>
            <w:vAlign w:val="center"/>
          </w:tcPr>
          <w:p w:rsidR="008D3136" w:rsidRPr="00E2771E" w:rsidRDefault="008D3136" w:rsidP="001E64BC">
            <w:pPr>
              <w:jc w:val="center"/>
              <w:rPr>
                <w:rFonts w:ascii="Arial Narrow" w:hAnsi="Arial Narrow"/>
                <w:b/>
                <w:color w:val="000000"/>
                <w:sz w:val="20"/>
                <w:szCs w:val="18"/>
              </w:rPr>
            </w:pPr>
            <w:r>
              <w:rPr>
                <w:rFonts w:ascii="Arial Narrow" w:hAnsi="Arial Narrow"/>
                <w:b/>
                <w:color w:val="000000"/>
                <w:sz w:val="20"/>
                <w:szCs w:val="18"/>
              </w:rPr>
              <w:t>ERT</w:t>
            </w:r>
          </w:p>
        </w:tc>
        <w:tc>
          <w:tcPr>
            <w:tcW w:w="392" w:type="pct"/>
            <w:gridSpan w:val="3"/>
            <w:vMerge w:val="restart"/>
            <w:vAlign w:val="center"/>
          </w:tcPr>
          <w:p w:rsidR="008D3136" w:rsidRPr="00E2771E" w:rsidRDefault="008D3136" w:rsidP="001E64BC">
            <w:pPr>
              <w:jc w:val="center"/>
              <w:rPr>
                <w:rFonts w:ascii="Arial Narrow" w:hAnsi="Arial Narrow"/>
                <w:b/>
                <w:color w:val="000000"/>
                <w:sz w:val="20"/>
                <w:szCs w:val="18"/>
              </w:rPr>
            </w:pPr>
            <w:r>
              <w:rPr>
                <w:rFonts w:ascii="Arial Narrow" w:hAnsi="Arial Narrow"/>
                <w:b/>
                <w:color w:val="000000"/>
                <w:sz w:val="20"/>
                <w:szCs w:val="18"/>
              </w:rPr>
              <w:t>PBO</w:t>
            </w:r>
          </w:p>
        </w:tc>
        <w:tc>
          <w:tcPr>
            <w:tcW w:w="726" w:type="pct"/>
            <w:gridSpan w:val="3"/>
            <w:vMerge w:val="restart"/>
            <w:vAlign w:val="center"/>
          </w:tcPr>
          <w:p w:rsidR="008D3136" w:rsidRPr="00E2771E" w:rsidRDefault="008D3136" w:rsidP="001E64BC">
            <w:pPr>
              <w:jc w:val="center"/>
              <w:rPr>
                <w:rFonts w:ascii="Arial Narrow" w:hAnsi="Arial Narrow"/>
                <w:b/>
                <w:color w:val="000000"/>
                <w:sz w:val="20"/>
                <w:szCs w:val="18"/>
              </w:rPr>
            </w:pPr>
            <w:r w:rsidRPr="00E2771E">
              <w:rPr>
                <w:rFonts w:ascii="Arial Narrow" w:hAnsi="Arial Narrow"/>
                <w:b/>
                <w:color w:val="000000"/>
                <w:sz w:val="20"/>
                <w:szCs w:val="18"/>
              </w:rPr>
              <w:t>RR</w:t>
            </w:r>
          </w:p>
          <w:p w:rsidR="008D3136" w:rsidRPr="00E2771E" w:rsidRDefault="008D3136" w:rsidP="001E64BC">
            <w:pPr>
              <w:jc w:val="center"/>
              <w:rPr>
                <w:rFonts w:ascii="Arial Narrow" w:hAnsi="Arial Narrow"/>
                <w:b/>
                <w:color w:val="000000"/>
                <w:sz w:val="20"/>
                <w:szCs w:val="18"/>
              </w:rPr>
            </w:pPr>
            <w:r w:rsidRPr="00E2771E">
              <w:rPr>
                <w:rFonts w:ascii="Arial Narrow" w:hAnsi="Arial Narrow"/>
                <w:b/>
                <w:color w:val="000000"/>
                <w:sz w:val="20"/>
                <w:szCs w:val="18"/>
              </w:rPr>
              <w:t>(95% CI)</w:t>
            </w:r>
          </w:p>
        </w:tc>
        <w:tc>
          <w:tcPr>
            <w:tcW w:w="1390" w:type="pct"/>
            <w:gridSpan w:val="4"/>
            <w:vAlign w:val="center"/>
          </w:tcPr>
          <w:p w:rsidR="008D3136" w:rsidRPr="00E2771E" w:rsidRDefault="008D3136" w:rsidP="001E64BC">
            <w:pPr>
              <w:jc w:val="center"/>
              <w:rPr>
                <w:rFonts w:ascii="Arial Narrow" w:hAnsi="Arial Narrow"/>
                <w:b/>
                <w:color w:val="000000"/>
                <w:sz w:val="20"/>
                <w:szCs w:val="18"/>
              </w:rPr>
            </w:pPr>
            <w:r w:rsidRPr="00E2771E">
              <w:rPr>
                <w:rFonts w:ascii="Arial Narrow" w:hAnsi="Arial Narrow"/>
                <w:b/>
                <w:color w:val="000000"/>
                <w:sz w:val="20"/>
                <w:szCs w:val="18"/>
              </w:rPr>
              <w:t xml:space="preserve">Event rate/100 patients* </w:t>
            </w:r>
          </w:p>
        </w:tc>
        <w:tc>
          <w:tcPr>
            <w:tcW w:w="759" w:type="pct"/>
            <w:vMerge w:val="restart"/>
            <w:vAlign w:val="center"/>
          </w:tcPr>
          <w:p w:rsidR="008D3136" w:rsidRPr="00E2771E" w:rsidRDefault="008D3136" w:rsidP="001E64BC">
            <w:pPr>
              <w:jc w:val="center"/>
              <w:rPr>
                <w:rFonts w:ascii="Arial Narrow" w:hAnsi="Arial Narrow"/>
                <w:b/>
                <w:color w:val="000000"/>
                <w:sz w:val="20"/>
                <w:szCs w:val="18"/>
              </w:rPr>
            </w:pPr>
            <w:r w:rsidRPr="00E2771E">
              <w:rPr>
                <w:rFonts w:ascii="Arial Narrow" w:hAnsi="Arial Narrow"/>
                <w:b/>
                <w:color w:val="000000"/>
                <w:sz w:val="20"/>
                <w:szCs w:val="18"/>
              </w:rPr>
              <w:t>RD</w:t>
            </w:r>
          </w:p>
          <w:p w:rsidR="008D3136" w:rsidRPr="00E2771E" w:rsidRDefault="008D3136" w:rsidP="001E64BC">
            <w:pPr>
              <w:jc w:val="center"/>
              <w:rPr>
                <w:rFonts w:ascii="Arial Narrow" w:hAnsi="Arial Narrow"/>
                <w:b/>
                <w:color w:val="000000"/>
                <w:sz w:val="20"/>
                <w:szCs w:val="18"/>
              </w:rPr>
            </w:pPr>
            <w:r w:rsidRPr="00E2771E">
              <w:rPr>
                <w:rFonts w:ascii="Arial Narrow" w:hAnsi="Arial Narrow"/>
                <w:b/>
                <w:color w:val="000000"/>
                <w:sz w:val="20"/>
                <w:szCs w:val="18"/>
              </w:rPr>
              <w:t>(95% CI)</w:t>
            </w:r>
          </w:p>
        </w:tc>
      </w:tr>
      <w:tr w:rsidR="008D3136" w:rsidRPr="00E2771E" w:rsidTr="002E6A33">
        <w:trPr>
          <w:trHeight w:val="315"/>
          <w:tblHeader/>
        </w:trPr>
        <w:tc>
          <w:tcPr>
            <w:tcW w:w="737" w:type="pct"/>
            <w:gridSpan w:val="2"/>
            <w:vMerge/>
            <w:shd w:val="clear" w:color="auto" w:fill="auto"/>
            <w:vAlign w:val="center"/>
          </w:tcPr>
          <w:p w:rsidR="008D3136" w:rsidRPr="00E2771E" w:rsidRDefault="008D3136" w:rsidP="001E64BC">
            <w:pPr>
              <w:rPr>
                <w:rFonts w:ascii="Arial Narrow" w:hAnsi="Arial Narrow"/>
                <w:b/>
                <w:color w:val="000000"/>
                <w:sz w:val="20"/>
                <w:szCs w:val="18"/>
              </w:rPr>
            </w:pPr>
          </w:p>
        </w:tc>
        <w:tc>
          <w:tcPr>
            <w:tcW w:w="627" w:type="pct"/>
            <w:gridSpan w:val="2"/>
            <w:vMerge/>
            <w:vAlign w:val="center"/>
          </w:tcPr>
          <w:p w:rsidR="008D3136" w:rsidRPr="00E2771E" w:rsidRDefault="008D3136" w:rsidP="001E64BC">
            <w:pPr>
              <w:jc w:val="center"/>
              <w:rPr>
                <w:rFonts w:ascii="Arial Narrow" w:hAnsi="Arial Narrow"/>
                <w:b/>
                <w:color w:val="000000"/>
                <w:sz w:val="20"/>
                <w:szCs w:val="18"/>
              </w:rPr>
            </w:pPr>
          </w:p>
        </w:tc>
        <w:tc>
          <w:tcPr>
            <w:tcW w:w="370" w:type="pct"/>
            <w:gridSpan w:val="3"/>
            <w:vMerge/>
            <w:vAlign w:val="center"/>
          </w:tcPr>
          <w:p w:rsidR="008D3136" w:rsidRPr="00E2771E" w:rsidRDefault="008D3136" w:rsidP="001E64BC">
            <w:pPr>
              <w:jc w:val="center"/>
              <w:rPr>
                <w:rFonts w:ascii="Arial Narrow" w:hAnsi="Arial Narrow"/>
                <w:b/>
                <w:color w:val="000000"/>
                <w:sz w:val="20"/>
                <w:szCs w:val="18"/>
              </w:rPr>
            </w:pPr>
          </w:p>
        </w:tc>
        <w:tc>
          <w:tcPr>
            <w:tcW w:w="392" w:type="pct"/>
            <w:gridSpan w:val="3"/>
            <w:vMerge/>
            <w:vAlign w:val="center"/>
          </w:tcPr>
          <w:p w:rsidR="008D3136" w:rsidRPr="00E2771E" w:rsidRDefault="008D3136" w:rsidP="001E64BC">
            <w:pPr>
              <w:jc w:val="center"/>
              <w:rPr>
                <w:rFonts w:ascii="Arial Narrow" w:hAnsi="Arial Narrow"/>
                <w:b/>
                <w:color w:val="000000"/>
                <w:sz w:val="20"/>
                <w:szCs w:val="18"/>
              </w:rPr>
            </w:pPr>
          </w:p>
        </w:tc>
        <w:tc>
          <w:tcPr>
            <w:tcW w:w="726" w:type="pct"/>
            <w:gridSpan w:val="3"/>
            <w:vMerge/>
            <w:vAlign w:val="center"/>
          </w:tcPr>
          <w:p w:rsidR="008D3136" w:rsidRPr="00E2771E" w:rsidRDefault="008D3136" w:rsidP="001E64BC">
            <w:pPr>
              <w:jc w:val="center"/>
              <w:rPr>
                <w:rFonts w:ascii="Arial Narrow" w:hAnsi="Arial Narrow"/>
                <w:b/>
                <w:color w:val="000000"/>
                <w:sz w:val="20"/>
                <w:szCs w:val="18"/>
              </w:rPr>
            </w:pPr>
          </w:p>
        </w:tc>
        <w:tc>
          <w:tcPr>
            <w:tcW w:w="537" w:type="pct"/>
            <w:gridSpan w:val="2"/>
            <w:vAlign w:val="center"/>
          </w:tcPr>
          <w:p w:rsidR="008D3136" w:rsidRPr="00E2771E" w:rsidRDefault="008D3136" w:rsidP="001E64BC">
            <w:pPr>
              <w:jc w:val="center"/>
              <w:rPr>
                <w:rFonts w:ascii="Arial Narrow" w:hAnsi="Arial Narrow"/>
                <w:b/>
                <w:color w:val="000000"/>
                <w:sz w:val="20"/>
                <w:szCs w:val="18"/>
              </w:rPr>
            </w:pPr>
            <w:r>
              <w:rPr>
                <w:rFonts w:ascii="Arial Narrow" w:hAnsi="Arial Narrow"/>
                <w:b/>
                <w:color w:val="000000"/>
                <w:sz w:val="20"/>
                <w:szCs w:val="18"/>
              </w:rPr>
              <w:t>Migalastat</w:t>
            </w:r>
          </w:p>
        </w:tc>
        <w:tc>
          <w:tcPr>
            <w:tcW w:w="502" w:type="pct"/>
            <w:vAlign w:val="center"/>
          </w:tcPr>
          <w:p w:rsidR="008D3136" w:rsidRPr="00E2771E" w:rsidRDefault="008D3136" w:rsidP="001E64BC">
            <w:pPr>
              <w:jc w:val="center"/>
              <w:rPr>
                <w:rFonts w:ascii="Arial Narrow" w:hAnsi="Arial Narrow"/>
                <w:b/>
                <w:color w:val="000000"/>
                <w:sz w:val="20"/>
                <w:szCs w:val="18"/>
              </w:rPr>
            </w:pPr>
            <w:r>
              <w:rPr>
                <w:rFonts w:ascii="Arial Narrow" w:hAnsi="Arial Narrow"/>
                <w:b/>
                <w:color w:val="000000"/>
                <w:sz w:val="20"/>
                <w:szCs w:val="18"/>
              </w:rPr>
              <w:t>ERT</w:t>
            </w:r>
          </w:p>
        </w:tc>
        <w:tc>
          <w:tcPr>
            <w:tcW w:w="351" w:type="pct"/>
            <w:vAlign w:val="center"/>
          </w:tcPr>
          <w:p w:rsidR="008D3136" w:rsidRPr="00E2771E" w:rsidRDefault="008D3136" w:rsidP="001E64BC">
            <w:pPr>
              <w:jc w:val="center"/>
              <w:rPr>
                <w:rFonts w:ascii="Arial Narrow" w:hAnsi="Arial Narrow"/>
                <w:b/>
                <w:color w:val="000000"/>
                <w:sz w:val="20"/>
                <w:szCs w:val="18"/>
              </w:rPr>
            </w:pPr>
            <w:r>
              <w:rPr>
                <w:rFonts w:ascii="Arial Narrow" w:hAnsi="Arial Narrow"/>
                <w:b/>
                <w:color w:val="000000"/>
                <w:sz w:val="20"/>
                <w:szCs w:val="18"/>
              </w:rPr>
              <w:t>PBO</w:t>
            </w:r>
          </w:p>
        </w:tc>
        <w:tc>
          <w:tcPr>
            <w:tcW w:w="759" w:type="pct"/>
            <w:vMerge/>
            <w:vAlign w:val="center"/>
          </w:tcPr>
          <w:p w:rsidR="008D3136" w:rsidRPr="00E2771E" w:rsidRDefault="008D3136" w:rsidP="001E64BC">
            <w:pPr>
              <w:jc w:val="center"/>
              <w:rPr>
                <w:rFonts w:ascii="Arial Narrow" w:hAnsi="Arial Narrow"/>
                <w:b/>
                <w:color w:val="000000"/>
                <w:sz w:val="20"/>
                <w:szCs w:val="18"/>
              </w:rPr>
            </w:pPr>
          </w:p>
        </w:tc>
      </w:tr>
      <w:tr w:rsidR="008D3136" w:rsidRPr="00E2771E" w:rsidTr="001E64BC">
        <w:tc>
          <w:tcPr>
            <w:tcW w:w="5000" w:type="pct"/>
            <w:gridSpan w:val="18"/>
            <w:shd w:val="clear" w:color="auto" w:fill="auto"/>
            <w:vAlign w:val="center"/>
          </w:tcPr>
          <w:p w:rsidR="008D3136" w:rsidRPr="00E2771E" w:rsidRDefault="008D3136" w:rsidP="001E64BC">
            <w:pPr>
              <w:rPr>
                <w:rFonts w:ascii="Arial Narrow" w:hAnsi="Arial Narrow"/>
                <w:b/>
                <w:color w:val="000000"/>
                <w:sz w:val="20"/>
                <w:szCs w:val="18"/>
              </w:rPr>
            </w:pPr>
            <w:r w:rsidRPr="00E2771E">
              <w:rPr>
                <w:rFonts w:ascii="Arial Narrow" w:hAnsi="Arial Narrow"/>
                <w:b/>
                <w:color w:val="000000"/>
                <w:sz w:val="20"/>
                <w:szCs w:val="18"/>
              </w:rPr>
              <w:t>Benefits</w:t>
            </w:r>
          </w:p>
        </w:tc>
      </w:tr>
      <w:tr w:rsidR="008D3136" w:rsidRPr="00E2771E" w:rsidTr="00DC2C37">
        <w:tc>
          <w:tcPr>
            <w:tcW w:w="3890" w:type="pct"/>
            <w:gridSpan w:val="16"/>
            <w:shd w:val="clear" w:color="auto" w:fill="auto"/>
            <w:vAlign w:val="center"/>
          </w:tcPr>
          <w:p w:rsidR="008D3136" w:rsidRPr="00D415F6" w:rsidRDefault="008D3136" w:rsidP="001E64BC">
            <w:pPr>
              <w:rPr>
                <w:rFonts w:ascii="Arial Narrow" w:hAnsi="Arial Narrow"/>
                <w:b/>
                <w:color w:val="000000"/>
                <w:sz w:val="20"/>
                <w:szCs w:val="18"/>
              </w:rPr>
            </w:pPr>
            <w:r w:rsidRPr="00D415F6">
              <w:rPr>
                <w:rFonts w:ascii="Arial Narrow" w:hAnsi="Arial Narrow"/>
                <w:b/>
                <w:color w:val="000000"/>
                <w:sz w:val="20"/>
                <w:szCs w:val="18"/>
              </w:rPr>
              <w:t>Composite clinical outcome</w:t>
            </w:r>
            <w:r w:rsidR="00DC2C37" w:rsidRPr="00DC2C37">
              <w:rPr>
                <w:rFonts w:ascii="Arial Narrow" w:hAnsi="Arial Narrow"/>
                <w:b/>
                <w:color w:val="000000"/>
                <w:sz w:val="20"/>
                <w:szCs w:val="18"/>
                <w:vertAlign w:val="superscript"/>
              </w:rPr>
              <w:t>a</w:t>
            </w:r>
            <w:r w:rsidRPr="00D415F6">
              <w:rPr>
                <w:rFonts w:ascii="Arial Narrow" w:hAnsi="Arial Narrow"/>
                <w:b/>
                <w:color w:val="000000"/>
                <w:sz w:val="20"/>
                <w:szCs w:val="18"/>
              </w:rPr>
              <w:t xml:space="preserve"> at 18 months (mITT Amenable)</w:t>
            </w:r>
          </w:p>
        </w:tc>
        <w:tc>
          <w:tcPr>
            <w:tcW w:w="1110" w:type="pct"/>
            <w:gridSpan w:val="2"/>
            <w:shd w:val="clear" w:color="auto" w:fill="auto"/>
            <w:vAlign w:val="center"/>
          </w:tcPr>
          <w:p w:rsidR="008D3136" w:rsidRPr="00D415F6" w:rsidRDefault="008D3136" w:rsidP="001E64BC">
            <w:pPr>
              <w:rPr>
                <w:rFonts w:ascii="Arial Narrow" w:hAnsi="Arial Narrow"/>
                <w:b/>
                <w:color w:val="000000"/>
                <w:sz w:val="20"/>
                <w:szCs w:val="18"/>
              </w:rPr>
            </w:pPr>
          </w:p>
        </w:tc>
      </w:tr>
      <w:tr w:rsidR="008D3136" w:rsidRPr="00E2771E" w:rsidTr="00DC2C37">
        <w:tc>
          <w:tcPr>
            <w:tcW w:w="737" w:type="pct"/>
            <w:gridSpan w:val="2"/>
            <w:shd w:val="clear" w:color="auto" w:fill="auto"/>
            <w:vAlign w:val="center"/>
          </w:tcPr>
          <w:p w:rsidR="008D3136" w:rsidRDefault="008D3136" w:rsidP="001E64BC">
            <w:pPr>
              <w:rPr>
                <w:rFonts w:ascii="Arial Narrow" w:hAnsi="Arial Narrow"/>
                <w:color w:val="000000"/>
                <w:sz w:val="20"/>
                <w:szCs w:val="18"/>
              </w:rPr>
            </w:pPr>
            <w:r>
              <w:rPr>
                <w:rFonts w:ascii="Arial Narrow" w:hAnsi="Arial Narrow"/>
                <w:color w:val="000000"/>
                <w:sz w:val="20"/>
                <w:szCs w:val="18"/>
              </w:rPr>
              <w:t>ATTRACT</w:t>
            </w:r>
          </w:p>
        </w:tc>
        <w:tc>
          <w:tcPr>
            <w:tcW w:w="627" w:type="pct"/>
            <w:gridSpan w:val="2"/>
            <w:vAlign w:val="center"/>
          </w:tcPr>
          <w:p w:rsidR="008D3136" w:rsidRPr="00E2771E" w:rsidRDefault="008D3136" w:rsidP="001E64BC">
            <w:pPr>
              <w:jc w:val="center"/>
              <w:rPr>
                <w:rFonts w:ascii="Arial Narrow" w:hAnsi="Arial Narrow"/>
                <w:color w:val="000000"/>
                <w:sz w:val="20"/>
                <w:szCs w:val="18"/>
              </w:rPr>
            </w:pPr>
            <w:r>
              <w:rPr>
                <w:rFonts w:ascii="Arial Narrow" w:hAnsi="Arial Narrow"/>
                <w:color w:val="000000"/>
                <w:sz w:val="20"/>
                <w:szCs w:val="18"/>
              </w:rPr>
              <w:t>10/34</w:t>
            </w:r>
          </w:p>
        </w:tc>
        <w:tc>
          <w:tcPr>
            <w:tcW w:w="370" w:type="pct"/>
            <w:gridSpan w:val="3"/>
            <w:vAlign w:val="center"/>
          </w:tcPr>
          <w:p w:rsidR="008D3136" w:rsidRPr="00E2771E" w:rsidRDefault="008D3136" w:rsidP="001E64BC">
            <w:pPr>
              <w:jc w:val="center"/>
              <w:rPr>
                <w:rFonts w:ascii="Arial Narrow" w:hAnsi="Arial Narrow"/>
                <w:color w:val="000000"/>
                <w:sz w:val="20"/>
                <w:szCs w:val="18"/>
              </w:rPr>
            </w:pPr>
            <w:r>
              <w:rPr>
                <w:rFonts w:ascii="Arial Narrow" w:hAnsi="Arial Narrow"/>
                <w:color w:val="000000"/>
                <w:sz w:val="20"/>
                <w:szCs w:val="18"/>
              </w:rPr>
              <w:t>8/18</w:t>
            </w:r>
          </w:p>
        </w:tc>
        <w:tc>
          <w:tcPr>
            <w:tcW w:w="392" w:type="pct"/>
            <w:gridSpan w:val="3"/>
            <w:vAlign w:val="center"/>
          </w:tcPr>
          <w:p w:rsidR="008D3136" w:rsidRPr="00E2771E" w:rsidRDefault="008D3136" w:rsidP="001E64BC">
            <w:pPr>
              <w:jc w:val="center"/>
              <w:rPr>
                <w:rFonts w:ascii="Arial Narrow" w:hAnsi="Arial Narrow"/>
                <w:color w:val="000000"/>
                <w:sz w:val="20"/>
                <w:szCs w:val="18"/>
              </w:rPr>
            </w:pPr>
            <w:r>
              <w:rPr>
                <w:rFonts w:ascii="Arial Narrow" w:hAnsi="Arial Narrow"/>
                <w:color w:val="000000"/>
                <w:sz w:val="20"/>
                <w:szCs w:val="18"/>
              </w:rPr>
              <w:t>-</w:t>
            </w:r>
          </w:p>
        </w:tc>
        <w:tc>
          <w:tcPr>
            <w:tcW w:w="726" w:type="pct"/>
            <w:gridSpan w:val="3"/>
            <w:vAlign w:val="center"/>
          </w:tcPr>
          <w:p w:rsidR="008D3136" w:rsidRPr="0025503B" w:rsidRDefault="008D3136" w:rsidP="001E64BC">
            <w:pPr>
              <w:jc w:val="center"/>
              <w:rPr>
                <w:rFonts w:ascii="Arial Narrow" w:hAnsi="Arial Narrow"/>
                <w:i/>
                <w:color w:val="000000"/>
                <w:sz w:val="20"/>
                <w:szCs w:val="18"/>
              </w:rPr>
            </w:pPr>
            <w:r>
              <w:rPr>
                <w:rFonts w:ascii="Arial Narrow" w:hAnsi="Arial Narrow"/>
                <w:i/>
                <w:color w:val="000000"/>
                <w:sz w:val="20"/>
                <w:szCs w:val="18"/>
              </w:rPr>
              <w:t>0.66 (0.32, 1.38)</w:t>
            </w:r>
          </w:p>
        </w:tc>
        <w:tc>
          <w:tcPr>
            <w:tcW w:w="537" w:type="pct"/>
            <w:gridSpan w:val="2"/>
            <w:vAlign w:val="center"/>
          </w:tcPr>
          <w:p w:rsidR="008D3136" w:rsidRPr="00E2771E" w:rsidRDefault="008D3136" w:rsidP="001E64BC">
            <w:pPr>
              <w:jc w:val="center"/>
              <w:rPr>
                <w:rFonts w:ascii="Arial Narrow" w:hAnsi="Arial Narrow"/>
                <w:color w:val="000000"/>
                <w:sz w:val="20"/>
                <w:szCs w:val="18"/>
              </w:rPr>
            </w:pPr>
            <w:r>
              <w:rPr>
                <w:rFonts w:ascii="Arial Narrow" w:hAnsi="Arial Narrow"/>
                <w:color w:val="000000"/>
                <w:sz w:val="20"/>
                <w:szCs w:val="18"/>
              </w:rPr>
              <w:t>29.4</w:t>
            </w:r>
          </w:p>
        </w:tc>
        <w:tc>
          <w:tcPr>
            <w:tcW w:w="502" w:type="pct"/>
            <w:vAlign w:val="center"/>
          </w:tcPr>
          <w:p w:rsidR="008D3136" w:rsidRPr="00E2771E" w:rsidRDefault="008D3136" w:rsidP="001E64BC">
            <w:pPr>
              <w:jc w:val="center"/>
              <w:rPr>
                <w:rFonts w:ascii="Arial Narrow" w:hAnsi="Arial Narrow"/>
                <w:color w:val="000000"/>
                <w:sz w:val="20"/>
                <w:szCs w:val="18"/>
              </w:rPr>
            </w:pPr>
            <w:r>
              <w:rPr>
                <w:rFonts w:ascii="Arial Narrow" w:hAnsi="Arial Narrow"/>
                <w:color w:val="000000"/>
                <w:sz w:val="20"/>
                <w:szCs w:val="18"/>
              </w:rPr>
              <w:t>44.5</w:t>
            </w:r>
          </w:p>
        </w:tc>
        <w:tc>
          <w:tcPr>
            <w:tcW w:w="351" w:type="pct"/>
            <w:vAlign w:val="center"/>
          </w:tcPr>
          <w:p w:rsidR="008D3136" w:rsidRPr="00E2771E" w:rsidRDefault="008D3136" w:rsidP="001E64BC">
            <w:pPr>
              <w:jc w:val="center"/>
              <w:rPr>
                <w:rFonts w:ascii="Arial Narrow" w:hAnsi="Arial Narrow"/>
                <w:color w:val="000000"/>
                <w:sz w:val="20"/>
                <w:szCs w:val="18"/>
              </w:rPr>
            </w:pPr>
            <w:r>
              <w:rPr>
                <w:rFonts w:ascii="Arial Narrow" w:hAnsi="Arial Narrow"/>
                <w:color w:val="000000"/>
                <w:sz w:val="20"/>
                <w:szCs w:val="18"/>
              </w:rPr>
              <w:t>-</w:t>
            </w:r>
          </w:p>
        </w:tc>
        <w:tc>
          <w:tcPr>
            <w:tcW w:w="759" w:type="pct"/>
            <w:vAlign w:val="center"/>
          </w:tcPr>
          <w:p w:rsidR="008D3136" w:rsidRPr="002436F0" w:rsidRDefault="008D3136" w:rsidP="001E64BC">
            <w:pPr>
              <w:jc w:val="center"/>
              <w:rPr>
                <w:rFonts w:ascii="Arial Narrow" w:hAnsi="Arial Narrow"/>
                <w:i/>
                <w:color w:val="000000"/>
                <w:sz w:val="20"/>
                <w:szCs w:val="18"/>
              </w:rPr>
            </w:pPr>
            <w:r w:rsidRPr="00521149">
              <w:rPr>
                <w:rFonts w:ascii="Arial Narrow" w:hAnsi="Arial Narrow"/>
                <w:i/>
                <w:color w:val="000000"/>
                <w:sz w:val="20"/>
                <w:szCs w:val="18"/>
              </w:rPr>
              <w:t xml:space="preserve">-15.0% </w:t>
            </w:r>
            <w:r>
              <w:rPr>
                <w:rFonts w:ascii="Arial Narrow" w:hAnsi="Arial Narrow"/>
                <w:i/>
                <w:color w:val="000000"/>
                <w:sz w:val="20"/>
                <w:szCs w:val="18"/>
              </w:rPr>
              <w:br/>
            </w:r>
            <w:r w:rsidRPr="00521149">
              <w:rPr>
                <w:rFonts w:ascii="Arial Narrow" w:hAnsi="Arial Narrow"/>
                <w:i/>
                <w:color w:val="000000"/>
                <w:sz w:val="20"/>
                <w:szCs w:val="18"/>
              </w:rPr>
              <w:t>(-42.6%, 12.6%)</w:t>
            </w:r>
          </w:p>
        </w:tc>
      </w:tr>
      <w:tr w:rsidR="008D3136" w:rsidRPr="00E2771E" w:rsidTr="001E64BC">
        <w:tc>
          <w:tcPr>
            <w:tcW w:w="5000" w:type="pct"/>
            <w:gridSpan w:val="18"/>
            <w:shd w:val="clear" w:color="auto" w:fill="auto"/>
            <w:vAlign w:val="center"/>
          </w:tcPr>
          <w:p w:rsidR="008D3136" w:rsidRPr="00521149" w:rsidRDefault="008D3136" w:rsidP="001E64BC">
            <w:pPr>
              <w:rPr>
                <w:rFonts w:ascii="Arial Narrow" w:hAnsi="Arial Narrow"/>
                <w:i/>
                <w:color w:val="000000"/>
                <w:sz w:val="20"/>
                <w:szCs w:val="18"/>
              </w:rPr>
            </w:pPr>
            <w:r>
              <w:rPr>
                <w:rFonts w:ascii="Arial Narrow" w:hAnsi="Arial Narrow"/>
                <w:b/>
                <w:color w:val="000000"/>
                <w:sz w:val="20"/>
                <w:szCs w:val="18"/>
              </w:rPr>
              <w:t>Patients with &gt;50% reduction in GL3 inclusions per kidney</w:t>
            </w:r>
            <w:r w:rsidRPr="00D415F6">
              <w:rPr>
                <w:rFonts w:ascii="Arial Narrow" w:hAnsi="Arial Narrow"/>
                <w:b/>
                <w:color w:val="000000"/>
                <w:sz w:val="20"/>
                <w:szCs w:val="18"/>
              </w:rPr>
              <w:t xml:space="preserve"> </w:t>
            </w:r>
            <w:r>
              <w:rPr>
                <w:rFonts w:ascii="Arial Narrow" w:hAnsi="Arial Narrow"/>
                <w:b/>
                <w:color w:val="000000"/>
                <w:sz w:val="20"/>
                <w:szCs w:val="18"/>
              </w:rPr>
              <w:t>(ITT</w:t>
            </w:r>
            <w:r w:rsidRPr="00D415F6">
              <w:rPr>
                <w:rFonts w:ascii="Arial Narrow" w:hAnsi="Arial Narrow"/>
                <w:b/>
                <w:color w:val="000000"/>
                <w:sz w:val="20"/>
                <w:szCs w:val="18"/>
              </w:rPr>
              <w:t>)</w:t>
            </w:r>
          </w:p>
        </w:tc>
      </w:tr>
      <w:tr w:rsidR="008D3136" w:rsidRPr="00E2771E" w:rsidTr="00DC2C37">
        <w:tc>
          <w:tcPr>
            <w:tcW w:w="737" w:type="pct"/>
            <w:gridSpan w:val="2"/>
            <w:shd w:val="clear" w:color="auto" w:fill="auto"/>
            <w:vAlign w:val="center"/>
          </w:tcPr>
          <w:p w:rsidR="008D3136" w:rsidRDefault="008D3136" w:rsidP="001E64BC">
            <w:pPr>
              <w:rPr>
                <w:rFonts w:ascii="Arial Narrow" w:hAnsi="Arial Narrow"/>
                <w:color w:val="000000"/>
                <w:sz w:val="20"/>
                <w:szCs w:val="18"/>
              </w:rPr>
            </w:pPr>
            <w:r>
              <w:rPr>
                <w:rFonts w:ascii="Arial Narrow" w:hAnsi="Arial Narrow"/>
                <w:color w:val="000000"/>
                <w:sz w:val="20"/>
                <w:szCs w:val="18"/>
              </w:rPr>
              <w:t>FACETS</w:t>
            </w:r>
          </w:p>
        </w:tc>
        <w:tc>
          <w:tcPr>
            <w:tcW w:w="627" w:type="pct"/>
            <w:gridSpan w:val="2"/>
            <w:vAlign w:val="center"/>
          </w:tcPr>
          <w:p w:rsidR="008D3136" w:rsidRDefault="008D3136" w:rsidP="001E64BC">
            <w:pPr>
              <w:jc w:val="center"/>
              <w:rPr>
                <w:rFonts w:ascii="Arial Narrow" w:hAnsi="Arial Narrow"/>
                <w:color w:val="000000"/>
                <w:sz w:val="20"/>
                <w:szCs w:val="18"/>
              </w:rPr>
            </w:pPr>
            <w:r>
              <w:rPr>
                <w:rFonts w:ascii="Arial Narrow" w:hAnsi="Arial Narrow"/>
                <w:color w:val="000000"/>
                <w:sz w:val="20"/>
                <w:szCs w:val="18"/>
              </w:rPr>
              <w:t>13/32</w:t>
            </w:r>
          </w:p>
        </w:tc>
        <w:tc>
          <w:tcPr>
            <w:tcW w:w="370" w:type="pct"/>
            <w:gridSpan w:val="3"/>
            <w:vAlign w:val="center"/>
          </w:tcPr>
          <w:p w:rsidR="008D3136" w:rsidRDefault="008D3136" w:rsidP="001E64BC">
            <w:pPr>
              <w:jc w:val="center"/>
              <w:rPr>
                <w:rFonts w:ascii="Arial Narrow" w:hAnsi="Arial Narrow"/>
                <w:color w:val="000000"/>
                <w:sz w:val="20"/>
                <w:szCs w:val="18"/>
              </w:rPr>
            </w:pPr>
            <w:r>
              <w:rPr>
                <w:rFonts w:ascii="Arial Narrow" w:hAnsi="Arial Narrow"/>
                <w:color w:val="000000"/>
                <w:sz w:val="20"/>
                <w:szCs w:val="18"/>
              </w:rPr>
              <w:t>-</w:t>
            </w:r>
          </w:p>
        </w:tc>
        <w:tc>
          <w:tcPr>
            <w:tcW w:w="392" w:type="pct"/>
            <w:gridSpan w:val="3"/>
            <w:vAlign w:val="center"/>
          </w:tcPr>
          <w:p w:rsidR="008D3136" w:rsidRDefault="008D3136" w:rsidP="001E64BC">
            <w:pPr>
              <w:jc w:val="center"/>
              <w:rPr>
                <w:rFonts w:ascii="Arial Narrow" w:hAnsi="Arial Narrow"/>
                <w:color w:val="000000"/>
                <w:sz w:val="20"/>
                <w:szCs w:val="18"/>
              </w:rPr>
            </w:pPr>
            <w:r>
              <w:rPr>
                <w:rFonts w:ascii="Arial Narrow" w:hAnsi="Arial Narrow"/>
                <w:color w:val="000000"/>
                <w:sz w:val="20"/>
                <w:szCs w:val="18"/>
              </w:rPr>
              <w:t>9/32</w:t>
            </w:r>
          </w:p>
        </w:tc>
        <w:tc>
          <w:tcPr>
            <w:tcW w:w="726" w:type="pct"/>
            <w:gridSpan w:val="3"/>
            <w:vAlign w:val="center"/>
          </w:tcPr>
          <w:p w:rsidR="008D3136" w:rsidRDefault="008D3136" w:rsidP="001E64BC">
            <w:pPr>
              <w:jc w:val="center"/>
              <w:rPr>
                <w:rFonts w:ascii="Arial Narrow" w:hAnsi="Arial Narrow"/>
                <w:i/>
                <w:color w:val="000000"/>
                <w:sz w:val="20"/>
                <w:szCs w:val="18"/>
              </w:rPr>
            </w:pPr>
            <w:r w:rsidRPr="00455805">
              <w:rPr>
                <w:rFonts w:ascii="Arial Narrow" w:hAnsi="Arial Narrow"/>
                <w:color w:val="000000"/>
                <w:sz w:val="20"/>
                <w:szCs w:val="18"/>
              </w:rPr>
              <w:t>1.44 (0.72, 2.89)</w:t>
            </w:r>
          </w:p>
        </w:tc>
        <w:tc>
          <w:tcPr>
            <w:tcW w:w="537" w:type="pct"/>
            <w:gridSpan w:val="2"/>
            <w:vAlign w:val="center"/>
          </w:tcPr>
          <w:p w:rsidR="008D3136" w:rsidRDefault="008D3136" w:rsidP="001E64BC">
            <w:pPr>
              <w:jc w:val="center"/>
              <w:rPr>
                <w:rFonts w:ascii="Arial Narrow" w:hAnsi="Arial Narrow"/>
                <w:color w:val="000000"/>
                <w:sz w:val="20"/>
                <w:szCs w:val="18"/>
              </w:rPr>
            </w:pPr>
            <w:r>
              <w:rPr>
                <w:rFonts w:ascii="Arial Narrow" w:hAnsi="Arial Narrow"/>
                <w:color w:val="000000"/>
                <w:sz w:val="20"/>
                <w:szCs w:val="18"/>
              </w:rPr>
              <w:t>40.6</w:t>
            </w:r>
          </w:p>
        </w:tc>
        <w:tc>
          <w:tcPr>
            <w:tcW w:w="502" w:type="pct"/>
            <w:vAlign w:val="center"/>
          </w:tcPr>
          <w:p w:rsidR="008D3136" w:rsidRDefault="008D3136" w:rsidP="001E64BC">
            <w:pPr>
              <w:jc w:val="center"/>
              <w:rPr>
                <w:rFonts w:ascii="Arial Narrow" w:hAnsi="Arial Narrow"/>
                <w:color w:val="000000"/>
                <w:sz w:val="20"/>
                <w:szCs w:val="18"/>
              </w:rPr>
            </w:pPr>
            <w:r>
              <w:rPr>
                <w:rFonts w:ascii="Arial Narrow" w:hAnsi="Arial Narrow"/>
                <w:color w:val="000000"/>
                <w:sz w:val="20"/>
                <w:szCs w:val="18"/>
              </w:rPr>
              <w:t>-</w:t>
            </w:r>
          </w:p>
        </w:tc>
        <w:tc>
          <w:tcPr>
            <w:tcW w:w="351" w:type="pct"/>
            <w:vAlign w:val="center"/>
          </w:tcPr>
          <w:p w:rsidR="008D3136" w:rsidRDefault="008D3136" w:rsidP="001E64BC">
            <w:pPr>
              <w:jc w:val="center"/>
              <w:rPr>
                <w:rFonts w:ascii="Arial Narrow" w:hAnsi="Arial Narrow"/>
                <w:color w:val="000000"/>
                <w:sz w:val="20"/>
                <w:szCs w:val="18"/>
              </w:rPr>
            </w:pPr>
            <w:r>
              <w:rPr>
                <w:rFonts w:ascii="Arial Narrow" w:hAnsi="Arial Narrow"/>
                <w:color w:val="000000"/>
                <w:sz w:val="20"/>
                <w:szCs w:val="18"/>
              </w:rPr>
              <w:t>28.1</w:t>
            </w:r>
          </w:p>
        </w:tc>
        <w:tc>
          <w:tcPr>
            <w:tcW w:w="759" w:type="pct"/>
            <w:vAlign w:val="center"/>
          </w:tcPr>
          <w:p w:rsidR="008D3136" w:rsidRPr="00521149" w:rsidRDefault="008D3136" w:rsidP="001E64BC">
            <w:pPr>
              <w:jc w:val="center"/>
              <w:rPr>
                <w:rFonts w:ascii="Arial Narrow" w:hAnsi="Arial Narrow"/>
                <w:i/>
                <w:color w:val="000000"/>
                <w:sz w:val="20"/>
                <w:szCs w:val="18"/>
              </w:rPr>
            </w:pPr>
            <w:r w:rsidRPr="0025503B">
              <w:rPr>
                <w:rFonts w:ascii="Arial Narrow" w:hAnsi="Arial Narrow"/>
                <w:i/>
                <w:color w:val="000000"/>
                <w:sz w:val="20"/>
                <w:szCs w:val="18"/>
              </w:rPr>
              <w:t xml:space="preserve">12.5% </w:t>
            </w:r>
            <w:r w:rsidRPr="0025503B">
              <w:rPr>
                <w:rFonts w:ascii="Arial Narrow" w:hAnsi="Arial Narrow"/>
                <w:i/>
                <w:color w:val="000000"/>
                <w:sz w:val="20"/>
                <w:szCs w:val="18"/>
              </w:rPr>
              <w:br/>
              <w:t>(-10.6%, 35.6%)</w:t>
            </w:r>
          </w:p>
        </w:tc>
      </w:tr>
      <w:tr w:rsidR="008D3136" w:rsidRPr="00E2771E" w:rsidTr="001E64BC">
        <w:tc>
          <w:tcPr>
            <w:tcW w:w="5000" w:type="pct"/>
            <w:gridSpan w:val="18"/>
            <w:tcBorders>
              <w:top w:val="double" w:sz="4" w:space="0" w:color="auto"/>
            </w:tcBorders>
            <w:shd w:val="clear" w:color="auto" w:fill="auto"/>
            <w:vAlign w:val="center"/>
          </w:tcPr>
          <w:p w:rsidR="008D3136" w:rsidRPr="00E2771E" w:rsidRDefault="008D3136" w:rsidP="001E64BC">
            <w:pPr>
              <w:rPr>
                <w:rFonts w:ascii="Arial Narrow" w:hAnsi="Arial Narrow"/>
                <w:b/>
                <w:color w:val="000000"/>
                <w:sz w:val="20"/>
                <w:szCs w:val="18"/>
              </w:rPr>
            </w:pPr>
            <w:r w:rsidRPr="00471D88">
              <w:rPr>
                <w:rFonts w:ascii="Arial Narrow" w:hAnsi="Arial Narrow"/>
                <w:b/>
                <w:color w:val="000000"/>
                <w:sz w:val="20"/>
                <w:szCs w:val="18"/>
              </w:rPr>
              <w:t>Annualised rate of change in eGFR</w:t>
            </w:r>
            <w:r w:rsidRPr="000B6F84">
              <w:rPr>
                <w:rFonts w:ascii="Arial Narrow" w:hAnsi="Arial Narrow"/>
                <w:color w:val="000000"/>
                <w:sz w:val="20"/>
                <w:szCs w:val="18"/>
                <w:vertAlign w:val="subscript"/>
              </w:rPr>
              <w:t>CKD-EPI</w:t>
            </w:r>
            <w:r w:rsidRPr="00471D88">
              <w:rPr>
                <w:rFonts w:ascii="Arial Narrow" w:hAnsi="Arial Narrow"/>
                <w:b/>
                <w:color w:val="000000"/>
                <w:sz w:val="20"/>
                <w:szCs w:val="18"/>
              </w:rPr>
              <w:t xml:space="preserve"> (mL/min/1.73m</w:t>
            </w:r>
            <w:r w:rsidRPr="00471D88">
              <w:rPr>
                <w:rFonts w:ascii="Arial Narrow" w:hAnsi="Arial Narrow"/>
                <w:b/>
                <w:color w:val="000000"/>
                <w:sz w:val="20"/>
                <w:szCs w:val="18"/>
                <w:vertAlign w:val="superscript"/>
              </w:rPr>
              <w:t>2</w:t>
            </w:r>
            <w:r w:rsidRPr="00471D88">
              <w:rPr>
                <w:rFonts w:ascii="Arial Narrow" w:hAnsi="Arial Narrow"/>
                <w:b/>
                <w:color w:val="000000"/>
                <w:sz w:val="20"/>
                <w:szCs w:val="18"/>
              </w:rPr>
              <w:t>/year)</w:t>
            </w:r>
          </w:p>
        </w:tc>
      </w:tr>
      <w:tr w:rsidR="008D3136" w:rsidRPr="00E2771E" w:rsidTr="00DC2C37">
        <w:trPr>
          <w:trHeight w:val="225"/>
        </w:trPr>
        <w:tc>
          <w:tcPr>
            <w:tcW w:w="737" w:type="pct"/>
            <w:gridSpan w:val="2"/>
            <w:vMerge w:val="restart"/>
            <w:shd w:val="clear" w:color="auto" w:fill="auto"/>
            <w:vAlign w:val="center"/>
          </w:tcPr>
          <w:p w:rsidR="008D3136" w:rsidRPr="00E2771E" w:rsidRDefault="008D3136" w:rsidP="001E64BC">
            <w:pPr>
              <w:rPr>
                <w:rFonts w:ascii="Arial Narrow" w:hAnsi="Arial Narrow"/>
                <w:color w:val="000000"/>
                <w:sz w:val="20"/>
                <w:szCs w:val="18"/>
              </w:rPr>
            </w:pPr>
          </w:p>
        </w:tc>
        <w:tc>
          <w:tcPr>
            <w:tcW w:w="1539" w:type="pct"/>
            <w:gridSpan w:val="9"/>
            <w:vAlign w:val="center"/>
          </w:tcPr>
          <w:p w:rsidR="008D3136" w:rsidRPr="00E2771E" w:rsidRDefault="008D3136" w:rsidP="001E64BC">
            <w:pPr>
              <w:jc w:val="center"/>
              <w:rPr>
                <w:rFonts w:ascii="Arial Narrow" w:hAnsi="Arial Narrow"/>
                <w:color w:val="000000"/>
                <w:sz w:val="20"/>
                <w:szCs w:val="18"/>
              </w:rPr>
            </w:pPr>
            <w:r>
              <w:rPr>
                <w:rFonts w:ascii="Arial Narrow" w:hAnsi="Arial Narrow"/>
                <w:b/>
                <w:color w:val="000000"/>
                <w:sz w:val="20"/>
                <w:szCs w:val="18"/>
              </w:rPr>
              <w:t>Migalastat</w:t>
            </w:r>
          </w:p>
        </w:tc>
        <w:tc>
          <w:tcPr>
            <w:tcW w:w="1615" w:type="pct"/>
            <w:gridSpan w:val="5"/>
            <w:vAlign w:val="center"/>
          </w:tcPr>
          <w:p w:rsidR="008D3136" w:rsidRPr="00E2771E" w:rsidRDefault="008D3136" w:rsidP="001E64BC">
            <w:pPr>
              <w:jc w:val="center"/>
              <w:rPr>
                <w:rFonts w:ascii="Arial Narrow" w:hAnsi="Arial Narrow"/>
                <w:color w:val="000000"/>
                <w:sz w:val="20"/>
                <w:szCs w:val="18"/>
              </w:rPr>
            </w:pPr>
            <w:r>
              <w:rPr>
                <w:rFonts w:ascii="Arial Narrow" w:hAnsi="Arial Narrow"/>
                <w:b/>
                <w:color w:val="000000"/>
                <w:sz w:val="20"/>
                <w:szCs w:val="18"/>
              </w:rPr>
              <w:t>ERT/placebo</w:t>
            </w:r>
          </w:p>
        </w:tc>
        <w:tc>
          <w:tcPr>
            <w:tcW w:w="1110" w:type="pct"/>
            <w:gridSpan w:val="2"/>
            <w:vMerge w:val="restart"/>
            <w:vAlign w:val="center"/>
          </w:tcPr>
          <w:p w:rsidR="008D3136" w:rsidRPr="00E2771E" w:rsidRDefault="008D3136" w:rsidP="001E64BC">
            <w:pPr>
              <w:jc w:val="center"/>
              <w:rPr>
                <w:rFonts w:ascii="Arial Narrow" w:hAnsi="Arial Narrow"/>
                <w:b/>
                <w:sz w:val="20"/>
                <w:szCs w:val="18"/>
              </w:rPr>
            </w:pPr>
            <w:r w:rsidRPr="00E2771E">
              <w:rPr>
                <w:rFonts w:ascii="Arial Narrow" w:hAnsi="Arial Narrow"/>
                <w:b/>
                <w:sz w:val="20"/>
                <w:szCs w:val="18"/>
              </w:rPr>
              <w:t xml:space="preserve">Mean difference*: </w:t>
            </w:r>
          </w:p>
          <w:p w:rsidR="008D3136" w:rsidRPr="00E2771E" w:rsidRDefault="008D3136" w:rsidP="001E64BC">
            <w:pPr>
              <w:jc w:val="center"/>
              <w:rPr>
                <w:rFonts w:ascii="Arial Narrow" w:hAnsi="Arial Narrow"/>
                <w:b/>
                <w:sz w:val="20"/>
                <w:szCs w:val="18"/>
              </w:rPr>
            </w:pPr>
            <w:r>
              <w:rPr>
                <w:rFonts w:ascii="Arial Narrow" w:hAnsi="Arial Narrow"/>
                <w:b/>
                <w:sz w:val="20"/>
                <w:szCs w:val="18"/>
              </w:rPr>
              <w:t>migalastat</w:t>
            </w:r>
            <w:r w:rsidRPr="00E2771E">
              <w:rPr>
                <w:rFonts w:ascii="Arial Narrow" w:hAnsi="Arial Narrow"/>
                <w:b/>
                <w:sz w:val="20"/>
                <w:szCs w:val="18"/>
              </w:rPr>
              <w:t xml:space="preserve"> vs. </w:t>
            </w:r>
            <w:r>
              <w:rPr>
                <w:rFonts w:ascii="Arial Narrow" w:hAnsi="Arial Narrow"/>
                <w:b/>
                <w:sz w:val="20"/>
                <w:szCs w:val="18"/>
              </w:rPr>
              <w:t>ERT/placebo</w:t>
            </w:r>
          </w:p>
          <w:p w:rsidR="008D3136" w:rsidRPr="00E2771E" w:rsidRDefault="008D3136" w:rsidP="001E64BC">
            <w:pPr>
              <w:jc w:val="center"/>
              <w:rPr>
                <w:rFonts w:ascii="Arial Narrow" w:hAnsi="Arial Narrow"/>
                <w:b/>
                <w:sz w:val="20"/>
                <w:szCs w:val="18"/>
              </w:rPr>
            </w:pPr>
            <w:r w:rsidRPr="00E2771E">
              <w:rPr>
                <w:rFonts w:ascii="Arial Narrow" w:hAnsi="Arial Narrow"/>
                <w:b/>
                <w:sz w:val="20"/>
                <w:szCs w:val="18"/>
              </w:rPr>
              <w:t>(95% CI)</w:t>
            </w:r>
          </w:p>
        </w:tc>
      </w:tr>
      <w:tr w:rsidR="008D3136" w:rsidRPr="00E2771E" w:rsidTr="00DC2C37">
        <w:trPr>
          <w:trHeight w:val="225"/>
        </w:trPr>
        <w:tc>
          <w:tcPr>
            <w:tcW w:w="737" w:type="pct"/>
            <w:gridSpan w:val="2"/>
            <w:vMerge/>
            <w:shd w:val="clear" w:color="auto" w:fill="auto"/>
            <w:vAlign w:val="center"/>
          </w:tcPr>
          <w:p w:rsidR="008D3136" w:rsidRPr="00E2771E" w:rsidRDefault="008D3136" w:rsidP="001E64BC">
            <w:pPr>
              <w:rPr>
                <w:rFonts w:ascii="Arial Narrow" w:hAnsi="Arial Narrow"/>
                <w:color w:val="000000"/>
                <w:sz w:val="20"/>
                <w:szCs w:val="18"/>
              </w:rPr>
            </w:pPr>
          </w:p>
        </w:tc>
        <w:tc>
          <w:tcPr>
            <w:tcW w:w="363" w:type="pct"/>
            <w:vAlign w:val="center"/>
          </w:tcPr>
          <w:p w:rsidR="008D3136" w:rsidRPr="00E2771E" w:rsidRDefault="008D3136" w:rsidP="001E64BC">
            <w:pPr>
              <w:jc w:val="center"/>
              <w:rPr>
                <w:rFonts w:ascii="Arial Narrow" w:hAnsi="Arial Narrow"/>
                <w:b/>
                <w:color w:val="000000"/>
                <w:sz w:val="20"/>
                <w:szCs w:val="18"/>
              </w:rPr>
            </w:pPr>
            <w:r w:rsidRPr="00E2771E">
              <w:rPr>
                <w:rFonts w:ascii="Arial Narrow" w:hAnsi="Arial Narrow"/>
                <w:b/>
                <w:color w:val="000000"/>
                <w:sz w:val="20"/>
                <w:szCs w:val="18"/>
              </w:rPr>
              <w:t>n</w:t>
            </w:r>
          </w:p>
        </w:tc>
        <w:tc>
          <w:tcPr>
            <w:tcW w:w="583" w:type="pct"/>
            <w:gridSpan w:val="3"/>
            <w:vAlign w:val="center"/>
          </w:tcPr>
          <w:p w:rsidR="008D3136" w:rsidRPr="00E2771E" w:rsidRDefault="008D3136" w:rsidP="001E64BC">
            <w:pPr>
              <w:jc w:val="center"/>
              <w:rPr>
                <w:rFonts w:ascii="Arial Narrow" w:hAnsi="Arial Narrow"/>
                <w:b/>
                <w:sz w:val="20"/>
                <w:szCs w:val="18"/>
              </w:rPr>
            </w:pPr>
            <w:r w:rsidRPr="00E2771E">
              <w:rPr>
                <w:rFonts w:ascii="Arial Narrow" w:hAnsi="Arial Narrow"/>
                <w:b/>
                <w:sz w:val="20"/>
                <w:szCs w:val="18"/>
              </w:rPr>
              <w:t>Mean ∆ baseline</w:t>
            </w:r>
          </w:p>
        </w:tc>
        <w:tc>
          <w:tcPr>
            <w:tcW w:w="593" w:type="pct"/>
            <w:gridSpan w:val="5"/>
            <w:vAlign w:val="center"/>
          </w:tcPr>
          <w:p w:rsidR="008D3136" w:rsidRPr="00E2771E" w:rsidRDefault="008D3136" w:rsidP="001E64BC">
            <w:pPr>
              <w:jc w:val="center"/>
              <w:rPr>
                <w:rFonts w:ascii="Arial Narrow" w:hAnsi="Arial Narrow"/>
                <w:b/>
                <w:sz w:val="20"/>
                <w:szCs w:val="18"/>
              </w:rPr>
            </w:pPr>
            <w:r w:rsidRPr="00E2771E">
              <w:rPr>
                <w:rFonts w:ascii="Arial Narrow" w:hAnsi="Arial Narrow"/>
                <w:b/>
                <w:sz w:val="20"/>
                <w:szCs w:val="18"/>
              </w:rPr>
              <w:t>SD</w:t>
            </w:r>
          </w:p>
        </w:tc>
        <w:tc>
          <w:tcPr>
            <w:tcW w:w="498" w:type="pct"/>
            <w:vAlign w:val="center"/>
          </w:tcPr>
          <w:p w:rsidR="008D3136" w:rsidRPr="00E2771E" w:rsidRDefault="008D3136" w:rsidP="001E64BC">
            <w:pPr>
              <w:jc w:val="center"/>
              <w:rPr>
                <w:rFonts w:ascii="Arial Narrow" w:hAnsi="Arial Narrow"/>
                <w:b/>
                <w:color w:val="000000"/>
                <w:sz w:val="20"/>
                <w:szCs w:val="18"/>
              </w:rPr>
            </w:pPr>
            <w:r w:rsidRPr="00E2771E">
              <w:rPr>
                <w:rFonts w:ascii="Arial Narrow" w:hAnsi="Arial Narrow"/>
                <w:b/>
                <w:color w:val="000000"/>
                <w:sz w:val="20"/>
                <w:szCs w:val="18"/>
              </w:rPr>
              <w:t>n</w:t>
            </w:r>
          </w:p>
        </w:tc>
        <w:tc>
          <w:tcPr>
            <w:tcW w:w="586" w:type="pct"/>
            <w:gridSpan w:val="2"/>
            <w:vAlign w:val="center"/>
          </w:tcPr>
          <w:p w:rsidR="008D3136" w:rsidRPr="00E2771E" w:rsidRDefault="008D3136" w:rsidP="001E64BC">
            <w:pPr>
              <w:jc w:val="center"/>
              <w:rPr>
                <w:rFonts w:ascii="Arial Narrow" w:hAnsi="Arial Narrow"/>
                <w:b/>
                <w:sz w:val="20"/>
                <w:szCs w:val="18"/>
              </w:rPr>
            </w:pPr>
            <w:r w:rsidRPr="00E2771E">
              <w:rPr>
                <w:rFonts w:ascii="Arial Narrow" w:hAnsi="Arial Narrow"/>
                <w:b/>
                <w:sz w:val="20"/>
                <w:szCs w:val="18"/>
              </w:rPr>
              <w:t>Mean ∆ baseline</w:t>
            </w:r>
          </w:p>
        </w:tc>
        <w:tc>
          <w:tcPr>
            <w:tcW w:w="531" w:type="pct"/>
            <w:gridSpan w:val="2"/>
            <w:vAlign w:val="center"/>
          </w:tcPr>
          <w:p w:rsidR="008D3136" w:rsidRPr="00E2771E" w:rsidRDefault="008D3136" w:rsidP="001E64BC">
            <w:pPr>
              <w:jc w:val="center"/>
              <w:rPr>
                <w:rFonts w:ascii="Arial Narrow" w:hAnsi="Arial Narrow"/>
                <w:b/>
                <w:sz w:val="20"/>
                <w:szCs w:val="18"/>
              </w:rPr>
            </w:pPr>
            <w:r w:rsidRPr="00E2771E">
              <w:rPr>
                <w:rFonts w:ascii="Arial Narrow" w:hAnsi="Arial Narrow"/>
                <w:b/>
                <w:sz w:val="20"/>
                <w:szCs w:val="18"/>
              </w:rPr>
              <w:t>SD</w:t>
            </w:r>
          </w:p>
        </w:tc>
        <w:tc>
          <w:tcPr>
            <w:tcW w:w="1110" w:type="pct"/>
            <w:gridSpan w:val="2"/>
            <w:vMerge/>
            <w:vAlign w:val="center"/>
          </w:tcPr>
          <w:p w:rsidR="008D3136" w:rsidRPr="00E2771E" w:rsidRDefault="008D3136" w:rsidP="001E64BC">
            <w:pPr>
              <w:jc w:val="center"/>
              <w:rPr>
                <w:rFonts w:ascii="Arial Narrow" w:hAnsi="Arial Narrow"/>
                <w:b/>
                <w:sz w:val="20"/>
                <w:szCs w:val="18"/>
              </w:rPr>
            </w:pPr>
          </w:p>
        </w:tc>
      </w:tr>
      <w:tr w:rsidR="008D3136" w:rsidRPr="00E2771E" w:rsidTr="00DC2C37">
        <w:tc>
          <w:tcPr>
            <w:tcW w:w="737" w:type="pct"/>
            <w:gridSpan w:val="2"/>
            <w:shd w:val="clear" w:color="auto" w:fill="auto"/>
            <w:vAlign w:val="center"/>
          </w:tcPr>
          <w:p w:rsidR="008D3136" w:rsidRDefault="008D3136" w:rsidP="001E64BC">
            <w:pPr>
              <w:rPr>
                <w:rFonts w:ascii="Arial Narrow" w:hAnsi="Arial Narrow"/>
                <w:color w:val="000000"/>
                <w:sz w:val="20"/>
                <w:szCs w:val="18"/>
              </w:rPr>
            </w:pPr>
            <w:r>
              <w:rPr>
                <w:rFonts w:ascii="Arial Narrow" w:hAnsi="Arial Narrow"/>
                <w:color w:val="000000"/>
                <w:sz w:val="20"/>
                <w:szCs w:val="18"/>
              </w:rPr>
              <w:t>ATTRACT, ITT</w:t>
            </w:r>
          </w:p>
        </w:tc>
        <w:tc>
          <w:tcPr>
            <w:tcW w:w="363" w:type="pct"/>
            <w:vAlign w:val="center"/>
          </w:tcPr>
          <w:p w:rsidR="008D3136" w:rsidRPr="009B351D" w:rsidRDefault="008D3136" w:rsidP="001E64BC">
            <w:pPr>
              <w:jc w:val="center"/>
              <w:rPr>
                <w:rFonts w:ascii="Arial Narrow" w:hAnsi="Arial Narrow"/>
                <w:i/>
                <w:color w:val="000000"/>
                <w:sz w:val="20"/>
                <w:szCs w:val="18"/>
              </w:rPr>
            </w:pPr>
            <w:r w:rsidRPr="009B351D">
              <w:rPr>
                <w:rFonts w:ascii="Arial Narrow" w:hAnsi="Arial Narrow"/>
                <w:i/>
                <w:color w:val="000000"/>
                <w:sz w:val="20"/>
                <w:szCs w:val="18"/>
              </w:rPr>
              <w:t>36</w:t>
            </w:r>
          </w:p>
        </w:tc>
        <w:tc>
          <w:tcPr>
            <w:tcW w:w="583" w:type="pct"/>
            <w:gridSpan w:val="3"/>
            <w:vAlign w:val="center"/>
          </w:tcPr>
          <w:p w:rsidR="008D3136" w:rsidRPr="001D45E4" w:rsidRDefault="008D3136" w:rsidP="001E64BC">
            <w:pPr>
              <w:jc w:val="center"/>
              <w:rPr>
                <w:rFonts w:ascii="Arial Narrow" w:hAnsi="Arial Narrow"/>
                <w:i/>
                <w:color w:val="000000"/>
                <w:sz w:val="20"/>
                <w:szCs w:val="18"/>
              </w:rPr>
            </w:pPr>
            <w:r w:rsidRPr="001D45E4">
              <w:rPr>
                <w:rFonts w:ascii="Arial Narrow" w:hAnsi="Arial Narrow"/>
                <w:i/>
                <w:color w:val="000000"/>
                <w:sz w:val="20"/>
                <w:szCs w:val="18"/>
              </w:rPr>
              <w:t xml:space="preserve">-0.52 </w:t>
            </w:r>
          </w:p>
        </w:tc>
        <w:tc>
          <w:tcPr>
            <w:tcW w:w="593" w:type="pct"/>
            <w:gridSpan w:val="5"/>
            <w:vAlign w:val="center"/>
          </w:tcPr>
          <w:p w:rsidR="008D3136" w:rsidRPr="001D45E4" w:rsidRDefault="008D3136" w:rsidP="001E64BC">
            <w:pPr>
              <w:jc w:val="center"/>
              <w:rPr>
                <w:rFonts w:ascii="Arial Narrow" w:hAnsi="Arial Narrow"/>
                <w:i/>
                <w:color w:val="000000"/>
                <w:sz w:val="20"/>
                <w:szCs w:val="18"/>
              </w:rPr>
            </w:pPr>
            <w:r w:rsidRPr="001D45E4">
              <w:rPr>
                <w:rFonts w:ascii="Arial Narrow" w:hAnsi="Arial Narrow"/>
                <w:i/>
                <w:color w:val="000000"/>
                <w:sz w:val="20"/>
                <w:szCs w:val="18"/>
              </w:rPr>
              <w:t>4.29</w:t>
            </w:r>
          </w:p>
        </w:tc>
        <w:tc>
          <w:tcPr>
            <w:tcW w:w="498" w:type="pct"/>
            <w:vAlign w:val="center"/>
          </w:tcPr>
          <w:p w:rsidR="008D3136" w:rsidRPr="001D45E4" w:rsidRDefault="008D3136" w:rsidP="001E64BC">
            <w:pPr>
              <w:jc w:val="center"/>
              <w:rPr>
                <w:rFonts w:ascii="Arial Narrow" w:hAnsi="Arial Narrow"/>
                <w:i/>
                <w:color w:val="000000"/>
                <w:sz w:val="20"/>
                <w:szCs w:val="18"/>
              </w:rPr>
            </w:pPr>
            <w:r w:rsidRPr="001D45E4">
              <w:rPr>
                <w:rFonts w:ascii="Arial Narrow" w:hAnsi="Arial Narrow"/>
                <w:i/>
                <w:color w:val="000000"/>
                <w:sz w:val="20"/>
                <w:szCs w:val="18"/>
              </w:rPr>
              <w:t>21</w:t>
            </w:r>
          </w:p>
        </w:tc>
        <w:tc>
          <w:tcPr>
            <w:tcW w:w="586" w:type="pct"/>
            <w:gridSpan w:val="2"/>
            <w:vAlign w:val="center"/>
          </w:tcPr>
          <w:p w:rsidR="008D3136" w:rsidRPr="001D45E4" w:rsidRDefault="008D3136" w:rsidP="001E64BC">
            <w:pPr>
              <w:jc w:val="center"/>
              <w:rPr>
                <w:rFonts w:ascii="Arial Narrow" w:hAnsi="Arial Narrow"/>
                <w:i/>
                <w:color w:val="000000"/>
                <w:sz w:val="20"/>
                <w:szCs w:val="18"/>
              </w:rPr>
            </w:pPr>
            <w:r w:rsidRPr="001D45E4">
              <w:rPr>
                <w:rFonts w:ascii="Arial Narrow" w:hAnsi="Arial Narrow"/>
                <w:i/>
                <w:color w:val="000000"/>
                <w:sz w:val="20"/>
                <w:szCs w:val="18"/>
              </w:rPr>
              <w:t xml:space="preserve">-3.00 </w:t>
            </w:r>
          </w:p>
        </w:tc>
        <w:tc>
          <w:tcPr>
            <w:tcW w:w="531" w:type="pct"/>
            <w:gridSpan w:val="2"/>
            <w:vAlign w:val="center"/>
          </w:tcPr>
          <w:p w:rsidR="008D3136" w:rsidRPr="001D45E4" w:rsidRDefault="008D3136" w:rsidP="001E64BC">
            <w:pPr>
              <w:jc w:val="center"/>
              <w:rPr>
                <w:rFonts w:ascii="Arial Narrow" w:hAnsi="Arial Narrow"/>
                <w:i/>
                <w:color w:val="000000"/>
                <w:sz w:val="20"/>
                <w:szCs w:val="18"/>
              </w:rPr>
            </w:pPr>
            <w:r w:rsidRPr="001D45E4">
              <w:rPr>
                <w:rFonts w:ascii="Arial Narrow" w:hAnsi="Arial Narrow"/>
                <w:i/>
                <w:color w:val="000000"/>
                <w:sz w:val="20"/>
                <w:szCs w:val="18"/>
              </w:rPr>
              <w:t>9.88</w:t>
            </w:r>
          </w:p>
        </w:tc>
        <w:tc>
          <w:tcPr>
            <w:tcW w:w="1110" w:type="pct"/>
            <w:gridSpan w:val="2"/>
            <w:vAlign w:val="center"/>
          </w:tcPr>
          <w:p w:rsidR="008D3136" w:rsidRPr="001D45E4" w:rsidRDefault="008D3136" w:rsidP="001E64BC">
            <w:pPr>
              <w:jc w:val="center"/>
              <w:rPr>
                <w:rFonts w:ascii="Arial Narrow" w:hAnsi="Arial Narrow"/>
                <w:i/>
                <w:color w:val="000000"/>
                <w:sz w:val="20"/>
                <w:szCs w:val="18"/>
              </w:rPr>
            </w:pPr>
            <w:r w:rsidRPr="001D45E4">
              <w:rPr>
                <w:rFonts w:ascii="Arial Narrow" w:hAnsi="Arial Narrow"/>
                <w:i/>
                <w:color w:val="000000"/>
                <w:sz w:val="20"/>
                <w:szCs w:val="18"/>
              </w:rPr>
              <w:t>2.62 (-0.99, 6.23)</w:t>
            </w:r>
          </w:p>
        </w:tc>
      </w:tr>
      <w:tr w:rsidR="008D3136" w:rsidRPr="00E2771E" w:rsidTr="00DC2C37">
        <w:tc>
          <w:tcPr>
            <w:tcW w:w="737" w:type="pct"/>
            <w:gridSpan w:val="2"/>
            <w:shd w:val="clear" w:color="auto" w:fill="auto"/>
            <w:vAlign w:val="center"/>
          </w:tcPr>
          <w:p w:rsidR="008D3136" w:rsidRDefault="008D3136" w:rsidP="001E64BC">
            <w:pPr>
              <w:rPr>
                <w:rFonts w:ascii="Arial Narrow" w:hAnsi="Arial Narrow"/>
                <w:color w:val="000000"/>
                <w:sz w:val="20"/>
                <w:szCs w:val="18"/>
              </w:rPr>
            </w:pPr>
            <w:r>
              <w:rPr>
                <w:rFonts w:ascii="Arial Narrow" w:hAnsi="Arial Narrow"/>
                <w:color w:val="000000"/>
                <w:sz w:val="20"/>
                <w:szCs w:val="18"/>
              </w:rPr>
              <w:t>ATTRACT, mITT amenable</w:t>
            </w:r>
          </w:p>
        </w:tc>
        <w:tc>
          <w:tcPr>
            <w:tcW w:w="363" w:type="pct"/>
            <w:vAlign w:val="center"/>
          </w:tcPr>
          <w:p w:rsidR="008D3136" w:rsidRDefault="008D3136" w:rsidP="001E64BC">
            <w:pPr>
              <w:jc w:val="center"/>
              <w:rPr>
                <w:rFonts w:ascii="Arial Narrow" w:hAnsi="Arial Narrow"/>
                <w:color w:val="000000"/>
                <w:sz w:val="20"/>
                <w:szCs w:val="18"/>
              </w:rPr>
            </w:pPr>
            <w:r>
              <w:rPr>
                <w:rFonts w:ascii="Arial Narrow" w:hAnsi="Arial Narrow"/>
                <w:color w:val="000000"/>
                <w:sz w:val="20"/>
                <w:szCs w:val="18"/>
              </w:rPr>
              <w:t>34</w:t>
            </w:r>
          </w:p>
        </w:tc>
        <w:tc>
          <w:tcPr>
            <w:tcW w:w="583" w:type="pct"/>
            <w:gridSpan w:val="3"/>
            <w:vAlign w:val="center"/>
          </w:tcPr>
          <w:p w:rsidR="008D3136" w:rsidRPr="001D45E4" w:rsidRDefault="008D3136" w:rsidP="001E64BC">
            <w:pPr>
              <w:jc w:val="center"/>
              <w:rPr>
                <w:rFonts w:ascii="Arial Narrow" w:hAnsi="Arial Narrow"/>
                <w:i/>
                <w:color w:val="000000"/>
                <w:sz w:val="20"/>
                <w:szCs w:val="18"/>
              </w:rPr>
            </w:pPr>
            <w:r w:rsidRPr="001D45E4">
              <w:rPr>
                <w:rFonts w:ascii="Arial Narrow" w:hAnsi="Arial Narrow"/>
                <w:i/>
                <w:color w:val="000000"/>
                <w:sz w:val="20"/>
                <w:szCs w:val="18"/>
              </w:rPr>
              <w:t>-0.63</w:t>
            </w:r>
          </w:p>
        </w:tc>
        <w:tc>
          <w:tcPr>
            <w:tcW w:w="593" w:type="pct"/>
            <w:gridSpan w:val="5"/>
            <w:vAlign w:val="center"/>
          </w:tcPr>
          <w:p w:rsidR="008D3136" w:rsidRPr="001D45E4" w:rsidRDefault="008D3136" w:rsidP="001E64BC">
            <w:pPr>
              <w:jc w:val="center"/>
              <w:rPr>
                <w:rFonts w:ascii="Arial Narrow" w:hAnsi="Arial Narrow"/>
                <w:i/>
                <w:color w:val="000000"/>
                <w:sz w:val="20"/>
                <w:szCs w:val="18"/>
              </w:rPr>
            </w:pPr>
            <w:r w:rsidRPr="001D45E4">
              <w:rPr>
                <w:rFonts w:ascii="Arial Narrow" w:hAnsi="Arial Narrow"/>
                <w:i/>
                <w:color w:val="000000"/>
                <w:sz w:val="20"/>
                <w:szCs w:val="18"/>
              </w:rPr>
              <w:t xml:space="preserve"> 4.30</w:t>
            </w:r>
          </w:p>
        </w:tc>
        <w:tc>
          <w:tcPr>
            <w:tcW w:w="498" w:type="pct"/>
            <w:vAlign w:val="center"/>
          </w:tcPr>
          <w:p w:rsidR="008D3136" w:rsidRPr="001D45E4" w:rsidRDefault="008D3136" w:rsidP="001E64BC">
            <w:pPr>
              <w:jc w:val="center"/>
              <w:rPr>
                <w:rFonts w:ascii="Arial Narrow" w:hAnsi="Arial Narrow"/>
                <w:i/>
                <w:color w:val="000000"/>
                <w:sz w:val="20"/>
                <w:szCs w:val="18"/>
              </w:rPr>
            </w:pPr>
            <w:r w:rsidRPr="001D45E4">
              <w:rPr>
                <w:rFonts w:ascii="Arial Narrow" w:hAnsi="Arial Narrow"/>
                <w:i/>
                <w:color w:val="000000"/>
                <w:sz w:val="20"/>
                <w:szCs w:val="18"/>
              </w:rPr>
              <w:t>18</w:t>
            </w:r>
          </w:p>
        </w:tc>
        <w:tc>
          <w:tcPr>
            <w:tcW w:w="586" w:type="pct"/>
            <w:gridSpan w:val="2"/>
            <w:vAlign w:val="center"/>
          </w:tcPr>
          <w:p w:rsidR="008D3136" w:rsidRPr="001D45E4" w:rsidRDefault="008D3136" w:rsidP="001E64BC">
            <w:pPr>
              <w:jc w:val="center"/>
              <w:rPr>
                <w:rFonts w:ascii="Arial Narrow" w:hAnsi="Arial Narrow"/>
                <w:i/>
                <w:color w:val="000000"/>
                <w:sz w:val="20"/>
                <w:szCs w:val="18"/>
              </w:rPr>
            </w:pPr>
            <w:r w:rsidRPr="001D45E4">
              <w:rPr>
                <w:rFonts w:ascii="Arial Narrow" w:hAnsi="Arial Narrow"/>
                <w:i/>
                <w:color w:val="000000"/>
                <w:sz w:val="20"/>
                <w:szCs w:val="18"/>
              </w:rPr>
              <w:t xml:space="preserve">-1.50 </w:t>
            </w:r>
          </w:p>
        </w:tc>
        <w:tc>
          <w:tcPr>
            <w:tcW w:w="531" w:type="pct"/>
            <w:gridSpan w:val="2"/>
            <w:vAlign w:val="center"/>
          </w:tcPr>
          <w:p w:rsidR="008D3136" w:rsidRPr="001D45E4" w:rsidRDefault="008D3136" w:rsidP="001E64BC">
            <w:pPr>
              <w:jc w:val="center"/>
              <w:rPr>
                <w:rFonts w:ascii="Arial Narrow" w:hAnsi="Arial Narrow"/>
                <w:i/>
                <w:color w:val="000000"/>
                <w:sz w:val="20"/>
                <w:szCs w:val="18"/>
              </w:rPr>
            </w:pPr>
            <w:r w:rsidRPr="001D45E4">
              <w:rPr>
                <w:rFonts w:ascii="Arial Narrow" w:hAnsi="Arial Narrow"/>
                <w:i/>
                <w:color w:val="000000"/>
                <w:sz w:val="20"/>
                <w:szCs w:val="18"/>
              </w:rPr>
              <w:t>7.43</w:t>
            </w:r>
          </w:p>
        </w:tc>
        <w:tc>
          <w:tcPr>
            <w:tcW w:w="1110" w:type="pct"/>
            <w:gridSpan w:val="2"/>
            <w:vAlign w:val="center"/>
          </w:tcPr>
          <w:p w:rsidR="008D3136" w:rsidRPr="001D45E4" w:rsidRDefault="008D3136" w:rsidP="001E64BC">
            <w:pPr>
              <w:jc w:val="center"/>
              <w:rPr>
                <w:rFonts w:ascii="Arial Narrow" w:hAnsi="Arial Narrow"/>
                <w:i/>
                <w:color w:val="000000"/>
                <w:sz w:val="20"/>
                <w:szCs w:val="18"/>
              </w:rPr>
            </w:pPr>
            <w:r w:rsidRPr="001D45E4">
              <w:rPr>
                <w:rFonts w:ascii="Arial Narrow" w:hAnsi="Arial Narrow"/>
                <w:color w:val="000000"/>
                <w:sz w:val="20"/>
                <w:szCs w:val="18"/>
              </w:rPr>
              <w:t>0.63</w:t>
            </w:r>
            <w:r w:rsidRPr="001D45E4">
              <w:rPr>
                <w:rFonts w:ascii="Arial Narrow" w:hAnsi="Arial Narrow"/>
                <w:i/>
                <w:color w:val="000000"/>
                <w:sz w:val="20"/>
                <w:szCs w:val="18"/>
              </w:rPr>
              <w:t xml:space="preserve"> (-2.49, 3.75)</w:t>
            </w:r>
          </w:p>
        </w:tc>
      </w:tr>
      <w:tr w:rsidR="008D3136" w:rsidRPr="00E2771E" w:rsidTr="00DC2C37">
        <w:tc>
          <w:tcPr>
            <w:tcW w:w="737" w:type="pct"/>
            <w:gridSpan w:val="2"/>
            <w:shd w:val="clear" w:color="auto" w:fill="auto"/>
            <w:vAlign w:val="center"/>
          </w:tcPr>
          <w:p w:rsidR="008D3136" w:rsidRDefault="008D3136" w:rsidP="001E64BC">
            <w:pPr>
              <w:rPr>
                <w:rFonts w:ascii="Arial Narrow" w:hAnsi="Arial Narrow"/>
                <w:color w:val="000000"/>
                <w:sz w:val="20"/>
                <w:szCs w:val="18"/>
              </w:rPr>
            </w:pPr>
            <w:r>
              <w:rPr>
                <w:rFonts w:ascii="Arial Narrow" w:hAnsi="Arial Narrow"/>
                <w:color w:val="000000"/>
                <w:sz w:val="20"/>
                <w:szCs w:val="18"/>
              </w:rPr>
              <w:t>FACETS</w:t>
            </w:r>
          </w:p>
        </w:tc>
        <w:tc>
          <w:tcPr>
            <w:tcW w:w="363" w:type="pct"/>
            <w:vAlign w:val="center"/>
          </w:tcPr>
          <w:p w:rsidR="008D3136" w:rsidRDefault="008D3136" w:rsidP="001E64BC">
            <w:pPr>
              <w:jc w:val="center"/>
              <w:rPr>
                <w:rFonts w:ascii="Arial Narrow" w:hAnsi="Arial Narrow"/>
                <w:color w:val="000000"/>
                <w:sz w:val="20"/>
                <w:szCs w:val="18"/>
              </w:rPr>
            </w:pPr>
            <w:r>
              <w:rPr>
                <w:rFonts w:ascii="Arial Narrow" w:hAnsi="Arial Narrow"/>
                <w:color w:val="000000"/>
                <w:sz w:val="20"/>
                <w:szCs w:val="18"/>
              </w:rPr>
              <w:t>34</w:t>
            </w:r>
          </w:p>
        </w:tc>
        <w:tc>
          <w:tcPr>
            <w:tcW w:w="583" w:type="pct"/>
            <w:gridSpan w:val="3"/>
            <w:vAlign w:val="center"/>
          </w:tcPr>
          <w:p w:rsidR="008D3136" w:rsidRPr="001D45E4" w:rsidRDefault="008D3136" w:rsidP="001E64BC">
            <w:pPr>
              <w:jc w:val="center"/>
              <w:rPr>
                <w:rFonts w:ascii="Arial Narrow" w:hAnsi="Arial Narrow"/>
                <w:i/>
                <w:color w:val="000000"/>
                <w:sz w:val="20"/>
                <w:szCs w:val="18"/>
              </w:rPr>
            </w:pPr>
            <w:r w:rsidRPr="001D45E4">
              <w:rPr>
                <w:rFonts w:ascii="Arial Narrow" w:hAnsi="Arial Narrow"/>
                <w:i/>
                <w:color w:val="000000"/>
                <w:sz w:val="20"/>
                <w:szCs w:val="18"/>
              </w:rPr>
              <w:t>2.3</w:t>
            </w:r>
          </w:p>
        </w:tc>
        <w:tc>
          <w:tcPr>
            <w:tcW w:w="593" w:type="pct"/>
            <w:gridSpan w:val="5"/>
            <w:vAlign w:val="center"/>
          </w:tcPr>
          <w:p w:rsidR="008D3136" w:rsidRPr="001D45E4" w:rsidRDefault="008D3136" w:rsidP="001E64BC">
            <w:pPr>
              <w:jc w:val="center"/>
              <w:rPr>
                <w:rFonts w:ascii="Arial Narrow" w:hAnsi="Arial Narrow"/>
                <w:i/>
                <w:color w:val="000000"/>
                <w:sz w:val="20"/>
                <w:szCs w:val="18"/>
              </w:rPr>
            </w:pPr>
            <w:r w:rsidRPr="001D45E4">
              <w:rPr>
                <w:rFonts w:ascii="Arial Narrow" w:hAnsi="Arial Narrow"/>
                <w:i/>
                <w:color w:val="000000"/>
                <w:sz w:val="20"/>
                <w:szCs w:val="18"/>
              </w:rPr>
              <w:t>17.30</w:t>
            </w:r>
          </w:p>
        </w:tc>
        <w:tc>
          <w:tcPr>
            <w:tcW w:w="498" w:type="pct"/>
            <w:vAlign w:val="center"/>
          </w:tcPr>
          <w:p w:rsidR="008D3136" w:rsidRPr="001D45E4" w:rsidRDefault="008D3136" w:rsidP="001E64BC">
            <w:pPr>
              <w:jc w:val="center"/>
              <w:rPr>
                <w:rFonts w:ascii="Arial Narrow" w:hAnsi="Arial Narrow"/>
                <w:i/>
                <w:color w:val="000000"/>
                <w:sz w:val="20"/>
                <w:szCs w:val="18"/>
              </w:rPr>
            </w:pPr>
            <w:r w:rsidRPr="001D45E4">
              <w:rPr>
                <w:rFonts w:ascii="Arial Narrow" w:hAnsi="Arial Narrow"/>
                <w:i/>
                <w:color w:val="000000"/>
                <w:sz w:val="20"/>
                <w:szCs w:val="18"/>
              </w:rPr>
              <w:t>30</w:t>
            </w:r>
          </w:p>
        </w:tc>
        <w:tc>
          <w:tcPr>
            <w:tcW w:w="586" w:type="pct"/>
            <w:gridSpan w:val="2"/>
            <w:vAlign w:val="center"/>
          </w:tcPr>
          <w:p w:rsidR="008D3136" w:rsidRPr="001D45E4" w:rsidRDefault="008D3136" w:rsidP="001E64BC">
            <w:pPr>
              <w:jc w:val="center"/>
              <w:rPr>
                <w:rFonts w:ascii="Arial Narrow" w:hAnsi="Arial Narrow"/>
                <w:i/>
                <w:color w:val="000000"/>
                <w:sz w:val="20"/>
                <w:szCs w:val="18"/>
              </w:rPr>
            </w:pPr>
            <w:r w:rsidRPr="001D45E4">
              <w:rPr>
                <w:rFonts w:ascii="Arial Narrow" w:hAnsi="Arial Narrow"/>
                <w:i/>
                <w:color w:val="000000"/>
                <w:sz w:val="20"/>
                <w:szCs w:val="18"/>
              </w:rPr>
              <w:t>-1.2</w:t>
            </w:r>
          </w:p>
        </w:tc>
        <w:tc>
          <w:tcPr>
            <w:tcW w:w="531" w:type="pct"/>
            <w:gridSpan w:val="2"/>
            <w:vAlign w:val="center"/>
          </w:tcPr>
          <w:p w:rsidR="008D3136" w:rsidRPr="001D45E4" w:rsidRDefault="008D3136" w:rsidP="001E64BC">
            <w:pPr>
              <w:jc w:val="center"/>
              <w:rPr>
                <w:rFonts w:ascii="Arial Narrow" w:hAnsi="Arial Narrow"/>
                <w:i/>
                <w:color w:val="000000"/>
                <w:sz w:val="20"/>
                <w:szCs w:val="18"/>
              </w:rPr>
            </w:pPr>
            <w:r w:rsidRPr="001D45E4">
              <w:rPr>
                <w:rFonts w:ascii="Arial Narrow" w:hAnsi="Arial Narrow"/>
                <w:i/>
                <w:color w:val="000000"/>
                <w:sz w:val="20"/>
                <w:szCs w:val="18"/>
              </w:rPr>
              <w:t>14.37</w:t>
            </w:r>
          </w:p>
        </w:tc>
        <w:tc>
          <w:tcPr>
            <w:tcW w:w="1110" w:type="pct"/>
            <w:gridSpan w:val="2"/>
            <w:vAlign w:val="center"/>
          </w:tcPr>
          <w:p w:rsidR="008D3136" w:rsidRPr="00F31573" w:rsidRDefault="008D3136" w:rsidP="001E64BC">
            <w:pPr>
              <w:jc w:val="center"/>
              <w:rPr>
                <w:rFonts w:ascii="Arial Narrow" w:hAnsi="Arial Narrow"/>
                <w:i/>
                <w:color w:val="000000"/>
                <w:sz w:val="20"/>
                <w:szCs w:val="18"/>
              </w:rPr>
            </w:pPr>
            <w:r w:rsidRPr="00F31573">
              <w:rPr>
                <w:rFonts w:ascii="Arial Narrow" w:hAnsi="Arial Narrow"/>
                <w:i/>
                <w:color w:val="000000"/>
                <w:sz w:val="20"/>
                <w:szCs w:val="18"/>
              </w:rPr>
              <w:t>3.50 (-4.26, 11.26)</w:t>
            </w:r>
          </w:p>
        </w:tc>
      </w:tr>
      <w:tr w:rsidR="008D3136" w:rsidRPr="00E2771E" w:rsidTr="00DC2C37">
        <w:tc>
          <w:tcPr>
            <w:tcW w:w="737" w:type="pct"/>
            <w:gridSpan w:val="2"/>
            <w:tcBorders>
              <w:bottom w:val="double" w:sz="4" w:space="0" w:color="auto"/>
            </w:tcBorders>
            <w:shd w:val="clear" w:color="auto" w:fill="auto"/>
            <w:vAlign w:val="center"/>
          </w:tcPr>
          <w:p w:rsidR="008D3136" w:rsidRPr="00E2771E" w:rsidRDefault="008D3136" w:rsidP="001E64BC">
            <w:pPr>
              <w:rPr>
                <w:rFonts w:ascii="Arial Narrow" w:hAnsi="Arial Narrow"/>
                <w:color w:val="000000"/>
                <w:sz w:val="20"/>
                <w:szCs w:val="18"/>
              </w:rPr>
            </w:pPr>
            <w:r>
              <w:rPr>
                <w:rFonts w:ascii="Arial Narrow" w:hAnsi="Arial Narrow"/>
                <w:color w:val="000000"/>
                <w:sz w:val="20"/>
                <w:szCs w:val="18"/>
              </w:rPr>
              <w:t xml:space="preserve">FACETS </w:t>
            </w:r>
            <w:r>
              <w:rPr>
                <w:rFonts w:ascii="Arial Narrow" w:hAnsi="Arial Narrow"/>
                <w:color w:val="000000"/>
                <w:sz w:val="20"/>
                <w:szCs w:val="18"/>
              </w:rPr>
              <w:br/>
              <w:t>mITT amenable</w:t>
            </w:r>
          </w:p>
        </w:tc>
        <w:tc>
          <w:tcPr>
            <w:tcW w:w="363" w:type="pct"/>
            <w:tcBorders>
              <w:bottom w:val="double" w:sz="4" w:space="0" w:color="auto"/>
            </w:tcBorders>
            <w:vAlign w:val="center"/>
          </w:tcPr>
          <w:p w:rsidR="008D3136" w:rsidRPr="00B62D3C" w:rsidRDefault="008D3136" w:rsidP="001E64BC">
            <w:pPr>
              <w:jc w:val="center"/>
              <w:rPr>
                <w:rFonts w:ascii="Arial Narrow" w:hAnsi="Arial Narrow"/>
                <w:i/>
                <w:color w:val="000000"/>
                <w:sz w:val="20"/>
                <w:szCs w:val="18"/>
              </w:rPr>
            </w:pPr>
            <w:r w:rsidRPr="00B62D3C">
              <w:rPr>
                <w:rFonts w:ascii="Arial Narrow" w:hAnsi="Arial Narrow"/>
                <w:i/>
                <w:color w:val="000000"/>
                <w:sz w:val="20"/>
                <w:szCs w:val="18"/>
              </w:rPr>
              <w:t>28</w:t>
            </w:r>
          </w:p>
        </w:tc>
        <w:tc>
          <w:tcPr>
            <w:tcW w:w="583" w:type="pct"/>
            <w:gridSpan w:val="3"/>
            <w:tcBorders>
              <w:bottom w:val="double" w:sz="4" w:space="0" w:color="auto"/>
            </w:tcBorders>
            <w:vAlign w:val="center"/>
          </w:tcPr>
          <w:p w:rsidR="008D3136" w:rsidRPr="00B62D3C" w:rsidRDefault="008D3136" w:rsidP="001E64BC">
            <w:pPr>
              <w:jc w:val="center"/>
              <w:rPr>
                <w:rFonts w:ascii="Arial Narrow" w:hAnsi="Arial Narrow"/>
                <w:i/>
                <w:color w:val="000000"/>
                <w:sz w:val="20"/>
                <w:szCs w:val="18"/>
              </w:rPr>
            </w:pPr>
            <w:r>
              <w:rPr>
                <w:rFonts w:ascii="Arial Narrow" w:hAnsi="Arial Narrow"/>
                <w:i/>
                <w:color w:val="000000"/>
                <w:sz w:val="20"/>
                <w:szCs w:val="18"/>
              </w:rPr>
              <w:t>0.3</w:t>
            </w:r>
          </w:p>
        </w:tc>
        <w:tc>
          <w:tcPr>
            <w:tcW w:w="593" w:type="pct"/>
            <w:gridSpan w:val="5"/>
            <w:tcBorders>
              <w:bottom w:val="double" w:sz="4" w:space="0" w:color="auto"/>
            </w:tcBorders>
            <w:vAlign w:val="center"/>
          </w:tcPr>
          <w:p w:rsidR="008D3136" w:rsidRPr="00B62D3C" w:rsidRDefault="008D3136" w:rsidP="001E64BC">
            <w:pPr>
              <w:jc w:val="center"/>
              <w:rPr>
                <w:rFonts w:ascii="Arial Narrow" w:hAnsi="Arial Narrow"/>
                <w:i/>
                <w:color w:val="000000"/>
                <w:sz w:val="20"/>
                <w:szCs w:val="18"/>
              </w:rPr>
            </w:pPr>
            <w:r>
              <w:rPr>
                <w:rFonts w:ascii="Arial Narrow" w:hAnsi="Arial Narrow"/>
                <w:i/>
                <w:color w:val="000000"/>
                <w:sz w:val="20"/>
                <w:szCs w:val="18"/>
              </w:rPr>
              <w:t>17.05</w:t>
            </w:r>
          </w:p>
        </w:tc>
        <w:tc>
          <w:tcPr>
            <w:tcW w:w="498" w:type="pct"/>
            <w:tcBorders>
              <w:bottom w:val="double" w:sz="4" w:space="0" w:color="auto"/>
            </w:tcBorders>
            <w:vAlign w:val="center"/>
          </w:tcPr>
          <w:p w:rsidR="008D3136" w:rsidRPr="00B62D3C" w:rsidRDefault="008D3136" w:rsidP="001E64BC">
            <w:pPr>
              <w:jc w:val="center"/>
              <w:rPr>
                <w:rFonts w:ascii="Arial Narrow" w:hAnsi="Arial Narrow"/>
                <w:i/>
                <w:color w:val="000000"/>
                <w:sz w:val="20"/>
                <w:szCs w:val="18"/>
              </w:rPr>
            </w:pPr>
            <w:r>
              <w:rPr>
                <w:rFonts w:ascii="Arial Narrow" w:hAnsi="Arial Narrow"/>
                <w:i/>
                <w:color w:val="000000"/>
                <w:sz w:val="20"/>
                <w:szCs w:val="18"/>
              </w:rPr>
              <w:t>20</w:t>
            </w:r>
          </w:p>
        </w:tc>
        <w:tc>
          <w:tcPr>
            <w:tcW w:w="586" w:type="pct"/>
            <w:gridSpan w:val="2"/>
            <w:tcBorders>
              <w:bottom w:val="double" w:sz="4" w:space="0" w:color="auto"/>
            </w:tcBorders>
            <w:vAlign w:val="center"/>
          </w:tcPr>
          <w:p w:rsidR="008D3136" w:rsidRPr="00B62D3C" w:rsidRDefault="008D3136" w:rsidP="001E64BC">
            <w:pPr>
              <w:jc w:val="center"/>
              <w:rPr>
                <w:rFonts w:ascii="Arial Narrow" w:hAnsi="Arial Narrow"/>
                <w:i/>
                <w:color w:val="000000"/>
                <w:sz w:val="20"/>
                <w:szCs w:val="18"/>
              </w:rPr>
            </w:pPr>
            <w:r>
              <w:rPr>
                <w:rFonts w:ascii="Arial Narrow" w:hAnsi="Arial Narrow"/>
                <w:i/>
                <w:color w:val="000000"/>
                <w:sz w:val="20"/>
                <w:szCs w:val="18"/>
              </w:rPr>
              <w:t>2.0</w:t>
            </w:r>
          </w:p>
        </w:tc>
        <w:tc>
          <w:tcPr>
            <w:tcW w:w="531" w:type="pct"/>
            <w:gridSpan w:val="2"/>
            <w:tcBorders>
              <w:bottom w:val="double" w:sz="4" w:space="0" w:color="auto"/>
            </w:tcBorders>
            <w:vAlign w:val="center"/>
          </w:tcPr>
          <w:p w:rsidR="008D3136" w:rsidRPr="00B62D3C" w:rsidRDefault="008D3136" w:rsidP="001E64BC">
            <w:pPr>
              <w:jc w:val="center"/>
              <w:rPr>
                <w:rFonts w:ascii="Arial Narrow" w:hAnsi="Arial Narrow"/>
                <w:i/>
                <w:color w:val="000000"/>
                <w:sz w:val="20"/>
                <w:szCs w:val="18"/>
              </w:rPr>
            </w:pPr>
            <w:r>
              <w:rPr>
                <w:rFonts w:ascii="Arial Narrow" w:hAnsi="Arial Narrow"/>
                <w:i/>
                <w:color w:val="000000"/>
                <w:sz w:val="20"/>
                <w:szCs w:val="18"/>
              </w:rPr>
              <w:t>15.36</w:t>
            </w:r>
          </w:p>
        </w:tc>
        <w:tc>
          <w:tcPr>
            <w:tcW w:w="1110" w:type="pct"/>
            <w:gridSpan w:val="2"/>
            <w:tcBorders>
              <w:bottom w:val="double" w:sz="4" w:space="0" w:color="auto"/>
            </w:tcBorders>
            <w:vAlign w:val="center"/>
          </w:tcPr>
          <w:p w:rsidR="008D3136" w:rsidRPr="00F31573" w:rsidRDefault="008D3136" w:rsidP="001E64BC">
            <w:pPr>
              <w:jc w:val="center"/>
              <w:rPr>
                <w:rFonts w:ascii="Arial Narrow" w:hAnsi="Arial Narrow"/>
                <w:i/>
                <w:color w:val="000000"/>
                <w:sz w:val="20"/>
                <w:szCs w:val="18"/>
              </w:rPr>
            </w:pPr>
            <w:r w:rsidRPr="00F31573">
              <w:rPr>
                <w:rFonts w:ascii="Arial Narrow" w:hAnsi="Arial Narrow"/>
                <w:i/>
                <w:color w:val="000000"/>
                <w:sz w:val="20"/>
                <w:szCs w:val="18"/>
              </w:rPr>
              <w:t>-1.70 (-10.93, 7.53)</w:t>
            </w:r>
          </w:p>
        </w:tc>
      </w:tr>
      <w:tr w:rsidR="008D3136" w:rsidRPr="00E2771E" w:rsidTr="001E64BC">
        <w:tc>
          <w:tcPr>
            <w:tcW w:w="5000" w:type="pct"/>
            <w:gridSpan w:val="18"/>
            <w:tcBorders>
              <w:top w:val="double" w:sz="4" w:space="0" w:color="auto"/>
            </w:tcBorders>
            <w:shd w:val="clear" w:color="auto" w:fill="auto"/>
            <w:vAlign w:val="center"/>
          </w:tcPr>
          <w:p w:rsidR="008D3136" w:rsidRPr="00E2771E" w:rsidRDefault="008D3136" w:rsidP="001E64BC">
            <w:pPr>
              <w:rPr>
                <w:rFonts w:ascii="Arial Narrow" w:hAnsi="Arial Narrow"/>
                <w:b/>
                <w:color w:val="000000"/>
                <w:sz w:val="20"/>
                <w:szCs w:val="18"/>
              </w:rPr>
            </w:pPr>
            <w:r w:rsidRPr="00E2771E">
              <w:rPr>
                <w:rFonts w:ascii="Arial Narrow" w:hAnsi="Arial Narrow"/>
                <w:b/>
                <w:color w:val="000000"/>
                <w:sz w:val="20"/>
                <w:szCs w:val="18"/>
              </w:rPr>
              <w:t>Harm</w:t>
            </w:r>
            <w:r>
              <w:rPr>
                <w:rFonts w:ascii="Arial Narrow" w:hAnsi="Arial Narrow"/>
                <w:b/>
                <w:color w:val="000000"/>
                <w:sz w:val="20"/>
                <w:szCs w:val="18"/>
              </w:rPr>
              <w:t>s</w:t>
            </w:r>
          </w:p>
        </w:tc>
      </w:tr>
      <w:tr w:rsidR="008D3136" w:rsidRPr="00E2771E" w:rsidTr="00DC2C37">
        <w:trPr>
          <w:trHeight w:val="70"/>
        </w:trPr>
        <w:tc>
          <w:tcPr>
            <w:tcW w:w="737" w:type="pct"/>
            <w:gridSpan w:val="2"/>
            <w:vMerge w:val="restart"/>
            <w:shd w:val="clear" w:color="auto" w:fill="auto"/>
            <w:vAlign w:val="center"/>
          </w:tcPr>
          <w:p w:rsidR="008D3136" w:rsidRPr="00E2771E" w:rsidRDefault="008D3136" w:rsidP="001E64BC">
            <w:pPr>
              <w:rPr>
                <w:rFonts w:ascii="Arial Narrow" w:hAnsi="Arial Narrow"/>
                <w:b/>
                <w:color w:val="000000"/>
                <w:sz w:val="20"/>
                <w:szCs w:val="18"/>
              </w:rPr>
            </w:pPr>
          </w:p>
        </w:tc>
        <w:tc>
          <w:tcPr>
            <w:tcW w:w="627" w:type="pct"/>
            <w:gridSpan w:val="2"/>
            <w:vMerge w:val="restart"/>
            <w:vAlign w:val="center"/>
          </w:tcPr>
          <w:p w:rsidR="008D3136" w:rsidRPr="00E2771E" w:rsidRDefault="008D3136" w:rsidP="001E64BC">
            <w:pPr>
              <w:jc w:val="center"/>
              <w:rPr>
                <w:rFonts w:ascii="Arial Narrow" w:hAnsi="Arial Narrow"/>
                <w:b/>
                <w:color w:val="000000"/>
                <w:sz w:val="20"/>
                <w:szCs w:val="18"/>
              </w:rPr>
            </w:pPr>
            <w:r>
              <w:rPr>
                <w:rFonts w:ascii="Arial Narrow" w:hAnsi="Arial Narrow"/>
                <w:b/>
                <w:color w:val="000000"/>
                <w:sz w:val="20"/>
                <w:szCs w:val="18"/>
              </w:rPr>
              <w:t>Migalastat</w:t>
            </w:r>
          </w:p>
        </w:tc>
        <w:tc>
          <w:tcPr>
            <w:tcW w:w="411" w:type="pct"/>
            <w:gridSpan w:val="5"/>
            <w:vMerge w:val="restart"/>
            <w:vAlign w:val="center"/>
          </w:tcPr>
          <w:p w:rsidR="008D3136" w:rsidRPr="00E2771E" w:rsidRDefault="008D3136" w:rsidP="001E64BC">
            <w:pPr>
              <w:jc w:val="center"/>
              <w:rPr>
                <w:rFonts w:ascii="Arial Narrow" w:hAnsi="Arial Narrow"/>
                <w:b/>
                <w:color w:val="000000"/>
                <w:sz w:val="20"/>
                <w:szCs w:val="18"/>
              </w:rPr>
            </w:pPr>
            <w:r>
              <w:rPr>
                <w:rFonts w:ascii="Arial Narrow" w:hAnsi="Arial Narrow"/>
                <w:b/>
                <w:color w:val="000000"/>
                <w:sz w:val="20"/>
                <w:szCs w:val="18"/>
              </w:rPr>
              <w:t>ERT</w:t>
            </w:r>
          </w:p>
        </w:tc>
        <w:tc>
          <w:tcPr>
            <w:tcW w:w="351" w:type="pct"/>
            <w:vMerge w:val="restart"/>
            <w:vAlign w:val="center"/>
          </w:tcPr>
          <w:p w:rsidR="008D3136" w:rsidRPr="00E2771E" w:rsidRDefault="008D3136" w:rsidP="001E64BC">
            <w:pPr>
              <w:jc w:val="center"/>
              <w:rPr>
                <w:rFonts w:ascii="Arial Narrow" w:hAnsi="Arial Narrow"/>
                <w:b/>
                <w:color w:val="000000"/>
                <w:sz w:val="20"/>
                <w:szCs w:val="18"/>
              </w:rPr>
            </w:pPr>
            <w:r>
              <w:rPr>
                <w:rFonts w:ascii="Arial Narrow" w:hAnsi="Arial Narrow"/>
                <w:b/>
                <w:color w:val="000000"/>
                <w:sz w:val="20"/>
                <w:szCs w:val="18"/>
              </w:rPr>
              <w:t>PBO</w:t>
            </w:r>
          </w:p>
        </w:tc>
        <w:tc>
          <w:tcPr>
            <w:tcW w:w="726" w:type="pct"/>
            <w:gridSpan w:val="3"/>
            <w:vMerge w:val="restart"/>
            <w:vAlign w:val="center"/>
          </w:tcPr>
          <w:p w:rsidR="008D3136" w:rsidRPr="00E2771E" w:rsidRDefault="008D3136" w:rsidP="001E64BC">
            <w:pPr>
              <w:jc w:val="center"/>
              <w:rPr>
                <w:rFonts w:ascii="Arial Narrow" w:hAnsi="Arial Narrow"/>
                <w:b/>
                <w:color w:val="000000"/>
                <w:sz w:val="20"/>
                <w:szCs w:val="18"/>
              </w:rPr>
            </w:pPr>
            <w:r w:rsidRPr="00E2771E">
              <w:rPr>
                <w:rFonts w:ascii="Arial Narrow" w:hAnsi="Arial Narrow"/>
                <w:b/>
                <w:color w:val="000000"/>
                <w:sz w:val="20"/>
                <w:szCs w:val="18"/>
              </w:rPr>
              <w:t>RR</w:t>
            </w:r>
          </w:p>
          <w:p w:rsidR="008D3136" w:rsidRPr="00E2771E" w:rsidRDefault="008D3136" w:rsidP="001E64BC">
            <w:pPr>
              <w:jc w:val="center"/>
              <w:rPr>
                <w:rFonts w:ascii="Arial Narrow" w:hAnsi="Arial Narrow"/>
                <w:b/>
                <w:color w:val="000000"/>
                <w:sz w:val="20"/>
                <w:szCs w:val="18"/>
              </w:rPr>
            </w:pPr>
            <w:r w:rsidRPr="00E2771E">
              <w:rPr>
                <w:rFonts w:ascii="Arial Narrow" w:hAnsi="Arial Narrow"/>
                <w:b/>
                <w:color w:val="000000"/>
                <w:sz w:val="20"/>
                <w:szCs w:val="18"/>
              </w:rPr>
              <w:t>(95% CI)</w:t>
            </w:r>
          </w:p>
        </w:tc>
        <w:tc>
          <w:tcPr>
            <w:tcW w:w="1390" w:type="pct"/>
            <w:gridSpan w:val="4"/>
            <w:vAlign w:val="center"/>
          </w:tcPr>
          <w:p w:rsidR="008D3136" w:rsidRPr="00E2771E" w:rsidRDefault="008D3136" w:rsidP="001E64BC">
            <w:pPr>
              <w:jc w:val="center"/>
              <w:rPr>
                <w:rFonts w:ascii="Arial Narrow" w:hAnsi="Arial Narrow"/>
                <w:b/>
                <w:color w:val="000000"/>
                <w:sz w:val="20"/>
                <w:szCs w:val="18"/>
              </w:rPr>
            </w:pPr>
            <w:r w:rsidRPr="00E2771E">
              <w:rPr>
                <w:rFonts w:ascii="Arial Narrow" w:hAnsi="Arial Narrow"/>
                <w:b/>
                <w:color w:val="000000"/>
                <w:sz w:val="20"/>
                <w:szCs w:val="18"/>
              </w:rPr>
              <w:t xml:space="preserve">Event rate/100 patients* </w:t>
            </w:r>
          </w:p>
        </w:tc>
        <w:tc>
          <w:tcPr>
            <w:tcW w:w="759" w:type="pct"/>
            <w:vMerge w:val="restart"/>
            <w:vAlign w:val="center"/>
          </w:tcPr>
          <w:p w:rsidR="008D3136" w:rsidRPr="00E2771E" w:rsidRDefault="008D3136" w:rsidP="001E64BC">
            <w:pPr>
              <w:jc w:val="center"/>
              <w:rPr>
                <w:rFonts w:ascii="Arial Narrow" w:hAnsi="Arial Narrow"/>
                <w:b/>
                <w:color w:val="000000"/>
                <w:sz w:val="20"/>
                <w:szCs w:val="18"/>
              </w:rPr>
            </w:pPr>
            <w:r w:rsidRPr="00E2771E">
              <w:rPr>
                <w:rFonts w:ascii="Arial Narrow" w:hAnsi="Arial Narrow"/>
                <w:b/>
                <w:color w:val="000000"/>
                <w:sz w:val="20"/>
                <w:szCs w:val="18"/>
              </w:rPr>
              <w:t>RD</w:t>
            </w:r>
          </w:p>
          <w:p w:rsidR="008D3136" w:rsidRPr="00E2771E" w:rsidRDefault="008D3136" w:rsidP="001E64BC">
            <w:pPr>
              <w:jc w:val="center"/>
              <w:rPr>
                <w:rFonts w:ascii="Arial Narrow" w:hAnsi="Arial Narrow"/>
                <w:b/>
                <w:color w:val="000000"/>
                <w:sz w:val="20"/>
                <w:szCs w:val="18"/>
              </w:rPr>
            </w:pPr>
            <w:r w:rsidRPr="00E2771E">
              <w:rPr>
                <w:rFonts w:ascii="Arial Narrow" w:hAnsi="Arial Narrow"/>
                <w:b/>
                <w:color w:val="000000"/>
                <w:sz w:val="20"/>
                <w:szCs w:val="18"/>
              </w:rPr>
              <w:t>(95% CI)</w:t>
            </w:r>
          </w:p>
        </w:tc>
      </w:tr>
      <w:tr w:rsidR="008D3136" w:rsidRPr="00E2771E" w:rsidTr="00DC2C37">
        <w:trPr>
          <w:trHeight w:val="390"/>
        </w:trPr>
        <w:tc>
          <w:tcPr>
            <w:tcW w:w="737" w:type="pct"/>
            <w:gridSpan w:val="2"/>
            <w:vMerge/>
            <w:shd w:val="clear" w:color="auto" w:fill="auto"/>
            <w:vAlign w:val="center"/>
          </w:tcPr>
          <w:p w:rsidR="008D3136" w:rsidRPr="00E2771E" w:rsidRDefault="008D3136" w:rsidP="001E64BC">
            <w:pPr>
              <w:rPr>
                <w:rFonts w:ascii="Arial Narrow" w:hAnsi="Arial Narrow"/>
                <w:b/>
                <w:color w:val="000000"/>
                <w:sz w:val="20"/>
                <w:szCs w:val="18"/>
              </w:rPr>
            </w:pPr>
          </w:p>
        </w:tc>
        <w:tc>
          <w:tcPr>
            <w:tcW w:w="627" w:type="pct"/>
            <w:gridSpan w:val="2"/>
            <w:vMerge/>
            <w:vAlign w:val="center"/>
          </w:tcPr>
          <w:p w:rsidR="008D3136" w:rsidRPr="00E2771E" w:rsidRDefault="008D3136" w:rsidP="001E64BC">
            <w:pPr>
              <w:jc w:val="center"/>
              <w:rPr>
                <w:rFonts w:ascii="Arial Narrow" w:hAnsi="Arial Narrow"/>
                <w:b/>
                <w:color w:val="000000"/>
                <w:sz w:val="20"/>
                <w:szCs w:val="18"/>
              </w:rPr>
            </w:pPr>
          </w:p>
        </w:tc>
        <w:tc>
          <w:tcPr>
            <w:tcW w:w="411" w:type="pct"/>
            <w:gridSpan w:val="5"/>
            <w:vMerge/>
            <w:vAlign w:val="center"/>
          </w:tcPr>
          <w:p w:rsidR="008D3136" w:rsidRPr="00E2771E" w:rsidRDefault="008D3136" w:rsidP="001E64BC">
            <w:pPr>
              <w:jc w:val="center"/>
              <w:rPr>
                <w:rFonts w:ascii="Arial Narrow" w:hAnsi="Arial Narrow"/>
                <w:b/>
                <w:color w:val="000000"/>
                <w:sz w:val="20"/>
                <w:szCs w:val="18"/>
              </w:rPr>
            </w:pPr>
          </w:p>
        </w:tc>
        <w:tc>
          <w:tcPr>
            <w:tcW w:w="351" w:type="pct"/>
            <w:vMerge/>
            <w:vAlign w:val="center"/>
          </w:tcPr>
          <w:p w:rsidR="008D3136" w:rsidRPr="00E2771E" w:rsidRDefault="008D3136" w:rsidP="001E64BC">
            <w:pPr>
              <w:jc w:val="center"/>
              <w:rPr>
                <w:rFonts w:ascii="Arial Narrow" w:hAnsi="Arial Narrow"/>
                <w:b/>
                <w:color w:val="000000"/>
                <w:sz w:val="20"/>
                <w:szCs w:val="18"/>
              </w:rPr>
            </w:pPr>
          </w:p>
        </w:tc>
        <w:tc>
          <w:tcPr>
            <w:tcW w:w="726" w:type="pct"/>
            <w:gridSpan w:val="3"/>
            <w:vMerge/>
            <w:vAlign w:val="center"/>
          </w:tcPr>
          <w:p w:rsidR="008D3136" w:rsidRPr="00E2771E" w:rsidRDefault="008D3136" w:rsidP="001E64BC">
            <w:pPr>
              <w:jc w:val="center"/>
              <w:rPr>
                <w:rFonts w:ascii="Arial Narrow" w:hAnsi="Arial Narrow"/>
                <w:b/>
                <w:color w:val="000000"/>
                <w:sz w:val="20"/>
                <w:szCs w:val="18"/>
              </w:rPr>
            </w:pPr>
          </w:p>
        </w:tc>
        <w:tc>
          <w:tcPr>
            <w:tcW w:w="537" w:type="pct"/>
            <w:gridSpan w:val="2"/>
            <w:vAlign w:val="center"/>
          </w:tcPr>
          <w:p w:rsidR="008D3136" w:rsidRPr="00E2771E" w:rsidRDefault="008D3136" w:rsidP="001E64BC">
            <w:pPr>
              <w:jc w:val="center"/>
              <w:rPr>
                <w:rFonts w:ascii="Arial Narrow" w:hAnsi="Arial Narrow"/>
                <w:b/>
                <w:color w:val="000000"/>
                <w:sz w:val="20"/>
                <w:szCs w:val="18"/>
              </w:rPr>
            </w:pPr>
            <w:r>
              <w:rPr>
                <w:rFonts w:ascii="Arial Narrow" w:hAnsi="Arial Narrow"/>
                <w:b/>
                <w:color w:val="000000"/>
                <w:sz w:val="20"/>
                <w:szCs w:val="18"/>
              </w:rPr>
              <w:t>Migalastat</w:t>
            </w:r>
          </w:p>
        </w:tc>
        <w:tc>
          <w:tcPr>
            <w:tcW w:w="502" w:type="pct"/>
            <w:vAlign w:val="center"/>
          </w:tcPr>
          <w:p w:rsidR="008D3136" w:rsidRPr="00E2771E" w:rsidRDefault="008D3136" w:rsidP="001E64BC">
            <w:pPr>
              <w:jc w:val="center"/>
              <w:rPr>
                <w:rFonts w:ascii="Arial Narrow" w:hAnsi="Arial Narrow"/>
                <w:b/>
                <w:color w:val="000000"/>
                <w:sz w:val="20"/>
                <w:szCs w:val="18"/>
              </w:rPr>
            </w:pPr>
            <w:r>
              <w:rPr>
                <w:rFonts w:ascii="Arial Narrow" w:hAnsi="Arial Narrow"/>
                <w:b/>
                <w:color w:val="000000"/>
                <w:sz w:val="20"/>
                <w:szCs w:val="18"/>
              </w:rPr>
              <w:t>ERT</w:t>
            </w:r>
          </w:p>
        </w:tc>
        <w:tc>
          <w:tcPr>
            <w:tcW w:w="351" w:type="pct"/>
            <w:vAlign w:val="center"/>
          </w:tcPr>
          <w:p w:rsidR="008D3136" w:rsidRPr="00E2771E" w:rsidRDefault="008D3136" w:rsidP="001E64BC">
            <w:pPr>
              <w:jc w:val="center"/>
              <w:rPr>
                <w:rFonts w:ascii="Arial Narrow" w:hAnsi="Arial Narrow"/>
                <w:b/>
                <w:color w:val="000000"/>
                <w:sz w:val="20"/>
                <w:szCs w:val="18"/>
              </w:rPr>
            </w:pPr>
            <w:r>
              <w:rPr>
                <w:rFonts w:ascii="Arial Narrow" w:hAnsi="Arial Narrow"/>
                <w:b/>
                <w:color w:val="000000"/>
                <w:sz w:val="20"/>
                <w:szCs w:val="18"/>
              </w:rPr>
              <w:t>PBO</w:t>
            </w:r>
          </w:p>
        </w:tc>
        <w:tc>
          <w:tcPr>
            <w:tcW w:w="759" w:type="pct"/>
            <w:vMerge/>
            <w:vAlign w:val="center"/>
          </w:tcPr>
          <w:p w:rsidR="008D3136" w:rsidRPr="00E2771E" w:rsidRDefault="008D3136" w:rsidP="001E64BC">
            <w:pPr>
              <w:jc w:val="center"/>
              <w:rPr>
                <w:rFonts w:ascii="Arial Narrow" w:hAnsi="Arial Narrow"/>
                <w:b/>
                <w:color w:val="000000"/>
                <w:sz w:val="20"/>
                <w:szCs w:val="18"/>
              </w:rPr>
            </w:pPr>
          </w:p>
        </w:tc>
      </w:tr>
      <w:tr w:rsidR="008D3136" w:rsidRPr="00E2771E" w:rsidTr="001E64BC">
        <w:tc>
          <w:tcPr>
            <w:tcW w:w="5000" w:type="pct"/>
            <w:gridSpan w:val="18"/>
            <w:shd w:val="clear" w:color="auto" w:fill="auto"/>
            <w:vAlign w:val="center"/>
          </w:tcPr>
          <w:p w:rsidR="008D3136" w:rsidRPr="00E2771E" w:rsidRDefault="008D3136" w:rsidP="001E64BC">
            <w:pPr>
              <w:rPr>
                <w:rFonts w:ascii="Arial Narrow" w:hAnsi="Arial Narrow"/>
                <w:b/>
                <w:color w:val="000000"/>
                <w:sz w:val="20"/>
                <w:szCs w:val="18"/>
              </w:rPr>
            </w:pPr>
            <w:r>
              <w:rPr>
                <w:rFonts w:ascii="Arial Narrow" w:hAnsi="Arial Narrow"/>
                <w:b/>
                <w:color w:val="000000"/>
                <w:sz w:val="20"/>
                <w:szCs w:val="18"/>
              </w:rPr>
              <w:t>Treatment emergent adverse event (TEAE)</w:t>
            </w:r>
          </w:p>
        </w:tc>
      </w:tr>
      <w:tr w:rsidR="008D3136" w:rsidRPr="00E2771E" w:rsidTr="00DC2C37">
        <w:tc>
          <w:tcPr>
            <w:tcW w:w="703" w:type="pct"/>
            <w:shd w:val="clear" w:color="auto" w:fill="auto"/>
            <w:vAlign w:val="center"/>
          </w:tcPr>
          <w:p w:rsidR="008D3136" w:rsidRPr="00E2771E" w:rsidRDefault="008D3136" w:rsidP="001E64BC">
            <w:pPr>
              <w:rPr>
                <w:rFonts w:ascii="Arial Narrow" w:hAnsi="Arial Narrow"/>
                <w:color w:val="000000"/>
                <w:sz w:val="20"/>
                <w:szCs w:val="18"/>
              </w:rPr>
            </w:pPr>
            <w:r>
              <w:rPr>
                <w:rFonts w:ascii="Arial Narrow" w:hAnsi="Arial Narrow"/>
                <w:color w:val="000000"/>
                <w:sz w:val="20"/>
                <w:szCs w:val="18"/>
              </w:rPr>
              <w:t>ATTRACT</w:t>
            </w:r>
          </w:p>
        </w:tc>
        <w:tc>
          <w:tcPr>
            <w:tcW w:w="669" w:type="pct"/>
            <w:gridSpan w:val="4"/>
            <w:vAlign w:val="center"/>
          </w:tcPr>
          <w:p w:rsidR="008D3136" w:rsidRPr="00E442EB" w:rsidRDefault="008D3136" w:rsidP="001E64BC">
            <w:pPr>
              <w:jc w:val="center"/>
              <w:rPr>
                <w:rFonts w:ascii="Calibri" w:hAnsi="Calibri"/>
                <w:sz w:val="20"/>
              </w:rPr>
            </w:pPr>
            <w:r w:rsidRPr="00E442EB">
              <w:rPr>
                <w:rFonts w:ascii="Arial Narrow" w:hAnsi="Arial Narrow"/>
                <w:color w:val="000000"/>
                <w:sz w:val="20"/>
                <w:szCs w:val="18"/>
              </w:rPr>
              <w:t>34/36</w:t>
            </w:r>
          </w:p>
        </w:tc>
        <w:tc>
          <w:tcPr>
            <w:tcW w:w="391" w:type="pct"/>
            <w:gridSpan w:val="3"/>
            <w:vAlign w:val="center"/>
          </w:tcPr>
          <w:p w:rsidR="008D3136" w:rsidRPr="00E2771E" w:rsidRDefault="008D3136" w:rsidP="001E64BC">
            <w:pPr>
              <w:jc w:val="center"/>
              <w:rPr>
                <w:rFonts w:ascii="Arial Narrow" w:hAnsi="Arial Narrow"/>
                <w:color w:val="000000"/>
                <w:sz w:val="20"/>
                <w:szCs w:val="18"/>
              </w:rPr>
            </w:pPr>
            <w:r>
              <w:rPr>
                <w:rFonts w:ascii="Arial Narrow" w:hAnsi="Arial Narrow"/>
                <w:color w:val="000000"/>
                <w:sz w:val="20"/>
                <w:szCs w:val="18"/>
              </w:rPr>
              <w:t>20/24</w:t>
            </w:r>
          </w:p>
        </w:tc>
        <w:tc>
          <w:tcPr>
            <w:tcW w:w="362" w:type="pct"/>
            <w:gridSpan w:val="2"/>
            <w:vAlign w:val="center"/>
          </w:tcPr>
          <w:p w:rsidR="008D3136" w:rsidRPr="00E2771E" w:rsidRDefault="008D3136" w:rsidP="001E64BC">
            <w:pPr>
              <w:jc w:val="center"/>
              <w:rPr>
                <w:rFonts w:ascii="Arial Narrow" w:hAnsi="Arial Narrow"/>
                <w:color w:val="000000"/>
                <w:sz w:val="20"/>
                <w:szCs w:val="18"/>
              </w:rPr>
            </w:pPr>
            <w:r>
              <w:rPr>
                <w:rFonts w:ascii="Arial Narrow" w:hAnsi="Arial Narrow"/>
                <w:color w:val="000000"/>
                <w:sz w:val="20"/>
                <w:szCs w:val="18"/>
              </w:rPr>
              <w:t>-</w:t>
            </w:r>
          </w:p>
        </w:tc>
        <w:tc>
          <w:tcPr>
            <w:tcW w:w="726" w:type="pct"/>
            <w:gridSpan w:val="3"/>
            <w:vAlign w:val="center"/>
          </w:tcPr>
          <w:p w:rsidR="008D3136" w:rsidRPr="00734410" w:rsidRDefault="008D3136" w:rsidP="001E64BC">
            <w:pPr>
              <w:jc w:val="center"/>
              <w:rPr>
                <w:rFonts w:ascii="Arial Narrow" w:hAnsi="Arial Narrow"/>
                <w:i/>
                <w:color w:val="000000"/>
                <w:sz w:val="20"/>
                <w:szCs w:val="18"/>
              </w:rPr>
            </w:pPr>
            <w:r w:rsidRPr="00734410">
              <w:rPr>
                <w:rFonts w:ascii="Arial Narrow" w:hAnsi="Arial Narrow"/>
                <w:i/>
                <w:color w:val="000000"/>
                <w:sz w:val="20"/>
                <w:szCs w:val="18"/>
              </w:rPr>
              <w:t xml:space="preserve">1.13 </w:t>
            </w:r>
            <w:r>
              <w:rPr>
                <w:rFonts w:ascii="Arial Narrow" w:hAnsi="Arial Narrow"/>
                <w:i/>
                <w:color w:val="000000"/>
                <w:sz w:val="20"/>
                <w:szCs w:val="18"/>
              </w:rPr>
              <w:br/>
            </w:r>
            <w:r w:rsidRPr="00734410">
              <w:rPr>
                <w:rFonts w:ascii="Arial Narrow" w:hAnsi="Arial Narrow"/>
                <w:i/>
                <w:color w:val="000000"/>
                <w:sz w:val="20"/>
                <w:szCs w:val="18"/>
              </w:rPr>
              <w:t>(0.93, 1.38)</w:t>
            </w:r>
          </w:p>
        </w:tc>
        <w:tc>
          <w:tcPr>
            <w:tcW w:w="537" w:type="pct"/>
            <w:gridSpan w:val="2"/>
            <w:vAlign w:val="center"/>
          </w:tcPr>
          <w:p w:rsidR="008D3136" w:rsidRPr="00E2771E" w:rsidRDefault="008D3136" w:rsidP="001E64BC">
            <w:pPr>
              <w:jc w:val="center"/>
              <w:rPr>
                <w:rFonts w:ascii="Arial Narrow" w:hAnsi="Arial Narrow"/>
                <w:color w:val="000000"/>
                <w:sz w:val="20"/>
                <w:szCs w:val="18"/>
              </w:rPr>
            </w:pPr>
            <w:r>
              <w:rPr>
                <w:rFonts w:ascii="Arial Narrow" w:hAnsi="Arial Narrow"/>
                <w:color w:val="000000"/>
                <w:sz w:val="20"/>
                <w:szCs w:val="18"/>
              </w:rPr>
              <w:t>94.4</w:t>
            </w:r>
          </w:p>
        </w:tc>
        <w:tc>
          <w:tcPr>
            <w:tcW w:w="502" w:type="pct"/>
            <w:vAlign w:val="center"/>
          </w:tcPr>
          <w:p w:rsidR="008D3136" w:rsidRPr="00E2771E" w:rsidRDefault="008D3136" w:rsidP="001E64BC">
            <w:pPr>
              <w:jc w:val="center"/>
              <w:rPr>
                <w:rFonts w:ascii="Arial Narrow" w:hAnsi="Arial Narrow"/>
                <w:color w:val="000000"/>
                <w:sz w:val="20"/>
                <w:szCs w:val="18"/>
              </w:rPr>
            </w:pPr>
            <w:r>
              <w:rPr>
                <w:rFonts w:ascii="Arial Narrow" w:hAnsi="Arial Narrow"/>
                <w:color w:val="000000"/>
                <w:sz w:val="20"/>
                <w:szCs w:val="18"/>
              </w:rPr>
              <w:t>83.3</w:t>
            </w:r>
          </w:p>
        </w:tc>
        <w:tc>
          <w:tcPr>
            <w:tcW w:w="351" w:type="pct"/>
            <w:vAlign w:val="center"/>
          </w:tcPr>
          <w:p w:rsidR="008D3136" w:rsidRPr="00E2771E" w:rsidRDefault="008D3136" w:rsidP="001E64BC">
            <w:pPr>
              <w:jc w:val="center"/>
              <w:rPr>
                <w:rFonts w:ascii="Arial Narrow" w:hAnsi="Arial Narrow"/>
                <w:color w:val="000000"/>
                <w:sz w:val="20"/>
                <w:szCs w:val="18"/>
              </w:rPr>
            </w:pPr>
            <w:r>
              <w:rPr>
                <w:rFonts w:ascii="Arial Narrow" w:hAnsi="Arial Narrow"/>
                <w:color w:val="000000"/>
                <w:sz w:val="20"/>
                <w:szCs w:val="18"/>
              </w:rPr>
              <w:t>-</w:t>
            </w:r>
          </w:p>
        </w:tc>
        <w:tc>
          <w:tcPr>
            <w:tcW w:w="759" w:type="pct"/>
            <w:vAlign w:val="center"/>
          </w:tcPr>
          <w:p w:rsidR="008D3136" w:rsidRPr="00734410" w:rsidRDefault="008D3136" w:rsidP="001E64BC">
            <w:pPr>
              <w:jc w:val="center"/>
              <w:rPr>
                <w:rFonts w:ascii="Arial Narrow" w:hAnsi="Arial Narrow"/>
                <w:i/>
                <w:color w:val="000000"/>
                <w:sz w:val="20"/>
                <w:szCs w:val="18"/>
              </w:rPr>
            </w:pPr>
            <w:r w:rsidRPr="00734410">
              <w:rPr>
                <w:rFonts w:ascii="Arial Narrow" w:hAnsi="Arial Narrow"/>
                <w:i/>
                <w:color w:val="000000"/>
                <w:sz w:val="20"/>
                <w:szCs w:val="18"/>
              </w:rPr>
              <w:t xml:space="preserve">11.1% </w:t>
            </w:r>
            <w:r>
              <w:rPr>
                <w:rFonts w:ascii="Arial Narrow" w:hAnsi="Arial Narrow"/>
                <w:i/>
                <w:color w:val="000000"/>
                <w:sz w:val="20"/>
                <w:szCs w:val="18"/>
              </w:rPr>
              <w:br/>
            </w:r>
            <w:r w:rsidRPr="00734410">
              <w:rPr>
                <w:rFonts w:ascii="Arial Narrow" w:hAnsi="Arial Narrow"/>
                <w:i/>
                <w:color w:val="000000"/>
                <w:sz w:val="20"/>
                <w:szCs w:val="18"/>
              </w:rPr>
              <w:t>(-5.6%, 27.8%)</w:t>
            </w:r>
          </w:p>
        </w:tc>
      </w:tr>
      <w:tr w:rsidR="008D3136" w:rsidRPr="00E2771E" w:rsidTr="00DC2C37">
        <w:tc>
          <w:tcPr>
            <w:tcW w:w="703" w:type="pct"/>
            <w:shd w:val="clear" w:color="auto" w:fill="auto"/>
            <w:vAlign w:val="center"/>
          </w:tcPr>
          <w:p w:rsidR="008D3136" w:rsidRPr="00E2771E" w:rsidRDefault="008D3136" w:rsidP="001E64BC">
            <w:pPr>
              <w:rPr>
                <w:rFonts w:ascii="Arial Narrow" w:hAnsi="Arial Narrow"/>
                <w:color w:val="000000"/>
                <w:sz w:val="20"/>
                <w:szCs w:val="18"/>
              </w:rPr>
            </w:pPr>
            <w:r>
              <w:rPr>
                <w:rFonts w:ascii="Arial Narrow" w:hAnsi="Arial Narrow"/>
                <w:color w:val="000000"/>
                <w:sz w:val="20"/>
                <w:szCs w:val="18"/>
              </w:rPr>
              <w:t>FACETS</w:t>
            </w:r>
          </w:p>
        </w:tc>
        <w:tc>
          <w:tcPr>
            <w:tcW w:w="669" w:type="pct"/>
            <w:gridSpan w:val="4"/>
            <w:vAlign w:val="center"/>
          </w:tcPr>
          <w:p w:rsidR="008D3136" w:rsidRPr="00E2771E" w:rsidRDefault="008D3136" w:rsidP="001E64BC">
            <w:pPr>
              <w:jc w:val="center"/>
              <w:rPr>
                <w:rFonts w:ascii="Arial Narrow" w:hAnsi="Arial Narrow"/>
                <w:color w:val="000000"/>
                <w:sz w:val="20"/>
                <w:szCs w:val="18"/>
              </w:rPr>
            </w:pPr>
            <w:r>
              <w:rPr>
                <w:rFonts w:ascii="Arial Narrow" w:hAnsi="Arial Narrow"/>
                <w:color w:val="000000"/>
                <w:sz w:val="20"/>
                <w:szCs w:val="18"/>
              </w:rPr>
              <w:t>31/34</w:t>
            </w:r>
          </w:p>
        </w:tc>
        <w:tc>
          <w:tcPr>
            <w:tcW w:w="391" w:type="pct"/>
            <w:gridSpan w:val="3"/>
            <w:vAlign w:val="center"/>
          </w:tcPr>
          <w:p w:rsidR="008D3136" w:rsidRPr="00E2771E" w:rsidRDefault="008D3136" w:rsidP="001E64BC">
            <w:pPr>
              <w:jc w:val="center"/>
              <w:rPr>
                <w:rFonts w:ascii="Arial Narrow" w:hAnsi="Arial Narrow"/>
                <w:color w:val="000000"/>
                <w:sz w:val="20"/>
                <w:szCs w:val="18"/>
              </w:rPr>
            </w:pPr>
            <w:r>
              <w:rPr>
                <w:rFonts w:ascii="Arial Narrow" w:hAnsi="Arial Narrow"/>
                <w:color w:val="000000"/>
                <w:sz w:val="20"/>
                <w:szCs w:val="18"/>
              </w:rPr>
              <w:t>-</w:t>
            </w:r>
          </w:p>
        </w:tc>
        <w:tc>
          <w:tcPr>
            <w:tcW w:w="362" w:type="pct"/>
            <w:gridSpan w:val="2"/>
            <w:vAlign w:val="center"/>
          </w:tcPr>
          <w:p w:rsidR="008D3136" w:rsidRPr="00E2771E" w:rsidRDefault="008D3136" w:rsidP="001E64BC">
            <w:pPr>
              <w:jc w:val="center"/>
              <w:rPr>
                <w:rFonts w:ascii="Arial Narrow" w:hAnsi="Arial Narrow"/>
                <w:color w:val="000000"/>
                <w:sz w:val="20"/>
                <w:szCs w:val="18"/>
              </w:rPr>
            </w:pPr>
            <w:r>
              <w:rPr>
                <w:rFonts w:ascii="Arial Narrow" w:hAnsi="Arial Narrow"/>
                <w:color w:val="000000"/>
                <w:sz w:val="20"/>
                <w:szCs w:val="18"/>
              </w:rPr>
              <w:t>30/33</w:t>
            </w:r>
          </w:p>
        </w:tc>
        <w:tc>
          <w:tcPr>
            <w:tcW w:w="726" w:type="pct"/>
            <w:gridSpan w:val="3"/>
            <w:vAlign w:val="center"/>
          </w:tcPr>
          <w:p w:rsidR="008D3136" w:rsidRPr="00734410" w:rsidRDefault="008D3136" w:rsidP="001E64BC">
            <w:pPr>
              <w:jc w:val="center"/>
              <w:rPr>
                <w:rFonts w:ascii="Arial Narrow" w:hAnsi="Arial Narrow"/>
                <w:i/>
                <w:color w:val="000000"/>
                <w:sz w:val="20"/>
                <w:szCs w:val="18"/>
              </w:rPr>
            </w:pPr>
            <w:r w:rsidRPr="00734410">
              <w:rPr>
                <w:rFonts w:ascii="Arial Narrow" w:hAnsi="Arial Narrow"/>
                <w:i/>
                <w:color w:val="000000"/>
                <w:sz w:val="20"/>
                <w:szCs w:val="18"/>
              </w:rPr>
              <w:t xml:space="preserve">1.00 </w:t>
            </w:r>
            <w:r>
              <w:rPr>
                <w:rFonts w:ascii="Arial Narrow" w:hAnsi="Arial Narrow"/>
                <w:i/>
                <w:color w:val="000000"/>
                <w:sz w:val="20"/>
                <w:szCs w:val="18"/>
              </w:rPr>
              <w:br/>
            </w:r>
            <w:r w:rsidRPr="00734410">
              <w:rPr>
                <w:rFonts w:ascii="Arial Narrow" w:hAnsi="Arial Narrow"/>
                <w:i/>
                <w:color w:val="000000"/>
                <w:sz w:val="20"/>
                <w:szCs w:val="18"/>
              </w:rPr>
              <w:t>(0.86, 1.17)</w:t>
            </w:r>
          </w:p>
        </w:tc>
        <w:tc>
          <w:tcPr>
            <w:tcW w:w="537" w:type="pct"/>
            <w:gridSpan w:val="2"/>
            <w:vAlign w:val="center"/>
          </w:tcPr>
          <w:p w:rsidR="008D3136" w:rsidRPr="00E2771E" w:rsidRDefault="008D3136" w:rsidP="001E64BC">
            <w:pPr>
              <w:jc w:val="center"/>
              <w:rPr>
                <w:rFonts w:ascii="Arial Narrow" w:hAnsi="Arial Narrow"/>
                <w:color w:val="000000"/>
                <w:sz w:val="20"/>
                <w:szCs w:val="18"/>
              </w:rPr>
            </w:pPr>
            <w:r>
              <w:rPr>
                <w:rFonts w:ascii="Arial Narrow" w:hAnsi="Arial Narrow"/>
                <w:color w:val="000000"/>
                <w:sz w:val="20"/>
                <w:szCs w:val="18"/>
              </w:rPr>
              <w:t>91.2</w:t>
            </w:r>
          </w:p>
        </w:tc>
        <w:tc>
          <w:tcPr>
            <w:tcW w:w="502" w:type="pct"/>
            <w:vAlign w:val="center"/>
          </w:tcPr>
          <w:p w:rsidR="008D3136" w:rsidRPr="00E2771E" w:rsidRDefault="008D3136" w:rsidP="001E64BC">
            <w:pPr>
              <w:jc w:val="center"/>
              <w:rPr>
                <w:rFonts w:ascii="Arial Narrow" w:hAnsi="Arial Narrow"/>
                <w:color w:val="000000"/>
                <w:sz w:val="20"/>
                <w:szCs w:val="18"/>
              </w:rPr>
            </w:pPr>
            <w:r>
              <w:rPr>
                <w:rFonts w:ascii="Arial Narrow" w:hAnsi="Arial Narrow"/>
                <w:color w:val="000000"/>
                <w:sz w:val="20"/>
                <w:szCs w:val="18"/>
              </w:rPr>
              <w:t>-</w:t>
            </w:r>
          </w:p>
        </w:tc>
        <w:tc>
          <w:tcPr>
            <w:tcW w:w="351" w:type="pct"/>
            <w:vAlign w:val="center"/>
          </w:tcPr>
          <w:p w:rsidR="008D3136" w:rsidRPr="00E2771E" w:rsidRDefault="008D3136" w:rsidP="001E64BC">
            <w:pPr>
              <w:jc w:val="center"/>
              <w:rPr>
                <w:rFonts w:ascii="Arial Narrow" w:hAnsi="Arial Narrow"/>
                <w:color w:val="000000"/>
                <w:sz w:val="20"/>
                <w:szCs w:val="18"/>
              </w:rPr>
            </w:pPr>
            <w:r>
              <w:rPr>
                <w:rFonts w:ascii="Arial Narrow" w:hAnsi="Arial Narrow"/>
                <w:color w:val="000000"/>
                <w:sz w:val="20"/>
                <w:szCs w:val="18"/>
              </w:rPr>
              <w:t>90.9</w:t>
            </w:r>
          </w:p>
        </w:tc>
        <w:tc>
          <w:tcPr>
            <w:tcW w:w="759" w:type="pct"/>
            <w:vAlign w:val="center"/>
          </w:tcPr>
          <w:p w:rsidR="008D3136" w:rsidRPr="00734410" w:rsidRDefault="008D3136" w:rsidP="001E64BC">
            <w:pPr>
              <w:jc w:val="center"/>
              <w:rPr>
                <w:rFonts w:ascii="Arial Narrow" w:hAnsi="Arial Narrow"/>
                <w:i/>
                <w:color w:val="000000"/>
                <w:sz w:val="20"/>
                <w:szCs w:val="18"/>
              </w:rPr>
            </w:pPr>
            <w:r w:rsidRPr="00734410">
              <w:rPr>
                <w:rFonts w:ascii="Arial Narrow" w:hAnsi="Arial Narrow"/>
                <w:i/>
                <w:color w:val="000000"/>
                <w:sz w:val="20"/>
                <w:szCs w:val="18"/>
              </w:rPr>
              <w:t xml:space="preserve">0.3% </w:t>
            </w:r>
            <w:r>
              <w:rPr>
                <w:rFonts w:ascii="Arial Narrow" w:hAnsi="Arial Narrow"/>
                <w:i/>
                <w:color w:val="000000"/>
                <w:sz w:val="20"/>
                <w:szCs w:val="18"/>
              </w:rPr>
              <w:br/>
            </w:r>
            <w:r w:rsidRPr="00734410">
              <w:rPr>
                <w:rFonts w:ascii="Arial Narrow" w:hAnsi="Arial Narrow"/>
                <w:i/>
                <w:color w:val="000000"/>
                <w:sz w:val="20"/>
                <w:szCs w:val="18"/>
              </w:rPr>
              <w:t>(-13.4%, 13.9%)</w:t>
            </w:r>
          </w:p>
        </w:tc>
      </w:tr>
      <w:tr w:rsidR="008D3136" w:rsidRPr="00E2771E" w:rsidTr="001E64BC">
        <w:tc>
          <w:tcPr>
            <w:tcW w:w="5000" w:type="pct"/>
            <w:gridSpan w:val="18"/>
            <w:shd w:val="clear" w:color="auto" w:fill="auto"/>
            <w:vAlign w:val="center"/>
          </w:tcPr>
          <w:p w:rsidR="008D3136" w:rsidRPr="00E2771E" w:rsidRDefault="008D3136" w:rsidP="001E64BC">
            <w:pPr>
              <w:rPr>
                <w:rFonts w:ascii="Arial Narrow" w:hAnsi="Arial Narrow"/>
                <w:b/>
                <w:color w:val="000000"/>
                <w:sz w:val="20"/>
                <w:szCs w:val="18"/>
              </w:rPr>
            </w:pPr>
            <w:r>
              <w:rPr>
                <w:rFonts w:ascii="Arial Narrow" w:hAnsi="Arial Narrow"/>
                <w:b/>
                <w:color w:val="000000"/>
                <w:sz w:val="20"/>
                <w:szCs w:val="18"/>
              </w:rPr>
              <w:t>Related TEAE</w:t>
            </w:r>
          </w:p>
        </w:tc>
      </w:tr>
      <w:tr w:rsidR="008D3136" w:rsidRPr="00E2771E" w:rsidTr="00DC2C37">
        <w:tc>
          <w:tcPr>
            <w:tcW w:w="703" w:type="pct"/>
            <w:shd w:val="clear" w:color="auto" w:fill="auto"/>
            <w:vAlign w:val="center"/>
          </w:tcPr>
          <w:p w:rsidR="008D3136" w:rsidRPr="00E2771E" w:rsidRDefault="008D3136" w:rsidP="001E64BC">
            <w:pPr>
              <w:rPr>
                <w:rFonts w:ascii="Arial Narrow" w:hAnsi="Arial Narrow"/>
                <w:color w:val="000000"/>
                <w:sz w:val="20"/>
                <w:szCs w:val="18"/>
              </w:rPr>
            </w:pPr>
            <w:r>
              <w:rPr>
                <w:rFonts w:ascii="Arial Narrow" w:hAnsi="Arial Narrow"/>
                <w:color w:val="000000"/>
                <w:sz w:val="20"/>
                <w:szCs w:val="18"/>
              </w:rPr>
              <w:t>ATTRACT</w:t>
            </w:r>
          </w:p>
        </w:tc>
        <w:tc>
          <w:tcPr>
            <w:tcW w:w="669" w:type="pct"/>
            <w:gridSpan w:val="4"/>
            <w:vAlign w:val="center"/>
          </w:tcPr>
          <w:p w:rsidR="008D3136" w:rsidRPr="00734410" w:rsidRDefault="008D3136" w:rsidP="001E64BC">
            <w:pPr>
              <w:jc w:val="center"/>
              <w:rPr>
                <w:rFonts w:ascii="Arial Narrow" w:hAnsi="Arial Narrow"/>
                <w:i/>
                <w:color w:val="000000"/>
                <w:sz w:val="20"/>
                <w:szCs w:val="18"/>
              </w:rPr>
            </w:pPr>
            <w:r w:rsidRPr="00734410">
              <w:rPr>
                <w:rFonts w:ascii="Arial Narrow" w:hAnsi="Arial Narrow"/>
                <w:i/>
                <w:color w:val="000000"/>
                <w:sz w:val="20"/>
                <w:szCs w:val="18"/>
              </w:rPr>
              <w:t>14/36</w:t>
            </w:r>
          </w:p>
        </w:tc>
        <w:tc>
          <w:tcPr>
            <w:tcW w:w="391" w:type="pct"/>
            <w:gridSpan w:val="3"/>
            <w:vAlign w:val="center"/>
          </w:tcPr>
          <w:p w:rsidR="008D3136" w:rsidRPr="00734410" w:rsidRDefault="008D3136" w:rsidP="001E64BC">
            <w:pPr>
              <w:jc w:val="center"/>
              <w:rPr>
                <w:rFonts w:ascii="Arial Narrow" w:hAnsi="Arial Narrow"/>
                <w:i/>
                <w:color w:val="000000"/>
                <w:sz w:val="20"/>
                <w:szCs w:val="18"/>
              </w:rPr>
            </w:pPr>
            <w:r w:rsidRPr="00734410">
              <w:rPr>
                <w:rFonts w:ascii="Arial Narrow" w:hAnsi="Arial Narrow"/>
                <w:i/>
                <w:color w:val="000000"/>
                <w:sz w:val="20"/>
                <w:szCs w:val="18"/>
              </w:rPr>
              <w:t>3/24</w:t>
            </w:r>
          </w:p>
        </w:tc>
        <w:tc>
          <w:tcPr>
            <w:tcW w:w="362" w:type="pct"/>
            <w:gridSpan w:val="2"/>
            <w:vAlign w:val="center"/>
          </w:tcPr>
          <w:p w:rsidR="008D3136" w:rsidRPr="00734410" w:rsidRDefault="008D3136" w:rsidP="001E64BC">
            <w:pPr>
              <w:jc w:val="center"/>
              <w:rPr>
                <w:rFonts w:ascii="Arial Narrow" w:hAnsi="Arial Narrow"/>
                <w:i/>
                <w:color w:val="000000"/>
                <w:sz w:val="20"/>
                <w:szCs w:val="18"/>
              </w:rPr>
            </w:pPr>
            <w:r w:rsidRPr="00734410">
              <w:rPr>
                <w:rFonts w:ascii="Arial Narrow" w:hAnsi="Arial Narrow"/>
                <w:i/>
                <w:color w:val="000000"/>
                <w:sz w:val="20"/>
                <w:szCs w:val="18"/>
              </w:rPr>
              <w:t>-</w:t>
            </w:r>
          </w:p>
        </w:tc>
        <w:tc>
          <w:tcPr>
            <w:tcW w:w="726" w:type="pct"/>
            <w:gridSpan w:val="3"/>
            <w:vAlign w:val="center"/>
          </w:tcPr>
          <w:p w:rsidR="008D3136" w:rsidRPr="00734410" w:rsidRDefault="008D3136" w:rsidP="001E64BC">
            <w:pPr>
              <w:jc w:val="center"/>
              <w:rPr>
                <w:rFonts w:ascii="Arial Narrow" w:hAnsi="Arial Narrow"/>
                <w:i/>
                <w:color w:val="000000"/>
                <w:sz w:val="20"/>
                <w:szCs w:val="18"/>
              </w:rPr>
            </w:pPr>
            <w:r w:rsidRPr="00734410">
              <w:rPr>
                <w:rFonts w:ascii="Arial Narrow" w:hAnsi="Arial Narrow"/>
                <w:i/>
                <w:color w:val="000000"/>
                <w:sz w:val="20"/>
                <w:szCs w:val="18"/>
              </w:rPr>
              <w:t xml:space="preserve">3.11 </w:t>
            </w:r>
            <w:r>
              <w:rPr>
                <w:rFonts w:ascii="Arial Narrow" w:hAnsi="Arial Narrow"/>
                <w:i/>
                <w:color w:val="000000"/>
                <w:sz w:val="20"/>
                <w:szCs w:val="18"/>
              </w:rPr>
              <w:br/>
            </w:r>
            <w:r w:rsidRPr="00734410">
              <w:rPr>
                <w:rFonts w:ascii="Arial Narrow" w:hAnsi="Arial Narrow"/>
                <w:i/>
                <w:color w:val="000000"/>
                <w:sz w:val="20"/>
                <w:szCs w:val="18"/>
              </w:rPr>
              <w:t>(1.00, 9.68)</w:t>
            </w:r>
          </w:p>
        </w:tc>
        <w:tc>
          <w:tcPr>
            <w:tcW w:w="537" w:type="pct"/>
            <w:gridSpan w:val="2"/>
            <w:vAlign w:val="center"/>
          </w:tcPr>
          <w:p w:rsidR="008D3136" w:rsidRPr="00734410" w:rsidRDefault="008D3136" w:rsidP="001E64BC">
            <w:pPr>
              <w:jc w:val="center"/>
              <w:rPr>
                <w:rFonts w:ascii="Arial Narrow" w:hAnsi="Arial Narrow"/>
                <w:i/>
                <w:color w:val="000000"/>
                <w:sz w:val="20"/>
                <w:szCs w:val="18"/>
              </w:rPr>
            </w:pPr>
            <w:r w:rsidRPr="00734410">
              <w:rPr>
                <w:rFonts w:ascii="Arial Narrow" w:hAnsi="Arial Narrow"/>
                <w:i/>
                <w:color w:val="000000"/>
                <w:sz w:val="20"/>
                <w:szCs w:val="18"/>
              </w:rPr>
              <w:t>38.9</w:t>
            </w:r>
          </w:p>
        </w:tc>
        <w:tc>
          <w:tcPr>
            <w:tcW w:w="502" w:type="pct"/>
            <w:vAlign w:val="center"/>
          </w:tcPr>
          <w:p w:rsidR="008D3136" w:rsidRPr="00734410" w:rsidRDefault="008D3136" w:rsidP="001E64BC">
            <w:pPr>
              <w:jc w:val="center"/>
              <w:rPr>
                <w:rFonts w:ascii="Arial Narrow" w:hAnsi="Arial Narrow"/>
                <w:i/>
                <w:color w:val="000000"/>
                <w:sz w:val="20"/>
                <w:szCs w:val="18"/>
              </w:rPr>
            </w:pPr>
            <w:r w:rsidRPr="00734410">
              <w:rPr>
                <w:rFonts w:ascii="Arial Narrow" w:hAnsi="Arial Narrow"/>
                <w:i/>
                <w:color w:val="000000"/>
                <w:sz w:val="20"/>
                <w:szCs w:val="18"/>
              </w:rPr>
              <w:t>12.5</w:t>
            </w:r>
          </w:p>
        </w:tc>
        <w:tc>
          <w:tcPr>
            <w:tcW w:w="351" w:type="pct"/>
            <w:vAlign w:val="center"/>
          </w:tcPr>
          <w:p w:rsidR="008D3136" w:rsidRPr="00734410" w:rsidRDefault="008D3136" w:rsidP="001E64BC">
            <w:pPr>
              <w:jc w:val="center"/>
              <w:rPr>
                <w:rFonts w:ascii="Arial Narrow" w:hAnsi="Arial Narrow"/>
                <w:i/>
                <w:color w:val="000000"/>
                <w:sz w:val="20"/>
                <w:szCs w:val="18"/>
              </w:rPr>
            </w:pPr>
            <w:r w:rsidRPr="00734410">
              <w:rPr>
                <w:rFonts w:ascii="Arial Narrow" w:hAnsi="Arial Narrow"/>
                <w:i/>
                <w:color w:val="000000"/>
                <w:sz w:val="20"/>
                <w:szCs w:val="18"/>
              </w:rPr>
              <w:t>-</w:t>
            </w:r>
          </w:p>
        </w:tc>
        <w:tc>
          <w:tcPr>
            <w:tcW w:w="759" w:type="pct"/>
            <w:vAlign w:val="center"/>
          </w:tcPr>
          <w:p w:rsidR="008D3136" w:rsidRPr="00734410" w:rsidRDefault="008D3136" w:rsidP="001E64BC">
            <w:pPr>
              <w:jc w:val="center"/>
              <w:rPr>
                <w:rFonts w:ascii="Arial Narrow" w:hAnsi="Arial Narrow"/>
                <w:i/>
                <w:color w:val="000000"/>
                <w:sz w:val="20"/>
                <w:szCs w:val="18"/>
              </w:rPr>
            </w:pPr>
            <w:r w:rsidRPr="00734410">
              <w:rPr>
                <w:rFonts w:ascii="Arial Narrow" w:hAnsi="Arial Narrow"/>
                <w:i/>
                <w:color w:val="000000"/>
                <w:sz w:val="20"/>
                <w:szCs w:val="18"/>
              </w:rPr>
              <w:t xml:space="preserve">26.4% </w:t>
            </w:r>
            <w:r>
              <w:rPr>
                <w:rFonts w:ascii="Arial Narrow" w:hAnsi="Arial Narrow"/>
                <w:i/>
                <w:color w:val="000000"/>
                <w:sz w:val="20"/>
                <w:szCs w:val="18"/>
              </w:rPr>
              <w:br/>
            </w:r>
            <w:r w:rsidRPr="00734410">
              <w:rPr>
                <w:rFonts w:ascii="Arial Narrow" w:hAnsi="Arial Narrow"/>
                <w:i/>
                <w:color w:val="000000"/>
                <w:sz w:val="20"/>
                <w:szCs w:val="18"/>
              </w:rPr>
              <w:t>(5.7%, 47.1%)</w:t>
            </w:r>
          </w:p>
        </w:tc>
      </w:tr>
      <w:tr w:rsidR="008D3136" w:rsidRPr="00E2771E" w:rsidTr="00DC2C37">
        <w:tc>
          <w:tcPr>
            <w:tcW w:w="703" w:type="pct"/>
            <w:shd w:val="clear" w:color="auto" w:fill="auto"/>
            <w:vAlign w:val="center"/>
          </w:tcPr>
          <w:p w:rsidR="008D3136" w:rsidRPr="00E2771E" w:rsidRDefault="008D3136" w:rsidP="001E64BC">
            <w:pPr>
              <w:rPr>
                <w:rFonts w:ascii="Arial Narrow" w:hAnsi="Arial Narrow"/>
                <w:color w:val="000000"/>
                <w:sz w:val="20"/>
                <w:szCs w:val="18"/>
              </w:rPr>
            </w:pPr>
            <w:r>
              <w:rPr>
                <w:rFonts w:ascii="Arial Narrow" w:hAnsi="Arial Narrow"/>
                <w:color w:val="000000"/>
                <w:sz w:val="20"/>
                <w:szCs w:val="18"/>
              </w:rPr>
              <w:t>FACETS</w:t>
            </w:r>
          </w:p>
        </w:tc>
        <w:tc>
          <w:tcPr>
            <w:tcW w:w="669" w:type="pct"/>
            <w:gridSpan w:val="4"/>
            <w:vAlign w:val="center"/>
          </w:tcPr>
          <w:p w:rsidR="008D3136" w:rsidRPr="00734410" w:rsidRDefault="008D3136" w:rsidP="001E64BC">
            <w:pPr>
              <w:jc w:val="center"/>
              <w:rPr>
                <w:rFonts w:ascii="Arial Narrow" w:hAnsi="Arial Narrow"/>
                <w:i/>
                <w:color w:val="000000"/>
                <w:sz w:val="20"/>
                <w:szCs w:val="18"/>
              </w:rPr>
            </w:pPr>
            <w:r w:rsidRPr="00734410">
              <w:rPr>
                <w:rFonts w:ascii="Arial Narrow" w:hAnsi="Arial Narrow"/>
                <w:i/>
                <w:color w:val="000000"/>
                <w:sz w:val="20"/>
                <w:szCs w:val="18"/>
              </w:rPr>
              <w:t>15/34</w:t>
            </w:r>
          </w:p>
        </w:tc>
        <w:tc>
          <w:tcPr>
            <w:tcW w:w="391" w:type="pct"/>
            <w:gridSpan w:val="3"/>
            <w:vAlign w:val="center"/>
          </w:tcPr>
          <w:p w:rsidR="008D3136" w:rsidRPr="00734410" w:rsidRDefault="008D3136" w:rsidP="001E64BC">
            <w:pPr>
              <w:jc w:val="center"/>
              <w:rPr>
                <w:rFonts w:ascii="Arial Narrow" w:hAnsi="Arial Narrow"/>
                <w:i/>
                <w:color w:val="000000"/>
                <w:sz w:val="20"/>
                <w:szCs w:val="18"/>
              </w:rPr>
            </w:pPr>
            <w:r w:rsidRPr="00734410">
              <w:rPr>
                <w:rFonts w:ascii="Arial Narrow" w:hAnsi="Arial Narrow"/>
                <w:i/>
                <w:color w:val="000000"/>
                <w:sz w:val="20"/>
                <w:szCs w:val="18"/>
              </w:rPr>
              <w:t>-</w:t>
            </w:r>
          </w:p>
        </w:tc>
        <w:tc>
          <w:tcPr>
            <w:tcW w:w="362" w:type="pct"/>
            <w:gridSpan w:val="2"/>
            <w:vAlign w:val="center"/>
          </w:tcPr>
          <w:p w:rsidR="008D3136" w:rsidRPr="00734410" w:rsidRDefault="008D3136" w:rsidP="001E64BC">
            <w:pPr>
              <w:jc w:val="center"/>
              <w:rPr>
                <w:rFonts w:ascii="Arial Narrow" w:hAnsi="Arial Narrow"/>
                <w:i/>
                <w:color w:val="000000"/>
                <w:sz w:val="20"/>
                <w:szCs w:val="18"/>
              </w:rPr>
            </w:pPr>
            <w:r w:rsidRPr="00734410">
              <w:rPr>
                <w:rFonts w:ascii="Arial Narrow" w:hAnsi="Arial Narrow"/>
                <w:i/>
                <w:color w:val="000000"/>
                <w:sz w:val="20"/>
                <w:szCs w:val="18"/>
              </w:rPr>
              <w:t>9/33</w:t>
            </w:r>
          </w:p>
        </w:tc>
        <w:tc>
          <w:tcPr>
            <w:tcW w:w="726" w:type="pct"/>
            <w:gridSpan w:val="3"/>
            <w:vAlign w:val="center"/>
          </w:tcPr>
          <w:p w:rsidR="008D3136" w:rsidRPr="00734410" w:rsidRDefault="008D3136" w:rsidP="001E64BC">
            <w:pPr>
              <w:jc w:val="center"/>
              <w:rPr>
                <w:rFonts w:ascii="Arial Narrow" w:hAnsi="Arial Narrow"/>
                <w:i/>
                <w:color w:val="000000"/>
                <w:sz w:val="20"/>
                <w:szCs w:val="18"/>
              </w:rPr>
            </w:pPr>
            <w:r w:rsidRPr="00734410">
              <w:rPr>
                <w:rFonts w:ascii="Arial Narrow" w:hAnsi="Arial Narrow"/>
                <w:i/>
                <w:color w:val="000000"/>
                <w:sz w:val="20"/>
                <w:szCs w:val="18"/>
              </w:rPr>
              <w:t xml:space="preserve">1.62 </w:t>
            </w:r>
            <w:r>
              <w:rPr>
                <w:rFonts w:ascii="Arial Narrow" w:hAnsi="Arial Narrow"/>
                <w:i/>
                <w:color w:val="000000"/>
                <w:sz w:val="20"/>
                <w:szCs w:val="18"/>
              </w:rPr>
              <w:br/>
            </w:r>
            <w:r w:rsidRPr="00734410">
              <w:rPr>
                <w:rFonts w:ascii="Arial Narrow" w:hAnsi="Arial Narrow"/>
                <w:i/>
                <w:color w:val="000000"/>
                <w:sz w:val="20"/>
                <w:szCs w:val="18"/>
              </w:rPr>
              <w:t>(0.82, 3.17)</w:t>
            </w:r>
          </w:p>
        </w:tc>
        <w:tc>
          <w:tcPr>
            <w:tcW w:w="537" w:type="pct"/>
            <w:gridSpan w:val="2"/>
            <w:vAlign w:val="center"/>
          </w:tcPr>
          <w:p w:rsidR="008D3136" w:rsidRPr="00734410" w:rsidRDefault="008D3136" w:rsidP="001E64BC">
            <w:pPr>
              <w:jc w:val="center"/>
              <w:rPr>
                <w:rFonts w:ascii="Arial Narrow" w:hAnsi="Arial Narrow"/>
                <w:i/>
                <w:color w:val="000000"/>
                <w:sz w:val="20"/>
                <w:szCs w:val="18"/>
              </w:rPr>
            </w:pPr>
            <w:r w:rsidRPr="00734410">
              <w:rPr>
                <w:rFonts w:ascii="Arial Narrow" w:hAnsi="Arial Narrow"/>
                <w:i/>
                <w:color w:val="000000"/>
                <w:sz w:val="20"/>
                <w:szCs w:val="18"/>
              </w:rPr>
              <w:t>44.1</w:t>
            </w:r>
          </w:p>
        </w:tc>
        <w:tc>
          <w:tcPr>
            <w:tcW w:w="502" w:type="pct"/>
            <w:vAlign w:val="center"/>
          </w:tcPr>
          <w:p w:rsidR="008D3136" w:rsidRPr="00734410" w:rsidRDefault="008D3136" w:rsidP="001E64BC">
            <w:pPr>
              <w:jc w:val="center"/>
              <w:rPr>
                <w:rFonts w:ascii="Arial Narrow" w:hAnsi="Arial Narrow"/>
                <w:i/>
                <w:color w:val="000000"/>
                <w:sz w:val="20"/>
                <w:szCs w:val="18"/>
              </w:rPr>
            </w:pPr>
            <w:r w:rsidRPr="00734410">
              <w:rPr>
                <w:rFonts w:ascii="Arial Narrow" w:hAnsi="Arial Narrow"/>
                <w:i/>
                <w:color w:val="000000"/>
                <w:sz w:val="20"/>
                <w:szCs w:val="18"/>
              </w:rPr>
              <w:t>-</w:t>
            </w:r>
          </w:p>
        </w:tc>
        <w:tc>
          <w:tcPr>
            <w:tcW w:w="351" w:type="pct"/>
            <w:vAlign w:val="center"/>
          </w:tcPr>
          <w:p w:rsidR="008D3136" w:rsidRPr="00734410" w:rsidRDefault="008D3136" w:rsidP="001E64BC">
            <w:pPr>
              <w:jc w:val="center"/>
              <w:rPr>
                <w:rFonts w:ascii="Arial Narrow" w:hAnsi="Arial Narrow"/>
                <w:i/>
                <w:color w:val="000000"/>
                <w:sz w:val="20"/>
                <w:szCs w:val="18"/>
              </w:rPr>
            </w:pPr>
            <w:r w:rsidRPr="00734410">
              <w:rPr>
                <w:rFonts w:ascii="Arial Narrow" w:hAnsi="Arial Narrow"/>
                <w:i/>
                <w:color w:val="000000"/>
                <w:sz w:val="20"/>
                <w:szCs w:val="18"/>
              </w:rPr>
              <w:t>27.3</w:t>
            </w:r>
          </w:p>
        </w:tc>
        <w:tc>
          <w:tcPr>
            <w:tcW w:w="759" w:type="pct"/>
            <w:vAlign w:val="center"/>
          </w:tcPr>
          <w:p w:rsidR="008D3136" w:rsidRPr="00734410" w:rsidRDefault="008D3136" w:rsidP="001E64BC">
            <w:pPr>
              <w:jc w:val="center"/>
              <w:rPr>
                <w:rFonts w:ascii="Arial Narrow" w:hAnsi="Arial Narrow"/>
                <w:i/>
                <w:color w:val="000000"/>
                <w:sz w:val="20"/>
                <w:szCs w:val="18"/>
              </w:rPr>
            </w:pPr>
            <w:r w:rsidRPr="00734410">
              <w:rPr>
                <w:rFonts w:ascii="Arial Narrow" w:hAnsi="Arial Narrow"/>
                <w:i/>
                <w:color w:val="000000"/>
                <w:sz w:val="20"/>
                <w:szCs w:val="18"/>
              </w:rPr>
              <w:t xml:space="preserve">16.8% </w:t>
            </w:r>
            <w:r>
              <w:rPr>
                <w:rFonts w:ascii="Arial Narrow" w:hAnsi="Arial Narrow"/>
                <w:i/>
                <w:color w:val="000000"/>
                <w:sz w:val="20"/>
                <w:szCs w:val="18"/>
              </w:rPr>
              <w:br/>
            </w:r>
            <w:r w:rsidRPr="00734410">
              <w:rPr>
                <w:rFonts w:ascii="Arial Narrow" w:hAnsi="Arial Narrow"/>
                <w:i/>
                <w:color w:val="000000"/>
                <w:sz w:val="20"/>
                <w:szCs w:val="18"/>
              </w:rPr>
              <w:t>(-5.7%, 39.4%)</w:t>
            </w:r>
          </w:p>
        </w:tc>
      </w:tr>
      <w:tr w:rsidR="008D3136" w:rsidRPr="00E2771E" w:rsidTr="001E64BC">
        <w:tc>
          <w:tcPr>
            <w:tcW w:w="5000" w:type="pct"/>
            <w:gridSpan w:val="18"/>
            <w:shd w:val="clear" w:color="auto" w:fill="auto"/>
            <w:vAlign w:val="center"/>
          </w:tcPr>
          <w:p w:rsidR="008D3136" w:rsidRPr="00E2771E" w:rsidRDefault="008D3136" w:rsidP="001E64BC">
            <w:pPr>
              <w:rPr>
                <w:rFonts w:ascii="Arial Narrow" w:hAnsi="Arial Narrow"/>
                <w:color w:val="000000"/>
                <w:sz w:val="20"/>
                <w:szCs w:val="18"/>
              </w:rPr>
            </w:pPr>
            <w:r>
              <w:rPr>
                <w:rFonts w:ascii="Arial Narrow" w:hAnsi="Arial Narrow"/>
                <w:b/>
                <w:color w:val="000000"/>
                <w:sz w:val="20"/>
                <w:szCs w:val="18"/>
              </w:rPr>
              <w:t>Severe TEAE</w:t>
            </w:r>
          </w:p>
        </w:tc>
      </w:tr>
      <w:tr w:rsidR="008D3136" w:rsidRPr="00E2771E" w:rsidTr="00DC2C37">
        <w:tc>
          <w:tcPr>
            <w:tcW w:w="737" w:type="pct"/>
            <w:gridSpan w:val="2"/>
            <w:shd w:val="clear" w:color="auto" w:fill="auto"/>
            <w:vAlign w:val="center"/>
          </w:tcPr>
          <w:p w:rsidR="008D3136" w:rsidRPr="00E2771E" w:rsidRDefault="008D3136" w:rsidP="001E64BC">
            <w:pPr>
              <w:rPr>
                <w:rFonts w:ascii="Arial Narrow" w:hAnsi="Arial Narrow"/>
                <w:color w:val="000000"/>
                <w:sz w:val="20"/>
                <w:szCs w:val="18"/>
              </w:rPr>
            </w:pPr>
            <w:r>
              <w:rPr>
                <w:rFonts w:ascii="Arial Narrow" w:hAnsi="Arial Narrow"/>
                <w:color w:val="000000"/>
                <w:sz w:val="20"/>
                <w:szCs w:val="18"/>
              </w:rPr>
              <w:t>ATTRACT</w:t>
            </w:r>
          </w:p>
        </w:tc>
        <w:tc>
          <w:tcPr>
            <w:tcW w:w="636" w:type="pct"/>
            <w:gridSpan w:val="3"/>
            <w:vAlign w:val="center"/>
          </w:tcPr>
          <w:p w:rsidR="008D3136" w:rsidRPr="00734410" w:rsidRDefault="008D3136" w:rsidP="001E64BC">
            <w:pPr>
              <w:jc w:val="center"/>
              <w:rPr>
                <w:rFonts w:ascii="Arial Narrow" w:hAnsi="Arial Narrow"/>
                <w:i/>
                <w:color w:val="000000"/>
                <w:sz w:val="20"/>
                <w:szCs w:val="18"/>
              </w:rPr>
            </w:pPr>
            <w:r w:rsidRPr="00734410">
              <w:rPr>
                <w:rFonts w:ascii="Arial Narrow" w:hAnsi="Arial Narrow"/>
                <w:i/>
                <w:color w:val="000000"/>
                <w:sz w:val="20"/>
                <w:szCs w:val="18"/>
              </w:rPr>
              <w:t>3/36</w:t>
            </w:r>
          </w:p>
        </w:tc>
        <w:tc>
          <w:tcPr>
            <w:tcW w:w="391" w:type="pct"/>
            <w:gridSpan w:val="3"/>
            <w:vAlign w:val="center"/>
          </w:tcPr>
          <w:p w:rsidR="008D3136" w:rsidRPr="00734410" w:rsidRDefault="008D3136" w:rsidP="001E64BC">
            <w:pPr>
              <w:jc w:val="center"/>
              <w:rPr>
                <w:rFonts w:ascii="Arial Narrow" w:hAnsi="Arial Narrow"/>
                <w:i/>
                <w:color w:val="000000"/>
                <w:sz w:val="20"/>
                <w:szCs w:val="18"/>
              </w:rPr>
            </w:pPr>
            <w:r w:rsidRPr="00734410">
              <w:rPr>
                <w:rFonts w:ascii="Arial Narrow" w:hAnsi="Arial Narrow"/>
                <w:i/>
                <w:color w:val="000000"/>
                <w:sz w:val="20"/>
                <w:szCs w:val="18"/>
              </w:rPr>
              <w:t>2/24</w:t>
            </w:r>
          </w:p>
        </w:tc>
        <w:tc>
          <w:tcPr>
            <w:tcW w:w="362" w:type="pct"/>
            <w:gridSpan w:val="2"/>
            <w:vAlign w:val="center"/>
          </w:tcPr>
          <w:p w:rsidR="008D3136" w:rsidRPr="00734410" w:rsidRDefault="008D3136" w:rsidP="001E64BC">
            <w:pPr>
              <w:jc w:val="center"/>
              <w:rPr>
                <w:rFonts w:ascii="Arial Narrow" w:hAnsi="Arial Narrow"/>
                <w:i/>
                <w:color w:val="000000"/>
                <w:sz w:val="20"/>
                <w:szCs w:val="18"/>
              </w:rPr>
            </w:pPr>
            <w:r w:rsidRPr="00734410">
              <w:rPr>
                <w:rFonts w:ascii="Arial Narrow" w:hAnsi="Arial Narrow"/>
                <w:i/>
                <w:color w:val="000000"/>
                <w:sz w:val="20"/>
                <w:szCs w:val="18"/>
              </w:rPr>
              <w:t>-</w:t>
            </w:r>
          </w:p>
        </w:tc>
        <w:tc>
          <w:tcPr>
            <w:tcW w:w="726" w:type="pct"/>
            <w:gridSpan w:val="3"/>
            <w:vAlign w:val="center"/>
          </w:tcPr>
          <w:p w:rsidR="008D3136" w:rsidRPr="00734410" w:rsidRDefault="008D3136" w:rsidP="001E64BC">
            <w:pPr>
              <w:jc w:val="center"/>
              <w:rPr>
                <w:rFonts w:ascii="Arial Narrow" w:hAnsi="Arial Narrow"/>
                <w:i/>
                <w:color w:val="000000"/>
                <w:sz w:val="20"/>
                <w:szCs w:val="18"/>
              </w:rPr>
            </w:pPr>
            <w:r w:rsidRPr="00734410">
              <w:rPr>
                <w:rFonts w:ascii="Arial Narrow" w:hAnsi="Arial Narrow"/>
                <w:i/>
                <w:color w:val="000000"/>
                <w:sz w:val="20"/>
                <w:szCs w:val="18"/>
              </w:rPr>
              <w:t>1.00</w:t>
            </w:r>
            <w:r>
              <w:rPr>
                <w:rFonts w:ascii="Arial Narrow" w:hAnsi="Arial Narrow"/>
                <w:i/>
                <w:color w:val="000000"/>
                <w:sz w:val="20"/>
                <w:szCs w:val="18"/>
              </w:rPr>
              <w:br/>
            </w:r>
            <w:r w:rsidRPr="00734410">
              <w:rPr>
                <w:rFonts w:ascii="Arial Narrow" w:hAnsi="Arial Narrow"/>
                <w:i/>
                <w:color w:val="000000"/>
                <w:sz w:val="20"/>
                <w:szCs w:val="18"/>
              </w:rPr>
              <w:t>(0.18, 5.55)</w:t>
            </w:r>
          </w:p>
        </w:tc>
        <w:tc>
          <w:tcPr>
            <w:tcW w:w="537" w:type="pct"/>
            <w:gridSpan w:val="2"/>
            <w:vAlign w:val="center"/>
          </w:tcPr>
          <w:p w:rsidR="008D3136" w:rsidRPr="00734410" w:rsidRDefault="008D3136" w:rsidP="001E64BC">
            <w:pPr>
              <w:jc w:val="center"/>
              <w:rPr>
                <w:rFonts w:ascii="Arial Narrow" w:hAnsi="Arial Narrow"/>
                <w:i/>
                <w:color w:val="000000"/>
                <w:sz w:val="20"/>
                <w:szCs w:val="18"/>
              </w:rPr>
            </w:pPr>
            <w:r w:rsidRPr="00734410">
              <w:rPr>
                <w:rFonts w:ascii="Arial Narrow" w:hAnsi="Arial Narrow"/>
                <w:i/>
                <w:color w:val="000000"/>
                <w:sz w:val="20"/>
                <w:szCs w:val="18"/>
              </w:rPr>
              <w:t>8.3</w:t>
            </w:r>
          </w:p>
        </w:tc>
        <w:tc>
          <w:tcPr>
            <w:tcW w:w="502" w:type="pct"/>
            <w:vAlign w:val="center"/>
          </w:tcPr>
          <w:p w:rsidR="008D3136" w:rsidRPr="00734410" w:rsidRDefault="008D3136" w:rsidP="001E64BC">
            <w:pPr>
              <w:jc w:val="center"/>
              <w:rPr>
                <w:rFonts w:ascii="Arial Narrow" w:hAnsi="Arial Narrow"/>
                <w:i/>
                <w:color w:val="000000"/>
                <w:sz w:val="20"/>
                <w:szCs w:val="18"/>
              </w:rPr>
            </w:pPr>
            <w:r w:rsidRPr="00734410">
              <w:rPr>
                <w:rFonts w:ascii="Arial Narrow" w:hAnsi="Arial Narrow"/>
                <w:i/>
                <w:color w:val="000000"/>
                <w:sz w:val="20"/>
                <w:szCs w:val="18"/>
              </w:rPr>
              <w:t>8.3</w:t>
            </w:r>
          </w:p>
        </w:tc>
        <w:tc>
          <w:tcPr>
            <w:tcW w:w="351" w:type="pct"/>
            <w:vAlign w:val="center"/>
          </w:tcPr>
          <w:p w:rsidR="008D3136" w:rsidRPr="00734410" w:rsidRDefault="008D3136" w:rsidP="001E64BC">
            <w:pPr>
              <w:jc w:val="center"/>
              <w:rPr>
                <w:rFonts w:ascii="Arial Narrow" w:hAnsi="Arial Narrow"/>
                <w:i/>
                <w:color w:val="000000"/>
                <w:sz w:val="20"/>
                <w:szCs w:val="18"/>
              </w:rPr>
            </w:pPr>
            <w:r w:rsidRPr="00734410">
              <w:rPr>
                <w:rFonts w:ascii="Arial Narrow" w:hAnsi="Arial Narrow"/>
                <w:i/>
                <w:color w:val="000000"/>
                <w:sz w:val="20"/>
                <w:szCs w:val="18"/>
              </w:rPr>
              <w:t>-</w:t>
            </w:r>
          </w:p>
        </w:tc>
        <w:tc>
          <w:tcPr>
            <w:tcW w:w="759" w:type="pct"/>
            <w:vAlign w:val="center"/>
          </w:tcPr>
          <w:p w:rsidR="008D3136" w:rsidRPr="00734410" w:rsidRDefault="008D3136" w:rsidP="001E64BC">
            <w:pPr>
              <w:jc w:val="center"/>
              <w:rPr>
                <w:rFonts w:ascii="Arial Narrow" w:hAnsi="Arial Narrow"/>
                <w:i/>
                <w:color w:val="000000"/>
                <w:sz w:val="20"/>
                <w:szCs w:val="18"/>
              </w:rPr>
            </w:pPr>
            <w:r w:rsidRPr="00734410">
              <w:rPr>
                <w:rFonts w:ascii="Arial Narrow" w:hAnsi="Arial Narrow"/>
                <w:i/>
                <w:color w:val="000000"/>
                <w:sz w:val="20"/>
                <w:szCs w:val="18"/>
              </w:rPr>
              <w:t xml:space="preserve">0.0% </w:t>
            </w:r>
            <w:r>
              <w:rPr>
                <w:rFonts w:ascii="Arial Narrow" w:hAnsi="Arial Narrow"/>
                <w:i/>
                <w:color w:val="000000"/>
                <w:sz w:val="20"/>
                <w:szCs w:val="18"/>
              </w:rPr>
              <w:br/>
            </w:r>
            <w:r w:rsidRPr="00734410">
              <w:rPr>
                <w:rFonts w:ascii="Arial Narrow" w:hAnsi="Arial Narrow"/>
                <w:i/>
                <w:color w:val="000000"/>
                <w:sz w:val="20"/>
                <w:szCs w:val="18"/>
              </w:rPr>
              <w:t>(-14.3%, 14.3%)</w:t>
            </w:r>
          </w:p>
        </w:tc>
      </w:tr>
      <w:tr w:rsidR="008D3136" w:rsidRPr="00E2771E" w:rsidTr="00DC2C37">
        <w:trPr>
          <w:trHeight w:val="453"/>
        </w:trPr>
        <w:tc>
          <w:tcPr>
            <w:tcW w:w="737" w:type="pct"/>
            <w:gridSpan w:val="2"/>
            <w:shd w:val="clear" w:color="auto" w:fill="auto"/>
            <w:vAlign w:val="center"/>
          </w:tcPr>
          <w:p w:rsidR="008D3136" w:rsidRPr="00E2771E" w:rsidRDefault="008D3136" w:rsidP="001E64BC">
            <w:pPr>
              <w:rPr>
                <w:rFonts w:ascii="Arial Narrow" w:hAnsi="Arial Narrow"/>
                <w:color w:val="000000"/>
                <w:sz w:val="20"/>
                <w:szCs w:val="18"/>
              </w:rPr>
            </w:pPr>
            <w:r>
              <w:rPr>
                <w:rFonts w:ascii="Arial Narrow" w:hAnsi="Arial Narrow"/>
                <w:color w:val="000000"/>
                <w:sz w:val="20"/>
                <w:szCs w:val="18"/>
              </w:rPr>
              <w:t>FACETS</w:t>
            </w:r>
          </w:p>
        </w:tc>
        <w:tc>
          <w:tcPr>
            <w:tcW w:w="636" w:type="pct"/>
            <w:gridSpan w:val="3"/>
            <w:vAlign w:val="center"/>
          </w:tcPr>
          <w:p w:rsidR="008D3136" w:rsidRPr="00734410" w:rsidRDefault="008D3136" w:rsidP="001E64BC">
            <w:pPr>
              <w:jc w:val="center"/>
              <w:rPr>
                <w:rFonts w:ascii="Arial Narrow" w:hAnsi="Arial Narrow"/>
                <w:i/>
                <w:color w:val="000000"/>
                <w:sz w:val="20"/>
              </w:rPr>
            </w:pPr>
            <w:r w:rsidRPr="00734410">
              <w:rPr>
                <w:rFonts w:ascii="Arial Narrow" w:hAnsi="Arial Narrow"/>
                <w:i/>
                <w:color w:val="000000"/>
                <w:sz w:val="20"/>
              </w:rPr>
              <w:t>3/34</w:t>
            </w:r>
          </w:p>
        </w:tc>
        <w:tc>
          <w:tcPr>
            <w:tcW w:w="391" w:type="pct"/>
            <w:gridSpan w:val="3"/>
            <w:vAlign w:val="center"/>
          </w:tcPr>
          <w:p w:rsidR="008D3136" w:rsidRPr="00734410" w:rsidRDefault="008D3136" w:rsidP="001E64BC">
            <w:pPr>
              <w:jc w:val="center"/>
              <w:rPr>
                <w:rFonts w:ascii="Arial Narrow" w:hAnsi="Arial Narrow"/>
                <w:i/>
                <w:color w:val="000000"/>
                <w:sz w:val="20"/>
              </w:rPr>
            </w:pPr>
            <w:r w:rsidRPr="00734410">
              <w:rPr>
                <w:rFonts w:ascii="Arial Narrow" w:hAnsi="Arial Narrow"/>
                <w:i/>
                <w:color w:val="000000"/>
                <w:sz w:val="20"/>
              </w:rPr>
              <w:t>-</w:t>
            </w:r>
          </w:p>
        </w:tc>
        <w:tc>
          <w:tcPr>
            <w:tcW w:w="362" w:type="pct"/>
            <w:gridSpan w:val="2"/>
            <w:vAlign w:val="center"/>
          </w:tcPr>
          <w:p w:rsidR="008D3136" w:rsidRPr="00734410" w:rsidRDefault="008D3136" w:rsidP="001E64BC">
            <w:pPr>
              <w:jc w:val="center"/>
              <w:rPr>
                <w:rFonts w:ascii="Arial Narrow" w:hAnsi="Arial Narrow"/>
                <w:i/>
                <w:color w:val="000000"/>
                <w:sz w:val="20"/>
                <w:szCs w:val="18"/>
              </w:rPr>
            </w:pPr>
            <w:r w:rsidRPr="00734410">
              <w:rPr>
                <w:rFonts w:ascii="Arial Narrow" w:hAnsi="Arial Narrow"/>
                <w:i/>
                <w:color w:val="000000"/>
                <w:sz w:val="20"/>
                <w:szCs w:val="18"/>
              </w:rPr>
              <w:t>2/33</w:t>
            </w:r>
          </w:p>
        </w:tc>
        <w:tc>
          <w:tcPr>
            <w:tcW w:w="726" w:type="pct"/>
            <w:gridSpan w:val="3"/>
            <w:vAlign w:val="center"/>
          </w:tcPr>
          <w:p w:rsidR="008D3136" w:rsidRPr="00734410" w:rsidRDefault="008D3136" w:rsidP="001E64BC">
            <w:pPr>
              <w:jc w:val="center"/>
              <w:rPr>
                <w:rFonts w:ascii="Arial Narrow" w:hAnsi="Arial Narrow"/>
                <w:i/>
                <w:color w:val="000000"/>
                <w:sz w:val="20"/>
                <w:szCs w:val="18"/>
              </w:rPr>
            </w:pPr>
            <w:r w:rsidRPr="00734410">
              <w:rPr>
                <w:rFonts w:ascii="Arial Narrow" w:hAnsi="Arial Narrow"/>
                <w:i/>
                <w:color w:val="000000"/>
                <w:sz w:val="20"/>
                <w:szCs w:val="18"/>
              </w:rPr>
              <w:t xml:space="preserve">1.46 </w:t>
            </w:r>
            <w:r>
              <w:rPr>
                <w:rFonts w:ascii="Arial Narrow" w:hAnsi="Arial Narrow"/>
                <w:i/>
                <w:color w:val="000000"/>
                <w:sz w:val="20"/>
                <w:szCs w:val="18"/>
              </w:rPr>
              <w:br/>
            </w:r>
            <w:r w:rsidRPr="00734410">
              <w:rPr>
                <w:rFonts w:ascii="Arial Narrow" w:hAnsi="Arial Narrow"/>
                <w:i/>
                <w:color w:val="000000"/>
                <w:sz w:val="20"/>
                <w:szCs w:val="18"/>
              </w:rPr>
              <w:t>(0.26, 8.16)</w:t>
            </w:r>
          </w:p>
        </w:tc>
        <w:tc>
          <w:tcPr>
            <w:tcW w:w="537" w:type="pct"/>
            <w:gridSpan w:val="2"/>
            <w:vAlign w:val="center"/>
          </w:tcPr>
          <w:p w:rsidR="008D3136" w:rsidRPr="00734410" w:rsidRDefault="008D3136" w:rsidP="001E64BC">
            <w:pPr>
              <w:jc w:val="center"/>
              <w:rPr>
                <w:rFonts w:ascii="Arial Narrow" w:hAnsi="Arial Narrow"/>
                <w:i/>
                <w:color w:val="000000"/>
                <w:sz w:val="20"/>
              </w:rPr>
            </w:pPr>
            <w:r w:rsidRPr="00734410">
              <w:rPr>
                <w:rFonts w:ascii="Arial Narrow" w:hAnsi="Arial Narrow"/>
                <w:i/>
                <w:color w:val="000000"/>
                <w:sz w:val="20"/>
              </w:rPr>
              <w:t>8.8</w:t>
            </w:r>
          </w:p>
        </w:tc>
        <w:tc>
          <w:tcPr>
            <w:tcW w:w="502" w:type="pct"/>
            <w:vAlign w:val="center"/>
          </w:tcPr>
          <w:p w:rsidR="008D3136" w:rsidRPr="00734410" w:rsidRDefault="008D3136" w:rsidP="001E64BC">
            <w:pPr>
              <w:jc w:val="center"/>
              <w:rPr>
                <w:rFonts w:ascii="Arial Narrow" w:hAnsi="Arial Narrow"/>
                <w:i/>
                <w:color w:val="000000"/>
                <w:sz w:val="20"/>
              </w:rPr>
            </w:pPr>
            <w:r w:rsidRPr="00734410">
              <w:rPr>
                <w:rFonts w:ascii="Arial Narrow" w:hAnsi="Arial Narrow"/>
                <w:i/>
                <w:color w:val="000000"/>
                <w:sz w:val="20"/>
              </w:rPr>
              <w:t>-</w:t>
            </w:r>
          </w:p>
        </w:tc>
        <w:tc>
          <w:tcPr>
            <w:tcW w:w="351" w:type="pct"/>
            <w:vAlign w:val="center"/>
          </w:tcPr>
          <w:p w:rsidR="008D3136" w:rsidRPr="00734410" w:rsidRDefault="008D3136" w:rsidP="001E64BC">
            <w:pPr>
              <w:jc w:val="center"/>
              <w:rPr>
                <w:rFonts w:ascii="Arial Narrow" w:hAnsi="Arial Narrow"/>
                <w:i/>
                <w:color w:val="000000"/>
                <w:sz w:val="20"/>
                <w:szCs w:val="18"/>
              </w:rPr>
            </w:pPr>
            <w:r w:rsidRPr="00734410">
              <w:rPr>
                <w:rFonts w:ascii="Arial Narrow" w:hAnsi="Arial Narrow"/>
                <w:i/>
                <w:color w:val="000000"/>
                <w:sz w:val="20"/>
                <w:szCs w:val="18"/>
              </w:rPr>
              <w:t>6.1</w:t>
            </w:r>
          </w:p>
        </w:tc>
        <w:tc>
          <w:tcPr>
            <w:tcW w:w="759" w:type="pct"/>
            <w:vAlign w:val="center"/>
          </w:tcPr>
          <w:p w:rsidR="008D3136" w:rsidRPr="00734410" w:rsidRDefault="008D3136" w:rsidP="001E64BC">
            <w:pPr>
              <w:jc w:val="center"/>
              <w:rPr>
                <w:rFonts w:ascii="Arial Narrow" w:hAnsi="Arial Narrow"/>
                <w:i/>
                <w:color w:val="000000"/>
                <w:sz w:val="20"/>
                <w:szCs w:val="18"/>
              </w:rPr>
            </w:pPr>
            <w:r w:rsidRPr="00734410">
              <w:rPr>
                <w:rFonts w:ascii="Arial Narrow" w:hAnsi="Arial Narrow"/>
                <w:i/>
                <w:color w:val="000000"/>
                <w:sz w:val="20"/>
                <w:szCs w:val="18"/>
              </w:rPr>
              <w:t xml:space="preserve">2.8% </w:t>
            </w:r>
            <w:r>
              <w:rPr>
                <w:rFonts w:ascii="Arial Narrow" w:hAnsi="Arial Narrow"/>
                <w:i/>
                <w:color w:val="000000"/>
                <w:sz w:val="20"/>
                <w:szCs w:val="18"/>
              </w:rPr>
              <w:br/>
            </w:r>
            <w:r w:rsidRPr="00734410">
              <w:rPr>
                <w:rFonts w:ascii="Arial Narrow" w:hAnsi="Arial Narrow"/>
                <w:i/>
                <w:color w:val="000000"/>
                <w:sz w:val="20"/>
                <w:szCs w:val="18"/>
              </w:rPr>
              <w:t>(-9.8%, 15.3%)</w:t>
            </w:r>
          </w:p>
        </w:tc>
      </w:tr>
    </w:tbl>
    <w:p w:rsidR="00DC2C37" w:rsidRPr="00DC2C37" w:rsidRDefault="00DC2C37" w:rsidP="00DA6FA7">
      <w:pPr>
        <w:pStyle w:val="TableFooter"/>
        <w:ind w:left="720"/>
        <w:rPr>
          <w:szCs w:val="18"/>
        </w:rPr>
      </w:pPr>
      <w:r w:rsidRPr="00DC2C37">
        <w:rPr>
          <w:szCs w:val="18"/>
          <w:vertAlign w:val="superscript"/>
        </w:rPr>
        <w:t>a</w:t>
      </w:r>
      <w:r w:rsidR="00AF1A8D">
        <w:rPr>
          <w:szCs w:val="18"/>
          <w:vertAlign w:val="superscript"/>
        </w:rPr>
        <w:t xml:space="preserve"> </w:t>
      </w:r>
      <w:r w:rsidRPr="00DC2C37">
        <w:rPr>
          <w:szCs w:val="18"/>
        </w:rPr>
        <w:t>Composite clinical outcome</w:t>
      </w:r>
      <w:r w:rsidR="00AF1A8D">
        <w:rPr>
          <w:szCs w:val="18"/>
        </w:rPr>
        <w:t>:</w:t>
      </w:r>
      <w:r w:rsidRPr="00DC2C37">
        <w:rPr>
          <w:szCs w:val="18"/>
        </w:rPr>
        <w:t xml:space="preserve"> </w:t>
      </w:r>
      <w:r w:rsidR="00AF1A8D" w:rsidRPr="00170EF2">
        <w:t>Renal events were classified subsequent to a decrease in eGFR</w:t>
      </w:r>
      <w:r w:rsidR="00AF1A8D" w:rsidRPr="00AF1A8D">
        <w:rPr>
          <w:vertAlign w:val="subscript"/>
        </w:rPr>
        <w:t xml:space="preserve">CKD-EPI </w:t>
      </w:r>
      <w:r w:rsidR="00AF1A8D" w:rsidRPr="00170EF2">
        <w:t>≥15 mL/min/1.73m</w:t>
      </w:r>
      <w:r w:rsidR="00AF1A8D" w:rsidRPr="00AF1A8D">
        <w:rPr>
          <w:vertAlign w:val="superscript"/>
        </w:rPr>
        <w:t>2</w:t>
      </w:r>
      <w:r w:rsidR="00AF1A8D" w:rsidRPr="00170EF2">
        <w:t xml:space="preserve"> with decrease in eGFR &lt;90 mL/min/1.73m</w:t>
      </w:r>
      <w:r w:rsidR="00AF1A8D" w:rsidRPr="00AF1A8D">
        <w:rPr>
          <w:vertAlign w:val="superscript"/>
        </w:rPr>
        <w:t>2</w:t>
      </w:r>
      <w:r w:rsidR="00AF1A8D" w:rsidRPr="00170EF2">
        <w:t xml:space="preserve"> from baseline, or an increase in 24-hour urine protein ≥</w:t>
      </w:r>
      <w:r w:rsidR="00AF1A8D">
        <w:t> </w:t>
      </w:r>
      <w:r w:rsidR="00AF1A8D" w:rsidRPr="00170EF2">
        <w:t>33% with increased protein ≥</w:t>
      </w:r>
      <w:r w:rsidR="00AF1A8D">
        <w:t> </w:t>
      </w:r>
      <w:r w:rsidR="00AF1A8D" w:rsidRPr="00170EF2">
        <w:t>300 mg, from baseline. These definitions represent episodes of acute renal injury in patients with underlying renal d</w:t>
      </w:r>
      <w:r w:rsidR="00AF1A8D">
        <w:t>isease;</w:t>
      </w:r>
      <w:r w:rsidR="00AF1A8D" w:rsidRPr="00170EF2">
        <w:t xml:space="preserve"> Cardiac events included myocardial infarction; unstable angina; new symptomatic arrhythmia requiring anti-arrhythmic medication, direct current cardioversion, pacemaker, or defibrillator implantatio</w:t>
      </w:r>
      <w:r w:rsidR="00AF1A8D">
        <w:t xml:space="preserve">n; or congestive heart failure; </w:t>
      </w:r>
      <w:r w:rsidR="00AF1A8D" w:rsidRPr="00170EF2">
        <w:t>Cerebrovascular events included transient ischaemic attack (TIA) and stroke.</w:t>
      </w:r>
    </w:p>
    <w:p w:rsidR="008D3136" w:rsidRPr="00616D82" w:rsidRDefault="008D3136" w:rsidP="008D3136">
      <w:pPr>
        <w:pStyle w:val="TableFooter"/>
        <w:ind w:left="720"/>
      </w:pPr>
      <w:r w:rsidRPr="00616D82">
        <w:t xml:space="preserve">*Duration of follow-up: ATTRACT= 18 months; FACETS = 6 months; </w:t>
      </w:r>
    </w:p>
    <w:p w:rsidR="008D3136" w:rsidRDefault="008D3136" w:rsidP="0076662C">
      <w:pPr>
        <w:pStyle w:val="TableFooter"/>
        <w:ind w:left="720"/>
      </w:pPr>
      <w:r w:rsidRPr="00616D82">
        <w:t xml:space="preserve">Abbreviations: </w:t>
      </w:r>
      <w:r w:rsidR="0076662C" w:rsidRPr="0076662C">
        <w:t xml:space="preserve">CI, Confidence interval; CKD-EPI, Chronic Kidney Disease Epidemiology Collaboration; ERT, Enzyme replacement therapy; GFR, Glomerular filtration rate; GL3, globotriaosylceramide; ITT, intention to treat; mITT, modified intention to treat; PBO, placebo; RD, risk difference; RR, risk ratio; SD, standard deviation; TEAE, Treatment-emergent adverse events; </w:t>
      </w:r>
      <w:r w:rsidRPr="00616D82">
        <w:t>Source: Compiled during the evaluation</w:t>
      </w:r>
      <w:r>
        <w:t>, Table 22 p52, Table 24 p55, Table 29 p60 of the submission;</w:t>
      </w:r>
      <w:r w:rsidRPr="007F1017">
        <w:t xml:space="preserve"> Table</w:t>
      </w:r>
      <w:r>
        <w:t xml:space="preserve"> B.6.1 of the Commentary. </w:t>
      </w:r>
    </w:p>
    <w:p w:rsidR="008D3136" w:rsidRPr="00882085" w:rsidRDefault="008D3136" w:rsidP="008D3136"/>
    <w:p w:rsidR="00C40FA9" w:rsidRDefault="00C40FA9">
      <w:pPr>
        <w:widowControl/>
        <w:jc w:val="left"/>
        <w:rPr>
          <w:b/>
          <w:i/>
        </w:rPr>
      </w:pPr>
      <w:bookmarkStart w:id="22" w:name="_Toc469328263"/>
      <w:bookmarkStart w:id="23" w:name="_Toc471741269"/>
      <w:r>
        <w:rPr>
          <w:i/>
        </w:rPr>
        <w:br w:type="page"/>
      </w:r>
    </w:p>
    <w:p w:rsidR="008D3136" w:rsidRPr="00E14B57" w:rsidRDefault="008D3136" w:rsidP="008D3136">
      <w:pPr>
        <w:pStyle w:val="Heading2"/>
        <w:rPr>
          <w:i/>
        </w:rPr>
      </w:pPr>
      <w:r w:rsidRPr="00E14B57">
        <w:rPr>
          <w:i/>
        </w:rPr>
        <w:t>Clinical claim</w:t>
      </w:r>
      <w:bookmarkEnd w:id="22"/>
      <w:bookmarkEnd w:id="23"/>
    </w:p>
    <w:p w:rsidR="008D3136" w:rsidRPr="00882085" w:rsidRDefault="008D3136" w:rsidP="008D3136">
      <w:pPr>
        <w:ind w:left="720" w:hanging="720"/>
        <w:rPr>
          <w:szCs w:val="22"/>
        </w:rPr>
      </w:pPr>
    </w:p>
    <w:p w:rsidR="008D3136" w:rsidRPr="00E14B57" w:rsidRDefault="008D3136" w:rsidP="00B63C23">
      <w:pPr>
        <w:pStyle w:val="ListParagraph"/>
        <w:numPr>
          <w:ilvl w:val="1"/>
          <w:numId w:val="2"/>
        </w:numPr>
      </w:pPr>
      <w:r w:rsidRPr="00E14B57">
        <w:t xml:space="preserve">The submission described migalastat as non-inferior in terms of comparative effectiveness and safety over the primary comparator, ERT, in patients with Fabry disease aged 16 years and older with an amenable mutation. </w:t>
      </w:r>
      <w:r w:rsidR="00CC74FD" w:rsidRPr="00E14B57">
        <w:t>The claim is based on biomarker surrogate outcomes</w:t>
      </w:r>
      <w:r w:rsidR="008B529F" w:rsidRPr="00E14B57">
        <w:t>.</w:t>
      </w:r>
      <w:r w:rsidR="00CC74FD" w:rsidRPr="00E14B57">
        <w:t xml:space="preserve"> </w:t>
      </w:r>
      <w:r w:rsidR="004F5B85" w:rsidRPr="00E14B57">
        <w:t>T</w:t>
      </w:r>
      <w:r w:rsidR="00CC74FD" w:rsidRPr="00E14B57">
        <w:t xml:space="preserve">he long-term implications of the intermediate outcomes of </w:t>
      </w:r>
      <w:r w:rsidR="004F5B85" w:rsidRPr="00E14B57">
        <w:t xml:space="preserve">the annualised </w:t>
      </w:r>
      <w:r w:rsidR="00CC74FD" w:rsidRPr="00E14B57">
        <w:t xml:space="preserve">change in GFR on long term organ function or survival is unknown. </w:t>
      </w:r>
      <w:r w:rsidRPr="00E14B57">
        <w:t>The claim of non-inferiority is reasonable for treatment experienced or switch patient</w:t>
      </w:r>
      <w:r w:rsidR="00EA76DA" w:rsidRPr="00E14B57">
        <w:t>s</w:t>
      </w:r>
      <w:r w:rsidRPr="00E14B57">
        <w:t>, based on the annualised change in eGFR based results in ATTRACT and the submission’s proposed non-inferiority criteria. The mean difference in eGFR</w:t>
      </w:r>
      <w:r w:rsidRPr="00E14B57">
        <w:rPr>
          <w:vertAlign w:val="subscript"/>
        </w:rPr>
        <w:t>CKD-EPI</w:t>
      </w:r>
      <w:r w:rsidRPr="00E14B57">
        <w:t xml:space="preserve"> between migalastat and ERT </w:t>
      </w:r>
      <w:r w:rsidR="00C51311" w:rsidRPr="00E14B57">
        <w:t xml:space="preserve">in the mITT amenable population </w:t>
      </w:r>
      <w:r w:rsidRPr="00E14B57">
        <w:t>was 0.63 mL/min/1.73m</w:t>
      </w:r>
      <w:r w:rsidRPr="00E14B57">
        <w:rPr>
          <w:vertAlign w:val="superscript"/>
        </w:rPr>
        <w:t>2</w:t>
      </w:r>
      <w:r w:rsidRPr="00E14B57">
        <w:t>/year. However, analyses of the trials were based on the amenable population, which reduced the sample sizes of the analyses conducted. These analyses were post-hoc in nature and the trials were not powered to detect differences in the outcomes.</w:t>
      </w:r>
      <w:r w:rsidR="00CC74FD" w:rsidRPr="00E14B57">
        <w:t xml:space="preserve"> </w:t>
      </w:r>
    </w:p>
    <w:p w:rsidR="008D3136" w:rsidRPr="00E14B57" w:rsidRDefault="008D3136" w:rsidP="008D3136">
      <w:pPr>
        <w:widowControl/>
      </w:pPr>
    </w:p>
    <w:p w:rsidR="008D3136" w:rsidRPr="00E14B57" w:rsidRDefault="008D3136" w:rsidP="00B63C23">
      <w:pPr>
        <w:pStyle w:val="ListParagraph"/>
        <w:numPr>
          <w:ilvl w:val="1"/>
          <w:numId w:val="2"/>
        </w:numPr>
      </w:pPr>
      <w:r w:rsidRPr="00E14B57">
        <w:t xml:space="preserve">The </w:t>
      </w:r>
      <w:r w:rsidR="0078072B" w:rsidRPr="00E14B57">
        <w:t xml:space="preserve">submission’s claim of </w:t>
      </w:r>
      <w:r w:rsidR="00EA76DA" w:rsidRPr="00E14B57">
        <w:t xml:space="preserve">non-inferiority </w:t>
      </w:r>
      <w:r w:rsidR="0078072B" w:rsidRPr="00E14B57">
        <w:t xml:space="preserve">of efficacy and safety of migalastat to ERT </w:t>
      </w:r>
      <w:r w:rsidR="004004D2" w:rsidRPr="00E14B57">
        <w:t xml:space="preserve">was </w:t>
      </w:r>
      <w:r w:rsidRPr="00E14B57">
        <w:t xml:space="preserve">not adequately supported in the treatment-naïve population. FACETS was a placebo controlled trial and did not provide comparative evidence with ERT. The statistical power of the study was substantially reduced in the analysis of the amenable population. The extent of benefit </w:t>
      </w:r>
      <w:r w:rsidR="00EA76DA" w:rsidRPr="00E14B57">
        <w:t xml:space="preserve">to treatment-naïve </w:t>
      </w:r>
      <w:r w:rsidRPr="00E14B57">
        <w:t>patients with Fabry disease who are treat</w:t>
      </w:r>
      <w:r w:rsidR="00EA76DA" w:rsidRPr="00E14B57">
        <w:t>ed</w:t>
      </w:r>
      <w:r w:rsidRPr="00E14B57">
        <w:t xml:space="preserve"> with migalastat is unclear. The submission presented a supportive qualitative indirect comparison of migalastat and ERT using placebo as the common comparator in support of this claim. However, no comparative evidence was provided for migalastat and agalsidase beta, and</w:t>
      </w:r>
      <w:r w:rsidRPr="00E14B57">
        <w:rPr>
          <w:iCs/>
        </w:rPr>
        <w:t xml:space="preserve"> qualitative comparisons of efficacy with agalsidase alfa were limited in terms of the exchangeability of the included </w:t>
      </w:r>
      <w:r w:rsidR="00B07735" w:rsidRPr="00E14B57">
        <w:rPr>
          <w:iCs/>
        </w:rPr>
        <w:t>trials</w:t>
      </w:r>
      <w:r w:rsidR="000E09CB">
        <w:rPr>
          <w:iCs/>
        </w:rPr>
        <w:t xml:space="preserve">. </w:t>
      </w:r>
      <w:r w:rsidR="00A6313A" w:rsidRPr="00E14B57">
        <w:t>The ESC considered while migalastat may provide a small benefit compared to placebo in treatment-naïve</w:t>
      </w:r>
      <w:r w:rsidR="007B1D24">
        <w:t xml:space="preserve"> patients</w:t>
      </w:r>
      <w:r w:rsidR="001C7D57" w:rsidRPr="00E14B57">
        <w:t xml:space="preserve">, the comparative efficacy against the comparators has not been established. The ESC noted, in regards to subsidy of migalastat only in treatment-experienced patients, that the PSCR  stated there is a likelihood that treatment naïve patients who wish to use migalastat will use ERT in order to gain eligibility, leading to the same outcome in a less efficient manner. </w:t>
      </w:r>
      <w:r w:rsidR="0085328C" w:rsidRPr="00E14B57">
        <w:t xml:space="preserve">Further, the PSCR claimed the submission shows that there will be one new patient seeking subsidy for treatment per year (including amenable and non-amenable patients). The ESC considered that this claim may be an underestimate in practice. </w:t>
      </w:r>
    </w:p>
    <w:p w:rsidR="008D3136" w:rsidRPr="00E14B57" w:rsidRDefault="008D3136" w:rsidP="008D3136">
      <w:pPr>
        <w:pStyle w:val="ListParagraph"/>
      </w:pPr>
    </w:p>
    <w:p w:rsidR="008D3136" w:rsidRDefault="008D3136" w:rsidP="00B63C23">
      <w:pPr>
        <w:pStyle w:val="ListParagraph"/>
        <w:numPr>
          <w:ilvl w:val="1"/>
          <w:numId w:val="2"/>
        </w:numPr>
      </w:pPr>
      <w:r w:rsidRPr="00E14B57">
        <w:t xml:space="preserve">The claim for non-inferiority of safety </w:t>
      </w:r>
      <w:r w:rsidR="007B1D24">
        <w:t>may be</w:t>
      </w:r>
      <w:r w:rsidR="007B1D24" w:rsidRPr="00E14B57">
        <w:t xml:space="preserve"> </w:t>
      </w:r>
      <w:r w:rsidRPr="00E14B57">
        <w:t>reasonable</w:t>
      </w:r>
      <w:r w:rsidR="00AD4EC0" w:rsidRPr="00E14B57">
        <w:t>.</w:t>
      </w:r>
      <w:r w:rsidRPr="00E14B57">
        <w:t xml:space="preserve"> </w:t>
      </w:r>
      <w:r w:rsidR="00AD4EC0" w:rsidRPr="00E14B57">
        <w:t>H</w:t>
      </w:r>
      <w:r w:rsidRPr="00E14B57">
        <w:t xml:space="preserve">owever, the TGA assessment of ATTRACT and FACETS is ongoing, and advice of this assessment is expected to be available after the March 2017 PBAC meeting. </w:t>
      </w:r>
    </w:p>
    <w:p w:rsidR="008D3136" w:rsidRPr="00882085" w:rsidRDefault="008D3136" w:rsidP="005A08BE">
      <w:pPr>
        <w:rPr>
          <w:szCs w:val="22"/>
        </w:rPr>
      </w:pPr>
    </w:p>
    <w:p w:rsidR="008D3136" w:rsidRPr="00E14B57" w:rsidRDefault="008D3136" w:rsidP="008D3136">
      <w:pPr>
        <w:pStyle w:val="Heading2"/>
        <w:rPr>
          <w:i/>
        </w:rPr>
      </w:pPr>
      <w:bookmarkStart w:id="24" w:name="_Toc469328264"/>
      <w:bookmarkStart w:id="25" w:name="_Toc471741270"/>
      <w:r w:rsidRPr="00E14B57">
        <w:rPr>
          <w:i/>
        </w:rPr>
        <w:t>Economic analysis</w:t>
      </w:r>
      <w:bookmarkEnd w:id="24"/>
      <w:bookmarkEnd w:id="25"/>
      <w:r w:rsidRPr="00E14B57">
        <w:rPr>
          <w:i/>
        </w:rPr>
        <w:t xml:space="preserve"> </w:t>
      </w:r>
    </w:p>
    <w:p w:rsidR="008D3136" w:rsidRPr="005717E0" w:rsidRDefault="008D3136" w:rsidP="008D3136">
      <w:pPr>
        <w:widowControl/>
        <w:rPr>
          <w:szCs w:val="22"/>
        </w:rPr>
      </w:pPr>
    </w:p>
    <w:p w:rsidR="008D3136" w:rsidRPr="00F42030" w:rsidRDefault="008D3136" w:rsidP="00B63C23">
      <w:pPr>
        <w:pStyle w:val="ListParagraph"/>
        <w:widowControl/>
        <w:numPr>
          <w:ilvl w:val="1"/>
          <w:numId w:val="2"/>
        </w:numPr>
        <w:rPr>
          <w:szCs w:val="22"/>
        </w:rPr>
      </w:pPr>
      <w:r w:rsidRPr="00E14B57">
        <w:t>The equi-effective doses are estimated as migalastat 150 mg every other day, and agalsi</w:t>
      </w:r>
      <w:r w:rsidR="000247EE" w:rsidRPr="00E14B57">
        <w:t>d</w:t>
      </w:r>
      <w:r w:rsidRPr="00E14B57">
        <w:t xml:space="preserve">ase alfa 0.2 mg/kg and agalsidase beta 1.0 mg/kg fortnightly. This </w:t>
      </w:r>
      <w:r w:rsidR="009842B8" w:rsidRPr="00E14B57">
        <w:t>wa</w:t>
      </w:r>
      <w:r w:rsidRPr="00E14B57">
        <w:t xml:space="preserve">s based on the </w:t>
      </w:r>
      <w:r w:rsidR="00F11B88" w:rsidRPr="00E14B57">
        <w:t xml:space="preserve">product information </w:t>
      </w:r>
      <w:r w:rsidRPr="00E14B57">
        <w:t xml:space="preserve">doses </w:t>
      </w:r>
      <w:r w:rsidR="004A6FA3" w:rsidRPr="00E14B57">
        <w:t>for the two pr</w:t>
      </w:r>
      <w:r w:rsidR="005F5BBC" w:rsidRPr="00E14B57">
        <w:t>o</w:t>
      </w:r>
      <w:r w:rsidR="004A6FA3" w:rsidRPr="00E14B57">
        <w:t>ducts</w:t>
      </w:r>
      <w:r w:rsidR="00EB5A2E" w:rsidRPr="00E14B57">
        <w:t xml:space="preserve"> as indicative of likely clinical practice</w:t>
      </w:r>
      <w:r w:rsidR="004A6FA3" w:rsidRPr="00E14B57">
        <w:t>. Information on the mean doses of agalsidase alfa and agalsidase beta dosing was not reported from ATTRACT (the comparative study). It was thus not possible to estimate t</w:t>
      </w:r>
      <w:r w:rsidR="00F11B88" w:rsidRPr="00E14B57">
        <w:t>rial based equi</w:t>
      </w:r>
      <w:r w:rsidR="00F11B88" w:rsidRPr="00E14B57">
        <w:noBreakHyphen/>
        <w:t xml:space="preserve">effective doses </w:t>
      </w:r>
      <w:r w:rsidR="004A6FA3" w:rsidRPr="00E14B57">
        <w:t>for migalastat with ERT.</w:t>
      </w:r>
      <w:r w:rsidRPr="00E14B57">
        <w:t xml:space="preserve"> Th</w:t>
      </w:r>
      <w:r w:rsidR="009842B8" w:rsidRPr="00E14B57">
        <w:t xml:space="preserve">is resulted in </w:t>
      </w:r>
      <w:r w:rsidRPr="00E14B57">
        <w:t>uncertainty in the equi</w:t>
      </w:r>
      <w:r w:rsidR="00F11B88" w:rsidRPr="00E14B57">
        <w:noBreakHyphen/>
      </w:r>
      <w:r w:rsidRPr="00E14B57">
        <w:t>effective dose.</w:t>
      </w:r>
      <w:r w:rsidR="00B84911" w:rsidRPr="00E14B57">
        <w:t xml:space="preserve"> </w:t>
      </w:r>
      <w:r w:rsidR="00B07735" w:rsidRPr="00E14B57">
        <w:t>The PSCR</w:t>
      </w:r>
      <w:r w:rsidR="00B84911" w:rsidRPr="00E14B57">
        <w:t xml:space="preserve"> </w:t>
      </w:r>
      <w:r w:rsidR="00A548BE" w:rsidRPr="00E14B57">
        <w:t>reiterated</w:t>
      </w:r>
      <w:r w:rsidR="00E81C48" w:rsidRPr="00E14B57">
        <w:t xml:space="preserve"> that the study required patients to be on the full labelled dose of ERT prior to enrolment and during the study</w:t>
      </w:r>
      <w:r w:rsidR="00A548BE" w:rsidRPr="00E14B57">
        <w:t xml:space="preserve">. The PSRC argued the deviations from the expected utilisation thus reflect variations in compliance. The mean and median compliance </w:t>
      </w:r>
      <w:r w:rsidR="007B1D24">
        <w:t>was</w:t>
      </w:r>
      <w:r w:rsidR="00A548BE" w:rsidRPr="00E14B57">
        <w:t xml:space="preserve"> high across both the migalastat and ERT groups (mean: 99.07%; median: 99.82% and mean: 97.03%; median: 100%) </w:t>
      </w:r>
      <w:r w:rsidR="00B07735" w:rsidRPr="00E14B57">
        <w:t>respectively. While</w:t>
      </w:r>
      <w:r w:rsidR="00A548BE" w:rsidRPr="00E14B57">
        <w:t xml:space="preserve"> the actual doses were not reported in the ATTRACT trial, t</w:t>
      </w:r>
      <w:r w:rsidR="00E81C48" w:rsidRPr="00E14B57">
        <w:t xml:space="preserve">he ESC accepted that the </w:t>
      </w:r>
      <w:r w:rsidR="00A548BE" w:rsidRPr="00E14B57">
        <w:t xml:space="preserve">proposed </w:t>
      </w:r>
      <w:r w:rsidR="000930D0" w:rsidRPr="00E14B57">
        <w:t xml:space="preserve">methodology to derive the </w:t>
      </w:r>
      <w:r w:rsidR="00E81C48" w:rsidRPr="00E14B57">
        <w:t>equi-effective doses w</w:t>
      </w:r>
      <w:r w:rsidR="0060639E" w:rsidRPr="00E14B57">
        <w:t>as</w:t>
      </w:r>
      <w:r w:rsidR="00E81C48" w:rsidRPr="00E14B57">
        <w:t xml:space="preserve"> reasonable.</w:t>
      </w:r>
    </w:p>
    <w:p w:rsidR="00F42030" w:rsidRPr="00F42030" w:rsidRDefault="00F42030" w:rsidP="00F42030">
      <w:pPr>
        <w:pStyle w:val="ListParagraph"/>
        <w:widowControl/>
        <w:rPr>
          <w:szCs w:val="22"/>
        </w:rPr>
      </w:pPr>
    </w:p>
    <w:p w:rsidR="008D3136" w:rsidRPr="00B369A1" w:rsidRDefault="000E09CB" w:rsidP="008D3136">
      <w:pPr>
        <w:pStyle w:val="ListParagraph"/>
        <w:numPr>
          <w:ilvl w:val="1"/>
          <w:numId w:val="2"/>
        </w:numPr>
      </w:pPr>
      <w:r w:rsidRPr="00B369A1">
        <w:rPr>
          <w:szCs w:val="22"/>
        </w:rPr>
        <w:t>Based on the metho</w:t>
      </w:r>
      <w:r w:rsidR="0096496D">
        <w:rPr>
          <w:szCs w:val="22"/>
        </w:rPr>
        <w:t>do</w:t>
      </w:r>
      <w:r w:rsidRPr="00B369A1">
        <w:rPr>
          <w:szCs w:val="22"/>
        </w:rPr>
        <w:t>logy in the submission, t</w:t>
      </w:r>
      <w:r w:rsidR="00F42030" w:rsidRPr="00B369A1">
        <w:rPr>
          <w:szCs w:val="22"/>
        </w:rPr>
        <w:t>he annual cost of treatment per patient differs between all three treatments. Agalsidase beta was estimated to be $</w:t>
      </w:r>
      <w:r w:rsidR="000D3DF5">
        <w:rPr>
          <w:noProof/>
          <w:color w:val="000000"/>
          <w:szCs w:val="22"/>
          <w:highlight w:val="black"/>
        </w:rPr>
        <w:t xml:space="preserve">''''''''''''''''''' </w:t>
      </w:r>
      <w:r w:rsidR="00F42030" w:rsidRPr="00B369A1">
        <w:rPr>
          <w:szCs w:val="22"/>
        </w:rPr>
        <w:t>per patient per year, compared to agalsidase alfa at $</w:t>
      </w:r>
      <w:r w:rsidR="000D3DF5">
        <w:rPr>
          <w:noProof/>
          <w:color w:val="000000"/>
          <w:szCs w:val="22"/>
          <w:highlight w:val="black"/>
        </w:rPr>
        <w:t>'''''''''''''''''''</w:t>
      </w:r>
      <w:r w:rsidR="00F42030" w:rsidRPr="00B369A1">
        <w:rPr>
          <w:szCs w:val="22"/>
        </w:rPr>
        <w:t xml:space="preserve"> per patient per year. Migalastat is estimated to be $</w:t>
      </w:r>
      <w:r w:rsidR="000D3DF5">
        <w:rPr>
          <w:noProof/>
          <w:color w:val="000000"/>
          <w:szCs w:val="22"/>
          <w:highlight w:val="black"/>
        </w:rPr>
        <w:t>'''''''''''''''''''</w:t>
      </w:r>
      <w:r w:rsidR="00F42030" w:rsidRPr="00B369A1">
        <w:rPr>
          <w:szCs w:val="22"/>
        </w:rPr>
        <w:t xml:space="preserve"> per patient per year. </w:t>
      </w:r>
    </w:p>
    <w:p w:rsidR="000E09CB" w:rsidRPr="00E14B57" w:rsidRDefault="000E09CB" w:rsidP="000E09CB"/>
    <w:p w:rsidR="00461055" w:rsidRPr="00E14B57" w:rsidRDefault="00B82947" w:rsidP="00B63C23">
      <w:pPr>
        <w:pStyle w:val="ListParagraph"/>
        <w:widowControl/>
        <w:numPr>
          <w:ilvl w:val="1"/>
          <w:numId w:val="2"/>
        </w:numPr>
        <w:rPr>
          <w:szCs w:val="22"/>
        </w:rPr>
      </w:pPr>
      <w:r w:rsidRPr="00E14B57">
        <w:t xml:space="preserve">No </w:t>
      </w:r>
      <w:r w:rsidR="008D3136" w:rsidRPr="00E14B57">
        <w:t>additional costs/offsets for initiation on to migalastat or monitoring of adverse events as requested in the draft PI</w:t>
      </w:r>
      <w:r w:rsidRPr="00E14B57">
        <w:t xml:space="preserve"> were included</w:t>
      </w:r>
      <w:r w:rsidR="008D3136" w:rsidRPr="00E14B57">
        <w:t xml:space="preserve">. </w:t>
      </w:r>
      <w:r w:rsidR="005F45AA" w:rsidRPr="00E14B57">
        <w:t>The cost of the</w:t>
      </w:r>
      <w:r w:rsidR="005F5BBC" w:rsidRPr="00E14B57">
        <w:t xml:space="preserve"> Galafold </w:t>
      </w:r>
      <w:r w:rsidR="00914BE0" w:rsidRPr="00E14B57">
        <w:t xml:space="preserve">GLP-HEK assay </w:t>
      </w:r>
      <w:r w:rsidR="005F45AA" w:rsidRPr="00E14B57">
        <w:t>test was not included in the cost</w:t>
      </w:r>
      <w:r w:rsidR="005F45AA" w:rsidRPr="00E14B57">
        <w:noBreakHyphen/>
        <w:t>minimisation</w:t>
      </w:r>
      <w:r w:rsidR="009842B8" w:rsidRPr="00E14B57">
        <w:t xml:space="preserve"> analysis</w:t>
      </w:r>
      <w:r w:rsidR="005F45AA" w:rsidRPr="00E14B57">
        <w:t>.</w:t>
      </w:r>
      <w:r w:rsidR="000E2CA5" w:rsidRPr="00E14B57">
        <w:t xml:space="preserve"> The submission state</w:t>
      </w:r>
      <w:r w:rsidR="00527F9E" w:rsidRPr="00E14B57">
        <w:t>d</w:t>
      </w:r>
      <w:r w:rsidR="000E2CA5" w:rsidRPr="00E14B57">
        <w:t xml:space="preserve"> ‘Amicus Therapeutics will test the novel mutation for amenability using the Galafold Amenability Assay at no cost to the patient or healthcare system’. </w:t>
      </w:r>
      <w:r w:rsidR="00E81C48" w:rsidRPr="00E14B57">
        <w:t xml:space="preserve">According to the PSCR , while the assay and blood collection costs will be borne by the sponsor, patients with novel GLA mutations will require a single further appointment with their treating physician, at a </w:t>
      </w:r>
      <w:r w:rsidR="007B1D24">
        <w:t xml:space="preserve">total </w:t>
      </w:r>
      <w:r w:rsidR="00E81C48" w:rsidRPr="00E14B57">
        <w:t xml:space="preserve">cost of </w:t>
      </w:r>
      <w:r w:rsidR="00336C61" w:rsidRPr="00E14B57">
        <w:t>$</w:t>
      </w:r>
      <w:r w:rsidR="00E81C48" w:rsidRPr="00E14B57">
        <w:t>528.40 to the MBS over the first five years of listing. The sponsor also</w:t>
      </w:r>
      <w:r w:rsidR="00527F9E" w:rsidRPr="00E14B57">
        <w:t xml:space="preserve"> proposed to</w:t>
      </w:r>
      <w:r w:rsidR="00B07735" w:rsidRPr="00E14B57">
        <w:t xml:space="preserve"> cover ad</w:t>
      </w:r>
      <w:r w:rsidR="00E81C48" w:rsidRPr="00E14B57">
        <w:t xml:space="preserve">ditional costs of </w:t>
      </w:r>
      <w:r w:rsidR="00B07735" w:rsidRPr="00E14B57">
        <w:t>monitoring</w:t>
      </w:r>
      <w:r w:rsidR="00E81C48" w:rsidRPr="00E14B57">
        <w:t xml:space="preserve"> patients for adverse events. </w:t>
      </w:r>
      <w:r w:rsidR="007D4F01" w:rsidRPr="00E14B57">
        <w:t xml:space="preserve">The ESC noted </w:t>
      </w:r>
      <w:r w:rsidR="00E86346" w:rsidRPr="00E14B57">
        <w:t xml:space="preserve">that as these procedures would occur in different health care settings, it could be complicated to implement an agreement between all stakeholders. </w:t>
      </w:r>
      <w:r w:rsidR="00DD7406" w:rsidRPr="00E14B57">
        <w:t>A</w:t>
      </w:r>
      <w:r w:rsidR="00E86346" w:rsidRPr="00E14B57">
        <w:t>n a</w:t>
      </w:r>
      <w:r w:rsidR="00DD7406" w:rsidRPr="00E14B57">
        <w:t>lternative could be to include these costs as an offset in the cost-minimisation analysis against the comparators.</w:t>
      </w:r>
    </w:p>
    <w:p w:rsidR="00461055" w:rsidRPr="00461055" w:rsidRDefault="00461055" w:rsidP="00461055">
      <w:pPr>
        <w:widowControl/>
        <w:rPr>
          <w:szCs w:val="22"/>
        </w:rPr>
      </w:pPr>
    </w:p>
    <w:p w:rsidR="008D3136" w:rsidRPr="00E14B57" w:rsidRDefault="008D3136" w:rsidP="008D3136">
      <w:pPr>
        <w:pStyle w:val="Heading2"/>
        <w:rPr>
          <w:i/>
          <w:szCs w:val="22"/>
        </w:rPr>
      </w:pPr>
      <w:bookmarkStart w:id="26" w:name="_Toc469328265"/>
      <w:bookmarkStart w:id="27" w:name="_Toc471741271"/>
      <w:r w:rsidRPr="00E14B57">
        <w:rPr>
          <w:i/>
        </w:rPr>
        <w:t>Drug cost/patient/year: $</w:t>
      </w:r>
      <w:r w:rsidR="000D3DF5">
        <w:rPr>
          <w:i/>
          <w:noProof/>
          <w:color w:val="000000"/>
          <w:highlight w:val="black"/>
        </w:rPr>
        <w:t>''''''''''''''</w:t>
      </w:r>
      <w:r w:rsidRPr="00E14B57">
        <w:rPr>
          <w:i/>
        </w:rPr>
        <w:t>.</w:t>
      </w:r>
      <w:bookmarkEnd w:id="26"/>
      <w:bookmarkEnd w:id="27"/>
    </w:p>
    <w:p w:rsidR="008D3136" w:rsidRPr="00C25D9C" w:rsidRDefault="008D3136" w:rsidP="008D3136">
      <w:pPr>
        <w:widowControl/>
        <w:rPr>
          <w:szCs w:val="22"/>
        </w:rPr>
      </w:pPr>
    </w:p>
    <w:p w:rsidR="009842B8" w:rsidRPr="00E14B57" w:rsidRDefault="008D3136" w:rsidP="00B63C23">
      <w:pPr>
        <w:pStyle w:val="ListParagraph"/>
        <w:widowControl/>
        <w:numPr>
          <w:ilvl w:val="1"/>
          <w:numId w:val="2"/>
        </w:numPr>
        <w:rPr>
          <w:szCs w:val="22"/>
        </w:rPr>
      </w:pPr>
      <w:r w:rsidRPr="00E14B57">
        <w:rPr>
          <w:szCs w:val="22"/>
        </w:rPr>
        <w:t>The submission used the annual cost per patient calculated as the weighted average of annual ERT use which was $</w:t>
      </w:r>
      <w:r w:rsidR="000D3DF5">
        <w:rPr>
          <w:noProof/>
          <w:color w:val="000000"/>
          <w:szCs w:val="22"/>
          <w:highlight w:val="black"/>
        </w:rPr>
        <w:t>''''''''''''''''''</w:t>
      </w:r>
      <w:r w:rsidRPr="00E14B57">
        <w:rPr>
          <w:szCs w:val="22"/>
        </w:rPr>
        <w:t xml:space="preserve">. </w:t>
      </w:r>
      <w:r w:rsidR="00522C05" w:rsidRPr="00E14B57">
        <w:rPr>
          <w:szCs w:val="22"/>
        </w:rPr>
        <w:t xml:space="preserve">The </w:t>
      </w:r>
      <w:r w:rsidR="00522C05" w:rsidRPr="00E14B57">
        <w:t>relative market share</w:t>
      </w:r>
      <w:r w:rsidR="004A6FA3" w:rsidRPr="00E14B57">
        <w:t>s</w:t>
      </w:r>
      <w:r w:rsidR="00522C05" w:rsidRPr="00E14B57">
        <w:t xml:space="preserve"> of agalsidase alfa and agalsidase beta</w:t>
      </w:r>
      <w:r w:rsidR="00B82947" w:rsidRPr="00E14B57">
        <w:t xml:space="preserve"> used to calculate the cost</w:t>
      </w:r>
      <w:r w:rsidR="006A239C" w:rsidRPr="00E14B57">
        <w:t>-</w:t>
      </w:r>
      <w:r w:rsidR="00B82947" w:rsidRPr="00E14B57">
        <w:t>minimised price</w:t>
      </w:r>
      <w:r w:rsidR="00522C05" w:rsidRPr="00E14B57">
        <w:rPr>
          <w:szCs w:val="22"/>
        </w:rPr>
        <w:t xml:space="preserve"> w</w:t>
      </w:r>
      <w:r w:rsidR="004A6FA3" w:rsidRPr="00E14B57">
        <w:rPr>
          <w:szCs w:val="22"/>
        </w:rPr>
        <w:t>ere</w:t>
      </w:r>
      <w:r w:rsidR="00522C05" w:rsidRPr="00E14B57">
        <w:rPr>
          <w:szCs w:val="22"/>
        </w:rPr>
        <w:t xml:space="preserve"> </w:t>
      </w:r>
      <w:r w:rsidR="00B82947" w:rsidRPr="00E14B57">
        <w:rPr>
          <w:szCs w:val="22"/>
        </w:rPr>
        <w:t xml:space="preserve">37.5% and 62.5%, respectively. There is uncertainty regarding </w:t>
      </w:r>
      <w:r w:rsidR="004A6FA3" w:rsidRPr="00E14B57">
        <w:rPr>
          <w:szCs w:val="22"/>
        </w:rPr>
        <w:t xml:space="preserve">these </w:t>
      </w:r>
      <w:r w:rsidR="00B82947" w:rsidRPr="00E14B57">
        <w:rPr>
          <w:szCs w:val="22"/>
        </w:rPr>
        <w:t>market share</w:t>
      </w:r>
      <w:r w:rsidR="004A6FA3" w:rsidRPr="00E14B57">
        <w:rPr>
          <w:szCs w:val="22"/>
        </w:rPr>
        <w:t>s</w:t>
      </w:r>
      <w:r w:rsidR="005F5BBC" w:rsidRPr="00E14B57">
        <w:rPr>
          <w:szCs w:val="22"/>
        </w:rPr>
        <w:t xml:space="preserve"> </w:t>
      </w:r>
      <w:r w:rsidR="009842B8" w:rsidRPr="00E14B57">
        <w:rPr>
          <w:szCs w:val="22"/>
        </w:rPr>
        <w:t>for</w:t>
      </w:r>
      <w:r w:rsidR="005F5BBC" w:rsidRPr="00E14B57">
        <w:rPr>
          <w:szCs w:val="22"/>
        </w:rPr>
        <w:t xml:space="preserve"> agalsidase alfa and agalsidase beta which affects the</w:t>
      </w:r>
      <w:r w:rsidR="009842B8" w:rsidRPr="00E14B57">
        <w:rPr>
          <w:szCs w:val="22"/>
        </w:rPr>
        <w:t>ir</w:t>
      </w:r>
      <w:r w:rsidR="005F5BBC" w:rsidRPr="00E14B57">
        <w:rPr>
          <w:szCs w:val="22"/>
        </w:rPr>
        <w:t xml:space="preserve"> applicability </w:t>
      </w:r>
      <w:r w:rsidR="009842B8" w:rsidRPr="00E14B57">
        <w:rPr>
          <w:szCs w:val="22"/>
        </w:rPr>
        <w:t xml:space="preserve">in estimating </w:t>
      </w:r>
      <w:r w:rsidR="005F5BBC" w:rsidRPr="00E14B57">
        <w:rPr>
          <w:szCs w:val="22"/>
        </w:rPr>
        <w:t>the cost</w:t>
      </w:r>
      <w:r w:rsidR="005F5BBC" w:rsidRPr="00E14B57">
        <w:rPr>
          <w:szCs w:val="22"/>
        </w:rPr>
        <w:noBreakHyphen/>
        <w:t>minimised price</w:t>
      </w:r>
      <w:r w:rsidR="009842B8" w:rsidRPr="00E14B57">
        <w:rPr>
          <w:szCs w:val="22"/>
        </w:rPr>
        <w:t xml:space="preserve"> for migalastat</w:t>
      </w:r>
      <w:r w:rsidR="005F5BBC" w:rsidRPr="00E14B57">
        <w:rPr>
          <w:szCs w:val="22"/>
        </w:rPr>
        <w:t>.</w:t>
      </w:r>
      <w:r w:rsidR="00B82947" w:rsidRPr="00E14B57">
        <w:rPr>
          <w:szCs w:val="22"/>
        </w:rPr>
        <w:t xml:space="preserve"> </w:t>
      </w:r>
      <w:r w:rsidR="00336C61" w:rsidRPr="00E14B57">
        <w:rPr>
          <w:szCs w:val="22"/>
        </w:rPr>
        <w:t xml:space="preserve">According to the PSCR , the market shares were derived from the LSDP review (2014) based on Fabry patients currently receiving treatment in Australia. </w:t>
      </w:r>
      <w:r w:rsidR="005F5BBC" w:rsidRPr="00E14B57">
        <w:t>T</w:t>
      </w:r>
      <w:r w:rsidR="00B82947" w:rsidRPr="00E14B57">
        <w:t>he prior use of ERT at baseline in the ATTRACT trial for migalastat patients was 67% (24) agalsidase alfa and 31% (11) agalsidase beta; and for ERT patients it was 62% (13) agalsidase alfa and 38% (8) agalsidase beta</w:t>
      </w:r>
      <w:r w:rsidR="00F947B6" w:rsidRPr="00E14B57">
        <w:t>.</w:t>
      </w:r>
      <w:r w:rsidR="00522C05" w:rsidRPr="00E14B57">
        <w:rPr>
          <w:szCs w:val="22"/>
        </w:rPr>
        <w:t xml:space="preserve"> </w:t>
      </w:r>
      <w:r w:rsidR="009842B8" w:rsidRPr="00E14B57">
        <w:rPr>
          <w:szCs w:val="22"/>
        </w:rPr>
        <w:t xml:space="preserve">These shares are the inverse of those used in the estimation of the cost-minimisation analysis. Given the difference in </w:t>
      </w:r>
      <w:r w:rsidR="00322057" w:rsidRPr="00E14B57">
        <w:rPr>
          <w:szCs w:val="22"/>
        </w:rPr>
        <w:t>cost of</w:t>
      </w:r>
      <w:r w:rsidR="009842B8" w:rsidRPr="00E14B57">
        <w:rPr>
          <w:szCs w:val="22"/>
        </w:rPr>
        <w:t xml:space="preserve"> the ERT products, </w:t>
      </w:r>
      <w:r w:rsidR="00322057" w:rsidRPr="00E14B57">
        <w:rPr>
          <w:szCs w:val="22"/>
        </w:rPr>
        <w:t>the cost per patient per year for migalastat would be lower ($</w:t>
      </w:r>
      <w:r w:rsidR="000D3DF5">
        <w:rPr>
          <w:noProof/>
          <w:color w:val="000000"/>
          <w:szCs w:val="22"/>
          <w:highlight w:val="black"/>
        </w:rPr>
        <w:t>'''''''''''''''''''''</w:t>
      </w:r>
      <w:r w:rsidR="00322057" w:rsidRPr="00E14B57">
        <w:rPr>
          <w:szCs w:val="22"/>
        </w:rPr>
        <w:t>) if calculated using the proportions of use of ERT products from ATTRACT</w:t>
      </w:r>
      <w:r w:rsidR="009842B8" w:rsidRPr="00E14B57">
        <w:rPr>
          <w:szCs w:val="22"/>
        </w:rPr>
        <w:t>.</w:t>
      </w:r>
    </w:p>
    <w:p w:rsidR="00106F0B" w:rsidRPr="00E14B57" w:rsidRDefault="00106F0B" w:rsidP="00C40FA9">
      <w:pPr>
        <w:pStyle w:val="ListParagraph"/>
        <w:widowControl/>
        <w:rPr>
          <w:szCs w:val="22"/>
        </w:rPr>
      </w:pPr>
    </w:p>
    <w:p w:rsidR="008D3136" w:rsidRPr="00E14B57" w:rsidRDefault="008D3136" w:rsidP="00B63C23">
      <w:pPr>
        <w:pStyle w:val="ListParagraph"/>
        <w:widowControl/>
        <w:numPr>
          <w:ilvl w:val="1"/>
          <w:numId w:val="2"/>
        </w:numPr>
        <w:rPr>
          <w:szCs w:val="22"/>
        </w:rPr>
      </w:pPr>
      <w:r w:rsidRPr="00E14B57">
        <w:rPr>
          <w:szCs w:val="22"/>
        </w:rPr>
        <w:t>The submission did not present the cost per script</w:t>
      </w:r>
      <w:r w:rsidR="000247EE" w:rsidRPr="00E14B57">
        <w:rPr>
          <w:szCs w:val="22"/>
        </w:rPr>
        <w:t>.</w:t>
      </w:r>
      <w:r w:rsidRPr="00E14B57">
        <w:rPr>
          <w:szCs w:val="22"/>
        </w:rPr>
        <w:t xml:space="preserve"> </w:t>
      </w:r>
      <w:r w:rsidR="000247EE" w:rsidRPr="00E14B57">
        <w:rPr>
          <w:szCs w:val="22"/>
        </w:rPr>
        <w:t>H</w:t>
      </w:r>
      <w:r w:rsidRPr="00E14B57">
        <w:rPr>
          <w:szCs w:val="22"/>
        </w:rPr>
        <w:t>owever, this was estimated during the evaluation</w:t>
      </w:r>
      <w:r w:rsidR="000247EE" w:rsidRPr="00E14B57">
        <w:rPr>
          <w:szCs w:val="22"/>
        </w:rPr>
        <w:t xml:space="preserve"> a</w:t>
      </w:r>
      <w:r w:rsidR="00337D7F" w:rsidRPr="00E14B57">
        <w:rPr>
          <w:szCs w:val="22"/>
        </w:rPr>
        <w:t>t</w:t>
      </w:r>
      <w:r w:rsidRPr="00E14B57">
        <w:rPr>
          <w:szCs w:val="22"/>
        </w:rPr>
        <w:t xml:space="preserve"> $</w:t>
      </w:r>
      <w:r w:rsidR="000D3DF5">
        <w:rPr>
          <w:noProof/>
          <w:color w:val="000000"/>
          <w:szCs w:val="22"/>
          <w:highlight w:val="black"/>
        </w:rPr>
        <w:t>''''''''''''''''''''''''</w:t>
      </w:r>
      <w:r w:rsidRPr="00E14B57">
        <w:rPr>
          <w:szCs w:val="22"/>
        </w:rPr>
        <w:t xml:space="preserve"> per pack (14 capsules) which is $</w:t>
      </w:r>
      <w:r w:rsidR="000D3DF5">
        <w:rPr>
          <w:noProof/>
          <w:color w:val="000000"/>
          <w:szCs w:val="22"/>
          <w:highlight w:val="black"/>
        </w:rPr>
        <w:t>''''''''''''''''''</w:t>
      </w:r>
      <w:r w:rsidRPr="00E14B57">
        <w:rPr>
          <w:szCs w:val="22"/>
        </w:rPr>
        <w:t xml:space="preserve"> per prescription for 16 weeks of treatment (initial plus 3 repeats for 4 packs in total). </w:t>
      </w:r>
      <w:r w:rsidR="00337D7F" w:rsidRPr="00E14B57">
        <w:rPr>
          <w:szCs w:val="22"/>
        </w:rPr>
        <w:t>The a</w:t>
      </w:r>
      <w:r w:rsidRPr="00E14B57">
        <w:rPr>
          <w:szCs w:val="22"/>
        </w:rPr>
        <w:t xml:space="preserve">nnual cost </w:t>
      </w:r>
      <w:r w:rsidR="00337D7F" w:rsidRPr="00E14B57">
        <w:rPr>
          <w:szCs w:val="22"/>
        </w:rPr>
        <w:t>is</w:t>
      </w:r>
      <w:r w:rsidRPr="00E14B57">
        <w:rPr>
          <w:szCs w:val="22"/>
        </w:rPr>
        <w:t xml:space="preserve"> $98,96</w:t>
      </w:r>
      <w:r w:rsidR="004A6FA3" w:rsidRPr="00E14B57">
        <w:rPr>
          <w:szCs w:val="22"/>
        </w:rPr>
        <w:t>3</w:t>
      </w:r>
      <w:r w:rsidRPr="00E14B57">
        <w:rPr>
          <w:szCs w:val="22"/>
        </w:rPr>
        <w:t xml:space="preserve"> per script </w:t>
      </w:r>
      <w:r w:rsidR="00337D7F" w:rsidRPr="00E14B57">
        <w:rPr>
          <w:szCs w:val="22"/>
        </w:rPr>
        <w:t>multiplied by 3.2</w:t>
      </w:r>
      <w:r w:rsidR="004A6FA3" w:rsidRPr="00E14B57">
        <w:rPr>
          <w:szCs w:val="22"/>
        </w:rPr>
        <w:t>6</w:t>
      </w:r>
      <w:r w:rsidR="00337D7F" w:rsidRPr="00E14B57">
        <w:rPr>
          <w:szCs w:val="22"/>
        </w:rPr>
        <w:t xml:space="preserve"> scripts (365 days/7 days weeks/16 weeks), </w:t>
      </w:r>
      <w:r w:rsidRPr="00E14B57">
        <w:rPr>
          <w:szCs w:val="22"/>
        </w:rPr>
        <w:t>equating to $</w:t>
      </w:r>
      <w:r w:rsidR="000D3DF5">
        <w:rPr>
          <w:noProof/>
          <w:color w:val="000000"/>
          <w:szCs w:val="22"/>
          <w:highlight w:val="black"/>
        </w:rPr>
        <w:t>'''''''''''''''''''</w:t>
      </w:r>
      <w:r w:rsidRPr="00E14B57">
        <w:rPr>
          <w:szCs w:val="22"/>
        </w:rPr>
        <w:t xml:space="preserve"> per year. </w:t>
      </w:r>
      <w:r w:rsidR="003F4A09" w:rsidRPr="00E14B57">
        <w:rPr>
          <w:szCs w:val="22"/>
        </w:rPr>
        <w:t>In the PSCR</w:t>
      </w:r>
      <w:r w:rsidR="00DD7406" w:rsidRPr="00E14B57">
        <w:rPr>
          <w:szCs w:val="22"/>
        </w:rPr>
        <w:t xml:space="preserve"> </w:t>
      </w:r>
      <w:r w:rsidR="003F4A09" w:rsidRPr="00E14B57">
        <w:rPr>
          <w:szCs w:val="22"/>
        </w:rPr>
        <w:t>, the sponsor agreed to increase the number of repeats to allow 24 weeks of treatment, consistent with current practice for ERTs.</w:t>
      </w:r>
    </w:p>
    <w:p w:rsidR="008D3136" w:rsidRPr="001E2B1E" w:rsidRDefault="008D3136" w:rsidP="008D3136">
      <w:pPr>
        <w:rPr>
          <w:szCs w:val="22"/>
        </w:rPr>
      </w:pPr>
    </w:p>
    <w:p w:rsidR="00684FF0" w:rsidRDefault="00684FF0">
      <w:pPr>
        <w:widowControl/>
        <w:jc w:val="left"/>
        <w:rPr>
          <w:b/>
          <w:i/>
        </w:rPr>
      </w:pPr>
      <w:bookmarkStart w:id="28" w:name="_Toc469328266"/>
      <w:bookmarkStart w:id="29" w:name="_Toc471741272"/>
      <w:r>
        <w:rPr>
          <w:i/>
        </w:rPr>
        <w:br w:type="page"/>
      </w:r>
    </w:p>
    <w:p w:rsidR="008D3136" w:rsidRPr="00E14B57" w:rsidRDefault="008D3136" w:rsidP="008D3136">
      <w:pPr>
        <w:pStyle w:val="Heading2"/>
        <w:rPr>
          <w:i/>
        </w:rPr>
      </w:pPr>
      <w:r w:rsidRPr="00E14B57">
        <w:rPr>
          <w:i/>
        </w:rPr>
        <w:t>Estimated PBS usage &amp; financial implications</w:t>
      </w:r>
      <w:bookmarkEnd w:id="28"/>
      <w:bookmarkEnd w:id="29"/>
    </w:p>
    <w:p w:rsidR="008D3136" w:rsidRPr="00882085" w:rsidRDefault="008D3136" w:rsidP="008D3136">
      <w:pPr>
        <w:ind w:left="720" w:hanging="720"/>
        <w:rPr>
          <w:b/>
          <w:i/>
          <w:szCs w:val="22"/>
        </w:rPr>
      </w:pPr>
    </w:p>
    <w:p w:rsidR="008D3136" w:rsidRPr="00E14B57" w:rsidRDefault="008D3136" w:rsidP="00B63C23">
      <w:pPr>
        <w:pStyle w:val="ListParagraph"/>
        <w:numPr>
          <w:ilvl w:val="1"/>
          <w:numId w:val="2"/>
        </w:numPr>
      </w:pPr>
      <w:r w:rsidRPr="00E14B57">
        <w:t xml:space="preserve">This submission </w:t>
      </w:r>
      <w:r w:rsidR="001E54F5" w:rsidRPr="00E14B57">
        <w:t>wa</w:t>
      </w:r>
      <w:r w:rsidRPr="00E14B57">
        <w:t>s not considered by DUSC</w:t>
      </w:r>
      <w:r w:rsidRPr="00E14B57">
        <w:rPr>
          <w:color w:val="0070C0"/>
        </w:rPr>
        <w:t xml:space="preserve">. </w:t>
      </w:r>
      <w:r w:rsidRPr="00E14B57">
        <w:t xml:space="preserve">The submission presented a mixed epidemiological/market share approach to forecast the uptake and cost of migalastat over a five year period. The submission calculated the total number of migalastat eligible patients by multiplying the amenability proportion (45%) </w:t>
      </w:r>
      <w:r w:rsidR="000247EE" w:rsidRPr="00E14B57">
        <w:t>by</w:t>
      </w:r>
      <w:r w:rsidRPr="00E14B57">
        <w:t xml:space="preserve"> the </w:t>
      </w:r>
      <w:r w:rsidR="000D3DF5">
        <w:rPr>
          <w:noProof/>
          <w:color w:val="000000"/>
          <w:highlight w:val="black"/>
        </w:rPr>
        <w:t>''''''</w:t>
      </w:r>
      <w:r w:rsidRPr="00E14B57">
        <w:t xml:space="preserve"> patients currently receiving ERT and the </w:t>
      </w:r>
      <w:r w:rsidR="000D3DF5">
        <w:rPr>
          <w:noProof/>
          <w:color w:val="000000"/>
          <w:highlight w:val="black"/>
        </w:rPr>
        <w:t>''''</w:t>
      </w:r>
      <w:r w:rsidRPr="00E14B57">
        <w:t xml:space="preserve"> grandfathered patients in Year 1. The grandfathered patients should all have amenable mutations (100%) and hence this underestimates the </w:t>
      </w:r>
      <w:r w:rsidR="000247EE" w:rsidRPr="00E14B57">
        <w:t xml:space="preserve">number of </w:t>
      </w:r>
      <w:r w:rsidRPr="00E14B57">
        <w:t>eligible patient</w:t>
      </w:r>
      <w:r w:rsidR="000247EE" w:rsidRPr="00E14B57">
        <w:t>s</w:t>
      </w:r>
      <w:r w:rsidRPr="00E14B57">
        <w:t xml:space="preserve">. Similarly, the market share (30%) was applied to the </w:t>
      </w:r>
      <w:r w:rsidR="000D3DF5">
        <w:rPr>
          <w:noProof/>
          <w:color w:val="000000"/>
          <w:highlight w:val="black"/>
        </w:rPr>
        <w:t>''''</w:t>
      </w:r>
      <w:r w:rsidRPr="00E14B57">
        <w:t xml:space="preserve"> grandfathered patients in Year 1</w:t>
      </w:r>
      <w:r w:rsidR="00337D7F" w:rsidRPr="00E14B57">
        <w:t>, which</w:t>
      </w:r>
      <w:r w:rsidRPr="00E14B57">
        <w:t xml:space="preserve"> underestimated the uptake by new patients.</w:t>
      </w:r>
    </w:p>
    <w:p w:rsidR="008D3136" w:rsidRDefault="008D3136" w:rsidP="008D3136">
      <w:pPr>
        <w:pStyle w:val="ListParagraph"/>
        <w:widowControl/>
        <w:rPr>
          <w:szCs w:val="22"/>
        </w:rPr>
      </w:pPr>
    </w:p>
    <w:p w:rsidR="008D3136" w:rsidRDefault="008D3136" w:rsidP="001E54F5">
      <w:pPr>
        <w:widowControl/>
        <w:ind w:firstLine="709"/>
        <w:rPr>
          <w:rStyle w:val="CommentReference"/>
        </w:rPr>
      </w:pPr>
      <w:r w:rsidRPr="005717E0">
        <w:rPr>
          <w:rStyle w:val="CommentReference"/>
        </w:rPr>
        <w:t xml:space="preserve">Table </w:t>
      </w:r>
      <w:r w:rsidR="007D6071">
        <w:rPr>
          <w:rStyle w:val="CommentReference"/>
        </w:rPr>
        <w:t>8</w:t>
      </w:r>
      <w:r w:rsidRPr="005717E0">
        <w:rPr>
          <w:rStyle w:val="CommentReference"/>
        </w:rPr>
        <w:t>: 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8: Estimated use and financial implications"/>
      </w:tblPr>
      <w:tblGrid>
        <w:gridCol w:w="3498"/>
        <w:gridCol w:w="968"/>
        <w:gridCol w:w="976"/>
        <w:gridCol w:w="975"/>
        <w:gridCol w:w="974"/>
        <w:gridCol w:w="955"/>
      </w:tblGrid>
      <w:tr w:rsidR="008D3136" w:rsidRPr="00180CED" w:rsidTr="001E64BC">
        <w:trPr>
          <w:tblHeader/>
        </w:trPr>
        <w:tc>
          <w:tcPr>
            <w:tcW w:w="2107" w:type="pct"/>
            <w:shd w:val="clear" w:color="auto" w:fill="auto"/>
            <w:vAlign w:val="center"/>
          </w:tcPr>
          <w:p w:rsidR="008D3136" w:rsidRPr="00180CED" w:rsidRDefault="008D3136" w:rsidP="001E54F5">
            <w:pPr>
              <w:widowControl/>
              <w:tabs>
                <w:tab w:val="left" w:pos="142"/>
              </w:tabs>
              <w:jc w:val="left"/>
              <w:rPr>
                <w:rFonts w:ascii="Arial Narrow" w:hAnsi="Arial Narrow"/>
                <w:b/>
                <w:sz w:val="20"/>
              </w:rPr>
            </w:pPr>
          </w:p>
        </w:tc>
        <w:tc>
          <w:tcPr>
            <w:tcW w:w="525" w:type="pct"/>
            <w:shd w:val="clear" w:color="auto" w:fill="auto"/>
            <w:vAlign w:val="center"/>
          </w:tcPr>
          <w:p w:rsidR="008D3136" w:rsidRPr="00180CED" w:rsidRDefault="008D3136" w:rsidP="001E54F5">
            <w:pPr>
              <w:widowControl/>
              <w:jc w:val="center"/>
              <w:rPr>
                <w:rFonts w:ascii="Arial Narrow" w:hAnsi="Arial Narrow"/>
                <w:b/>
                <w:sz w:val="20"/>
              </w:rPr>
            </w:pPr>
            <w:r w:rsidRPr="00180CED">
              <w:rPr>
                <w:rFonts w:ascii="Arial Narrow" w:hAnsi="Arial Narrow"/>
                <w:b/>
                <w:sz w:val="20"/>
              </w:rPr>
              <w:t>Year 1</w:t>
            </w:r>
          </w:p>
        </w:tc>
        <w:tc>
          <w:tcPr>
            <w:tcW w:w="596" w:type="pct"/>
            <w:shd w:val="clear" w:color="auto" w:fill="auto"/>
            <w:vAlign w:val="center"/>
          </w:tcPr>
          <w:p w:rsidR="008D3136" w:rsidRPr="00180CED" w:rsidRDefault="008D3136" w:rsidP="001E54F5">
            <w:pPr>
              <w:widowControl/>
              <w:jc w:val="center"/>
              <w:rPr>
                <w:rFonts w:ascii="Arial Narrow" w:hAnsi="Arial Narrow"/>
                <w:b/>
                <w:sz w:val="20"/>
              </w:rPr>
            </w:pPr>
            <w:r w:rsidRPr="00180CED">
              <w:rPr>
                <w:rFonts w:ascii="Arial Narrow" w:hAnsi="Arial Narrow"/>
                <w:b/>
                <w:sz w:val="20"/>
              </w:rPr>
              <w:t>Year 2</w:t>
            </w:r>
          </w:p>
        </w:tc>
        <w:tc>
          <w:tcPr>
            <w:tcW w:w="595" w:type="pct"/>
            <w:shd w:val="clear" w:color="auto" w:fill="auto"/>
            <w:vAlign w:val="center"/>
          </w:tcPr>
          <w:p w:rsidR="008D3136" w:rsidRPr="00180CED" w:rsidRDefault="008D3136" w:rsidP="001E54F5">
            <w:pPr>
              <w:widowControl/>
              <w:jc w:val="center"/>
              <w:rPr>
                <w:rFonts w:ascii="Arial Narrow" w:hAnsi="Arial Narrow"/>
                <w:b/>
                <w:sz w:val="20"/>
              </w:rPr>
            </w:pPr>
            <w:r w:rsidRPr="00180CED">
              <w:rPr>
                <w:rFonts w:ascii="Arial Narrow" w:hAnsi="Arial Narrow"/>
                <w:b/>
                <w:sz w:val="20"/>
              </w:rPr>
              <w:t>Year 3</w:t>
            </w:r>
          </w:p>
        </w:tc>
        <w:tc>
          <w:tcPr>
            <w:tcW w:w="594" w:type="pct"/>
            <w:shd w:val="clear" w:color="auto" w:fill="auto"/>
            <w:vAlign w:val="center"/>
          </w:tcPr>
          <w:p w:rsidR="008D3136" w:rsidRPr="00180CED" w:rsidRDefault="008D3136" w:rsidP="001E54F5">
            <w:pPr>
              <w:widowControl/>
              <w:jc w:val="center"/>
              <w:rPr>
                <w:rFonts w:ascii="Arial Narrow" w:hAnsi="Arial Narrow"/>
                <w:b/>
                <w:sz w:val="20"/>
              </w:rPr>
            </w:pPr>
            <w:r w:rsidRPr="00180CED">
              <w:rPr>
                <w:rFonts w:ascii="Arial Narrow" w:hAnsi="Arial Narrow"/>
                <w:b/>
                <w:sz w:val="20"/>
              </w:rPr>
              <w:t>Year 4</w:t>
            </w:r>
          </w:p>
        </w:tc>
        <w:tc>
          <w:tcPr>
            <w:tcW w:w="583" w:type="pct"/>
            <w:shd w:val="clear" w:color="auto" w:fill="auto"/>
            <w:vAlign w:val="center"/>
          </w:tcPr>
          <w:p w:rsidR="008D3136" w:rsidRPr="00180CED" w:rsidRDefault="008D3136" w:rsidP="001E54F5">
            <w:pPr>
              <w:widowControl/>
              <w:jc w:val="center"/>
              <w:rPr>
                <w:rFonts w:ascii="Arial Narrow" w:hAnsi="Arial Narrow"/>
                <w:b/>
                <w:sz w:val="20"/>
              </w:rPr>
            </w:pPr>
            <w:r w:rsidRPr="00180CED">
              <w:rPr>
                <w:rFonts w:ascii="Arial Narrow" w:hAnsi="Arial Narrow"/>
                <w:b/>
                <w:sz w:val="20"/>
              </w:rPr>
              <w:t>Year 5</w:t>
            </w:r>
          </w:p>
        </w:tc>
      </w:tr>
      <w:tr w:rsidR="008D3136" w:rsidRPr="00180CED" w:rsidTr="001E64BC">
        <w:tc>
          <w:tcPr>
            <w:tcW w:w="5000" w:type="pct"/>
            <w:gridSpan w:val="6"/>
            <w:shd w:val="clear" w:color="auto" w:fill="auto"/>
            <w:vAlign w:val="center"/>
          </w:tcPr>
          <w:p w:rsidR="008D3136" w:rsidRPr="00180CED" w:rsidRDefault="008D3136" w:rsidP="001E54F5">
            <w:pPr>
              <w:widowControl/>
              <w:jc w:val="left"/>
              <w:rPr>
                <w:rFonts w:ascii="Arial Narrow" w:hAnsi="Arial Narrow"/>
                <w:b/>
                <w:bCs/>
                <w:color w:val="000000"/>
                <w:sz w:val="20"/>
              </w:rPr>
            </w:pPr>
            <w:r w:rsidRPr="00180CED">
              <w:rPr>
                <w:rFonts w:ascii="Arial Narrow" w:hAnsi="Arial Narrow"/>
                <w:b/>
                <w:bCs/>
                <w:color w:val="000000"/>
                <w:sz w:val="20"/>
              </w:rPr>
              <w:t>Estimated extent of use</w:t>
            </w:r>
          </w:p>
        </w:tc>
      </w:tr>
      <w:tr w:rsidR="008D3136" w:rsidRPr="00180CED" w:rsidTr="001E64BC">
        <w:tc>
          <w:tcPr>
            <w:tcW w:w="2107" w:type="pct"/>
            <w:shd w:val="clear" w:color="auto" w:fill="auto"/>
            <w:vAlign w:val="center"/>
          </w:tcPr>
          <w:p w:rsidR="008D3136" w:rsidRPr="00180CED" w:rsidRDefault="008D3136" w:rsidP="001E54F5">
            <w:pPr>
              <w:widowControl/>
              <w:tabs>
                <w:tab w:val="left" w:pos="142"/>
              </w:tabs>
              <w:jc w:val="left"/>
              <w:rPr>
                <w:rFonts w:ascii="Arial Narrow" w:hAnsi="Arial Narrow"/>
                <w:sz w:val="20"/>
              </w:rPr>
            </w:pPr>
            <w:r w:rsidRPr="00180CED">
              <w:rPr>
                <w:rFonts w:ascii="Arial Narrow" w:hAnsi="Arial Narrow"/>
                <w:sz w:val="20"/>
              </w:rPr>
              <w:t>Number eligible</w:t>
            </w:r>
          </w:p>
        </w:tc>
        <w:tc>
          <w:tcPr>
            <w:tcW w:w="525" w:type="pct"/>
            <w:shd w:val="clear" w:color="auto" w:fill="auto"/>
          </w:tcPr>
          <w:p w:rsidR="008D3136" w:rsidRPr="000D3DF5" w:rsidRDefault="000D3DF5" w:rsidP="001E54F5">
            <w:pPr>
              <w:widowControl/>
              <w:jc w:val="center"/>
              <w:rPr>
                <w:rFonts w:ascii="Arial Narrow" w:hAnsi="Arial Narrow"/>
                <w:sz w:val="20"/>
                <w:highlight w:val="black"/>
              </w:rPr>
            </w:pPr>
            <w:r>
              <w:rPr>
                <w:rFonts w:ascii="Arial Narrow" w:hAnsi="Arial Narrow"/>
                <w:noProof/>
                <w:color w:val="000000"/>
                <w:sz w:val="20"/>
                <w:highlight w:val="black"/>
              </w:rPr>
              <w:t>''''''''''''''</w:t>
            </w:r>
          </w:p>
        </w:tc>
        <w:tc>
          <w:tcPr>
            <w:tcW w:w="596" w:type="pct"/>
            <w:shd w:val="clear" w:color="auto" w:fill="auto"/>
          </w:tcPr>
          <w:p w:rsidR="008D3136" w:rsidRPr="000D3DF5" w:rsidRDefault="000D3DF5" w:rsidP="001E54F5">
            <w:pPr>
              <w:widowControl/>
              <w:jc w:val="center"/>
              <w:rPr>
                <w:rFonts w:ascii="Arial Narrow" w:hAnsi="Arial Narrow"/>
                <w:sz w:val="20"/>
                <w:highlight w:val="black"/>
              </w:rPr>
            </w:pPr>
            <w:r>
              <w:rPr>
                <w:rFonts w:ascii="Arial Narrow" w:hAnsi="Arial Narrow"/>
                <w:noProof/>
                <w:color w:val="000000"/>
                <w:sz w:val="20"/>
                <w:highlight w:val="black"/>
              </w:rPr>
              <w:t>'''''''''''''</w:t>
            </w:r>
          </w:p>
        </w:tc>
        <w:tc>
          <w:tcPr>
            <w:tcW w:w="595" w:type="pct"/>
            <w:shd w:val="clear" w:color="auto" w:fill="auto"/>
          </w:tcPr>
          <w:p w:rsidR="008D3136" w:rsidRPr="000D3DF5" w:rsidRDefault="000D3DF5" w:rsidP="001E54F5">
            <w:pPr>
              <w:widowControl/>
              <w:jc w:val="center"/>
              <w:rPr>
                <w:rFonts w:ascii="Arial Narrow" w:hAnsi="Arial Narrow"/>
                <w:sz w:val="20"/>
                <w:highlight w:val="black"/>
              </w:rPr>
            </w:pPr>
            <w:r>
              <w:rPr>
                <w:rFonts w:ascii="Arial Narrow" w:hAnsi="Arial Narrow"/>
                <w:noProof/>
                <w:color w:val="000000"/>
                <w:sz w:val="20"/>
                <w:highlight w:val="black"/>
              </w:rPr>
              <w:t>''''''''''''</w:t>
            </w:r>
          </w:p>
        </w:tc>
        <w:tc>
          <w:tcPr>
            <w:tcW w:w="594" w:type="pct"/>
            <w:shd w:val="clear" w:color="auto" w:fill="auto"/>
          </w:tcPr>
          <w:p w:rsidR="008D3136" w:rsidRPr="000D3DF5" w:rsidRDefault="000D3DF5" w:rsidP="001E54F5">
            <w:pPr>
              <w:widowControl/>
              <w:jc w:val="center"/>
              <w:rPr>
                <w:rFonts w:ascii="Arial Narrow" w:hAnsi="Arial Narrow"/>
                <w:sz w:val="20"/>
                <w:highlight w:val="black"/>
              </w:rPr>
            </w:pPr>
            <w:r>
              <w:rPr>
                <w:rFonts w:ascii="Arial Narrow" w:hAnsi="Arial Narrow"/>
                <w:noProof/>
                <w:color w:val="000000"/>
                <w:sz w:val="20"/>
                <w:highlight w:val="black"/>
              </w:rPr>
              <w:t>'''''''''''''</w:t>
            </w:r>
          </w:p>
        </w:tc>
        <w:tc>
          <w:tcPr>
            <w:tcW w:w="583" w:type="pct"/>
            <w:shd w:val="clear" w:color="auto" w:fill="auto"/>
          </w:tcPr>
          <w:p w:rsidR="008D3136" w:rsidRPr="000D3DF5" w:rsidRDefault="000D3DF5" w:rsidP="001E54F5">
            <w:pPr>
              <w:widowControl/>
              <w:jc w:val="center"/>
              <w:rPr>
                <w:rFonts w:ascii="Arial Narrow" w:hAnsi="Arial Narrow"/>
                <w:sz w:val="20"/>
                <w:highlight w:val="black"/>
              </w:rPr>
            </w:pPr>
            <w:r>
              <w:rPr>
                <w:rFonts w:ascii="Arial Narrow" w:hAnsi="Arial Narrow"/>
                <w:noProof/>
                <w:color w:val="000000"/>
                <w:sz w:val="20"/>
                <w:highlight w:val="black"/>
              </w:rPr>
              <w:t>''''''''''''</w:t>
            </w:r>
          </w:p>
        </w:tc>
      </w:tr>
      <w:tr w:rsidR="008D3136" w:rsidRPr="00180CED" w:rsidTr="001E64BC">
        <w:tc>
          <w:tcPr>
            <w:tcW w:w="2107" w:type="pct"/>
            <w:shd w:val="clear" w:color="auto" w:fill="auto"/>
            <w:vAlign w:val="center"/>
          </w:tcPr>
          <w:p w:rsidR="008D3136" w:rsidRPr="00180CED" w:rsidRDefault="008D3136" w:rsidP="001E54F5">
            <w:pPr>
              <w:widowControl/>
              <w:tabs>
                <w:tab w:val="left" w:pos="142"/>
              </w:tabs>
              <w:jc w:val="left"/>
              <w:rPr>
                <w:rFonts w:ascii="Arial Narrow" w:hAnsi="Arial Narrow"/>
                <w:sz w:val="20"/>
              </w:rPr>
            </w:pPr>
            <w:r w:rsidRPr="00180CED">
              <w:rPr>
                <w:rFonts w:ascii="Arial Narrow" w:hAnsi="Arial Narrow"/>
                <w:sz w:val="20"/>
              </w:rPr>
              <w:t>Market share</w:t>
            </w:r>
          </w:p>
        </w:tc>
        <w:tc>
          <w:tcPr>
            <w:tcW w:w="525" w:type="pct"/>
            <w:shd w:val="clear" w:color="auto" w:fill="auto"/>
          </w:tcPr>
          <w:p w:rsidR="008D3136" w:rsidRPr="00180CED" w:rsidRDefault="008D3136" w:rsidP="001E54F5">
            <w:pPr>
              <w:widowControl/>
              <w:jc w:val="center"/>
              <w:rPr>
                <w:rFonts w:ascii="Arial Narrow" w:hAnsi="Arial Narrow"/>
                <w:sz w:val="20"/>
              </w:rPr>
            </w:pPr>
            <w:r w:rsidRPr="00180CED">
              <w:rPr>
                <w:rFonts w:ascii="Arial Narrow" w:hAnsi="Arial Narrow"/>
                <w:sz w:val="20"/>
              </w:rPr>
              <w:t>30%</w:t>
            </w:r>
          </w:p>
        </w:tc>
        <w:tc>
          <w:tcPr>
            <w:tcW w:w="596" w:type="pct"/>
            <w:shd w:val="clear" w:color="auto" w:fill="auto"/>
          </w:tcPr>
          <w:p w:rsidR="008D3136" w:rsidRPr="00180CED" w:rsidRDefault="008D3136" w:rsidP="001E54F5">
            <w:pPr>
              <w:widowControl/>
              <w:jc w:val="center"/>
              <w:rPr>
                <w:rFonts w:ascii="Arial Narrow" w:hAnsi="Arial Narrow"/>
                <w:sz w:val="20"/>
              </w:rPr>
            </w:pPr>
            <w:r w:rsidRPr="00180CED">
              <w:rPr>
                <w:rFonts w:ascii="Arial Narrow" w:hAnsi="Arial Narrow"/>
                <w:sz w:val="20"/>
              </w:rPr>
              <w:t>40%</w:t>
            </w:r>
          </w:p>
        </w:tc>
        <w:tc>
          <w:tcPr>
            <w:tcW w:w="595" w:type="pct"/>
            <w:shd w:val="clear" w:color="auto" w:fill="auto"/>
          </w:tcPr>
          <w:p w:rsidR="008D3136" w:rsidRPr="00180CED" w:rsidRDefault="008D3136" w:rsidP="001E54F5">
            <w:pPr>
              <w:widowControl/>
              <w:jc w:val="center"/>
              <w:rPr>
                <w:rFonts w:ascii="Arial Narrow" w:hAnsi="Arial Narrow"/>
                <w:sz w:val="20"/>
              </w:rPr>
            </w:pPr>
            <w:r w:rsidRPr="00180CED">
              <w:rPr>
                <w:rFonts w:ascii="Arial Narrow" w:hAnsi="Arial Narrow"/>
                <w:sz w:val="20"/>
              </w:rPr>
              <w:t>50%</w:t>
            </w:r>
          </w:p>
        </w:tc>
        <w:tc>
          <w:tcPr>
            <w:tcW w:w="594" w:type="pct"/>
            <w:shd w:val="clear" w:color="auto" w:fill="auto"/>
          </w:tcPr>
          <w:p w:rsidR="008D3136" w:rsidRPr="00180CED" w:rsidRDefault="008D3136" w:rsidP="001E54F5">
            <w:pPr>
              <w:widowControl/>
              <w:jc w:val="center"/>
              <w:rPr>
                <w:rFonts w:ascii="Arial Narrow" w:hAnsi="Arial Narrow"/>
                <w:sz w:val="20"/>
              </w:rPr>
            </w:pPr>
            <w:r w:rsidRPr="00180CED">
              <w:rPr>
                <w:rFonts w:ascii="Arial Narrow" w:hAnsi="Arial Narrow"/>
                <w:sz w:val="20"/>
              </w:rPr>
              <w:t>60%</w:t>
            </w:r>
          </w:p>
        </w:tc>
        <w:tc>
          <w:tcPr>
            <w:tcW w:w="583" w:type="pct"/>
            <w:shd w:val="clear" w:color="auto" w:fill="auto"/>
          </w:tcPr>
          <w:p w:rsidR="008D3136" w:rsidRPr="00180CED" w:rsidRDefault="008D3136" w:rsidP="001E54F5">
            <w:pPr>
              <w:widowControl/>
              <w:jc w:val="center"/>
              <w:rPr>
                <w:rFonts w:ascii="Arial Narrow" w:hAnsi="Arial Narrow"/>
                <w:sz w:val="20"/>
              </w:rPr>
            </w:pPr>
            <w:r w:rsidRPr="00180CED">
              <w:rPr>
                <w:rFonts w:ascii="Arial Narrow" w:hAnsi="Arial Narrow"/>
                <w:sz w:val="20"/>
              </w:rPr>
              <w:t>60%</w:t>
            </w:r>
          </w:p>
        </w:tc>
      </w:tr>
      <w:tr w:rsidR="008D3136" w:rsidRPr="00180CED" w:rsidTr="001E64BC">
        <w:tc>
          <w:tcPr>
            <w:tcW w:w="2107" w:type="pct"/>
            <w:shd w:val="clear" w:color="auto" w:fill="auto"/>
            <w:vAlign w:val="center"/>
          </w:tcPr>
          <w:p w:rsidR="008D3136" w:rsidRPr="00180CED" w:rsidRDefault="008D3136" w:rsidP="001E54F5">
            <w:pPr>
              <w:widowControl/>
              <w:tabs>
                <w:tab w:val="left" w:pos="142"/>
              </w:tabs>
              <w:jc w:val="left"/>
              <w:rPr>
                <w:rFonts w:ascii="Arial Narrow" w:hAnsi="Arial Narrow"/>
                <w:sz w:val="20"/>
              </w:rPr>
            </w:pPr>
            <w:r w:rsidRPr="00180CED">
              <w:rPr>
                <w:rFonts w:ascii="Arial Narrow" w:hAnsi="Arial Narrow"/>
                <w:sz w:val="20"/>
              </w:rPr>
              <w:t>Number patients receiving migalastat</w:t>
            </w:r>
          </w:p>
        </w:tc>
        <w:tc>
          <w:tcPr>
            <w:tcW w:w="525" w:type="pct"/>
            <w:shd w:val="clear" w:color="auto" w:fill="auto"/>
          </w:tcPr>
          <w:p w:rsidR="008D3136" w:rsidRPr="000D3DF5" w:rsidRDefault="000D3DF5" w:rsidP="001E54F5">
            <w:pPr>
              <w:widowControl/>
              <w:jc w:val="center"/>
              <w:rPr>
                <w:rFonts w:ascii="Arial Narrow" w:hAnsi="Arial Narrow"/>
                <w:sz w:val="20"/>
                <w:highlight w:val="black"/>
              </w:rPr>
            </w:pPr>
            <w:r>
              <w:rPr>
                <w:rFonts w:ascii="Arial Narrow" w:hAnsi="Arial Narrow"/>
                <w:noProof/>
                <w:color w:val="000000"/>
                <w:sz w:val="20"/>
                <w:highlight w:val="black"/>
              </w:rPr>
              <w:t>'''''''''''</w:t>
            </w:r>
          </w:p>
        </w:tc>
        <w:tc>
          <w:tcPr>
            <w:tcW w:w="596" w:type="pct"/>
            <w:shd w:val="clear" w:color="auto" w:fill="auto"/>
          </w:tcPr>
          <w:p w:rsidR="008D3136" w:rsidRPr="000D3DF5" w:rsidRDefault="000D3DF5" w:rsidP="001E54F5">
            <w:pPr>
              <w:widowControl/>
              <w:jc w:val="center"/>
              <w:rPr>
                <w:rFonts w:ascii="Arial Narrow" w:hAnsi="Arial Narrow"/>
                <w:sz w:val="20"/>
                <w:highlight w:val="black"/>
              </w:rPr>
            </w:pPr>
            <w:r>
              <w:rPr>
                <w:rFonts w:ascii="Arial Narrow" w:hAnsi="Arial Narrow"/>
                <w:noProof/>
                <w:color w:val="000000"/>
                <w:sz w:val="20"/>
                <w:highlight w:val="black"/>
              </w:rPr>
              <w:t>'''''''''''''</w:t>
            </w:r>
          </w:p>
        </w:tc>
        <w:tc>
          <w:tcPr>
            <w:tcW w:w="595" w:type="pct"/>
            <w:shd w:val="clear" w:color="auto" w:fill="auto"/>
          </w:tcPr>
          <w:p w:rsidR="008D3136" w:rsidRPr="000D3DF5" w:rsidRDefault="000D3DF5" w:rsidP="001E54F5">
            <w:pPr>
              <w:widowControl/>
              <w:jc w:val="center"/>
              <w:rPr>
                <w:rFonts w:ascii="Arial Narrow" w:hAnsi="Arial Narrow"/>
                <w:sz w:val="20"/>
                <w:highlight w:val="black"/>
              </w:rPr>
            </w:pPr>
            <w:r>
              <w:rPr>
                <w:rFonts w:ascii="Arial Narrow" w:hAnsi="Arial Narrow"/>
                <w:noProof/>
                <w:color w:val="000000"/>
                <w:sz w:val="20"/>
                <w:highlight w:val="black"/>
              </w:rPr>
              <w:t>''''''''''''</w:t>
            </w:r>
          </w:p>
        </w:tc>
        <w:tc>
          <w:tcPr>
            <w:tcW w:w="594" w:type="pct"/>
            <w:shd w:val="clear" w:color="auto" w:fill="auto"/>
          </w:tcPr>
          <w:p w:rsidR="008D3136" w:rsidRPr="000D3DF5" w:rsidRDefault="000D3DF5" w:rsidP="001E54F5">
            <w:pPr>
              <w:widowControl/>
              <w:jc w:val="center"/>
              <w:rPr>
                <w:rFonts w:ascii="Arial Narrow" w:hAnsi="Arial Narrow"/>
                <w:sz w:val="20"/>
                <w:highlight w:val="black"/>
              </w:rPr>
            </w:pPr>
            <w:r>
              <w:rPr>
                <w:rFonts w:ascii="Arial Narrow" w:hAnsi="Arial Narrow"/>
                <w:noProof/>
                <w:color w:val="000000"/>
                <w:sz w:val="20"/>
                <w:highlight w:val="black"/>
              </w:rPr>
              <w:t>'''''''''''''</w:t>
            </w:r>
          </w:p>
        </w:tc>
        <w:tc>
          <w:tcPr>
            <w:tcW w:w="583" w:type="pct"/>
            <w:shd w:val="clear" w:color="auto" w:fill="auto"/>
          </w:tcPr>
          <w:p w:rsidR="008D3136" w:rsidRPr="000D3DF5" w:rsidRDefault="000D3DF5" w:rsidP="001E54F5">
            <w:pPr>
              <w:widowControl/>
              <w:jc w:val="center"/>
              <w:rPr>
                <w:rFonts w:ascii="Arial Narrow" w:hAnsi="Arial Narrow"/>
                <w:sz w:val="20"/>
                <w:highlight w:val="black"/>
              </w:rPr>
            </w:pPr>
            <w:r>
              <w:rPr>
                <w:rFonts w:ascii="Arial Narrow" w:hAnsi="Arial Narrow"/>
                <w:noProof/>
                <w:color w:val="000000"/>
                <w:sz w:val="20"/>
                <w:highlight w:val="black"/>
              </w:rPr>
              <w:t>'''''''''''''''</w:t>
            </w:r>
          </w:p>
        </w:tc>
      </w:tr>
      <w:tr w:rsidR="008D3136" w:rsidRPr="00180CED" w:rsidTr="001E64BC">
        <w:tc>
          <w:tcPr>
            <w:tcW w:w="2107" w:type="pct"/>
            <w:shd w:val="clear" w:color="auto" w:fill="auto"/>
            <w:vAlign w:val="center"/>
          </w:tcPr>
          <w:p w:rsidR="008D3136" w:rsidRPr="00180CED" w:rsidRDefault="008D3136" w:rsidP="001E54F5">
            <w:pPr>
              <w:widowControl/>
              <w:tabs>
                <w:tab w:val="left" w:pos="142"/>
              </w:tabs>
              <w:jc w:val="left"/>
              <w:rPr>
                <w:rFonts w:ascii="Arial Narrow" w:hAnsi="Arial Narrow"/>
                <w:i/>
                <w:sz w:val="20"/>
              </w:rPr>
            </w:pPr>
            <w:r w:rsidRPr="00180CED">
              <w:rPr>
                <w:rFonts w:ascii="Arial Narrow" w:hAnsi="Arial Narrow"/>
                <w:i/>
                <w:sz w:val="20"/>
              </w:rPr>
              <w:t>Scripts</w:t>
            </w:r>
            <w:r w:rsidRPr="00180CED">
              <w:rPr>
                <w:rFonts w:ascii="Arial Narrow" w:hAnsi="Arial Narrow"/>
                <w:i/>
                <w:sz w:val="20"/>
                <w:vertAlign w:val="superscript"/>
              </w:rPr>
              <w:t>a</w:t>
            </w:r>
          </w:p>
        </w:tc>
        <w:tc>
          <w:tcPr>
            <w:tcW w:w="525" w:type="pct"/>
            <w:shd w:val="clear" w:color="auto" w:fill="auto"/>
          </w:tcPr>
          <w:p w:rsidR="008D3136" w:rsidRPr="000D3DF5" w:rsidRDefault="000D3DF5" w:rsidP="001E54F5">
            <w:pPr>
              <w:widowControl/>
              <w:jc w:val="center"/>
              <w:rPr>
                <w:rFonts w:ascii="Arial Narrow" w:hAnsi="Arial Narrow"/>
                <w:i/>
                <w:sz w:val="20"/>
                <w:highlight w:val="black"/>
              </w:rPr>
            </w:pPr>
            <w:r>
              <w:rPr>
                <w:rFonts w:ascii="Arial Narrow" w:hAnsi="Arial Narrow"/>
                <w:i/>
                <w:noProof/>
                <w:color w:val="000000"/>
                <w:sz w:val="20"/>
                <w:highlight w:val="black"/>
              </w:rPr>
              <w:t>''''''''''''''</w:t>
            </w:r>
          </w:p>
        </w:tc>
        <w:tc>
          <w:tcPr>
            <w:tcW w:w="596" w:type="pct"/>
            <w:shd w:val="clear" w:color="auto" w:fill="auto"/>
          </w:tcPr>
          <w:p w:rsidR="008D3136" w:rsidRPr="000D3DF5" w:rsidRDefault="000D3DF5" w:rsidP="001E54F5">
            <w:pPr>
              <w:widowControl/>
              <w:jc w:val="center"/>
              <w:rPr>
                <w:rFonts w:ascii="Arial Narrow" w:hAnsi="Arial Narrow"/>
                <w:i/>
                <w:sz w:val="20"/>
                <w:highlight w:val="black"/>
              </w:rPr>
            </w:pPr>
            <w:r>
              <w:rPr>
                <w:rFonts w:ascii="Arial Narrow" w:hAnsi="Arial Narrow"/>
                <w:i/>
                <w:noProof/>
                <w:color w:val="000000"/>
                <w:sz w:val="20"/>
                <w:highlight w:val="black"/>
              </w:rPr>
              <w:t>''''''''''''''</w:t>
            </w:r>
          </w:p>
        </w:tc>
        <w:tc>
          <w:tcPr>
            <w:tcW w:w="595" w:type="pct"/>
            <w:shd w:val="clear" w:color="auto" w:fill="auto"/>
          </w:tcPr>
          <w:p w:rsidR="008D3136" w:rsidRPr="000D3DF5" w:rsidRDefault="000D3DF5" w:rsidP="001E54F5">
            <w:pPr>
              <w:widowControl/>
              <w:jc w:val="center"/>
              <w:rPr>
                <w:rFonts w:ascii="Arial Narrow" w:hAnsi="Arial Narrow"/>
                <w:i/>
                <w:sz w:val="20"/>
                <w:highlight w:val="black"/>
              </w:rPr>
            </w:pPr>
            <w:r>
              <w:rPr>
                <w:rFonts w:ascii="Arial Narrow" w:hAnsi="Arial Narrow"/>
                <w:i/>
                <w:noProof/>
                <w:color w:val="000000"/>
                <w:sz w:val="20"/>
                <w:highlight w:val="black"/>
              </w:rPr>
              <w:t>'''''''''''''</w:t>
            </w:r>
          </w:p>
        </w:tc>
        <w:tc>
          <w:tcPr>
            <w:tcW w:w="594" w:type="pct"/>
            <w:shd w:val="clear" w:color="auto" w:fill="auto"/>
          </w:tcPr>
          <w:p w:rsidR="008D3136" w:rsidRPr="000D3DF5" w:rsidRDefault="000D3DF5" w:rsidP="001E54F5">
            <w:pPr>
              <w:widowControl/>
              <w:jc w:val="center"/>
              <w:rPr>
                <w:rFonts w:ascii="Arial Narrow" w:hAnsi="Arial Narrow"/>
                <w:i/>
                <w:sz w:val="20"/>
                <w:highlight w:val="black"/>
              </w:rPr>
            </w:pPr>
            <w:r>
              <w:rPr>
                <w:rFonts w:ascii="Arial Narrow" w:hAnsi="Arial Narrow"/>
                <w:i/>
                <w:noProof/>
                <w:color w:val="000000"/>
                <w:sz w:val="20"/>
                <w:highlight w:val="black"/>
              </w:rPr>
              <w:t>'''''''''''''</w:t>
            </w:r>
          </w:p>
        </w:tc>
        <w:tc>
          <w:tcPr>
            <w:tcW w:w="583" w:type="pct"/>
            <w:shd w:val="clear" w:color="auto" w:fill="auto"/>
          </w:tcPr>
          <w:p w:rsidR="008D3136" w:rsidRPr="000D3DF5" w:rsidRDefault="000D3DF5" w:rsidP="001E54F5">
            <w:pPr>
              <w:widowControl/>
              <w:jc w:val="center"/>
              <w:rPr>
                <w:rFonts w:ascii="Arial Narrow" w:hAnsi="Arial Narrow"/>
                <w:i/>
                <w:sz w:val="20"/>
                <w:highlight w:val="black"/>
              </w:rPr>
            </w:pPr>
            <w:r>
              <w:rPr>
                <w:rFonts w:ascii="Arial Narrow" w:hAnsi="Arial Narrow"/>
                <w:i/>
                <w:noProof/>
                <w:color w:val="000000"/>
                <w:sz w:val="20"/>
                <w:highlight w:val="black"/>
              </w:rPr>
              <w:t>''''''''''''''</w:t>
            </w:r>
          </w:p>
        </w:tc>
      </w:tr>
      <w:tr w:rsidR="008D3136" w:rsidRPr="00180CED" w:rsidTr="001E64BC">
        <w:tc>
          <w:tcPr>
            <w:tcW w:w="5000" w:type="pct"/>
            <w:gridSpan w:val="6"/>
            <w:shd w:val="clear" w:color="auto" w:fill="auto"/>
            <w:vAlign w:val="center"/>
          </w:tcPr>
          <w:p w:rsidR="008D3136" w:rsidRPr="00180CED" w:rsidRDefault="008D3136" w:rsidP="001E54F5">
            <w:pPr>
              <w:widowControl/>
              <w:jc w:val="left"/>
              <w:rPr>
                <w:rFonts w:ascii="Arial Narrow" w:hAnsi="Arial Narrow"/>
                <w:b/>
                <w:bCs/>
                <w:color w:val="000000"/>
                <w:sz w:val="20"/>
              </w:rPr>
            </w:pPr>
            <w:r w:rsidRPr="00180CED">
              <w:rPr>
                <w:rFonts w:ascii="Arial Narrow" w:hAnsi="Arial Narrow"/>
                <w:b/>
                <w:bCs/>
                <w:color w:val="000000"/>
                <w:sz w:val="20"/>
              </w:rPr>
              <w:t xml:space="preserve">Estimated net cost to </w:t>
            </w:r>
            <w:r w:rsidR="00F947B6">
              <w:rPr>
                <w:rFonts w:ascii="Arial Narrow" w:hAnsi="Arial Narrow"/>
                <w:b/>
                <w:bCs/>
                <w:color w:val="000000"/>
                <w:sz w:val="20"/>
              </w:rPr>
              <w:t>Government budget</w:t>
            </w:r>
          </w:p>
        </w:tc>
      </w:tr>
      <w:tr w:rsidR="008D3136" w:rsidRPr="00180CED" w:rsidTr="001E64BC">
        <w:tc>
          <w:tcPr>
            <w:tcW w:w="2107" w:type="pct"/>
            <w:shd w:val="clear" w:color="auto" w:fill="auto"/>
            <w:vAlign w:val="center"/>
          </w:tcPr>
          <w:p w:rsidR="008D3136" w:rsidRPr="00180CED" w:rsidRDefault="008D3136" w:rsidP="001E54F5">
            <w:pPr>
              <w:widowControl/>
              <w:tabs>
                <w:tab w:val="left" w:pos="142"/>
              </w:tabs>
              <w:jc w:val="left"/>
              <w:rPr>
                <w:rFonts w:ascii="Arial Narrow" w:hAnsi="Arial Narrow"/>
                <w:sz w:val="20"/>
              </w:rPr>
            </w:pPr>
            <w:r w:rsidRPr="00180CED">
              <w:rPr>
                <w:rFonts w:ascii="Arial Narrow" w:hAnsi="Arial Narrow"/>
                <w:sz w:val="20"/>
              </w:rPr>
              <w:t>Net cost to</w:t>
            </w:r>
            <w:r w:rsidR="00F947B6">
              <w:rPr>
                <w:rFonts w:ascii="Arial Narrow" w:hAnsi="Arial Narrow"/>
                <w:sz w:val="20"/>
              </w:rPr>
              <w:t xml:space="preserve"> Government </w:t>
            </w:r>
          </w:p>
        </w:tc>
        <w:tc>
          <w:tcPr>
            <w:tcW w:w="525" w:type="pct"/>
            <w:shd w:val="clear" w:color="auto" w:fill="auto"/>
            <w:vAlign w:val="bottom"/>
          </w:tcPr>
          <w:p w:rsidR="008D3136" w:rsidRPr="000D3DF5" w:rsidRDefault="000D3DF5" w:rsidP="001E54F5">
            <w:pPr>
              <w:widowControl/>
              <w:rPr>
                <w:rFonts w:ascii="Arial Narrow" w:hAnsi="Arial Narrow"/>
                <w:bCs/>
                <w:sz w:val="20"/>
                <w:highlight w:val="black"/>
              </w:rPr>
            </w:pPr>
            <w:r>
              <w:rPr>
                <w:rFonts w:ascii="Arial Narrow" w:hAnsi="Arial Narrow"/>
                <w:bCs/>
                <w:noProof/>
                <w:color w:val="000000"/>
                <w:sz w:val="20"/>
                <w:highlight w:val="black"/>
              </w:rPr>
              <w:t>'''''''''''''''''''''''''''''</w:t>
            </w:r>
          </w:p>
        </w:tc>
        <w:tc>
          <w:tcPr>
            <w:tcW w:w="596" w:type="pct"/>
            <w:shd w:val="clear" w:color="auto" w:fill="auto"/>
            <w:vAlign w:val="bottom"/>
          </w:tcPr>
          <w:p w:rsidR="008D3136" w:rsidRPr="000D3DF5" w:rsidRDefault="000D3DF5" w:rsidP="001E54F5">
            <w:pPr>
              <w:widowControl/>
              <w:rPr>
                <w:rFonts w:ascii="Arial Narrow" w:hAnsi="Arial Narrow"/>
                <w:bCs/>
                <w:sz w:val="20"/>
                <w:highlight w:val="black"/>
              </w:rPr>
            </w:pPr>
            <w:r>
              <w:rPr>
                <w:rFonts w:ascii="Arial Narrow" w:hAnsi="Arial Narrow"/>
                <w:bCs/>
                <w:noProof/>
                <w:color w:val="000000"/>
                <w:sz w:val="20"/>
                <w:highlight w:val="black"/>
              </w:rPr>
              <w:t>'''''''''''''''''''''''''''</w:t>
            </w:r>
          </w:p>
        </w:tc>
        <w:tc>
          <w:tcPr>
            <w:tcW w:w="595" w:type="pct"/>
            <w:shd w:val="clear" w:color="auto" w:fill="auto"/>
            <w:vAlign w:val="bottom"/>
          </w:tcPr>
          <w:p w:rsidR="008D3136" w:rsidRPr="000D3DF5" w:rsidRDefault="000D3DF5" w:rsidP="001E54F5">
            <w:pPr>
              <w:widowControl/>
              <w:rPr>
                <w:rFonts w:ascii="Arial Narrow" w:hAnsi="Arial Narrow"/>
                <w:bCs/>
                <w:sz w:val="20"/>
                <w:highlight w:val="black"/>
              </w:rPr>
            </w:pPr>
            <w:r>
              <w:rPr>
                <w:rFonts w:ascii="Arial Narrow" w:hAnsi="Arial Narrow"/>
                <w:bCs/>
                <w:noProof/>
                <w:color w:val="000000"/>
                <w:sz w:val="20"/>
                <w:highlight w:val="black"/>
              </w:rPr>
              <w:t>''''''''''''''''''''''''''''</w:t>
            </w:r>
          </w:p>
        </w:tc>
        <w:tc>
          <w:tcPr>
            <w:tcW w:w="594" w:type="pct"/>
            <w:shd w:val="clear" w:color="auto" w:fill="auto"/>
            <w:vAlign w:val="bottom"/>
          </w:tcPr>
          <w:p w:rsidR="008D3136" w:rsidRPr="000D3DF5" w:rsidRDefault="000D3DF5" w:rsidP="001E54F5">
            <w:pPr>
              <w:widowControl/>
              <w:rPr>
                <w:rFonts w:ascii="Arial Narrow" w:hAnsi="Arial Narrow"/>
                <w:bCs/>
                <w:sz w:val="20"/>
                <w:highlight w:val="black"/>
              </w:rPr>
            </w:pPr>
            <w:r>
              <w:rPr>
                <w:rFonts w:ascii="Arial Narrow" w:hAnsi="Arial Narrow"/>
                <w:bCs/>
                <w:noProof/>
                <w:color w:val="000000"/>
                <w:sz w:val="20"/>
                <w:highlight w:val="black"/>
              </w:rPr>
              <w:t>''''''''''''''''''''''''''</w:t>
            </w:r>
          </w:p>
        </w:tc>
        <w:tc>
          <w:tcPr>
            <w:tcW w:w="583" w:type="pct"/>
            <w:shd w:val="clear" w:color="auto" w:fill="auto"/>
            <w:vAlign w:val="bottom"/>
          </w:tcPr>
          <w:p w:rsidR="008D3136" w:rsidRPr="000D3DF5" w:rsidRDefault="000D3DF5" w:rsidP="001E54F5">
            <w:pPr>
              <w:widowControl/>
              <w:rPr>
                <w:rFonts w:ascii="Arial Narrow" w:hAnsi="Arial Narrow"/>
                <w:bCs/>
                <w:sz w:val="20"/>
                <w:highlight w:val="black"/>
              </w:rPr>
            </w:pPr>
            <w:r>
              <w:rPr>
                <w:rFonts w:ascii="Arial Narrow" w:hAnsi="Arial Narrow"/>
                <w:bCs/>
                <w:noProof/>
                <w:color w:val="000000"/>
                <w:sz w:val="20"/>
                <w:highlight w:val="black"/>
              </w:rPr>
              <w:t>'''''''''''''''''''''''''</w:t>
            </w:r>
          </w:p>
        </w:tc>
      </w:tr>
      <w:tr w:rsidR="008D3136" w:rsidRPr="00180CED" w:rsidTr="001E64BC">
        <w:tc>
          <w:tcPr>
            <w:tcW w:w="2107" w:type="pct"/>
            <w:shd w:val="clear" w:color="auto" w:fill="auto"/>
            <w:vAlign w:val="center"/>
          </w:tcPr>
          <w:p w:rsidR="008D3136" w:rsidRPr="00180CED" w:rsidRDefault="008D3136" w:rsidP="001E54F5">
            <w:pPr>
              <w:widowControl/>
              <w:tabs>
                <w:tab w:val="left" w:pos="142"/>
              </w:tabs>
              <w:jc w:val="left"/>
              <w:rPr>
                <w:rFonts w:ascii="Arial Narrow" w:hAnsi="Arial Narrow"/>
                <w:sz w:val="20"/>
              </w:rPr>
            </w:pPr>
            <w:r w:rsidRPr="00180CED">
              <w:rPr>
                <w:rFonts w:ascii="Arial Narrow" w:hAnsi="Arial Narrow"/>
                <w:sz w:val="20"/>
              </w:rPr>
              <w:t xml:space="preserve">Net cost offsets to </w:t>
            </w:r>
            <w:r w:rsidR="00F947B6">
              <w:rPr>
                <w:rFonts w:ascii="Arial Narrow" w:hAnsi="Arial Narrow"/>
                <w:sz w:val="20"/>
              </w:rPr>
              <w:t>Government</w:t>
            </w:r>
            <w:r w:rsidR="00F947B6" w:rsidRPr="00180CED">
              <w:rPr>
                <w:rFonts w:ascii="Arial Narrow" w:hAnsi="Arial Narrow"/>
                <w:sz w:val="20"/>
              </w:rPr>
              <w:t xml:space="preserve"> </w:t>
            </w:r>
            <w:r w:rsidRPr="00180CED">
              <w:rPr>
                <w:rFonts w:ascii="Arial Narrow" w:hAnsi="Arial Narrow"/>
                <w:sz w:val="20"/>
              </w:rPr>
              <w:t xml:space="preserve">from ERT substitution </w:t>
            </w:r>
          </w:p>
        </w:tc>
        <w:tc>
          <w:tcPr>
            <w:tcW w:w="525" w:type="pct"/>
            <w:shd w:val="clear" w:color="auto" w:fill="auto"/>
            <w:vAlign w:val="bottom"/>
          </w:tcPr>
          <w:p w:rsidR="008D3136" w:rsidRPr="000D3DF5" w:rsidRDefault="000D3DF5" w:rsidP="001E54F5">
            <w:pPr>
              <w:widowControl/>
              <w:rPr>
                <w:rFonts w:ascii="Arial Narrow" w:hAnsi="Arial Narrow"/>
                <w:bCs/>
                <w:sz w:val="20"/>
                <w:highlight w:val="black"/>
              </w:rPr>
            </w:pPr>
            <w:r>
              <w:rPr>
                <w:rFonts w:ascii="Arial Narrow" w:hAnsi="Arial Narrow"/>
                <w:bCs/>
                <w:noProof/>
                <w:color w:val="000000"/>
                <w:sz w:val="20"/>
                <w:highlight w:val="black"/>
              </w:rPr>
              <w:t>'''''''''''''''''''''''''''''</w:t>
            </w:r>
          </w:p>
        </w:tc>
        <w:tc>
          <w:tcPr>
            <w:tcW w:w="596" w:type="pct"/>
            <w:shd w:val="clear" w:color="auto" w:fill="auto"/>
            <w:vAlign w:val="bottom"/>
          </w:tcPr>
          <w:p w:rsidR="008D3136" w:rsidRPr="000D3DF5" w:rsidRDefault="000D3DF5" w:rsidP="001E54F5">
            <w:pPr>
              <w:widowControl/>
              <w:rPr>
                <w:rFonts w:ascii="Arial Narrow" w:hAnsi="Arial Narrow"/>
                <w:bCs/>
                <w:sz w:val="20"/>
                <w:highlight w:val="black"/>
              </w:rPr>
            </w:pPr>
            <w:r>
              <w:rPr>
                <w:rFonts w:ascii="Arial Narrow" w:hAnsi="Arial Narrow"/>
                <w:bCs/>
                <w:noProof/>
                <w:color w:val="000000"/>
                <w:sz w:val="20"/>
                <w:highlight w:val="black"/>
              </w:rPr>
              <w:t>'''''''''''''''''''''''''''</w:t>
            </w:r>
          </w:p>
        </w:tc>
        <w:tc>
          <w:tcPr>
            <w:tcW w:w="595" w:type="pct"/>
            <w:shd w:val="clear" w:color="auto" w:fill="auto"/>
            <w:vAlign w:val="bottom"/>
          </w:tcPr>
          <w:p w:rsidR="008D3136" w:rsidRPr="000D3DF5" w:rsidRDefault="000D3DF5" w:rsidP="001E54F5">
            <w:pPr>
              <w:widowControl/>
              <w:rPr>
                <w:rFonts w:ascii="Arial Narrow" w:hAnsi="Arial Narrow"/>
                <w:bCs/>
                <w:sz w:val="20"/>
                <w:highlight w:val="black"/>
              </w:rPr>
            </w:pPr>
            <w:r>
              <w:rPr>
                <w:rFonts w:ascii="Arial Narrow" w:hAnsi="Arial Narrow"/>
                <w:bCs/>
                <w:noProof/>
                <w:color w:val="000000"/>
                <w:sz w:val="20"/>
                <w:highlight w:val="black"/>
              </w:rPr>
              <w:t>'''''''''''''''''''''''''</w:t>
            </w:r>
          </w:p>
        </w:tc>
        <w:tc>
          <w:tcPr>
            <w:tcW w:w="594" w:type="pct"/>
            <w:shd w:val="clear" w:color="auto" w:fill="auto"/>
            <w:vAlign w:val="bottom"/>
          </w:tcPr>
          <w:p w:rsidR="008D3136" w:rsidRPr="000D3DF5" w:rsidRDefault="000D3DF5" w:rsidP="001E54F5">
            <w:pPr>
              <w:widowControl/>
              <w:rPr>
                <w:rFonts w:ascii="Arial Narrow" w:hAnsi="Arial Narrow"/>
                <w:bCs/>
                <w:sz w:val="20"/>
                <w:highlight w:val="black"/>
              </w:rPr>
            </w:pPr>
            <w:r>
              <w:rPr>
                <w:rFonts w:ascii="Arial Narrow" w:hAnsi="Arial Narrow"/>
                <w:bCs/>
                <w:noProof/>
                <w:color w:val="000000"/>
                <w:sz w:val="20"/>
                <w:highlight w:val="black"/>
              </w:rPr>
              <w:t>''''''''''''''''''''''''''</w:t>
            </w:r>
          </w:p>
        </w:tc>
        <w:tc>
          <w:tcPr>
            <w:tcW w:w="583" w:type="pct"/>
            <w:shd w:val="clear" w:color="auto" w:fill="auto"/>
            <w:vAlign w:val="bottom"/>
          </w:tcPr>
          <w:p w:rsidR="008D3136" w:rsidRPr="000D3DF5" w:rsidRDefault="000D3DF5" w:rsidP="001E54F5">
            <w:pPr>
              <w:widowControl/>
              <w:rPr>
                <w:rFonts w:ascii="Arial Narrow" w:hAnsi="Arial Narrow"/>
                <w:bCs/>
                <w:sz w:val="20"/>
                <w:highlight w:val="black"/>
              </w:rPr>
            </w:pPr>
            <w:r>
              <w:rPr>
                <w:rFonts w:ascii="Arial Narrow" w:hAnsi="Arial Narrow"/>
                <w:bCs/>
                <w:noProof/>
                <w:color w:val="000000"/>
                <w:sz w:val="20"/>
                <w:highlight w:val="black"/>
              </w:rPr>
              <w:t>''''''''''''''''''''''''</w:t>
            </w:r>
          </w:p>
        </w:tc>
      </w:tr>
      <w:tr w:rsidR="008D3136" w:rsidRPr="00180CED" w:rsidTr="001E64BC">
        <w:tc>
          <w:tcPr>
            <w:tcW w:w="2107" w:type="pct"/>
            <w:shd w:val="clear" w:color="auto" w:fill="auto"/>
          </w:tcPr>
          <w:p w:rsidR="008D3136" w:rsidRPr="0049479D" w:rsidRDefault="008D3136" w:rsidP="001E54F5">
            <w:pPr>
              <w:widowControl/>
              <w:tabs>
                <w:tab w:val="left" w:pos="142"/>
              </w:tabs>
              <w:jc w:val="left"/>
              <w:rPr>
                <w:rFonts w:ascii="Arial Narrow" w:hAnsi="Arial Narrow"/>
                <w:i/>
                <w:sz w:val="20"/>
              </w:rPr>
            </w:pPr>
            <w:r w:rsidRPr="0049479D">
              <w:rPr>
                <w:rFonts w:ascii="Arial Narrow" w:hAnsi="Arial Narrow"/>
                <w:i/>
                <w:sz w:val="20"/>
              </w:rPr>
              <w:t xml:space="preserve">Net cost to </w:t>
            </w:r>
            <w:r w:rsidR="00F947B6">
              <w:rPr>
                <w:rFonts w:ascii="Arial Narrow" w:hAnsi="Arial Narrow"/>
                <w:i/>
                <w:sz w:val="20"/>
              </w:rPr>
              <w:t>Government</w:t>
            </w:r>
            <w:r w:rsidR="00F947B6" w:rsidRPr="0049479D">
              <w:rPr>
                <w:rFonts w:ascii="Arial Narrow" w:hAnsi="Arial Narrow"/>
                <w:i/>
                <w:sz w:val="20"/>
              </w:rPr>
              <w:t xml:space="preserve"> </w:t>
            </w:r>
            <w:r w:rsidRPr="0049479D">
              <w:rPr>
                <w:rFonts w:ascii="Arial Narrow" w:hAnsi="Arial Narrow"/>
                <w:i/>
                <w:sz w:val="20"/>
              </w:rPr>
              <w:t>– corrected patient numbers</w:t>
            </w:r>
          </w:p>
        </w:tc>
        <w:tc>
          <w:tcPr>
            <w:tcW w:w="525" w:type="pct"/>
            <w:shd w:val="clear" w:color="auto" w:fill="auto"/>
          </w:tcPr>
          <w:p w:rsidR="008D3136" w:rsidRPr="000D3DF5" w:rsidRDefault="000D3DF5" w:rsidP="001E54F5">
            <w:pPr>
              <w:widowControl/>
              <w:rPr>
                <w:rFonts w:ascii="Arial Narrow" w:hAnsi="Arial Narrow"/>
                <w:bCs/>
                <w:i/>
                <w:sz w:val="20"/>
                <w:highlight w:val="black"/>
              </w:rPr>
            </w:pPr>
            <w:r>
              <w:rPr>
                <w:rFonts w:ascii="Arial Narrow" w:hAnsi="Arial Narrow"/>
                <w:bCs/>
                <w:i/>
                <w:noProof/>
                <w:color w:val="000000"/>
                <w:sz w:val="20"/>
                <w:highlight w:val="black"/>
              </w:rPr>
              <w:t>'''''''''''''''''''''''''''''</w:t>
            </w:r>
          </w:p>
        </w:tc>
        <w:tc>
          <w:tcPr>
            <w:tcW w:w="596" w:type="pct"/>
            <w:shd w:val="clear" w:color="auto" w:fill="auto"/>
          </w:tcPr>
          <w:p w:rsidR="008D3136" w:rsidRPr="000D3DF5" w:rsidRDefault="000D3DF5" w:rsidP="001E54F5">
            <w:pPr>
              <w:widowControl/>
              <w:rPr>
                <w:rFonts w:ascii="Arial Narrow" w:hAnsi="Arial Narrow"/>
                <w:bCs/>
                <w:i/>
                <w:sz w:val="20"/>
                <w:highlight w:val="black"/>
              </w:rPr>
            </w:pPr>
            <w:r>
              <w:rPr>
                <w:rFonts w:ascii="Arial Narrow" w:hAnsi="Arial Narrow"/>
                <w:bCs/>
                <w:i/>
                <w:noProof/>
                <w:color w:val="000000"/>
                <w:sz w:val="20"/>
                <w:highlight w:val="black"/>
              </w:rPr>
              <w:t>''''''''''''''''''''''''''''</w:t>
            </w:r>
          </w:p>
        </w:tc>
        <w:tc>
          <w:tcPr>
            <w:tcW w:w="595" w:type="pct"/>
            <w:shd w:val="clear" w:color="auto" w:fill="auto"/>
          </w:tcPr>
          <w:p w:rsidR="008D3136" w:rsidRPr="000D3DF5" w:rsidRDefault="000D3DF5" w:rsidP="001E54F5">
            <w:pPr>
              <w:widowControl/>
              <w:rPr>
                <w:rFonts w:ascii="Arial Narrow" w:hAnsi="Arial Narrow"/>
                <w:bCs/>
                <w:i/>
                <w:sz w:val="20"/>
                <w:highlight w:val="black"/>
              </w:rPr>
            </w:pPr>
            <w:r>
              <w:rPr>
                <w:rFonts w:ascii="Arial Narrow" w:hAnsi="Arial Narrow"/>
                <w:bCs/>
                <w:i/>
                <w:noProof/>
                <w:color w:val="000000"/>
                <w:sz w:val="20"/>
                <w:highlight w:val="black"/>
              </w:rPr>
              <w:t>''''''''''''''''''''''''''</w:t>
            </w:r>
          </w:p>
        </w:tc>
        <w:tc>
          <w:tcPr>
            <w:tcW w:w="594" w:type="pct"/>
            <w:shd w:val="clear" w:color="auto" w:fill="auto"/>
          </w:tcPr>
          <w:p w:rsidR="008D3136" w:rsidRPr="000D3DF5" w:rsidRDefault="000D3DF5" w:rsidP="001E54F5">
            <w:pPr>
              <w:widowControl/>
              <w:rPr>
                <w:rFonts w:ascii="Arial Narrow" w:hAnsi="Arial Narrow"/>
                <w:bCs/>
                <w:i/>
                <w:sz w:val="20"/>
                <w:highlight w:val="black"/>
              </w:rPr>
            </w:pPr>
            <w:r>
              <w:rPr>
                <w:rFonts w:ascii="Arial Narrow" w:hAnsi="Arial Narrow"/>
                <w:bCs/>
                <w:i/>
                <w:noProof/>
                <w:color w:val="000000"/>
                <w:sz w:val="20"/>
                <w:highlight w:val="black"/>
              </w:rPr>
              <w:t>''''''''''''''''''''''''''</w:t>
            </w:r>
          </w:p>
        </w:tc>
        <w:tc>
          <w:tcPr>
            <w:tcW w:w="583" w:type="pct"/>
            <w:shd w:val="clear" w:color="auto" w:fill="auto"/>
          </w:tcPr>
          <w:p w:rsidR="008D3136" w:rsidRPr="000D3DF5" w:rsidRDefault="000D3DF5" w:rsidP="001E54F5">
            <w:pPr>
              <w:widowControl/>
              <w:rPr>
                <w:rFonts w:ascii="Arial Narrow" w:hAnsi="Arial Narrow"/>
                <w:bCs/>
                <w:i/>
                <w:sz w:val="20"/>
                <w:highlight w:val="black"/>
              </w:rPr>
            </w:pPr>
            <w:r>
              <w:rPr>
                <w:rFonts w:ascii="Arial Narrow" w:hAnsi="Arial Narrow"/>
                <w:bCs/>
                <w:i/>
                <w:noProof/>
                <w:color w:val="000000"/>
                <w:sz w:val="20"/>
                <w:highlight w:val="black"/>
              </w:rPr>
              <w:t>''''''''''''''''''''''''''''</w:t>
            </w:r>
          </w:p>
        </w:tc>
      </w:tr>
      <w:tr w:rsidR="008D3136" w:rsidRPr="00180CED" w:rsidTr="001E64BC">
        <w:tc>
          <w:tcPr>
            <w:tcW w:w="2107" w:type="pct"/>
            <w:shd w:val="clear" w:color="auto" w:fill="auto"/>
          </w:tcPr>
          <w:p w:rsidR="008D3136" w:rsidRPr="0049479D" w:rsidRDefault="008D3136" w:rsidP="001E54F5">
            <w:pPr>
              <w:widowControl/>
              <w:tabs>
                <w:tab w:val="left" w:pos="142"/>
              </w:tabs>
              <w:jc w:val="left"/>
              <w:rPr>
                <w:rFonts w:ascii="Arial Narrow" w:hAnsi="Arial Narrow"/>
                <w:i/>
                <w:sz w:val="20"/>
              </w:rPr>
            </w:pPr>
            <w:r w:rsidRPr="0049479D">
              <w:rPr>
                <w:rFonts w:ascii="Arial Narrow" w:hAnsi="Arial Narrow"/>
                <w:i/>
                <w:sz w:val="20"/>
              </w:rPr>
              <w:t xml:space="preserve">Net cost offsets to </w:t>
            </w:r>
            <w:r w:rsidR="00F947B6">
              <w:rPr>
                <w:rFonts w:ascii="Arial Narrow" w:hAnsi="Arial Narrow"/>
                <w:i/>
                <w:sz w:val="20"/>
              </w:rPr>
              <w:t>Government</w:t>
            </w:r>
            <w:r w:rsidR="00F947B6" w:rsidRPr="0049479D">
              <w:rPr>
                <w:rFonts w:ascii="Arial Narrow" w:hAnsi="Arial Narrow"/>
                <w:i/>
                <w:sz w:val="20"/>
              </w:rPr>
              <w:t xml:space="preserve"> </w:t>
            </w:r>
            <w:r w:rsidRPr="0049479D">
              <w:rPr>
                <w:rFonts w:ascii="Arial Narrow" w:hAnsi="Arial Narrow"/>
                <w:i/>
                <w:sz w:val="20"/>
              </w:rPr>
              <w:t>from ERT substitution – corrected patient numbers</w:t>
            </w:r>
          </w:p>
        </w:tc>
        <w:tc>
          <w:tcPr>
            <w:tcW w:w="525" w:type="pct"/>
            <w:shd w:val="clear" w:color="auto" w:fill="auto"/>
          </w:tcPr>
          <w:p w:rsidR="008D3136" w:rsidRPr="000D3DF5" w:rsidRDefault="000D3DF5" w:rsidP="001E54F5">
            <w:pPr>
              <w:widowControl/>
              <w:rPr>
                <w:rFonts w:ascii="Arial Narrow" w:hAnsi="Arial Narrow"/>
                <w:bCs/>
                <w:i/>
                <w:sz w:val="20"/>
                <w:highlight w:val="black"/>
              </w:rPr>
            </w:pPr>
            <w:r>
              <w:rPr>
                <w:rFonts w:ascii="Arial Narrow" w:hAnsi="Arial Narrow"/>
                <w:bCs/>
                <w:i/>
                <w:noProof/>
                <w:color w:val="000000"/>
                <w:sz w:val="20"/>
                <w:highlight w:val="black"/>
              </w:rPr>
              <w:t>'''''''''''''''''''''''''''</w:t>
            </w:r>
          </w:p>
        </w:tc>
        <w:tc>
          <w:tcPr>
            <w:tcW w:w="596" w:type="pct"/>
            <w:shd w:val="clear" w:color="auto" w:fill="auto"/>
          </w:tcPr>
          <w:p w:rsidR="008D3136" w:rsidRPr="000D3DF5" w:rsidRDefault="000D3DF5" w:rsidP="001E54F5">
            <w:pPr>
              <w:widowControl/>
              <w:rPr>
                <w:rFonts w:ascii="Arial Narrow" w:hAnsi="Arial Narrow"/>
                <w:bCs/>
                <w:i/>
                <w:sz w:val="20"/>
                <w:highlight w:val="black"/>
              </w:rPr>
            </w:pPr>
            <w:r>
              <w:rPr>
                <w:rFonts w:ascii="Arial Narrow" w:hAnsi="Arial Narrow"/>
                <w:bCs/>
                <w:i/>
                <w:noProof/>
                <w:color w:val="000000"/>
                <w:sz w:val="20"/>
                <w:highlight w:val="black"/>
              </w:rPr>
              <w:t>''''''''''''''''''''''''''</w:t>
            </w:r>
          </w:p>
        </w:tc>
        <w:tc>
          <w:tcPr>
            <w:tcW w:w="595" w:type="pct"/>
            <w:shd w:val="clear" w:color="auto" w:fill="auto"/>
          </w:tcPr>
          <w:p w:rsidR="008D3136" w:rsidRPr="000D3DF5" w:rsidRDefault="000D3DF5" w:rsidP="001E54F5">
            <w:pPr>
              <w:widowControl/>
              <w:rPr>
                <w:rFonts w:ascii="Arial Narrow" w:hAnsi="Arial Narrow"/>
                <w:bCs/>
                <w:i/>
                <w:sz w:val="20"/>
                <w:highlight w:val="black"/>
              </w:rPr>
            </w:pPr>
            <w:r>
              <w:rPr>
                <w:rFonts w:ascii="Arial Narrow" w:hAnsi="Arial Narrow"/>
                <w:bCs/>
                <w:i/>
                <w:noProof/>
                <w:color w:val="000000"/>
                <w:sz w:val="20"/>
                <w:highlight w:val="black"/>
              </w:rPr>
              <w:t>''''''''''''''''''''''''</w:t>
            </w:r>
          </w:p>
        </w:tc>
        <w:tc>
          <w:tcPr>
            <w:tcW w:w="594" w:type="pct"/>
            <w:shd w:val="clear" w:color="auto" w:fill="auto"/>
          </w:tcPr>
          <w:p w:rsidR="008D3136" w:rsidRPr="000D3DF5" w:rsidRDefault="000D3DF5" w:rsidP="001E54F5">
            <w:pPr>
              <w:widowControl/>
              <w:rPr>
                <w:rFonts w:ascii="Arial Narrow" w:hAnsi="Arial Narrow"/>
                <w:bCs/>
                <w:i/>
                <w:sz w:val="20"/>
                <w:highlight w:val="black"/>
              </w:rPr>
            </w:pPr>
            <w:r>
              <w:rPr>
                <w:rFonts w:ascii="Arial Narrow" w:hAnsi="Arial Narrow"/>
                <w:bCs/>
                <w:i/>
                <w:noProof/>
                <w:color w:val="000000"/>
                <w:sz w:val="20"/>
                <w:highlight w:val="black"/>
              </w:rPr>
              <w:t>'''''''''''''''''''''''''''''</w:t>
            </w:r>
          </w:p>
        </w:tc>
        <w:tc>
          <w:tcPr>
            <w:tcW w:w="583" w:type="pct"/>
            <w:shd w:val="clear" w:color="auto" w:fill="auto"/>
          </w:tcPr>
          <w:p w:rsidR="008D3136" w:rsidRPr="000D3DF5" w:rsidRDefault="000D3DF5" w:rsidP="001E54F5">
            <w:pPr>
              <w:widowControl/>
              <w:rPr>
                <w:rFonts w:ascii="Arial Narrow" w:hAnsi="Arial Narrow"/>
                <w:bCs/>
                <w:i/>
                <w:sz w:val="20"/>
                <w:highlight w:val="black"/>
              </w:rPr>
            </w:pPr>
            <w:r>
              <w:rPr>
                <w:rFonts w:ascii="Arial Narrow" w:hAnsi="Arial Narrow"/>
                <w:bCs/>
                <w:i/>
                <w:noProof/>
                <w:color w:val="000000"/>
                <w:sz w:val="20"/>
                <w:highlight w:val="black"/>
              </w:rPr>
              <w:t>'''''''''''''''''''''''</w:t>
            </w:r>
          </w:p>
        </w:tc>
      </w:tr>
      <w:tr w:rsidR="008D3136" w:rsidRPr="00180CED" w:rsidTr="001E64BC">
        <w:tc>
          <w:tcPr>
            <w:tcW w:w="5000" w:type="pct"/>
            <w:gridSpan w:val="6"/>
            <w:shd w:val="clear" w:color="auto" w:fill="auto"/>
            <w:vAlign w:val="center"/>
          </w:tcPr>
          <w:p w:rsidR="008D3136" w:rsidRPr="00180CED" w:rsidRDefault="008D3136" w:rsidP="001E54F5">
            <w:pPr>
              <w:widowControl/>
              <w:jc w:val="left"/>
              <w:rPr>
                <w:rFonts w:ascii="Arial Narrow" w:hAnsi="Arial Narrow"/>
                <w:b/>
                <w:color w:val="000000"/>
                <w:sz w:val="20"/>
              </w:rPr>
            </w:pPr>
            <w:r w:rsidRPr="00180CED">
              <w:rPr>
                <w:rFonts w:ascii="Arial Narrow" w:hAnsi="Arial Narrow"/>
                <w:b/>
                <w:color w:val="000000"/>
                <w:sz w:val="20"/>
              </w:rPr>
              <w:t>Estimated total net cost</w:t>
            </w:r>
          </w:p>
        </w:tc>
      </w:tr>
      <w:tr w:rsidR="008D3136" w:rsidRPr="00180CED" w:rsidTr="001E64BC">
        <w:tc>
          <w:tcPr>
            <w:tcW w:w="2107" w:type="pct"/>
            <w:shd w:val="clear" w:color="auto" w:fill="auto"/>
            <w:vAlign w:val="center"/>
          </w:tcPr>
          <w:p w:rsidR="008D3136" w:rsidRPr="00180CED" w:rsidRDefault="008D3136" w:rsidP="001E54F5">
            <w:pPr>
              <w:widowControl/>
              <w:tabs>
                <w:tab w:val="left" w:pos="142"/>
              </w:tabs>
              <w:jc w:val="left"/>
              <w:rPr>
                <w:rFonts w:ascii="Arial Narrow" w:hAnsi="Arial Narrow"/>
                <w:b/>
                <w:sz w:val="20"/>
              </w:rPr>
            </w:pPr>
            <w:r w:rsidRPr="00180CED">
              <w:rPr>
                <w:rFonts w:ascii="Arial Narrow" w:hAnsi="Arial Narrow"/>
                <w:b/>
                <w:bCs/>
                <w:color w:val="000000"/>
                <w:sz w:val="20"/>
              </w:rPr>
              <w:t xml:space="preserve">Net cost to </w:t>
            </w:r>
            <w:r w:rsidR="00F947B6">
              <w:rPr>
                <w:rFonts w:ascii="Arial Narrow" w:hAnsi="Arial Narrow"/>
                <w:b/>
                <w:bCs/>
                <w:color w:val="000000"/>
                <w:sz w:val="20"/>
              </w:rPr>
              <w:t>Government</w:t>
            </w:r>
          </w:p>
        </w:tc>
        <w:tc>
          <w:tcPr>
            <w:tcW w:w="525" w:type="pct"/>
            <w:shd w:val="clear" w:color="auto" w:fill="auto"/>
          </w:tcPr>
          <w:p w:rsidR="008D3136" w:rsidRPr="00180CED" w:rsidRDefault="008D3136" w:rsidP="001E54F5">
            <w:pPr>
              <w:widowControl/>
              <w:jc w:val="center"/>
              <w:rPr>
                <w:rFonts w:ascii="Arial Narrow" w:hAnsi="Arial Narrow"/>
                <w:sz w:val="20"/>
              </w:rPr>
            </w:pPr>
            <w:r w:rsidRPr="00180CED">
              <w:rPr>
                <w:rFonts w:ascii="Arial Narrow" w:hAnsi="Arial Narrow"/>
                <w:sz w:val="20"/>
              </w:rPr>
              <w:t>$0</w:t>
            </w:r>
          </w:p>
        </w:tc>
        <w:tc>
          <w:tcPr>
            <w:tcW w:w="596" w:type="pct"/>
            <w:shd w:val="clear" w:color="auto" w:fill="auto"/>
          </w:tcPr>
          <w:p w:rsidR="008D3136" w:rsidRPr="00180CED" w:rsidRDefault="008D3136" w:rsidP="001E54F5">
            <w:pPr>
              <w:widowControl/>
              <w:jc w:val="center"/>
              <w:rPr>
                <w:rFonts w:ascii="Arial Narrow" w:hAnsi="Arial Narrow"/>
                <w:sz w:val="20"/>
              </w:rPr>
            </w:pPr>
            <w:r w:rsidRPr="00180CED">
              <w:rPr>
                <w:rFonts w:ascii="Arial Narrow" w:hAnsi="Arial Narrow"/>
                <w:sz w:val="20"/>
              </w:rPr>
              <w:t>$0</w:t>
            </w:r>
          </w:p>
        </w:tc>
        <w:tc>
          <w:tcPr>
            <w:tcW w:w="595" w:type="pct"/>
            <w:shd w:val="clear" w:color="auto" w:fill="auto"/>
          </w:tcPr>
          <w:p w:rsidR="008D3136" w:rsidRPr="00180CED" w:rsidRDefault="008D3136" w:rsidP="001E54F5">
            <w:pPr>
              <w:widowControl/>
              <w:jc w:val="center"/>
              <w:rPr>
                <w:rFonts w:ascii="Arial Narrow" w:hAnsi="Arial Narrow"/>
                <w:sz w:val="20"/>
              </w:rPr>
            </w:pPr>
            <w:r w:rsidRPr="00180CED">
              <w:rPr>
                <w:rFonts w:ascii="Arial Narrow" w:hAnsi="Arial Narrow"/>
                <w:sz w:val="20"/>
              </w:rPr>
              <w:t>$0</w:t>
            </w:r>
          </w:p>
        </w:tc>
        <w:tc>
          <w:tcPr>
            <w:tcW w:w="594" w:type="pct"/>
            <w:shd w:val="clear" w:color="auto" w:fill="auto"/>
          </w:tcPr>
          <w:p w:rsidR="008D3136" w:rsidRPr="00180CED" w:rsidRDefault="008D3136" w:rsidP="001E54F5">
            <w:pPr>
              <w:widowControl/>
              <w:jc w:val="center"/>
              <w:rPr>
                <w:rFonts w:ascii="Arial Narrow" w:hAnsi="Arial Narrow"/>
                <w:sz w:val="20"/>
              </w:rPr>
            </w:pPr>
            <w:r w:rsidRPr="00180CED">
              <w:rPr>
                <w:rFonts w:ascii="Arial Narrow" w:hAnsi="Arial Narrow"/>
                <w:sz w:val="20"/>
              </w:rPr>
              <w:t>$0</w:t>
            </w:r>
          </w:p>
        </w:tc>
        <w:tc>
          <w:tcPr>
            <w:tcW w:w="583" w:type="pct"/>
            <w:shd w:val="clear" w:color="auto" w:fill="auto"/>
          </w:tcPr>
          <w:p w:rsidR="008D3136" w:rsidRPr="00180CED" w:rsidRDefault="008D3136" w:rsidP="001E54F5">
            <w:pPr>
              <w:widowControl/>
              <w:jc w:val="center"/>
              <w:rPr>
                <w:rFonts w:ascii="Arial Narrow" w:hAnsi="Arial Narrow"/>
                <w:sz w:val="20"/>
              </w:rPr>
            </w:pPr>
            <w:r w:rsidRPr="00180CED">
              <w:rPr>
                <w:rFonts w:ascii="Arial Narrow" w:hAnsi="Arial Narrow"/>
                <w:sz w:val="20"/>
              </w:rPr>
              <w:t>$0</w:t>
            </w:r>
          </w:p>
        </w:tc>
      </w:tr>
    </w:tbl>
    <w:p w:rsidR="00ED4369" w:rsidRDefault="008D3136" w:rsidP="001E54F5">
      <w:pPr>
        <w:pStyle w:val="TableFooter"/>
        <w:widowControl/>
        <w:ind w:firstLine="720"/>
        <w:jc w:val="left"/>
        <w:rPr>
          <w:i/>
          <w:sz w:val="16"/>
          <w:szCs w:val="18"/>
        </w:rPr>
      </w:pPr>
      <w:r w:rsidRPr="001222FC">
        <w:rPr>
          <w:vertAlign w:val="superscript"/>
        </w:rPr>
        <w:t>a</w:t>
      </w:r>
      <w:r w:rsidRPr="001222FC">
        <w:t>.</w:t>
      </w:r>
      <w:r w:rsidRPr="00180CED">
        <w:rPr>
          <w:i/>
          <w:sz w:val="16"/>
          <w:szCs w:val="18"/>
        </w:rPr>
        <w:t>Number of scripts per year calculated as 3.259</w:t>
      </w:r>
      <w:r>
        <w:rPr>
          <w:i/>
          <w:sz w:val="16"/>
          <w:szCs w:val="18"/>
        </w:rPr>
        <w:t xml:space="preserve"> per year </w:t>
      </w:r>
      <w:r w:rsidRPr="00180CED">
        <w:rPr>
          <w:i/>
          <w:sz w:val="16"/>
          <w:szCs w:val="18"/>
        </w:rPr>
        <w:t xml:space="preserve"> (365/7)/16 weeks) during the evaluation</w:t>
      </w:r>
      <w:r w:rsidR="00ED4369">
        <w:rPr>
          <w:i/>
          <w:sz w:val="16"/>
          <w:szCs w:val="18"/>
        </w:rPr>
        <w:t>.</w:t>
      </w:r>
      <w:r w:rsidRPr="00180CED">
        <w:rPr>
          <w:i/>
          <w:sz w:val="16"/>
          <w:szCs w:val="18"/>
        </w:rPr>
        <w:t xml:space="preserve"> </w:t>
      </w:r>
      <w:r w:rsidR="00ED4369">
        <w:rPr>
          <w:i/>
          <w:sz w:val="16"/>
          <w:szCs w:val="18"/>
        </w:rPr>
        <w:t>Correction for patient numbers as t</w:t>
      </w:r>
      <w:r w:rsidR="00ED4369" w:rsidRPr="00ED4369">
        <w:rPr>
          <w:i/>
          <w:sz w:val="16"/>
          <w:szCs w:val="18"/>
        </w:rPr>
        <w:t xml:space="preserve">he </w:t>
      </w:r>
      <w:r w:rsidR="00ED4369">
        <w:rPr>
          <w:i/>
          <w:sz w:val="16"/>
          <w:szCs w:val="18"/>
        </w:rPr>
        <w:tab/>
      </w:r>
      <w:r w:rsidR="00ED4369" w:rsidRPr="00ED4369">
        <w:rPr>
          <w:i/>
          <w:sz w:val="16"/>
          <w:szCs w:val="18"/>
        </w:rPr>
        <w:t xml:space="preserve">submission calculated the total number of migalastat eligible patients by </w:t>
      </w:r>
      <w:r w:rsidR="00AD0D58">
        <w:rPr>
          <w:i/>
          <w:sz w:val="16"/>
          <w:szCs w:val="18"/>
        </w:rPr>
        <w:t>applyin</w:t>
      </w:r>
      <w:r w:rsidR="00ED4369" w:rsidRPr="00ED4369">
        <w:rPr>
          <w:i/>
          <w:sz w:val="16"/>
          <w:szCs w:val="18"/>
        </w:rPr>
        <w:t xml:space="preserve">g the amenability proportion (45%) to the </w:t>
      </w:r>
      <w:r w:rsidR="000D3DF5">
        <w:rPr>
          <w:i/>
          <w:noProof/>
          <w:color w:val="000000"/>
          <w:sz w:val="16"/>
          <w:szCs w:val="18"/>
          <w:highlight w:val="black"/>
        </w:rPr>
        <w:t>''''''</w:t>
      </w:r>
      <w:r w:rsidR="00ED4369" w:rsidRPr="00ED4369">
        <w:rPr>
          <w:i/>
          <w:sz w:val="16"/>
          <w:szCs w:val="18"/>
        </w:rPr>
        <w:t xml:space="preserve"> patients </w:t>
      </w:r>
      <w:r w:rsidR="00ED4369">
        <w:rPr>
          <w:i/>
          <w:sz w:val="16"/>
          <w:szCs w:val="18"/>
        </w:rPr>
        <w:tab/>
      </w:r>
      <w:r w:rsidR="00ED4369" w:rsidRPr="00ED4369">
        <w:rPr>
          <w:i/>
          <w:sz w:val="16"/>
          <w:szCs w:val="18"/>
        </w:rPr>
        <w:t xml:space="preserve">currently receiving ERT and the </w:t>
      </w:r>
      <w:r w:rsidR="000D3DF5">
        <w:rPr>
          <w:i/>
          <w:noProof/>
          <w:color w:val="000000"/>
          <w:sz w:val="16"/>
          <w:szCs w:val="18"/>
          <w:highlight w:val="black"/>
        </w:rPr>
        <w:t xml:space="preserve">''' </w:t>
      </w:r>
      <w:r w:rsidR="00ED4369" w:rsidRPr="00ED4369">
        <w:rPr>
          <w:i/>
          <w:sz w:val="16"/>
          <w:szCs w:val="18"/>
        </w:rPr>
        <w:t xml:space="preserve">grandfathered patients in Year 1. The grandfathered patients should all have amenable mutations (100%) </w:t>
      </w:r>
      <w:r w:rsidR="00ED4369">
        <w:rPr>
          <w:i/>
          <w:sz w:val="16"/>
          <w:szCs w:val="18"/>
        </w:rPr>
        <w:tab/>
      </w:r>
      <w:r w:rsidR="00ED4369" w:rsidRPr="00ED4369">
        <w:rPr>
          <w:i/>
          <w:sz w:val="16"/>
          <w:szCs w:val="18"/>
        </w:rPr>
        <w:t xml:space="preserve">and hence this underestimates the number of eligible patients. Similarly, the market share (30%) was applied to the 6 grandfathered patients in </w:t>
      </w:r>
      <w:r w:rsidR="00ED4369">
        <w:rPr>
          <w:i/>
          <w:sz w:val="16"/>
          <w:szCs w:val="18"/>
        </w:rPr>
        <w:tab/>
        <w:t xml:space="preserve">Year 1, </w:t>
      </w:r>
      <w:r w:rsidR="00ED4369" w:rsidRPr="00ED4369">
        <w:rPr>
          <w:i/>
          <w:sz w:val="16"/>
          <w:szCs w:val="18"/>
        </w:rPr>
        <w:t>thus underestimating the uptake by new patients</w:t>
      </w:r>
    </w:p>
    <w:p w:rsidR="008D3136" w:rsidRPr="00180CED" w:rsidRDefault="008D3136" w:rsidP="001E54F5">
      <w:pPr>
        <w:pStyle w:val="TableFooter"/>
        <w:widowControl/>
        <w:ind w:firstLine="720"/>
        <w:rPr>
          <w:i/>
          <w:szCs w:val="18"/>
        </w:rPr>
      </w:pPr>
      <w:r w:rsidRPr="001222FC">
        <w:rPr>
          <w:sz w:val="16"/>
          <w:szCs w:val="18"/>
        </w:rPr>
        <w:t xml:space="preserve">Source: </w:t>
      </w:r>
      <w:r w:rsidRPr="00180CED">
        <w:rPr>
          <w:szCs w:val="18"/>
        </w:rPr>
        <w:t>Source: Ta</w:t>
      </w:r>
      <w:r>
        <w:rPr>
          <w:szCs w:val="18"/>
        </w:rPr>
        <w:t xml:space="preserve">ble 71, p.128 of the submission </w:t>
      </w:r>
      <w:r w:rsidRPr="00180CED">
        <w:rPr>
          <w:i/>
          <w:szCs w:val="18"/>
        </w:rPr>
        <w:t>Excel spreadsheet ‘migalastat_Section E_Nov16_PBAC’, and calculated</w:t>
      </w:r>
    </w:p>
    <w:p w:rsidR="008D3136" w:rsidRPr="00180CED" w:rsidRDefault="008D3136" w:rsidP="001E54F5">
      <w:pPr>
        <w:pStyle w:val="TableFooter"/>
        <w:widowControl/>
        <w:ind w:firstLine="720"/>
        <w:rPr>
          <w:i/>
        </w:rPr>
      </w:pPr>
      <w:r w:rsidRPr="00180CED">
        <w:rPr>
          <w:i/>
          <w:szCs w:val="18"/>
        </w:rPr>
        <w:t>during the evaluation</w:t>
      </w:r>
    </w:p>
    <w:p w:rsidR="008D3136" w:rsidRDefault="008D3136" w:rsidP="008D3136">
      <w:pPr>
        <w:widowControl/>
        <w:rPr>
          <w:szCs w:val="22"/>
        </w:rPr>
      </w:pPr>
    </w:p>
    <w:p w:rsidR="008F53F6" w:rsidRDefault="00DA0740" w:rsidP="00B63C23">
      <w:pPr>
        <w:pStyle w:val="ListParagraph"/>
        <w:widowControl/>
        <w:numPr>
          <w:ilvl w:val="1"/>
          <w:numId w:val="2"/>
        </w:numPr>
        <w:rPr>
          <w:szCs w:val="22"/>
        </w:rPr>
      </w:pPr>
      <w:r w:rsidRPr="00E70BAA">
        <w:t xml:space="preserve">The submission assumed that the increased cost of funding migalastat will be equal to the reduced market share of the two ERTs </w:t>
      </w:r>
      <w:r>
        <w:t>(</w:t>
      </w:r>
      <w:r w:rsidRPr="00E70BAA">
        <w:t>agalsidase alfa and agalsidase beta</w:t>
      </w:r>
      <w:r>
        <w:t xml:space="preserve">). </w:t>
      </w:r>
      <w:r w:rsidR="008F53F6" w:rsidRPr="003233A4">
        <w:t>At</w:t>
      </w:r>
      <w:r w:rsidR="008F53F6">
        <w:rPr>
          <w:szCs w:val="22"/>
        </w:rPr>
        <w:t xml:space="preserve"> Year 5, the estimated number of patients was </w:t>
      </w:r>
      <w:r w:rsidR="003233A4">
        <w:rPr>
          <w:szCs w:val="22"/>
        </w:rPr>
        <w:t xml:space="preserve">approximately </w:t>
      </w:r>
      <w:r w:rsidR="008F53F6">
        <w:rPr>
          <w:szCs w:val="22"/>
        </w:rPr>
        <w:t xml:space="preserve">21 and the net cost to Government </w:t>
      </w:r>
      <w:r w:rsidR="00EE02F9">
        <w:rPr>
          <w:szCs w:val="22"/>
        </w:rPr>
        <w:t>was</w:t>
      </w:r>
      <w:r w:rsidR="008F53F6">
        <w:rPr>
          <w:szCs w:val="22"/>
        </w:rPr>
        <w:t xml:space="preserve"> $0. </w:t>
      </w:r>
    </w:p>
    <w:p w:rsidR="008F53F6" w:rsidRPr="00C25D9C" w:rsidRDefault="008F53F6" w:rsidP="008D3136">
      <w:pPr>
        <w:widowControl/>
        <w:rPr>
          <w:szCs w:val="22"/>
        </w:rPr>
      </w:pPr>
    </w:p>
    <w:p w:rsidR="003B5C39" w:rsidRPr="00E14B57" w:rsidRDefault="008D3136" w:rsidP="00B63C23">
      <w:pPr>
        <w:pStyle w:val="ListParagraph"/>
        <w:widowControl/>
        <w:numPr>
          <w:ilvl w:val="1"/>
          <w:numId w:val="2"/>
        </w:numPr>
        <w:rPr>
          <w:szCs w:val="22"/>
        </w:rPr>
      </w:pPr>
      <w:r w:rsidRPr="00E14B57">
        <w:t>There is uncertainty around the patient numbers</w:t>
      </w:r>
      <w:r w:rsidR="00C40FA9" w:rsidRPr="00E14B57">
        <w:t>,</w:t>
      </w:r>
      <w:r w:rsidRPr="00E14B57">
        <w:t xml:space="preserve"> in particular around the proportion of amenable patients and market share. Neither of these </w:t>
      </w:r>
      <w:r w:rsidR="00C40FA9" w:rsidRPr="00E14B57">
        <w:t>is</w:t>
      </w:r>
      <w:r w:rsidRPr="00E14B57">
        <w:t xml:space="preserve"> likely to impact on the net cost of the PBS based on the cost</w:t>
      </w:r>
      <w:r w:rsidRPr="00E14B57">
        <w:noBreakHyphen/>
        <w:t xml:space="preserve">neutrality of the proposed price. </w:t>
      </w:r>
    </w:p>
    <w:p w:rsidR="003B5C39" w:rsidRPr="00E14B57" w:rsidRDefault="003B5C39" w:rsidP="003B5C39">
      <w:pPr>
        <w:pStyle w:val="ListParagraph"/>
        <w:widowControl/>
        <w:rPr>
          <w:szCs w:val="22"/>
        </w:rPr>
      </w:pPr>
    </w:p>
    <w:p w:rsidR="001A753A" w:rsidRPr="00E14B57" w:rsidRDefault="003B5C39" w:rsidP="00B63C23">
      <w:pPr>
        <w:pStyle w:val="ListParagraph"/>
        <w:widowControl/>
        <w:numPr>
          <w:ilvl w:val="1"/>
          <w:numId w:val="2"/>
        </w:numPr>
      </w:pPr>
      <w:r w:rsidRPr="00E14B57">
        <w:t>The submission stated that the cost of the GLP-HEK assay to determine eligibility for migalastat will not be borne by the patient. The submission did not present any details of how patients or the health care system would be reimbursed for any costs that might be incurred in determining migalastat amenability.</w:t>
      </w:r>
      <w:r w:rsidR="007D4F01" w:rsidRPr="00E14B57">
        <w:t xml:space="preserve"> </w:t>
      </w:r>
      <w:r w:rsidR="0073204F" w:rsidRPr="00E14B57">
        <w:t>The ESC noted that</w:t>
      </w:r>
      <w:r w:rsidR="007D4F01" w:rsidRPr="00E14B57">
        <w:t xml:space="preserve"> </w:t>
      </w:r>
      <w:r w:rsidR="0073204F" w:rsidRPr="00E14B57">
        <w:t xml:space="preserve">the sponsor in the </w:t>
      </w:r>
      <w:r w:rsidR="007D4F01" w:rsidRPr="00E14B57">
        <w:t xml:space="preserve">PSCR , </w:t>
      </w:r>
      <w:r w:rsidR="0073204F" w:rsidRPr="00E14B57">
        <w:t>proposed that costs of</w:t>
      </w:r>
      <w:r w:rsidR="007D4F01" w:rsidRPr="00E14B57">
        <w:t xml:space="preserve"> the assay</w:t>
      </w:r>
      <w:r w:rsidR="0073204F" w:rsidRPr="00E14B57">
        <w:t>,</w:t>
      </w:r>
      <w:r w:rsidR="007D4F01" w:rsidRPr="00E14B57">
        <w:t xml:space="preserve"> blood collection </w:t>
      </w:r>
      <w:r w:rsidR="0073204F" w:rsidRPr="00E14B57">
        <w:t xml:space="preserve">and </w:t>
      </w:r>
      <w:r w:rsidR="00B07735" w:rsidRPr="00E14B57">
        <w:t>monitoring</w:t>
      </w:r>
      <w:r w:rsidR="0073204F" w:rsidRPr="00E14B57">
        <w:t xml:space="preserve"> patients for adverse events</w:t>
      </w:r>
      <w:r w:rsidR="007D4F01" w:rsidRPr="00E14B57">
        <w:t xml:space="preserve"> will be borne by the sponsor</w:t>
      </w:r>
      <w:r w:rsidR="00D67668" w:rsidRPr="00E14B57">
        <w:t xml:space="preserve"> and indicated that there would be an additional cost to the MBS (discussed</w:t>
      </w:r>
      <w:r w:rsidR="00EE02F9">
        <w:t xml:space="preserve"> above</w:t>
      </w:r>
      <w:r w:rsidR="00D67668" w:rsidRPr="00E14B57">
        <w:t xml:space="preserve"> in the Economic Analysis section).</w:t>
      </w:r>
    </w:p>
    <w:p w:rsidR="00461055" w:rsidRPr="00E14B57" w:rsidRDefault="00461055" w:rsidP="001A753A">
      <w:pPr>
        <w:pStyle w:val="ListParagraph"/>
        <w:rPr>
          <w:szCs w:val="22"/>
        </w:rPr>
      </w:pPr>
    </w:p>
    <w:p w:rsidR="001A753A" w:rsidRPr="00BA4BF9" w:rsidRDefault="002973B1" w:rsidP="00B63C23">
      <w:pPr>
        <w:pStyle w:val="ListParagraph"/>
        <w:widowControl/>
        <w:numPr>
          <w:ilvl w:val="1"/>
          <w:numId w:val="2"/>
        </w:numPr>
        <w:rPr>
          <w:szCs w:val="22"/>
        </w:rPr>
      </w:pPr>
      <w:r w:rsidRPr="00E14B57">
        <w:rPr>
          <w:szCs w:val="22"/>
        </w:rPr>
        <w:t>Further t</w:t>
      </w:r>
      <w:r w:rsidR="001A753A" w:rsidRPr="00E14B57">
        <w:rPr>
          <w:szCs w:val="22"/>
        </w:rPr>
        <w:t xml:space="preserve">he ESC noted that the number of eligible patients </w:t>
      </w:r>
      <w:r w:rsidRPr="00E14B57">
        <w:rPr>
          <w:szCs w:val="22"/>
        </w:rPr>
        <w:t xml:space="preserve">seeking treatment for Fabry disease (either </w:t>
      </w:r>
      <w:r w:rsidRPr="00BA4BF9">
        <w:rPr>
          <w:szCs w:val="22"/>
        </w:rPr>
        <w:t xml:space="preserve">with ERT or migalastat) </w:t>
      </w:r>
      <w:r w:rsidR="001A753A" w:rsidRPr="00BA4BF9">
        <w:rPr>
          <w:szCs w:val="22"/>
        </w:rPr>
        <w:t>may increase significantly as late onset disease is recognised and diagnosed.</w:t>
      </w:r>
      <w:r w:rsidR="00162FDA" w:rsidRPr="00BA4BF9">
        <w:rPr>
          <w:szCs w:val="22"/>
        </w:rPr>
        <w:t xml:space="preserve"> </w:t>
      </w:r>
      <w:r w:rsidR="00510719" w:rsidRPr="00BA4BF9">
        <w:rPr>
          <w:szCs w:val="22"/>
        </w:rPr>
        <w:t>When late onset variants are considered, the prevalence of Fabry disease increases from 1:80,000</w:t>
      </w:r>
      <w:r w:rsidR="0000419B" w:rsidRPr="00BA4BF9">
        <w:rPr>
          <w:szCs w:val="22"/>
        </w:rPr>
        <w:t xml:space="preserve"> live births</w:t>
      </w:r>
      <w:r w:rsidR="00510719" w:rsidRPr="00BA4BF9">
        <w:rPr>
          <w:szCs w:val="22"/>
        </w:rPr>
        <w:t xml:space="preserve"> to 1:3000</w:t>
      </w:r>
      <w:r w:rsidR="000D694F" w:rsidRPr="00BA4BF9">
        <w:rPr>
          <w:szCs w:val="22"/>
        </w:rPr>
        <w:t xml:space="preserve"> (</w:t>
      </w:r>
      <w:r w:rsidR="00C42A66" w:rsidRPr="000D3DF5">
        <w:rPr>
          <w:szCs w:val="22"/>
        </w:rPr>
        <w:t>Orphanet website</w:t>
      </w:r>
      <w:r w:rsidR="0000419B" w:rsidRPr="00BA4BF9">
        <w:rPr>
          <w:szCs w:val="22"/>
        </w:rPr>
        <w:t>, Orpha number 324</w:t>
      </w:r>
      <w:r w:rsidR="000D694F" w:rsidRPr="00BA4BF9">
        <w:rPr>
          <w:szCs w:val="22"/>
        </w:rPr>
        <w:t>)</w:t>
      </w:r>
      <w:r w:rsidR="00510719" w:rsidRPr="00BA4BF9">
        <w:rPr>
          <w:szCs w:val="22"/>
        </w:rPr>
        <w:t>.</w:t>
      </w:r>
      <w:r w:rsidRPr="00BA4BF9">
        <w:rPr>
          <w:szCs w:val="22"/>
        </w:rPr>
        <w:t xml:space="preserve"> The increased cost to Government is unknown.</w:t>
      </w:r>
      <w:r w:rsidR="005B49A9" w:rsidRPr="00BA4BF9">
        <w:rPr>
          <w:szCs w:val="22"/>
        </w:rPr>
        <w:t xml:space="preserve"> The pre-PBAC response </w:t>
      </w:r>
      <w:r w:rsidR="005B49A9" w:rsidRPr="00BA4BF9">
        <w:t>acknowledged that the prevalent number of Fabry diagnoses in Australia may increase due to improved diagnosis of late onset disease</w:t>
      </w:r>
      <w:r w:rsidR="00EE02F9" w:rsidRPr="00BA4BF9">
        <w:t>.</w:t>
      </w:r>
      <w:r w:rsidR="001F15A1" w:rsidRPr="00BA4BF9">
        <w:t xml:space="preserve"> </w:t>
      </w:r>
      <w:r w:rsidR="00EE02F9" w:rsidRPr="00BA4BF9">
        <w:t>However</w:t>
      </w:r>
      <w:r w:rsidR="001F15A1" w:rsidRPr="00BA4BF9">
        <w:t>,</w:t>
      </w:r>
      <w:r w:rsidR="00EE02F9" w:rsidRPr="00BA4BF9">
        <w:t xml:space="preserve"> it was noted that</w:t>
      </w:r>
      <w:r w:rsidR="001F15A1" w:rsidRPr="00BA4BF9">
        <w:t xml:space="preserve"> in the absence of migalastat, patients found to be eligible for treatment through the LSDP would be treated with ERT</w:t>
      </w:r>
      <w:r w:rsidR="0096496D">
        <w:t xml:space="preserve"> </w:t>
      </w:r>
      <w:r w:rsidR="00EE02F9" w:rsidRPr="00BA4BF9">
        <w:t>and</w:t>
      </w:r>
      <w:r w:rsidR="001F15A1" w:rsidRPr="00BA4BF9">
        <w:t xml:space="preserve"> migalastat itself is not expected to </w:t>
      </w:r>
      <w:r w:rsidR="00EE02F9" w:rsidRPr="00BA4BF9">
        <w:t xml:space="preserve">result in </w:t>
      </w:r>
      <w:r w:rsidR="001F15A1" w:rsidRPr="00BA4BF9">
        <w:t xml:space="preserve">an increase in </w:t>
      </w:r>
      <w:r w:rsidR="00EE02F9" w:rsidRPr="00BA4BF9">
        <w:t xml:space="preserve">the size of the </w:t>
      </w:r>
      <w:r w:rsidR="001F15A1" w:rsidRPr="00BA4BF9">
        <w:t xml:space="preserve">patient population. </w:t>
      </w:r>
    </w:p>
    <w:p w:rsidR="008D3136" w:rsidRPr="00BA4BF9" w:rsidRDefault="008D3136" w:rsidP="008D3136">
      <w:pPr>
        <w:widowControl/>
        <w:rPr>
          <w:szCs w:val="22"/>
        </w:rPr>
      </w:pPr>
    </w:p>
    <w:p w:rsidR="008D3136" w:rsidRPr="00BA4BF9" w:rsidRDefault="008D3136" w:rsidP="008D3136">
      <w:pPr>
        <w:pStyle w:val="Heading2"/>
        <w:rPr>
          <w:i/>
        </w:rPr>
      </w:pPr>
      <w:bookmarkStart w:id="30" w:name="_Toc469328267"/>
      <w:bookmarkStart w:id="31" w:name="_Toc471741273"/>
      <w:r w:rsidRPr="00BA4BF9">
        <w:rPr>
          <w:i/>
        </w:rPr>
        <w:t>Quality Use of Medicines</w:t>
      </w:r>
      <w:bookmarkEnd w:id="30"/>
      <w:bookmarkEnd w:id="31"/>
    </w:p>
    <w:p w:rsidR="008D3136" w:rsidRPr="00BA4BF9" w:rsidRDefault="008D3136" w:rsidP="008D3136">
      <w:pPr>
        <w:widowControl/>
        <w:rPr>
          <w:szCs w:val="22"/>
        </w:rPr>
      </w:pPr>
    </w:p>
    <w:p w:rsidR="008D3136" w:rsidRPr="004972E9" w:rsidRDefault="00D67668" w:rsidP="00B63C23">
      <w:pPr>
        <w:pStyle w:val="ListParagraph"/>
        <w:widowControl/>
        <w:numPr>
          <w:ilvl w:val="1"/>
          <w:numId w:val="2"/>
        </w:numPr>
      </w:pPr>
      <w:r w:rsidRPr="00BA4BF9">
        <w:t>The submission presented the risk minimisation materials for patients to support the quality use of migalastat and compliance in people with Fabry disease. This included personalised advice, support and information</w:t>
      </w:r>
      <w:r w:rsidRPr="00E14B57">
        <w:t xml:space="preserve"> through a smartphone application, and visits from the sponsor</w:t>
      </w:r>
      <w:r w:rsidR="00AB7CCA">
        <w:t>’</w:t>
      </w:r>
      <w:r w:rsidRPr="00E14B57">
        <w:t xml:space="preserve">s nurse. </w:t>
      </w:r>
    </w:p>
    <w:p w:rsidR="008D3136" w:rsidRPr="00E14B57" w:rsidRDefault="008D3136" w:rsidP="008D3136">
      <w:pPr>
        <w:widowControl/>
        <w:rPr>
          <w:i/>
          <w:szCs w:val="22"/>
        </w:rPr>
      </w:pPr>
    </w:p>
    <w:p w:rsidR="008D3136" w:rsidRPr="00E14B57" w:rsidRDefault="008D3136" w:rsidP="00510719">
      <w:pPr>
        <w:pStyle w:val="Heading2"/>
        <w:keepNext/>
        <w:rPr>
          <w:i/>
          <w:szCs w:val="22"/>
        </w:rPr>
      </w:pPr>
      <w:bookmarkStart w:id="32" w:name="_Toc469328268"/>
      <w:bookmarkStart w:id="33" w:name="_Toc471741274"/>
      <w:r w:rsidRPr="00E14B57">
        <w:rPr>
          <w:i/>
        </w:rPr>
        <w:t>Financial Management – Risk Sharing Arrangements</w:t>
      </w:r>
      <w:bookmarkEnd w:id="32"/>
      <w:bookmarkEnd w:id="33"/>
    </w:p>
    <w:p w:rsidR="008D3136" w:rsidRPr="00576972" w:rsidRDefault="008D3136" w:rsidP="00510719">
      <w:pPr>
        <w:keepNext/>
        <w:widowControl/>
        <w:rPr>
          <w:szCs w:val="22"/>
        </w:rPr>
      </w:pPr>
    </w:p>
    <w:p w:rsidR="008D3136" w:rsidRPr="00E14B57" w:rsidRDefault="008D3136" w:rsidP="00B63C23">
      <w:pPr>
        <w:pStyle w:val="ListParagraph"/>
        <w:widowControl/>
        <w:numPr>
          <w:ilvl w:val="1"/>
          <w:numId w:val="2"/>
        </w:numPr>
        <w:rPr>
          <w:szCs w:val="22"/>
        </w:rPr>
      </w:pPr>
      <w:r w:rsidRPr="00E14B57">
        <w:t>The submission stated that the sponsor is “willing to discuss the negotiation of an agreement, at the appropriate time, to facilitate the listing of migalastat”. The submission does not present any details of the proposed risk share arrangement.</w:t>
      </w:r>
      <w:r w:rsidR="0066625D" w:rsidRPr="00E14B57">
        <w:t xml:space="preserve"> </w:t>
      </w:r>
      <w:r w:rsidR="0066625D" w:rsidRPr="00E14B57">
        <w:rPr>
          <w:szCs w:val="22"/>
        </w:rPr>
        <w:t>The ESC noted that a cap on the total costs of Fabry disease treatment could be considered to share the risk of the uncertain population size.</w:t>
      </w:r>
    </w:p>
    <w:p w:rsidR="008D3136" w:rsidRDefault="008D3136" w:rsidP="008D3136">
      <w:pPr>
        <w:jc w:val="center"/>
        <w:rPr>
          <w:b/>
          <w:u w:val="single"/>
        </w:rPr>
      </w:pPr>
    </w:p>
    <w:p w:rsidR="00E14B57" w:rsidRPr="003233A4" w:rsidRDefault="00E14B57" w:rsidP="0013439F">
      <w:pPr>
        <w:ind w:firstLine="709"/>
        <w:rPr>
          <w:bCs/>
          <w:i/>
          <w:szCs w:val="22"/>
        </w:rPr>
      </w:pPr>
      <w:r w:rsidRPr="003233A4">
        <w:rPr>
          <w:bCs/>
          <w:i/>
          <w:szCs w:val="22"/>
        </w:rPr>
        <w:t>For more detail on PBAC’s view, see section 7 “PBAC outcome”</w:t>
      </w:r>
      <w:r w:rsidR="003233A4" w:rsidRPr="003233A4">
        <w:rPr>
          <w:bCs/>
          <w:i/>
          <w:szCs w:val="22"/>
        </w:rPr>
        <w:t xml:space="preserve">. </w:t>
      </w:r>
    </w:p>
    <w:p w:rsidR="00317631" w:rsidRPr="003233A4" w:rsidRDefault="00317631" w:rsidP="00E14B57">
      <w:pPr>
        <w:ind w:firstLine="720"/>
        <w:rPr>
          <w:bCs/>
          <w:szCs w:val="22"/>
        </w:rPr>
      </w:pPr>
    </w:p>
    <w:p w:rsidR="002E6A33" w:rsidRDefault="00E14B57" w:rsidP="00C42A66">
      <w:pPr>
        <w:pStyle w:val="PBACHeading1"/>
        <w:ind w:left="709" w:hanging="709"/>
        <w:outlineLvl w:val="0"/>
      </w:pPr>
      <w:r w:rsidRPr="0013439F">
        <w:t>PBAC Outcome</w:t>
      </w:r>
    </w:p>
    <w:p w:rsidR="00C42A66" w:rsidRPr="002E6A33" w:rsidRDefault="00C42A66" w:rsidP="00C42A66">
      <w:pPr>
        <w:rPr>
          <w:b/>
        </w:rPr>
      </w:pPr>
    </w:p>
    <w:p w:rsidR="00E14B57" w:rsidRPr="003233A4" w:rsidRDefault="00AB7CCA" w:rsidP="00B63C23">
      <w:pPr>
        <w:numPr>
          <w:ilvl w:val="1"/>
          <w:numId w:val="2"/>
        </w:numPr>
        <w:rPr>
          <w:bCs/>
          <w:lang w:val="en-GB"/>
        </w:rPr>
      </w:pPr>
      <w:r w:rsidRPr="003233A4">
        <w:rPr>
          <w:bCs/>
          <w:lang w:val="en-GB"/>
        </w:rPr>
        <w:t xml:space="preserve">The PBAC deferred making a </w:t>
      </w:r>
      <w:r w:rsidR="00B9181A">
        <w:rPr>
          <w:bCs/>
          <w:lang w:val="en-GB"/>
        </w:rPr>
        <w:t>recommendation</w:t>
      </w:r>
      <w:r w:rsidRPr="003233A4">
        <w:rPr>
          <w:bCs/>
          <w:lang w:val="en-GB"/>
        </w:rPr>
        <w:t xml:space="preserve"> on the listing of migalastat for Fabry Disease pending the outcome of the TGA evaluation.</w:t>
      </w:r>
      <w:r w:rsidR="00262710">
        <w:rPr>
          <w:bCs/>
          <w:lang w:val="en-GB"/>
        </w:rPr>
        <w:t xml:space="preserve"> </w:t>
      </w:r>
    </w:p>
    <w:p w:rsidR="00DC6860" w:rsidRPr="00B9181A" w:rsidRDefault="00DC6860" w:rsidP="00B9181A">
      <w:pPr>
        <w:rPr>
          <w:bCs/>
          <w:lang w:val="en-GB"/>
        </w:rPr>
      </w:pPr>
    </w:p>
    <w:p w:rsidR="00DC6860" w:rsidRPr="003233A4" w:rsidRDefault="005B49A9" w:rsidP="00B63C23">
      <w:pPr>
        <w:numPr>
          <w:ilvl w:val="1"/>
          <w:numId w:val="2"/>
        </w:numPr>
        <w:rPr>
          <w:bCs/>
          <w:lang w:val="en-GB"/>
        </w:rPr>
      </w:pPr>
      <w:r w:rsidRPr="005B49A9">
        <w:rPr>
          <w:bCs/>
          <w:lang w:val="en-GB"/>
        </w:rPr>
        <w:t xml:space="preserve">The PBAC recognised that </w:t>
      </w:r>
      <w:r w:rsidRPr="003233A4">
        <w:rPr>
          <w:bCs/>
          <w:lang w:val="en-GB"/>
        </w:rPr>
        <w:t xml:space="preserve">agalsidase alfa and agalsidase beta </w:t>
      </w:r>
      <w:r w:rsidRPr="005B49A9">
        <w:rPr>
          <w:bCs/>
          <w:lang w:val="en-GB"/>
        </w:rPr>
        <w:t>are not listed on the PBS and have not been considered to be cost-effective for listing on the PBS but agreed that these two treatments were the appropriate comparators for the reasons outlined by the ESC.</w:t>
      </w:r>
    </w:p>
    <w:p w:rsidR="00496444" w:rsidRPr="003233A4" w:rsidRDefault="00496444" w:rsidP="00496444">
      <w:pPr>
        <w:pStyle w:val="ListParagraph"/>
        <w:rPr>
          <w:bCs/>
          <w:lang w:val="en-GB"/>
        </w:rPr>
      </w:pPr>
    </w:p>
    <w:p w:rsidR="0054582D" w:rsidRPr="003233A4" w:rsidRDefault="00D925DC" w:rsidP="00B9181A">
      <w:pPr>
        <w:numPr>
          <w:ilvl w:val="1"/>
          <w:numId w:val="2"/>
        </w:numPr>
        <w:rPr>
          <w:bCs/>
          <w:lang w:val="en-GB"/>
        </w:rPr>
      </w:pPr>
      <w:r>
        <w:rPr>
          <w:bCs/>
          <w:lang w:val="en-GB"/>
        </w:rPr>
        <w:t xml:space="preserve">The PBAC noted that the clinical evidence in the submission </w:t>
      </w:r>
      <w:r>
        <w:t>was</w:t>
      </w:r>
      <w:r w:rsidRPr="00E14B57">
        <w:t xml:space="preserve"> one head-to-head trial (ATTRACT) comparing migalastat to ERT in treatment-experienced patients, and one head-to-head trial (FACETS) </w:t>
      </w:r>
      <w:r>
        <w:t>comparing migalastat to placebo</w:t>
      </w:r>
      <w:r w:rsidRPr="00E14B57">
        <w:t xml:space="preserve"> in treatment-naïve patients.</w:t>
      </w:r>
      <w:r w:rsidR="005348AB">
        <w:t xml:space="preserve"> </w:t>
      </w:r>
      <w:r w:rsidR="000859B8">
        <w:t>Noting the concerns of the evaluation and the ESC, the PBAC recog</w:t>
      </w:r>
      <w:r w:rsidR="00C83E56">
        <w:t>n</w:t>
      </w:r>
      <w:r w:rsidR="000859B8">
        <w:t xml:space="preserve">ised </w:t>
      </w:r>
      <w:r w:rsidR="00C83E56">
        <w:t>that</w:t>
      </w:r>
      <w:r w:rsidR="000859B8">
        <w:t xml:space="preserve"> Fabry disease </w:t>
      </w:r>
      <w:r w:rsidR="00C83E56">
        <w:t xml:space="preserve">is a rare condition leading to difficulties </w:t>
      </w:r>
      <w:r w:rsidR="000859B8">
        <w:t>undertaking clinical trial</w:t>
      </w:r>
      <w:r w:rsidR="00B9181A">
        <w:t>s in this</w:t>
      </w:r>
      <w:r w:rsidR="000859B8">
        <w:t xml:space="preserve"> patient population. </w:t>
      </w:r>
    </w:p>
    <w:p w:rsidR="009E496F" w:rsidRPr="002D306A" w:rsidRDefault="009E496F" w:rsidP="002D306A">
      <w:pPr>
        <w:rPr>
          <w:bCs/>
          <w:lang w:val="en-GB"/>
        </w:rPr>
      </w:pPr>
    </w:p>
    <w:p w:rsidR="00103C82" w:rsidRPr="00B9181A" w:rsidRDefault="000252CD" w:rsidP="00103C82">
      <w:pPr>
        <w:pStyle w:val="ListParagraph"/>
        <w:numPr>
          <w:ilvl w:val="1"/>
          <w:numId w:val="2"/>
        </w:numPr>
        <w:rPr>
          <w:lang w:val="en-GB"/>
        </w:rPr>
      </w:pPr>
      <w:r>
        <w:rPr>
          <w:bCs/>
          <w:lang w:val="en-GB"/>
        </w:rPr>
        <w:t xml:space="preserve">The outcome of the ATTRACT trial was </w:t>
      </w:r>
      <w:r w:rsidRPr="000252CD">
        <w:rPr>
          <w:bCs/>
          <w:lang w:val="en-GB"/>
        </w:rPr>
        <w:t>annualised change in GFR</w:t>
      </w:r>
      <w:r w:rsidR="00EF412A">
        <w:rPr>
          <w:bCs/>
          <w:lang w:val="en-GB"/>
        </w:rPr>
        <w:t xml:space="preserve">. While </w:t>
      </w:r>
      <w:r w:rsidR="00EF412A" w:rsidRPr="00E14B57">
        <w:t>GFR is a biomarker surrogate outcome,</w:t>
      </w:r>
      <w:r w:rsidR="00EF412A">
        <w:t xml:space="preserve"> PBAC agreed with ESC and </w:t>
      </w:r>
      <w:r w:rsidR="00EF412A" w:rsidRPr="00E14B57">
        <w:t xml:space="preserve">considered annualised change in GFR </w:t>
      </w:r>
      <w:r w:rsidR="006C07F4">
        <w:t xml:space="preserve">was a reliable marker of long-term kidney outcome. </w:t>
      </w:r>
      <w:r w:rsidR="00C53DD4">
        <w:t xml:space="preserve">The submission claimed that </w:t>
      </w:r>
      <w:r w:rsidR="00E34FD1">
        <w:t xml:space="preserve">the criterion for </w:t>
      </w:r>
      <w:r w:rsidR="00C53DD4">
        <w:t>m</w:t>
      </w:r>
      <w:r w:rsidR="00C53DD4" w:rsidRPr="00E14B57">
        <w:t xml:space="preserve">igalastat </w:t>
      </w:r>
      <w:r w:rsidR="00E34FD1">
        <w:t xml:space="preserve">to be considered </w:t>
      </w:r>
      <w:r w:rsidR="00C53DD4" w:rsidRPr="00E14B57">
        <w:t>non-inferior to ERT</w:t>
      </w:r>
      <w:r w:rsidR="00E34FD1">
        <w:t xml:space="preserve"> was </w:t>
      </w:r>
      <w:r w:rsidR="00C53DD4" w:rsidRPr="00E14B57">
        <w:t>the least squares (LS) mean annualised change in GFR for migalastat was no lower than 2.2 mL/min/1.73m</w:t>
      </w:r>
      <w:r w:rsidR="00C53DD4" w:rsidRPr="00E14B57">
        <w:rPr>
          <w:vertAlign w:val="superscript"/>
        </w:rPr>
        <w:t>2</w:t>
      </w:r>
      <w:r w:rsidR="00C53DD4" w:rsidRPr="00E14B57">
        <w:t xml:space="preserve">/year below the mean annualised rate of change for the ERT group, and the overlap in the 95% confidence intervals </w:t>
      </w:r>
      <w:r w:rsidR="002A5F4B">
        <w:t>was</w:t>
      </w:r>
      <w:r w:rsidR="002A5F4B" w:rsidRPr="00E14B57">
        <w:t xml:space="preserve"> </w:t>
      </w:r>
      <w:r w:rsidR="00C53DD4" w:rsidRPr="00E14B57">
        <w:t>more than 50%.</w:t>
      </w:r>
      <w:r w:rsidR="00C53DD4">
        <w:t xml:space="preserve"> The PBAC considered that </w:t>
      </w:r>
      <w:r w:rsidR="002A5F4B">
        <w:t xml:space="preserve">the </w:t>
      </w:r>
      <w:r w:rsidR="002E0329">
        <w:t>non-</w:t>
      </w:r>
      <w:r w:rsidR="002E0329" w:rsidRPr="00E14B57">
        <w:t>inferiority criterion</w:t>
      </w:r>
      <w:r w:rsidR="002E0329">
        <w:t xml:space="preserve"> had not been fully justified. The PBAC </w:t>
      </w:r>
      <w:r w:rsidR="006C07F4">
        <w:t xml:space="preserve">also </w:t>
      </w:r>
      <w:r w:rsidR="002E0329">
        <w:t xml:space="preserve">noted that there was </w:t>
      </w:r>
      <w:r w:rsidR="002E0329">
        <w:rPr>
          <w:lang w:val="en-GB"/>
        </w:rPr>
        <w:t xml:space="preserve">considerable variability in GFR </w:t>
      </w:r>
      <w:r w:rsidR="006C07F4">
        <w:rPr>
          <w:lang w:val="en-GB"/>
        </w:rPr>
        <w:t xml:space="preserve">relative to </w:t>
      </w:r>
      <w:r w:rsidR="0054756B">
        <w:rPr>
          <w:lang w:val="en-GB"/>
        </w:rPr>
        <w:t>any observed treatment effect (making identification of responders problematic)</w:t>
      </w:r>
      <w:r w:rsidR="002E0329">
        <w:rPr>
          <w:lang w:val="en-GB"/>
        </w:rPr>
        <w:t xml:space="preserve">. </w:t>
      </w:r>
      <w:r w:rsidR="0054756B">
        <w:rPr>
          <w:lang w:val="en-GB"/>
        </w:rPr>
        <w:t>T</w:t>
      </w:r>
      <w:r w:rsidR="002E0329">
        <w:t xml:space="preserve">he PBAC considered, given the </w:t>
      </w:r>
      <w:r w:rsidR="0054756B">
        <w:t>wide</w:t>
      </w:r>
      <w:r w:rsidR="002E0329">
        <w:t xml:space="preserve"> confidence intervals</w:t>
      </w:r>
      <w:r w:rsidR="0054756B">
        <w:t xml:space="preserve"> in the difference between migalastat and ERT</w:t>
      </w:r>
      <w:r w:rsidR="002E0329">
        <w:t xml:space="preserve">, that </w:t>
      </w:r>
      <w:r w:rsidR="0054756B">
        <w:t xml:space="preserve">the relative effectiveness of </w:t>
      </w:r>
      <w:r w:rsidR="002E0329">
        <w:t xml:space="preserve">ERT </w:t>
      </w:r>
      <w:r w:rsidR="0054756B">
        <w:t>and migalastat is uncertain</w:t>
      </w:r>
      <w:r w:rsidR="002E0329">
        <w:t xml:space="preserve">. </w:t>
      </w:r>
    </w:p>
    <w:p w:rsidR="00103C82" w:rsidRPr="00103C82" w:rsidRDefault="00103C82" w:rsidP="00103C82">
      <w:pPr>
        <w:rPr>
          <w:lang w:val="en-GB"/>
        </w:rPr>
      </w:pPr>
    </w:p>
    <w:p w:rsidR="004A28EA" w:rsidRDefault="005664E2" w:rsidP="00EF412A">
      <w:pPr>
        <w:pStyle w:val="ListParagraph"/>
        <w:widowControl/>
        <w:numPr>
          <w:ilvl w:val="1"/>
          <w:numId w:val="2"/>
        </w:numPr>
      </w:pPr>
      <w:r>
        <w:t xml:space="preserve">Further, the PBAC did not accept the </w:t>
      </w:r>
      <w:r w:rsidRPr="00E14B57">
        <w:t>submission</w:t>
      </w:r>
      <w:r>
        <w:t>’s</w:t>
      </w:r>
      <w:r w:rsidRPr="00E14B57">
        <w:t xml:space="preserve"> claim that, based on the change in</w:t>
      </w:r>
      <w:r>
        <w:t xml:space="preserve"> </w:t>
      </w:r>
      <w:r w:rsidRPr="005664E2">
        <w:t>left ventricular mass index</w:t>
      </w:r>
      <w:r w:rsidRPr="00E14B57">
        <w:t xml:space="preserve"> </w:t>
      </w:r>
      <w:r>
        <w:t>(</w:t>
      </w:r>
      <w:r w:rsidRPr="00E14B57">
        <w:t>LVMI</w:t>
      </w:r>
      <w:r>
        <w:t>)</w:t>
      </w:r>
      <w:r w:rsidRPr="00E14B57">
        <w:t>, migalastat was superior to ERT in reducing LVMI in Fabry patients.</w:t>
      </w:r>
      <w:r w:rsidR="00103C82">
        <w:t xml:space="preserve"> The PBAC recalled that </w:t>
      </w:r>
      <w:r w:rsidR="00B41D75">
        <w:t>it</w:t>
      </w:r>
      <w:r w:rsidR="00103C82">
        <w:t xml:space="preserve"> </w:t>
      </w:r>
      <w:r w:rsidR="00103C82" w:rsidRPr="00E14B57">
        <w:t xml:space="preserve">has previously considered the clinical relevance of left ventricular mass as an outcome in Fabry patients </w:t>
      </w:r>
      <w:r w:rsidR="00B41D75">
        <w:t>to be</w:t>
      </w:r>
      <w:r w:rsidR="00B41D75" w:rsidRPr="00E14B57">
        <w:t xml:space="preserve"> </w:t>
      </w:r>
      <w:r w:rsidR="00103C82" w:rsidRPr="00E14B57">
        <w:t>uncertain</w:t>
      </w:r>
      <w:r w:rsidR="00103C82">
        <w:t xml:space="preserve">. </w:t>
      </w:r>
    </w:p>
    <w:p w:rsidR="004A28EA" w:rsidRDefault="004A28EA" w:rsidP="004A28EA">
      <w:pPr>
        <w:pStyle w:val="ListParagraph"/>
        <w:widowControl/>
      </w:pPr>
    </w:p>
    <w:p w:rsidR="00C57C42" w:rsidRDefault="004A28EA" w:rsidP="00AE2F62">
      <w:pPr>
        <w:pStyle w:val="ListParagraph"/>
        <w:widowControl/>
        <w:numPr>
          <w:ilvl w:val="1"/>
          <w:numId w:val="2"/>
        </w:numPr>
      </w:pPr>
      <w:r>
        <w:t xml:space="preserve">The PBAC noted that </w:t>
      </w:r>
      <w:r w:rsidRPr="00E14B57">
        <w:t>primary outcome in FACETS was the proportion of patients who achieved a response, defined as more than a 50% reduction in GL3 inclusions per kidney IC at Month 6</w:t>
      </w:r>
      <w:r w:rsidR="0054756B">
        <w:t xml:space="preserve">, but that the magnitude of any </w:t>
      </w:r>
      <w:r w:rsidR="007263FD">
        <w:t xml:space="preserve">benefit </w:t>
      </w:r>
      <w:r w:rsidR="0054756B">
        <w:t>for this outcome,</w:t>
      </w:r>
      <w:r w:rsidRPr="00E14B57">
        <w:t xml:space="preserve"> compared to placebo</w:t>
      </w:r>
      <w:r w:rsidR="00C57C42">
        <w:t>,</w:t>
      </w:r>
      <w:r w:rsidR="007263FD">
        <w:t xml:space="preserve"> </w:t>
      </w:r>
      <w:r w:rsidR="00C57C42">
        <w:t xml:space="preserve">was very imprecise and consistent with no effect. </w:t>
      </w:r>
    </w:p>
    <w:p w:rsidR="00961B0B" w:rsidRPr="00C57C42" w:rsidRDefault="00961B0B" w:rsidP="00C57C42">
      <w:pPr>
        <w:rPr>
          <w:bCs/>
          <w:lang w:val="en-GB"/>
        </w:rPr>
      </w:pPr>
    </w:p>
    <w:p w:rsidR="00E14B57" w:rsidRPr="003233A4" w:rsidRDefault="000252CD" w:rsidP="00B9181A">
      <w:pPr>
        <w:pStyle w:val="ListParagraph"/>
        <w:widowControl/>
        <w:numPr>
          <w:ilvl w:val="1"/>
          <w:numId w:val="2"/>
        </w:numPr>
        <w:rPr>
          <w:bCs/>
          <w:lang w:val="en-GB"/>
        </w:rPr>
      </w:pPr>
      <w:r w:rsidRPr="00B9181A">
        <w:t>The</w:t>
      </w:r>
      <w:r w:rsidR="009E496F" w:rsidRPr="003233A4">
        <w:rPr>
          <w:bCs/>
          <w:lang w:val="en-GB"/>
        </w:rPr>
        <w:t xml:space="preserve"> PBAC considered that the </w:t>
      </w:r>
      <w:r>
        <w:rPr>
          <w:bCs/>
          <w:lang w:val="en-GB"/>
        </w:rPr>
        <w:t xml:space="preserve">outcomes of the </w:t>
      </w:r>
      <w:r w:rsidR="009E496F" w:rsidRPr="003233A4">
        <w:rPr>
          <w:bCs/>
          <w:lang w:val="en-GB"/>
        </w:rPr>
        <w:t xml:space="preserve">trials did not provide confidence in the </w:t>
      </w:r>
      <w:r>
        <w:rPr>
          <w:bCs/>
          <w:lang w:val="en-GB"/>
        </w:rPr>
        <w:t xml:space="preserve">superior </w:t>
      </w:r>
      <w:r w:rsidR="009E496F" w:rsidRPr="003233A4">
        <w:rPr>
          <w:bCs/>
          <w:lang w:val="en-GB"/>
        </w:rPr>
        <w:t>effect</w:t>
      </w:r>
      <w:r w:rsidR="00961B0B" w:rsidRPr="003233A4">
        <w:rPr>
          <w:bCs/>
          <w:lang w:val="en-GB"/>
        </w:rPr>
        <w:t>iveness</w:t>
      </w:r>
      <w:r w:rsidR="009E496F" w:rsidRPr="003233A4">
        <w:rPr>
          <w:bCs/>
          <w:lang w:val="en-GB"/>
        </w:rPr>
        <w:t xml:space="preserve"> of migalastat compared to placebo </w:t>
      </w:r>
      <w:r>
        <w:rPr>
          <w:bCs/>
          <w:lang w:val="en-GB"/>
        </w:rPr>
        <w:t>or</w:t>
      </w:r>
      <w:r w:rsidR="009E496F" w:rsidRPr="003233A4">
        <w:rPr>
          <w:bCs/>
          <w:lang w:val="en-GB"/>
        </w:rPr>
        <w:t xml:space="preserve"> </w:t>
      </w:r>
      <w:r>
        <w:rPr>
          <w:bCs/>
          <w:lang w:val="en-GB"/>
        </w:rPr>
        <w:t xml:space="preserve">equivalent </w:t>
      </w:r>
      <w:r w:rsidRPr="003233A4">
        <w:rPr>
          <w:bCs/>
          <w:lang w:val="en-GB"/>
        </w:rPr>
        <w:t>effectiveness of migalastat</w:t>
      </w:r>
      <w:r>
        <w:rPr>
          <w:bCs/>
          <w:lang w:val="en-GB"/>
        </w:rPr>
        <w:t xml:space="preserve"> compared to </w:t>
      </w:r>
      <w:r w:rsidR="009E496F" w:rsidRPr="003233A4">
        <w:rPr>
          <w:bCs/>
          <w:lang w:val="en-GB"/>
        </w:rPr>
        <w:t>ERT.</w:t>
      </w:r>
      <w:r w:rsidR="00262710">
        <w:rPr>
          <w:bCs/>
          <w:lang w:val="en-GB"/>
        </w:rPr>
        <w:t xml:space="preserve"> Therefore, the PBAC could not accept the clinical claim </w:t>
      </w:r>
      <w:r w:rsidR="00262710" w:rsidRPr="00E14B57">
        <w:t>of comparative effectiveness over the primary comparator, ERT</w:t>
      </w:r>
      <w:r w:rsidR="00E44D51">
        <w:t xml:space="preserve"> in treatment naïve patients and in </w:t>
      </w:r>
      <w:r w:rsidR="00E44D51" w:rsidRPr="00E14B57">
        <w:t>treatment experienced or switch patients</w:t>
      </w:r>
      <w:r w:rsidR="00E44D51">
        <w:t xml:space="preserve">. </w:t>
      </w:r>
    </w:p>
    <w:p w:rsidR="00E14B57" w:rsidRPr="003233A4" w:rsidRDefault="00E14B57" w:rsidP="00E14B57">
      <w:pPr>
        <w:rPr>
          <w:bCs/>
          <w:lang w:val="en-GB"/>
        </w:rPr>
      </w:pPr>
    </w:p>
    <w:p w:rsidR="00E14B57" w:rsidRPr="00907306" w:rsidRDefault="00D73AB5" w:rsidP="00B63C23">
      <w:pPr>
        <w:numPr>
          <w:ilvl w:val="1"/>
          <w:numId w:val="2"/>
        </w:numPr>
        <w:rPr>
          <w:bCs/>
          <w:lang w:val="en-GB"/>
        </w:rPr>
      </w:pPr>
      <w:r>
        <w:rPr>
          <w:bCs/>
          <w:lang w:val="en-GB"/>
        </w:rPr>
        <w:t xml:space="preserve">The submission claimed that </w:t>
      </w:r>
      <w:r w:rsidRPr="00E14B57">
        <w:t xml:space="preserve">migalastat </w:t>
      </w:r>
      <w:r w:rsidR="00B41D75">
        <w:t>w</w:t>
      </w:r>
      <w:r w:rsidRPr="00E14B57">
        <w:t>as non-inferior in terms of comparative safety over the primary comparator, ERT</w:t>
      </w:r>
      <w:r>
        <w:t xml:space="preserve">. The PBAC noted that the FACETS trial was placebo controlled and that there </w:t>
      </w:r>
      <w:r w:rsidRPr="00D73AB5">
        <w:t xml:space="preserve">was </w:t>
      </w:r>
      <w:r w:rsidR="009568A1">
        <w:t xml:space="preserve">no </w:t>
      </w:r>
      <w:r w:rsidRPr="00D73AB5">
        <w:t>formal indirect comparison of safety comparing migalastat to ERTs in the supportive analysis</w:t>
      </w:r>
      <w:r w:rsidR="007B30CC">
        <w:t xml:space="preserve"> in treatment naïve patients</w:t>
      </w:r>
      <w:r w:rsidRPr="00D73AB5">
        <w:t>. The PBAC considered with the currently available evidence</w:t>
      </w:r>
      <w:r w:rsidR="007B30CC">
        <w:t xml:space="preserve"> in treatment naïve patients and in </w:t>
      </w:r>
      <w:r w:rsidR="007B30CC" w:rsidRPr="00E14B57">
        <w:t>treatment experienced or switch patients</w:t>
      </w:r>
      <w:r w:rsidR="009568A1">
        <w:t>,</w:t>
      </w:r>
      <w:r w:rsidRPr="00D73AB5">
        <w:t xml:space="preserve"> </w:t>
      </w:r>
      <w:r w:rsidR="009568A1" w:rsidRPr="00D73AB5">
        <w:t>i</w:t>
      </w:r>
      <w:r w:rsidR="009568A1">
        <w:t>t</w:t>
      </w:r>
      <w:r w:rsidR="009568A1" w:rsidRPr="00D73AB5">
        <w:t xml:space="preserve"> </w:t>
      </w:r>
      <w:r w:rsidRPr="00D73AB5">
        <w:t>was reasonable to accept the claim of non-inferior</w:t>
      </w:r>
      <w:r w:rsidRPr="00E14B57">
        <w:t xml:space="preserve"> comparative safety</w:t>
      </w:r>
      <w:r w:rsidR="00B9181A">
        <w:t xml:space="preserve"> </w:t>
      </w:r>
      <w:r w:rsidR="00C57C42">
        <w:t xml:space="preserve">compared </w:t>
      </w:r>
      <w:r w:rsidR="00B9181A">
        <w:t>to ERT</w:t>
      </w:r>
      <w:r>
        <w:t xml:space="preserve">. </w:t>
      </w:r>
    </w:p>
    <w:p w:rsidR="00907306" w:rsidRPr="003233A4" w:rsidRDefault="00907306" w:rsidP="007B30CC">
      <w:pPr>
        <w:ind w:left="720"/>
        <w:rPr>
          <w:bCs/>
          <w:lang w:val="en-GB"/>
        </w:rPr>
      </w:pPr>
    </w:p>
    <w:p w:rsidR="004A28EA" w:rsidRDefault="005D434F" w:rsidP="001F15A1">
      <w:pPr>
        <w:numPr>
          <w:ilvl w:val="1"/>
          <w:numId w:val="2"/>
        </w:numPr>
        <w:rPr>
          <w:bCs/>
          <w:lang w:val="en-GB"/>
        </w:rPr>
      </w:pPr>
      <w:r>
        <w:rPr>
          <w:bCs/>
          <w:lang w:val="en-GB"/>
        </w:rPr>
        <w:t>The pre-PBAC response reiterated the advantages of migalastat, an oral treatment over ERT</w:t>
      </w:r>
      <w:r w:rsidR="00907306">
        <w:rPr>
          <w:bCs/>
          <w:lang w:val="en-GB"/>
        </w:rPr>
        <w:t>. The PBAC noted that the submission had not formally addressed any associated benefits to patients us</w:t>
      </w:r>
      <w:r w:rsidR="00C42A66">
        <w:rPr>
          <w:bCs/>
          <w:lang w:val="en-GB"/>
        </w:rPr>
        <w:t>ing migalastat rather than ERT.</w:t>
      </w:r>
    </w:p>
    <w:p w:rsidR="00C42A66" w:rsidRPr="00C42A66" w:rsidRDefault="00C42A66" w:rsidP="00C42A66">
      <w:pPr>
        <w:rPr>
          <w:bCs/>
          <w:lang w:val="en-GB"/>
        </w:rPr>
      </w:pPr>
    </w:p>
    <w:p w:rsidR="00262710" w:rsidRPr="003233A4" w:rsidRDefault="001A7377" w:rsidP="000C0E7A">
      <w:pPr>
        <w:numPr>
          <w:ilvl w:val="1"/>
          <w:numId w:val="2"/>
        </w:numPr>
        <w:rPr>
          <w:bCs/>
          <w:lang w:val="en-GB"/>
        </w:rPr>
      </w:pPr>
      <w:r>
        <w:rPr>
          <w:bCs/>
          <w:lang w:val="en-GB"/>
        </w:rPr>
        <w:t xml:space="preserve">The PBAC noted that </w:t>
      </w:r>
      <w:r w:rsidR="00BA2238">
        <w:rPr>
          <w:bCs/>
          <w:lang w:val="en-GB"/>
        </w:rPr>
        <w:t>determining the eligibility of patients for mig</w:t>
      </w:r>
      <w:r w:rsidR="0096496D">
        <w:rPr>
          <w:bCs/>
          <w:lang w:val="en-GB"/>
        </w:rPr>
        <w:t>a</w:t>
      </w:r>
      <w:r w:rsidR="00BA2238">
        <w:rPr>
          <w:bCs/>
          <w:lang w:val="en-GB"/>
        </w:rPr>
        <w:t xml:space="preserve">lastat was not straightforward, and the evidence base for this determination is evolving. The principle is that </w:t>
      </w:r>
      <w:r>
        <w:rPr>
          <w:bCs/>
          <w:lang w:val="en-GB"/>
        </w:rPr>
        <w:t xml:space="preserve">only patients with an amenable mutation in </w:t>
      </w:r>
      <w:r w:rsidR="00FB6D49">
        <w:rPr>
          <w:bCs/>
          <w:lang w:val="en-GB"/>
        </w:rPr>
        <w:t xml:space="preserve">the </w:t>
      </w:r>
      <w:r w:rsidR="00BA2238">
        <w:rPr>
          <w:bCs/>
          <w:lang w:val="en-GB"/>
        </w:rPr>
        <w:t xml:space="preserve">sequenced </w:t>
      </w:r>
      <w:r>
        <w:rPr>
          <w:bCs/>
          <w:lang w:val="en-GB"/>
        </w:rPr>
        <w:t>GLA gene</w:t>
      </w:r>
      <w:r w:rsidR="00FB6D49">
        <w:rPr>
          <w:bCs/>
          <w:lang w:val="en-GB"/>
        </w:rPr>
        <w:t xml:space="preserve"> would benefit from being treated with migalastat. </w:t>
      </w:r>
      <w:r w:rsidR="00FB6D49">
        <w:rPr>
          <w:lang w:eastAsia="en-AU"/>
        </w:rPr>
        <w:t>The Galafold Amenability Table (GAT)</w:t>
      </w:r>
      <w:r w:rsidR="00417D82">
        <w:rPr>
          <w:lang w:eastAsia="en-AU"/>
        </w:rPr>
        <w:t>,</w:t>
      </w:r>
      <w:r w:rsidR="00CA5922">
        <w:rPr>
          <w:lang w:eastAsia="en-AU"/>
        </w:rPr>
        <w:t xml:space="preserve"> used to determine if a mutation is amenable</w:t>
      </w:r>
      <w:r w:rsidR="00417D82">
        <w:rPr>
          <w:lang w:eastAsia="en-AU"/>
        </w:rPr>
        <w:t>,</w:t>
      </w:r>
      <w:r w:rsidR="00FB6D49">
        <w:rPr>
          <w:lang w:eastAsia="en-AU"/>
        </w:rPr>
        <w:t xml:space="preserve"> is based on the results of </w:t>
      </w:r>
      <w:r w:rsidR="00BA2238">
        <w:rPr>
          <w:lang w:eastAsia="en-AU"/>
        </w:rPr>
        <w:t xml:space="preserve">a </w:t>
      </w:r>
      <w:r w:rsidR="00FB6D49" w:rsidRPr="00E14B57">
        <w:rPr>
          <w:bCs/>
        </w:rPr>
        <w:t>GLP-HEK assay</w:t>
      </w:r>
      <w:r w:rsidR="00BA2238">
        <w:rPr>
          <w:bCs/>
        </w:rPr>
        <w:t xml:space="preserve"> which was validated during the conduct of the key trial </w:t>
      </w:r>
      <w:r w:rsidR="009A7FA4">
        <w:rPr>
          <w:bCs/>
        </w:rPr>
        <w:t>(Benjamin et al, 2016</w:t>
      </w:r>
      <w:r w:rsidR="00F85FF1">
        <w:rPr>
          <w:bCs/>
        </w:rPr>
        <w:t>, Genetics in Medicine</w:t>
      </w:r>
      <w:r w:rsidR="009A7FA4">
        <w:rPr>
          <w:bCs/>
        </w:rPr>
        <w:t>)</w:t>
      </w:r>
      <w:r w:rsidR="00C57C42">
        <w:rPr>
          <w:bCs/>
        </w:rPr>
        <w:t xml:space="preserve">. These data were the </w:t>
      </w:r>
      <w:r w:rsidR="00BA2238">
        <w:rPr>
          <w:bCs/>
        </w:rPr>
        <w:t xml:space="preserve">used to generate a post hoc analysis of this trial </w:t>
      </w:r>
      <w:r w:rsidR="00530744">
        <w:rPr>
          <w:bCs/>
        </w:rPr>
        <w:t xml:space="preserve">excluding some </w:t>
      </w:r>
      <w:r w:rsidR="00BA2238">
        <w:rPr>
          <w:bCs/>
        </w:rPr>
        <w:t xml:space="preserve">patients </w:t>
      </w:r>
      <w:r w:rsidR="00530744">
        <w:rPr>
          <w:bCs/>
        </w:rPr>
        <w:t xml:space="preserve">who were </w:t>
      </w:r>
      <w:r w:rsidR="00BA2238">
        <w:rPr>
          <w:bCs/>
        </w:rPr>
        <w:t xml:space="preserve">determined to </w:t>
      </w:r>
      <w:r w:rsidR="00530744">
        <w:rPr>
          <w:bCs/>
        </w:rPr>
        <w:t xml:space="preserve">have amenable mutations </w:t>
      </w:r>
      <w:r w:rsidR="00BA2238">
        <w:rPr>
          <w:bCs/>
        </w:rPr>
        <w:t>based on a preliminary GLP-HEK assay</w:t>
      </w:r>
      <w:r w:rsidR="00530744">
        <w:rPr>
          <w:bCs/>
        </w:rPr>
        <w:t>, but were determined not to be amenable with the later</w:t>
      </w:r>
      <w:r w:rsidR="00F85FF1">
        <w:rPr>
          <w:bCs/>
        </w:rPr>
        <w:t xml:space="preserve"> ‘validated’</w:t>
      </w:r>
      <w:r w:rsidR="00530744">
        <w:rPr>
          <w:bCs/>
        </w:rPr>
        <w:t xml:space="preserve"> assay</w:t>
      </w:r>
      <w:r w:rsidR="00FB6D49">
        <w:rPr>
          <w:bCs/>
        </w:rPr>
        <w:t>.</w:t>
      </w:r>
      <w:r w:rsidR="00FD2A6B">
        <w:rPr>
          <w:bCs/>
        </w:rPr>
        <w:t xml:space="preserve"> </w:t>
      </w:r>
      <w:r w:rsidR="00FD2A6B">
        <w:t>The PBAC raised concerns about the extent to which the performance of the assay is operator-dependent, which could affect the number of eligible patients and their average response to therapy</w:t>
      </w:r>
      <w:r w:rsidR="00534A02">
        <w:t>.</w:t>
      </w:r>
      <w:r w:rsidR="00FB6D49">
        <w:rPr>
          <w:bCs/>
        </w:rPr>
        <w:t xml:space="preserve"> </w:t>
      </w:r>
      <w:r w:rsidR="00B71D26">
        <w:t xml:space="preserve">The </w:t>
      </w:r>
      <w:r w:rsidR="00B71D26" w:rsidRPr="00892385">
        <w:t xml:space="preserve">PBAC raised concerns about </w:t>
      </w:r>
      <w:r w:rsidR="000D3DF5">
        <w:rPr>
          <w:noProof/>
          <w:color w:val="000000"/>
          <w:highlight w:val="black"/>
        </w:rPr>
        <w:t>''''''''' '''''''''''''' '''' ''''''''''''</w:t>
      </w:r>
      <w:r w:rsidR="00B71D26" w:rsidRPr="00892385">
        <w:t xml:space="preserve"> the performance of the assay </w:t>
      </w:r>
      <w:r w:rsidR="000D3DF5">
        <w:rPr>
          <w:noProof/>
          <w:color w:val="000000"/>
          <w:highlight w:val="black"/>
        </w:rPr>
        <w:t>'''' '''''''''''''''''''''''''''''''''''''''''''''''' ''''''''''''' ''''''''''''' '''''''''''''' ''''''' '''''''''''''''''' ''''' '''''''''''''''' ''''''''''''''''' ''''''''' ''''''''''' '''''''''''''''''''' '''''''''''''''''''' ''''' '''''''''''''''''''</w:t>
      </w:r>
      <w:r w:rsidR="00B71D26">
        <w:t xml:space="preserve">. </w:t>
      </w:r>
      <w:r w:rsidR="00FB6D49">
        <w:rPr>
          <w:bCs/>
        </w:rPr>
        <w:t xml:space="preserve">The GAT is </w:t>
      </w:r>
      <w:r w:rsidR="00BA2238">
        <w:rPr>
          <w:bCs/>
        </w:rPr>
        <w:t xml:space="preserve">further </w:t>
      </w:r>
      <w:r w:rsidR="00FB6D49">
        <w:rPr>
          <w:bCs/>
        </w:rPr>
        <w:t xml:space="preserve">updated when </w:t>
      </w:r>
      <w:r w:rsidR="001C695F">
        <w:rPr>
          <w:bCs/>
        </w:rPr>
        <w:t xml:space="preserve">the </w:t>
      </w:r>
      <w:r w:rsidR="00CA5922">
        <w:t xml:space="preserve">amenability status of a </w:t>
      </w:r>
      <w:r w:rsidR="00530744">
        <w:t xml:space="preserve">previously untested </w:t>
      </w:r>
      <w:r w:rsidR="00BA2238">
        <w:t xml:space="preserve">GLA </w:t>
      </w:r>
      <w:r w:rsidR="00CA5922">
        <w:t>mutation is unknown</w:t>
      </w:r>
      <w:r w:rsidR="00CA5922">
        <w:rPr>
          <w:bCs/>
        </w:rPr>
        <w:t xml:space="preserve"> and </w:t>
      </w:r>
      <w:r w:rsidR="00BA2238">
        <w:rPr>
          <w:bCs/>
        </w:rPr>
        <w:t xml:space="preserve">thus needs to </w:t>
      </w:r>
      <w:r w:rsidR="00530744">
        <w:rPr>
          <w:bCs/>
        </w:rPr>
        <w:t xml:space="preserve">be </w:t>
      </w:r>
      <w:r w:rsidR="00CA5922">
        <w:rPr>
          <w:bCs/>
        </w:rPr>
        <w:t xml:space="preserve">tested </w:t>
      </w:r>
      <w:r w:rsidR="001A29D0">
        <w:rPr>
          <w:bCs/>
        </w:rPr>
        <w:t>us</w:t>
      </w:r>
      <w:r w:rsidR="00CA5922">
        <w:rPr>
          <w:bCs/>
        </w:rPr>
        <w:t>in</w:t>
      </w:r>
      <w:r w:rsidR="001A29D0">
        <w:rPr>
          <w:bCs/>
        </w:rPr>
        <w:t>g</w:t>
      </w:r>
      <w:r w:rsidR="00CA5922">
        <w:rPr>
          <w:bCs/>
        </w:rPr>
        <w:t xml:space="preserve"> the </w:t>
      </w:r>
      <w:r w:rsidR="00BA2238">
        <w:rPr>
          <w:bCs/>
        </w:rPr>
        <w:t xml:space="preserve">validated </w:t>
      </w:r>
      <w:r w:rsidR="00CA5922" w:rsidRPr="00E14B57">
        <w:rPr>
          <w:bCs/>
        </w:rPr>
        <w:t>GLP-HEK assay</w:t>
      </w:r>
      <w:r w:rsidR="00FB6D49">
        <w:rPr>
          <w:lang w:eastAsia="en-AU"/>
        </w:rPr>
        <w:t>.</w:t>
      </w:r>
      <w:r w:rsidR="00CA5922">
        <w:rPr>
          <w:lang w:eastAsia="en-AU"/>
        </w:rPr>
        <w:t xml:space="preserve"> The pre-PBAC response clarified that the </w:t>
      </w:r>
      <w:r w:rsidR="00CA5922" w:rsidRPr="00517BF7">
        <w:t xml:space="preserve">assay uses a synthetic copy of the </w:t>
      </w:r>
      <w:r w:rsidR="001A29D0">
        <w:t xml:space="preserve">previously untested GLA </w:t>
      </w:r>
      <w:r w:rsidR="00CA5922" w:rsidRPr="00517BF7">
        <w:t>mutation based on the known genetic sequence (</w:t>
      </w:r>
      <w:r w:rsidR="001A29D0">
        <w:t xml:space="preserve">as </w:t>
      </w:r>
      <w:r w:rsidR="00CA5922" w:rsidRPr="00517BF7">
        <w:t xml:space="preserve">identified through </w:t>
      </w:r>
      <w:r w:rsidR="001A29D0">
        <w:t xml:space="preserve">the </w:t>
      </w:r>
      <w:r w:rsidR="00CA5922" w:rsidRPr="00517BF7">
        <w:t xml:space="preserve">routine </w:t>
      </w:r>
      <w:r w:rsidR="001A29D0">
        <w:t xml:space="preserve">sequencing to confirm a genetic </w:t>
      </w:r>
      <w:r w:rsidR="00CA5922" w:rsidRPr="00517BF7">
        <w:t>diagnos</w:t>
      </w:r>
      <w:r w:rsidR="001A29D0">
        <w:t xml:space="preserve">is of </w:t>
      </w:r>
      <w:r w:rsidR="00CA5922" w:rsidRPr="00517BF7">
        <w:t>Fabry</w:t>
      </w:r>
      <w:r w:rsidR="001A29D0">
        <w:t xml:space="preserve"> disease</w:t>
      </w:r>
      <w:r w:rsidR="00CA5922">
        <w:rPr>
          <w:lang w:eastAsia="en-AU"/>
        </w:rPr>
        <w:t>) and</w:t>
      </w:r>
      <w:r w:rsidR="00417D82">
        <w:rPr>
          <w:lang w:eastAsia="en-AU"/>
        </w:rPr>
        <w:t xml:space="preserve"> not</w:t>
      </w:r>
      <w:r w:rsidR="00CA5922">
        <w:rPr>
          <w:lang w:eastAsia="en-AU"/>
        </w:rPr>
        <w:t xml:space="preserve"> </w:t>
      </w:r>
      <w:r w:rsidR="00417D82">
        <w:rPr>
          <w:lang w:eastAsia="en-AU"/>
        </w:rPr>
        <w:t xml:space="preserve">material from </w:t>
      </w:r>
      <w:r w:rsidR="001A29D0">
        <w:rPr>
          <w:lang w:eastAsia="en-AU"/>
        </w:rPr>
        <w:t xml:space="preserve">the </w:t>
      </w:r>
      <w:r w:rsidR="00CA5922">
        <w:rPr>
          <w:lang w:eastAsia="en-AU"/>
        </w:rPr>
        <w:t>sample</w:t>
      </w:r>
      <w:r w:rsidR="001A29D0">
        <w:rPr>
          <w:lang w:eastAsia="en-AU"/>
        </w:rPr>
        <w:t xml:space="preserve"> of the patient which identified the previously untested GLA mutation</w:t>
      </w:r>
      <w:r w:rsidR="00CA5922">
        <w:rPr>
          <w:lang w:eastAsia="en-AU"/>
        </w:rPr>
        <w:t xml:space="preserve">. </w:t>
      </w:r>
      <w:r w:rsidR="00262710" w:rsidRPr="003233A4">
        <w:rPr>
          <w:bCs/>
          <w:lang w:val="en-GB"/>
        </w:rPr>
        <w:t xml:space="preserve">The PBAC </w:t>
      </w:r>
      <w:r w:rsidR="000C0E7A">
        <w:rPr>
          <w:bCs/>
          <w:lang w:val="en-GB"/>
        </w:rPr>
        <w:t xml:space="preserve">noted that </w:t>
      </w:r>
      <w:r w:rsidR="00530744">
        <w:rPr>
          <w:bCs/>
          <w:lang w:val="en-GB"/>
        </w:rPr>
        <w:t xml:space="preserve">the </w:t>
      </w:r>
      <w:r w:rsidR="000C0E7A">
        <w:rPr>
          <w:bCs/>
          <w:lang w:val="en-GB"/>
        </w:rPr>
        <w:t xml:space="preserve">GLA mutation sequence is determined by </w:t>
      </w:r>
      <w:r w:rsidR="000C0E7A" w:rsidRPr="000C0E7A">
        <w:rPr>
          <w:bCs/>
          <w:lang w:val="en-GB"/>
        </w:rPr>
        <w:t>curr</w:t>
      </w:r>
      <w:r w:rsidR="000C0E7A">
        <w:rPr>
          <w:bCs/>
          <w:lang w:val="en-GB"/>
        </w:rPr>
        <w:t xml:space="preserve">ent standard </w:t>
      </w:r>
      <w:r w:rsidR="00530744">
        <w:rPr>
          <w:bCs/>
          <w:lang w:val="en-GB"/>
        </w:rPr>
        <w:t xml:space="preserve">genetic sequencing </w:t>
      </w:r>
      <w:r w:rsidR="000C0E7A">
        <w:rPr>
          <w:bCs/>
          <w:lang w:val="en-GB"/>
        </w:rPr>
        <w:t xml:space="preserve">procedures. </w:t>
      </w:r>
      <w:r w:rsidR="009A7FA4">
        <w:rPr>
          <w:bCs/>
          <w:lang w:val="en-GB"/>
        </w:rPr>
        <w:t>Overall, t</w:t>
      </w:r>
      <w:r w:rsidR="000C0E7A">
        <w:rPr>
          <w:bCs/>
          <w:lang w:val="en-GB"/>
        </w:rPr>
        <w:t xml:space="preserve">he PBAC </w:t>
      </w:r>
      <w:r w:rsidR="00262710" w:rsidRPr="003233A4">
        <w:rPr>
          <w:bCs/>
          <w:lang w:val="en-GB"/>
        </w:rPr>
        <w:t xml:space="preserve">raised concerns </w:t>
      </w:r>
      <w:r w:rsidR="000C0E7A">
        <w:rPr>
          <w:bCs/>
          <w:lang w:val="en-GB"/>
        </w:rPr>
        <w:t>that the</w:t>
      </w:r>
      <w:r w:rsidR="00262710" w:rsidRPr="003233A4">
        <w:rPr>
          <w:bCs/>
          <w:lang w:val="en-GB"/>
        </w:rPr>
        <w:t xml:space="preserve"> </w:t>
      </w:r>
      <w:r w:rsidR="00530744">
        <w:rPr>
          <w:bCs/>
          <w:lang w:val="en-GB"/>
        </w:rPr>
        <w:t xml:space="preserve">analytical and clinical </w:t>
      </w:r>
      <w:r w:rsidR="00262710" w:rsidRPr="003233A4">
        <w:rPr>
          <w:bCs/>
          <w:lang w:val="en-GB"/>
        </w:rPr>
        <w:t xml:space="preserve">validity of </w:t>
      </w:r>
      <w:r w:rsidR="008F5348">
        <w:rPr>
          <w:bCs/>
          <w:lang w:val="en-GB"/>
        </w:rPr>
        <w:t xml:space="preserve">the </w:t>
      </w:r>
      <w:r w:rsidR="00530744">
        <w:rPr>
          <w:bCs/>
          <w:lang w:val="en-GB"/>
        </w:rPr>
        <w:t>test requirements</w:t>
      </w:r>
      <w:r w:rsidR="008F5348">
        <w:rPr>
          <w:bCs/>
          <w:lang w:val="en-GB"/>
        </w:rPr>
        <w:t xml:space="preserve"> for determining eligibility to migalastat</w:t>
      </w:r>
      <w:r w:rsidR="00530744">
        <w:rPr>
          <w:bCs/>
          <w:lang w:val="en-GB"/>
        </w:rPr>
        <w:t xml:space="preserve">, </w:t>
      </w:r>
      <w:r w:rsidR="001A29D0">
        <w:rPr>
          <w:bCs/>
          <w:lang w:val="en-GB"/>
        </w:rPr>
        <w:t xml:space="preserve">and particularly </w:t>
      </w:r>
      <w:r w:rsidR="00262710" w:rsidRPr="003233A4">
        <w:rPr>
          <w:bCs/>
          <w:lang w:val="en-GB"/>
        </w:rPr>
        <w:t>the GLP-HEK assay</w:t>
      </w:r>
      <w:r w:rsidR="000C0E7A">
        <w:rPr>
          <w:bCs/>
          <w:lang w:val="en-GB"/>
        </w:rPr>
        <w:t xml:space="preserve"> in informing the GAT</w:t>
      </w:r>
      <w:r w:rsidR="00530744">
        <w:rPr>
          <w:bCs/>
          <w:lang w:val="en-GB"/>
        </w:rPr>
        <w:t>,</w:t>
      </w:r>
      <w:r w:rsidR="000C0E7A">
        <w:rPr>
          <w:bCs/>
          <w:lang w:val="en-GB"/>
        </w:rPr>
        <w:t xml:space="preserve"> has not been assessed in the context of Australian standard genetic testing</w:t>
      </w:r>
      <w:r w:rsidR="00262710" w:rsidRPr="003233A4">
        <w:rPr>
          <w:bCs/>
          <w:lang w:val="en-GB"/>
        </w:rPr>
        <w:t xml:space="preserve">. The PBAC considered seeking the advice of the Medical Services Advisory Committee on the analytical and clinical </w:t>
      </w:r>
      <w:r w:rsidR="00530744">
        <w:rPr>
          <w:bCs/>
          <w:lang w:val="en-GB"/>
        </w:rPr>
        <w:t xml:space="preserve">validity </w:t>
      </w:r>
      <w:r w:rsidR="00262710" w:rsidRPr="003233A4">
        <w:rPr>
          <w:bCs/>
          <w:lang w:val="en-GB"/>
        </w:rPr>
        <w:t>of the</w:t>
      </w:r>
      <w:r w:rsidR="00530744">
        <w:rPr>
          <w:bCs/>
          <w:lang w:val="en-GB"/>
        </w:rPr>
        <w:t>se requirements</w:t>
      </w:r>
      <w:r w:rsidR="00262710" w:rsidRPr="003233A4">
        <w:rPr>
          <w:bCs/>
          <w:lang w:val="en-GB"/>
        </w:rPr>
        <w:t xml:space="preserve">, and agreed that this </w:t>
      </w:r>
      <w:r w:rsidR="001C695F">
        <w:rPr>
          <w:bCs/>
          <w:lang w:val="en-GB"/>
        </w:rPr>
        <w:t>sh</w:t>
      </w:r>
      <w:r w:rsidR="00262710" w:rsidRPr="003233A4">
        <w:rPr>
          <w:bCs/>
          <w:lang w:val="en-GB"/>
        </w:rPr>
        <w:t xml:space="preserve">ould occur </w:t>
      </w:r>
      <w:r w:rsidR="0070717F">
        <w:rPr>
          <w:bCs/>
          <w:lang w:val="en-GB"/>
        </w:rPr>
        <w:t xml:space="preserve">if, </w:t>
      </w:r>
      <w:r w:rsidR="00262710" w:rsidRPr="003233A4">
        <w:rPr>
          <w:bCs/>
          <w:lang w:val="en-GB"/>
        </w:rPr>
        <w:t>following future PBAC considerations</w:t>
      </w:r>
      <w:r w:rsidR="0070717F">
        <w:rPr>
          <w:bCs/>
          <w:lang w:val="en-GB"/>
        </w:rPr>
        <w:t>,</w:t>
      </w:r>
      <w:r w:rsidR="00262710" w:rsidRPr="003233A4">
        <w:rPr>
          <w:bCs/>
          <w:lang w:val="en-GB"/>
        </w:rPr>
        <w:t xml:space="preserve"> the </w:t>
      </w:r>
      <w:r w:rsidR="000C0E7A">
        <w:rPr>
          <w:bCs/>
          <w:lang w:val="en-GB"/>
        </w:rPr>
        <w:t xml:space="preserve">PBAC were </w:t>
      </w:r>
      <w:r w:rsidR="00FC2DF9">
        <w:rPr>
          <w:bCs/>
          <w:lang w:val="en-GB"/>
        </w:rPr>
        <w:t xml:space="preserve">ever </w:t>
      </w:r>
      <w:r w:rsidR="000C0E7A">
        <w:rPr>
          <w:bCs/>
          <w:lang w:val="en-GB"/>
        </w:rPr>
        <w:t xml:space="preserve">of a mind to advise the Minister </w:t>
      </w:r>
      <w:r w:rsidR="00C57C42">
        <w:rPr>
          <w:bCs/>
          <w:lang w:val="en-GB"/>
        </w:rPr>
        <w:t xml:space="preserve">of a favourable judgement regarding the </w:t>
      </w:r>
      <w:r w:rsidR="000C0E7A">
        <w:rPr>
          <w:bCs/>
          <w:lang w:val="en-GB"/>
        </w:rPr>
        <w:t xml:space="preserve">comparative </w:t>
      </w:r>
      <w:r w:rsidR="00262710" w:rsidRPr="003233A4">
        <w:rPr>
          <w:bCs/>
          <w:lang w:val="en-GB"/>
        </w:rPr>
        <w:t xml:space="preserve">clinical effectiveness </w:t>
      </w:r>
      <w:r w:rsidR="00F85FF1">
        <w:rPr>
          <w:bCs/>
          <w:lang w:val="en-GB"/>
        </w:rPr>
        <w:t xml:space="preserve">and safety </w:t>
      </w:r>
      <w:r w:rsidR="00262710" w:rsidRPr="003233A4">
        <w:rPr>
          <w:bCs/>
          <w:lang w:val="en-GB"/>
        </w:rPr>
        <w:t>of migalastat</w:t>
      </w:r>
      <w:r w:rsidR="001C695F">
        <w:rPr>
          <w:bCs/>
          <w:lang w:val="en-GB"/>
        </w:rPr>
        <w:t xml:space="preserve"> to ERT</w:t>
      </w:r>
      <w:r w:rsidR="00C57C42">
        <w:rPr>
          <w:bCs/>
          <w:lang w:val="en-GB"/>
        </w:rPr>
        <w:t xml:space="preserve"> and placebo</w:t>
      </w:r>
      <w:r w:rsidR="00262710" w:rsidRPr="003233A4">
        <w:rPr>
          <w:bCs/>
          <w:lang w:val="en-GB"/>
        </w:rPr>
        <w:t>.</w:t>
      </w:r>
      <w:r w:rsidR="001C695F">
        <w:rPr>
          <w:bCs/>
          <w:lang w:val="en-GB"/>
        </w:rPr>
        <w:t xml:space="preserve"> The PBAC noted that public subsidy of the </w:t>
      </w:r>
      <w:r w:rsidR="009A7FA4">
        <w:rPr>
          <w:bCs/>
          <w:lang w:val="en-GB"/>
        </w:rPr>
        <w:t xml:space="preserve">validated </w:t>
      </w:r>
      <w:r w:rsidR="001C695F" w:rsidRPr="00E14B57">
        <w:rPr>
          <w:bCs/>
        </w:rPr>
        <w:t>GLP-HEK assay</w:t>
      </w:r>
      <w:r w:rsidR="001C695F">
        <w:rPr>
          <w:bCs/>
          <w:lang w:val="en-GB"/>
        </w:rPr>
        <w:t xml:space="preserve"> has not been requested</w:t>
      </w:r>
      <w:r w:rsidR="00F85FF1">
        <w:rPr>
          <w:bCs/>
          <w:lang w:val="en-GB"/>
        </w:rPr>
        <w:t xml:space="preserve"> by the sponsor</w:t>
      </w:r>
      <w:r w:rsidR="009A7FA4">
        <w:rPr>
          <w:bCs/>
          <w:lang w:val="en-GB"/>
        </w:rPr>
        <w:t>, but would be implicit by virtue of any public subsidy for the medicine</w:t>
      </w:r>
      <w:r w:rsidR="001C695F">
        <w:rPr>
          <w:bCs/>
          <w:lang w:val="en-GB"/>
        </w:rPr>
        <w:t xml:space="preserve">. </w:t>
      </w:r>
    </w:p>
    <w:p w:rsidR="00262710" w:rsidRDefault="00262710" w:rsidP="001F15A1">
      <w:pPr>
        <w:pStyle w:val="Default"/>
      </w:pPr>
    </w:p>
    <w:p w:rsidR="00E14B57" w:rsidRPr="00322569" w:rsidRDefault="001F15A1" w:rsidP="00322569">
      <w:pPr>
        <w:numPr>
          <w:ilvl w:val="1"/>
          <w:numId w:val="2"/>
        </w:numPr>
        <w:rPr>
          <w:bCs/>
          <w:lang w:val="en-GB"/>
        </w:rPr>
      </w:pPr>
      <w:r>
        <w:rPr>
          <w:szCs w:val="22"/>
        </w:rPr>
        <w:t>The PBAC considered a cost-minimisation analysis to be an appropriate approach to the economic comparison based on the submission’s clinical claim of non-inferiority</w:t>
      </w:r>
      <w:r w:rsidR="00C57C42">
        <w:rPr>
          <w:szCs w:val="22"/>
        </w:rPr>
        <w:t xml:space="preserve"> compared with ERT</w:t>
      </w:r>
      <w:r>
        <w:rPr>
          <w:szCs w:val="22"/>
        </w:rPr>
        <w:t xml:space="preserve">. However, as noted above, the PBAC did not accept the submission’s clinical claim of non-inferiority </w:t>
      </w:r>
      <w:r w:rsidR="00C57C42">
        <w:rPr>
          <w:szCs w:val="22"/>
        </w:rPr>
        <w:t xml:space="preserve">versus ERT </w:t>
      </w:r>
      <w:r>
        <w:rPr>
          <w:szCs w:val="22"/>
        </w:rPr>
        <w:t xml:space="preserve">and therefore the basis for determining the equi-effective doses and a cost-minimisation analysis was </w:t>
      </w:r>
      <w:r w:rsidR="00B63C23">
        <w:rPr>
          <w:szCs w:val="22"/>
        </w:rPr>
        <w:t xml:space="preserve">inadequate. </w:t>
      </w:r>
      <w:r>
        <w:rPr>
          <w:szCs w:val="22"/>
        </w:rPr>
        <w:t xml:space="preserve">Given that the PBAC had previously considered the comparators not adequately cost-effective to allow listing on the PBS, the PBAC </w:t>
      </w:r>
      <w:r w:rsidR="00B63C23">
        <w:rPr>
          <w:szCs w:val="22"/>
        </w:rPr>
        <w:t>were of a mind to consider</w:t>
      </w:r>
      <w:r>
        <w:rPr>
          <w:szCs w:val="22"/>
        </w:rPr>
        <w:t xml:space="preserve"> that </w:t>
      </w:r>
      <w:r w:rsidR="00B63C23">
        <w:rPr>
          <w:szCs w:val="22"/>
        </w:rPr>
        <w:t>migalastat</w:t>
      </w:r>
      <w:r>
        <w:rPr>
          <w:szCs w:val="22"/>
        </w:rPr>
        <w:t xml:space="preserve"> would also not be adequately cost-effective to recommend listing on the PBS based on the evidence presented thus far. </w:t>
      </w:r>
    </w:p>
    <w:p w:rsidR="00322569" w:rsidRPr="003233A4" w:rsidRDefault="00322569" w:rsidP="00322569">
      <w:pPr>
        <w:rPr>
          <w:bCs/>
          <w:lang w:val="en-GB"/>
        </w:rPr>
      </w:pPr>
    </w:p>
    <w:p w:rsidR="00E14B57" w:rsidRDefault="00DA0740" w:rsidP="00D76A17">
      <w:pPr>
        <w:numPr>
          <w:ilvl w:val="1"/>
          <w:numId w:val="2"/>
        </w:numPr>
        <w:rPr>
          <w:bCs/>
          <w:lang w:val="en-GB"/>
        </w:rPr>
      </w:pPr>
      <w:r>
        <w:rPr>
          <w:bCs/>
          <w:lang w:val="en-GB"/>
        </w:rPr>
        <w:t>The</w:t>
      </w:r>
      <w:r w:rsidR="005B49A9">
        <w:rPr>
          <w:bCs/>
          <w:lang w:val="en-GB"/>
        </w:rPr>
        <w:t xml:space="preserve"> submission claimed</w:t>
      </w:r>
      <w:r w:rsidR="001F15A1">
        <w:rPr>
          <w:bCs/>
          <w:lang w:val="en-GB"/>
        </w:rPr>
        <w:t xml:space="preserve"> that there would be zero net cost to Gover</w:t>
      </w:r>
      <w:r w:rsidR="0096496D">
        <w:rPr>
          <w:bCs/>
          <w:lang w:val="en-GB"/>
        </w:rPr>
        <w:t>n</w:t>
      </w:r>
      <w:r w:rsidR="001F15A1">
        <w:rPr>
          <w:bCs/>
          <w:lang w:val="en-GB"/>
        </w:rPr>
        <w:t>ment by subsidising migal</w:t>
      </w:r>
      <w:r w:rsidR="0096496D">
        <w:rPr>
          <w:bCs/>
          <w:lang w:val="en-GB"/>
        </w:rPr>
        <w:t>a</w:t>
      </w:r>
      <w:r w:rsidR="001F15A1">
        <w:rPr>
          <w:bCs/>
          <w:lang w:val="en-GB"/>
        </w:rPr>
        <w:t xml:space="preserve">stat. </w:t>
      </w:r>
      <w:r w:rsidR="00935F1F">
        <w:rPr>
          <w:bCs/>
          <w:lang w:val="en-GB"/>
        </w:rPr>
        <w:t xml:space="preserve">The PBAC noted that the cost of migalastat was different to the </w:t>
      </w:r>
      <w:r w:rsidR="00935F1F" w:rsidRPr="00E70BAA">
        <w:t>agalsidase alfa and agalsidase beta</w:t>
      </w:r>
      <w:r w:rsidR="00935F1F">
        <w:rPr>
          <w:bCs/>
          <w:lang w:val="en-GB"/>
        </w:rPr>
        <w:t xml:space="preserve"> and was related to the assumed market share of ERTs. If the actual market share between </w:t>
      </w:r>
      <w:r w:rsidR="00935F1F" w:rsidRPr="00E70BAA">
        <w:t>agalsidase alfa and agalsidase beta</w:t>
      </w:r>
      <w:r w:rsidR="00935F1F">
        <w:rPr>
          <w:bCs/>
          <w:lang w:val="en-GB"/>
        </w:rPr>
        <w:t xml:space="preserve"> in one year differed to this assumed market share, then reduction in the total cost of ERT may not be equal to the cost of migalastat. </w:t>
      </w:r>
      <w:r w:rsidR="00D76A17">
        <w:rPr>
          <w:bCs/>
          <w:lang w:val="en-GB"/>
        </w:rPr>
        <w:t>In addition, while the draft product information of migalastat states ‘</w:t>
      </w:r>
      <w:r w:rsidR="00D76A17" w:rsidRPr="00D76A17">
        <w:rPr>
          <w:bCs/>
          <w:lang w:val="en-GB"/>
        </w:rPr>
        <w:t>Not intended for concomitant use with ERT</w:t>
      </w:r>
      <w:r w:rsidR="00D76A17">
        <w:rPr>
          <w:bCs/>
          <w:lang w:val="en-GB"/>
        </w:rPr>
        <w:t>’,</w:t>
      </w:r>
      <w:r w:rsidR="00D76A17" w:rsidRPr="00D76A17">
        <w:rPr>
          <w:bCs/>
          <w:lang w:val="en-GB"/>
        </w:rPr>
        <w:t xml:space="preserve"> </w:t>
      </w:r>
      <w:r w:rsidR="00D76A17">
        <w:rPr>
          <w:bCs/>
          <w:lang w:val="en-GB"/>
        </w:rPr>
        <w:t xml:space="preserve">the PBAC noted that positive outcome </w:t>
      </w:r>
      <w:r w:rsidR="00D76A17" w:rsidRPr="005B32EF">
        <w:rPr>
          <w:bCs/>
          <w:lang w:val="en-GB"/>
        </w:rPr>
        <w:t xml:space="preserve">Warnock et al, </w:t>
      </w:r>
      <w:r w:rsidR="00D76A17" w:rsidRPr="005B32EF">
        <w:t xml:space="preserve">Oral Migalastat </w:t>
      </w:r>
      <w:r w:rsidR="005B32EF">
        <w:rPr>
          <w:bCs/>
          <w:lang w:val="en-GB"/>
        </w:rPr>
        <w:t xml:space="preserve">of the proof of concept study in patients by </w:t>
      </w:r>
      <w:r w:rsidR="00D76A17" w:rsidRPr="005B32EF">
        <w:t>HCl Leads to Greater Systemic Exposure and Tissue Levels of Active α-Galactosidase A in Fabry Patients when Co-Administered with Infused Agalsidase. PLoS O.NE. 2015 10(8): e0134341.</w:t>
      </w:r>
      <w:r w:rsidR="00D76A17">
        <w:rPr>
          <w:bCs/>
          <w:lang w:val="en-GB"/>
        </w:rPr>
        <w:t xml:space="preserve"> </w:t>
      </w:r>
      <w:r w:rsidR="005B49A9" w:rsidRPr="003233A4">
        <w:rPr>
          <w:bCs/>
          <w:lang w:val="en-GB"/>
        </w:rPr>
        <w:t xml:space="preserve">The PBAC considered that there </w:t>
      </w:r>
      <w:r w:rsidR="005B32EF">
        <w:rPr>
          <w:bCs/>
          <w:lang w:val="en-GB"/>
        </w:rPr>
        <w:t>may be</w:t>
      </w:r>
      <w:r w:rsidR="005B49A9" w:rsidRPr="003233A4">
        <w:rPr>
          <w:bCs/>
          <w:lang w:val="en-GB"/>
        </w:rPr>
        <w:t xml:space="preserve"> a risk of migalastat being used in combination with, rather than instead of, ERT</w:t>
      </w:r>
      <w:r w:rsidR="003B5EF6">
        <w:rPr>
          <w:bCs/>
          <w:lang w:val="en-GB"/>
        </w:rPr>
        <w:t>, given their different mechanisms of actions</w:t>
      </w:r>
      <w:r w:rsidR="00C57C42">
        <w:rPr>
          <w:bCs/>
          <w:lang w:val="en-GB"/>
        </w:rPr>
        <w:t>, and that migalastat may be used after ‘failure’ of ERT</w:t>
      </w:r>
      <w:r w:rsidR="005B49A9" w:rsidRPr="003233A4">
        <w:rPr>
          <w:bCs/>
          <w:lang w:val="en-GB"/>
        </w:rPr>
        <w:t>. The PBAC considered that the claims of cost-neutrality are therefore questionable.</w:t>
      </w:r>
    </w:p>
    <w:p w:rsidR="00322569" w:rsidRPr="003233A4" w:rsidRDefault="00322569" w:rsidP="00E14B57">
      <w:pPr>
        <w:rPr>
          <w:bCs/>
          <w:lang w:val="en-GB"/>
        </w:rPr>
      </w:pPr>
    </w:p>
    <w:p w:rsidR="00322569" w:rsidRPr="00322569" w:rsidRDefault="00B63C23" w:rsidP="00322569">
      <w:pPr>
        <w:numPr>
          <w:ilvl w:val="1"/>
          <w:numId w:val="2"/>
        </w:numPr>
        <w:rPr>
          <w:bCs/>
          <w:lang w:val="en-GB"/>
        </w:rPr>
      </w:pPr>
      <w:r>
        <w:rPr>
          <w:bCs/>
          <w:lang w:val="en-GB"/>
        </w:rPr>
        <w:t xml:space="preserve">The PBAC considered further information </w:t>
      </w:r>
      <w:r w:rsidR="007B30CC">
        <w:rPr>
          <w:bCs/>
          <w:lang w:val="en-GB"/>
        </w:rPr>
        <w:t xml:space="preserve">from the sponsor </w:t>
      </w:r>
      <w:r>
        <w:rPr>
          <w:bCs/>
          <w:lang w:val="en-GB"/>
        </w:rPr>
        <w:t xml:space="preserve">would be required </w:t>
      </w:r>
      <w:r w:rsidR="000E09CB">
        <w:rPr>
          <w:bCs/>
          <w:lang w:val="en-GB"/>
        </w:rPr>
        <w:t>t</w:t>
      </w:r>
      <w:r>
        <w:rPr>
          <w:bCs/>
          <w:lang w:val="en-GB"/>
        </w:rPr>
        <w:t xml:space="preserve">o address the PBAC’s concerns </w:t>
      </w:r>
      <w:r w:rsidR="007B30CC">
        <w:rPr>
          <w:bCs/>
          <w:lang w:val="en-GB"/>
        </w:rPr>
        <w:t xml:space="preserve">for </w:t>
      </w:r>
      <w:r>
        <w:rPr>
          <w:bCs/>
          <w:lang w:val="en-GB"/>
        </w:rPr>
        <w:t>this deferred submission</w:t>
      </w:r>
      <w:r w:rsidR="007B30CC">
        <w:rPr>
          <w:bCs/>
          <w:lang w:val="en-GB"/>
        </w:rPr>
        <w:t xml:space="preserve">. As well as providing an update on the TGA’s evaluation of migalastat and addressing the concerns of the ESC and PBAC, the sponsor should provide additional evidence of the clinical benefit of migalastat. The PBAC noted the </w:t>
      </w:r>
      <w:r w:rsidR="004F40A9">
        <w:rPr>
          <w:bCs/>
          <w:lang w:val="en-GB"/>
        </w:rPr>
        <w:t xml:space="preserve">planned outcomes of </w:t>
      </w:r>
      <w:r w:rsidR="007B30CC">
        <w:rPr>
          <w:bCs/>
          <w:lang w:val="en-GB"/>
        </w:rPr>
        <w:t xml:space="preserve">on-going </w:t>
      </w:r>
      <w:r w:rsidR="007B30CC">
        <w:rPr>
          <w:lang w:val="en"/>
        </w:rPr>
        <w:t>Open-Label Extension Study of the Long-Term Effects of Migalastat HCL in Patients With Fabry Disease</w:t>
      </w:r>
      <w:r w:rsidR="007B30CC" w:rsidRPr="007B30CC">
        <w:rPr>
          <w:bCs/>
        </w:rPr>
        <w:t xml:space="preserve"> </w:t>
      </w:r>
      <w:r w:rsidR="007B30CC">
        <w:rPr>
          <w:bCs/>
        </w:rPr>
        <w:t>(</w:t>
      </w:r>
      <w:r w:rsidR="007B30CC" w:rsidRPr="007B30CC">
        <w:rPr>
          <w:bCs/>
        </w:rPr>
        <w:t>ClinicalTrials.gov Identifier: NCT02194985</w:t>
      </w:r>
      <w:r w:rsidR="007B30CC">
        <w:rPr>
          <w:bCs/>
        </w:rPr>
        <w:t>)</w:t>
      </w:r>
      <w:r w:rsidR="004F40A9">
        <w:rPr>
          <w:bCs/>
        </w:rPr>
        <w:t xml:space="preserve">. </w:t>
      </w:r>
    </w:p>
    <w:p w:rsidR="00322569" w:rsidRDefault="00322569" w:rsidP="00322569">
      <w:pPr>
        <w:ind w:left="720"/>
        <w:rPr>
          <w:bCs/>
          <w:lang w:val="en-GB"/>
        </w:rPr>
      </w:pPr>
    </w:p>
    <w:p w:rsidR="00E14B57" w:rsidRPr="00322569" w:rsidRDefault="00E14B57" w:rsidP="00322569">
      <w:pPr>
        <w:numPr>
          <w:ilvl w:val="1"/>
          <w:numId w:val="2"/>
        </w:numPr>
        <w:rPr>
          <w:bCs/>
          <w:lang w:val="en-GB"/>
        </w:rPr>
      </w:pPr>
      <w:r w:rsidRPr="00322569">
        <w:rPr>
          <w:bCs/>
          <w:lang w:val="en-GB"/>
        </w:rPr>
        <w:t>The PBAC noted that this submission is not eligible for an Independent Review</w:t>
      </w:r>
      <w:r w:rsidR="00853930" w:rsidRPr="00322569">
        <w:rPr>
          <w:bCs/>
          <w:lang w:val="en-GB"/>
        </w:rPr>
        <w:t>, as it has not been rejected</w:t>
      </w:r>
      <w:r w:rsidRPr="00322569">
        <w:rPr>
          <w:bCs/>
          <w:lang w:val="en-GB"/>
        </w:rPr>
        <w:t xml:space="preserve">. </w:t>
      </w:r>
    </w:p>
    <w:p w:rsidR="00E14B57" w:rsidRPr="003233A4" w:rsidRDefault="00E14B57" w:rsidP="00E14B57">
      <w:pPr>
        <w:rPr>
          <w:b/>
          <w:bCs/>
          <w:lang w:val="en-GB"/>
        </w:rPr>
      </w:pPr>
    </w:p>
    <w:p w:rsidR="00E14B57" w:rsidRPr="003233A4" w:rsidRDefault="00E14B57" w:rsidP="00E14B57">
      <w:pPr>
        <w:rPr>
          <w:b/>
          <w:bCs/>
          <w:lang w:val="en-GB"/>
        </w:rPr>
      </w:pPr>
      <w:r w:rsidRPr="003233A4">
        <w:rPr>
          <w:b/>
          <w:bCs/>
          <w:lang w:val="en-GB"/>
        </w:rPr>
        <w:t>Outcome:</w:t>
      </w:r>
    </w:p>
    <w:p w:rsidR="00E14B57" w:rsidRPr="003233A4" w:rsidRDefault="00E14B57" w:rsidP="00E14B57">
      <w:pPr>
        <w:rPr>
          <w:bCs/>
          <w:lang w:val="en-GB"/>
        </w:rPr>
      </w:pPr>
      <w:r w:rsidRPr="003233A4">
        <w:rPr>
          <w:bCs/>
          <w:lang w:val="en-GB"/>
        </w:rPr>
        <w:t xml:space="preserve">Deferred </w:t>
      </w:r>
    </w:p>
    <w:p w:rsidR="00E14B57" w:rsidRPr="0069654D" w:rsidRDefault="00E14B57" w:rsidP="00E14B57">
      <w:pPr>
        <w:rPr>
          <w:bCs/>
          <w:highlight w:val="yellow"/>
          <w:lang w:val="en-GB"/>
        </w:rPr>
      </w:pPr>
    </w:p>
    <w:p w:rsidR="001B47F7" w:rsidRDefault="001B47F7" w:rsidP="001B47F7">
      <w:pPr>
        <w:pStyle w:val="PBACHeading1"/>
        <w:ind w:left="709" w:hanging="709"/>
        <w:outlineLvl w:val="0"/>
      </w:pPr>
      <w:r w:rsidRPr="00485DD3">
        <w:t>Context for Decision</w:t>
      </w:r>
    </w:p>
    <w:p w:rsidR="001B47F7" w:rsidRDefault="001B47F7" w:rsidP="001B47F7">
      <w:pPr>
        <w:ind w:left="709"/>
      </w:pPr>
    </w:p>
    <w:p w:rsidR="001B47F7" w:rsidRDefault="001B47F7" w:rsidP="001B47F7">
      <w:pPr>
        <w:ind w:left="709"/>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B47F7" w:rsidRDefault="001B47F7" w:rsidP="001B47F7">
      <w:pPr>
        <w:ind w:left="709"/>
      </w:pPr>
    </w:p>
    <w:p w:rsidR="001B47F7" w:rsidRDefault="001B47F7" w:rsidP="001B47F7">
      <w:pPr>
        <w:ind w:left="709"/>
      </w:pPr>
    </w:p>
    <w:p w:rsidR="001B47F7" w:rsidRPr="00B0280B" w:rsidRDefault="001B47F7" w:rsidP="001B47F7">
      <w:pPr>
        <w:pStyle w:val="PBACHeading1"/>
        <w:ind w:left="709" w:hanging="709"/>
        <w:outlineLvl w:val="0"/>
      </w:pPr>
      <w:r w:rsidRPr="00485DD3">
        <w:t>Sponsor’s Comment</w:t>
      </w:r>
    </w:p>
    <w:p w:rsidR="001B47F7" w:rsidRDefault="001B47F7" w:rsidP="001B47F7">
      <w:pPr>
        <w:ind w:left="709"/>
        <w:rPr>
          <w:bCs/>
          <w:highlight w:val="yellow"/>
          <w:lang w:val="en-GB"/>
        </w:rPr>
      </w:pPr>
    </w:p>
    <w:p w:rsidR="001B47F7" w:rsidRPr="00FB3509" w:rsidRDefault="00FB3509" w:rsidP="00FB3509">
      <w:pPr>
        <w:ind w:left="709"/>
      </w:pPr>
      <w:r w:rsidRPr="00FB3509">
        <w:t>Amicus are not in agreement with some of PBAC’s conclusions on migalastat. We believe migalastat is safe and effective relative to the infused ERT and are committed to ensuring Australian patients have access to this innovative oral treatment. We believe that the outstanding concerns highlighted by the PBAC have been addressed in a minor submission that was lodged in April this year.</w:t>
      </w:r>
    </w:p>
    <w:p w:rsidR="002D306A" w:rsidRPr="0069654D" w:rsidRDefault="002D306A" w:rsidP="00E14B57">
      <w:pPr>
        <w:rPr>
          <w:bCs/>
          <w:highlight w:val="yellow"/>
        </w:rPr>
      </w:pPr>
    </w:p>
    <w:sectPr w:rsidR="002D306A" w:rsidRPr="0069654D" w:rsidSect="008B529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7F0E63" w15:done="0"/>
  <w15:commentEx w15:paraId="07D0B684" w15:done="0"/>
  <w15:commentEx w15:paraId="5349E6A4" w15:done="0"/>
  <w15:commentEx w15:paraId="27D232FC" w15:done="0"/>
  <w15:commentEx w15:paraId="266822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DF5" w:rsidRDefault="000D3DF5" w:rsidP="00124A51">
      <w:r>
        <w:separator/>
      </w:r>
    </w:p>
  </w:endnote>
  <w:endnote w:type="continuationSeparator" w:id="0">
    <w:p w:rsidR="000D3DF5" w:rsidRDefault="000D3DF5"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Italic">
    <w:altName w:val="Arial"/>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20" w:rsidRDefault="007052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20" w:rsidRPr="00E14B57" w:rsidRDefault="00705220" w:rsidP="00E14B57">
    <w:pPr>
      <w:pStyle w:val="Footer"/>
      <w:jc w:val="center"/>
    </w:pPr>
    <w:r w:rsidRPr="00651169">
      <w:rPr>
        <w:sz w:val="20"/>
      </w:rPr>
      <w:fldChar w:fldCharType="begin"/>
    </w:r>
    <w:r w:rsidRPr="00651169">
      <w:rPr>
        <w:sz w:val="20"/>
      </w:rPr>
      <w:instrText xml:space="preserve"> PAGE   \* MERGEFORMAT </w:instrText>
    </w:r>
    <w:r w:rsidRPr="00651169">
      <w:rPr>
        <w:sz w:val="20"/>
      </w:rPr>
      <w:fldChar w:fldCharType="separate"/>
    </w:r>
    <w:r w:rsidR="000D3DF5">
      <w:rPr>
        <w:noProof/>
        <w:sz w:val="20"/>
      </w:rPr>
      <w:t>1</w:t>
    </w:r>
    <w:r w:rsidRPr="00651169">
      <w:rP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20" w:rsidRDefault="007052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DF5" w:rsidRDefault="000D3DF5" w:rsidP="00124A51">
      <w:r>
        <w:separator/>
      </w:r>
    </w:p>
  </w:footnote>
  <w:footnote w:type="continuationSeparator" w:id="0">
    <w:p w:rsidR="000D3DF5" w:rsidRDefault="000D3DF5"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20" w:rsidRDefault="007052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20" w:rsidRPr="00DF217D" w:rsidRDefault="00705220" w:rsidP="001B47F7">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March 2017 </w:t>
    </w:r>
    <w:r w:rsidRPr="00DF217D">
      <w:rPr>
        <w:i/>
        <w:color w:val="808080"/>
      </w:rPr>
      <w:t>PBAC</w:t>
    </w:r>
    <w:r>
      <w:rPr>
        <w:i/>
        <w:color w:val="808080"/>
      </w:rPr>
      <w:t xml:space="preserve"> </w:t>
    </w:r>
    <w:r w:rsidRPr="00DF217D">
      <w:rPr>
        <w:i/>
        <w:color w:val="808080"/>
      </w:rPr>
      <w:t>Meeting</w:t>
    </w:r>
  </w:p>
  <w:p w:rsidR="00705220" w:rsidRPr="008C7ECB" w:rsidRDefault="007052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20" w:rsidRDefault="007052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638C1"/>
    <w:multiLevelType w:val="hybridMultilevel"/>
    <w:tmpl w:val="A89E5B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71D2D61"/>
    <w:multiLevelType w:val="multilevel"/>
    <w:tmpl w:val="294A4C4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3C280D6C"/>
    <w:multiLevelType w:val="hybridMultilevel"/>
    <w:tmpl w:val="5AF4A20A"/>
    <w:lvl w:ilvl="0" w:tplc="E2D8056A">
      <w:start w:val="1"/>
      <w:numFmt w:val="bullet"/>
      <w:lvlText w:val="•"/>
      <w:lvlJc w:val="left"/>
      <w:pPr>
        <w:tabs>
          <w:tab w:val="num" w:pos="720"/>
        </w:tabs>
        <w:ind w:left="720" w:hanging="360"/>
      </w:pPr>
      <w:rPr>
        <w:rFonts w:ascii="Arial" w:hAnsi="Arial" w:hint="default"/>
      </w:rPr>
    </w:lvl>
    <w:lvl w:ilvl="1" w:tplc="F4CE4E52" w:tentative="1">
      <w:start w:val="1"/>
      <w:numFmt w:val="bullet"/>
      <w:lvlText w:val="•"/>
      <w:lvlJc w:val="left"/>
      <w:pPr>
        <w:tabs>
          <w:tab w:val="num" w:pos="1440"/>
        </w:tabs>
        <w:ind w:left="1440" w:hanging="360"/>
      </w:pPr>
      <w:rPr>
        <w:rFonts w:ascii="Arial" w:hAnsi="Arial" w:hint="default"/>
      </w:rPr>
    </w:lvl>
    <w:lvl w:ilvl="2" w:tplc="2E32AA48">
      <w:start w:val="1"/>
      <w:numFmt w:val="bullet"/>
      <w:lvlText w:val="•"/>
      <w:lvlJc w:val="left"/>
      <w:pPr>
        <w:tabs>
          <w:tab w:val="num" w:pos="2160"/>
        </w:tabs>
        <w:ind w:left="2160" w:hanging="360"/>
      </w:pPr>
      <w:rPr>
        <w:rFonts w:ascii="Arial" w:hAnsi="Arial" w:hint="default"/>
      </w:rPr>
    </w:lvl>
    <w:lvl w:ilvl="3" w:tplc="0ECC0188" w:tentative="1">
      <w:start w:val="1"/>
      <w:numFmt w:val="bullet"/>
      <w:lvlText w:val="•"/>
      <w:lvlJc w:val="left"/>
      <w:pPr>
        <w:tabs>
          <w:tab w:val="num" w:pos="2880"/>
        </w:tabs>
        <w:ind w:left="2880" w:hanging="360"/>
      </w:pPr>
      <w:rPr>
        <w:rFonts w:ascii="Arial" w:hAnsi="Arial" w:hint="default"/>
      </w:rPr>
    </w:lvl>
    <w:lvl w:ilvl="4" w:tplc="2D72B652" w:tentative="1">
      <w:start w:val="1"/>
      <w:numFmt w:val="bullet"/>
      <w:lvlText w:val="•"/>
      <w:lvlJc w:val="left"/>
      <w:pPr>
        <w:tabs>
          <w:tab w:val="num" w:pos="3600"/>
        </w:tabs>
        <w:ind w:left="3600" w:hanging="360"/>
      </w:pPr>
      <w:rPr>
        <w:rFonts w:ascii="Arial" w:hAnsi="Arial" w:hint="default"/>
      </w:rPr>
    </w:lvl>
    <w:lvl w:ilvl="5" w:tplc="09F09D28" w:tentative="1">
      <w:start w:val="1"/>
      <w:numFmt w:val="bullet"/>
      <w:lvlText w:val="•"/>
      <w:lvlJc w:val="left"/>
      <w:pPr>
        <w:tabs>
          <w:tab w:val="num" w:pos="4320"/>
        </w:tabs>
        <w:ind w:left="4320" w:hanging="360"/>
      </w:pPr>
      <w:rPr>
        <w:rFonts w:ascii="Arial" w:hAnsi="Arial" w:hint="default"/>
      </w:rPr>
    </w:lvl>
    <w:lvl w:ilvl="6" w:tplc="AC8E2FDE" w:tentative="1">
      <w:start w:val="1"/>
      <w:numFmt w:val="bullet"/>
      <w:lvlText w:val="•"/>
      <w:lvlJc w:val="left"/>
      <w:pPr>
        <w:tabs>
          <w:tab w:val="num" w:pos="5040"/>
        </w:tabs>
        <w:ind w:left="5040" w:hanging="360"/>
      </w:pPr>
      <w:rPr>
        <w:rFonts w:ascii="Arial" w:hAnsi="Arial" w:hint="default"/>
      </w:rPr>
    </w:lvl>
    <w:lvl w:ilvl="7" w:tplc="D7961C18" w:tentative="1">
      <w:start w:val="1"/>
      <w:numFmt w:val="bullet"/>
      <w:lvlText w:val="•"/>
      <w:lvlJc w:val="left"/>
      <w:pPr>
        <w:tabs>
          <w:tab w:val="num" w:pos="5760"/>
        </w:tabs>
        <w:ind w:left="5760" w:hanging="360"/>
      </w:pPr>
      <w:rPr>
        <w:rFonts w:ascii="Arial" w:hAnsi="Arial" w:hint="default"/>
      </w:rPr>
    </w:lvl>
    <w:lvl w:ilvl="8" w:tplc="1B0E5FEE" w:tentative="1">
      <w:start w:val="1"/>
      <w:numFmt w:val="bullet"/>
      <w:lvlText w:val="•"/>
      <w:lvlJc w:val="left"/>
      <w:pPr>
        <w:tabs>
          <w:tab w:val="num" w:pos="6480"/>
        </w:tabs>
        <w:ind w:left="6480" w:hanging="360"/>
      </w:pPr>
      <w:rPr>
        <w:rFonts w:ascii="Arial" w:hAnsi="Arial" w:hint="default"/>
      </w:rPr>
    </w:lvl>
  </w:abstractNum>
  <w:abstractNum w:abstractNumId="3">
    <w:nsid w:val="4BFF3175"/>
    <w:multiLevelType w:val="hybridMultilevel"/>
    <w:tmpl w:val="41EC789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ED00A85"/>
    <w:multiLevelType w:val="hybridMultilevel"/>
    <w:tmpl w:val="CC4883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84D033C"/>
    <w:multiLevelType w:val="multilevel"/>
    <w:tmpl w:val="42345846"/>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6"/>
  </w:num>
  <w:num w:numId="3">
    <w:abstractNumId w:val="3"/>
  </w:num>
  <w:num w:numId="4">
    <w:abstractNumId w:val="0"/>
  </w:num>
  <w:num w:numId="5">
    <w:abstractNumId w:val="4"/>
  </w:num>
  <w:num w:numId="6">
    <w:abstractNumId w:val="1"/>
  </w:num>
  <w:num w:numId="7">
    <w:abstractNumId w:val="2"/>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 Snelling">
    <w15:presenceInfo w15:providerId="AD" w15:userId="S-1-5-21-1982029612-917206853-945835055-19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1B09"/>
    <w:rsid w:val="0000289C"/>
    <w:rsid w:val="00003499"/>
    <w:rsid w:val="0000391A"/>
    <w:rsid w:val="0000419B"/>
    <w:rsid w:val="0000756B"/>
    <w:rsid w:val="000102BA"/>
    <w:rsid w:val="00011FB7"/>
    <w:rsid w:val="00013247"/>
    <w:rsid w:val="000153E2"/>
    <w:rsid w:val="00015886"/>
    <w:rsid w:val="0001590E"/>
    <w:rsid w:val="000162EF"/>
    <w:rsid w:val="000209D9"/>
    <w:rsid w:val="0002225F"/>
    <w:rsid w:val="000223DE"/>
    <w:rsid w:val="000231A4"/>
    <w:rsid w:val="00023763"/>
    <w:rsid w:val="000247EE"/>
    <w:rsid w:val="000252CD"/>
    <w:rsid w:val="00027F94"/>
    <w:rsid w:val="0003040F"/>
    <w:rsid w:val="00034E19"/>
    <w:rsid w:val="00035651"/>
    <w:rsid w:val="000368EA"/>
    <w:rsid w:val="00037D16"/>
    <w:rsid w:val="00040895"/>
    <w:rsid w:val="00042178"/>
    <w:rsid w:val="000426AD"/>
    <w:rsid w:val="00043C37"/>
    <w:rsid w:val="000522D5"/>
    <w:rsid w:val="000546D7"/>
    <w:rsid w:val="00056FBB"/>
    <w:rsid w:val="0006186E"/>
    <w:rsid w:val="0006425E"/>
    <w:rsid w:val="0006539D"/>
    <w:rsid w:val="0006650A"/>
    <w:rsid w:val="00071248"/>
    <w:rsid w:val="000720B9"/>
    <w:rsid w:val="00074A0F"/>
    <w:rsid w:val="000772E8"/>
    <w:rsid w:val="000812CA"/>
    <w:rsid w:val="00084218"/>
    <w:rsid w:val="00084844"/>
    <w:rsid w:val="00085604"/>
    <w:rsid w:val="000859B8"/>
    <w:rsid w:val="00090C7E"/>
    <w:rsid w:val="000918AE"/>
    <w:rsid w:val="000930D0"/>
    <w:rsid w:val="00093FB4"/>
    <w:rsid w:val="00095DE2"/>
    <w:rsid w:val="000A21E6"/>
    <w:rsid w:val="000A353A"/>
    <w:rsid w:val="000A417C"/>
    <w:rsid w:val="000B246D"/>
    <w:rsid w:val="000B33EB"/>
    <w:rsid w:val="000B628F"/>
    <w:rsid w:val="000B69D0"/>
    <w:rsid w:val="000C0E7A"/>
    <w:rsid w:val="000C23EE"/>
    <w:rsid w:val="000C4ABB"/>
    <w:rsid w:val="000C5471"/>
    <w:rsid w:val="000D1BFC"/>
    <w:rsid w:val="000D3D5B"/>
    <w:rsid w:val="000D3DF5"/>
    <w:rsid w:val="000D694F"/>
    <w:rsid w:val="000D6F42"/>
    <w:rsid w:val="000E09CB"/>
    <w:rsid w:val="000E1E7B"/>
    <w:rsid w:val="000E2B99"/>
    <w:rsid w:val="000E2CA5"/>
    <w:rsid w:val="000E4FA7"/>
    <w:rsid w:val="000E5B3C"/>
    <w:rsid w:val="000F02BA"/>
    <w:rsid w:val="000F3532"/>
    <w:rsid w:val="000F4BB8"/>
    <w:rsid w:val="000F7127"/>
    <w:rsid w:val="00100F8A"/>
    <w:rsid w:val="001023D7"/>
    <w:rsid w:val="001035BD"/>
    <w:rsid w:val="00103C82"/>
    <w:rsid w:val="00105BA1"/>
    <w:rsid w:val="00106F0B"/>
    <w:rsid w:val="0011032E"/>
    <w:rsid w:val="0011037D"/>
    <w:rsid w:val="00111AD7"/>
    <w:rsid w:val="001124CC"/>
    <w:rsid w:val="001126FB"/>
    <w:rsid w:val="001129DF"/>
    <w:rsid w:val="001131FC"/>
    <w:rsid w:val="0011348B"/>
    <w:rsid w:val="00116B83"/>
    <w:rsid w:val="00121799"/>
    <w:rsid w:val="00121FFA"/>
    <w:rsid w:val="001222FC"/>
    <w:rsid w:val="00122DB3"/>
    <w:rsid w:val="00124A51"/>
    <w:rsid w:val="001253AE"/>
    <w:rsid w:val="00126621"/>
    <w:rsid w:val="0012748B"/>
    <w:rsid w:val="001301E9"/>
    <w:rsid w:val="0013439F"/>
    <w:rsid w:val="001371A4"/>
    <w:rsid w:val="00137645"/>
    <w:rsid w:val="0014015A"/>
    <w:rsid w:val="00140E99"/>
    <w:rsid w:val="00143738"/>
    <w:rsid w:val="00145406"/>
    <w:rsid w:val="00145540"/>
    <w:rsid w:val="001456B0"/>
    <w:rsid w:val="00157130"/>
    <w:rsid w:val="00160C93"/>
    <w:rsid w:val="00160F88"/>
    <w:rsid w:val="00162913"/>
    <w:rsid w:val="00162FDA"/>
    <w:rsid w:val="0016359E"/>
    <w:rsid w:val="00163DAA"/>
    <w:rsid w:val="00163EFF"/>
    <w:rsid w:val="0016552B"/>
    <w:rsid w:val="00165B52"/>
    <w:rsid w:val="00166162"/>
    <w:rsid w:val="001661FB"/>
    <w:rsid w:val="00171F60"/>
    <w:rsid w:val="001723F6"/>
    <w:rsid w:val="00173A32"/>
    <w:rsid w:val="0017409F"/>
    <w:rsid w:val="00174558"/>
    <w:rsid w:val="00182B67"/>
    <w:rsid w:val="001845D0"/>
    <w:rsid w:val="0018492F"/>
    <w:rsid w:val="001865D8"/>
    <w:rsid w:val="0018752F"/>
    <w:rsid w:val="001908FA"/>
    <w:rsid w:val="00192174"/>
    <w:rsid w:val="00192675"/>
    <w:rsid w:val="00195222"/>
    <w:rsid w:val="0019538D"/>
    <w:rsid w:val="001957F1"/>
    <w:rsid w:val="001975D8"/>
    <w:rsid w:val="00197E35"/>
    <w:rsid w:val="001A19A5"/>
    <w:rsid w:val="001A1EC9"/>
    <w:rsid w:val="001A29D0"/>
    <w:rsid w:val="001A4DEA"/>
    <w:rsid w:val="001A54A6"/>
    <w:rsid w:val="001A6AC5"/>
    <w:rsid w:val="001A7377"/>
    <w:rsid w:val="001A753A"/>
    <w:rsid w:val="001B33FE"/>
    <w:rsid w:val="001B3443"/>
    <w:rsid w:val="001B47F7"/>
    <w:rsid w:val="001B494B"/>
    <w:rsid w:val="001B4DE3"/>
    <w:rsid w:val="001B5AE1"/>
    <w:rsid w:val="001C1102"/>
    <w:rsid w:val="001C695F"/>
    <w:rsid w:val="001C6A23"/>
    <w:rsid w:val="001C6E66"/>
    <w:rsid w:val="001C7D57"/>
    <w:rsid w:val="001D2097"/>
    <w:rsid w:val="001D3A8A"/>
    <w:rsid w:val="001D5EF5"/>
    <w:rsid w:val="001D64CF"/>
    <w:rsid w:val="001D6EE2"/>
    <w:rsid w:val="001D760E"/>
    <w:rsid w:val="001E238E"/>
    <w:rsid w:val="001E2B1E"/>
    <w:rsid w:val="001E4A61"/>
    <w:rsid w:val="001E52EB"/>
    <w:rsid w:val="001E54F5"/>
    <w:rsid w:val="001E64BC"/>
    <w:rsid w:val="001E740C"/>
    <w:rsid w:val="001F1235"/>
    <w:rsid w:val="001F15A1"/>
    <w:rsid w:val="001F1983"/>
    <w:rsid w:val="001F1CB3"/>
    <w:rsid w:val="001F3006"/>
    <w:rsid w:val="001F46F1"/>
    <w:rsid w:val="001F5C64"/>
    <w:rsid w:val="001F7361"/>
    <w:rsid w:val="0020121C"/>
    <w:rsid w:val="00201414"/>
    <w:rsid w:val="00202AB3"/>
    <w:rsid w:val="0020307E"/>
    <w:rsid w:val="0020385F"/>
    <w:rsid w:val="00205285"/>
    <w:rsid w:val="002054DA"/>
    <w:rsid w:val="00205CA4"/>
    <w:rsid w:val="00205CFE"/>
    <w:rsid w:val="00207021"/>
    <w:rsid w:val="00207D00"/>
    <w:rsid w:val="002105C1"/>
    <w:rsid w:val="00210AA5"/>
    <w:rsid w:val="00216B4D"/>
    <w:rsid w:val="00222AD3"/>
    <w:rsid w:val="00223B49"/>
    <w:rsid w:val="00224DD4"/>
    <w:rsid w:val="00225BB5"/>
    <w:rsid w:val="00225D31"/>
    <w:rsid w:val="002304A2"/>
    <w:rsid w:val="002309CC"/>
    <w:rsid w:val="002311BF"/>
    <w:rsid w:val="00232C6C"/>
    <w:rsid w:val="0023303E"/>
    <w:rsid w:val="00234430"/>
    <w:rsid w:val="002344BA"/>
    <w:rsid w:val="0024035C"/>
    <w:rsid w:val="00240D0B"/>
    <w:rsid w:val="00241D74"/>
    <w:rsid w:val="00246893"/>
    <w:rsid w:val="00247519"/>
    <w:rsid w:val="00247548"/>
    <w:rsid w:val="00250225"/>
    <w:rsid w:val="0025113B"/>
    <w:rsid w:val="00251F2E"/>
    <w:rsid w:val="00253B34"/>
    <w:rsid w:val="00254DCF"/>
    <w:rsid w:val="0025534B"/>
    <w:rsid w:val="00255BB7"/>
    <w:rsid w:val="00255FF5"/>
    <w:rsid w:val="00262710"/>
    <w:rsid w:val="00262A87"/>
    <w:rsid w:val="00264896"/>
    <w:rsid w:val="00264BED"/>
    <w:rsid w:val="002659C8"/>
    <w:rsid w:val="00267C16"/>
    <w:rsid w:val="00275C5A"/>
    <w:rsid w:val="00277C8A"/>
    <w:rsid w:val="0028055F"/>
    <w:rsid w:val="00281014"/>
    <w:rsid w:val="00282497"/>
    <w:rsid w:val="0028633C"/>
    <w:rsid w:val="002915B9"/>
    <w:rsid w:val="00291A09"/>
    <w:rsid w:val="00293683"/>
    <w:rsid w:val="002937BC"/>
    <w:rsid w:val="002937FB"/>
    <w:rsid w:val="002973B1"/>
    <w:rsid w:val="00297A9F"/>
    <w:rsid w:val="002A14AB"/>
    <w:rsid w:val="002A3D77"/>
    <w:rsid w:val="002A5F4B"/>
    <w:rsid w:val="002A62A7"/>
    <w:rsid w:val="002A75DA"/>
    <w:rsid w:val="002B1C1F"/>
    <w:rsid w:val="002B2C62"/>
    <w:rsid w:val="002B3CD4"/>
    <w:rsid w:val="002B432F"/>
    <w:rsid w:val="002B48A3"/>
    <w:rsid w:val="002B6CCE"/>
    <w:rsid w:val="002B77A4"/>
    <w:rsid w:val="002C2775"/>
    <w:rsid w:val="002C27C1"/>
    <w:rsid w:val="002C3D71"/>
    <w:rsid w:val="002C4020"/>
    <w:rsid w:val="002C4B7B"/>
    <w:rsid w:val="002C7EF9"/>
    <w:rsid w:val="002D0407"/>
    <w:rsid w:val="002D306A"/>
    <w:rsid w:val="002E0329"/>
    <w:rsid w:val="002E261C"/>
    <w:rsid w:val="002E311D"/>
    <w:rsid w:val="002E6A33"/>
    <w:rsid w:val="002F12FD"/>
    <w:rsid w:val="002F42DD"/>
    <w:rsid w:val="002F56EB"/>
    <w:rsid w:val="002F6160"/>
    <w:rsid w:val="002F7A79"/>
    <w:rsid w:val="002F7E43"/>
    <w:rsid w:val="00301017"/>
    <w:rsid w:val="00302500"/>
    <w:rsid w:val="00303108"/>
    <w:rsid w:val="003032EF"/>
    <w:rsid w:val="00303854"/>
    <w:rsid w:val="003051D9"/>
    <w:rsid w:val="003055B9"/>
    <w:rsid w:val="00307863"/>
    <w:rsid w:val="0030786C"/>
    <w:rsid w:val="0031031A"/>
    <w:rsid w:val="0031071D"/>
    <w:rsid w:val="00310981"/>
    <w:rsid w:val="003111C5"/>
    <w:rsid w:val="00314819"/>
    <w:rsid w:val="003152F0"/>
    <w:rsid w:val="00315498"/>
    <w:rsid w:val="003165B0"/>
    <w:rsid w:val="003169F2"/>
    <w:rsid w:val="00316F7F"/>
    <w:rsid w:val="00317631"/>
    <w:rsid w:val="0031785C"/>
    <w:rsid w:val="0032174B"/>
    <w:rsid w:val="00321A75"/>
    <w:rsid w:val="00322057"/>
    <w:rsid w:val="00322569"/>
    <w:rsid w:val="00322C57"/>
    <w:rsid w:val="003233A4"/>
    <w:rsid w:val="00324E95"/>
    <w:rsid w:val="003267FE"/>
    <w:rsid w:val="00327ADC"/>
    <w:rsid w:val="00334CD4"/>
    <w:rsid w:val="003354EB"/>
    <w:rsid w:val="00335866"/>
    <w:rsid w:val="003366C9"/>
    <w:rsid w:val="003369FD"/>
    <w:rsid w:val="00336C61"/>
    <w:rsid w:val="003371B0"/>
    <w:rsid w:val="00337D7F"/>
    <w:rsid w:val="0035370D"/>
    <w:rsid w:val="0035620E"/>
    <w:rsid w:val="003575D9"/>
    <w:rsid w:val="003602E6"/>
    <w:rsid w:val="003603D8"/>
    <w:rsid w:val="00363356"/>
    <w:rsid w:val="00372A99"/>
    <w:rsid w:val="0038044F"/>
    <w:rsid w:val="00380DCA"/>
    <w:rsid w:val="0038303C"/>
    <w:rsid w:val="0038365C"/>
    <w:rsid w:val="003843C6"/>
    <w:rsid w:val="00385032"/>
    <w:rsid w:val="00385125"/>
    <w:rsid w:val="00392C0D"/>
    <w:rsid w:val="00396FD0"/>
    <w:rsid w:val="0039752E"/>
    <w:rsid w:val="00397CD5"/>
    <w:rsid w:val="003A1A7A"/>
    <w:rsid w:val="003A57AF"/>
    <w:rsid w:val="003A7C57"/>
    <w:rsid w:val="003B23BC"/>
    <w:rsid w:val="003B351F"/>
    <w:rsid w:val="003B5C39"/>
    <w:rsid w:val="003B5EF6"/>
    <w:rsid w:val="003C1381"/>
    <w:rsid w:val="003C236D"/>
    <w:rsid w:val="003C23AE"/>
    <w:rsid w:val="003C242B"/>
    <w:rsid w:val="003C3690"/>
    <w:rsid w:val="003C5B91"/>
    <w:rsid w:val="003D0F87"/>
    <w:rsid w:val="003D1828"/>
    <w:rsid w:val="003D1F9A"/>
    <w:rsid w:val="003D2422"/>
    <w:rsid w:val="003D36B3"/>
    <w:rsid w:val="003E0260"/>
    <w:rsid w:val="003E3CA9"/>
    <w:rsid w:val="003E3D86"/>
    <w:rsid w:val="003E5706"/>
    <w:rsid w:val="003E5B59"/>
    <w:rsid w:val="003E6214"/>
    <w:rsid w:val="003F0634"/>
    <w:rsid w:val="003F25DA"/>
    <w:rsid w:val="003F2C31"/>
    <w:rsid w:val="003F4156"/>
    <w:rsid w:val="003F4A09"/>
    <w:rsid w:val="004004D2"/>
    <w:rsid w:val="00400B90"/>
    <w:rsid w:val="00401161"/>
    <w:rsid w:val="00403333"/>
    <w:rsid w:val="00410708"/>
    <w:rsid w:val="0041089F"/>
    <w:rsid w:val="00410EC7"/>
    <w:rsid w:val="004113C8"/>
    <w:rsid w:val="00412626"/>
    <w:rsid w:val="0041414A"/>
    <w:rsid w:val="00414476"/>
    <w:rsid w:val="004159F6"/>
    <w:rsid w:val="00417D82"/>
    <w:rsid w:val="00420B9F"/>
    <w:rsid w:val="00421B33"/>
    <w:rsid w:val="00422DFE"/>
    <w:rsid w:val="00425AE6"/>
    <w:rsid w:val="004319F8"/>
    <w:rsid w:val="00432C5D"/>
    <w:rsid w:val="00433044"/>
    <w:rsid w:val="0043385D"/>
    <w:rsid w:val="00436660"/>
    <w:rsid w:val="00436E8B"/>
    <w:rsid w:val="00440745"/>
    <w:rsid w:val="004419CE"/>
    <w:rsid w:val="0044254C"/>
    <w:rsid w:val="00443060"/>
    <w:rsid w:val="004443A7"/>
    <w:rsid w:val="00444507"/>
    <w:rsid w:val="00445C3F"/>
    <w:rsid w:val="004464EB"/>
    <w:rsid w:val="004474C6"/>
    <w:rsid w:val="00451139"/>
    <w:rsid w:val="0045170D"/>
    <w:rsid w:val="00451D9B"/>
    <w:rsid w:val="0045232F"/>
    <w:rsid w:val="00452BA3"/>
    <w:rsid w:val="0045355F"/>
    <w:rsid w:val="00453B21"/>
    <w:rsid w:val="00455D45"/>
    <w:rsid w:val="00456FA6"/>
    <w:rsid w:val="00457F84"/>
    <w:rsid w:val="004604E1"/>
    <w:rsid w:val="00461055"/>
    <w:rsid w:val="00463EF7"/>
    <w:rsid w:val="00464595"/>
    <w:rsid w:val="00465EB9"/>
    <w:rsid w:val="004675FE"/>
    <w:rsid w:val="004677C8"/>
    <w:rsid w:val="00471323"/>
    <w:rsid w:val="004748AC"/>
    <w:rsid w:val="00475791"/>
    <w:rsid w:val="0048238D"/>
    <w:rsid w:val="004832E5"/>
    <w:rsid w:val="004867E2"/>
    <w:rsid w:val="0048689F"/>
    <w:rsid w:val="00487258"/>
    <w:rsid w:val="00491B3A"/>
    <w:rsid w:val="00491BCD"/>
    <w:rsid w:val="00492CFD"/>
    <w:rsid w:val="00494E8C"/>
    <w:rsid w:val="004962D2"/>
    <w:rsid w:val="00496444"/>
    <w:rsid w:val="004969B4"/>
    <w:rsid w:val="004972E9"/>
    <w:rsid w:val="004A0DA1"/>
    <w:rsid w:val="004A2763"/>
    <w:rsid w:val="004A28EA"/>
    <w:rsid w:val="004A42A0"/>
    <w:rsid w:val="004A6597"/>
    <w:rsid w:val="004A6FA3"/>
    <w:rsid w:val="004B0EA6"/>
    <w:rsid w:val="004B1CB4"/>
    <w:rsid w:val="004B2F18"/>
    <w:rsid w:val="004B3DDB"/>
    <w:rsid w:val="004B44FD"/>
    <w:rsid w:val="004B5CFC"/>
    <w:rsid w:val="004B785C"/>
    <w:rsid w:val="004C2E00"/>
    <w:rsid w:val="004C2F08"/>
    <w:rsid w:val="004C403C"/>
    <w:rsid w:val="004C4AED"/>
    <w:rsid w:val="004C593C"/>
    <w:rsid w:val="004C6ACB"/>
    <w:rsid w:val="004D0D27"/>
    <w:rsid w:val="004D1C9A"/>
    <w:rsid w:val="004D4D08"/>
    <w:rsid w:val="004E0EB8"/>
    <w:rsid w:val="004E25EC"/>
    <w:rsid w:val="004E2ADC"/>
    <w:rsid w:val="004E43B2"/>
    <w:rsid w:val="004F0C82"/>
    <w:rsid w:val="004F1874"/>
    <w:rsid w:val="004F1D02"/>
    <w:rsid w:val="004F2679"/>
    <w:rsid w:val="004F31F3"/>
    <w:rsid w:val="004F40A9"/>
    <w:rsid w:val="004F5B85"/>
    <w:rsid w:val="004F7480"/>
    <w:rsid w:val="004F7865"/>
    <w:rsid w:val="005030FC"/>
    <w:rsid w:val="00504161"/>
    <w:rsid w:val="0050475D"/>
    <w:rsid w:val="0050496F"/>
    <w:rsid w:val="00504E30"/>
    <w:rsid w:val="0050560C"/>
    <w:rsid w:val="00505610"/>
    <w:rsid w:val="00506115"/>
    <w:rsid w:val="00506928"/>
    <w:rsid w:val="00510216"/>
    <w:rsid w:val="00510719"/>
    <w:rsid w:val="00512E32"/>
    <w:rsid w:val="00513542"/>
    <w:rsid w:val="005152B5"/>
    <w:rsid w:val="00517AE7"/>
    <w:rsid w:val="00521319"/>
    <w:rsid w:val="00522C05"/>
    <w:rsid w:val="005233D7"/>
    <w:rsid w:val="00523C28"/>
    <w:rsid w:val="00525FD0"/>
    <w:rsid w:val="00527F9E"/>
    <w:rsid w:val="00530744"/>
    <w:rsid w:val="00531D7C"/>
    <w:rsid w:val="00532B85"/>
    <w:rsid w:val="005348AB"/>
    <w:rsid w:val="00534930"/>
    <w:rsid w:val="00534A02"/>
    <w:rsid w:val="0053502B"/>
    <w:rsid w:val="00535303"/>
    <w:rsid w:val="00536950"/>
    <w:rsid w:val="0053782B"/>
    <w:rsid w:val="00537AFB"/>
    <w:rsid w:val="0054105A"/>
    <w:rsid w:val="005412DF"/>
    <w:rsid w:val="005420BE"/>
    <w:rsid w:val="00542744"/>
    <w:rsid w:val="0054334C"/>
    <w:rsid w:val="0054342B"/>
    <w:rsid w:val="0054582D"/>
    <w:rsid w:val="00546B15"/>
    <w:rsid w:val="0054756B"/>
    <w:rsid w:val="00552BD3"/>
    <w:rsid w:val="00553A33"/>
    <w:rsid w:val="0055443F"/>
    <w:rsid w:val="00555109"/>
    <w:rsid w:val="00555C4B"/>
    <w:rsid w:val="00556F4E"/>
    <w:rsid w:val="00563335"/>
    <w:rsid w:val="005664E2"/>
    <w:rsid w:val="0056696F"/>
    <w:rsid w:val="00570657"/>
    <w:rsid w:val="005732D1"/>
    <w:rsid w:val="005754A8"/>
    <w:rsid w:val="00575D8D"/>
    <w:rsid w:val="00576972"/>
    <w:rsid w:val="00576CD5"/>
    <w:rsid w:val="00581CC5"/>
    <w:rsid w:val="00583699"/>
    <w:rsid w:val="005858D2"/>
    <w:rsid w:val="00590B66"/>
    <w:rsid w:val="00596CA7"/>
    <w:rsid w:val="005A08BE"/>
    <w:rsid w:val="005A1243"/>
    <w:rsid w:val="005A2845"/>
    <w:rsid w:val="005A2BAA"/>
    <w:rsid w:val="005A5F84"/>
    <w:rsid w:val="005B2FE1"/>
    <w:rsid w:val="005B32EF"/>
    <w:rsid w:val="005B49A9"/>
    <w:rsid w:val="005B4FB3"/>
    <w:rsid w:val="005B5857"/>
    <w:rsid w:val="005B6418"/>
    <w:rsid w:val="005C1B83"/>
    <w:rsid w:val="005C20FB"/>
    <w:rsid w:val="005C346B"/>
    <w:rsid w:val="005C37BC"/>
    <w:rsid w:val="005C41B3"/>
    <w:rsid w:val="005C6D69"/>
    <w:rsid w:val="005C7DB3"/>
    <w:rsid w:val="005D044D"/>
    <w:rsid w:val="005D18AD"/>
    <w:rsid w:val="005D3E1F"/>
    <w:rsid w:val="005D434F"/>
    <w:rsid w:val="005D56F3"/>
    <w:rsid w:val="005D66E4"/>
    <w:rsid w:val="005D69C7"/>
    <w:rsid w:val="005E073A"/>
    <w:rsid w:val="005E08D6"/>
    <w:rsid w:val="005E0FD8"/>
    <w:rsid w:val="005E4272"/>
    <w:rsid w:val="005E442A"/>
    <w:rsid w:val="005E73C0"/>
    <w:rsid w:val="005E7573"/>
    <w:rsid w:val="005F1B5D"/>
    <w:rsid w:val="005F1D03"/>
    <w:rsid w:val="005F2706"/>
    <w:rsid w:val="005F3058"/>
    <w:rsid w:val="005F45AA"/>
    <w:rsid w:val="005F5BBC"/>
    <w:rsid w:val="005F5E07"/>
    <w:rsid w:val="005F6A8F"/>
    <w:rsid w:val="00600CA4"/>
    <w:rsid w:val="00604C79"/>
    <w:rsid w:val="0060639E"/>
    <w:rsid w:val="006065C2"/>
    <w:rsid w:val="00607669"/>
    <w:rsid w:val="0061080E"/>
    <w:rsid w:val="006109A1"/>
    <w:rsid w:val="0061283B"/>
    <w:rsid w:val="00612F97"/>
    <w:rsid w:val="00613F9A"/>
    <w:rsid w:val="00614B4D"/>
    <w:rsid w:val="00616802"/>
    <w:rsid w:val="00616C94"/>
    <w:rsid w:val="00616CE2"/>
    <w:rsid w:val="00617925"/>
    <w:rsid w:val="00617E12"/>
    <w:rsid w:val="00621477"/>
    <w:rsid w:val="0062520F"/>
    <w:rsid w:val="006268AB"/>
    <w:rsid w:val="0062704F"/>
    <w:rsid w:val="00627A3B"/>
    <w:rsid w:val="00631D6B"/>
    <w:rsid w:val="0063479F"/>
    <w:rsid w:val="006364A1"/>
    <w:rsid w:val="00637302"/>
    <w:rsid w:val="00637598"/>
    <w:rsid w:val="00637876"/>
    <w:rsid w:val="00637BFD"/>
    <w:rsid w:val="00640336"/>
    <w:rsid w:val="00644811"/>
    <w:rsid w:val="00644D1D"/>
    <w:rsid w:val="006471CC"/>
    <w:rsid w:val="0065033A"/>
    <w:rsid w:val="0065079F"/>
    <w:rsid w:val="00656AE9"/>
    <w:rsid w:val="006615B1"/>
    <w:rsid w:val="00661846"/>
    <w:rsid w:val="006659ED"/>
    <w:rsid w:val="00665FD6"/>
    <w:rsid w:val="0066625D"/>
    <w:rsid w:val="00674E42"/>
    <w:rsid w:val="006762A1"/>
    <w:rsid w:val="0068095B"/>
    <w:rsid w:val="00682112"/>
    <w:rsid w:val="006831AC"/>
    <w:rsid w:val="00684FF0"/>
    <w:rsid w:val="006872BA"/>
    <w:rsid w:val="006917D7"/>
    <w:rsid w:val="00694C0D"/>
    <w:rsid w:val="00694F44"/>
    <w:rsid w:val="006A239C"/>
    <w:rsid w:val="006A343B"/>
    <w:rsid w:val="006A3847"/>
    <w:rsid w:val="006A3A36"/>
    <w:rsid w:val="006A6D4E"/>
    <w:rsid w:val="006B24A5"/>
    <w:rsid w:val="006B3914"/>
    <w:rsid w:val="006B4329"/>
    <w:rsid w:val="006B4BD2"/>
    <w:rsid w:val="006B6DB4"/>
    <w:rsid w:val="006C07F4"/>
    <w:rsid w:val="006C2986"/>
    <w:rsid w:val="006C2A8E"/>
    <w:rsid w:val="006C3CDC"/>
    <w:rsid w:val="006C5127"/>
    <w:rsid w:val="006C5D99"/>
    <w:rsid w:val="006C6F1C"/>
    <w:rsid w:val="006D014C"/>
    <w:rsid w:val="006D1C06"/>
    <w:rsid w:val="006D2014"/>
    <w:rsid w:val="006D3C7D"/>
    <w:rsid w:val="006D3EFD"/>
    <w:rsid w:val="006D4109"/>
    <w:rsid w:val="006D5D5F"/>
    <w:rsid w:val="006D66EA"/>
    <w:rsid w:val="006D674A"/>
    <w:rsid w:val="006E025F"/>
    <w:rsid w:val="006E02AA"/>
    <w:rsid w:val="006E6AE8"/>
    <w:rsid w:val="006F017B"/>
    <w:rsid w:val="006F63A5"/>
    <w:rsid w:val="006F6DA8"/>
    <w:rsid w:val="006F702B"/>
    <w:rsid w:val="006F79CC"/>
    <w:rsid w:val="007009D4"/>
    <w:rsid w:val="00701432"/>
    <w:rsid w:val="0070276E"/>
    <w:rsid w:val="00702A90"/>
    <w:rsid w:val="00702C74"/>
    <w:rsid w:val="00702F8F"/>
    <w:rsid w:val="007036B1"/>
    <w:rsid w:val="007041B9"/>
    <w:rsid w:val="00704AAC"/>
    <w:rsid w:val="00705220"/>
    <w:rsid w:val="0070717F"/>
    <w:rsid w:val="0070787D"/>
    <w:rsid w:val="00711A36"/>
    <w:rsid w:val="007172AD"/>
    <w:rsid w:val="0071764C"/>
    <w:rsid w:val="00720D77"/>
    <w:rsid w:val="0072416F"/>
    <w:rsid w:val="0072461D"/>
    <w:rsid w:val="007263FD"/>
    <w:rsid w:val="00726E0F"/>
    <w:rsid w:val="00727098"/>
    <w:rsid w:val="00727DDF"/>
    <w:rsid w:val="00731291"/>
    <w:rsid w:val="0073204F"/>
    <w:rsid w:val="007323FE"/>
    <w:rsid w:val="00734158"/>
    <w:rsid w:val="00735328"/>
    <w:rsid w:val="0073685B"/>
    <w:rsid w:val="0074602F"/>
    <w:rsid w:val="00746EA7"/>
    <w:rsid w:val="007506A6"/>
    <w:rsid w:val="00750757"/>
    <w:rsid w:val="007524CB"/>
    <w:rsid w:val="007539C9"/>
    <w:rsid w:val="00754292"/>
    <w:rsid w:val="00755BCE"/>
    <w:rsid w:val="007574C0"/>
    <w:rsid w:val="0076662C"/>
    <w:rsid w:val="00766B35"/>
    <w:rsid w:val="00772EEC"/>
    <w:rsid w:val="00775244"/>
    <w:rsid w:val="0077789C"/>
    <w:rsid w:val="0078072B"/>
    <w:rsid w:val="00782B93"/>
    <w:rsid w:val="00783A09"/>
    <w:rsid w:val="00784BE0"/>
    <w:rsid w:val="00791B67"/>
    <w:rsid w:val="00793ACB"/>
    <w:rsid w:val="00793DA3"/>
    <w:rsid w:val="007A0A12"/>
    <w:rsid w:val="007A260E"/>
    <w:rsid w:val="007A3C5F"/>
    <w:rsid w:val="007A3DBB"/>
    <w:rsid w:val="007B1D24"/>
    <w:rsid w:val="007B1F94"/>
    <w:rsid w:val="007B23D9"/>
    <w:rsid w:val="007B251D"/>
    <w:rsid w:val="007B2835"/>
    <w:rsid w:val="007B30CC"/>
    <w:rsid w:val="007B3949"/>
    <w:rsid w:val="007B77D1"/>
    <w:rsid w:val="007C26A1"/>
    <w:rsid w:val="007C2732"/>
    <w:rsid w:val="007C361D"/>
    <w:rsid w:val="007C506E"/>
    <w:rsid w:val="007C575D"/>
    <w:rsid w:val="007D012E"/>
    <w:rsid w:val="007D0B38"/>
    <w:rsid w:val="007D15AC"/>
    <w:rsid w:val="007D3FCC"/>
    <w:rsid w:val="007D4F01"/>
    <w:rsid w:val="007D5902"/>
    <w:rsid w:val="007D6071"/>
    <w:rsid w:val="007E04A1"/>
    <w:rsid w:val="007E1E24"/>
    <w:rsid w:val="007E3526"/>
    <w:rsid w:val="007E5AAD"/>
    <w:rsid w:val="007F0D43"/>
    <w:rsid w:val="007F1017"/>
    <w:rsid w:val="007F4A3F"/>
    <w:rsid w:val="007F4B3B"/>
    <w:rsid w:val="007F5206"/>
    <w:rsid w:val="008005F6"/>
    <w:rsid w:val="008015A8"/>
    <w:rsid w:val="00802B20"/>
    <w:rsid w:val="00805142"/>
    <w:rsid w:val="00807A8B"/>
    <w:rsid w:val="00812149"/>
    <w:rsid w:val="0081419A"/>
    <w:rsid w:val="008166EF"/>
    <w:rsid w:val="008208AE"/>
    <w:rsid w:val="00820C91"/>
    <w:rsid w:val="0082489B"/>
    <w:rsid w:val="008264EB"/>
    <w:rsid w:val="008278AF"/>
    <w:rsid w:val="008302AE"/>
    <w:rsid w:val="0083105A"/>
    <w:rsid w:val="00833B05"/>
    <w:rsid w:val="00833B07"/>
    <w:rsid w:val="00840CA2"/>
    <w:rsid w:val="00846137"/>
    <w:rsid w:val="00847A1B"/>
    <w:rsid w:val="00847AC6"/>
    <w:rsid w:val="0085046E"/>
    <w:rsid w:val="00850526"/>
    <w:rsid w:val="0085328C"/>
    <w:rsid w:val="00853767"/>
    <w:rsid w:val="00853930"/>
    <w:rsid w:val="00854ADC"/>
    <w:rsid w:val="008560B5"/>
    <w:rsid w:val="00856E9A"/>
    <w:rsid w:val="00862377"/>
    <w:rsid w:val="00862502"/>
    <w:rsid w:val="00870EC9"/>
    <w:rsid w:val="00872815"/>
    <w:rsid w:val="008758A9"/>
    <w:rsid w:val="0087744B"/>
    <w:rsid w:val="00882874"/>
    <w:rsid w:val="00882E96"/>
    <w:rsid w:val="008833EF"/>
    <w:rsid w:val="00883787"/>
    <w:rsid w:val="00884871"/>
    <w:rsid w:val="008849ED"/>
    <w:rsid w:val="00887624"/>
    <w:rsid w:val="00890A91"/>
    <w:rsid w:val="00890AEF"/>
    <w:rsid w:val="00892385"/>
    <w:rsid w:val="00893D7B"/>
    <w:rsid w:val="00894489"/>
    <w:rsid w:val="008958F7"/>
    <w:rsid w:val="00895B06"/>
    <w:rsid w:val="008963A5"/>
    <w:rsid w:val="008A37C3"/>
    <w:rsid w:val="008A3864"/>
    <w:rsid w:val="008A3C3E"/>
    <w:rsid w:val="008A6BE2"/>
    <w:rsid w:val="008A799E"/>
    <w:rsid w:val="008A79DE"/>
    <w:rsid w:val="008B300C"/>
    <w:rsid w:val="008B40F9"/>
    <w:rsid w:val="008B529F"/>
    <w:rsid w:val="008B5EDF"/>
    <w:rsid w:val="008B6603"/>
    <w:rsid w:val="008B7D7E"/>
    <w:rsid w:val="008C231F"/>
    <w:rsid w:val="008C3E9E"/>
    <w:rsid w:val="008C7C37"/>
    <w:rsid w:val="008C7ECB"/>
    <w:rsid w:val="008C7ECC"/>
    <w:rsid w:val="008D245C"/>
    <w:rsid w:val="008D3136"/>
    <w:rsid w:val="008E1B9E"/>
    <w:rsid w:val="008E4B79"/>
    <w:rsid w:val="008E5BF8"/>
    <w:rsid w:val="008E7367"/>
    <w:rsid w:val="008F00A1"/>
    <w:rsid w:val="008F120A"/>
    <w:rsid w:val="008F153E"/>
    <w:rsid w:val="008F1BAF"/>
    <w:rsid w:val="008F22DF"/>
    <w:rsid w:val="008F2360"/>
    <w:rsid w:val="008F48EB"/>
    <w:rsid w:val="008F4F0B"/>
    <w:rsid w:val="008F5348"/>
    <w:rsid w:val="008F53F6"/>
    <w:rsid w:val="009017C6"/>
    <w:rsid w:val="00902C39"/>
    <w:rsid w:val="009062A5"/>
    <w:rsid w:val="00907306"/>
    <w:rsid w:val="00911272"/>
    <w:rsid w:val="00911703"/>
    <w:rsid w:val="0091382D"/>
    <w:rsid w:val="00914BE0"/>
    <w:rsid w:val="0092287D"/>
    <w:rsid w:val="0092331A"/>
    <w:rsid w:val="009312B4"/>
    <w:rsid w:val="009346B7"/>
    <w:rsid w:val="00935F1F"/>
    <w:rsid w:val="009372A0"/>
    <w:rsid w:val="0094332A"/>
    <w:rsid w:val="0094467B"/>
    <w:rsid w:val="0095125B"/>
    <w:rsid w:val="009568A1"/>
    <w:rsid w:val="00960FA8"/>
    <w:rsid w:val="00961404"/>
    <w:rsid w:val="00961B0B"/>
    <w:rsid w:val="00962CB9"/>
    <w:rsid w:val="0096429D"/>
    <w:rsid w:val="00964312"/>
    <w:rsid w:val="00964485"/>
    <w:rsid w:val="0096496D"/>
    <w:rsid w:val="00966CD9"/>
    <w:rsid w:val="00970B10"/>
    <w:rsid w:val="00974FC3"/>
    <w:rsid w:val="00976CD9"/>
    <w:rsid w:val="009837B8"/>
    <w:rsid w:val="00983DA8"/>
    <w:rsid w:val="00983E57"/>
    <w:rsid w:val="009842B8"/>
    <w:rsid w:val="0098734C"/>
    <w:rsid w:val="00991F2A"/>
    <w:rsid w:val="00996B1A"/>
    <w:rsid w:val="009A1D64"/>
    <w:rsid w:val="009A3D1C"/>
    <w:rsid w:val="009A4E53"/>
    <w:rsid w:val="009A61FA"/>
    <w:rsid w:val="009A7FA4"/>
    <w:rsid w:val="009B1CA9"/>
    <w:rsid w:val="009B3E26"/>
    <w:rsid w:val="009C60DD"/>
    <w:rsid w:val="009C6BC2"/>
    <w:rsid w:val="009D37A0"/>
    <w:rsid w:val="009D5B91"/>
    <w:rsid w:val="009D62DE"/>
    <w:rsid w:val="009E316B"/>
    <w:rsid w:val="009E496F"/>
    <w:rsid w:val="009E4BBD"/>
    <w:rsid w:val="009E4C07"/>
    <w:rsid w:val="009E6054"/>
    <w:rsid w:val="009F0AA7"/>
    <w:rsid w:val="009F6B99"/>
    <w:rsid w:val="00A018DA"/>
    <w:rsid w:val="00A03D43"/>
    <w:rsid w:val="00A04380"/>
    <w:rsid w:val="00A05F01"/>
    <w:rsid w:val="00A07486"/>
    <w:rsid w:val="00A07947"/>
    <w:rsid w:val="00A126F9"/>
    <w:rsid w:val="00A13948"/>
    <w:rsid w:val="00A20171"/>
    <w:rsid w:val="00A22F86"/>
    <w:rsid w:val="00A24E6D"/>
    <w:rsid w:val="00A25E14"/>
    <w:rsid w:val="00A27569"/>
    <w:rsid w:val="00A27A68"/>
    <w:rsid w:val="00A27AEC"/>
    <w:rsid w:val="00A30CF2"/>
    <w:rsid w:val="00A30F29"/>
    <w:rsid w:val="00A3226F"/>
    <w:rsid w:val="00A34381"/>
    <w:rsid w:val="00A3463D"/>
    <w:rsid w:val="00A349F1"/>
    <w:rsid w:val="00A35D16"/>
    <w:rsid w:val="00A433AB"/>
    <w:rsid w:val="00A43C59"/>
    <w:rsid w:val="00A43D8D"/>
    <w:rsid w:val="00A43FB3"/>
    <w:rsid w:val="00A45761"/>
    <w:rsid w:val="00A50ECD"/>
    <w:rsid w:val="00A5134C"/>
    <w:rsid w:val="00A52729"/>
    <w:rsid w:val="00A53675"/>
    <w:rsid w:val="00A548BE"/>
    <w:rsid w:val="00A56B6A"/>
    <w:rsid w:val="00A57378"/>
    <w:rsid w:val="00A578DC"/>
    <w:rsid w:val="00A60F23"/>
    <w:rsid w:val="00A61E2B"/>
    <w:rsid w:val="00A6313A"/>
    <w:rsid w:val="00A65A56"/>
    <w:rsid w:val="00A66FA4"/>
    <w:rsid w:val="00A6725B"/>
    <w:rsid w:val="00A71033"/>
    <w:rsid w:val="00A717E3"/>
    <w:rsid w:val="00A72E0A"/>
    <w:rsid w:val="00A76379"/>
    <w:rsid w:val="00A7736E"/>
    <w:rsid w:val="00A77E6A"/>
    <w:rsid w:val="00A811CD"/>
    <w:rsid w:val="00A86357"/>
    <w:rsid w:val="00A86E8B"/>
    <w:rsid w:val="00A90C53"/>
    <w:rsid w:val="00A9231B"/>
    <w:rsid w:val="00A923F4"/>
    <w:rsid w:val="00A93072"/>
    <w:rsid w:val="00A959D8"/>
    <w:rsid w:val="00AA2352"/>
    <w:rsid w:val="00AA2E2E"/>
    <w:rsid w:val="00AA39E0"/>
    <w:rsid w:val="00AA5BE9"/>
    <w:rsid w:val="00AA7DB8"/>
    <w:rsid w:val="00AB042A"/>
    <w:rsid w:val="00AB1428"/>
    <w:rsid w:val="00AB1515"/>
    <w:rsid w:val="00AB22A3"/>
    <w:rsid w:val="00AB2D34"/>
    <w:rsid w:val="00AB2F1F"/>
    <w:rsid w:val="00AB3430"/>
    <w:rsid w:val="00AB3579"/>
    <w:rsid w:val="00AB3A67"/>
    <w:rsid w:val="00AB46BB"/>
    <w:rsid w:val="00AB7CCA"/>
    <w:rsid w:val="00AB7CFA"/>
    <w:rsid w:val="00AB7E4F"/>
    <w:rsid w:val="00AC27B5"/>
    <w:rsid w:val="00AC3319"/>
    <w:rsid w:val="00AC4730"/>
    <w:rsid w:val="00AC6961"/>
    <w:rsid w:val="00AD0B69"/>
    <w:rsid w:val="00AD0D58"/>
    <w:rsid w:val="00AD1552"/>
    <w:rsid w:val="00AD1A3D"/>
    <w:rsid w:val="00AD4EC0"/>
    <w:rsid w:val="00AD6020"/>
    <w:rsid w:val="00AE1651"/>
    <w:rsid w:val="00AE2F62"/>
    <w:rsid w:val="00AE4F16"/>
    <w:rsid w:val="00AE6990"/>
    <w:rsid w:val="00AE7468"/>
    <w:rsid w:val="00AF1A8D"/>
    <w:rsid w:val="00AF417A"/>
    <w:rsid w:val="00AF5474"/>
    <w:rsid w:val="00B00092"/>
    <w:rsid w:val="00B009A8"/>
    <w:rsid w:val="00B058A3"/>
    <w:rsid w:val="00B0608C"/>
    <w:rsid w:val="00B0649B"/>
    <w:rsid w:val="00B072A4"/>
    <w:rsid w:val="00B07735"/>
    <w:rsid w:val="00B10310"/>
    <w:rsid w:val="00B14086"/>
    <w:rsid w:val="00B16438"/>
    <w:rsid w:val="00B16F49"/>
    <w:rsid w:val="00B206FF"/>
    <w:rsid w:val="00B2578F"/>
    <w:rsid w:val="00B338AA"/>
    <w:rsid w:val="00B341BD"/>
    <w:rsid w:val="00B350CC"/>
    <w:rsid w:val="00B35E14"/>
    <w:rsid w:val="00B36008"/>
    <w:rsid w:val="00B369A1"/>
    <w:rsid w:val="00B41D33"/>
    <w:rsid w:val="00B41D75"/>
    <w:rsid w:val="00B4256D"/>
    <w:rsid w:val="00B42851"/>
    <w:rsid w:val="00B42A66"/>
    <w:rsid w:val="00B42E6E"/>
    <w:rsid w:val="00B4342D"/>
    <w:rsid w:val="00B464B3"/>
    <w:rsid w:val="00B47C48"/>
    <w:rsid w:val="00B50DB8"/>
    <w:rsid w:val="00B51023"/>
    <w:rsid w:val="00B536E7"/>
    <w:rsid w:val="00B537DF"/>
    <w:rsid w:val="00B53905"/>
    <w:rsid w:val="00B544D8"/>
    <w:rsid w:val="00B54B5B"/>
    <w:rsid w:val="00B5562E"/>
    <w:rsid w:val="00B57000"/>
    <w:rsid w:val="00B577BC"/>
    <w:rsid w:val="00B57A2D"/>
    <w:rsid w:val="00B60939"/>
    <w:rsid w:val="00B60AFD"/>
    <w:rsid w:val="00B62715"/>
    <w:rsid w:val="00B63C23"/>
    <w:rsid w:val="00B6688F"/>
    <w:rsid w:val="00B70C7C"/>
    <w:rsid w:val="00B71D26"/>
    <w:rsid w:val="00B7309E"/>
    <w:rsid w:val="00B7464A"/>
    <w:rsid w:val="00B800D4"/>
    <w:rsid w:val="00B80BED"/>
    <w:rsid w:val="00B818A4"/>
    <w:rsid w:val="00B82947"/>
    <w:rsid w:val="00B83C08"/>
    <w:rsid w:val="00B84911"/>
    <w:rsid w:val="00B8649C"/>
    <w:rsid w:val="00B8742E"/>
    <w:rsid w:val="00B90085"/>
    <w:rsid w:val="00B90CFE"/>
    <w:rsid w:val="00B9181A"/>
    <w:rsid w:val="00B92D0B"/>
    <w:rsid w:val="00B94724"/>
    <w:rsid w:val="00B94945"/>
    <w:rsid w:val="00B96EBC"/>
    <w:rsid w:val="00BA2238"/>
    <w:rsid w:val="00BA36AE"/>
    <w:rsid w:val="00BA4BF9"/>
    <w:rsid w:val="00BA77B2"/>
    <w:rsid w:val="00BB48FE"/>
    <w:rsid w:val="00BB6207"/>
    <w:rsid w:val="00BB6B6A"/>
    <w:rsid w:val="00BB6D01"/>
    <w:rsid w:val="00BB7405"/>
    <w:rsid w:val="00BB7638"/>
    <w:rsid w:val="00BC2900"/>
    <w:rsid w:val="00BC396B"/>
    <w:rsid w:val="00BC4B53"/>
    <w:rsid w:val="00BC4CB4"/>
    <w:rsid w:val="00BC5125"/>
    <w:rsid w:val="00BC5E41"/>
    <w:rsid w:val="00BC6337"/>
    <w:rsid w:val="00BD06E5"/>
    <w:rsid w:val="00BD5AC6"/>
    <w:rsid w:val="00BD5F40"/>
    <w:rsid w:val="00BD6CF3"/>
    <w:rsid w:val="00BE2180"/>
    <w:rsid w:val="00BE374C"/>
    <w:rsid w:val="00BE4275"/>
    <w:rsid w:val="00BE4665"/>
    <w:rsid w:val="00BF0694"/>
    <w:rsid w:val="00BF2433"/>
    <w:rsid w:val="00BF371F"/>
    <w:rsid w:val="00BF3726"/>
    <w:rsid w:val="00BF3FF1"/>
    <w:rsid w:val="00BF61C9"/>
    <w:rsid w:val="00C0148C"/>
    <w:rsid w:val="00C0281A"/>
    <w:rsid w:val="00C04E12"/>
    <w:rsid w:val="00C05B4D"/>
    <w:rsid w:val="00C05F58"/>
    <w:rsid w:val="00C0708E"/>
    <w:rsid w:val="00C0761E"/>
    <w:rsid w:val="00C07B8A"/>
    <w:rsid w:val="00C07DFA"/>
    <w:rsid w:val="00C10E1F"/>
    <w:rsid w:val="00C1138E"/>
    <w:rsid w:val="00C131F5"/>
    <w:rsid w:val="00C2085C"/>
    <w:rsid w:val="00C222A3"/>
    <w:rsid w:val="00C23CAC"/>
    <w:rsid w:val="00C240F8"/>
    <w:rsid w:val="00C25418"/>
    <w:rsid w:val="00C25D9C"/>
    <w:rsid w:val="00C26A6E"/>
    <w:rsid w:val="00C30DFA"/>
    <w:rsid w:val="00C31649"/>
    <w:rsid w:val="00C35163"/>
    <w:rsid w:val="00C36406"/>
    <w:rsid w:val="00C401CE"/>
    <w:rsid w:val="00C40385"/>
    <w:rsid w:val="00C40F13"/>
    <w:rsid w:val="00C40FA9"/>
    <w:rsid w:val="00C411C9"/>
    <w:rsid w:val="00C42A66"/>
    <w:rsid w:val="00C42BF4"/>
    <w:rsid w:val="00C43423"/>
    <w:rsid w:val="00C471C6"/>
    <w:rsid w:val="00C51311"/>
    <w:rsid w:val="00C51630"/>
    <w:rsid w:val="00C51D99"/>
    <w:rsid w:val="00C51EB2"/>
    <w:rsid w:val="00C53DD4"/>
    <w:rsid w:val="00C54A39"/>
    <w:rsid w:val="00C54CBB"/>
    <w:rsid w:val="00C57C42"/>
    <w:rsid w:val="00C65576"/>
    <w:rsid w:val="00C66165"/>
    <w:rsid w:val="00C70393"/>
    <w:rsid w:val="00C71B65"/>
    <w:rsid w:val="00C750C8"/>
    <w:rsid w:val="00C8090D"/>
    <w:rsid w:val="00C809C2"/>
    <w:rsid w:val="00C815D6"/>
    <w:rsid w:val="00C81F08"/>
    <w:rsid w:val="00C8213F"/>
    <w:rsid w:val="00C83E56"/>
    <w:rsid w:val="00C85C5B"/>
    <w:rsid w:val="00C869CA"/>
    <w:rsid w:val="00C8797A"/>
    <w:rsid w:val="00C905EC"/>
    <w:rsid w:val="00C9285E"/>
    <w:rsid w:val="00C938CF"/>
    <w:rsid w:val="00C9417D"/>
    <w:rsid w:val="00CA14B0"/>
    <w:rsid w:val="00CA1D80"/>
    <w:rsid w:val="00CA2E89"/>
    <w:rsid w:val="00CA5245"/>
    <w:rsid w:val="00CA5922"/>
    <w:rsid w:val="00CA7B09"/>
    <w:rsid w:val="00CB02C1"/>
    <w:rsid w:val="00CB5B1A"/>
    <w:rsid w:val="00CC3F70"/>
    <w:rsid w:val="00CC5823"/>
    <w:rsid w:val="00CC74FD"/>
    <w:rsid w:val="00CD26F0"/>
    <w:rsid w:val="00CD440E"/>
    <w:rsid w:val="00CD4A26"/>
    <w:rsid w:val="00CD6ADC"/>
    <w:rsid w:val="00CE24E7"/>
    <w:rsid w:val="00CE3B13"/>
    <w:rsid w:val="00CE6274"/>
    <w:rsid w:val="00CF3C64"/>
    <w:rsid w:val="00CF456B"/>
    <w:rsid w:val="00CF5A22"/>
    <w:rsid w:val="00D0160C"/>
    <w:rsid w:val="00D0239D"/>
    <w:rsid w:val="00D0262E"/>
    <w:rsid w:val="00D0435D"/>
    <w:rsid w:val="00D062F2"/>
    <w:rsid w:val="00D07045"/>
    <w:rsid w:val="00D07583"/>
    <w:rsid w:val="00D10378"/>
    <w:rsid w:val="00D110BD"/>
    <w:rsid w:val="00D124C1"/>
    <w:rsid w:val="00D14969"/>
    <w:rsid w:val="00D14C01"/>
    <w:rsid w:val="00D158FE"/>
    <w:rsid w:val="00D161F5"/>
    <w:rsid w:val="00D17D6C"/>
    <w:rsid w:val="00D17EA3"/>
    <w:rsid w:val="00D20120"/>
    <w:rsid w:val="00D20D71"/>
    <w:rsid w:val="00D23107"/>
    <w:rsid w:val="00D357FF"/>
    <w:rsid w:val="00D36923"/>
    <w:rsid w:val="00D40A3A"/>
    <w:rsid w:val="00D411DF"/>
    <w:rsid w:val="00D43388"/>
    <w:rsid w:val="00D461C5"/>
    <w:rsid w:val="00D62976"/>
    <w:rsid w:val="00D64DEB"/>
    <w:rsid w:val="00D666DD"/>
    <w:rsid w:val="00D67668"/>
    <w:rsid w:val="00D71A68"/>
    <w:rsid w:val="00D73890"/>
    <w:rsid w:val="00D73915"/>
    <w:rsid w:val="00D73AB5"/>
    <w:rsid w:val="00D750E2"/>
    <w:rsid w:val="00D76A17"/>
    <w:rsid w:val="00D76A44"/>
    <w:rsid w:val="00D77D81"/>
    <w:rsid w:val="00D82126"/>
    <w:rsid w:val="00D83385"/>
    <w:rsid w:val="00D86391"/>
    <w:rsid w:val="00D90301"/>
    <w:rsid w:val="00D91112"/>
    <w:rsid w:val="00D925DC"/>
    <w:rsid w:val="00D93470"/>
    <w:rsid w:val="00D93753"/>
    <w:rsid w:val="00D963FA"/>
    <w:rsid w:val="00DA0740"/>
    <w:rsid w:val="00DA0D89"/>
    <w:rsid w:val="00DA25BD"/>
    <w:rsid w:val="00DA40F8"/>
    <w:rsid w:val="00DA6FA7"/>
    <w:rsid w:val="00DA77A5"/>
    <w:rsid w:val="00DB437F"/>
    <w:rsid w:val="00DB49C2"/>
    <w:rsid w:val="00DB61C2"/>
    <w:rsid w:val="00DB7D01"/>
    <w:rsid w:val="00DC2C37"/>
    <w:rsid w:val="00DC53E3"/>
    <w:rsid w:val="00DC5501"/>
    <w:rsid w:val="00DC6639"/>
    <w:rsid w:val="00DC6860"/>
    <w:rsid w:val="00DC772F"/>
    <w:rsid w:val="00DC7A4A"/>
    <w:rsid w:val="00DD2150"/>
    <w:rsid w:val="00DD3F28"/>
    <w:rsid w:val="00DD4537"/>
    <w:rsid w:val="00DD4E15"/>
    <w:rsid w:val="00DD7406"/>
    <w:rsid w:val="00DE01D4"/>
    <w:rsid w:val="00DE0553"/>
    <w:rsid w:val="00DE37E5"/>
    <w:rsid w:val="00DE4FCB"/>
    <w:rsid w:val="00DE5F94"/>
    <w:rsid w:val="00DF075C"/>
    <w:rsid w:val="00DF4428"/>
    <w:rsid w:val="00DF4C37"/>
    <w:rsid w:val="00DF56FA"/>
    <w:rsid w:val="00DF5D2B"/>
    <w:rsid w:val="00DF7E72"/>
    <w:rsid w:val="00E012FA"/>
    <w:rsid w:val="00E0226D"/>
    <w:rsid w:val="00E0298E"/>
    <w:rsid w:val="00E06D46"/>
    <w:rsid w:val="00E07D6F"/>
    <w:rsid w:val="00E07DFD"/>
    <w:rsid w:val="00E10149"/>
    <w:rsid w:val="00E1077A"/>
    <w:rsid w:val="00E123A0"/>
    <w:rsid w:val="00E14B57"/>
    <w:rsid w:val="00E16372"/>
    <w:rsid w:val="00E20ED6"/>
    <w:rsid w:val="00E21358"/>
    <w:rsid w:val="00E2247A"/>
    <w:rsid w:val="00E2249B"/>
    <w:rsid w:val="00E22A0D"/>
    <w:rsid w:val="00E235A4"/>
    <w:rsid w:val="00E2771E"/>
    <w:rsid w:val="00E309E3"/>
    <w:rsid w:val="00E31B90"/>
    <w:rsid w:val="00E34FD1"/>
    <w:rsid w:val="00E3518F"/>
    <w:rsid w:val="00E374DC"/>
    <w:rsid w:val="00E37569"/>
    <w:rsid w:val="00E4163E"/>
    <w:rsid w:val="00E41E30"/>
    <w:rsid w:val="00E43D70"/>
    <w:rsid w:val="00E44D51"/>
    <w:rsid w:val="00E47B2C"/>
    <w:rsid w:val="00E5003E"/>
    <w:rsid w:val="00E51560"/>
    <w:rsid w:val="00E517BA"/>
    <w:rsid w:val="00E54518"/>
    <w:rsid w:val="00E5480A"/>
    <w:rsid w:val="00E55424"/>
    <w:rsid w:val="00E55BB5"/>
    <w:rsid w:val="00E6036F"/>
    <w:rsid w:val="00E60460"/>
    <w:rsid w:val="00E609F3"/>
    <w:rsid w:val="00E631A3"/>
    <w:rsid w:val="00E65E79"/>
    <w:rsid w:val="00E66599"/>
    <w:rsid w:val="00E66906"/>
    <w:rsid w:val="00E67416"/>
    <w:rsid w:val="00E7048A"/>
    <w:rsid w:val="00E718B6"/>
    <w:rsid w:val="00E73581"/>
    <w:rsid w:val="00E73E88"/>
    <w:rsid w:val="00E81C48"/>
    <w:rsid w:val="00E82180"/>
    <w:rsid w:val="00E82CBF"/>
    <w:rsid w:val="00E82CE6"/>
    <w:rsid w:val="00E83BDF"/>
    <w:rsid w:val="00E86346"/>
    <w:rsid w:val="00E8667E"/>
    <w:rsid w:val="00E91CE8"/>
    <w:rsid w:val="00E92B6D"/>
    <w:rsid w:val="00EA16EC"/>
    <w:rsid w:val="00EA31C9"/>
    <w:rsid w:val="00EA34D3"/>
    <w:rsid w:val="00EA3864"/>
    <w:rsid w:val="00EA3F7F"/>
    <w:rsid w:val="00EA4C03"/>
    <w:rsid w:val="00EA71FC"/>
    <w:rsid w:val="00EA76DA"/>
    <w:rsid w:val="00EB15B6"/>
    <w:rsid w:val="00EB31F2"/>
    <w:rsid w:val="00EB4916"/>
    <w:rsid w:val="00EB5545"/>
    <w:rsid w:val="00EB5A2E"/>
    <w:rsid w:val="00EC00C9"/>
    <w:rsid w:val="00EC1666"/>
    <w:rsid w:val="00EC5CE2"/>
    <w:rsid w:val="00ED0C5D"/>
    <w:rsid w:val="00ED1735"/>
    <w:rsid w:val="00ED2A02"/>
    <w:rsid w:val="00ED3E73"/>
    <w:rsid w:val="00ED4369"/>
    <w:rsid w:val="00EE02F9"/>
    <w:rsid w:val="00EE07D3"/>
    <w:rsid w:val="00EE0B62"/>
    <w:rsid w:val="00EE0D89"/>
    <w:rsid w:val="00EE13D9"/>
    <w:rsid w:val="00EE27B7"/>
    <w:rsid w:val="00EE3F3C"/>
    <w:rsid w:val="00EE64AA"/>
    <w:rsid w:val="00EE7224"/>
    <w:rsid w:val="00EF0A58"/>
    <w:rsid w:val="00EF1D3D"/>
    <w:rsid w:val="00EF412A"/>
    <w:rsid w:val="00EF5AB9"/>
    <w:rsid w:val="00EF72C7"/>
    <w:rsid w:val="00F0056B"/>
    <w:rsid w:val="00F05236"/>
    <w:rsid w:val="00F067A2"/>
    <w:rsid w:val="00F11B88"/>
    <w:rsid w:val="00F12B40"/>
    <w:rsid w:val="00F12EC0"/>
    <w:rsid w:val="00F20BDF"/>
    <w:rsid w:val="00F24837"/>
    <w:rsid w:val="00F24DDF"/>
    <w:rsid w:val="00F2575F"/>
    <w:rsid w:val="00F25CBC"/>
    <w:rsid w:val="00F27597"/>
    <w:rsid w:val="00F27AAD"/>
    <w:rsid w:val="00F27B3C"/>
    <w:rsid w:val="00F319FC"/>
    <w:rsid w:val="00F326DC"/>
    <w:rsid w:val="00F33DE9"/>
    <w:rsid w:val="00F33FB6"/>
    <w:rsid w:val="00F3619A"/>
    <w:rsid w:val="00F362AA"/>
    <w:rsid w:val="00F40851"/>
    <w:rsid w:val="00F41726"/>
    <w:rsid w:val="00F42030"/>
    <w:rsid w:val="00F42C6F"/>
    <w:rsid w:val="00F464AE"/>
    <w:rsid w:val="00F46CB6"/>
    <w:rsid w:val="00F507B3"/>
    <w:rsid w:val="00F55E73"/>
    <w:rsid w:val="00F57AC6"/>
    <w:rsid w:val="00F60092"/>
    <w:rsid w:val="00F64E37"/>
    <w:rsid w:val="00F6753D"/>
    <w:rsid w:val="00F7385F"/>
    <w:rsid w:val="00F77CF4"/>
    <w:rsid w:val="00F80E5D"/>
    <w:rsid w:val="00F84625"/>
    <w:rsid w:val="00F84FC5"/>
    <w:rsid w:val="00F851CE"/>
    <w:rsid w:val="00F85FF1"/>
    <w:rsid w:val="00F87227"/>
    <w:rsid w:val="00F874AC"/>
    <w:rsid w:val="00F878D4"/>
    <w:rsid w:val="00F90948"/>
    <w:rsid w:val="00F947B6"/>
    <w:rsid w:val="00F96790"/>
    <w:rsid w:val="00F97A78"/>
    <w:rsid w:val="00FA0B9C"/>
    <w:rsid w:val="00FA0D49"/>
    <w:rsid w:val="00FA24E7"/>
    <w:rsid w:val="00FA4293"/>
    <w:rsid w:val="00FA4843"/>
    <w:rsid w:val="00FA6C69"/>
    <w:rsid w:val="00FA7EAA"/>
    <w:rsid w:val="00FB012E"/>
    <w:rsid w:val="00FB1B16"/>
    <w:rsid w:val="00FB288C"/>
    <w:rsid w:val="00FB2FCB"/>
    <w:rsid w:val="00FB3509"/>
    <w:rsid w:val="00FB57AC"/>
    <w:rsid w:val="00FB690E"/>
    <w:rsid w:val="00FB6D49"/>
    <w:rsid w:val="00FC055E"/>
    <w:rsid w:val="00FC1074"/>
    <w:rsid w:val="00FC1884"/>
    <w:rsid w:val="00FC23B1"/>
    <w:rsid w:val="00FC2DF9"/>
    <w:rsid w:val="00FC41CA"/>
    <w:rsid w:val="00FC4A54"/>
    <w:rsid w:val="00FC4D91"/>
    <w:rsid w:val="00FD07C1"/>
    <w:rsid w:val="00FD2100"/>
    <w:rsid w:val="00FD2A6B"/>
    <w:rsid w:val="00FD446D"/>
    <w:rsid w:val="00FD6C7A"/>
    <w:rsid w:val="00FE0770"/>
    <w:rsid w:val="00FE1C66"/>
    <w:rsid w:val="00FE5BDF"/>
    <w:rsid w:val="00FF3DCF"/>
    <w:rsid w:val="00FF47D5"/>
    <w:rsid w:val="00FF4B1E"/>
    <w:rsid w:val="00FF5A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4B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Table Gridbeth,Summary box"/>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link w:val="TableHeadingChar"/>
    <w:uiPriority w:val="99"/>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uiPriority w:val="99"/>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rsid w:val="00B50DB8"/>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2"/>
      </w:numPr>
    </w:pPr>
    <w:rPr>
      <w:rFonts w:ascii="Arial" w:hAnsi="Arial" w:cs="Arial"/>
      <w:b/>
      <w:snapToGrid w:val="0"/>
      <w:sz w:val="22"/>
      <w:szCs w:val="22"/>
      <w:lang w:eastAsia="en-US"/>
    </w:rPr>
  </w:style>
  <w:style w:type="paragraph" w:styleId="FootnoteText">
    <w:name w:val="footnote text"/>
    <w:basedOn w:val="Normal"/>
    <w:link w:val="FootnoteTextChar"/>
    <w:semiHidden/>
    <w:unhideWhenUsed/>
    <w:rsid w:val="0016552B"/>
    <w:rPr>
      <w:sz w:val="20"/>
    </w:rPr>
  </w:style>
  <w:style w:type="character" w:customStyle="1" w:styleId="FootnoteTextChar">
    <w:name w:val="Footnote Text Char"/>
    <w:basedOn w:val="DefaultParagraphFont"/>
    <w:link w:val="FootnoteText"/>
    <w:semiHidden/>
    <w:rsid w:val="0016552B"/>
    <w:rPr>
      <w:rFonts w:ascii="Arial" w:hAnsi="Arial" w:cs="Arial"/>
      <w:snapToGrid w:val="0"/>
      <w:lang w:eastAsia="en-US"/>
    </w:rPr>
  </w:style>
  <w:style w:type="character" w:styleId="FootnoteReference">
    <w:name w:val="footnote reference"/>
    <w:basedOn w:val="DefaultParagraphFont"/>
    <w:semiHidden/>
    <w:unhideWhenUsed/>
    <w:rsid w:val="0016552B"/>
    <w:rPr>
      <w:vertAlign w:val="superscript"/>
    </w:rPr>
  </w:style>
  <w:style w:type="paragraph" w:customStyle="1" w:styleId="Tableleft">
    <w:name w:val="Table left"/>
    <w:basedOn w:val="TableText0"/>
    <w:link w:val="TableleftChar"/>
    <w:uiPriority w:val="99"/>
    <w:rsid w:val="006B4BD2"/>
    <w:pPr>
      <w:keepNext w:val="0"/>
    </w:pPr>
    <w:rPr>
      <w:rFonts w:ascii="Arial" w:hAnsi="Arial"/>
      <w:sz w:val="18"/>
    </w:rPr>
  </w:style>
  <w:style w:type="character" w:customStyle="1" w:styleId="TableleftChar">
    <w:name w:val="Table left Char"/>
    <w:basedOn w:val="DefaultParagraphFont"/>
    <w:link w:val="Tableleft"/>
    <w:uiPriority w:val="99"/>
    <w:rsid w:val="006B4BD2"/>
    <w:rPr>
      <w:rFonts w:ascii="Arial" w:hAnsi="Arial" w:cs="Arial Narrow"/>
      <w:sz w:val="18"/>
      <w:lang w:eastAsia="en-US"/>
    </w:rPr>
  </w:style>
  <w:style w:type="character" w:customStyle="1" w:styleId="TableHeadingChar">
    <w:name w:val="TableHeading Char"/>
    <w:link w:val="TableHeading"/>
    <w:uiPriority w:val="99"/>
    <w:rsid w:val="006B4BD2"/>
    <w:rPr>
      <w:rFonts w:ascii="Arial Narrow" w:hAnsi="Arial Narrow" w:cs="Arial Narrow"/>
      <w:b/>
      <w:bCs/>
      <w:lang w:eastAsia="en-US"/>
    </w:rPr>
  </w:style>
  <w:style w:type="character" w:customStyle="1" w:styleId="ListParagraphChar">
    <w:name w:val="List Paragraph Char"/>
    <w:aliases w:val="BulletPoints Char"/>
    <w:link w:val="ListParagraph"/>
    <w:uiPriority w:val="72"/>
    <w:rsid w:val="003165B0"/>
    <w:rPr>
      <w:rFonts w:ascii="Arial" w:hAnsi="Arial" w:cs="Arial"/>
      <w:snapToGrid w:val="0"/>
      <w:sz w:val="22"/>
      <w:lang w:eastAsia="en-US"/>
    </w:rPr>
  </w:style>
  <w:style w:type="paragraph" w:customStyle="1" w:styleId="EviFooter">
    <w:name w:val="EviFooter"/>
    <w:basedOn w:val="Normal"/>
    <w:link w:val="EviFooterChar"/>
    <w:qFormat/>
    <w:rsid w:val="00D73915"/>
    <w:pPr>
      <w:spacing w:before="60" w:after="60"/>
      <w:jc w:val="left"/>
    </w:pPr>
    <w:rPr>
      <w:snapToGrid/>
      <w:color w:val="808080"/>
      <w:sz w:val="18"/>
      <w:szCs w:val="24"/>
      <w:lang w:val="en-US"/>
    </w:rPr>
  </w:style>
  <w:style w:type="character" w:customStyle="1" w:styleId="EviFooterChar">
    <w:name w:val="EviFooter Char"/>
    <w:link w:val="EviFooter"/>
    <w:rsid w:val="00D73915"/>
    <w:rPr>
      <w:rFonts w:ascii="Arial" w:hAnsi="Arial" w:cs="Arial"/>
      <w:color w:val="808080"/>
      <w:sz w:val="18"/>
      <w:szCs w:val="24"/>
      <w:lang w:val="en-US" w:eastAsia="en-US"/>
    </w:rPr>
  </w:style>
  <w:style w:type="paragraph" w:customStyle="1" w:styleId="tabletextleftjustified">
    <w:name w:val="table text left justified"/>
    <w:link w:val="tabletextleftjustifiedChar"/>
    <w:rsid w:val="00893D7B"/>
    <w:pPr>
      <w:spacing w:before="20" w:after="20"/>
    </w:pPr>
    <w:rPr>
      <w:lang w:val="en-US" w:eastAsia="en-US"/>
    </w:rPr>
  </w:style>
  <w:style w:type="character" w:customStyle="1" w:styleId="tabletextleftjustifiedChar">
    <w:name w:val="table text left justified Char"/>
    <w:link w:val="tabletextleftjustified"/>
    <w:locked/>
    <w:rsid w:val="00893D7B"/>
    <w:rPr>
      <w:lang w:val="en-US" w:eastAsia="en-US"/>
    </w:rPr>
  </w:style>
  <w:style w:type="character" w:customStyle="1" w:styleId="TableTextChar0">
    <w:name w:val="TableText Char"/>
    <w:link w:val="TableText0"/>
    <w:uiPriority w:val="99"/>
    <w:rsid w:val="00893D7B"/>
    <w:rPr>
      <w:rFonts w:ascii="Arial Narrow" w:hAnsi="Arial Narrow" w:cs="Arial Narrow"/>
      <w:lang w:eastAsia="en-US"/>
    </w:rPr>
  </w:style>
  <w:style w:type="paragraph" w:customStyle="1" w:styleId="Tablenotes">
    <w:name w:val="Table notes"/>
    <w:basedOn w:val="Normal"/>
    <w:rsid w:val="005C41B3"/>
    <w:pPr>
      <w:widowControl/>
      <w:spacing w:before="40" w:after="360"/>
      <w:jc w:val="left"/>
    </w:pPr>
    <w:rPr>
      <w:rFonts w:ascii="Arial Narrow" w:hAnsi="Arial Narrow" w:cs="Times New Roman"/>
      <w:snapToGrid/>
      <w:sz w:val="16"/>
      <w:szCs w:val="22"/>
    </w:rPr>
  </w:style>
  <w:style w:type="paragraph" w:customStyle="1" w:styleId="Non-numberedheading2">
    <w:name w:val="Non-numbered heading 2"/>
    <w:basedOn w:val="Heading2"/>
    <w:next w:val="Normal"/>
    <w:qFormat/>
    <w:rsid w:val="00225D31"/>
  </w:style>
  <w:style w:type="paragraph" w:customStyle="1" w:styleId="Non-numberedheading2italics">
    <w:name w:val="Non-numbered heading 2 italics"/>
    <w:basedOn w:val="Non-numberedheading2"/>
    <w:next w:val="Normal"/>
    <w:qFormat/>
    <w:rsid w:val="00537AFB"/>
    <w:rPr>
      <w:bCs/>
      <w:i/>
      <w:iCs/>
    </w:rPr>
  </w:style>
  <w:style w:type="character" w:customStyle="1" w:styleId="slug-doi2">
    <w:name w:val="slug-doi2"/>
    <w:basedOn w:val="DefaultParagraphFont"/>
    <w:rsid w:val="00250225"/>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085604"/>
    <w:pPr>
      <w:widowControl/>
      <w:spacing w:after="160" w:line="240" w:lineRule="exact"/>
      <w:jc w:val="left"/>
    </w:pPr>
    <w:rPr>
      <w:rFonts w:ascii="Verdana" w:eastAsia="MS Mincho" w:hAnsi="Verdana" w:cs="Verdana"/>
      <w:snapToGrid/>
      <w:sz w:val="20"/>
      <w:lang w:val="en-US"/>
    </w:rPr>
  </w:style>
  <w:style w:type="paragraph" w:customStyle="1" w:styleId="Default">
    <w:name w:val="Default"/>
    <w:rsid w:val="001F15A1"/>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semiHidden/>
    <w:unhideWhenUsed/>
    <w:rsid w:val="00C42A6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Table Gridbeth,Summary box"/>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link w:val="TableHeadingChar"/>
    <w:uiPriority w:val="99"/>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uiPriority w:val="99"/>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rsid w:val="00B50DB8"/>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2"/>
      </w:numPr>
    </w:pPr>
    <w:rPr>
      <w:rFonts w:ascii="Arial" w:hAnsi="Arial" w:cs="Arial"/>
      <w:b/>
      <w:snapToGrid w:val="0"/>
      <w:sz w:val="22"/>
      <w:szCs w:val="22"/>
      <w:lang w:eastAsia="en-US"/>
    </w:rPr>
  </w:style>
  <w:style w:type="paragraph" w:styleId="FootnoteText">
    <w:name w:val="footnote text"/>
    <w:basedOn w:val="Normal"/>
    <w:link w:val="FootnoteTextChar"/>
    <w:semiHidden/>
    <w:unhideWhenUsed/>
    <w:rsid w:val="0016552B"/>
    <w:rPr>
      <w:sz w:val="20"/>
    </w:rPr>
  </w:style>
  <w:style w:type="character" w:customStyle="1" w:styleId="FootnoteTextChar">
    <w:name w:val="Footnote Text Char"/>
    <w:basedOn w:val="DefaultParagraphFont"/>
    <w:link w:val="FootnoteText"/>
    <w:semiHidden/>
    <w:rsid w:val="0016552B"/>
    <w:rPr>
      <w:rFonts w:ascii="Arial" w:hAnsi="Arial" w:cs="Arial"/>
      <w:snapToGrid w:val="0"/>
      <w:lang w:eastAsia="en-US"/>
    </w:rPr>
  </w:style>
  <w:style w:type="character" w:styleId="FootnoteReference">
    <w:name w:val="footnote reference"/>
    <w:basedOn w:val="DefaultParagraphFont"/>
    <w:semiHidden/>
    <w:unhideWhenUsed/>
    <w:rsid w:val="0016552B"/>
    <w:rPr>
      <w:vertAlign w:val="superscript"/>
    </w:rPr>
  </w:style>
  <w:style w:type="paragraph" w:customStyle="1" w:styleId="Tableleft">
    <w:name w:val="Table left"/>
    <w:basedOn w:val="TableText0"/>
    <w:link w:val="TableleftChar"/>
    <w:uiPriority w:val="99"/>
    <w:rsid w:val="006B4BD2"/>
    <w:pPr>
      <w:keepNext w:val="0"/>
    </w:pPr>
    <w:rPr>
      <w:rFonts w:ascii="Arial" w:hAnsi="Arial"/>
      <w:sz w:val="18"/>
    </w:rPr>
  </w:style>
  <w:style w:type="character" w:customStyle="1" w:styleId="TableleftChar">
    <w:name w:val="Table left Char"/>
    <w:basedOn w:val="DefaultParagraphFont"/>
    <w:link w:val="Tableleft"/>
    <w:uiPriority w:val="99"/>
    <w:rsid w:val="006B4BD2"/>
    <w:rPr>
      <w:rFonts w:ascii="Arial" w:hAnsi="Arial" w:cs="Arial Narrow"/>
      <w:sz w:val="18"/>
      <w:lang w:eastAsia="en-US"/>
    </w:rPr>
  </w:style>
  <w:style w:type="character" w:customStyle="1" w:styleId="TableHeadingChar">
    <w:name w:val="TableHeading Char"/>
    <w:link w:val="TableHeading"/>
    <w:uiPriority w:val="99"/>
    <w:rsid w:val="006B4BD2"/>
    <w:rPr>
      <w:rFonts w:ascii="Arial Narrow" w:hAnsi="Arial Narrow" w:cs="Arial Narrow"/>
      <w:b/>
      <w:bCs/>
      <w:lang w:eastAsia="en-US"/>
    </w:rPr>
  </w:style>
  <w:style w:type="character" w:customStyle="1" w:styleId="ListParagraphChar">
    <w:name w:val="List Paragraph Char"/>
    <w:aliases w:val="BulletPoints Char"/>
    <w:link w:val="ListParagraph"/>
    <w:uiPriority w:val="72"/>
    <w:rsid w:val="003165B0"/>
    <w:rPr>
      <w:rFonts w:ascii="Arial" w:hAnsi="Arial" w:cs="Arial"/>
      <w:snapToGrid w:val="0"/>
      <w:sz w:val="22"/>
      <w:lang w:eastAsia="en-US"/>
    </w:rPr>
  </w:style>
  <w:style w:type="paragraph" w:customStyle="1" w:styleId="EviFooter">
    <w:name w:val="EviFooter"/>
    <w:basedOn w:val="Normal"/>
    <w:link w:val="EviFooterChar"/>
    <w:qFormat/>
    <w:rsid w:val="00D73915"/>
    <w:pPr>
      <w:spacing w:before="60" w:after="60"/>
      <w:jc w:val="left"/>
    </w:pPr>
    <w:rPr>
      <w:snapToGrid/>
      <w:color w:val="808080"/>
      <w:sz w:val="18"/>
      <w:szCs w:val="24"/>
      <w:lang w:val="en-US"/>
    </w:rPr>
  </w:style>
  <w:style w:type="character" w:customStyle="1" w:styleId="EviFooterChar">
    <w:name w:val="EviFooter Char"/>
    <w:link w:val="EviFooter"/>
    <w:rsid w:val="00D73915"/>
    <w:rPr>
      <w:rFonts w:ascii="Arial" w:hAnsi="Arial" w:cs="Arial"/>
      <w:color w:val="808080"/>
      <w:sz w:val="18"/>
      <w:szCs w:val="24"/>
      <w:lang w:val="en-US" w:eastAsia="en-US"/>
    </w:rPr>
  </w:style>
  <w:style w:type="paragraph" w:customStyle="1" w:styleId="tabletextleftjustified">
    <w:name w:val="table text left justified"/>
    <w:link w:val="tabletextleftjustifiedChar"/>
    <w:rsid w:val="00893D7B"/>
    <w:pPr>
      <w:spacing w:before="20" w:after="20"/>
    </w:pPr>
    <w:rPr>
      <w:lang w:val="en-US" w:eastAsia="en-US"/>
    </w:rPr>
  </w:style>
  <w:style w:type="character" w:customStyle="1" w:styleId="tabletextleftjustifiedChar">
    <w:name w:val="table text left justified Char"/>
    <w:link w:val="tabletextleftjustified"/>
    <w:locked/>
    <w:rsid w:val="00893D7B"/>
    <w:rPr>
      <w:lang w:val="en-US" w:eastAsia="en-US"/>
    </w:rPr>
  </w:style>
  <w:style w:type="character" w:customStyle="1" w:styleId="TableTextChar0">
    <w:name w:val="TableText Char"/>
    <w:link w:val="TableText0"/>
    <w:uiPriority w:val="99"/>
    <w:rsid w:val="00893D7B"/>
    <w:rPr>
      <w:rFonts w:ascii="Arial Narrow" w:hAnsi="Arial Narrow" w:cs="Arial Narrow"/>
      <w:lang w:eastAsia="en-US"/>
    </w:rPr>
  </w:style>
  <w:style w:type="paragraph" w:customStyle="1" w:styleId="Tablenotes">
    <w:name w:val="Table notes"/>
    <w:basedOn w:val="Normal"/>
    <w:rsid w:val="005C41B3"/>
    <w:pPr>
      <w:widowControl/>
      <w:spacing w:before="40" w:after="360"/>
      <w:jc w:val="left"/>
    </w:pPr>
    <w:rPr>
      <w:rFonts w:ascii="Arial Narrow" w:hAnsi="Arial Narrow" w:cs="Times New Roman"/>
      <w:snapToGrid/>
      <w:sz w:val="16"/>
      <w:szCs w:val="22"/>
    </w:rPr>
  </w:style>
  <w:style w:type="paragraph" w:customStyle="1" w:styleId="Non-numberedheading2">
    <w:name w:val="Non-numbered heading 2"/>
    <w:basedOn w:val="Heading2"/>
    <w:next w:val="Normal"/>
    <w:qFormat/>
    <w:rsid w:val="00225D31"/>
  </w:style>
  <w:style w:type="paragraph" w:customStyle="1" w:styleId="Non-numberedheading2italics">
    <w:name w:val="Non-numbered heading 2 italics"/>
    <w:basedOn w:val="Non-numberedheading2"/>
    <w:next w:val="Normal"/>
    <w:qFormat/>
    <w:rsid w:val="00537AFB"/>
    <w:rPr>
      <w:bCs/>
      <w:i/>
      <w:iCs/>
    </w:rPr>
  </w:style>
  <w:style w:type="character" w:customStyle="1" w:styleId="slug-doi2">
    <w:name w:val="slug-doi2"/>
    <w:basedOn w:val="DefaultParagraphFont"/>
    <w:rsid w:val="00250225"/>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085604"/>
    <w:pPr>
      <w:widowControl/>
      <w:spacing w:after="160" w:line="240" w:lineRule="exact"/>
      <w:jc w:val="left"/>
    </w:pPr>
    <w:rPr>
      <w:rFonts w:ascii="Verdana" w:eastAsia="MS Mincho" w:hAnsi="Verdana" w:cs="Verdana"/>
      <w:snapToGrid/>
      <w:sz w:val="20"/>
      <w:lang w:val="en-US"/>
    </w:rPr>
  </w:style>
  <w:style w:type="paragraph" w:customStyle="1" w:styleId="Default">
    <w:name w:val="Default"/>
    <w:rsid w:val="001F15A1"/>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semiHidden/>
    <w:unhideWhenUsed/>
    <w:rsid w:val="00C42A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6215">
      <w:bodyDiv w:val="1"/>
      <w:marLeft w:val="0"/>
      <w:marRight w:val="0"/>
      <w:marTop w:val="0"/>
      <w:marBottom w:val="0"/>
      <w:divBdr>
        <w:top w:val="none" w:sz="0" w:space="0" w:color="auto"/>
        <w:left w:val="none" w:sz="0" w:space="0" w:color="auto"/>
        <w:bottom w:val="none" w:sz="0" w:space="0" w:color="auto"/>
        <w:right w:val="none" w:sz="0" w:space="0" w:color="auto"/>
      </w:divBdr>
    </w:div>
    <w:div w:id="194004362">
      <w:bodyDiv w:val="1"/>
      <w:marLeft w:val="0"/>
      <w:marRight w:val="0"/>
      <w:marTop w:val="0"/>
      <w:marBottom w:val="0"/>
      <w:divBdr>
        <w:top w:val="none" w:sz="0" w:space="0" w:color="auto"/>
        <w:left w:val="none" w:sz="0" w:space="0" w:color="auto"/>
        <w:bottom w:val="none" w:sz="0" w:space="0" w:color="auto"/>
        <w:right w:val="none" w:sz="0" w:space="0" w:color="auto"/>
      </w:divBdr>
      <w:divsChild>
        <w:div w:id="1576279509">
          <w:marLeft w:val="1800"/>
          <w:marRight w:val="0"/>
          <w:marTop w:val="100"/>
          <w:marBottom w:val="0"/>
          <w:divBdr>
            <w:top w:val="none" w:sz="0" w:space="0" w:color="auto"/>
            <w:left w:val="none" w:sz="0" w:space="0" w:color="auto"/>
            <w:bottom w:val="none" w:sz="0" w:space="0" w:color="auto"/>
            <w:right w:val="none" w:sz="0" w:space="0" w:color="auto"/>
          </w:divBdr>
        </w:div>
      </w:divsChild>
    </w:div>
    <w:div w:id="432628464">
      <w:bodyDiv w:val="1"/>
      <w:marLeft w:val="0"/>
      <w:marRight w:val="0"/>
      <w:marTop w:val="0"/>
      <w:marBottom w:val="0"/>
      <w:divBdr>
        <w:top w:val="none" w:sz="0" w:space="0" w:color="auto"/>
        <w:left w:val="none" w:sz="0" w:space="0" w:color="auto"/>
        <w:bottom w:val="none" w:sz="0" w:space="0" w:color="auto"/>
        <w:right w:val="none" w:sz="0" w:space="0" w:color="auto"/>
      </w:divBdr>
    </w:div>
    <w:div w:id="1568685788">
      <w:bodyDiv w:val="1"/>
      <w:marLeft w:val="0"/>
      <w:marRight w:val="0"/>
      <w:marTop w:val="0"/>
      <w:marBottom w:val="0"/>
      <w:divBdr>
        <w:top w:val="none" w:sz="0" w:space="0" w:color="auto"/>
        <w:left w:val="none" w:sz="0" w:space="0" w:color="auto"/>
        <w:bottom w:val="none" w:sz="0" w:space="0" w:color="auto"/>
        <w:right w:val="none" w:sz="0" w:space="0" w:color="auto"/>
      </w:divBdr>
      <w:divsChild>
        <w:div w:id="1699113623">
          <w:marLeft w:val="2520"/>
          <w:marRight w:val="0"/>
          <w:marTop w:val="100"/>
          <w:marBottom w:val="0"/>
          <w:divBdr>
            <w:top w:val="none" w:sz="0" w:space="0" w:color="auto"/>
            <w:left w:val="none" w:sz="0" w:space="0" w:color="auto"/>
            <w:bottom w:val="none" w:sz="0" w:space="0" w:color="auto"/>
            <w:right w:val="none" w:sz="0" w:space="0" w:color="auto"/>
          </w:divBdr>
        </w:div>
      </w:divsChild>
    </w:div>
    <w:div w:id="1589726333">
      <w:bodyDiv w:val="1"/>
      <w:marLeft w:val="0"/>
      <w:marRight w:val="0"/>
      <w:marTop w:val="0"/>
      <w:marBottom w:val="0"/>
      <w:divBdr>
        <w:top w:val="none" w:sz="0" w:space="0" w:color="auto"/>
        <w:left w:val="none" w:sz="0" w:space="0" w:color="auto"/>
        <w:bottom w:val="none" w:sz="0" w:space="0" w:color="auto"/>
        <w:right w:val="none" w:sz="0" w:space="0" w:color="auto"/>
      </w:divBdr>
    </w:div>
    <w:div w:id="1761482465">
      <w:bodyDiv w:val="1"/>
      <w:marLeft w:val="0"/>
      <w:marRight w:val="0"/>
      <w:marTop w:val="0"/>
      <w:marBottom w:val="0"/>
      <w:divBdr>
        <w:top w:val="none" w:sz="0" w:space="0" w:color="auto"/>
        <w:left w:val="none" w:sz="0" w:space="0" w:color="auto"/>
        <w:bottom w:val="none" w:sz="0" w:space="0" w:color="auto"/>
        <w:right w:val="none" w:sz="0" w:space="0" w:color="auto"/>
      </w:divBdr>
    </w:div>
    <w:div w:id="176294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03CEA-7477-459E-BBA4-1677FF772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7565</Words>
  <Characters>43124</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2017-06-15T04:42:00Z</dcterms:created>
  <dcterms:modified xsi:type="dcterms:W3CDTF">2017-06-15T04:43:00Z</dcterms:modified>
</cp:coreProperties>
</file>